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7"/>
        <w:ind w:firstLine="1718"/>
        <w:jc w:val="both"/>
        <w:rPr>
          <w:rFonts w:hint="eastAsia" w:ascii="仿宋" w:hAnsi="仿宋" w:eastAsia="仿宋" w:cs="仿宋"/>
          <w:color w:val="000000"/>
          <w:sz w:val="24"/>
        </w:rPr>
      </w:pPr>
      <w:r>
        <w:rPr>
          <w:rFonts w:hint="eastAsia" w:ascii="仿宋" w:hAnsi="仿宋" w:eastAsia="仿宋" w:cs="仿宋"/>
          <w:b/>
          <w:color w:val="000000"/>
          <w:spacing w:val="76"/>
          <w:sz w:val="156"/>
        </w:rPr>
        <w:t xml:space="preserve">招标文件</w:t>
      </w:r>
      <w:r/>
    </w:p>
    <w:p>
      <w:pPr>
        <w:pStyle w:val="837"/>
        <w:rPr>
          <w:rFonts w:hint="eastAsia" w:ascii="仿宋" w:hAnsi="仿宋" w:eastAsia="仿宋" w:cs="仿宋"/>
          <w:color w:val="000000"/>
          <w:sz w:val="24"/>
        </w:rPr>
      </w:pPr>
      <w:r>
        <w:rPr>
          <w:rFonts w:hint="eastAsia" w:ascii="仿宋" w:hAnsi="仿宋" w:eastAsia="仿宋" w:cs="仿宋"/>
          <w:color w:val="000000"/>
          <w:sz w:val="24"/>
        </w:rPr>
      </w:r>
      <w:r/>
    </w:p>
    <w:p>
      <w:pPr>
        <w:pStyle w:val="1124"/>
        <w:rPr>
          <w:rFonts w:hint="eastAsia" w:ascii="仿宋" w:hAnsi="仿宋" w:eastAsia="仿宋" w:cs="仿宋"/>
          <w:color w:val="000000"/>
        </w:rPr>
      </w:pPr>
      <w:r>
        <w:rPr>
          <w:rFonts w:hint="eastAsia" w:ascii="仿宋" w:hAnsi="仿宋" w:eastAsia="仿宋" w:cs="仿宋"/>
          <w:color w:val="000000"/>
        </w:rPr>
      </w:r>
      <w:r/>
    </w:p>
    <w:p>
      <w:pPr>
        <w:pStyle w:val="837"/>
        <w:rPr>
          <w:rFonts w:hint="eastAsia"/>
        </w:rPr>
      </w:pPr>
      <w:r>
        <w:rPr>
          <w:rFonts w:hint="eastAsia"/>
        </w:rPr>
      </w:r>
      <w:r/>
    </w:p>
    <w:p>
      <w:pPr>
        <w:pStyle w:val="837"/>
        <w:ind w:firstLine="640"/>
        <w:jc w:val="left"/>
        <w:rPr>
          <w:rFonts w:hint="eastAsia" w:ascii="仿宋" w:hAnsi="仿宋" w:eastAsia="仿宋" w:cs="仿宋"/>
          <w:color w:val="000000"/>
          <w:sz w:val="32"/>
          <w:lang w:eastAsia="zh-CN"/>
        </w:rPr>
      </w:pPr>
      <w:r>
        <w:rPr>
          <w:rFonts w:hint="eastAsia" w:ascii="仿宋" w:hAnsi="仿宋" w:eastAsia="仿宋" w:cs="仿宋"/>
          <w:color w:val="000000"/>
          <w:sz w:val="32"/>
          <w:lang w:eastAsia="zh-CN"/>
        </w:rPr>
        <w:t xml:space="preserve">项目编号：JSZC-320312-YXYX-G2024-0010</w:t>
      </w:r>
      <w:r/>
    </w:p>
    <w:p>
      <w:pPr>
        <w:pStyle w:val="837"/>
        <w:jc w:val="both"/>
        <w:rPr>
          <w:rFonts w:hint="eastAsia" w:ascii="仿宋" w:hAnsi="仿宋" w:eastAsia="仿宋" w:cs="仿宋"/>
          <w:color w:val="000000"/>
          <w:sz w:val="32"/>
        </w:rPr>
      </w:pPr>
      <w:r>
        <w:rPr>
          <w:rFonts w:hint="eastAsia" w:ascii="仿宋" w:hAnsi="仿宋" w:eastAsia="仿宋" w:cs="仿宋"/>
          <w:color w:val="000000"/>
          <w:sz w:val="32"/>
        </w:rPr>
      </w:r>
      <w:r/>
    </w:p>
    <w:p>
      <w:pPr>
        <w:pStyle w:val="837"/>
        <w:ind w:firstLine="640"/>
        <w:jc w:val="both"/>
        <w:rPr>
          <w:rFonts w:hint="eastAsia" w:ascii="仿宋" w:hAnsi="仿宋" w:eastAsia="仿宋" w:cs="仿宋"/>
          <w:color w:val="000000"/>
          <w:sz w:val="32"/>
          <w:szCs w:val="32"/>
        </w:rPr>
      </w:pPr>
      <w:r>
        <w:rPr>
          <w:rFonts w:hint="eastAsia" w:ascii="仿宋" w:hAnsi="仿宋" w:eastAsia="仿宋" w:cs="仿宋"/>
          <w:color w:val="000000"/>
          <w:sz w:val="32"/>
        </w:rPr>
        <w:t xml:space="preserve">项目名称：</w:t>
      </w:r>
      <w:r>
        <w:rPr>
          <w:rFonts w:hint="eastAsia" w:ascii="仿宋" w:hAnsi="仿宋" w:eastAsia="仿宋" w:cs="仿宋"/>
          <w:color w:val="000000"/>
          <w:sz w:val="32"/>
          <w:lang w:eastAsia="zh-CN"/>
        </w:rPr>
        <w:t xml:space="preserve">铜山区农业微生物（食用菌）种质资源普查项目</w:t>
      </w:r>
      <w:r/>
    </w:p>
    <w:p>
      <w:pPr>
        <w:pStyle w:val="837"/>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37"/>
        <w:ind w:firstLine="640"/>
        <w:jc w:val="left"/>
        <w:rPr>
          <w:rFonts w:hint="eastAsia" w:ascii="仿宋" w:hAnsi="仿宋" w:eastAsia="仿宋" w:cs="仿宋"/>
          <w:color w:val="000000"/>
          <w:sz w:val="32"/>
          <w:lang w:eastAsia="zh-CN"/>
        </w:rPr>
      </w:pPr>
      <w:r>
        <w:rPr>
          <w:rFonts w:hint="eastAsia" w:ascii="仿宋" w:hAnsi="仿宋" w:eastAsia="仿宋" w:cs="仿宋"/>
          <w:color w:val="000000"/>
          <w:sz w:val="32"/>
        </w:rPr>
        <w:t xml:space="preserve">采购人：</w:t>
      </w:r>
      <w:r>
        <w:rPr>
          <w:rFonts w:hint="eastAsia" w:ascii="仿宋" w:hAnsi="仿宋" w:eastAsia="仿宋" w:cs="仿宋"/>
          <w:color w:val="000000"/>
          <w:sz w:val="32"/>
          <w:lang w:eastAsia="zh-CN"/>
        </w:rPr>
        <w:t xml:space="preserve">徐州市铜山区农业农村局（机关）</w:t>
      </w:r>
      <w:r/>
    </w:p>
    <w:p>
      <w:pPr>
        <w:pStyle w:val="102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102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102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1021"/>
        <w:ind w:firstLine="0"/>
        <w:jc w:val="center"/>
        <w:rPr>
          <w:rFonts w:hint="eastAsia" w:ascii="仿宋" w:hAnsi="仿宋" w:eastAsia="仿宋" w:cs="仿宋"/>
          <w:color w:val="000000"/>
          <w:sz w:val="44"/>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2034540</wp:posOffset>
                </wp:positionH>
                <wp:positionV relativeFrom="paragraph">
                  <wp:posOffset>200660</wp:posOffset>
                </wp:positionV>
                <wp:extent cx="1449070" cy="1449070"/>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449070" cy="1449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60.2pt;mso-position-horizontal:absolute;mso-position-vertical-relative:text;margin-top:15.8pt;mso-position-vertical:absolute;width:114.1pt;height:114.1pt;mso-wrap-distance-left:9.0pt;mso-wrap-distance-top:0.0pt;mso-wrap-distance-right:9.0pt;mso-wrap-distance-bottom:0.0pt;" stroked="f">
                <v:path textboxrect="0,0,0,0"/>
                <w10:wrap type="square"/>
                <v:imagedata r:id="rId16" o:title=""/>
              </v:shape>
            </w:pict>
          </mc:Fallback>
        </mc:AlternateContent>
      </w:r>
      <w:r/>
    </w:p>
    <w:p>
      <w:pPr>
        <w:pStyle w:val="102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102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102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102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102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102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102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jc w:val="center"/>
        <w:spacing w:line="360" w:lineRule="auto"/>
        <w:rPr>
          <w:rFonts w:hint="eastAsia" w:ascii="仿宋" w:hAnsi="仿宋" w:eastAsia="仿宋" w:cs="仿宋"/>
          <w:color w:val="auto"/>
          <w:sz w:val="30"/>
          <w:highlight w:val="none"/>
          <w:lang w:eastAsia="zh-CN"/>
        </w:rPr>
      </w:pPr>
      <w:r>
        <w:rPr>
          <w:rFonts w:hint="eastAsia" w:ascii="仿宋" w:hAnsi="仿宋" w:eastAsia="仿宋" w:cs="仿宋"/>
          <w:color w:val="auto"/>
          <w:sz w:val="30"/>
          <w:highlight w:val="none"/>
        </w:rPr>
        <w:t xml:space="preserve">采购代理机构：</w:t>
      </w:r>
      <w:r>
        <w:rPr>
          <w:rFonts w:hint="eastAsia" w:ascii="仿宋" w:hAnsi="仿宋" w:eastAsia="仿宋" w:cs="仿宋"/>
          <w:color w:val="auto"/>
          <w:sz w:val="30"/>
          <w:highlight w:val="none"/>
          <w:lang w:eastAsia="zh-CN"/>
        </w:rPr>
        <w:t xml:space="preserve">江苏友信招标代理有限公司</w:t>
      </w:r>
      <w:r/>
    </w:p>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bCs/>
          <w:color w:val="auto"/>
          <w:sz w:val="30"/>
          <w:highlight w:val="none"/>
        </w:rPr>
        <w:t xml:space="preserve">二〇二</w:t>
      </w:r>
      <w:r>
        <w:rPr>
          <w:rFonts w:hint="eastAsia" w:ascii="仿宋" w:hAnsi="仿宋" w:eastAsia="仿宋" w:cs="仿宋"/>
          <w:bCs/>
          <w:color w:val="auto"/>
          <w:sz w:val="30"/>
          <w:highlight w:val="none"/>
          <w:lang w:eastAsia="zh-CN"/>
        </w:rPr>
        <w:t xml:space="preserve">四</w:t>
      </w:r>
      <w:r>
        <w:rPr>
          <w:rFonts w:hint="eastAsia" w:ascii="仿宋" w:hAnsi="仿宋" w:eastAsia="仿宋" w:cs="仿宋"/>
          <w:bCs/>
          <w:color w:val="auto"/>
          <w:sz w:val="30"/>
          <w:highlight w:val="none"/>
        </w:rPr>
        <w:t xml:space="preserve">年</w:t>
      </w:r>
      <w:r>
        <w:rPr>
          <w:rFonts w:hint="eastAsia" w:ascii="仿宋" w:hAnsi="仿宋" w:eastAsia="仿宋" w:cs="仿宋"/>
          <w:bCs/>
          <w:color w:val="auto"/>
          <w:sz w:val="30"/>
          <w:highlight w:val="none"/>
          <w:lang w:eastAsia="zh-CN"/>
        </w:rPr>
        <w:t xml:space="preserve">七</w:t>
      </w:r>
      <w:r>
        <w:rPr>
          <w:rFonts w:hint="eastAsia" w:ascii="仿宋" w:hAnsi="仿宋" w:eastAsia="仿宋" w:cs="仿宋"/>
          <w:bCs/>
          <w:color w:val="auto"/>
          <w:sz w:val="30"/>
          <w:highlight w:val="none"/>
        </w:rPr>
        <w:t xml:space="preserve">月</w:t>
      </w:r>
      <w:r/>
    </w:p>
    <w:p>
      <w:pPr>
        <w:pStyle w:val="1021"/>
        <w:ind w:firstLine="0"/>
        <w:jc w:val="both"/>
        <w:rPr>
          <w:rFonts w:hint="eastAsia" w:ascii="仿宋" w:hAnsi="仿宋" w:eastAsia="仿宋" w:cs="仿宋"/>
          <w:color w:val="000000"/>
          <w:sz w:val="44"/>
        </w:rPr>
      </w:pPr>
      <w:r>
        <w:rPr>
          <w:rFonts w:hint="eastAsia" w:ascii="仿宋" w:hAnsi="仿宋" w:eastAsia="仿宋" w:cs="仿宋"/>
          <w:color w:val="000000"/>
          <w:sz w:val="44"/>
        </w:rPr>
      </w:r>
      <w:r/>
    </w:p>
    <w:p>
      <w:pPr>
        <w:pStyle w:val="102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1021"/>
        <w:ind w:firstLine="0"/>
        <w:jc w:val="center"/>
        <w:rPr>
          <w:rFonts w:hint="eastAsia" w:ascii="仿宋" w:hAnsi="仿宋" w:eastAsia="仿宋" w:cs="仿宋"/>
          <w:color w:val="000000"/>
          <w:sz w:val="44"/>
        </w:rPr>
        <w:sectPr>
          <w:footnotePr/>
          <w:endnotePr/>
          <w:type w:val="nextPage"/>
          <w:pgSz w:w="11906" w:h="16838" w:orient="portrait"/>
          <w:pgMar w:top="1440" w:right="1080" w:bottom="1440" w:left="1366" w:header="851" w:footer="992" w:gutter="0"/>
          <w:pgNumType w:start="1"/>
          <w:cols w:num="1" w:sep="0" w:space="720" w:equalWidth="1"/>
          <w:docGrid w:linePitch="360"/>
        </w:sectPr>
      </w:pPr>
      <w:r>
        <w:rPr>
          <w:rFonts w:hint="eastAsia" w:ascii="仿宋" w:hAnsi="仿宋" w:eastAsia="仿宋" w:cs="仿宋"/>
          <w:color w:val="000000"/>
          <w:sz w:val="44"/>
        </w:rPr>
      </w:r>
      <w:r/>
    </w:p>
    <w:p>
      <w:pPr>
        <w:pStyle w:val="102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rPr>
        <w:t xml:space="preserve">目 录</w:t>
      </w:r>
      <w:r/>
    </w:p>
    <w:p>
      <w:pPr>
        <w:jc w:val="center"/>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jc w:val="center"/>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auto"/>
          <w:highlight w:val="none"/>
        </w:rPr>
        <w:fldChar w:fldCharType="separate"/>
      </w:r>
      <w:r>
        <w:rPr>
          <w:rStyle w:val="850"/>
          <w:rFonts w:hint="eastAsia" w:ascii="仿宋" w:hAnsi="仿宋" w:eastAsia="仿宋" w:cs="仿宋"/>
          <w:color w:val="auto"/>
          <w:sz w:val="30"/>
          <w:highlight w:val="none"/>
          <w:u w:val="none"/>
        </w:rPr>
        <w:t xml:space="preserve">第一章  投标邀请</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auto"/>
          <w:highlight w:val="none"/>
        </w:rPr>
        <w:fldChar w:fldCharType="separate"/>
      </w:r>
      <w:r>
        <w:rPr>
          <w:rStyle w:val="850"/>
          <w:rFonts w:hint="eastAsia" w:ascii="仿宋" w:hAnsi="仿宋" w:eastAsia="仿宋" w:cs="仿宋"/>
          <w:color w:val="auto"/>
          <w:sz w:val="30"/>
          <w:highlight w:val="none"/>
          <w:u w:val="none"/>
        </w:rPr>
        <w:t xml:space="preserve">第二章  投标人须知</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auto"/>
          <w:highlight w:val="none"/>
        </w:rPr>
        <w:fldChar w:fldCharType="separate"/>
      </w:r>
      <w:r>
        <w:rPr>
          <w:rStyle w:val="850"/>
          <w:rFonts w:hint="eastAsia" w:ascii="仿宋" w:hAnsi="仿宋" w:eastAsia="仿宋" w:cs="仿宋"/>
          <w:color w:val="auto"/>
          <w:sz w:val="30"/>
          <w:highlight w:val="none"/>
          <w:u w:val="none"/>
        </w:rPr>
        <w:t xml:space="preserve">第三章  投标资料表</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auto"/>
          <w:highlight w:val="none"/>
        </w:rPr>
        <w:fldChar w:fldCharType="separate"/>
      </w:r>
      <w:r>
        <w:rPr>
          <w:rStyle w:val="850"/>
          <w:rFonts w:hint="eastAsia" w:ascii="仿宋" w:hAnsi="仿宋" w:eastAsia="仿宋" w:cs="仿宋"/>
          <w:color w:val="auto"/>
          <w:sz w:val="30"/>
          <w:highlight w:val="none"/>
          <w:u w:val="none"/>
        </w:rPr>
        <w:t xml:space="preserve">第四章  评标标准</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auto"/>
          <w:highlight w:val="none"/>
        </w:rPr>
        <w:fldChar w:fldCharType="separate"/>
      </w:r>
      <w:r>
        <w:rPr>
          <w:rStyle w:val="850"/>
          <w:rFonts w:hint="eastAsia" w:ascii="仿宋" w:hAnsi="仿宋" w:eastAsia="仿宋" w:cs="仿宋"/>
          <w:color w:val="auto"/>
          <w:sz w:val="30"/>
          <w:highlight w:val="none"/>
          <w:u w:val="none"/>
        </w:rPr>
        <w:t xml:space="preserve">第</w:t>
      </w:r>
      <w:r>
        <w:rPr>
          <w:rStyle w:val="850"/>
          <w:rFonts w:hint="eastAsia" w:ascii="仿宋" w:hAnsi="仿宋" w:eastAsia="仿宋" w:cs="仿宋"/>
          <w:color w:val="auto"/>
          <w:sz w:val="30"/>
          <w:highlight w:val="none"/>
          <w:u w:val="none"/>
          <w:lang w:eastAsia="zh-CN"/>
        </w:rPr>
        <w:t xml:space="preserve">五</w:t>
      </w:r>
      <w:r>
        <w:rPr>
          <w:rStyle w:val="850"/>
          <w:rFonts w:hint="eastAsia" w:ascii="仿宋" w:hAnsi="仿宋" w:eastAsia="仿宋" w:cs="仿宋"/>
          <w:color w:val="auto"/>
          <w:sz w:val="30"/>
          <w:highlight w:val="none"/>
          <w:u w:val="none"/>
        </w:rPr>
        <w:t xml:space="preserve">章  拟签订的合同文本</w:t>
      </w:r>
      <w:r>
        <w:rPr>
          <w:rFonts w:hint="eastAsia" w:ascii="仿宋" w:hAnsi="仿宋" w:eastAsia="仿宋" w:cs="仿宋"/>
          <w:color w:val="auto"/>
          <w:sz w:val="30"/>
          <w:highlight w:val="none"/>
          <w:u w:val="none"/>
        </w:rPr>
        <w:fldChar w:fldCharType="end"/>
      </w:r>
      <w:r/>
    </w:p>
    <w:p>
      <w:pPr>
        <w:ind w:firstLine="1002"/>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1002"/>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850"/>
          <w:rFonts w:hint="eastAsia" w:ascii="仿宋" w:hAnsi="仿宋" w:eastAsia="仿宋" w:cs="仿宋"/>
          <w:color w:val="000000"/>
          <w:sz w:val="30"/>
          <w:highlight w:val="none"/>
          <w:u w:val="none"/>
        </w:rPr>
        <w:t xml:space="preserve">第</w:t>
      </w:r>
      <w:r>
        <w:rPr>
          <w:rStyle w:val="850"/>
          <w:rFonts w:hint="eastAsia" w:ascii="仿宋" w:hAnsi="仿宋" w:eastAsia="仿宋" w:cs="仿宋"/>
          <w:color w:val="000000"/>
          <w:sz w:val="30"/>
          <w:highlight w:val="none"/>
          <w:u w:val="none"/>
          <w:lang w:eastAsia="zh-CN"/>
        </w:rPr>
        <w:t xml:space="preserve">六</w:t>
      </w:r>
      <w:r>
        <w:rPr>
          <w:rStyle w:val="850"/>
          <w:rFonts w:hint="eastAsia" w:ascii="仿宋" w:hAnsi="仿宋" w:eastAsia="仿宋" w:cs="仿宋"/>
          <w:color w:val="000000"/>
          <w:sz w:val="30"/>
          <w:highlight w:val="none"/>
          <w:u w:val="none"/>
        </w:rPr>
        <w:t xml:space="preserve">章  </w:t>
      </w: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highlight w:val="none"/>
          <w:u w:val="none"/>
        </w:rPr>
        <w:fldChar w:fldCharType="end"/>
      </w:r>
      <w:r>
        <w:rPr>
          <w:rStyle w:val="850"/>
          <w:rFonts w:hint="eastAsia" w:ascii="仿宋" w:hAnsi="仿宋" w:eastAsia="仿宋" w:cs="仿宋"/>
          <w:color w:val="000000"/>
          <w:sz w:val="30"/>
          <w:highlight w:val="none"/>
          <w:u w:val="none"/>
          <w:lang w:eastAsia="zh-CN"/>
        </w:rPr>
        <w:t xml:space="preserve">购需求</w:t>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auto"/>
          <w:highlight w:val="none"/>
        </w:rPr>
        <w:fldChar w:fldCharType="separate"/>
      </w:r>
      <w:r>
        <w:rPr>
          <w:rStyle w:val="850"/>
          <w:rFonts w:hint="eastAsia" w:ascii="仿宋" w:hAnsi="仿宋" w:eastAsia="仿宋" w:cs="仿宋"/>
          <w:color w:val="auto"/>
          <w:sz w:val="30"/>
          <w:highlight w:val="none"/>
          <w:u w:val="none"/>
        </w:rPr>
        <w:t xml:space="preserve">第七章  投标文件相关格式</w:t>
      </w:r>
      <w:r>
        <w:rPr>
          <w:rFonts w:hint="eastAsia" w:ascii="仿宋" w:hAnsi="仿宋" w:eastAsia="仿宋" w:cs="仿宋"/>
          <w:color w:val="auto"/>
          <w:sz w:val="30"/>
          <w:highlight w:val="none"/>
          <w:u w:val="none"/>
        </w:rPr>
        <w:fldChar w:fldCharType="end"/>
      </w:r>
      <w:r/>
    </w:p>
    <w:p>
      <w:pPr>
        <w:jc w:val="center"/>
        <w:spacing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jc w:val="center"/>
        <w:spacing w:line="519"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080" w:bottom="1440" w:left="1366" w:header="851" w:footer="992" w:gutter="0"/>
          <w:pgNumType w:start="1"/>
          <w:cols w:num="1" w:sep="0" w:space="720" w:equalWidth="1"/>
          <w:docGrid w:linePitch="360"/>
        </w:sectPr>
      </w:pPr>
      <w:r>
        <w:rPr>
          <w:rFonts w:hint="eastAsia" w:ascii="仿宋" w:hAnsi="仿宋" w:eastAsia="仿宋" w:cs="仿宋"/>
          <w:b/>
          <w:color w:val="auto"/>
          <w:sz w:val="28"/>
          <w:szCs w:val="28"/>
          <w:highlight w:val="none"/>
        </w:rPr>
      </w:r>
      <w:r/>
    </w:p>
    <w:p>
      <w:pPr>
        <w:jc w:val="center"/>
        <w:spacing w:line="520" w:lineRule="exact"/>
        <w:rPr>
          <w:rFonts w:hint="eastAsia" w:ascii="仿宋" w:hAnsi="仿宋" w:eastAsia="仿宋" w:cs="仿宋"/>
          <w:b/>
          <w:bCs w:val="0"/>
          <w:color w:val="auto"/>
          <w:sz w:val="36"/>
          <w:szCs w:val="36"/>
          <w:highlight w:val="none"/>
          <w:lang w:eastAsia="zh-CN"/>
        </w:rPr>
      </w:pPr>
      <w:r>
        <w:rPr>
          <w:rFonts w:hint="eastAsia" w:ascii="仿宋" w:hAnsi="仿宋" w:eastAsia="仿宋" w:cs="仿宋"/>
          <w:b/>
          <w:bCs w:val="0"/>
          <w:color w:val="auto"/>
          <w:sz w:val="36"/>
          <w:szCs w:val="36"/>
          <w:highlight w:val="none"/>
          <w:lang w:eastAsia="zh-CN"/>
        </w:rPr>
        <w:t xml:space="preserve">徐州市铜山区农业农村局（机关）</w:t>
      </w:r>
      <w:r/>
    </w:p>
    <w:p>
      <w:pPr>
        <w:jc w:val="center"/>
        <w:spacing w:line="520" w:lineRule="exact"/>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t xml:space="preserve">《</w:t>
      </w:r>
      <w:r>
        <w:rPr>
          <w:rFonts w:hint="eastAsia" w:ascii="仿宋" w:hAnsi="仿宋" w:eastAsia="仿宋" w:cs="仿宋"/>
          <w:b/>
          <w:bCs w:val="0"/>
          <w:color w:val="000000"/>
          <w:sz w:val="36"/>
          <w:szCs w:val="36"/>
          <w:lang w:eastAsia="zh-CN"/>
        </w:rPr>
        <w:t xml:space="preserve">铜山区农业微生物（食用菌）种质资源普查项目</w:t>
      </w:r>
      <w:r>
        <w:rPr>
          <w:rFonts w:hint="eastAsia" w:ascii="仿宋" w:hAnsi="仿宋" w:eastAsia="仿宋" w:cs="仿宋"/>
          <w:b/>
          <w:bCs w:val="0"/>
          <w:color w:val="auto"/>
          <w:sz w:val="36"/>
          <w:szCs w:val="36"/>
          <w:highlight w:val="none"/>
        </w:rPr>
        <w:t xml:space="preserve">》</w:t>
      </w:r>
      <w:r/>
    </w:p>
    <w:p>
      <w:pPr>
        <w:jc w:val="center"/>
        <w:spacing w:line="520" w:lineRule="exact"/>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t xml:space="preserve">招标文件</w:t>
      </w:r>
      <w:r/>
    </w:p>
    <w:p>
      <w:pP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05"/>
        <w:ind w:firstLine="2800"/>
        <w:spacing w:line="520" w:lineRule="exact"/>
        <w:rPr>
          <w:rFonts w:hint="eastAsia" w:ascii="仿宋" w:hAnsi="仿宋" w:eastAsia="仿宋" w:cs="仿宋"/>
          <w:color w:val="auto"/>
          <w:sz w:val="28"/>
          <w:szCs w:val="28"/>
          <w:highlight w:val="none"/>
        </w:rPr>
      </w:pPr>
      <w:r/>
      <w:bookmarkStart w:id="0" w:name="_Toc523404695"/>
      <w:r>
        <w:rPr>
          <w:rFonts w:hint="eastAsia" w:ascii="仿宋" w:hAnsi="仿宋" w:eastAsia="仿宋" w:cs="仿宋"/>
          <w:color w:val="auto"/>
          <w:sz w:val="28"/>
          <w:szCs w:val="28"/>
          <w:highlight w:val="none"/>
        </w:rPr>
        <w:t xml:space="preserve">第一章  投标邀请</w:t>
      </w:r>
      <w:bookmarkEnd w:id="0"/>
      <w:r/>
      <w:r/>
    </w:p>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江苏友信招标代理有限公司</w:t>
      </w:r>
      <w:r>
        <w:rPr>
          <w:rFonts w:hint="eastAsia" w:ascii="仿宋" w:hAnsi="仿宋" w:eastAsia="仿宋" w:cs="仿宋"/>
          <w:color w:val="auto"/>
          <w:sz w:val="28"/>
          <w:szCs w:val="28"/>
          <w:highlight w:val="none"/>
        </w:rPr>
        <w:t xml:space="preserve">对</w:t>
      </w:r>
      <w:r>
        <w:rPr>
          <w:rFonts w:hint="eastAsia" w:ascii="仿宋" w:hAnsi="仿宋" w:eastAsia="仿宋" w:cs="仿宋"/>
          <w:sz w:val="28"/>
          <w:szCs w:val="28"/>
          <w:lang w:eastAsia="zh-CN"/>
        </w:rPr>
        <w:t xml:space="preserve">徐州市铜山区农业农村局（机关）铜山区农业微生物（食用菌）种质资源普查项目</w:t>
      </w:r>
      <w:r>
        <w:rPr>
          <w:rFonts w:hint="eastAsia" w:ascii="仿宋" w:hAnsi="仿宋" w:eastAsia="仿宋" w:cs="仿宋"/>
          <w:color w:val="auto"/>
          <w:sz w:val="28"/>
          <w:szCs w:val="28"/>
          <w:highlight w:val="none"/>
        </w:rPr>
        <w:t xml:space="preserve">进行公开招标采购，现邀请符合相关条件的供应商投标。</w:t>
      </w:r>
      <w:r/>
    </w:p>
    <w:p>
      <w:pPr>
        <w:numPr>
          <w:ilvl w:val="0"/>
          <w:numId w:val="3"/>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项目名称和项目编号</w:t>
      </w:r>
      <w:r/>
    </w:p>
    <w:p>
      <w:pPr>
        <w:numPr>
          <w:ilvl w:val="0"/>
          <w:numId w:val="0"/>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(一)项目名称：</w:t>
      </w:r>
      <w:r>
        <w:rPr>
          <w:rFonts w:hint="eastAsia" w:ascii="仿宋" w:hAnsi="仿宋" w:eastAsia="仿宋" w:cs="仿宋"/>
          <w:sz w:val="28"/>
          <w:szCs w:val="28"/>
          <w:lang w:eastAsia="zh-CN"/>
        </w:rPr>
        <w:t xml:space="preserve">铜山区农业微生物（食用菌）种质资源普查项目</w:t>
      </w:r>
      <w:r/>
    </w:p>
    <w:p>
      <w:pP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(二)</w:t>
      </w:r>
      <w:r>
        <w:rPr>
          <w:rFonts w:hint="eastAsia" w:ascii="仿宋" w:hAnsi="仿宋" w:eastAsia="仿宋" w:cs="仿宋"/>
          <w:color w:val="auto"/>
          <w:sz w:val="28"/>
          <w:szCs w:val="28"/>
          <w:highlight w:val="none"/>
          <w:lang w:eastAsia="zh-CN"/>
        </w:rPr>
        <w:t xml:space="preserve">项目编号：JSZC-320312-YXYX-G2024-0010</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二、对投标人的资格要求</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详见本项目公开招标公告。</w:t>
      </w:r>
      <w:r/>
    </w:p>
    <w:p>
      <w:pPr>
        <w:numPr>
          <w:ilvl w:val="0"/>
          <w:numId w:val="4"/>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获取招标文件</w:t>
      </w:r>
      <w:r/>
    </w:p>
    <w:p>
      <w:pPr>
        <w:numPr>
          <w:ilvl w:val="0"/>
          <w:numId w:val="0"/>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（1）潜在供应商访问电子招标投标交易平台的网络地址和方法：</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③“CA数字证书”的获取：</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（2）采购代理机构将数据电文形式的招标文件加载至电子招标投标交易平台，供潜在供应商下载或者查阅。</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（3）苏采云系统使用谷歌浏览器参与不见面开标。</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（4）售价：免费。  </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四、投标有关信息</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（一）投标截止时间：202</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21</w:t>
      </w:r>
      <w:r>
        <w:rPr>
          <w:rFonts w:hint="eastAsia" w:ascii="仿宋" w:hAnsi="仿宋" w:eastAsia="仿宋" w:cs="仿宋"/>
          <w:color w:val="auto"/>
          <w:sz w:val="28"/>
          <w:szCs w:val="28"/>
          <w:highlight w:val="none"/>
        </w:rPr>
        <w:t xml:space="preserve">日北京时间</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w:t>
      </w:r>
      <w:r/>
    </w:p>
    <w:p>
      <w:pP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（二）开标时间：202</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21</w:t>
      </w:r>
      <w:r>
        <w:rPr>
          <w:rFonts w:hint="eastAsia" w:ascii="仿宋" w:hAnsi="仿宋" w:eastAsia="仿宋" w:cs="仿宋"/>
          <w:color w:val="auto"/>
          <w:sz w:val="28"/>
          <w:szCs w:val="28"/>
          <w:highlight w:val="none"/>
        </w:rPr>
        <w:t xml:space="preserve">日北京时间</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w:t>
      </w:r>
      <w:r>
        <w:rPr>
          <w:rFonts w:hint="eastAsia" w:ascii="仿宋" w:hAnsi="仿宋" w:eastAsia="仿宋" w:cs="仿宋"/>
          <w:color w:val="auto"/>
          <w:sz w:val="28"/>
          <w:szCs w:val="28"/>
          <w:highlight w:val="none"/>
          <w:lang w:eastAsia="zh-CN"/>
        </w:rPr>
        <w:t xml:space="preserve">。</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（三）开标地点：“苏采云”系统（网址： http://jszfcg.jsczt.cn/）“开标大厅”或进入徐州政府采购网（网址：http://czj.xz.gov.cn/Home/HomeIndex）-业务工作 -用户登录，点击“苏采云”进入系统“开标大厅”。 </w:t>
      </w:r>
      <w:r/>
    </w:p>
    <w:p>
      <w:pPr>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五、采购人</w:t>
      </w:r>
      <w:r/>
    </w:p>
    <w:p>
      <w:pPr>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highlight w:val="none"/>
        </w:rPr>
        <w:t xml:space="preserve">（一）名称：</w:t>
      </w:r>
      <w:r>
        <w:rPr>
          <w:rFonts w:hint="eastAsia" w:ascii="仿宋" w:hAnsi="仿宋" w:eastAsia="仿宋" w:cs="仿宋"/>
          <w:color w:val="auto"/>
          <w:sz w:val="28"/>
          <w:szCs w:val="28"/>
          <w:lang w:eastAsia="zh-CN"/>
        </w:rPr>
        <w:t xml:space="preserve">徐州市铜山区农业农村局（机关）</w:t>
      </w:r>
      <w:r/>
    </w:p>
    <w:p>
      <w:pPr>
        <w:spacing w:line="360" w:lineRule="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（二）地址：</w:t>
      </w:r>
      <w:r>
        <w:rPr>
          <w:rFonts w:hint="eastAsia" w:ascii="仿宋" w:hAnsi="仿宋" w:eastAsia="仿宋" w:cs="仿宋"/>
          <w:color w:val="auto"/>
          <w:sz w:val="28"/>
          <w:szCs w:val="28"/>
          <w:highlight w:val="none"/>
          <w:lang w:eastAsia="zh-CN"/>
        </w:rPr>
        <w:t xml:space="preserve">徐州市铜山区府西路</w:t>
      </w:r>
      <w:r>
        <w:rPr>
          <w:rFonts w:hint="eastAsia" w:ascii="仿宋" w:hAnsi="仿宋" w:eastAsia="仿宋" w:cs="仿宋"/>
          <w:color w:val="auto"/>
          <w:sz w:val="28"/>
          <w:szCs w:val="28"/>
          <w:highlight w:val="none"/>
          <w:lang w:val="en-US" w:eastAsia="zh-CN"/>
        </w:rPr>
        <w:t xml:space="preserve">6号</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（三）联系方法：</w:t>
      </w:r>
      <w:r>
        <w:rPr>
          <w:rFonts w:hint="eastAsia" w:ascii="仿宋" w:hAnsi="仿宋" w:eastAsia="仿宋" w:cs="仿宋"/>
          <w:color w:val="auto"/>
          <w:sz w:val="28"/>
          <w:szCs w:val="28"/>
          <w:highlight w:val="none"/>
          <w:lang w:val="en-US" w:eastAsia="zh-CN"/>
        </w:rPr>
        <w:t xml:space="preserve">0516-69683627</w:t>
      </w:r>
      <w:r/>
    </w:p>
    <w:p>
      <w:pPr>
        <w:spacing w:line="360" w:lineRule="auto"/>
        <w:rPr>
          <w:rFonts w:hint="default"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 xml:space="preserve">（四）采购项目联系人：</w:t>
      </w:r>
      <w:r>
        <w:rPr>
          <w:rFonts w:hint="eastAsia" w:ascii="仿宋" w:hAnsi="仿宋" w:eastAsia="仿宋" w:cs="仿宋"/>
          <w:color w:val="auto"/>
          <w:sz w:val="28"/>
          <w:szCs w:val="28"/>
          <w:highlight w:val="none"/>
          <w:lang w:eastAsia="zh-CN"/>
        </w:rPr>
        <w:t xml:space="preserve">周生明</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lang w:val="en-US" w:eastAsia="zh-CN"/>
        </w:rPr>
        <w:t xml:space="preserve">0516-69683627</w:t>
      </w:r>
      <w:r/>
    </w:p>
    <w:p>
      <w:pPr>
        <w:ind w:left="896" w:hanging="3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六、采购代理机构</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（一）名称：</w:t>
      </w:r>
      <w:r>
        <w:rPr>
          <w:rFonts w:hint="eastAsia" w:ascii="仿宋" w:hAnsi="仿宋" w:eastAsia="仿宋" w:cs="仿宋"/>
          <w:sz w:val="28"/>
          <w:szCs w:val="28"/>
          <w:lang w:eastAsia="zh-CN"/>
        </w:rPr>
        <w:t xml:space="preserve">江苏友信招标代理有限公司</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（二）地址：徐州市铜山区天赋广场10号公寓楼1210室</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（三）联系方式：0516-61211599</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（四）采购项目联系人：杨伯永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联系电话：0516-61211599</w:t>
      </w:r>
      <w:r/>
    </w:p>
    <w:p>
      <w:pPr>
        <w:ind w:firstLine="600"/>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0"/>
        <w:spacing w:line="400" w:lineRule="exact"/>
        <w:rPr>
          <w:rFonts w:hAnsi="宋体" w:eastAsia="宋体" w:cs="宋体"/>
        </w:rPr>
      </w:pPr>
      <w:r>
        <w:rPr>
          <w:rFonts w:ascii="宋体" w:hAnsi="宋体" w:eastAsia="宋体"/>
          <w:color w:val="auto"/>
          <w:highlight w:val="none"/>
        </w:rPr>
        <w:br w:type="page" w:clear="all"/>
      </w:r>
      <w:r/>
    </w:p>
    <w:p>
      <w:pPr>
        <w:pStyle w:val="805"/>
        <w:ind w:firstLine="2000"/>
        <w:rPr>
          <w:rFonts w:hint="eastAsia" w:ascii="仿宋" w:hAnsi="仿宋" w:eastAsia="仿宋" w:cs="仿宋"/>
          <w:color w:val="auto"/>
          <w:highlight w:val="none"/>
        </w:rPr>
      </w:pPr>
      <w:r>
        <w:rPr>
          <w:rFonts w:hint="eastAsia" w:ascii="仿宋" w:hAnsi="仿宋" w:eastAsia="仿宋" w:cs="仿宋"/>
          <w:color w:val="auto"/>
          <w:highlight w:val="none"/>
        </w:rPr>
        <w:t xml:space="preserve">第二章  投标人须知</w:t>
      </w:r>
      <w:r/>
    </w:p>
    <w:p>
      <w:pPr>
        <w:ind w:firstLine="600"/>
        <w:spacing w:line="3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一、总则</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（一）采购人。采购人即指依法进行政府采购的国家机关、事业单位和团体组织。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（二）政府招标采购方式。政府采购货物或服务（以下简称“货物服务”）的招标方式，分为公开招标和邀请招标。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（五）采购人委托采购代理机构代理招标的，采购代理机构必须在采购人委托的范围内依法开展采购活动。</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（六）投标人的资格条件：</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投标人是指响应招标、参加投标竞争的法人、其他组织或者自然人。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2.投标人授权代表系指法定代表人或受法人委托的受托人。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二、招标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（八）招标文件应包括以下内容：</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第一章，投标邀请；</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第二章，投标人须知；</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第三章，投标资料表；</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第四章，评标标准；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第五章，拟签订的合同文本；</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第六章，采购需求；</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第七章，投标文件相关格式。</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（九）招标文件澄清或者修改：</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2.现场考察以本文件第三章《投标资料表》中的要求为准。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3.开标前答疑会以本文件第三章《投标资料表》中的要求为准。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三、投标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（十）投标人应当按照招标文件的要求编制投标文件。投标文件应对招标文件提出的要求和条件作出实质性响应。</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（十二）投标文件的构成：</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1.投标文件的构成以本文件第三章《投标资料表》中的要求为准。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2.投标人应当提交的资格、资信证明文件，以本文件第三章《投标资料表》中的所提要求为准。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（十三）投标函和价格表、商务条件、交货和提供服务的时间：</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1.投标函和价格表的要求见本章（十二）、（十三），格式见本文件第七章《投标文件相关格式》中《投标函》和《开标一览表》。</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2.商务条件以本文件第三章《投标资料表》中的要求为准。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3.交货和提供服务的时间，以本文件第三章《投标资料表》中所提要求为准。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（十四）投标报价要求：</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1.投标人应按照招标文件的要求报出分项价格和总价。</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2.投标人应按照招标文件的要求进行报价，如投标人作出偏离，应在《偏离表》中列出。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3.采购人不支付报价以外的任何费用。</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5.投标人只能提交一个投标价格，投标人提交多个价格的投标文件，在资格性、符合性检查时按照无效投标处理。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（十五）投标货币。以本文件第三章《投标资料表》中所提要求为准。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（十六）投标有效期：</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1.投标有效期为开标之日后90天。采购人可以要求对投标有效期延长一次，但该延长期最长不得超过30天。</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（十七）投标文件的编制要求和签署要求</w:t>
      </w:r>
      <w:r/>
    </w:p>
    <w:p>
      <w:pPr>
        <w:ind w:firstLine="482"/>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（2）投标人应对 CA 证书妥善保管，如被他人盗用投标，因此带来的结果均由投标人自行承担。</w:t>
      </w:r>
      <w:r/>
    </w:p>
    <w:p>
      <w:pPr>
        <w:ind w:firstLine="482"/>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（3）投标人应当对招标文件提出的要求和条件作出实质性响应，并在电子投标系统逐条应答。</w:t>
      </w:r>
      <w:r/>
    </w:p>
    <w:p>
      <w:pPr>
        <w:ind w:firstLine="482"/>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（4）投标人应对要求提供的资格证明文件（如资质证书、资格证书）、技术资料（如白皮书、彩页、手册、检测报告等）扫描上传至投标系统。</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（十八）投标文件的盖章要求：</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投标文件的盖章要求，以本文件第三章《投标资料表》中所提要求为准。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（二十二）本项目不允许分包。</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（二十三）投标人应当遵循公平竞争的原则，不得恶意串通，不得妨碍其他投标人的竞争行为，不得损害采购人或者其他投标人的合法权益。</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在评标过程中发现投标人有上述情形的，评标委员会应当认定其投标无效，并书面报告本级财政部门。</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（二十四）有下列情形之一的，其投标无效。</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1.不同投标人的投标文件，由同一单位或者个人编制；</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2.不同投标人委托同一单位或者个人办理投标事宜；</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3.不同投标人的投标文件中，所载明的项目管理成员或联系人为同一人；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4.不同投标人的投标文件，异常一致或者投标报价呈规律性差异；</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5.不同投标人投标文件内容存在非正常一致、项目组成员出现同一人、投标文件中错误（或异常）一致或雷同、电子文档信息一致或雷同的、投标报价呈规律性差异的；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6.电子投标文件未按规定期限投标的；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7.电子投标文件未按招标文件要求签章的；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8.投标人未在规定时间内解密电子投标文件的；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9.投标文件未按招标文件规定的内容和要求填写的；没有在投标系统指定位置上传对应文件、材料的；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10.不具备招标文件中规定的资格要求的；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11.报价超过招标文件中规定的预算金额或者最高限价的；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12.投标文件含有采购人不能接受的附加条件的；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13.法律、法规和招标文件规定的其他无效情形。</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四、开标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（二十五）开标：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2.由电子招标投标交易平台主持，邀请投标人参加。</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3.所有投标单位使用 CA 证书在开标时间时，解密各自投标文件，由工作人员操作系统进行开标，投标人不足3家的，不得评标。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五、评标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（二十六）公开招标采购项目开标结束后，采购人依法对投标人的资格进行审查。合格投标人不足3家的，不得评标。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1.评标工作由采购代理机构负责组织，并履行下列职责：</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（2）宣布评标纪律；</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（3）公布投标人名单，告知评审专家应当回避的情形；</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（4）组织评标委员会推选评标组长（采购人代表不得担任组长）；</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（5）在评标期间采取必要的通讯管理措施，保证评标活动不受外界干扰；</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（6）根据评标委员会的要求介绍政府采购相关政策法规、招标文件；</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（8）核对评标结果，对有《</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"http://www.caigou2003.com/"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8"/>
          <w:szCs w:val="28"/>
          <w:highlight w:val="none"/>
        </w:rPr>
        <w:t xml:space="preserve">政府采购</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（9）评审工作完成后，按照规定向评审专家支付劳务报酬和异地评审差旅费，不得向评审专家以外的其他人员支付评审劳务报酬； </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（10）处理与评标有关的其他事项。</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2.评标委员会负责具体评标事务，并独立履行下列职责：</w:t>
      </w:r>
      <w:r/>
    </w:p>
    <w:p>
      <w:pPr>
        <w:ind w:firstLine="45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（1）审查、评价投标文件是否符合招标文件的商务、技术等实质性要求；</w:t>
      </w:r>
      <w:r/>
    </w:p>
    <w:p>
      <w:pPr>
        <w:ind w:firstLine="45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（2）要求投标人对投标文件有关事项作出澄清或者说明；</w:t>
      </w:r>
      <w:r/>
    </w:p>
    <w:p>
      <w:pPr>
        <w:ind w:firstLine="45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（3）对投标文件进行比较和评价；</w:t>
      </w:r>
      <w:r/>
    </w:p>
    <w:p>
      <w:pPr>
        <w:ind w:firstLine="45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（4）确定中标候选人名单，以及根据采购人委托直接确定中标人；</w:t>
      </w:r>
      <w:r/>
    </w:p>
    <w:p>
      <w:pPr>
        <w:ind w:firstLine="45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（5）向采购人、采购代理机构或有关部门报告评标中发现的违法行为。</w:t>
      </w:r>
      <w:r/>
    </w:p>
    <w:p>
      <w:pPr>
        <w:ind w:firstLine="45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（二十七）评标方法分为最低评标价法和综合评分法。</w:t>
      </w:r>
      <w:r/>
    </w:p>
    <w:p>
      <w:pPr>
        <w:ind w:firstLine="45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（二十八）评标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1.评标工作程序：</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（1）投标文件初审。</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①资格性审查。</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②符合性审查。</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（2）澄清有关问题。</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（3）比较与评价。</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（4）推荐中标候选供应商名单。</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（5）编写评审报告（评标报告）。</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3.采用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"http://lilun.caigou2003.com/recijiedu/2365668.html"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8"/>
          <w:szCs w:val="28"/>
          <w:highlight w:val="none"/>
        </w:rPr>
        <w:t xml:space="preserve">最低评标价法</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"http://lilun.caigou2003.com/recijiedu/2365667.html"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8"/>
          <w:szCs w:val="28"/>
          <w:highlight w:val="none"/>
        </w:rPr>
        <w:t xml:space="preserve">综合评分法</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非单一产品采购项目，多家投标人提供的核心产品品牌相同的，按前两款规定处理。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（二十九）投标文件报价出现前后不一致的，按照下列规定修正：</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1.投标文件中开标一览表（报价表）内容与投标文件中相应内容不一致的，以开标一览表（报价表）为准；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2.大写金额和小写金额不一致的，以大写金额为准；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3.单价金额小数点或者百分比有明显错位的，以开标一览表的总价为准，并修改单价；</w:t>
      </w:r>
      <w:r/>
    </w:p>
    <w:p>
      <w:pPr>
        <w:ind w:firstLine="60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4.总价金额与按单价合计金额不一致的，以单价金额计算结果为准。</w:t>
      </w:r>
      <w:r/>
    </w:p>
    <w:p>
      <w:pPr>
        <w:ind w:firstLine="60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20" w:lineRule="exact"/>
        <w:rPr>
          <w:rFonts w:hint="eastAsia" w:ascii="仿宋" w:hAnsi="仿宋" w:eastAsia="仿宋" w:cs="仿宋"/>
          <w:i/>
          <w:color w:val="auto"/>
          <w:sz w:val="28"/>
          <w:szCs w:val="28"/>
          <w:highlight w:val="none"/>
        </w:rPr>
      </w:pPr>
      <w:r>
        <w:rPr>
          <w:rFonts w:hint="eastAsia" w:ascii="仿宋" w:hAnsi="仿宋" w:eastAsia="仿宋" w:cs="仿宋"/>
          <w:color w:val="auto"/>
          <w:sz w:val="28"/>
          <w:szCs w:val="28"/>
          <w:highlight w:val="none"/>
        </w:rPr>
        <w:t xml:space="preserve">评标中需要投标人对投标文件澄清或者说明的，应当通过“苏采云”系统交换数据电文。在评标期间，请投标人保持在线。</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（三十二）废标条款：</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出现下列情形之一的，应予废标。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1.符合专业条件的供应商或者对招标文件作实质响应的供应商不足三家的；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2.出现影响采购公正的违法、违规行为的；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3.投标人的报价均超过了采购预算，采购人不能支付的；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4.因重大变故，采购任务取消的。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六、定标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（三十三）采购代理机构应当在评标结束后2个工作日内将评标报告送采购人。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七、政府采购合同</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（三十六）签订政府采购合同（合同签订方式）：</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采购人不得向中标人提出任何不合理的要求作为签订合同的条件。</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（三十七）采购人与中标人应当根据合同的约定依法履行合同义务。政府采购合同的履行、违约责任和解决争议的方法等，按《中华人民共和国合同法》相关条款执行。</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（三十八）履约保证金：</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要求详见《第三章  投标资料表》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（三十九）腐败和欺诈行为：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1.采购代理机构、采购人、投标人等参与招投标的各方，均应在招标、采购、合同执行等过程中保持廉洁和最高的道德水准。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（1）腐败和欺诈行为的含义：</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（2）如果被推荐的中标人有腐败和欺诈行为，将取消其中标资格。</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八、询问和质疑</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（四十）询问和质疑</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spacing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九、电子招标投标交易平台</w:t>
      </w:r>
      <w:r/>
    </w:p>
    <w:p>
      <w:pPr>
        <w:ind w:firstLine="600"/>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28"/>
          <w:szCs w:val="28"/>
          <w:highlight w:val="none"/>
        </w:rPr>
        <w:t xml:space="preserve">（四十一）电子招标投标交易平台（即“苏采云”系统，网址：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 \o "http://jszfcg.jsczt.cn/"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8"/>
          <w:szCs w:val="28"/>
          <w:highlight w:val="none"/>
        </w:rPr>
        <w:t xml:space="preserve">http://jszfcg.jsczt.cn/</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）相关要求是本招标文件的组成部分。</w:t>
      </w:r>
      <w:r/>
    </w:p>
    <w:p>
      <w:pPr>
        <w:pStyle w:val="837"/>
        <w:ind w:firstLine="480"/>
        <w:jc w:val="left"/>
        <w:keepLines w:val="0"/>
        <w:keepNext w:val="0"/>
        <w:pageBreakBefore w:val="0"/>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837"/>
        <w:ind w:firstLine="600"/>
        <w:jc w:val="left"/>
        <w:keepLines w:val="0"/>
        <w:keepNext w:val="0"/>
        <w:pageBreakBefore w:val="0"/>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r>
      <w:r/>
    </w:p>
    <w:p>
      <w:pPr>
        <w:pStyle w:val="1124"/>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37"/>
        <w:jc w:val="cente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第三章  投标资料表</w:t>
      </w:r>
      <w:r/>
    </w:p>
    <w:p>
      <w:pPr>
        <w:pStyle w:val="1057"/>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该资料表的条款项号是与《投标人须知》中条款项号对应的，或增加的条款，是对《投标人须知》的补充、修改和完善，如果有矛盾的话，应以本资料表为准。</w:t>
      </w:r>
      <w:r/>
    </w:p>
    <w:p>
      <w:pPr>
        <w:pStyle w:val="837"/>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Style w:val="815"/>
        <w:tblW w:w="9510" w:type="dxa"/>
        <w:tblInd w:w="10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15"/>
        <w:gridCol w:w="7995"/>
      </w:tblGrid>
      <w:tr>
        <w:trPr/>
        <w:tc>
          <w:tcPr>
            <w:tcW w:w="1515" w:type="dxa"/>
            <w:vAlign w:val="top"/>
            <w:textDirection w:val="lrTb"/>
            <w:noWrap w:val="false"/>
          </w:tcPr>
          <w:p>
            <w:pPr>
              <w:jc w:val="center"/>
              <w:spacing w:line="40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条款项号</w:t>
            </w:r>
            <w:r/>
          </w:p>
        </w:tc>
        <w:tc>
          <w:tcPr>
            <w:tcW w:w="7995" w:type="dxa"/>
            <w:vAlign w:val="top"/>
            <w:textDirection w:val="lrTb"/>
            <w:noWrap w:val="false"/>
          </w:tcPr>
          <w:p>
            <w:pPr>
              <w:jc w:val="center"/>
              <w:spacing w:line="40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内    容</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总则</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w:t>
            </w:r>
            <w:r/>
          </w:p>
        </w:tc>
        <w:tc>
          <w:tcPr>
            <w:tcW w:w="7995" w:type="dxa"/>
            <w:vAlign w:val="top"/>
            <w:textDirection w:val="lrTb"/>
            <w:noWrap w:val="false"/>
          </w:tcPr>
          <w:p>
            <w:pPr>
              <w:spacing w:line="40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本项目采购人：</w:t>
            </w:r>
            <w:r>
              <w:rPr>
                <w:rFonts w:hint="eastAsia" w:ascii="仿宋" w:hAnsi="仿宋" w:eastAsia="仿宋" w:cs="仿宋"/>
                <w:color w:val="auto"/>
                <w:sz w:val="28"/>
                <w:szCs w:val="28"/>
                <w:lang w:eastAsia="zh-CN"/>
              </w:rPr>
              <w:t xml:space="preserve">徐州市铜山区农业农村局（机关）</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本次采购采用的政府采购方式：公开招标。</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(四)</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采购人确定的采购项目属性：服务</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(五)</w:t>
            </w:r>
            <w:r/>
          </w:p>
        </w:tc>
        <w:tc>
          <w:tcPr>
            <w:tcW w:w="7995" w:type="dxa"/>
            <w:vAlign w:val="top"/>
            <w:textDirection w:val="lrTb"/>
            <w:noWrap w:val="false"/>
          </w:tcPr>
          <w:p>
            <w:pPr>
              <w:spacing w:line="40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本项目采购代理机构：</w:t>
            </w:r>
            <w:r>
              <w:rPr>
                <w:rFonts w:hint="eastAsia" w:ascii="仿宋" w:hAnsi="仿宋" w:eastAsia="仿宋" w:cs="仿宋"/>
                <w:color w:val="auto"/>
                <w:sz w:val="28"/>
                <w:szCs w:val="28"/>
                <w:lang w:eastAsia="zh-CN"/>
              </w:rPr>
              <w:t xml:space="preserve">江苏友信招标代理有限公司</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(六)</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投标人的资格条件：</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1.符合《中华人民共和国政府采购法》第二十二条的规定；</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b/>
                <w:color w:val="auto"/>
                <w:sz w:val="28"/>
                <w:szCs w:val="28"/>
              </w:rPr>
              <w:t xml:space="preserve">此项目属于专门面向中小微企业采购的项目，提供的服务全部由符合政策要求的中小企业承接，供应商应为中小微企业、监狱企业、残疾人福利性单位。</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同时明确相关事项如下：</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一、本项目不接受联合体参与采购活动。</w:t>
            </w:r>
            <w:r/>
          </w:p>
          <w:p>
            <w:pPr>
              <w:ind w:left="560" w:hanging="56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三、为本采购项目提供整体设计、规范编制或者项目管理、监理、检测等服务的供应商，不得再参加本采购项目的采购活动。</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四、查询及使用供应商信用记录：</w:t>
            </w:r>
            <w:r/>
          </w:p>
          <w:p>
            <w:pPr>
              <w:ind w:firstLine="42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(一)由采购人查询信用信息。</w:t>
            </w:r>
            <w:r/>
          </w:p>
          <w:p>
            <w:pPr>
              <w:ind w:firstLine="42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(二)查询渠道包括：</w:t>
            </w:r>
            <w:r/>
          </w:p>
          <w:p>
            <w:pPr>
              <w:ind w:firstLine="70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1.“信用中国”网（</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"http://www.creditchina.gov.cn/"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www.creditchina.gov.cn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70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2.中国政府采购网（</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"http://www.ccgp.gov.cn/"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www.ccgp.gov.cn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70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3.“信用江苏”网（www.jscredit.gov.cn）；</w:t>
            </w:r>
            <w:r/>
          </w:p>
          <w:p>
            <w:pPr>
              <w:ind w:firstLine="70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4.“信用中国（江苏徐州）”网</w:t>
            </w:r>
            <w:r/>
          </w:p>
          <w:p>
            <w:pPr>
              <w:ind w:firstLine="70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"http://www.xuzhoucredit.gov.cn/"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http://www.xuzhoucredit.gov.cn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(三)截止时点（查询环节）：资格性审查前。</w:t>
            </w:r>
            <w:r/>
          </w:p>
          <w:p>
            <w:pPr>
              <w:ind w:left="980" w:hanging="56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(四)信用信息查询记录和证据留存的具体方式：网页截屏打印，与其他采购文件一并保存。</w:t>
            </w:r>
            <w:r/>
          </w:p>
          <w:p>
            <w:pPr>
              <w:ind w:firstLine="42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(五)信用信息的使用规则：</w:t>
            </w:r>
            <w:r/>
          </w:p>
          <w:p>
            <w:pPr>
              <w:ind w:left="899"/>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(七)</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招标代理服务费由中标人支付，标准见《招标代理服务收费标准》（见附件）。</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(九)1</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(九)2</w:t>
            </w:r>
            <w:r/>
          </w:p>
        </w:tc>
        <w:tc>
          <w:tcPr>
            <w:tcW w:w="7995" w:type="dxa"/>
            <w:vAlign w:val="top"/>
            <w:textDirection w:val="lrTb"/>
            <w:noWrap w:val="false"/>
          </w:tcPr>
          <w:p>
            <w:pPr>
              <w:spacing w:line="400" w:lineRule="exact"/>
              <w:tabs>
                <w:tab w:val="left" w:pos="5760" w:leader="none"/>
              </w:tabs>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不</w:t>
            </w:r>
            <w:r>
              <w:rPr>
                <w:rFonts w:hint="eastAsia" w:ascii="仿宋" w:hAnsi="仿宋" w:eastAsia="仿宋" w:cs="仿宋"/>
                <w:color w:val="auto"/>
                <w:sz w:val="28"/>
                <w:szCs w:val="28"/>
              </w:rPr>
              <w:t xml:space="preserve">安排现场考察。</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(九)3</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不安排开标前答疑会。</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三</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w:t>
            </w:r>
            <w:r/>
          </w:p>
        </w:tc>
      </w:tr>
      <w:tr>
        <w:trPr>
          <w:trHeight w:val="510"/>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(十一)</w:t>
            </w:r>
            <w:r/>
          </w:p>
        </w:tc>
        <w:tc>
          <w:tcPr>
            <w:tcW w:w="7995" w:type="dxa"/>
            <w:vAlign w:val="top"/>
            <w:textDirection w:val="lrTb"/>
            <w:noWrap w:val="false"/>
          </w:tcPr>
          <w:p>
            <w:pPr>
              <w:spacing w:line="400" w:lineRule="exact"/>
              <w:tabs>
                <w:tab w:val="left" w:pos="576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投标文件的语言为中文</w:t>
            </w:r>
            <w:r/>
          </w:p>
        </w:tc>
      </w:tr>
      <w:tr>
        <w:trPr>
          <w:trHeight w:val="90"/>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(十二)1</w:t>
            </w:r>
            <w:r/>
          </w:p>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(十二)2</w:t>
            </w:r>
            <w:r/>
          </w:p>
        </w:tc>
        <w:tc>
          <w:tcPr>
            <w:tcW w:w="7995" w:type="dxa"/>
            <w:vAlign w:val="top"/>
            <w:textDirection w:val="lrTb"/>
            <w:noWrap w:val="false"/>
          </w:tcPr>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线上投标文件编制要求：</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请按照以下要求（包括但不限于以下要求）制作：</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一、基本目录</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1.《开标一览表》（加盖电子签章）；</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2.《授权委托书》（提供原件的扫描件，格式见招标文件第七章《投标文件相关格式》）；</w:t>
            </w:r>
            <w:r/>
          </w:p>
          <w:p>
            <w:pPr>
              <w:spacing w:line="240" w:lineRule="auto"/>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二、资格条件（必须提供，否则投标无效）</w:t>
            </w:r>
            <w:r/>
          </w:p>
          <w:p>
            <w:pPr>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投标人合法有效的营业执照扫描件</w:t>
            </w:r>
            <w:r>
              <w:rPr>
                <w:rFonts w:hint="eastAsia" w:ascii="仿宋" w:hAnsi="仿宋" w:eastAsia="仿宋" w:cs="仿宋"/>
                <w:sz w:val="28"/>
                <w:szCs w:val="28"/>
                <w:lang w:eastAsia="zh-CN"/>
              </w:rPr>
              <w:t xml:space="preserve">；</w:t>
            </w:r>
            <w:r/>
          </w:p>
          <w:p>
            <w:pPr>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财务状况报告（即提供投标人的本项目开标时间前6个月内任何时间的资产负债表、利润表扫描件各一份</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或提供投标人</w:t>
            </w:r>
            <w:r>
              <w:rPr>
                <w:rFonts w:hint="eastAsia" w:ascii="仿宋" w:hAnsi="仿宋" w:eastAsia="仿宋" w:cs="仿宋"/>
                <w:sz w:val="28"/>
                <w:szCs w:val="28"/>
                <w:lang w:val="en-US" w:eastAsia="zh-CN"/>
              </w:rPr>
              <w:t xml:space="preserve">2022年度（或2023</w:t>
            </w:r>
            <w:r>
              <w:rPr>
                <w:rFonts w:hint="eastAsia" w:ascii="仿宋" w:hAnsi="仿宋" w:eastAsia="仿宋" w:cs="仿宋"/>
                <w:sz w:val="28"/>
                <w:szCs w:val="28"/>
              </w:rPr>
              <w:t xml:space="preserve">年度</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经审计的财务报告扫描件一份</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或投标人的本项目开标时间前6个月内银行出具的资信证明扫描件一份）；</w:t>
            </w:r>
            <w:r/>
          </w:p>
          <w:p>
            <w:pPr>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p>
          <w:p>
            <w:pPr>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、具备履行合同所必需的设备和专业技术能力的证明材料扫描件；格式见本文件第七章《投标文件相关格式》。</w:t>
            </w:r>
            <w:r/>
          </w:p>
          <w:p>
            <w:pPr>
              <w:rPr>
                <w:rFonts w:hint="eastAsia" w:ascii="仿宋" w:hAnsi="仿宋" w:eastAsia="仿宋" w:cs="仿宋"/>
                <w:sz w:val="28"/>
                <w:szCs w:val="28"/>
              </w:rPr>
            </w:pPr>
            <w:r>
              <w:rPr>
                <w:rFonts w:hint="eastAsia" w:ascii="仿宋" w:hAnsi="仿宋" w:eastAsia="仿宋" w:cs="仿宋"/>
                <w:sz w:val="28"/>
                <w:szCs w:val="28"/>
              </w:rPr>
              <w:t xml:space="preserve">5、投标人参加政府采购活动前3年内在经营活动中没有重大违法记录的书面声明，加盖电子签章，格式见本文件第七章《投标文件相关格式》。</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提供的服务全部由符合政策要求的中小企业承接，提供《中小企业声明函》（加盖电子签章，填写完整。格式见招标文件第七章《投标文件相关格式》）</w:t>
            </w:r>
            <w:r>
              <w:rPr>
                <w:rFonts w:hint="eastAsia" w:ascii="仿宋" w:hAnsi="仿宋" w:eastAsia="仿宋" w:cs="仿宋"/>
                <w:b/>
                <w:bCs/>
                <w:color w:val="auto"/>
                <w:sz w:val="28"/>
                <w:szCs w:val="28"/>
              </w:rPr>
              <w:t xml:space="preserve">（必须提供）</w:t>
            </w:r>
            <w:r>
              <w:rPr>
                <w:rFonts w:hint="eastAsia" w:ascii="仿宋" w:hAnsi="仿宋" w:eastAsia="仿宋" w:cs="仿宋"/>
                <w:color w:val="auto"/>
                <w:sz w:val="28"/>
                <w:szCs w:val="28"/>
              </w:rPr>
              <w:t xml:space="preserve">。</w:t>
            </w:r>
            <w:r>
              <w:rPr>
                <w:rFonts w:hint="eastAsia" w:ascii="仿宋" w:hAnsi="仿宋" w:eastAsia="仿宋" w:cs="仿宋"/>
                <w:b/>
                <w:color w:val="auto"/>
                <w:sz w:val="28"/>
                <w:szCs w:val="28"/>
              </w:rPr>
              <w:t xml:space="preserve">《中小企业声明函》查询渠道参考工业和信息化部发布的中小企业规模自测小程序。</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注：具体以《政府采购促进中小企业发展管理办法》（财库[2020]46号）和《关于印发中小企业划型标准规定的通知》（工信部联企业[2011]300号）的规定为准。</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注：监狱企业和残疾人福利性单位等同于小微企业。</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    投标人为监狱企业的，提供省级以上监狱管理局、戒毒管理局（含新疆生产建设兵团）出具的属于监狱企业的证明文件原件的扫描件。</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具体以《财政部 司法部关于政府采购支持监狱企业发展有关问题的通知》（财库〔2014〕68号）的规定为准。</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    投标人为享受政府采购支持政策的残疾人福利性单位的，提供《残疾人福利性单位声明函》（加盖电子签章，格式见招标文件第七章《投标文件相关格式》）。</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享受政府采购支持政策的残疾人福利性单位应当同时满足以下条件：</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①安置的残疾人占本单位在职职工人数的比例不低于25%（含25%），并且安置的残疾人人数不少于10人（含10人）；</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②依法与安置的每位残疾人签订了一年以上（含一年）的劳动合同或服务协议；</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③为安置的每位残疾人按月足额缴纳了基本养老保险、基本医疗保险、失业保险、工伤保险和生育保险等社会保险费；</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④通过银行等金融机构向安置的每位残疾人，按月支付了不低于单位所在区县适用的经省级人民政府批准的月最低工资标准的工资；</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⑤提供本单位制造的货物、承担的工程或者服务（以下简称产品），或者提供其他残疾人福利性单位制造的货物（不包括使用非残疾人福利性单位注册商标的货物）。</w:t>
            </w:r>
            <w:r/>
          </w:p>
          <w:p>
            <w:pPr>
              <w:ind w:firstLine="560"/>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具体以《三部门联合发布关于促进残疾人就业政府采购政策的通知》（财库〔2017〕141号）规定为准。</w:t>
            </w:r>
            <w:r/>
          </w:p>
          <w:p>
            <w:pPr>
              <w:spacing w:line="240" w:lineRule="auto"/>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三、符合条件（必须提供，否则投标无效）</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(一)报价</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1.《分项价格表》（加盖电子签章，格式见招标文件第七章《投标文件相关格式》。）；</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（二）商务资信</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《投标函》（加盖电子签章，格式见招标文件第七章《投标文件相关格式》）；</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（三）技术响应</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1.《偏离表》（加盖电子签章，格式见招标文件第七章《投标文件相关格式》）。</w:t>
            </w:r>
            <w:r/>
          </w:p>
          <w:p>
            <w:pPr>
              <w:spacing w:line="240" w:lineRule="auto"/>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四、综合评审评分项</w:t>
            </w:r>
            <w:r/>
          </w:p>
          <w:p>
            <w:pPr>
              <w:pStyle w:val="853"/>
              <w:spacing w:line="240" w:lineRule="auto"/>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lang w:val="en-US" w:eastAsia="zh-CN"/>
              </w:rPr>
              <w:t xml:space="preserve">一</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技术部分</w:t>
            </w:r>
            <w:r/>
          </w:p>
          <w:p>
            <w:pPr>
              <w:pStyle w:val="1104"/>
              <w:jc w:val="both"/>
              <w:spacing w:line="240" w:lineRule="auto"/>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rPr>
              <w:t xml:space="preserve">1、</w:t>
            </w:r>
            <w:r>
              <w:rPr>
                <w:rFonts w:hint="eastAsia" w:ascii="仿宋" w:hAnsi="仿宋" w:eastAsia="仿宋" w:cs="仿宋"/>
                <w:b w:val="0"/>
                <w:bCs/>
                <w:color w:val="auto"/>
                <w:sz w:val="28"/>
                <w:szCs w:val="28"/>
                <w:lang w:eastAsia="zh-CN"/>
              </w:rPr>
              <w:t xml:space="preserve">人员配备</w:t>
            </w:r>
            <w:r/>
          </w:p>
          <w:p>
            <w:pPr>
              <w:rPr>
                <w:rFonts w:hint="default" w:eastAsia="仿宋"/>
                <w:color w:val="auto"/>
                <w:lang w:val="en-US" w:eastAsia="zh-CN"/>
              </w:rPr>
            </w:pPr>
            <w:r>
              <w:rPr>
                <w:rFonts w:hint="eastAsia" w:ascii="仿宋" w:hAnsi="仿宋" w:eastAsia="仿宋" w:cs="仿宋"/>
                <w:b w:val="0"/>
                <w:bCs/>
                <w:color w:val="auto"/>
                <w:sz w:val="28"/>
                <w:szCs w:val="28"/>
                <w:lang w:val="en-US" w:eastAsia="zh-CN" w:bidi="ar-SA"/>
              </w:rPr>
              <w:t xml:space="preserve">2、服务方案</w:t>
            </w:r>
            <w:r/>
          </w:p>
          <w:p>
            <w:pPr>
              <w:jc w:val="both"/>
              <w:spacing w:line="240" w:lineRule="auto"/>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val="en-US" w:eastAsia="zh-CN"/>
              </w:rPr>
              <w:t xml:space="preserve">3、服务保障措施</w:t>
            </w:r>
            <w:r/>
          </w:p>
          <w:p>
            <w:pPr>
              <w:rPr>
                <w:rFonts w:hint="eastAsia" w:ascii="仿宋" w:hAnsi="仿宋" w:eastAsia="仿宋" w:cs="仿宋"/>
                <w:color w:val="auto"/>
                <w:sz w:val="28"/>
                <w:szCs w:val="28"/>
              </w:rPr>
            </w:pPr>
            <w:r>
              <w:rPr>
                <w:rFonts w:hint="eastAsia" w:ascii="仿宋" w:hAnsi="仿宋" w:eastAsia="仿宋" w:cs="仿宋"/>
                <w:b w:val="0"/>
                <w:bCs/>
                <w:color w:val="auto"/>
                <w:sz w:val="28"/>
                <w:szCs w:val="28"/>
                <w:lang w:val="en-US" w:eastAsia="zh-CN"/>
              </w:rPr>
              <w:t xml:space="preserve">4、安全保障措施</w:t>
            </w:r>
            <w:r/>
          </w:p>
          <w:p>
            <w:pP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5、保密措施</w:t>
            </w:r>
            <w:r/>
          </w:p>
          <w:p>
            <w:pPr>
              <w:pStyle w:val="816"/>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6、合理化建议</w:t>
            </w:r>
            <w:r/>
          </w:p>
          <w:p>
            <w:pP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7、技术培训</w:t>
            </w:r>
            <w:r/>
          </w:p>
          <w:p>
            <w:pPr>
              <w:pStyle w:val="816"/>
              <w:rPr>
                <w:rFonts w:hint="default"/>
                <w:color w:val="auto"/>
                <w:lang w:val="en-US" w:eastAsia="zh-CN"/>
              </w:rPr>
            </w:pPr>
            <w:r>
              <w:rPr>
                <w:rFonts w:hint="eastAsia" w:ascii="仿宋" w:hAnsi="仿宋" w:eastAsia="仿宋" w:cs="仿宋"/>
                <w:color w:val="auto"/>
                <w:sz w:val="28"/>
                <w:szCs w:val="28"/>
                <w:lang w:val="en-US" w:eastAsia="zh-CN"/>
              </w:rPr>
              <w:t xml:space="preserve">8、应急预案</w:t>
            </w:r>
            <w:r/>
          </w:p>
          <w:p>
            <w:pPr>
              <w:spacing w:line="240" w:lineRule="auto"/>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lang w:val="en-US" w:eastAsia="zh-CN"/>
              </w:rPr>
              <w:t xml:space="preserve">二</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商务部分</w:t>
            </w:r>
            <w:r/>
          </w:p>
          <w:p>
            <w:pPr>
              <w:pStyle w:val="1104"/>
              <w:jc w:val="both"/>
              <w:spacing w:line="240" w:lineRule="auto"/>
              <w:rPr>
                <w:rFonts w:hint="default" w:eastAsia="仿宋"/>
                <w:color w:val="auto"/>
                <w:lang w:val="en-US" w:eastAsia="zh-CN"/>
              </w:rPr>
            </w:pPr>
            <w:r>
              <w:rPr>
                <w:rFonts w:hint="eastAsia" w:ascii="仿宋" w:hAnsi="仿宋" w:eastAsia="仿宋" w:cs="仿宋"/>
                <w:color w:val="auto"/>
                <w:sz w:val="28"/>
                <w:szCs w:val="28"/>
                <w:lang w:val="en-US" w:eastAsia="zh-CN"/>
              </w:rPr>
              <w:t xml:space="preserve">1.供应商业绩</w:t>
            </w:r>
            <w:r/>
          </w:p>
          <w:p>
            <w:pPr>
              <w:spacing w:line="240" w:lineRule="auto"/>
              <w:widowControl/>
              <w:rPr>
                <w:rFonts w:hint="eastAsia" w:ascii="仿宋" w:hAnsi="仿宋" w:eastAsia="仿宋" w:cs="仿宋"/>
                <w:b/>
                <w:bCs/>
                <w:color w:val="auto"/>
                <w:sz w:val="28"/>
                <w:szCs w:val="28"/>
              </w:rPr>
            </w:pPr>
            <w:r>
              <w:rPr>
                <w:rFonts w:hint="eastAsia" w:ascii="仿宋" w:hAnsi="仿宋" w:eastAsia="仿宋" w:cs="仿宋"/>
                <w:color w:val="auto"/>
                <w:sz w:val="28"/>
                <w:szCs w:val="28"/>
                <w:lang w:eastAsia="zh-CN"/>
              </w:rPr>
              <w:t xml:space="preserve">（三）</w:t>
            </w:r>
            <w:r>
              <w:rPr>
                <w:rFonts w:hint="eastAsia" w:ascii="仿宋" w:hAnsi="仿宋" w:eastAsia="仿宋" w:cs="仿宋"/>
                <w:color w:val="auto"/>
                <w:sz w:val="28"/>
                <w:szCs w:val="28"/>
              </w:rPr>
              <w:t xml:space="preserve">、价格折扣文件格</w:t>
            </w:r>
            <w:r>
              <w:rPr>
                <w:rFonts w:hint="eastAsia" w:ascii="仿宋" w:hAnsi="仿宋" w:eastAsia="仿宋" w:cs="仿宋"/>
                <w:color w:val="auto"/>
                <w:sz w:val="28"/>
                <w:szCs w:val="28"/>
                <w:lang w:eastAsia="zh-CN"/>
              </w:rPr>
              <w:t xml:space="preserve">式：</w:t>
            </w:r>
            <w:r>
              <w:rPr>
                <w:rFonts w:hint="eastAsia" w:ascii="仿宋" w:hAnsi="仿宋" w:eastAsia="仿宋" w:cs="仿宋"/>
                <w:b w:val="0"/>
                <w:bCs w:val="0"/>
                <w:color w:val="auto"/>
                <w:sz w:val="28"/>
                <w:szCs w:val="28"/>
              </w:rPr>
              <w:t xml:space="preserve">无。</w:t>
            </w:r>
            <w:r/>
          </w:p>
          <w:p>
            <w:pPr>
              <w:spacing w:line="240" w:lineRule="auto"/>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注</w:t>
            </w:r>
            <w:r>
              <w:rPr>
                <w:rFonts w:hint="eastAsia" w:ascii="仿宋" w:hAnsi="仿宋" w:eastAsia="仿宋" w:cs="仿宋"/>
                <w:bCs/>
                <w:color w:val="auto"/>
                <w:sz w:val="28"/>
                <w:szCs w:val="28"/>
              </w:rPr>
              <w:t xml:space="preserve">：</w:t>
            </w:r>
            <w:r/>
          </w:p>
          <w:p>
            <w:pPr>
              <w:ind w:firstLine="551"/>
              <w:spacing w:line="24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1.投标人应对以上文件的合法性、真实性负责。</w:t>
            </w:r>
            <w:r/>
          </w:p>
          <w:p>
            <w:pPr>
              <w:ind w:left="832" w:hanging="280"/>
              <w:spacing w:line="24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(十三)2</w:t>
            </w:r>
            <w:r/>
          </w:p>
        </w:tc>
        <w:tc>
          <w:tcPr>
            <w:tcW w:w="7995" w:type="dxa"/>
            <w:vAlign w:val="top"/>
            <w:textDirection w:val="lrTb"/>
            <w:noWrap w:val="false"/>
          </w:tcPr>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商务条件见：</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一、本文件第四章《评标标准》中《评分细则》。</w:t>
            </w:r>
            <w:r/>
          </w:p>
          <w:p>
            <w:pPr>
              <w:spacing w:line="40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二、本文件第三章《投标资料表》中(十二)1和(十二)2。</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(十三)3</w:t>
            </w:r>
            <w:r/>
          </w:p>
        </w:tc>
        <w:tc>
          <w:tcPr>
            <w:tcW w:w="7995" w:type="dxa"/>
            <w:vAlign w:val="top"/>
            <w:textDirection w:val="lrTb"/>
            <w:noWrap w:val="false"/>
          </w:tcPr>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交货和提供服务的时间：见本文件第五章 《拟签订的合同文本》及或本文件第六章《采购需求》。</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(十四)3</w:t>
            </w:r>
            <w:r/>
          </w:p>
        </w:tc>
        <w:tc>
          <w:tcPr>
            <w:tcW w:w="7995" w:type="dxa"/>
            <w:vAlign w:val="top"/>
            <w:textDirection w:val="lrTb"/>
            <w:noWrap w:val="false"/>
          </w:tcPr>
          <w:p>
            <w:pPr>
              <w:pStyle w:val="853"/>
              <w:spacing w:line="400" w:lineRule="exact"/>
              <w:rPr>
                <w:rFonts w:hint="eastAsia" w:ascii="仿宋" w:hAnsi="仿宋" w:eastAsia="仿宋" w:cs="仿宋"/>
                <w:color w:val="auto"/>
                <w:sz w:val="28"/>
                <w:szCs w:val="28"/>
              </w:rPr>
            </w:pPr>
            <w:r>
              <w:rPr>
                <w:rFonts w:hint="eastAsia" w:ascii="仿宋" w:hAnsi="仿宋" w:eastAsia="仿宋" w:cs="仿宋"/>
                <w:b w:val="0"/>
                <w:bCs w:val="0"/>
                <w:color w:val="auto"/>
                <w:sz w:val="28"/>
                <w:szCs w:val="28"/>
              </w:rPr>
              <w:t xml:space="preserve">本项目采购预算总金额</w:t>
            </w:r>
            <w:r>
              <w:rPr>
                <w:rFonts w:hint="eastAsia" w:ascii="仿宋" w:hAnsi="仿宋" w:eastAsia="仿宋" w:cs="仿宋"/>
                <w:b w:val="0"/>
                <w:bCs w:val="0"/>
                <w:color w:val="auto"/>
                <w:sz w:val="28"/>
                <w:szCs w:val="28"/>
                <w:lang w:val="en-US" w:eastAsia="zh-CN"/>
              </w:rPr>
              <w:t xml:space="preserve">59.7</w:t>
            </w:r>
            <w:r>
              <w:rPr>
                <w:rFonts w:hint="eastAsia" w:ascii="仿宋" w:hAnsi="仿宋" w:eastAsia="仿宋" w:cs="仿宋"/>
                <w:b w:val="0"/>
                <w:bCs w:val="0"/>
                <w:color w:val="auto"/>
                <w:sz w:val="28"/>
                <w:szCs w:val="28"/>
              </w:rPr>
              <w:t xml:space="preserve">万元人民币；</w:t>
            </w:r>
            <w:r>
              <w:rPr>
                <w:rFonts w:hint="eastAsia" w:ascii="仿宋" w:hAnsi="仿宋" w:eastAsia="仿宋" w:cs="仿宋"/>
                <w:color w:val="auto"/>
                <w:sz w:val="28"/>
                <w:szCs w:val="28"/>
                <w:highlight w:val="none"/>
              </w:rPr>
              <w:t xml:space="preserve">供应商报价包含</w:t>
            </w:r>
            <w:r>
              <w:rPr>
                <w:rFonts w:hint="eastAsia" w:ascii="仿宋" w:hAnsi="仿宋" w:eastAsia="仿宋" w:cs="仿宋"/>
                <w:bCs/>
                <w:color w:val="auto"/>
                <w:sz w:val="28"/>
                <w:szCs w:val="28"/>
              </w:rPr>
              <w:t xml:space="preserve">税金、保险、</w:t>
            </w:r>
            <w:r>
              <w:rPr>
                <w:rFonts w:hint="eastAsia" w:ascii="仿宋" w:hAnsi="仿宋" w:eastAsia="仿宋" w:cs="仿宋"/>
                <w:bCs/>
                <w:color w:val="auto"/>
                <w:sz w:val="28"/>
                <w:szCs w:val="28"/>
                <w:lang w:eastAsia="zh-CN"/>
              </w:rPr>
              <w:t xml:space="preserve">人员、设备、</w:t>
            </w:r>
            <w:r>
              <w:rPr>
                <w:rFonts w:hint="eastAsia" w:ascii="仿宋" w:hAnsi="仿宋" w:eastAsia="仿宋" w:cs="仿宋"/>
                <w:bCs/>
                <w:color w:val="auto"/>
                <w:sz w:val="28"/>
                <w:szCs w:val="28"/>
              </w:rPr>
              <w:t xml:space="preserve">验收</w:t>
            </w:r>
            <w:r>
              <w:rPr>
                <w:rFonts w:hint="eastAsia" w:ascii="仿宋" w:hAnsi="仿宋" w:eastAsia="仿宋" w:cs="仿宋"/>
                <w:bCs/>
                <w:color w:val="auto"/>
                <w:sz w:val="28"/>
                <w:szCs w:val="28"/>
                <w:lang w:eastAsia="zh-CN"/>
              </w:rPr>
              <w:t xml:space="preserve">、利润及本项目</w:t>
            </w:r>
            <w:r>
              <w:rPr>
                <w:rFonts w:hint="eastAsia" w:ascii="仿宋" w:hAnsi="仿宋" w:eastAsia="仿宋" w:cs="仿宋"/>
                <w:b w:val="0"/>
                <w:bCs w:val="0"/>
                <w:color w:val="000000" w:themeColor="text1"/>
                <w:sz w:val="28"/>
                <w:szCs w:val="28"/>
                <w:lang w:val="en-US" w:eastAsia="zh-CN"/>
              </w:rPr>
              <w:t xml:space="preserve">种质普查质控</w:t>
            </w:r>
            <w:r>
              <w:rPr>
                <w:rFonts w:hint="eastAsia" w:ascii="仿宋" w:hAnsi="仿宋" w:eastAsia="仿宋" w:cs="仿宋"/>
                <w:bCs/>
                <w:color w:val="auto"/>
                <w:sz w:val="28"/>
                <w:szCs w:val="28"/>
              </w:rPr>
              <w:t xml:space="preserve">等全部费用。采购人不再支付报价以外的任何费用。</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(十六)</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以人民币报价。</w:t>
            </w:r>
            <w:r/>
          </w:p>
        </w:tc>
      </w:tr>
      <w:tr>
        <w:trPr/>
        <w:tc>
          <w:tcPr>
            <w:tcW w:w="1515" w:type="dxa"/>
            <w:vAlign w:val="top"/>
            <w:textDirection w:val="lrTb"/>
            <w:noWrap w:val="false"/>
          </w:tcPr>
          <w:p>
            <w:pPr>
              <w:jc w:val="center"/>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（十七）</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线上要求：</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投标人应当通过“苏采云”系统提交数据电文形式的投标文件（即电子投标）。</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50M！</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说明：本项目采用线上投标，即供应商投标文件从政府采购客户端工具制作通过“苏采云”系统提交，未提供线上投标文件的，投标无效。</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(十八)</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线上投标文件的密封、签署、盖章要求：</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一、投标文件的密封（加密）要求：</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二、投标文件的签署要求：见招标文件第七章《投标文件相关格式》。</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说明：投标人应在用CA数字证书以及自备的能够登录“苏采云”系统的笔记本电脑，在达到开标时间后，使用CA数字证书解密各自投标文件。</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投标人未按规定加密的投标文件，“苏采云”系统应当拒收并提示。</w:t>
            </w:r>
            <w:r/>
          </w:p>
        </w:tc>
      </w:tr>
      <w:tr>
        <w:trPr/>
        <w:tc>
          <w:tcPr>
            <w:tcW w:w="1515" w:type="dxa"/>
            <w:vAlign w:val="top"/>
            <w:textDirection w:val="lrTb"/>
            <w:noWrap w:val="false"/>
          </w:tcPr>
          <w:p>
            <w:pPr>
              <w:jc w:val="center"/>
              <w:spacing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(十九)</w:t>
            </w:r>
            <w:r/>
          </w:p>
        </w:tc>
        <w:tc>
          <w:tcPr>
            <w:tcW w:w="7995" w:type="dxa"/>
            <w:vAlign w:val="top"/>
            <w:textDirection w:val="lrTb"/>
            <w:noWrap w:val="false"/>
          </w:tcPr>
          <w:p>
            <w:pPr>
              <w:ind w:left="560" w:hanging="56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投标文投标文件的提交： </w:t>
            </w:r>
            <w:r/>
          </w:p>
          <w:p>
            <w:pPr>
              <w:ind w:left="560" w:hanging="56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1.投标文件提交时间：202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21</w:t>
            </w:r>
            <w:r>
              <w:rPr>
                <w:rFonts w:hint="eastAsia" w:ascii="仿宋" w:hAnsi="仿宋" w:eastAsia="仿宋" w:cs="仿宋"/>
                <w:color w:val="auto"/>
                <w:sz w:val="28"/>
                <w:szCs w:val="28"/>
              </w:rPr>
              <w:t xml:space="preserve">日北京时间</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0</w:t>
            </w:r>
            <w:r>
              <w:rPr>
                <w:rFonts w:hint="eastAsia" w:ascii="仿宋" w:hAnsi="仿宋" w:eastAsia="仿宋" w:cs="仿宋"/>
                <w:color w:val="auto"/>
                <w:sz w:val="28"/>
                <w:szCs w:val="28"/>
              </w:rPr>
              <w:t xml:space="preserve">0前。</w:t>
            </w:r>
            <w:r/>
          </w:p>
          <w:p>
            <w:pPr>
              <w:ind w:left="560" w:hanging="56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2.投标截止时间：202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21</w:t>
            </w:r>
            <w:r>
              <w:rPr>
                <w:rFonts w:hint="eastAsia" w:ascii="仿宋" w:hAnsi="仿宋" w:eastAsia="仿宋" w:cs="仿宋"/>
                <w:color w:val="auto"/>
                <w:sz w:val="28"/>
                <w:szCs w:val="28"/>
              </w:rPr>
              <w:t xml:space="preserve">日北京时间</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0</w:t>
            </w:r>
            <w:r>
              <w:rPr>
                <w:rFonts w:hint="eastAsia" w:ascii="仿宋" w:hAnsi="仿宋" w:eastAsia="仿宋" w:cs="仿宋"/>
                <w:color w:val="auto"/>
                <w:sz w:val="28"/>
                <w:szCs w:val="28"/>
              </w:rPr>
              <w:t xml:space="preserve">0。</w:t>
            </w:r>
            <w:r/>
          </w:p>
          <w:p>
            <w:pPr>
              <w:spacing w:line="400" w:lineRule="exact"/>
              <w:rPr>
                <w:rFonts w:hint="eastAsia" w:ascii="仿宋" w:hAnsi="仿宋" w:eastAsia="仿宋" w:cs="仿宋"/>
                <w:color w:val="auto"/>
                <w:sz w:val="28"/>
                <w:szCs w:val="28"/>
                <w:highlight w:val="yellow"/>
              </w:rPr>
            </w:pPr>
            <w:r>
              <w:rPr>
                <w:rFonts w:hint="eastAsia" w:ascii="仿宋" w:hAnsi="仿宋" w:eastAsia="仿宋" w:cs="仿宋"/>
                <w:color w:val="auto"/>
                <w:sz w:val="28"/>
                <w:szCs w:val="28"/>
              </w:rPr>
              <w:t xml:space="preserve">3.投标文件提交地点：投标人应当通过“苏采云”系统提交数据电文形式的投标文件（即电子投标），“苏采云”系统自动接收。</w:t>
            </w:r>
            <w:r/>
          </w:p>
        </w:tc>
      </w:tr>
      <w:tr>
        <w:trPr/>
        <w:tc>
          <w:tcPr>
            <w:tcW w:w="1515" w:type="dxa"/>
            <w:vAlign w:val="top"/>
            <w:textDirection w:val="lrTb"/>
            <w:noWrap w:val="false"/>
          </w:tcPr>
          <w:p>
            <w:pPr>
              <w:jc w:val="center"/>
              <w:spacing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（二十）</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投标人应在达到开标时间后，使用CA数字证书解密各自投标文件。</w:t>
            </w:r>
            <w:r/>
          </w:p>
        </w:tc>
      </w:tr>
      <w:tr>
        <w:trPr/>
        <w:tc>
          <w:tcPr>
            <w:tcW w:w="1515" w:type="dxa"/>
            <w:vAlign w:val="top"/>
            <w:textDirection w:val="lrTb"/>
            <w:noWrap w:val="false"/>
          </w:tcPr>
          <w:p>
            <w:pPr>
              <w:jc w:val="center"/>
              <w:spacing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开标</w:t>
            </w:r>
            <w:r/>
          </w:p>
        </w:tc>
      </w:tr>
      <w:tr>
        <w:trPr/>
        <w:tc>
          <w:tcPr>
            <w:tcW w:w="1515" w:type="dxa"/>
            <w:vAlign w:val="top"/>
            <w:textDirection w:val="lrTb"/>
            <w:noWrap w:val="false"/>
          </w:tcPr>
          <w:p>
            <w:pPr>
              <w:jc w:val="center"/>
              <w:spacing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(二十五)1</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开标时间及地点：</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1.开标时间：202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21</w:t>
            </w:r>
            <w:r>
              <w:rPr>
                <w:rFonts w:hint="eastAsia" w:ascii="仿宋" w:hAnsi="仿宋" w:eastAsia="仿宋" w:cs="仿宋"/>
                <w:color w:val="auto"/>
                <w:sz w:val="28"/>
                <w:szCs w:val="28"/>
              </w:rPr>
              <w:t xml:space="preserve">日北京时间</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0</w:t>
            </w:r>
            <w:r>
              <w:rPr>
                <w:rFonts w:hint="eastAsia" w:ascii="仿宋" w:hAnsi="仿宋" w:eastAsia="仿宋" w:cs="仿宋"/>
                <w:color w:val="auto"/>
                <w:sz w:val="28"/>
                <w:szCs w:val="28"/>
              </w:rPr>
              <w:t xml:space="preserve">0（标准时间）</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(二十五)3</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所有投标人解密（或解密时间）结束后，“苏采云”系统生成开标记录并向社会公众公布，但依法应当保密的除外。</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五</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评标</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(二十七)</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采用综合评分法。</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(二十八)1</w:t>
            </w:r>
            <w:r/>
          </w:p>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(二十八)1（4）</w:t>
            </w:r>
            <w:r/>
          </w:p>
        </w:tc>
        <w:tc>
          <w:tcPr>
            <w:tcW w:w="7995" w:type="dxa"/>
            <w:vAlign w:val="top"/>
            <w:textDirection w:val="lrTb"/>
            <w:noWrap w:val="false"/>
          </w:tcPr>
          <w:p>
            <w:pPr>
              <w:pStyle w:val="853"/>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一、推荐中标候选供应商名单。中标候选供应商数量应当根据采购需要确定，但必须按顺序排列中标候选供应商。</w:t>
            </w:r>
            <w:r/>
          </w:p>
          <w:p>
            <w:pPr>
              <w:pStyle w:val="853"/>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二、采用综合评分法的，按评审后得分由高到低顺序排列。得分相同的，按投标报价由低到高顺序排列。得分且投标报价相同的，按实施方案得分顺序排列。</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（二十九）</w:t>
            </w:r>
            <w:r/>
          </w:p>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七</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政府采购合同</w:t>
            </w:r>
            <w:r/>
          </w:p>
        </w:tc>
      </w:tr>
      <w:tr>
        <w:trPr>
          <w:trHeight w:val="920"/>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(三十七)1</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采购人与中标、成交供应商应当在中标、成交通知书发出之日起30日内，按照采购文件确定的事项签订政府采购合同。</w:t>
            </w:r>
            <w:r/>
          </w:p>
        </w:tc>
      </w:tr>
      <w:tr>
        <w:trPr/>
        <w:tc>
          <w:tcPr>
            <w:tcW w:w="151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三</w:t>
            </w:r>
            <w:r>
              <w:rPr>
                <w:rFonts w:hint="eastAsia" w:ascii="仿宋" w:hAnsi="仿宋" w:eastAsia="仿宋" w:cs="仿宋"/>
                <w:color w:val="auto"/>
                <w:sz w:val="28"/>
                <w:szCs w:val="28"/>
                <w:lang w:eastAsia="zh-CN"/>
              </w:rPr>
              <w:t xml:space="preserve">十</w:t>
            </w:r>
            <w:r>
              <w:rPr>
                <w:rFonts w:hint="eastAsia" w:ascii="仿宋" w:hAnsi="仿宋" w:eastAsia="仿宋" w:cs="仿宋"/>
                <w:color w:val="auto"/>
                <w:sz w:val="28"/>
                <w:szCs w:val="28"/>
              </w:rPr>
              <w:t xml:space="preserve">八）</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履约保证金：无。</w:t>
            </w:r>
            <w:r/>
          </w:p>
        </w:tc>
      </w:tr>
      <w:tr>
        <w:trPr>
          <w:trHeight w:val="90"/>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(四十一)</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二、供应商在法定质疑期内一次性提出针对同一采购程序环节的质疑。</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质疑接收人：</w:t>
            </w:r>
            <w:r>
              <w:rPr>
                <w:rFonts w:hint="eastAsia" w:ascii="仿宋" w:hAnsi="仿宋" w:eastAsia="仿宋" w:cs="仿宋"/>
                <w:color w:val="auto"/>
                <w:sz w:val="28"/>
                <w:szCs w:val="28"/>
                <w:lang w:val="en-US" w:eastAsia="zh-CN"/>
              </w:rPr>
              <w:t xml:space="preserve">杨伯永</w:t>
            </w:r>
            <w:r>
              <w:rPr>
                <w:rFonts w:hint="eastAsia" w:ascii="仿宋" w:hAnsi="仿宋" w:eastAsia="仿宋" w:cs="仿宋"/>
                <w:color w:val="auto"/>
                <w:sz w:val="28"/>
                <w:szCs w:val="28"/>
              </w:rPr>
              <w:t xml:space="preserve">;联系电话：0516-</w:t>
            </w:r>
            <w:r>
              <w:rPr>
                <w:rFonts w:hint="eastAsia" w:ascii="仿宋" w:hAnsi="仿宋" w:eastAsia="仿宋" w:cs="仿宋"/>
                <w:color w:val="auto"/>
                <w:sz w:val="28"/>
                <w:szCs w:val="28"/>
                <w:lang w:val="en-US" w:eastAsia="zh-CN"/>
              </w:rPr>
              <w:t xml:space="preserve">61211599</w:t>
            </w:r>
            <w:r>
              <w:rPr>
                <w:rFonts w:hint="eastAsia" w:ascii="仿宋" w:hAnsi="仿宋" w:eastAsia="仿宋" w:cs="仿宋"/>
                <w:color w:val="auto"/>
                <w:sz w:val="28"/>
                <w:szCs w:val="28"/>
              </w:rPr>
              <w:t xml:space="preserve">;</w:t>
            </w:r>
            <w:r/>
          </w:p>
          <w:p>
            <w:pPr>
              <w:spacing w:line="40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办公地址：</w:t>
            </w:r>
            <w:r>
              <w:rPr>
                <w:rFonts w:hint="eastAsia" w:ascii="仿宋" w:hAnsi="仿宋" w:eastAsia="仿宋" w:cs="仿宋"/>
                <w:color w:val="auto"/>
                <w:sz w:val="28"/>
                <w:szCs w:val="28"/>
                <w:lang w:val="en-US" w:eastAsia="zh-CN"/>
              </w:rPr>
              <w:t xml:space="preserve">徐州市铜山区天赋广场10号公寓楼1210室。</w:t>
            </w:r>
            <w:r/>
          </w:p>
        </w:tc>
      </w:tr>
    </w:tbl>
    <w:p>
      <w:pPr>
        <w:pStyle w:val="837"/>
        <w:rPr>
          <w:rFonts w:hint="eastAsia" w:ascii="仿宋" w:hAnsi="仿宋" w:eastAsia="仿宋" w:cs="仿宋"/>
          <w:color w:val="000000"/>
          <w:sz w:val="24"/>
        </w:rPr>
      </w:pPr>
      <w:r>
        <w:rPr>
          <w:rFonts w:hint="eastAsia" w:ascii="仿宋" w:hAnsi="仿宋" w:eastAsia="仿宋" w:cs="仿宋"/>
          <w:color w:val="000000"/>
          <w:sz w:val="24"/>
        </w:rPr>
      </w:r>
      <w:r/>
    </w:p>
    <w:p>
      <w:pPr>
        <w:pStyle w:val="837"/>
        <w:rPr>
          <w:rFonts w:hint="eastAsia" w:ascii="仿宋" w:hAnsi="仿宋" w:eastAsia="仿宋" w:cs="仿宋"/>
          <w:color w:val="000000"/>
          <w:sz w:val="24"/>
        </w:rPr>
      </w:pPr>
      <w:r>
        <w:rPr>
          <w:rFonts w:hint="eastAsia" w:ascii="仿宋" w:hAnsi="仿宋" w:eastAsia="仿宋" w:cs="仿宋"/>
          <w:color w:val="000000"/>
          <w:sz w:val="24"/>
        </w:rPr>
      </w:r>
      <w:r/>
    </w:p>
    <w:p>
      <w:pPr>
        <w:pStyle w:val="837"/>
        <w:rPr>
          <w:rFonts w:hint="eastAsia" w:ascii="仿宋" w:hAnsi="仿宋" w:eastAsia="仿宋" w:cs="仿宋"/>
          <w:color w:val="000000"/>
          <w:sz w:val="24"/>
        </w:rPr>
      </w:pPr>
      <w:r>
        <w:rPr>
          <w:rFonts w:hint="eastAsia" w:ascii="仿宋" w:hAnsi="仿宋" w:eastAsia="仿宋" w:cs="仿宋"/>
          <w:color w:val="000000"/>
          <w:sz w:val="24"/>
        </w:rPr>
        <w:br w:type="page" w:clear="all"/>
      </w:r>
      <w:r>
        <w:rPr>
          <w:rFonts w:hint="eastAsia" w:ascii="仿宋" w:hAnsi="仿宋" w:eastAsia="仿宋" w:cs="仿宋"/>
          <w:color w:val="000000"/>
          <w:sz w:val="24"/>
        </w:rPr>
        <w:t xml:space="preserve">附件</w:t>
      </w:r>
      <w:r/>
    </w:p>
    <w:p>
      <w:pPr>
        <w:ind w:firstLine="1928"/>
        <w:spacing w:line="520" w:lineRule="exact"/>
        <w:tabs>
          <w:tab w:val="left" w:pos="2235" w:leader="none"/>
        </w:tabs>
        <w:rPr>
          <w:rFonts w:hint="eastAsia" w:ascii="仿宋" w:hAnsi="仿宋" w:eastAsia="仿宋" w:cs="仿宋"/>
          <w:color w:val="000000"/>
          <w:sz w:val="32"/>
          <w:szCs w:val="32"/>
        </w:rPr>
      </w:pPr>
      <w:r>
        <w:rPr>
          <w:rFonts w:hint="eastAsia" w:ascii="仿宋" w:hAnsi="仿宋" w:eastAsia="仿宋" w:cs="仿宋"/>
          <w:b/>
          <w:bCs/>
          <w:sz w:val="32"/>
          <w:szCs w:val="32"/>
        </w:rPr>
        <w:t xml:space="preserve">本章附件：招标代理服务收费标准</w:t>
      </w:r>
      <w:r/>
    </w:p>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Style w:val="815"/>
        <w:tblW w:w="830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Borders>
              <w:top w:val="single" w:color="auto" w:sz="4" w:space="0"/>
            </w:tcBorders>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中标金额</w:t>
            </w:r>
            <w:r/>
          </w:p>
        </w:tc>
        <w:tc>
          <w:tcPr>
            <w:tcBorders>
              <w:top w:val="single" w:color="auto" w:sz="4" w:space="0"/>
            </w:tcBorders>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货物</w:t>
            </w:r>
            <w:r/>
          </w:p>
        </w:tc>
        <w:tc>
          <w:tcPr>
            <w:tcBorders>
              <w:top w:val="single" w:color="auto" w:sz="4" w:space="0"/>
            </w:tcBorders>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服务</w:t>
            </w:r>
            <w:r/>
          </w:p>
        </w:tc>
        <w:tc>
          <w:tcPr>
            <w:tcBorders>
              <w:top w:val="single" w:color="auto" w:sz="4" w:space="0"/>
            </w:tcBorders>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工程</w:t>
            </w:r>
            <w:r/>
          </w:p>
        </w:tc>
        <w:tc>
          <w:tcPr>
            <w:tcBorders>
              <w:top w:val="single" w:color="auto" w:sz="4" w:space="0"/>
            </w:tcBorders>
            <w:tcW w:w="197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收费上</w:t>
            </w:r>
            <w:r>
              <w:rPr>
                <w:rFonts w:hint="eastAsia" w:ascii="华文仿宋" w:hAnsi="华文仿宋" w:eastAsia="华文仿宋" w:cs="华文仿宋"/>
                <w:color w:val="000000"/>
                <w:sz w:val="32"/>
                <w:szCs w:val="32"/>
                <w:lang w:val="en-US" w:eastAsia="zh-CN"/>
              </w:rPr>
              <w:t xml:space="preserve">下</w:t>
            </w:r>
            <w:r>
              <w:rPr>
                <w:rFonts w:hint="eastAsia" w:ascii="华文仿宋" w:hAnsi="华文仿宋" w:eastAsia="华文仿宋" w:cs="华文仿宋"/>
                <w:color w:val="000000"/>
                <w:sz w:val="32"/>
                <w:szCs w:val="32"/>
              </w:rPr>
              <w:t xml:space="preserve">限</w:t>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100万以下</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1.50%</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1.50%</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1.00%</w:t>
            </w:r>
            <w:r/>
          </w:p>
        </w:tc>
        <w:tc>
          <w:tcPr>
            <w:tcW w:w="1971" w:type="dxa"/>
            <w:vAlign w:val="center"/>
            <w:vMerge w:val="restart"/>
            <w:textDirection w:val="lrTb"/>
            <w:noWrap w:val="false"/>
          </w:tcPr>
          <w:p>
            <w:pPr>
              <w:keepLines w:val="0"/>
              <w:keepNext w:val="0"/>
              <w:pageBreakBefore w:val="0"/>
              <w:spacing w:line="600" w:lineRule="exact"/>
              <w:widowControl/>
              <w:rPr>
                <w:rFonts w:hint="eastAsia" w:ascii="华文仿宋" w:hAnsi="华文仿宋" w:eastAsia="华文仿宋" w:cs="华文仿宋"/>
                <w:color w:val="000000"/>
                <w:sz w:val="32"/>
                <w:szCs w:val="32"/>
                <w:lang w:val="en-US" w:eastAsia="zh-CN"/>
              </w:rPr>
            </w:pPr>
            <w:r>
              <w:rPr>
                <w:rFonts w:hint="eastAsia" w:ascii="华文仿宋" w:hAnsi="华文仿宋" w:eastAsia="华文仿宋" w:cs="华文仿宋"/>
                <w:color w:val="000000"/>
                <w:sz w:val="32"/>
                <w:szCs w:val="32"/>
                <w:lang w:val="en-US" w:eastAsia="zh-CN"/>
              </w:rPr>
              <w:t xml:space="preserve">最低5千元</w:t>
            </w:r>
            <w:r/>
          </w:p>
          <w:p>
            <w:pPr>
              <w:keepLines w:val="0"/>
              <w:keepNext w:val="0"/>
              <w:pageBreakBefore w:val="0"/>
              <w:spacing w:line="600" w:lineRule="exact"/>
              <w:widowControl/>
              <w:rPr>
                <w:rFonts w:hint="eastAsia" w:ascii="华文仿宋" w:hAnsi="华文仿宋" w:eastAsia="华文仿宋" w:cs="华文仿宋"/>
                <w:color w:val="000000"/>
                <w:sz w:val="32"/>
                <w:szCs w:val="32"/>
                <w:lang w:val="en-US" w:eastAsia="zh-CN"/>
              </w:rPr>
            </w:pPr>
            <w:r>
              <w:rPr>
                <w:rFonts w:hint="eastAsia" w:ascii="华文仿宋" w:hAnsi="华文仿宋" w:eastAsia="华文仿宋" w:cs="华文仿宋"/>
                <w:color w:val="000000"/>
                <w:sz w:val="32"/>
                <w:szCs w:val="32"/>
                <w:lang w:val="en-US" w:eastAsia="zh-CN"/>
              </w:rPr>
              <w:t xml:space="preserve">最高15万元</w:t>
            </w:r>
            <w:r/>
          </w:p>
          <w:p>
            <w:pPr>
              <w:ind w:firstLine="320"/>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p>
            <w:pP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100万</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500万</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1.10%</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0.80%</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0.70%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500万</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1000万</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0.80%</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0.45%</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0.55%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l000万</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5000万</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0.50%</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0.25%</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5000万</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l亿</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0.25%</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0.10%</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0.20%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1亿</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5亿</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0.05%</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0.05%</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5亿</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10亿</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0.035%</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0.035%</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10亿</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50亿</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0.008%</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0.008%</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0.008%</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lang w:eastAsia="zh-CN"/>
              </w:rPr>
            </w:pPr>
            <w:r>
              <w:rPr>
                <w:rFonts w:hint="eastAsia" w:ascii="华文仿宋" w:hAnsi="华文仿宋" w:eastAsia="华文仿宋" w:cs="华文仿宋"/>
                <w:color w:val="000000"/>
                <w:sz w:val="32"/>
                <w:szCs w:val="32"/>
              </w:rPr>
              <w:t xml:space="preserve">50亿</w:t>
            </w:r>
            <w:r>
              <w:rPr>
                <w:rFonts w:hint="eastAsia" w:ascii="华文仿宋" w:hAnsi="华文仿宋" w:eastAsia="华文仿宋" w:cs="华文仿宋"/>
                <w:color w:val="333333"/>
                <w:sz w:val="32"/>
                <w:szCs w:val="32"/>
                <w:lang w:val="en-US" w:eastAsia="zh-CN"/>
              </w:rPr>
              <w:t xml:space="preserve">以上</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0.006%</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0.006%</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0.006%</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bl>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w:t>
      </w:r>
      <w:r/>
    </w:p>
    <w:p>
      <w:pPr>
        <w:ind w:firstLine="677"/>
        <w:spacing w:line="560" w:lineRule="exact"/>
        <w:widowControl/>
        <w:rPr>
          <w:rFonts w:hint="eastAsia" w:ascii="仿宋" w:hAnsi="仿宋" w:eastAsia="仿宋" w:cs="仿宋"/>
          <w:color w:val="ff0000"/>
          <w:sz w:val="28"/>
          <w:szCs w:val="28"/>
          <w:lang w:val="en-US" w:eastAsia="zh-CN"/>
        </w:rPr>
      </w:pPr>
      <w:r>
        <w:rPr>
          <w:rFonts w:hint="eastAsia" w:ascii="仿宋" w:hAnsi="仿宋" w:eastAsia="仿宋" w:cs="仿宋"/>
          <w:color w:val="000000"/>
          <w:sz w:val="28"/>
          <w:szCs w:val="28"/>
        </w:rPr>
        <w:t xml:space="preserve">1.按上表计算的收费为代理服务全过程的收费金额。</w:t>
      </w:r>
      <w:r>
        <w:rPr>
          <w:rFonts w:hint="eastAsia" w:ascii="仿宋" w:hAnsi="仿宋" w:eastAsia="仿宋" w:cs="仿宋"/>
          <w:color w:val="000000"/>
          <w:sz w:val="28"/>
          <w:szCs w:val="28"/>
          <w:lang w:val="en-US" w:eastAsia="zh-CN"/>
        </w:rPr>
        <w:t xml:space="preserve">各社会代理机构</w:t>
      </w:r>
      <w:r>
        <w:rPr>
          <w:rFonts w:hint="eastAsia" w:ascii="仿宋" w:hAnsi="仿宋" w:eastAsia="仿宋" w:cs="仿宋"/>
          <w:color w:val="000000"/>
          <w:sz w:val="28"/>
          <w:szCs w:val="28"/>
        </w:rPr>
        <w:t xml:space="preserve">不</w:t>
      </w:r>
      <w:r>
        <w:rPr>
          <w:rFonts w:hint="eastAsia" w:ascii="仿宋" w:hAnsi="仿宋" w:eastAsia="仿宋" w:cs="仿宋"/>
          <w:color w:val="000000"/>
          <w:sz w:val="28"/>
          <w:szCs w:val="28"/>
          <w:lang w:val="en-US" w:eastAsia="zh-CN"/>
        </w:rPr>
        <w:t xml:space="preserve">再</w:t>
      </w:r>
      <w:r>
        <w:rPr>
          <w:rFonts w:hint="eastAsia" w:ascii="仿宋" w:hAnsi="仿宋" w:eastAsia="仿宋" w:cs="仿宋"/>
          <w:color w:val="000000"/>
          <w:sz w:val="28"/>
          <w:szCs w:val="28"/>
        </w:rPr>
        <w:t xml:space="preserve">收取采购文件制作售卖费用。</w:t>
      </w:r>
      <w:r/>
    </w:p>
    <w:p>
      <w:pPr>
        <w:ind w:firstLine="630"/>
        <w:keepLines w:val="0"/>
        <w:keepNext w:val="0"/>
        <w:pageBreakBefore w:val="0"/>
        <w:spacing w:line="600" w:lineRule="exact"/>
        <w:tabs>
          <w:tab w:val="left" w:pos="84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2.代理服务费按差额定率累进法计算。</w:t>
      </w:r>
      <w:r/>
    </w:p>
    <w:p>
      <w:pPr>
        <w:ind w:left="64"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3.代理服务费基准金额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中标金额（</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 * 费率（%）</w:t>
      </w:r>
      <w:r/>
    </w:p>
    <w:p>
      <w:pPr>
        <w:ind w:left="64"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t xml:space="preserve">代理服务费应收取金额=代理服务费基准金额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）的合计数。</w:t>
      </w:r>
      <w:r/>
    </w:p>
    <w:p>
      <w:pPr>
        <w:ind w:left="-1" w:firstLine="560"/>
        <w:keepLines w:val="0"/>
        <w:keepNext w:val="0"/>
        <w:pageBreakBefore w:val="0"/>
        <w:spacing w:line="6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5.计算出的代理服务费应收取金额如</w:t>
      </w:r>
      <w:r>
        <w:rPr>
          <w:rFonts w:hint="eastAsia" w:ascii="仿宋" w:hAnsi="仿宋" w:eastAsia="仿宋" w:cs="仿宋"/>
          <w:color w:val="000000"/>
          <w:sz w:val="28"/>
          <w:szCs w:val="28"/>
        </w:rPr>
        <w:t xml:space="preserve">低于</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千元，按</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千元收取；如高于</w:t>
      </w:r>
      <w:r>
        <w:rPr>
          <w:rFonts w:hint="eastAsia" w:ascii="仿宋" w:hAnsi="仿宋" w:eastAsia="仿宋" w:cs="仿宋"/>
          <w:color w:val="000000"/>
          <w:sz w:val="28"/>
          <w:szCs w:val="28"/>
          <w:lang w:val="en-US" w:eastAsia="zh-CN"/>
        </w:rPr>
        <w:t xml:space="preserve">15万元，按15万元收取。</w:t>
      </w:r>
      <w:r/>
    </w:p>
    <w:p>
      <w:pPr>
        <w:ind w:left="-1"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w:t>
      </w:r>
      <w:r>
        <w:rPr>
          <w:rFonts w:hint="eastAsia" w:ascii="仿宋" w:hAnsi="仿宋" w:eastAsia="仿宋" w:cs="仿宋"/>
          <w:color w:val="000000"/>
          <w:sz w:val="28"/>
          <w:szCs w:val="28"/>
          <w:lang w:val="en-US" w:eastAsia="zh-CN"/>
        </w:rPr>
        <w:t xml:space="preserve">定点类等无金额或事先不能计算出价格总额的</w:t>
      </w:r>
      <w:r>
        <w:rPr>
          <w:rFonts w:hint="eastAsia" w:ascii="仿宋" w:hAnsi="仿宋" w:eastAsia="仿宋" w:cs="仿宋"/>
          <w:color w:val="000000"/>
          <w:sz w:val="28"/>
          <w:szCs w:val="28"/>
        </w:rPr>
        <w:t xml:space="preserve">项目，</w:t>
      </w:r>
      <w:r>
        <w:rPr>
          <w:rFonts w:hint="eastAsia" w:ascii="仿宋" w:hAnsi="仿宋" w:eastAsia="仿宋" w:cs="仿宋"/>
          <w:color w:val="000000"/>
          <w:sz w:val="28"/>
          <w:szCs w:val="28"/>
          <w:lang w:val="en-US" w:eastAsia="zh-CN"/>
        </w:rPr>
        <w:t xml:space="preserve">按</w:t>
      </w:r>
      <w:r>
        <w:rPr>
          <w:rFonts w:hint="eastAsia" w:ascii="仿宋" w:hAnsi="仿宋" w:eastAsia="仿宋" w:cs="仿宋"/>
          <w:color w:val="000000"/>
          <w:sz w:val="28"/>
          <w:szCs w:val="28"/>
        </w:rPr>
        <w:t xml:space="preserve">中标（成交）金额</w:t>
      </w:r>
      <w:r>
        <w:rPr>
          <w:rFonts w:hint="eastAsia" w:ascii="仿宋" w:hAnsi="仿宋" w:eastAsia="仿宋" w:cs="仿宋"/>
          <w:color w:val="000000"/>
          <w:sz w:val="28"/>
          <w:szCs w:val="28"/>
          <w:lang w:val="en-US" w:eastAsia="zh-CN"/>
        </w:rPr>
        <w:t xml:space="preserve">100</w:t>
      </w:r>
      <w:r>
        <w:rPr>
          <w:rFonts w:hint="eastAsia" w:ascii="仿宋" w:hAnsi="仿宋" w:eastAsia="仿宋" w:cs="仿宋"/>
          <w:color w:val="000000"/>
          <w:sz w:val="28"/>
          <w:szCs w:val="28"/>
        </w:rPr>
        <w:t xml:space="preserve">万元计算</w:t>
      </w:r>
      <w:r>
        <w:rPr>
          <w:rFonts w:hint="eastAsia" w:ascii="仿宋" w:hAnsi="仿宋" w:eastAsia="仿宋" w:cs="仿宋"/>
          <w:color w:val="000000"/>
          <w:sz w:val="28"/>
          <w:szCs w:val="28"/>
          <w:lang w:val="en-US" w:eastAsia="zh-CN"/>
        </w:rPr>
        <w:t xml:space="preserve">服务费</w:t>
      </w:r>
      <w:r>
        <w:rPr>
          <w:rFonts w:hint="eastAsia" w:ascii="仿宋" w:hAnsi="仿宋" w:eastAsia="仿宋" w:cs="仿宋"/>
          <w:color w:val="000000"/>
          <w:sz w:val="28"/>
          <w:szCs w:val="28"/>
        </w:rPr>
        <w:t xml:space="preserve">。</w:t>
      </w:r>
      <w:r/>
    </w:p>
    <w:p>
      <w:pPr>
        <w:ind w:firstLine="630"/>
        <w:keepLines w:val="0"/>
        <w:keepNext w:val="0"/>
        <w:pageBreakBefore w:val="0"/>
        <w:spacing w:line="600" w:lineRule="exact"/>
        <w:rPr>
          <w:rFonts w:hint="eastAsia" w:ascii="仿宋" w:hAnsi="仿宋" w:eastAsia="仿宋" w:cs="仿宋"/>
          <w:color w:val="ff0000"/>
          <w:sz w:val="28"/>
          <w:szCs w:val="28"/>
          <w:lang w:val="en-US" w:eastAsia="zh-CN"/>
        </w:rPr>
      </w:pPr>
      <w:r>
        <w:rPr>
          <w:rFonts w:hint="eastAsia" w:ascii="仿宋" w:hAnsi="仿宋" w:eastAsia="仿宋" w:cs="仿宋"/>
          <w:color w:val="000000"/>
          <w:sz w:val="28"/>
          <w:szCs w:val="28"/>
          <w:lang w:val="en-US" w:eastAsia="zh-CN"/>
        </w:rPr>
        <w:t xml:space="preserve">7.多个采购包（标段）项目按总项目中标（成交）金额收费，最高不超过15万元。</w:t>
      </w:r>
      <w:r/>
    </w:p>
    <w:p>
      <w:pPr>
        <w:ind w:firstLine="630"/>
        <w:keepLines w:val="0"/>
        <w:keepNext w:val="0"/>
        <w:pageBreakBefore w:val="0"/>
        <w:spacing w:line="600" w:lineRule="exact"/>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.以上价格为协会指导价，</w:t>
      </w:r>
      <w:r>
        <w:rPr>
          <w:rFonts w:hint="eastAsia" w:ascii="仿宋" w:hAnsi="仿宋" w:eastAsia="仿宋" w:cs="仿宋"/>
          <w:color w:val="000000"/>
          <w:sz w:val="28"/>
          <w:szCs w:val="28"/>
          <w:lang w:val="en-US" w:eastAsia="zh-CN"/>
        </w:rPr>
        <w:t xml:space="preserve">具体价格</w:t>
      </w:r>
      <w:r>
        <w:rPr>
          <w:rFonts w:hint="eastAsia" w:ascii="仿宋" w:hAnsi="仿宋" w:eastAsia="仿宋" w:cs="仿宋"/>
          <w:color w:val="000000"/>
          <w:sz w:val="28"/>
          <w:szCs w:val="28"/>
        </w:rPr>
        <w:t xml:space="preserve">双方可协商</w:t>
      </w:r>
      <w:r>
        <w:rPr>
          <w:rFonts w:hint="eastAsia" w:ascii="仿宋" w:hAnsi="仿宋" w:eastAsia="仿宋" w:cs="仿宋"/>
          <w:color w:val="000000"/>
          <w:sz w:val="28"/>
          <w:szCs w:val="28"/>
          <w:lang w:val="en-US" w:eastAsia="zh-CN"/>
        </w:rPr>
        <w:t xml:space="preserve">确</w:t>
      </w:r>
      <w:r>
        <w:rPr>
          <w:rFonts w:hint="eastAsia" w:ascii="仿宋" w:hAnsi="仿宋" w:eastAsia="仿宋" w:cs="仿宋"/>
          <w:color w:val="000000"/>
          <w:sz w:val="28"/>
          <w:szCs w:val="28"/>
        </w:rPr>
        <w:t xml:space="preserve">定</w:t>
      </w:r>
      <w:r>
        <w:rPr>
          <w:rFonts w:hint="eastAsia" w:ascii="仿宋" w:hAnsi="仿宋" w:eastAsia="仿宋" w:cs="仿宋"/>
          <w:color w:val="000000"/>
          <w:sz w:val="28"/>
          <w:szCs w:val="28"/>
          <w:lang w:eastAsia="zh-CN"/>
        </w:rPr>
        <w:t xml:space="preserve">。</w:t>
      </w:r>
      <w:r/>
    </w:p>
    <w:p>
      <w:pPr>
        <w:ind w:firstLine="480"/>
        <w:spacing w:line="560" w:lineRule="exact"/>
        <w:rPr>
          <w:rFonts w:hint="eastAsia"/>
        </w:rPr>
      </w:pPr>
      <w:r>
        <w:rPr>
          <w:rFonts w:hint="eastAsia" w:ascii="仿宋" w:hAnsi="仿宋" w:eastAsia="仿宋" w:cs="仿宋"/>
          <w:sz w:val="28"/>
          <w:szCs w:val="28"/>
        </w:rPr>
        <w:t xml:space="preserve">9.账户信息：收款人：江苏友信招标代理有限公司 </w:t>
      </w:r>
      <w:r/>
    </w:p>
    <w:p>
      <w:pPr>
        <w:ind w:firstLine="720"/>
        <w:spacing w:line="560" w:lineRule="exact"/>
        <w:rPr>
          <w:rFonts w:hint="eastAsia" w:ascii="仿宋" w:hAnsi="仿宋" w:eastAsia="仿宋" w:cs="仿宋"/>
          <w:sz w:val="28"/>
          <w:szCs w:val="28"/>
        </w:rPr>
      </w:pPr>
      <w:r>
        <w:rPr>
          <w:rFonts w:hint="eastAsia" w:ascii="仿宋" w:hAnsi="仿宋" w:eastAsia="仿宋" w:cs="仿宋"/>
          <w:sz w:val="28"/>
          <w:szCs w:val="28"/>
        </w:rPr>
        <w:t xml:space="preserve">户银行：江苏农村商业银行北京路支行 </w:t>
      </w:r>
      <w:r/>
    </w:p>
    <w:p>
      <w:pPr>
        <w:ind w:firstLine="720"/>
        <w:spacing w:line="520" w:lineRule="exact"/>
        <w:rPr>
          <w:rFonts w:hint="eastAsia" w:ascii="仿宋" w:hAnsi="仿宋" w:eastAsia="仿宋" w:cs="仿宋"/>
          <w:sz w:val="28"/>
          <w:szCs w:val="28"/>
        </w:rPr>
      </w:pPr>
      <w:r>
        <w:rPr>
          <w:rFonts w:hint="eastAsia" w:ascii="仿宋" w:hAnsi="仿宋" w:eastAsia="仿宋" w:cs="仿宋"/>
          <w:sz w:val="28"/>
          <w:szCs w:val="28"/>
        </w:rPr>
        <w:t xml:space="preserve">账号：320323053101</w:t>
      </w:r>
      <w:r>
        <w:rPr>
          <w:rFonts w:hint="eastAsia" w:ascii="仿宋" w:hAnsi="仿宋" w:eastAsia="仿宋" w:cs="仿宋"/>
          <w:sz w:val="28"/>
          <w:szCs w:val="28"/>
          <w:lang w:eastAsia="zh-CN"/>
        </w:rPr>
        <w:t xml:space="preserve">000</w:t>
      </w:r>
      <w:r>
        <w:rPr>
          <w:rFonts w:hint="eastAsia" w:ascii="仿宋" w:hAnsi="仿宋" w:eastAsia="仿宋" w:cs="仿宋"/>
          <w:sz w:val="28"/>
          <w:szCs w:val="28"/>
        </w:rPr>
        <w:t xml:space="preserve">0022309</w:t>
      </w:r>
      <w:r/>
    </w:p>
    <w:p>
      <w:pPr>
        <w:pStyle w:val="837"/>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bookmarkStart w:id="1" w:name="_GoBack"/>
      <w:r/>
      <w:bookmarkEnd w:id="1"/>
      <w:r/>
      <w:r/>
    </w:p>
    <w:p>
      <w:pPr>
        <w:pStyle w:val="837"/>
        <w:jc w:val="center"/>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第四章 评标标准</w:t>
      </w:r>
      <w:r/>
    </w:p>
    <w:tbl>
      <w:tblPr>
        <w:tblStyle w:val="815"/>
        <w:tblW w:w="95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4"/>
        <w:gridCol w:w="1350"/>
        <w:gridCol w:w="6747"/>
      </w:tblGrid>
      <w:tr>
        <w:trPr>
          <w:jc w:val="center"/>
          <w:trHeight w:val="786"/>
        </w:trPr>
        <w:tc>
          <w:tcPr>
            <w:gridSpan w:val="2"/>
            <w:tcW w:w="2804" w:type="dxa"/>
            <w:vAlign w:val="center"/>
            <w:textDirection w:val="lrTb"/>
            <w:noWrap w:val="false"/>
          </w:tcPr>
          <w:p>
            <w:pPr>
              <w:pStyle w:val="1104"/>
              <w:jc w:val="both"/>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评分项目及分值</w:t>
            </w:r>
            <w:r/>
          </w:p>
        </w:tc>
        <w:tc>
          <w:tcPr>
            <w:tcW w:w="6747" w:type="dxa"/>
            <w:vAlign w:val="center"/>
            <w:textDirection w:val="lrTb"/>
            <w:noWrap w:val="false"/>
          </w:tcPr>
          <w:p>
            <w:pPr>
              <w:pStyle w:val="1104"/>
              <w:jc w:val="center"/>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评分依据</w:t>
            </w:r>
            <w:r/>
          </w:p>
        </w:tc>
      </w:tr>
      <w:tr>
        <w:trPr>
          <w:jc w:val="center"/>
          <w:trHeight w:val="1117"/>
        </w:trPr>
        <w:tc>
          <w:tcPr>
            <w:gridSpan w:val="2"/>
            <w:tcW w:w="2804" w:type="dxa"/>
            <w:vAlign w:val="center"/>
            <w:textDirection w:val="lrTb"/>
            <w:noWrap w:val="false"/>
          </w:tcPr>
          <w:p>
            <w:pPr>
              <w:pStyle w:val="1104"/>
              <w:jc w:val="center"/>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价格部分</w:t>
            </w:r>
            <w:r/>
          </w:p>
          <w:p>
            <w:pPr>
              <w:pStyle w:val="1104"/>
              <w:jc w:val="center"/>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20</w:t>
            </w:r>
            <w:r>
              <w:rPr>
                <w:rFonts w:hint="eastAsia" w:ascii="仿宋" w:hAnsi="仿宋" w:eastAsia="仿宋" w:cs="仿宋"/>
                <w:color w:val="auto"/>
                <w:sz w:val="28"/>
                <w:szCs w:val="28"/>
                <w:highlight w:val="none"/>
              </w:rPr>
              <w:t xml:space="preserve">分）</w:t>
            </w:r>
            <w:r/>
          </w:p>
        </w:tc>
        <w:tc>
          <w:tcPr>
            <w:tcW w:w="6747" w:type="dxa"/>
            <w:vAlign w:val="center"/>
            <w:textDirection w:val="lrTb"/>
            <w:noWrap w:val="false"/>
          </w:tcPr>
          <w:p>
            <w:pPr>
              <w:spacing w:line="240" w:lineRule="auto"/>
              <w:rPr>
                <w:rFonts w:hint="eastAsia" w:ascii="仿宋" w:hAnsi="仿宋" w:eastAsia="仿宋" w:cs="仿宋"/>
                <w:color w:val="auto"/>
                <w:sz w:val="28"/>
                <w:szCs w:val="28"/>
                <w:highlight w:val="none"/>
              </w:rPr>
            </w:pPr>
            <w:r>
              <w:rPr>
                <w:rFonts w:hint="eastAsia" w:ascii="仿宋" w:hAnsi="仿宋" w:eastAsia="仿宋" w:cs="仿宋"/>
                <w:b w:val="0"/>
                <w:bCs w:val="0"/>
                <w:color w:val="000000" w:themeColor="text1"/>
                <w:sz w:val="28"/>
                <w:szCs w:val="28"/>
              </w:rPr>
              <w:t xml:space="preserve">各投标人价格得分=最低报价（投标人的最低评审价格）÷各投标人评审价格×</w:t>
            </w:r>
            <w:r>
              <w:rPr>
                <w:rFonts w:hint="eastAsia" w:ascii="仿宋" w:hAnsi="仿宋" w:eastAsia="仿宋" w:cs="仿宋"/>
                <w:b w:val="0"/>
                <w:bCs w:val="0"/>
                <w:color w:val="000000" w:themeColor="text1"/>
                <w:sz w:val="28"/>
                <w:szCs w:val="28"/>
                <w:lang w:val="en-US" w:eastAsia="zh-CN"/>
              </w:rPr>
              <w:t xml:space="preserve">20</w:t>
            </w:r>
            <w:r>
              <w:rPr>
                <w:rFonts w:hint="eastAsia" w:ascii="仿宋" w:hAnsi="仿宋" w:eastAsia="仿宋" w:cs="仿宋"/>
                <w:b w:val="0"/>
                <w:bCs w:val="0"/>
                <w:color w:val="000000" w:themeColor="text1"/>
                <w:sz w:val="28"/>
                <w:szCs w:val="28"/>
              </w:rPr>
              <w:t xml:space="preserve">。（按四舍五入取至小数点后两位）</w:t>
            </w:r>
            <w:r/>
          </w:p>
        </w:tc>
      </w:tr>
      <w:tr>
        <w:trPr>
          <w:jc w:val="center"/>
          <w:trHeight w:val="20"/>
        </w:trPr>
        <w:tc>
          <w:tcPr>
            <w:tcW w:w="1454" w:type="dxa"/>
            <w:vAlign w:val="center"/>
            <w:textDirection w:val="lrTb"/>
            <w:noWrap w:val="false"/>
          </w:tcPr>
          <w:p>
            <w:pPr>
              <w:pStyle w:val="1104"/>
              <w:jc w:val="center"/>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商务部分（</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w:t>
            </w:r>
            <w:r/>
          </w:p>
        </w:tc>
        <w:tc>
          <w:tcPr>
            <w:tcW w:w="1350" w:type="dxa"/>
            <w:vAlign w:val="center"/>
            <w:textDirection w:val="lrTb"/>
            <w:noWrap w:val="false"/>
          </w:tcPr>
          <w:p>
            <w:pPr>
              <w:pStyle w:val="1104"/>
              <w:jc w:val="center"/>
              <w:keepLines w:val="0"/>
              <w:keepNext w:val="0"/>
              <w:pageBreakBefore w:val="0"/>
              <w:spacing w:line="360" w:lineRule="exact"/>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供应商</w:t>
            </w:r>
            <w:r/>
          </w:p>
          <w:p>
            <w:pPr>
              <w:pStyle w:val="1104"/>
              <w:jc w:val="center"/>
              <w:keepLines w:val="0"/>
              <w:keepNext w:val="0"/>
              <w:pageBreakBefore w:val="0"/>
              <w:spacing w:line="360" w:lineRule="exact"/>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业绩</w:t>
            </w:r>
            <w:r/>
          </w:p>
          <w:p>
            <w:pPr>
              <w:pStyle w:val="1104"/>
              <w:jc w:val="center"/>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w:t>
            </w:r>
            <w:r/>
          </w:p>
        </w:tc>
        <w:tc>
          <w:tcPr>
            <w:tcW w:w="6747" w:type="dxa"/>
            <w:vAlign w:val="center"/>
            <w:textDirection w:val="lrTb"/>
            <w:noWrap w:val="false"/>
          </w:tcPr>
          <w:p>
            <w:pPr>
              <w:pStyle w:val="843"/>
              <w:jc w:val="both"/>
              <w:keepLines w:val="0"/>
              <w:keepNext w:val="0"/>
              <w:pageBreakBefore w:val="0"/>
              <w:spacing w:before="0" w:beforeAutospacing="0" w:after="0" w:afterAutospacing="0" w:line="360" w:lineRule="exact"/>
              <w:tabs>
                <w:tab w:val="left" w:pos="840" w:leader="none"/>
              </w:tabs>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供应商自2021年1月1日以来（以合同签订时间为准）承担过与本项目相同或类似项目业绩的每有一个得2分，最高得4分，没有不得分。</w:t>
            </w:r>
            <w:r/>
          </w:p>
          <w:p>
            <w:pPr>
              <w:pStyle w:val="1104"/>
              <w:keepLines w:val="0"/>
              <w:keepNext w:val="0"/>
              <w:pageBreakBefore w:val="0"/>
              <w:spacing w:line="36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bidi="ar-SA"/>
              </w:rPr>
              <w:t xml:space="preserve">（投标文件中需提供中标通知书和合同的原件扫描件并加盖电子签章，二者缺一不可，否则不得分）</w:t>
            </w:r>
            <w:r/>
          </w:p>
        </w:tc>
      </w:tr>
      <w:tr>
        <w:trPr>
          <w:jc w:val="center"/>
          <w:trHeight w:val="20"/>
        </w:trPr>
        <w:tc>
          <w:tcPr>
            <w:tcW w:w="1454" w:type="dxa"/>
            <w:vAlign w:val="center"/>
            <w:vMerge w:val="restart"/>
            <w:textDirection w:val="lrTb"/>
            <w:noWrap w:val="false"/>
          </w:tcPr>
          <w:p>
            <w:pPr>
              <w:pStyle w:val="1104"/>
              <w:jc w:val="center"/>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技术部分（</w:t>
            </w:r>
            <w:r>
              <w:rPr>
                <w:rFonts w:hint="eastAsia" w:ascii="仿宋" w:hAnsi="仿宋" w:eastAsia="仿宋" w:cs="仿宋"/>
                <w:color w:val="auto"/>
                <w:sz w:val="28"/>
                <w:szCs w:val="28"/>
                <w:highlight w:val="none"/>
                <w:lang w:val="en-US" w:eastAsia="zh-CN"/>
              </w:rPr>
              <w:t xml:space="preserve">76</w:t>
            </w:r>
            <w:r>
              <w:rPr>
                <w:rFonts w:hint="eastAsia" w:ascii="仿宋" w:hAnsi="仿宋" w:eastAsia="仿宋" w:cs="仿宋"/>
                <w:color w:val="auto"/>
                <w:sz w:val="28"/>
                <w:szCs w:val="28"/>
                <w:highlight w:val="none"/>
              </w:rPr>
              <w:t xml:space="preserve">分）</w:t>
            </w:r>
            <w:r/>
          </w:p>
        </w:tc>
        <w:tc>
          <w:tcPr>
            <w:tcW w:w="1350" w:type="dxa"/>
            <w:vAlign w:val="center"/>
            <w:textDirection w:val="lrTb"/>
            <w:noWrap w:val="false"/>
          </w:tcPr>
          <w:p>
            <w:pPr>
              <w:pStyle w:val="816"/>
              <w:ind w:left="0" w:right="0" w:firstLine="0"/>
              <w:keepLines w:val="0"/>
              <w:keepNext w:val="0"/>
              <w:pageBreakBefore w:val="0"/>
              <w:spacing w:after="0" w:line="360" w:lineRule="exact"/>
              <w:rPr>
                <w:rFonts w:hint="eastAsia" w:ascii="仿宋" w:hAnsi="仿宋" w:eastAsia="仿宋" w:cs="仿宋"/>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人员配备</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8分</w:t>
            </w:r>
            <w:r>
              <w:rPr>
                <w:rFonts w:hint="eastAsia" w:ascii="仿宋" w:hAnsi="仿宋" w:eastAsia="仿宋" w:cs="仿宋"/>
                <w:b w:val="0"/>
                <w:bCs/>
                <w:color w:val="auto"/>
                <w:sz w:val="28"/>
                <w:szCs w:val="28"/>
                <w:highlight w:val="none"/>
                <w:lang w:eastAsia="zh-CN"/>
              </w:rPr>
              <w:t xml:space="preserve">）</w:t>
            </w:r>
            <w:r/>
          </w:p>
        </w:tc>
        <w:tc>
          <w:tcPr>
            <w:tcW w:w="6747"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1、项目负责人具有高级技术职称证书得2分；</w:t>
            </w:r>
            <w:r/>
          </w:p>
          <w:p>
            <w:pPr>
              <w:jc w:val="left"/>
              <w:keepLines w:val="0"/>
              <w:keepNext w:val="0"/>
              <w:pageBreakBefore w:val="0"/>
              <w:spacing w:line="36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2、项目组其他成员具有中级及以上技术职称的，每有一人得1分，最高得6分；</w:t>
            </w:r>
            <w:r/>
          </w:p>
          <w:p>
            <w:pPr>
              <w:jc w:val="left"/>
              <w:keepLines w:val="0"/>
              <w:keepNext w:val="0"/>
              <w:pageBreakBefore w:val="0"/>
              <w:spacing w:line="3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注：投标文件中需同时提供相关证书原件扫描件及供应商近三个月为上述人员缴纳社会保险证明加盖章。</w:t>
            </w:r>
            <w:r/>
          </w:p>
        </w:tc>
      </w:tr>
      <w:tr>
        <w:trPr>
          <w:jc w:val="center"/>
          <w:trHeight w:val="20"/>
        </w:trPr>
        <w:tc>
          <w:tcPr>
            <w:tcW w:w="1454" w:type="dxa"/>
            <w:vAlign w:val="center"/>
            <w:vMerge w:val="continue"/>
            <w:textDirection w:val="lrTb"/>
            <w:noWrap w:val="false"/>
          </w:tcPr>
          <w:p>
            <w:pPr>
              <w:pStyle w:val="1104"/>
              <w:jc w:val="center"/>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50" w:type="dxa"/>
            <w:vAlign w:val="center"/>
            <w:textDirection w:val="lrTb"/>
            <w:noWrap w:val="false"/>
          </w:tcPr>
          <w:p>
            <w:pPr>
              <w:pStyle w:val="1104"/>
              <w:jc w:val="center"/>
              <w:keepLines w:val="0"/>
              <w:keepNext w:val="0"/>
              <w:pageBreakBefore w:val="0"/>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服务方案</w:t>
            </w:r>
            <w:r/>
          </w:p>
          <w:p>
            <w:pPr>
              <w:pStyle w:val="1104"/>
              <w:jc w:val="center"/>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(22</w:t>
            </w:r>
            <w:r>
              <w:rPr>
                <w:rFonts w:hint="eastAsia" w:ascii="仿宋" w:hAnsi="仿宋" w:eastAsia="仿宋" w:cs="仿宋"/>
                <w:color w:val="auto"/>
                <w:sz w:val="28"/>
                <w:szCs w:val="28"/>
                <w:highlight w:val="none"/>
              </w:rPr>
              <w:t xml:space="preserve">分）</w:t>
            </w:r>
            <w:r/>
          </w:p>
        </w:tc>
        <w:tc>
          <w:tcPr>
            <w:tcW w:w="6747" w:type="dxa"/>
            <w:vAlign w:val="top"/>
            <w:textDirection w:val="lrTb"/>
            <w:noWrap w:val="false"/>
          </w:tcPr>
          <w:p>
            <w:pPr>
              <w:pStyle w:val="1104"/>
              <w:jc w:val="left"/>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服务方案包括（野外调查、设备投入及室内工作）</w:t>
            </w:r>
            <w:r>
              <w:rPr>
                <w:rFonts w:hint="eastAsia" w:ascii="仿宋" w:hAnsi="仿宋" w:eastAsia="仿宋" w:cs="仿宋"/>
                <w:color w:val="auto"/>
                <w:sz w:val="28"/>
                <w:szCs w:val="28"/>
                <w:highlight w:val="none"/>
              </w:rPr>
              <w:t xml:space="preserve">对项目</w:t>
            </w:r>
            <w:r>
              <w:rPr>
                <w:rFonts w:hint="eastAsia" w:ascii="仿宋" w:hAnsi="仿宋" w:eastAsia="仿宋" w:cs="仿宋"/>
                <w:color w:val="auto"/>
                <w:sz w:val="28"/>
                <w:szCs w:val="28"/>
                <w:highlight w:val="none"/>
                <w:lang w:eastAsia="zh-CN"/>
              </w:rPr>
              <w:t xml:space="preserve">服务方案</w:t>
            </w:r>
            <w:r>
              <w:rPr>
                <w:rFonts w:hint="eastAsia" w:ascii="仿宋" w:hAnsi="仿宋" w:eastAsia="仿宋" w:cs="仿宋"/>
                <w:color w:val="auto"/>
                <w:sz w:val="28"/>
                <w:szCs w:val="28"/>
                <w:highlight w:val="none"/>
              </w:rPr>
              <w:t xml:space="preserve">的全面性、针对性、可行性进行评价。</w:t>
            </w:r>
            <w:r/>
          </w:p>
          <w:p>
            <w:pPr>
              <w:pStyle w:val="1104"/>
              <w:jc w:val="left"/>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分)：全面具体详实得</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分；较全面得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分；不全面得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，不提供</w:t>
            </w:r>
            <w:r>
              <w:rPr>
                <w:rFonts w:hint="eastAsia" w:ascii="仿宋" w:hAnsi="仿宋" w:eastAsia="仿宋" w:cs="仿宋"/>
                <w:color w:val="auto"/>
                <w:sz w:val="28"/>
                <w:szCs w:val="28"/>
                <w:highlight w:val="none"/>
                <w:lang w:val="en-US" w:eastAsia="zh-CN"/>
              </w:rPr>
              <w:t xml:space="preserve">不得分</w:t>
            </w:r>
            <w:r>
              <w:rPr>
                <w:rFonts w:hint="eastAsia" w:ascii="仿宋" w:hAnsi="仿宋" w:eastAsia="仿宋" w:cs="仿宋"/>
                <w:color w:val="auto"/>
                <w:sz w:val="28"/>
                <w:szCs w:val="28"/>
                <w:highlight w:val="none"/>
              </w:rPr>
              <w:t xml:space="preserve">。</w:t>
            </w:r>
            <w:r/>
          </w:p>
          <w:p>
            <w:pPr>
              <w:pStyle w:val="1104"/>
              <w:jc w:val="left"/>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针对性(</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分)：针对性强得</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分；针对性较强得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分；针对性不强得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，不提供</w:t>
            </w:r>
            <w:r>
              <w:rPr>
                <w:rFonts w:hint="eastAsia" w:ascii="仿宋" w:hAnsi="仿宋" w:eastAsia="仿宋" w:cs="仿宋"/>
                <w:color w:val="auto"/>
                <w:sz w:val="28"/>
                <w:szCs w:val="28"/>
                <w:highlight w:val="none"/>
                <w:lang w:val="en-US" w:eastAsia="zh-CN"/>
              </w:rPr>
              <w:t xml:space="preserve">不得分</w:t>
            </w:r>
            <w:r>
              <w:rPr>
                <w:rFonts w:hint="eastAsia" w:ascii="仿宋" w:hAnsi="仿宋" w:eastAsia="仿宋" w:cs="仿宋"/>
                <w:color w:val="auto"/>
                <w:sz w:val="28"/>
                <w:szCs w:val="28"/>
                <w:highlight w:val="none"/>
              </w:rPr>
              <w:t xml:space="preserve">。</w:t>
            </w:r>
            <w:r/>
          </w:p>
          <w:p>
            <w:pPr>
              <w:pStyle w:val="1104"/>
              <w:jc w:val="left"/>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可行性(</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分)：符合实际切实可行得</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分；较切实可行得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分；可行性欠缺得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，不提供</w:t>
            </w:r>
            <w:r>
              <w:rPr>
                <w:rFonts w:hint="eastAsia" w:ascii="仿宋" w:hAnsi="仿宋" w:eastAsia="仿宋" w:cs="仿宋"/>
                <w:color w:val="auto"/>
                <w:sz w:val="28"/>
                <w:szCs w:val="28"/>
                <w:highlight w:val="none"/>
                <w:lang w:val="en-US" w:eastAsia="zh-CN"/>
              </w:rPr>
              <w:t xml:space="preserve">不得分。</w:t>
            </w:r>
            <w:r/>
          </w:p>
        </w:tc>
      </w:tr>
      <w:tr>
        <w:trPr>
          <w:jc w:val="center"/>
          <w:trHeight w:val="20"/>
        </w:trPr>
        <w:tc>
          <w:tcPr>
            <w:tcW w:w="1454" w:type="dxa"/>
            <w:vAlign w:val="center"/>
            <w:vMerge w:val="continue"/>
            <w:textDirection w:val="lrTb"/>
            <w:noWrap w:val="false"/>
          </w:tcPr>
          <w:p>
            <w:pPr>
              <w:pStyle w:val="1104"/>
              <w:jc w:val="center"/>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50" w:type="dxa"/>
            <w:vAlign w:val="center"/>
            <w:textDirection w:val="lrTb"/>
            <w:noWrap w:val="false"/>
          </w:tcPr>
          <w:p>
            <w:pPr>
              <w:pStyle w:val="1104"/>
              <w:jc w:val="center"/>
              <w:keepLines w:val="0"/>
              <w:keepNext w:val="0"/>
              <w:pageBreakBefore w:val="0"/>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服务保障措施</w:t>
            </w:r>
            <w:r/>
          </w:p>
          <w:p>
            <w:pPr>
              <w:pStyle w:val="1104"/>
              <w:jc w:val="center"/>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(14</w:t>
            </w:r>
            <w:r>
              <w:rPr>
                <w:rFonts w:hint="eastAsia" w:ascii="仿宋" w:hAnsi="仿宋" w:eastAsia="仿宋" w:cs="仿宋"/>
                <w:color w:val="auto"/>
                <w:sz w:val="28"/>
                <w:szCs w:val="28"/>
                <w:highlight w:val="none"/>
              </w:rPr>
              <w:t xml:space="preserve">分）</w:t>
            </w:r>
            <w:r/>
          </w:p>
        </w:tc>
        <w:tc>
          <w:tcPr>
            <w:tcW w:w="6747" w:type="dxa"/>
            <w:vAlign w:val="center"/>
            <w:textDirection w:val="lrTb"/>
            <w:noWrap w:val="false"/>
          </w:tcPr>
          <w:p>
            <w:pPr>
              <w:pStyle w:val="1104"/>
              <w:jc w:val="left"/>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根据投标文件中提供的服务保障措施（包括</w:t>
            </w:r>
            <w:r>
              <w:rPr>
                <w:rFonts w:hint="eastAsia" w:ascii="仿宋" w:hAnsi="仿宋" w:eastAsia="仿宋" w:cs="仿宋"/>
                <w:color w:val="auto"/>
                <w:sz w:val="28"/>
                <w:szCs w:val="28"/>
                <w:lang w:val="en-US" w:eastAsia="zh-CN"/>
              </w:rPr>
              <w:t xml:space="preserve">技术支撑，后期修订、部门对接等工作</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的全面性、针对性进行评价。</w:t>
            </w:r>
            <w:r/>
          </w:p>
          <w:p>
            <w:pPr>
              <w:pStyle w:val="1104"/>
              <w:jc w:val="left"/>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分)：全面具体详实得</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分；较全面得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分；不全面得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，不提供</w:t>
            </w:r>
            <w:r>
              <w:rPr>
                <w:rFonts w:hint="eastAsia" w:ascii="仿宋" w:hAnsi="仿宋" w:eastAsia="仿宋" w:cs="仿宋"/>
                <w:color w:val="auto"/>
                <w:sz w:val="28"/>
                <w:szCs w:val="28"/>
                <w:highlight w:val="none"/>
                <w:lang w:val="en-US" w:eastAsia="zh-CN"/>
              </w:rPr>
              <w:t xml:space="preserve">不得分</w:t>
            </w:r>
            <w:r>
              <w:rPr>
                <w:rFonts w:hint="eastAsia" w:ascii="仿宋" w:hAnsi="仿宋" w:eastAsia="仿宋" w:cs="仿宋"/>
                <w:color w:val="auto"/>
                <w:sz w:val="28"/>
                <w:szCs w:val="28"/>
                <w:highlight w:val="none"/>
              </w:rPr>
              <w:t xml:space="preserve">。</w:t>
            </w:r>
            <w:r/>
          </w:p>
          <w:p>
            <w:pPr>
              <w:pStyle w:val="1104"/>
              <w:jc w:val="left"/>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针对性(</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分)：针对性强得</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分；针对性较强得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分；针对性不强得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，不提供</w:t>
            </w:r>
            <w:r>
              <w:rPr>
                <w:rFonts w:hint="eastAsia" w:ascii="仿宋" w:hAnsi="仿宋" w:eastAsia="仿宋" w:cs="仿宋"/>
                <w:color w:val="auto"/>
                <w:sz w:val="28"/>
                <w:szCs w:val="28"/>
                <w:highlight w:val="none"/>
                <w:lang w:val="en-US" w:eastAsia="zh-CN"/>
              </w:rPr>
              <w:t xml:space="preserve">不得分</w:t>
            </w:r>
            <w:r>
              <w:rPr>
                <w:rFonts w:hint="eastAsia" w:ascii="仿宋" w:hAnsi="仿宋" w:eastAsia="仿宋" w:cs="仿宋"/>
                <w:color w:val="auto"/>
                <w:sz w:val="28"/>
                <w:szCs w:val="28"/>
                <w:highlight w:val="none"/>
              </w:rPr>
              <w:t xml:space="preserve">。</w:t>
            </w:r>
            <w:r/>
          </w:p>
        </w:tc>
      </w:tr>
      <w:tr>
        <w:trPr>
          <w:jc w:val="center"/>
          <w:trHeight w:val="20"/>
        </w:trPr>
        <w:tc>
          <w:tcPr>
            <w:tcW w:w="1454" w:type="dxa"/>
            <w:vAlign w:val="center"/>
            <w:vMerge w:val="continue"/>
            <w:textDirection w:val="lrTb"/>
            <w:noWrap w:val="false"/>
          </w:tcPr>
          <w:p>
            <w:pPr>
              <w:pStyle w:val="1104"/>
              <w:jc w:val="center"/>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50" w:type="dxa"/>
            <w:vAlign w:val="center"/>
            <w:textDirection w:val="lrTb"/>
            <w:noWrap w:val="false"/>
          </w:tcPr>
          <w:p>
            <w:pPr>
              <w:pStyle w:val="1104"/>
              <w:jc w:val="center"/>
              <w:keepLines w:val="0"/>
              <w:keepNext w:val="0"/>
              <w:pageBreakBefore w:val="0"/>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安全</w:t>
            </w:r>
            <w:r>
              <w:rPr>
                <w:rFonts w:hint="eastAsia" w:ascii="仿宋" w:hAnsi="仿宋" w:eastAsia="仿宋" w:cs="仿宋"/>
                <w:color w:val="auto"/>
                <w:sz w:val="28"/>
                <w:szCs w:val="28"/>
                <w:highlight w:val="none"/>
                <w:lang w:eastAsia="zh-CN"/>
              </w:rPr>
              <w:t xml:space="preserve">保障措施</w:t>
            </w:r>
            <w:r/>
          </w:p>
          <w:p>
            <w:pPr>
              <w:pStyle w:val="1104"/>
              <w:jc w:val="center"/>
              <w:keepLines w:val="0"/>
              <w:keepNext w:val="0"/>
              <w:pageBreakBefore w:val="0"/>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(7分</w:t>
            </w:r>
            <w:r>
              <w:rPr>
                <w:rFonts w:hint="eastAsia" w:ascii="仿宋" w:hAnsi="仿宋" w:eastAsia="仿宋" w:cs="仿宋"/>
                <w:color w:val="auto"/>
                <w:sz w:val="28"/>
                <w:szCs w:val="28"/>
                <w:highlight w:val="none"/>
                <w:lang w:eastAsia="zh-CN"/>
              </w:rPr>
              <w:t xml:space="preserve">）</w:t>
            </w:r>
            <w:r/>
          </w:p>
        </w:tc>
        <w:tc>
          <w:tcPr>
            <w:tcW w:w="6747" w:type="dxa"/>
            <w:vAlign w:val="top"/>
            <w:textDirection w:val="lrTb"/>
            <w:noWrap w:val="false"/>
          </w:tcPr>
          <w:p>
            <w:pPr>
              <w:pStyle w:val="1104"/>
              <w:jc w:val="both"/>
              <w:keepLines w:val="0"/>
              <w:keepNext w:val="0"/>
              <w:pageBreakBefore w:val="0"/>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根据</w:t>
            </w:r>
            <w:r>
              <w:rPr>
                <w:rFonts w:hint="eastAsia" w:ascii="仿宋" w:hAnsi="仿宋" w:eastAsia="仿宋" w:cs="仿宋"/>
                <w:color w:val="auto"/>
                <w:sz w:val="28"/>
                <w:szCs w:val="28"/>
                <w:lang w:eastAsia="zh-CN"/>
              </w:rPr>
              <w:t xml:space="preserve">投标文件中提供的</w:t>
            </w:r>
            <w:r>
              <w:rPr>
                <w:rFonts w:hint="eastAsia" w:ascii="仿宋" w:hAnsi="仿宋" w:eastAsia="仿宋" w:cs="仿宋"/>
                <w:color w:val="auto"/>
                <w:sz w:val="28"/>
                <w:szCs w:val="28"/>
              </w:rPr>
              <w:t xml:space="preserve">安全措施进行评价。</w:t>
            </w:r>
            <w:r/>
          </w:p>
          <w:p>
            <w:pPr>
              <w:pStyle w:val="1104"/>
              <w:jc w:val="both"/>
              <w:keepLines w:val="0"/>
              <w:keepNext w:val="0"/>
              <w:pageBreakBefore w:val="0"/>
              <w:spacing w:line="360" w:lineRule="exact"/>
              <w:rPr>
                <w:rFonts w:hint="eastAsia"/>
                <w:color w:val="auto"/>
                <w:lang w:eastAsia="zh-CN"/>
              </w:rPr>
            </w:pPr>
            <w:r>
              <w:rPr>
                <w:rFonts w:hint="eastAsia" w:ascii="仿宋" w:hAnsi="仿宋" w:eastAsia="仿宋" w:cs="仿宋"/>
                <w:color w:val="auto"/>
                <w:sz w:val="28"/>
                <w:szCs w:val="28"/>
                <w:highlight w:val="none"/>
                <w:lang w:eastAsia="zh-CN"/>
              </w:rPr>
              <w:t xml:space="preserve">措施</w:t>
            </w:r>
            <w:r>
              <w:rPr>
                <w:rFonts w:hint="eastAsia" w:ascii="仿宋" w:hAnsi="仿宋" w:eastAsia="仿宋" w:cs="仿宋"/>
                <w:color w:val="auto"/>
                <w:sz w:val="28"/>
                <w:szCs w:val="28"/>
                <w:highlight w:val="none"/>
              </w:rPr>
              <w:t xml:space="preserve">全面具体详实</w:t>
            </w:r>
            <w:r>
              <w:rPr>
                <w:rFonts w:hint="eastAsia" w:ascii="仿宋" w:hAnsi="仿宋" w:eastAsia="仿宋" w:cs="仿宋"/>
                <w:color w:val="auto"/>
                <w:sz w:val="28"/>
                <w:szCs w:val="28"/>
                <w:highlight w:val="none"/>
                <w:lang w:eastAsia="zh-CN"/>
              </w:rPr>
              <w:t xml:space="preserve">、切实可行的得</w:t>
            </w:r>
            <w:r>
              <w:rPr>
                <w:rFonts w:hint="eastAsia" w:ascii="仿宋" w:hAnsi="仿宋" w:eastAsia="仿宋" w:cs="仿宋"/>
                <w:color w:val="auto"/>
                <w:sz w:val="28"/>
                <w:szCs w:val="28"/>
                <w:highlight w:val="none"/>
                <w:lang w:val="en-US" w:eastAsia="zh-CN"/>
              </w:rPr>
              <w:t xml:space="preserve">7分，较</w:t>
            </w:r>
            <w:r>
              <w:rPr>
                <w:rFonts w:hint="eastAsia" w:ascii="仿宋" w:hAnsi="仿宋" w:eastAsia="仿宋" w:cs="仿宋"/>
                <w:color w:val="auto"/>
                <w:sz w:val="28"/>
                <w:szCs w:val="28"/>
                <w:highlight w:val="none"/>
              </w:rPr>
              <w:t xml:space="preserve">全面详实</w:t>
            </w:r>
            <w:r>
              <w:rPr>
                <w:rFonts w:hint="eastAsia" w:ascii="仿宋" w:hAnsi="仿宋" w:eastAsia="仿宋" w:cs="仿宋"/>
                <w:color w:val="auto"/>
                <w:sz w:val="28"/>
                <w:szCs w:val="28"/>
                <w:highlight w:val="none"/>
                <w:lang w:eastAsia="zh-CN"/>
              </w:rPr>
              <w:t xml:space="preserve">、可行的得</w:t>
            </w:r>
            <w:r>
              <w:rPr>
                <w:rFonts w:hint="eastAsia" w:ascii="仿宋" w:hAnsi="仿宋" w:eastAsia="仿宋" w:cs="仿宋"/>
                <w:color w:val="auto"/>
                <w:sz w:val="28"/>
                <w:szCs w:val="28"/>
                <w:highlight w:val="none"/>
                <w:lang w:val="en-US" w:eastAsia="zh-CN"/>
              </w:rPr>
              <w:t xml:space="preserve">4分，可行性欠缺的得2分，</w:t>
            </w:r>
            <w:r>
              <w:rPr>
                <w:rFonts w:hint="eastAsia" w:ascii="仿宋" w:hAnsi="仿宋" w:eastAsia="仿宋" w:cs="仿宋"/>
                <w:color w:val="auto"/>
                <w:sz w:val="28"/>
                <w:szCs w:val="28"/>
                <w:highlight w:val="none"/>
                <w:lang w:eastAsia="zh-CN"/>
              </w:rPr>
              <w:t xml:space="preserve">不提供</w:t>
            </w:r>
            <w:r>
              <w:rPr>
                <w:rFonts w:hint="eastAsia" w:ascii="仿宋" w:hAnsi="仿宋" w:eastAsia="仿宋" w:cs="仿宋"/>
                <w:color w:val="auto"/>
                <w:sz w:val="28"/>
                <w:szCs w:val="28"/>
                <w:highlight w:val="none"/>
                <w:lang w:val="en-US" w:eastAsia="zh-CN"/>
              </w:rPr>
              <w:t xml:space="preserve">不得分。</w:t>
            </w:r>
            <w:r/>
          </w:p>
        </w:tc>
      </w:tr>
      <w:tr>
        <w:trPr>
          <w:jc w:val="center"/>
          <w:trHeight w:val="20"/>
        </w:trPr>
        <w:tc>
          <w:tcPr>
            <w:tcW w:w="1454" w:type="dxa"/>
            <w:vAlign w:val="center"/>
            <w:vMerge w:val="continue"/>
            <w:textDirection w:val="lrTb"/>
            <w:noWrap w:val="false"/>
          </w:tcPr>
          <w:p>
            <w:pPr>
              <w:pStyle w:val="1104"/>
              <w:jc w:val="center"/>
              <w:keepLines w:val="0"/>
              <w:keepNext w:val="0"/>
              <w:pageBreakBefore w:val="0"/>
              <w:spacing w:line="3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50" w:type="dxa"/>
            <w:vAlign w:val="center"/>
            <w:textDirection w:val="lrTb"/>
            <w:noWrap w:val="false"/>
          </w:tcPr>
          <w:p>
            <w:pPr>
              <w:pStyle w:val="1104"/>
              <w:jc w:val="center"/>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保密措施</w:t>
            </w:r>
            <w:r/>
          </w:p>
          <w:p>
            <w:pPr>
              <w:pStyle w:val="1104"/>
              <w:jc w:val="center"/>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tc>
        <w:tc>
          <w:tcPr>
            <w:tcW w:w="6747" w:type="dxa"/>
            <w:vAlign w:val="center"/>
            <w:textDirection w:val="lrTb"/>
            <w:noWrap w:val="false"/>
          </w:tcPr>
          <w:p>
            <w:pPr>
              <w:pStyle w:val="1104"/>
              <w:jc w:val="left"/>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lang w:eastAsia="zh-CN"/>
              </w:rPr>
              <w:t xml:space="preserve">投标文件中提供的</w:t>
            </w:r>
            <w:r>
              <w:rPr>
                <w:rFonts w:hint="eastAsia" w:ascii="仿宋" w:hAnsi="仿宋" w:eastAsia="仿宋" w:cs="仿宋"/>
                <w:color w:val="auto"/>
                <w:sz w:val="28"/>
                <w:szCs w:val="28"/>
                <w:highlight w:val="none"/>
              </w:rPr>
              <w:t xml:space="preserve">数据资料保密措施进行评价。</w:t>
            </w:r>
            <w:r/>
          </w:p>
          <w:p>
            <w:pPr>
              <w:pStyle w:val="1104"/>
              <w:jc w:val="left"/>
              <w:keepLines w:val="0"/>
              <w:keepNext w:val="0"/>
              <w:pageBreakBefore w:val="0"/>
              <w:spacing w:line="36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全面具体详实</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针对性</w:t>
            </w:r>
            <w:r>
              <w:rPr>
                <w:rFonts w:hint="eastAsia" w:ascii="仿宋" w:hAnsi="仿宋" w:eastAsia="仿宋" w:cs="仿宋"/>
                <w:color w:val="auto"/>
                <w:sz w:val="28"/>
                <w:szCs w:val="28"/>
                <w:highlight w:val="none"/>
                <w:lang w:eastAsia="zh-CN"/>
              </w:rPr>
              <w:t xml:space="preserve">强的得</w:t>
            </w:r>
            <w:r>
              <w:rPr>
                <w:rFonts w:hint="eastAsia" w:ascii="仿宋" w:hAnsi="仿宋" w:eastAsia="仿宋" w:cs="仿宋"/>
                <w:color w:val="auto"/>
                <w:sz w:val="28"/>
                <w:szCs w:val="28"/>
                <w:highlight w:val="none"/>
                <w:lang w:val="en-US" w:eastAsia="zh-CN"/>
              </w:rPr>
              <w:t xml:space="preserve">6分，较</w:t>
            </w:r>
            <w:r>
              <w:rPr>
                <w:rFonts w:hint="eastAsia" w:ascii="仿宋" w:hAnsi="仿宋" w:eastAsia="仿宋" w:cs="仿宋"/>
                <w:color w:val="auto"/>
                <w:sz w:val="28"/>
                <w:szCs w:val="28"/>
                <w:highlight w:val="none"/>
              </w:rPr>
              <w:t xml:space="preserve">全面</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针对性</w:t>
            </w:r>
            <w:r>
              <w:rPr>
                <w:rFonts w:hint="eastAsia" w:ascii="仿宋" w:hAnsi="仿宋" w:eastAsia="仿宋" w:cs="仿宋"/>
                <w:color w:val="auto"/>
                <w:sz w:val="28"/>
                <w:szCs w:val="28"/>
                <w:highlight w:val="none"/>
                <w:lang w:eastAsia="zh-CN"/>
              </w:rPr>
              <w:t xml:space="preserve">较强的得</w:t>
            </w:r>
            <w:r>
              <w:rPr>
                <w:rFonts w:hint="eastAsia" w:ascii="仿宋" w:hAnsi="仿宋" w:eastAsia="仿宋" w:cs="仿宋"/>
                <w:color w:val="auto"/>
                <w:sz w:val="28"/>
                <w:szCs w:val="28"/>
                <w:highlight w:val="none"/>
                <w:lang w:val="en-US" w:eastAsia="zh-CN"/>
              </w:rPr>
              <w:t xml:space="preserve">4分，可行性欠缺的得2分，</w:t>
            </w:r>
            <w:r>
              <w:rPr>
                <w:rFonts w:hint="eastAsia" w:ascii="仿宋" w:hAnsi="仿宋" w:eastAsia="仿宋" w:cs="仿宋"/>
                <w:color w:val="auto"/>
                <w:sz w:val="28"/>
                <w:szCs w:val="28"/>
                <w:highlight w:val="none"/>
                <w:lang w:eastAsia="zh-CN"/>
              </w:rPr>
              <w:t xml:space="preserve">不提供</w:t>
            </w:r>
            <w:r>
              <w:rPr>
                <w:rFonts w:hint="eastAsia" w:ascii="仿宋" w:hAnsi="仿宋" w:eastAsia="仿宋" w:cs="仿宋"/>
                <w:color w:val="auto"/>
                <w:sz w:val="28"/>
                <w:szCs w:val="28"/>
                <w:highlight w:val="none"/>
                <w:lang w:val="en-US" w:eastAsia="zh-CN"/>
              </w:rPr>
              <w:t xml:space="preserve">不得分。</w:t>
            </w:r>
            <w:r/>
          </w:p>
        </w:tc>
      </w:tr>
      <w:tr>
        <w:trPr>
          <w:jc w:val="center"/>
          <w:trHeight w:val="20"/>
        </w:trPr>
        <w:tc>
          <w:tcPr>
            <w:tcW w:w="1454" w:type="dxa"/>
            <w:vAlign w:val="center"/>
            <w:vMerge w:val="continue"/>
            <w:textDirection w:val="lrTb"/>
            <w:noWrap w:val="false"/>
          </w:tcPr>
          <w:p>
            <w:pPr>
              <w:pStyle w:val="1104"/>
              <w:jc w:val="center"/>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50" w:type="dxa"/>
            <w:vAlign w:val="center"/>
            <w:textDirection w:val="lrTb"/>
            <w:noWrap w:val="false"/>
          </w:tcPr>
          <w:p>
            <w:pPr>
              <w:pStyle w:val="1104"/>
              <w:jc w:val="center"/>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合理化建议</w:t>
            </w:r>
            <w:r/>
          </w:p>
          <w:p>
            <w:pPr>
              <w:pStyle w:val="1104"/>
              <w:jc w:val="center"/>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分）</w:t>
            </w:r>
            <w:r/>
          </w:p>
        </w:tc>
        <w:tc>
          <w:tcPr>
            <w:tcW w:w="6747" w:type="dxa"/>
            <w:vAlign w:val="center"/>
            <w:textDirection w:val="lrTb"/>
            <w:noWrap w:val="false"/>
          </w:tcPr>
          <w:p>
            <w:pPr>
              <w:pStyle w:val="1104"/>
              <w:jc w:val="left"/>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分析项目的难点和重点，提出创新、创优等合理化建议，根据建议的全面性、针对性进行评价。</w:t>
            </w:r>
            <w:r/>
          </w:p>
          <w:p>
            <w:pPr>
              <w:pStyle w:val="1104"/>
              <w:jc w:val="left"/>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全面性(</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分)：全面具体详实得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分；较全面得2分；不全面得1分</w:t>
            </w:r>
            <w:r>
              <w:rPr>
                <w:rFonts w:hint="eastAsia" w:ascii="仿宋" w:hAnsi="仿宋" w:eastAsia="仿宋" w:cs="仿宋"/>
                <w:color w:val="auto"/>
                <w:sz w:val="28"/>
                <w:szCs w:val="28"/>
                <w:highlight w:val="none"/>
                <w:lang w:eastAsia="zh-CN"/>
              </w:rPr>
              <w:t xml:space="preserve">，不提供</w:t>
            </w:r>
            <w:r>
              <w:rPr>
                <w:rFonts w:hint="eastAsia" w:ascii="仿宋" w:hAnsi="仿宋" w:eastAsia="仿宋" w:cs="仿宋"/>
                <w:color w:val="auto"/>
                <w:sz w:val="28"/>
                <w:szCs w:val="28"/>
                <w:highlight w:val="none"/>
                <w:lang w:val="en-US" w:eastAsia="zh-CN"/>
              </w:rPr>
              <w:t xml:space="preserve">不得分</w:t>
            </w:r>
            <w:r>
              <w:rPr>
                <w:rFonts w:hint="eastAsia" w:ascii="仿宋" w:hAnsi="仿宋" w:eastAsia="仿宋" w:cs="仿宋"/>
                <w:color w:val="auto"/>
                <w:sz w:val="28"/>
                <w:szCs w:val="28"/>
                <w:highlight w:val="none"/>
              </w:rPr>
              <w:t xml:space="preserve">。</w:t>
            </w:r>
            <w:r/>
          </w:p>
          <w:p>
            <w:pPr>
              <w:pStyle w:val="1104"/>
              <w:jc w:val="left"/>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针对性(</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分)：针对性强得</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分；针对性较强得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针对性不强得1分</w:t>
            </w:r>
            <w:r>
              <w:rPr>
                <w:rFonts w:hint="eastAsia" w:ascii="仿宋" w:hAnsi="仿宋" w:eastAsia="仿宋" w:cs="仿宋"/>
                <w:color w:val="auto"/>
                <w:sz w:val="28"/>
                <w:szCs w:val="28"/>
                <w:highlight w:val="none"/>
                <w:lang w:eastAsia="zh-CN"/>
              </w:rPr>
              <w:t xml:space="preserve">，不提供</w:t>
            </w:r>
            <w:r>
              <w:rPr>
                <w:rFonts w:hint="eastAsia" w:ascii="仿宋" w:hAnsi="仿宋" w:eastAsia="仿宋" w:cs="仿宋"/>
                <w:color w:val="auto"/>
                <w:sz w:val="28"/>
                <w:szCs w:val="28"/>
                <w:highlight w:val="none"/>
                <w:lang w:val="en-US" w:eastAsia="zh-CN"/>
              </w:rPr>
              <w:t xml:space="preserve">不得分</w:t>
            </w:r>
            <w:r>
              <w:rPr>
                <w:rFonts w:hint="eastAsia" w:ascii="仿宋" w:hAnsi="仿宋" w:eastAsia="仿宋" w:cs="仿宋"/>
                <w:color w:val="auto"/>
                <w:sz w:val="28"/>
                <w:szCs w:val="28"/>
                <w:highlight w:val="none"/>
              </w:rPr>
              <w:t xml:space="preserve">。</w:t>
            </w:r>
            <w:r/>
          </w:p>
        </w:tc>
      </w:tr>
      <w:tr>
        <w:trPr>
          <w:jc w:val="center"/>
          <w:trHeight w:val="20"/>
        </w:trPr>
        <w:tc>
          <w:tcPr>
            <w:tcW w:w="1454" w:type="dxa"/>
            <w:vAlign w:val="center"/>
            <w:vMerge w:val="continue"/>
            <w:textDirection w:val="lrTb"/>
            <w:noWrap w:val="false"/>
          </w:tcPr>
          <w:p>
            <w:pPr>
              <w:pStyle w:val="1104"/>
              <w:jc w:val="center"/>
              <w:keepLines w:val="0"/>
              <w:keepNext w:val="0"/>
              <w:pageBreakBefore w:val="0"/>
              <w:spacing w:line="360" w:lineRule="exact"/>
              <w:tabs>
                <w:tab w:val="left" w:pos="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50" w:type="dxa"/>
            <w:vAlign w:val="center"/>
            <w:textDirection w:val="lrTb"/>
            <w:noWrap w:val="false"/>
          </w:tcPr>
          <w:p>
            <w:pPr>
              <w:pStyle w:val="1104"/>
              <w:jc w:val="center"/>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技术</w:t>
            </w:r>
            <w:r>
              <w:rPr>
                <w:rFonts w:hint="eastAsia" w:ascii="仿宋" w:hAnsi="仿宋" w:eastAsia="仿宋" w:cs="仿宋"/>
                <w:color w:val="auto"/>
                <w:sz w:val="28"/>
                <w:szCs w:val="28"/>
                <w:highlight w:val="none"/>
              </w:rPr>
              <w:t xml:space="preserve">培训</w:t>
            </w:r>
            <w:r/>
          </w:p>
          <w:p>
            <w:pPr>
              <w:pStyle w:val="1104"/>
              <w:jc w:val="center"/>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tc>
        <w:tc>
          <w:tcPr>
            <w:tcW w:w="6747" w:type="dxa"/>
            <w:vAlign w:val="center"/>
            <w:textDirection w:val="lrTb"/>
            <w:noWrap w:val="false"/>
          </w:tcPr>
          <w:p>
            <w:pPr>
              <w:pStyle w:val="1104"/>
              <w:jc w:val="left"/>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lang w:val="en-US" w:eastAsia="zh-CN"/>
              </w:rPr>
              <w:t xml:space="preserve">根据投标文件提供</w:t>
            </w:r>
            <w:r>
              <w:rPr>
                <w:rFonts w:hint="eastAsia" w:ascii="仿宋" w:hAnsi="仿宋" w:eastAsia="仿宋" w:cs="仿宋"/>
                <w:color w:val="auto"/>
                <w:sz w:val="28"/>
                <w:szCs w:val="28"/>
                <w:highlight w:val="none"/>
              </w:rPr>
              <w:t xml:space="preserve">的培训方案进行评价。</w:t>
            </w:r>
            <w:r/>
          </w:p>
          <w:p>
            <w:pPr>
              <w:pStyle w:val="1104"/>
              <w:jc w:val="left"/>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全面具体详实</w:t>
            </w:r>
            <w:r>
              <w:rPr>
                <w:rFonts w:hint="eastAsia" w:ascii="仿宋" w:hAnsi="仿宋" w:eastAsia="仿宋" w:cs="仿宋"/>
                <w:color w:val="auto"/>
                <w:sz w:val="28"/>
                <w:szCs w:val="28"/>
                <w:highlight w:val="none"/>
                <w:lang w:eastAsia="zh-CN"/>
              </w:rPr>
              <w:t xml:space="preserve">、切实可行的得</w:t>
            </w:r>
            <w:r>
              <w:rPr>
                <w:rFonts w:hint="eastAsia" w:ascii="仿宋" w:hAnsi="仿宋" w:eastAsia="仿宋" w:cs="仿宋"/>
                <w:color w:val="auto"/>
                <w:sz w:val="28"/>
                <w:szCs w:val="28"/>
                <w:highlight w:val="none"/>
                <w:lang w:val="en-US" w:eastAsia="zh-CN"/>
              </w:rPr>
              <w:t xml:space="preserve">6分，较</w:t>
            </w:r>
            <w:r>
              <w:rPr>
                <w:rFonts w:hint="eastAsia" w:ascii="仿宋" w:hAnsi="仿宋" w:eastAsia="仿宋" w:cs="仿宋"/>
                <w:color w:val="auto"/>
                <w:sz w:val="28"/>
                <w:szCs w:val="28"/>
                <w:highlight w:val="none"/>
              </w:rPr>
              <w:t xml:space="preserve">全面详实</w:t>
            </w:r>
            <w:r>
              <w:rPr>
                <w:rFonts w:hint="eastAsia" w:ascii="仿宋" w:hAnsi="仿宋" w:eastAsia="仿宋" w:cs="仿宋"/>
                <w:color w:val="auto"/>
                <w:sz w:val="28"/>
                <w:szCs w:val="28"/>
                <w:highlight w:val="none"/>
                <w:lang w:eastAsia="zh-CN"/>
              </w:rPr>
              <w:t xml:space="preserve">、可行的得</w:t>
            </w:r>
            <w:r>
              <w:rPr>
                <w:rFonts w:hint="eastAsia" w:ascii="仿宋" w:hAnsi="仿宋" w:eastAsia="仿宋" w:cs="仿宋"/>
                <w:color w:val="auto"/>
                <w:sz w:val="28"/>
                <w:szCs w:val="28"/>
                <w:highlight w:val="none"/>
                <w:lang w:val="en-US" w:eastAsia="zh-CN"/>
              </w:rPr>
              <w:t xml:space="preserve">4分，可行性欠缺的得2分，</w:t>
            </w:r>
            <w:r>
              <w:rPr>
                <w:rFonts w:hint="eastAsia" w:ascii="仿宋" w:hAnsi="仿宋" w:eastAsia="仿宋" w:cs="仿宋"/>
                <w:color w:val="auto"/>
                <w:sz w:val="28"/>
                <w:szCs w:val="28"/>
                <w:highlight w:val="none"/>
                <w:lang w:eastAsia="zh-CN"/>
              </w:rPr>
              <w:t xml:space="preserve">不提供</w:t>
            </w:r>
            <w:r>
              <w:rPr>
                <w:rFonts w:hint="eastAsia" w:ascii="仿宋" w:hAnsi="仿宋" w:eastAsia="仿宋" w:cs="仿宋"/>
                <w:color w:val="auto"/>
                <w:sz w:val="28"/>
                <w:szCs w:val="28"/>
                <w:highlight w:val="none"/>
                <w:lang w:val="en-US" w:eastAsia="zh-CN"/>
              </w:rPr>
              <w:t xml:space="preserve">不得分。</w:t>
            </w:r>
            <w:r/>
          </w:p>
        </w:tc>
      </w:tr>
      <w:tr>
        <w:trPr>
          <w:jc w:val="center"/>
          <w:trHeight w:val="20"/>
        </w:trPr>
        <w:tc>
          <w:tcPr>
            <w:tcW w:w="1454" w:type="dxa"/>
            <w:vAlign w:val="center"/>
            <w:vMerge w:val="continue"/>
            <w:textDirection w:val="lrTb"/>
            <w:noWrap w:val="false"/>
          </w:tcPr>
          <w:p>
            <w:pPr>
              <w:pStyle w:val="1104"/>
              <w:jc w:val="center"/>
              <w:keepLines w:val="0"/>
              <w:keepNext w:val="0"/>
              <w:pageBreakBefore w:val="0"/>
              <w:spacing w:line="360" w:lineRule="exact"/>
              <w:tabs>
                <w:tab w:val="left" w:pos="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50" w:type="dxa"/>
            <w:vAlign w:val="center"/>
            <w:textDirection w:val="lrTb"/>
            <w:noWrap w:val="false"/>
          </w:tcPr>
          <w:p>
            <w:pPr>
              <w:pStyle w:val="816"/>
              <w:ind w:left="0" w:right="0" w:firstLine="0"/>
              <w:keepLines w:val="0"/>
              <w:keepNext w:val="0"/>
              <w:pageBreakBefore w:val="0"/>
              <w:spacing w:after="0" w:line="36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应急预案</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b w:val="0"/>
                <w:bCs/>
                <w:color w:val="auto"/>
                <w:sz w:val="28"/>
                <w:szCs w:val="28"/>
                <w:highlight w:val="none"/>
                <w:lang w:val="en-US" w:eastAsia="zh-CN"/>
              </w:rPr>
              <w:t xml:space="preserve">6分</w:t>
            </w:r>
            <w:r>
              <w:rPr>
                <w:rFonts w:hint="eastAsia" w:ascii="仿宋" w:hAnsi="仿宋" w:eastAsia="仿宋" w:cs="仿宋"/>
                <w:b w:val="0"/>
                <w:bCs/>
                <w:color w:val="auto"/>
                <w:sz w:val="28"/>
                <w:szCs w:val="28"/>
                <w:highlight w:val="none"/>
                <w:lang w:eastAsia="zh-CN"/>
              </w:rPr>
              <w:t xml:space="preserve">）</w:t>
            </w:r>
            <w:r/>
          </w:p>
        </w:tc>
        <w:tc>
          <w:tcPr>
            <w:tcW w:w="6747" w:type="dxa"/>
            <w:vAlign w:val="center"/>
            <w:textDirection w:val="lrTb"/>
            <w:noWrap w:val="false"/>
          </w:tcPr>
          <w:p>
            <w:pPr>
              <w:pStyle w:val="816"/>
              <w:rPr>
                <w:rFonts w:hint="default" w:eastAsia="仿宋"/>
                <w:color w:val="auto"/>
                <w:lang w:val="en-US" w:eastAsia="zh-CN"/>
              </w:rPr>
            </w:pPr>
            <w:r>
              <w:rPr>
                <w:rFonts w:hint="eastAsia" w:ascii="仿宋" w:hAnsi="仿宋" w:eastAsia="仿宋" w:cs="仿宋"/>
                <w:color w:val="auto"/>
                <w:sz w:val="28"/>
                <w:szCs w:val="28"/>
                <w:lang w:val="en-US" w:eastAsia="zh-CN"/>
              </w:rPr>
              <w:t xml:space="preserve">根据投标文件提供应急预案</w:t>
            </w:r>
            <w:r>
              <w:rPr>
                <w:rFonts w:hint="eastAsia" w:ascii="仿宋" w:hAnsi="仿宋" w:eastAsia="仿宋" w:cs="仿宋"/>
                <w:color w:val="auto"/>
                <w:sz w:val="28"/>
                <w:szCs w:val="28"/>
                <w:highlight w:val="none"/>
              </w:rPr>
              <w:t xml:space="preserve">进行评价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全面具体详实</w:t>
            </w:r>
            <w:r>
              <w:rPr>
                <w:rFonts w:hint="eastAsia" w:ascii="仿宋" w:hAnsi="仿宋" w:eastAsia="仿宋" w:cs="仿宋"/>
                <w:color w:val="auto"/>
                <w:sz w:val="28"/>
                <w:szCs w:val="28"/>
                <w:highlight w:val="none"/>
                <w:lang w:eastAsia="zh-CN"/>
              </w:rPr>
              <w:t xml:space="preserve">、切实可行的得</w:t>
            </w:r>
            <w:r>
              <w:rPr>
                <w:rFonts w:hint="eastAsia" w:ascii="仿宋" w:hAnsi="仿宋" w:eastAsia="仿宋" w:cs="仿宋"/>
                <w:color w:val="auto"/>
                <w:sz w:val="28"/>
                <w:szCs w:val="28"/>
                <w:highlight w:val="none"/>
                <w:lang w:val="en-US" w:eastAsia="zh-CN"/>
              </w:rPr>
              <w:t xml:space="preserve">6分，较</w:t>
            </w:r>
            <w:r>
              <w:rPr>
                <w:rFonts w:hint="eastAsia" w:ascii="仿宋" w:hAnsi="仿宋" w:eastAsia="仿宋" w:cs="仿宋"/>
                <w:color w:val="auto"/>
                <w:sz w:val="28"/>
                <w:szCs w:val="28"/>
                <w:highlight w:val="none"/>
              </w:rPr>
              <w:t xml:space="preserve">全面详实</w:t>
            </w:r>
            <w:r>
              <w:rPr>
                <w:rFonts w:hint="eastAsia" w:ascii="仿宋" w:hAnsi="仿宋" w:eastAsia="仿宋" w:cs="仿宋"/>
                <w:color w:val="auto"/>
                <w:sz w:val="28"/>
                <w:szCs w:val="28"/>
                <w:highlight w:val="none"/>
                <w:lang w:eastAsia="zh-CN"/>
              </w:rPr>
              <w:t xml:space="preserve">、可行的得</w:t>
            </w:r>
            <w:r>
              <w:rPr>
                <w:rFonts w:hint="eastAsia" w:ascii="仿宋" w:hAnsi="仿宋" w:eastAsia="仿宋" w:cs="仿宋"/>
                <w:color w:val="auto"/>
                <w:sz w:val="28"/>
                <w:szCs w:val="28"/>
                <w:highlight w:val="none"/>
                <w:lang w:val="en-US" w:eastAsia="zh-CN"/>
              </w:rPr>
              <w:t xml:space="preserve">4分，可行性欠缺的得2分，</w:t>
            </w:r>
            <w:r>
              <w:rPr>
                <w:rFonts w:hint="eastAsia" w:ascii="仿宋" w:hAnsi="仿宋" w:eastAsia="仿宋" w:cs="仿宋"/>
                <w:color w:val="auto"/>
                <w:sz w:val="28"/>
                <w:szCs w:val="28"/>
                <w:highlight w:val="none"/>
                <w:lang w:eastAsia="zh-CN"/>
              </w:rPr>
              <w:t xml:space="preserve">不提供</w:t>
            </w:r>
            <w:r>
              <w:rPr>
                <w:rFonts w:hint="eastAsia" w:ascii="仿宋" w:hAnsi="仿宋" w:eastAsia="仿宋" w:cs="仿宋"/>
                <w:color w:val="auto"/>
                <w:sz w:val="28"/>
                <w:szCs w:val="28"/>
                <w:highlight w:val="none"/>
                <w:lang w:val="en-US" w:eastAsia="zh-CN"/>
              </w:rPr>
              <w:t xml:space="preserve">不得分。</w:t>
            </w:r>
            <w:r/>
          </w:p>
        </w:tc>
      </w:tr>
    </w:tbl>
    <w:p>
      <w:pPr>
        <w:pStyle w:val="837"/>
        <w:spacing w:line="240" w:lineRule="auto"/>
        <w:rPr>
          <w:rFonts w:hint="eastAsia" w:ascii="仿宋" w:hAnsi="仿宋" w:eastAsia="仿宋" w:cs="仿宋"/>
          <w:b/>
          <w:bCs/>
          <w:color w:val="000000"/>
          <w:sz w:val="24"/>
        </w:rPr>
      </w:pPr>
      <w:r>
        <w:rPr>
          <w:rFonts w:hint="eastAsia" w:ascii="仿宋" w:hAnsi="仿宋" w:eastAsia="仿宋" w:cs="仿宋"/>
          <w:b/>
          <w:bCs/>
          <w:color w:val="000000"/>
          <w:sz w:val="24"/>
        </w:rPr>
      </w:r>
      <w:r/>
    </w:p>
    <w:p>
      <w:pPr>
        <w:jc w:val="both"/>
        <w:spacing w:line="360" w:lineRule="auto"/>
        <w:widowControl w:val="off"/>
        <w:rPr>
          <w:rFonts w:hint="eastAsia" w:ascii="仿宋" w:hAnsi="仿宋" w:eastAsia="仿宋" w:cs="仿宋"/>
          <w:b w:val="0"/>
          <w:bCs/>
          <w:color w:val="auto"/>
        </w:rPr>
      </w:pPr>
      <w:r>
        <w:rPr>
          <w:rFonts w:hint="eastAsia" w:ascii="仿宋" w:hAnsi="仿宋" w:eastAsia="仿宋" w:cs="仿宋"/>
          <w:b w:val="0"/>
          <w:bCs/>
          <w:color w:val="auto"/>
          <w:sz w:val="28"/>
          <w:szCs w:val="28"/>
        </w:rPr>
        <w:t xml:space="preserve">采购人有权对中标人以上内容进行复核，如发现存在弄虚作假或者不符合招标文件要求的行为，将被取消中标资格。</w:t>
      </w:r>
      <w:r/>
    </w:p>
    <w:p>
      <w:pPr>
        <w:pStyle w:val="1140"/>
        <w:ind w:left="0" w:right="1470"/>
        <w:rPr>
          <w:rFonts w:hint="eastAsia" w:ascii="仿宋" w:hAnsi="仿宋" w:eastAsia="仿宋" w:cs="仿宋"/>
          <w:b/>
          <w:color w:val="000000"/>
          <w:sz w:val="24"/>
          <w:szCs w:val="24"/>
        </w:rPr>
      </w:pPr>
      <w:r>
        <w:rPr>
          <w:rFonts w:hint="eastAsia" w:ascii="仿宋" w:hAnsi="仿宋" w:eastAsia="仿宋" w:cs="仿宋"/>
          <w:b w:val="0"/>
          <w:bCs/>
          <w:color w:val="auto"/>
          <w:sz w:val="28"/>
          <w:szCs w:val="28"/>
        </w:rPr>
        <w:t xml:space="preserve">本章说明：本项目采用综合评分法。</w:t>
      </w:r>
      <w:r/>
    </w:p>
    <w:p>
      <w:pPr>
        <w:pStyle w:val="837"/>
        <w:spacing w:line="360" w:lineRule="auto"/>
        <w:rPr>
          <w:rFonts w:hint="eastAsia" w:ascii="仿宋" w:hAnsi="仿宋" w:eastAsia="仿宋" w:cs="仿宋"/>
          <w:color w:val="000000"/>
          <w:sz w:val="28"/>
          <w:szCs w:val="28"/>
        </w:rPr>
        <w:sectPr>
          <w:headerReference w:type="default" r:id="rId9"/>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28"/>
          <w:szCs w:val="28"/>
        </w:rPr>
      </w:r>
      <w:r/>
    </w:p>
    <w:p>
      <w:pPr>
        <w:pStyle w:val="837"/>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p>
    <w:p>
      <w:pPr>
        <w:pStyle w:val="869"/>
        <w:ind w:firstLine="1667"/>
        <w:rPr>
          <w:rFonts w:hint="eastAsia" w:ascii="仿宋" w:hAnsi="仿宋" w:eastAsia="仿宋" w:cs="仿宋"/>
          <w:color w:val="auto"/>
          <w:sz w:val="30"/>
          <w:szCs w:val="30"/>
          <w:lang w:val="en-US" w:eastAsia="zh-CN"/>
        </w:rPr>
      </w:pPr>
      <w:r>
        <w:rPr>
          <w:rFonts w:hint="eastAsia" w:ascii="仿宋" w:hAnsi="仿宋" w:eastAsia="仿宋" w:cs="仿宋"/>
          <w:color w:val="auto"/>
          <w:sz w:val="44"/>
          <w:szCs w:val="44"/>
          <w:lang w:eastAsia="zh-CN"/>
        </w:rPr>
        <w:t xml:space="preserve">第五章</w:t>
      </w:r>
      <w:r>
        <w:rPr>
          <w:rFonts w:hint="eastAsia" w:ascii="仿宋" w:hAnsi="仿宋" w:eastAsia="仿宋" w:cs="仿宋"/>
          <w:color w:val="auto"/>
          <w:sz w:val="44"/>
          <w:szCs w:val="44"/>
          <w:lang w:val="en-US" w:eastAsia="zh-CN"/>
        </w:rPr>
        <w:t xml:space="preserve">   拟签订的合同文本</w:t>
      </w:r>
      <w:r/>
    </w:p>
    <w:p>
      <w:pPr>
        <w:pStyle w:val="837"/>
        <w:ind w:firstLine="300"/>
        <w:spacing w:line="24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项目名称：</w:t>
      </w:r>
      <w:r>
        <w:rPr>
          <w:rFonts w:hint="eastAsia" w:ascii="仿宋" w:hAnsi="仿宋" w:eastAsia="仿宋" w:cs="仿宋"/>
          <w:b w:val="0"/>
          <w:bCs w:val="0"/>
          <w:color w:val="auto"/>
          <w:sz w:val="30"/>
          <w:szCs w:val="30"/>
          <w:lang w:eastAsia="zh-CN"/>
        </w:rPr>
        <w:t xml:space="preserve">铜山区农业微生物（食用菌）种质资源普查项目</w:t>
      </w:r>
      <w:r/>
    </w:p>
    <w:p>
      <w:pPr>
        <w:pStyle w:val="869"/>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项目编号：JSZC-320312-YXYX-G2024-0010</w:t>
      </w:r>
      <w:r/>
    </w:p>
    <w:p>
      <w:pPr>
        <w:pStyle w:val="869"/>
        <w:jc w:val="center"/>
        <w:rPr>
          <w:rFonts w:hint="eastAsia" w:ascii="仿宋" w:hAnsi="仿宋" w:eastAsia="仿宋" w:cs="仿宋"/>
          <w:color w:val="auto"/>
          <w:sz w:val="48"/>
          <w:szCs w:val="48"/>
        </w:rPr>
      </w:pPr>
      <w:r>
        <w:rPr>
          <w:rFonts w:hint="eastAsia" w:ascii="仿宋" w:hAnsi="仿宋" w:eastAsia="仿宋" w:cs="仿宋"/>
          <w:color w:val="auto"/>
          <w:sz w:val="48"/>
          <w:szCs w:val="48"/>
        </w:rPr>
        <w:t xml:space="preserve">政</w:t>
      </w:r>
      <w:r/>
    </w:p>
    <w:p>
      <w:pPr>
        <w:pStyle w:val="869"/>
        <w:jc w:val="center"/>
        <w:rPr>
          <w:rFonts w:hint="eastAsia" w:ascii="仿宋" w:hAnsi="仿宋" w:eastAsia="仿宋" w:cs="仿宋"/>
          <w:color w:val="auto"/>
          <w:sz w:val="48"/>
          <w:szCs w:val="48"/>
        </w:rPr>
      </w:pPr>
      <w:r>
        <w:rPr>
          <w:rFonts w:hint="eastAsia" w:ascii="仿宋" w:hAnsi="仿宋" w:eastAsia="仿宋" w:cs="仿宋"/>
          <w:color w:val="auto"/>
          <w:sz w:val="48"/>
          <w:szCs w:val="48"/>
        </w:rPr>
        <w:t xml:space="preserve">府</w:t>
      </w:r>
      <w:r/>
    </w:p>
    <w:p>
      <w:pPr>
        <w:pStyle w:val="869"/>
        <w:jc w:val="center"/>
        <w:rPr>
          <w:rFonts w:hint="eastAsia" w:ascii="仿宋" w:hAnsi="仿宋" w:eastAsia="仿宋" w:cs="仿宋"/>
          <w:color w:val="auto"/>
          <w:sz w:val="48"/>
          <w:szCs w:val="48"/>
        </w:rPr>
      </w:pPr>
      <w:r>
        <w:rPr>
          <w:rFonts w:hint="eastAsia" w:ascii="仿宋" w:hAnsi="仿宋" w:eastAsia="仿宋" w:cs="仿宋"/>
          <w:color w:val="auto"/>
          <w:sz w:val="48"/>
          <w:szCs w:val="48"/>
        </w:rPr>
        <w:t xml:space="preserve">采</w:t>
      </w:r>
      <w:r/>
    </w:p>
    <w:p>
      <w:pPr>
        <w:pStyle w:val="869"/>
        <w:jc w:val="center"/>
        <w:rPr>
          <w:rFonts w:hint="eastAsia" w:ascii="仿宋" w:hAnsi="仿宋" w:eastAsia="仿宋" w:cs="仿宋"/>
          <w:color w:val="auto"/>
          <w:sz w:val="48"/>
          <w:szCs w:val="48"/>
        </w:rPr>
      </w:pPr>
      <w:r>
        <w:rPr>
          <w:rFonts w:hint="eastAsia" w:ascii="仿宋" w:hAnsi="仿宋" w:eastAsia="仿宋" w:cs="仿宋"/>
          <w:color w:val="auto"/>
          <w:sz w:val="48"/>
          <w:szCs w:val="48"/>
        </w:rPr>
        <w:t xml:space="preserve">购</w:t>
      </w:r>
      <w:r/>
    </w:p>
    <w:p>
      <w:pPr>
        <w:pStyle w:val="869"/>
        <w:jc w:val="center"/>
        <w:rPr>
          <w:rFonts w:hint="eastAsia" w:ascii="仿宋" w:hAnsi="仿宋" w:eastAsia="仿宋" w:cs="仿宋"/>
          <w:color w:val="auto"/>
          <w:sz w:val="48"/>
          <w:szCs w:val="48"/>
        </w:rPr>
      </w:pPr>
      <w:r>
        <w:rPr>
          <w:rFonts w:hint="eastAsia" w:ascii="仿宋" w:hAnsi="仿宋" w:eastAsia="仿宋" w:cs="仿宋"/>
          <w:color w:val="auto"/>
          <w:sz w:val="48"/>
          <w:szCs w:val="48"/>
        </w:rPr>
        <w:t xml:space="preserve">合</w:t>
      </w:r>
      <w:r/>
    </w:p>
    <w:p>
      <w:pPr>
        <w:pStyle w:val="869"/>
        <w:jc w:val="center"/>
        <w:rPr>
          <w:rFonts w:hint="eastAsia" w:ascii="仿宋" w:hAnsi="仿宋" w:eastAsia="仿宋" w:cs="仿宋"/>
          <w:color w:val="auto"/>
          <w:sz w:val="44"/>
          <w:szCs w:val="44"/>
          <w:lang w:eastAsia="zh-CN"/>
        </w:rPr>
      </w:pPr>
      <w:r>
        <w:rPr>
          <w:rFonts w:hint="eastAsia" w:ascii="仿宋" w:hAnsi="仿宋" w:eastAsia="仿宋" w:cs="仿宋"/>
          <w:color w:val="auto"/>
          <w:sz w:val="44"/>
          <w:szCs w:val="44"/>
          <w:lang w:eastAsia="zh-CN"/>
        </w:rPr>
        <w:t xml:space="preserve">同</w:t>
      </w:r>
      <w:r/>
    </w:p>
    <w:p>
      <w:pPr>
        <w:pStyle w:val="869"/>
        <w:rPr>
          <w:rFonts w:hint="eastAsia" w:ascii="仿宋" w:hAnsi="仿宋" w:eastAsia="仿宋" w:cs="仿宋"/>
          <w:color w:val="auto"/>
          <w:sz w:val="28"/>
          <w:szCs w:val="28"/>
        </w:rPr>
      </w:pPr>
      <w:r>
        <w:rPr>
          <w:rFonts w:hint="eastAsia" w:ascii="仿宋" w:hAnsi="仿宋" w:eastAsia="仿宋" w:cs="仿宋"/>
          <w:color w:val="auto"/>
          <w:sz w:val="28"/>
          <w:szCs w:val="28"/>
        </w:rPr>
        <w:t xml:space="preserve">采  购  人：</w:t>
      </w:r>
      <w:r/>
    </w:p>
    <w:p>
      <w:pPr>
        <w:pStyle w:val="869"/>
        <w:rPr>
          <w:rFonts w:hint="eastAsia" w:ascii="仿宋" w:hAnsi="仿宋" w:eastAsia="仿宋" w:cs="仿宋"/>
          <w:color w:val="auto"/>
          <w:sz w:val="28"/>
          <w:szCs w:val="28"/>
        </w:rPr>
      </w:pPr>
      <w:r>
        <w:rPr>
          <w:rFonts w:hint="eastAsia" w:ascii="仿宋" w:hAnsi="仿宋" w:eastAsia="仿宋" w:cs="仿宋"/>
          <w:color w:val="auto"/>
          <w:sz w:val="28"/>
          <w:szCs w:val="28"/>
        </w:rPr>
        <w:t xml:space="preserve">成交供应商：</w:t>
      </w:r>
      <w:r/>
    </w:p>
    <w:p>
      <w:pPr>
        <w:pStyle w:val="869"/>
        <w:rPr>
          <w:rFonts w:hint="eastAsia" w:ascii="仿宋" w:hAnsi="仿宋" w:eastAsia="仿宋" w:cs="仿宋"/>
          <w:color w:val="auto"/>
          <w:sz w:val="28"/>
          <w:szCs w:val="28"/>
        </w:rPr>
      </w:pPr>
      <w:r>
        <w:rPr>
          <w:rFonts w:hint="eastAsia" w:ascii="仿宋" w:hAnsi="仿宋" w:eastAsia="仿宋" w:cs="仿宋"/>
          <w:color w:val="auto"/>
          <w:sz w:val="28"/>
          <w:szCs w:val="28"/>
        </w:rPr>
        <w:t xml:space="preserve">采  购  包：</w:t>
      </w:r>
      <w:r/>
    </w:p>
    <w:p>
      <w:pPr>
        <w:pStyle w:val="869"/>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合同签订日期： 年 月 日</w:t>
      </w:r>
      <w:r/>
    </w:p>
    <w:p>
      <w:pPr>
        <w:pStyle w:val="869"/>
        <w:rPr>
          <w:rFonts w:hint="eastAsia" w:ascii="仿宋" w:hAnsi="仿宋" w:eastAsia="仿宋" w:cs="仿宋"/>
          <w:color w:val="auto"/>
          <w:sz w:val="28"/>
          <w:szCs w:val="28"/>
        </w:rPr>
      </w:pPr>
      <w:r>
        <w:rPr>
          <w:rFonts w:hint="eastAsia" w:ascii="仿宋" w:hAnsi="仿宋" w:eastAsia="仿宋" w:cs="仿宋"/>
          <w:color w:val="auto"/>
          <w:sz w:val="28"/>
          <w:szCs w:val="28"/>
        </w:rPr>
        <w:t xml:space="preserve">友情提醒：采购人与中标、成交供应商应当在中标、成交通知书发出之日起三十日内，按照采购文件确定的事项签订政府采购合同。</w:t>
      </w:r>
      <w:r/>
    </w:p>
    <w:p>
      <w:pPr>
        <w:pStyle w:val="869"/>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pStyle w:val="855"/>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甲方：</w:t>
      </w:r>
      <w:r/>
    </w:p>
    <w:p>
      <w:pPr>
        <w:pStyle w:val="869"/>
        <w:rPr>
          <w:rFonts w:hint="eastAsia" w:ascii="仿宋" w:hAnsi="仿宋" w:eastAsia="仿宋" w:cs="仿宋"/>
          <w:color w:val="auto"/>
          <w:sz w:val="28"/>
          <w:szCs w:val="28"/>
        </w:rPr>
      </w:pPr>
      <w:r>
        <w:rPr>
          <w:rFonts w:hint="eastAsia" w:ascii="仿宋" w:hAnsi="仿宋" w:eastAsia="仿宋" w:cs="仿宋"/>
          <w:color w:val="auto"/>
          <w:sz w:val="28"/>
          <w:szCs w:val="28"/>
        </w:rPr>
        <w:t xml:space="preserve">乙方：</w:t>
      </w:r>
      <w:r/>
    </w:p>
    <w:p>
      <w:pPr>
        <w:pStyle w:val="855"/>
        <w:ind w:firstLine="5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根据</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项目招标采购的结果，甲方将</w:t>
      </w:r>
      <w:r>
        <w:rPr>
          <w:rFonts w:hint="eastAsia" w:ascii="仿宋" w:hAnsi="仿宋" w:eastAsia="仿宋" w:cs="仿宋"/>
          <w:color w:val="auto"/>
          <w:sz w:val="28"/>
          <w:szCs w:val="28"/>
          <w:u w:val="single"/>
        </w:rPr>
        <w:t xml:space="preserve">             项目</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项目编号：JSZC-320312-YXYX-G2024-0010</w:t>
      </w:r>
      <w:r>
        <w:rPr>
          <w:rFonts w:hint="eastAsia" w:ascii="仿宋" w:hAnsi="仿宋" w:eastAsia="仿宋" w:cs="仿宋"/>
          <w:color w:val="auto"/>
          <w:sz w:val="28"/>
          <w:szCs w:val="28"/>
        </w:rPr>
        <w:t xml:space="preserve">）委托给乙方。根据《中华人民共和国民法典》、《中华人民共和国政府采购法》及有关法律、法规，在自愿、平等、协商一致的基础上，甲乙双方恪守公平、公正、诚信的原则，签订本合同。</w:t>
      </w:r>
      <w:r/>
    </w:p>
    <w:p>
      <w:pPr>
        <w:pStyle w:val="1130"/>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一、服务范围及内容：乙方根据甲方需求，提供下列服务： </w:t>
      </w:r>
      <w:r/>
    </w:p>
    <w:p>
      <w:pPr>
        <w:pStyle w:val="1130"/>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1、服务内容：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w:t>
      </w:r>
      <w:r/>
    </w:p>
    <w:p>
      <w:pPr>
        <w:pStyle w:val="1130"/>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2、服务期限：</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w:t>
      </w:r>
      <w:r/>
    </w:p>
    <w:p>
      <w:pPr>
        <w:pStyle w:val="1130"/>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二、合同价及结算方式：</w:t>
      </w:r>
      <w:r/>
    </w:p>
    <w:p>
      <w:pPr>
        <w:pStyle w:val="1130"/>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1、合同总价</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元（人民币大写：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）。经双方协商一致， 选择以下第 （    ）种付款方式:</w:t>
      </w:r>
      <w:r/>
    </w:p>
    <w:p>
      <w:pPr>
        <w:pStyle w:val="837"/>
        <w:ind w:firstLine="562"/>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付款方式一：提交预付款保函的</w:t>
      </w:r>
      <w:r/>
    </w:p>
    <w:p>
      <w:pPr>
        <w:pStyle w:val="837"/>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合同总价的百分之</w:t>
      </w:r>
      <w:r>
        <w:rPr>
          <w:rFonts w:hint="eastAsia" w:ascii="仿宋" w:hAnsi="仿宋" w:eastAsia="仿宋" w:cs="仿宋"/>
          <w:color w:val="auto"/>
          <w:sz w:val="28"/>
          <w:szCs w:val="28"/>
          <w:lang w:val="en-US" w:eastAsia="zh-CN"/>
        </w:rPr>
        <w:t xml:space="preserve">四</w:t>
      </w:r>
      <w:r>
        <w:rPr>
          <w:rFonts w:hint="eastAsia" w:ascii="仿宋" w:hAnsi="仿宋" w:eastAsia="仿宋" w:cs="仿宋"/>
          <w:color w:val="auto"/>
          <w:sz w:val="28"/>
          <w:szCs w:val="28"/>
          <w:u w:val="single"/>
        </w:rPr>
        <w:t xml:space="preserve">十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0%)即￥</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在合同签订生效15日内，乙方向甲方出具等额预付款保函后，办理政府采购资金结算手续，经审核后支付给乙方。</w:t>
      </w:r>
      <w:r/>
    </w:p>
    <w:p>
      <w:pPr>
        <w:pStyle w:val="837"/>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合同总价的百分之</w:t>
      </w:r>
      <w:r>
        <w:rPr>
          <w:rFonts w:hint="eastAsia" w:ascii="仿宋" w:hAnsi="仿宋" w:eastAsia="仿宋" w:cs="仿宋"/>
          <w:color w:val="auto"/>
          <w:sz w:val="28"/>
          <w:szCs w:val="28"/>
          <w:lang w:val="en-US" w:eastAsia="zh-CN"/>
        </w:rPr>
        <w:t xml:space="preserve">六</w:t>
      </w:r>
      <w:r>
        <w:rPr>
          <w:rFonts w:hint="eastAsia" w:ascii="仿宋" w:hAnsi="仿宋" w:eastAsia="仿宋" w:cs="仿宋"/>
          <w:color w:val="auto"/>
          <w:sz w:val="28"/>
          <w:szCs w:val="28"/>
          <w:u w:val="single"/>
        </w:rPr>
        <w:t xml:space="preserve">十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u w:val="single"/>
        </w:rPr>
        <w:t xml:space="preserve">0</w:t>
      </w:r>
      <w:r>
        <w:rPr>
          <w:rFonts w:hint="eastAsia" w:ascii="仿宋" w:hAnsi="仿宋" w:eastAsia="仿宋" w:cs="仿宋"/>
          <w:color w:val="auto"/>
          <w:sz w:val="28"/>
          <w:szCs w:val="28"/>
        </w:rPr>
        <w:t xml:space="preserve">%)即￥</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eastAsia="zh-CN"/>
        </w:rPr>
        <w:t xml:space="preserve">。</w:t>
      </w:r>
      <w:r>
        <w:rPr>
          <w:rFonts w:hint="eastAsia" w:ascii="仿宋" w:hAnsi="仿宋" w:eastAsia="仿宋" w:cs="仿宋"/>
          <w:color w:val="auto"/>
          <w:sz w:val="28"/>
          <w:szCs w:val="28"/>
        </w:rPr>
        <w:t xml:space="preserve">在乙方完成</w:t>
      </w:r>
      <w:r>
        <w:rPr>
          <w:rFonts w:hint="eastAsia" w:ascii="仿宋" w:hAnsi="仿宋" w:eastAsia="仿宋" w:cs="仿宋"/>
          <w:color w:val="auto"/>
          <w:sz w:val="28"/>
          <w:szCs w:val="28"/>
          <w:lang w:val="en-US" w:eastAsia="zh-CN"/>
        </w:rPr>
        <w:t xml:space="preserve">服务</w:t>
      </w:r>
      <w:r>
        <w:rPr>
          <w:rFonts w:hint="eastAsia" w:ascii="仿宋" w:hAnsi="仿宋" w:eastAsia="仿宋" w:cs="仿宋"/>
          <w:color w:val="auto"/>
          <w:sz w:val="28"/>
          <w:szCs w:val="28"/>
        </w:rPr>
        <w:t xml:space="preserve">任务后，</w:t>
      </w:r>
      <w:r>
        <w:rPr>
          <w:rFonts w:hint="eastAsia" w:ascii="仿宋" w:hAnsi="仿宋" w:eastAsia="仿宋" w:cs="仿宋"/>
          <w:color w:val="auto"/>
          <w:sz w:val="28"/>
          <w:szCs w:val="28"/>
          <w:lang w:eastAsia="zh-CN"/>
        </w:rPr>
        <w:t xml:space="preserve">向甲方提出书面验收申请，项目验收通过后，甲方</w:t>
      </w:r>
      <w:r>
        <w:rPr>
          <w:rFonts w:hint="eastAsia" w:ascii="仿宋" w:hAnsi="仿宋" w:eastAsia="仿宋" w:cs="仿宋"/>
          <w:color w:val="auto"/>
          <w:sz w:val="28"/>
          <w:szCs w:val="28"/>
        </w:rPr>
        <w:t xml:space="preserve">自收到发票后</w:t>
      </w:r>
      <w:r>
        <w:rPr>
          <w:rFonts w:hint="eastAsia" w:ascii="仿宋" w:hAnsi="仿宋" w:eastAsia="仿宋" w:cs="仿宋"/>
          <w:color w:val="auto"/>
          <w:sz w:val="28"/>
          <w:szCs w:val="28"/>
          <w:u w:val="single"/>
        </w:rPr>
        <w:t xml:space="preserve">15日</w:t>
      </w:r>
      <w:r>
        <w:rPr>
          <w:rFonts w:hint="eastAsia" w:ascii="仿宋" w:hAnsi="仿宋" w:eastAsia="仿宋" w:cs="仿宋"/>
          <w:color w:val="auto"/>
          <w:sz w:val="28"/>
          <w:szCs w:val="28"/>
        </w:rPr>
        <w:t xml:space="preserve">内，办理政府采购资金结算手续，经审核后支付给乙方。</w:t>
      </w:r>
      <w:r/>
    </w:p>
    <w:p>
      <w:pPr>
        <w:pStyle w:val="837"/>
        <w:ind w:firstLine="562"/>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付款方式二：不提交预付款保函的</w:t>
      </w:r>
      <w:r/>
    </w:p>
    <w:p>
      <w:pPr>
        <w:pStyle w:val="837"/>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合同总价的百分之</w:t>
      </w:r>
      <w:r>
        <w:rPr>
          <w:rFonts w:hint="eastAsia" w:ascii="仿宋" w:hAnsi="仿宋" w:eastAsia="仿宋" w:cs="仿宋"/>
          <w:color w:val="auto"/>
          <w:sz w:val="28"/>
          <w:szCs w:val="28"/>
          <w:lang w:val="en-US" w:eastAsia="zh-CN"/>
        </w:rPr>
        <w:t xml:space="preserve">二</w:t>
      </w:r>
      <w:r>
        <w:rPr>
          <w:rFonts w:hint="eastAsia" w:ascii="仿宋" w:hAnsi="仿宋" w:eastAsia="仿宋" w:cs="仿宋"/>
          <w:color w:val="auto"/>
          <w:sz w:val="28"/>
          <w:szCs w:val="28"/>
          <w:u w:val="single"/>
        </w:rPr>
        <w:t xml:space="preserve">十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u w:val="single"/>
        </w:rPr>
        <w:t xml:space="preserve">0</w:t>
      </w:r>
      <w:r>
        <w:rPr>
          <w:rFonts w:hint="eastAsia" w:ascii="仿宋" w:hAnsi="仿宋" w:eastAsia="仿宋" w:cs="仿宋"/>
          <w:color w:val="auto"/>
          <w:sz w:val="28"/>
          <w:szCs w:val="28"/>
        </w:rPr>
        <w:t xml:space="preserve">%)即￥</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在合同签订生效，买方自收到发票（发票金额为合同总价的</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u w:val="single"/>
        </w:rPr>
        <w:t xml:space="preserve">0</w:t>
      </w:r>
      <w:r>
        <w:rPr>
          <w:rFonts w:hint="eastAsia" w:ascii="仿宋" w:hAnsi="仿宋" w:eastAsia="仿宋" w:cs="仿宋"/>
          <w:color w:val="auto"/>
          <w:sz w:val="28"/>
          <w:szCs w:val="28"/>
        </w:rPr>
        <w:t xml:space="preserve">%）后</w:t>
      </w:r>
      <w:r>
        <w:rPr>
          <w:rFonts w:hint="eastAsia" w:ascii="仿宋" w:hAnsi="仿宋" w:eastAsia="仿宋" w:cs="仿宋"/>
          <w:color w:val="auto"/>
          <w:sz w:val="28"/>
          <w:szCs w:val="28"/>
          <w:u w:val="single"/>
        </w:rPr>
        <w:t xml:space="preserve">15日</w:t>
      </w:r>
      <w:r>
        <w:rPr>
          <w:rFonts w:hint="eastAsia" w:ascii="仿宋" w:hAnsi="仿宋" w:eastAsia="仿宋" w:cs="仿宋"/>
          <w:color w:val="auto"/>
          <w:sz w:val="28"/>
          <w:szCs w:val="28"/>
        </w:rPr>
        <w:t xml:space="preserve">内，办理政府采购资金结算手续，经审核后支付给乙方。</w:t>
      </w:r>
      <w:r/>
    </w:p>
    <w:p>
      <w:pPr>
        <w:pStyle w:val="837"/>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合同总价的百分之</w:t>
      </w:r>
      <w:r>
        <w:rPr>
          <w:rFonts w:hint="eastAsia" w:ascii="仿宋" w:hAnsi="仿宋" w:eastAsia="仿宋" w:cs="仿宋"/>
          <w:color w:val="auto"/>
          <w:sz w:val="28"/>
          <w:szCs w:val="28"/>
          <w:lang w:val="en-US" w:eastAsia="zh-CN"/>
        </w:rPr>
        <w:t xml:space="preserve">八</w:t>
      </w:r>
      <w:r>
        <w:rPr>
          <w:rFonts w:hint="eastAsia" w:ascii="仿宋" w:hAnsi="仿宋" w:eastAsia="仿宋" w:cs="仿宋"/>
          <w:color w:val="auto"/>
          <w:sz w:val="28"/>
          <w:szCs w:val="28"/>
          <w:u w:val="single"/>
        </w:rPr>
        <w:t xml:space="preserve">十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u w:val="single"/>
        </w:rPr>
        <w:t xml:space="preserve">0</w:t>
      </w:r>
      <w:r>
        <w:rPr>
          <w:rFonts w:hint="eastAsia" w:ascii="仿宋" w:hAnsi="仿宋" w:eastAsia="仿宋" w:cs="仿宋"/>
          <w:color w:val="auto"/>
          <w:sz w:val="28"/>
          <w:szCs w:val="28"/>
        </w:rPr>
        <w:t xml:space="preserve">%)即￥</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eastAsia="zh-CN"/>
        </w:rPr>
        <w:t xml:space="preserve">。</w:t>
      </w:r>
      <w:r>
        <w:rPr>
          <w:rFonts w:hint="eastAsia" w:ascii="仿宋" w:hAnsi="仿宋" w:eastAsia="仿宋" w:cs="仿宋"/>
          <w:color w:val="auto"/>
          <w:sz w:val="28"/>
          <w:szCs w:val="28"/>
        </w:rPr>
        <w:t xml:space="preserve">在乙方完成</w:t>
      </w:r>
      <w:r>
        <w:rPr>
          <w:rFonts w:hint="eastAsia" w:ascii="仿宋" w:hAnsi="仿宋" w:eastAsia="仿宋" w:cs="仿宋"/>
          <w:color w:val="auto"/>
          <w:sz w:val="28"/>
          <w:szCs w:val="28"/>
          <w:lang w:val="en-US" w:eastAsia="zh-CN"/>
        </w:rPr>
        <w:t xml:space="preserve">服务</w:t>
      </w:r>
      <w:r>
        <w:rPr>
          <w:rFonts w:hint="eastAsia" w:ascii="仿宋" w:hAnsi="仿宋" w:eastAsia="仿宋" w:cs="仿宋"/>
          <w:color w:val="auto"/>
          <w:sz w:val="28"/>
          <w:szCs w:val="28"/>
        </w:rPr>
        <w:t xml:space="preserve">任务后，</w:t>
      </w:r>
      <w:r>
        <w:rPr>
          <w:rFonts w:hint="eastAsia" w:ascii="仿宋" w:hAnsi="仿宋" w:eastAsia="仿宋" w:cs="仿宋"/>
          <w:color w:val="auto"/>
          <w:sz w:val="28"/>
          <w:szCs w:val="28"/>
          <w:lang w:eastAsia="zh-CN"/>
        </w:rPr>
        <w:t xml:space="preserve">向甲方提出书面验收申请，项目验收通过后，甲方</w:t>
      </w:r>
      <w:r>
        <w:rPr>
          <w:rFonts w:hint="eastAsia" w:ascii="仿宋" w:hAnsi="仿宋" w:eastAsia="仿宋" w:cs="仿宋"/>
          <w:color w:val="auto"/>
          <w:sz w:val="28"/>
          <w:szCs w:val="28"/>
        </w:rPr>
        <w:t xml:space="preserve">自收到发票（发票金额为合同总价的</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u w:val="single"/>
        </w:rPr>
        <w:t xml:space="preserve">0</w:t>
      </w:r>
      <w:r>
        <w:rPr>
          <w:rFonts w:hint="eastAsia" w:ascii="仿宋" w:hAnsi="仿宋" w:eastAsia="仿宋" w:cs="仿宋"/>
          <w:color w:val="auto"/>
          <w:sz w:val="28"/>
          <w:szCs w:val="28"/>
        </w:rPr>
        <w:t xml:space="preserve">%）后</w:t>
      </w:r>
      <w:r>
        <w:rPr>
          <w:rFonts w:hint="eastAsia" w:ascii="仿宋" w:hAnsi="仿宋" w:eastAsia="仿宋" w:cs="仿宋"/>
          <w:color w:val="auto"/>
          <w:sz w:val="28"/>
          <w:szCs w:val="28"/>
          <w:u w:val="single"/>
        </w:rPr>
        <w:t xml:space="preserve">15日</w:t>
      </w:r>
      <w:r>
        <w:rPr>
          <w:rFonts w:hint="eastAsia" w:ascii="仿宋" w:hAnsi="仿宋" w:eastAsia="仿宋" w:cs="仿宋"/>
          <w:color w:val="auto"/>
          <w:sz w:val="28"/>
          <w:szCs w:val="28"/>
        </w:rPr>
        <w:t xml:space="preserve">内，办理政府采购资金结算手续，经审核后支付给乙方。</w:t>
      </w:r>
      <w:r/>
    </w:p>
    <w:p>
      <w:pPr>
        <w:pStyle w:val="859"/>
        <w:ind w:firstLine="789"/>
        <w:spacing w:line="36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乙方要求付款应提供以下资料：乙方开具的正式发票。 </w:t>
      </w:r>
      <w:r/>
    </w:p>
    <w:p>
      <w:pPr>
        <w:pStyle w:val="1130"/>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2、在招标文件未列明，而是乙方履行本合同必需的费用也包含在合同总价中。</w:t>
      </w:r>
      <w:r/>
    </w:p>
    <w:p>
      <w:pPr>
        <w:pStyle w:val="1130"/>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采购时的价格水平做相应的调减，并据此签订补充合同；除上述情况外，本合同执行期间合同总价不变。</w:t>
      </w:r>
      <w:r/>
    </w:p>
    <w:p>
      <w:pPr>
        <w:pStyle w:val="1130"/>
        <w:ind w:firstLine="482"/>
        <w:spacing w:before="120" w:after="120"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三</w:t>
      </w:r>
      <w:r>
        <w:rPr>
          <w:rFonts w:hint="eastAsia" w:ascii="仿宋" w:hAnsi="仿宋" w:eastAsia="仿宋" w:cs="仿宋"/>
          <w:b/>
          <w:bCs/>
          <w:color w:val="auto"/>
          <w:sz w:val="28"/>
          <w:szCs w:val="28"/>
        </w:rPr>
        <w:t xml:space="preserve">、组成本合同的有关文件</w:t>
      </w:r>
      <w:r/>
    </w:p>
    <w:p>
      <w:pPr>
        <w:pStyle w:val="1130"/>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1、乙方应按招标文件规定的时间向甲方提供服务的有关技术资料。</w:t>
      </w:r>
      <w:r/>
    </w:p>
    <w:p>
      <w:pPr>
        <w:pStyle w:val="1130"/>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2、没有经甲方书面同意，乙方不得将由甲方提供的有关合同或任何合同条文或资料提供给任何其他人。即使向履行本合同有关的人员提供，也应注意保密并限于履行合同的必需范围。</w:t>
      </w:r>
      <w:r/>
    </w:p>
    <w:p>
      <w:pPr>
        <w:pStyle w:val="1130"/>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3、关于本项目招标文件、投标文件或与本次采购活动方式相适应的文件及有关附件是本合同不可分割的组成部分，这些文件包括但不限于：</w:t>
      </w:r>
      <w:r/>
    </w:p>
    <w:p>
      <w:pPr>
        <w:pStyle w:val="1130"/>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（1）招标文件；（2）投标文件；（</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）中标（成交）通知书；（</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）甲乙双方补充协议；</w:t>
      </w:r>
      <w:r/>
    </w:p>
    <w:p>
      <w:pPr>
        <w:pStyle w:val="1130"/>
        <w:ind w:firstLine="482"/>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四</w:t>
      </w:r>
      <w:r>
        <w:rPr>
          <w:rFonts w:hint="eastAsia" w:ascii="仿宋" w:hAnsi="仿宋" w:eastAsia="仿宋" w:cs="仿宋"/>
          <w:b/>
          <w:bCs/>
          <w:color w:val="auto"/>
          <w:sz w:val="28"/>
          <w:szCs w:val="28"/>
        </w:rPr>
        <w:t xml:space="preserve">、甲乙双方的权利和义务：</w:t>
      </w:r>
      <w:r/>
    </w:p>
    <w:p>
      <w:pPr>
        <w:pStyle w:val="1130"/>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（一）甲方权利</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1、甲方有权要求乙方按合同规定提供服务。</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2、乙方违反合同任何条款，甲方有权提前3天以书面形式通知乙方终止本合同。</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3、甲方在项目结束后，有权要求乙方提供招标文件和合同要求中约定的全部资料。</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4、甲方委托乙方研究形成的报告及相应成果知识产权归甲方所有。</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5、对乙方工作进度、质量进行督查，甲方有权按合同约定要求乙方调整进度。</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（二）甲方义务</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1、甲方必须遵守本合同之规定及相关法律规定。</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2、甲方应尽可能向乙方提供可靠、详细的资料，并保证资料的真实性、准确性。</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3、未经乙方书面同意，甲方不得向任何第三方提供审核项目的信息。</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4、对乙方开展的项目提供必要的协助和指导。</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5、按合同约定向乙方支付项目费用。</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（三）乙方权利</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1、乙方有权要求甲方遵守本合同规定及其附件。</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2、乙方有权要求甲方按合同约定的时间支付相关费用。</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（四）乙方义务</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1、乙方必须遵守本合同之规定及相关法律规定。</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2、乙方按照本合同及招标文件和乙方的投标文件为甲方提供服务工作，乙方需要对项目组成员进行调整时，须书面征得甲方同意。</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、非经甲方书面同意，乙方不得向任何第三方透露项目的任何内容。</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、乙方人员在甲方活动时，需听从甲方有关人员安排和引导。</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、甲方提出收回向乙方提供的有关资料时，乙方应按照甲方要求将有关资料及其复制件返还甲方。</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、乙方按照合同约定要求完成项目。</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、乙方完成本协议工作内容所发生的人工、住宿、交通、餐饮等费用由乙方承担。</w:t>
      </w:r>
      <w:r/>
    </w:p>
    <w:p>
      <w:pPr>
        <w:pStyle w:val="859"/>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五</w:t>
      </w:r>
      <w:r>
        <w:rPr>
          <w:rFonts w:hint="eastAsia" w:ascii="仿宋" w:hAnsi="仿宋" w:eastAsia="仿宋" w:cs="仿宋"/>
          <w:b/>
          <w:bCs/>
          <w:color w:val="auto"/>
          <w:sz w:val="28"/>
          <w:szCs w:val="28"/>
        </w:rPr>
        <w:t xml:space="preserve">、违约责任</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1、甲方因</w:t>
      </w:r>
      <w:r>
        <w:rPr>
          <w:rFonts w:hint="eastAsia" w:ascii="仿宋" w:hAnsi="仿宋" w:eastAsia="仿宋" w:cs="仿宋"/>
          <w:color w:val="auto"/>
          <w:sz w:val="28"/>
          <w:szCs w:val="28"/>
          <w:lang w:val="en-US" w:eastAsia="zh-CN"/>
        </w:rPr>
        <w:t xml:space="preserve">政策</w:t>
      </w:r>
      <w:r>
        <w:rPr>
          <w:rFonts w:hint="eastAsia" w:ascii="仿宋" w:hAnsi="仿宋" w:eastAsia="仿宋" w:cs="仿宋"/>
          <w:color w:val="auto"/>
          <w:sz w:val="28"/>
          <w:szCs w:val="28"/>
        </w:rPr>
        <w:t xml:space="preserve">原因导致</w:t>
      </w:r>
      <w:r>
        <w:rPr>
          <w:rFonts w:hint="eastAsia" w:ascii="仿宋" w:hAnsi="仿宋" w:eastAsia="仿宋" w:cs="仿宋"/>
          <w:color w:val="auto"/>
          <w:sz w:val="28"/>
          <w:szCs w:val="28"/>
          <w:lang w:val="en-US" w:eastAsia="zh-CN"/>
        </w:rPr>
        <w:t xml:space="preserve">无法</w:t>
      </w:r>
      <w:r>
        <w:rPr>
          <w:rFonts w:hint="eastAsia" w:ascii="仿宋" w:hAnsi="仿宋" w:eastAsia="仿宋" w:cs="仿宋"/>
          <w:color w:val="auto"/>
          <w:sz w:val="28"/>
          <w:szCs w:val="28"/>
        </w:rPr>
        <w:t xml:space="preserve">继续履行本合同的，甲方可以要求解除本合同，解除通知发出后满7天合同即终止，合同款项按终止日结算，已支付但超出结算款项部分乙方应予退还甲方，已支付款项少于结算款项的，甲方应向乙方支付差额部分。</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2、乙方因无力履行合同提出解约，须全额返还甲方已支付的款项，并向甲方支付合同项目总费用100%的违约金。</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3、未经甲方同意，乙方不得私自更换投标文件中承诺的主要人员。</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4、未经甲方允许，乙方将项目转包或分包的，甲方有权终止合同，并扣</w:t>
      </w:r>
      <w:r>
        <w:rPr>
          <w:rFonts w:hint="eastAsia" w:ascii="仿宋" w:hAnsi="仿宋" w:eastAsia="仿宋" w:cs="仿宋"/>
          <w:color w:val="auto"/>
          <w:sz w:val="28"/>
          <w:szCs w:val="28"/>
          <w:lang w:val="en-US" w:eastAsia="zh-CN"/>
        </w:rPr>
        <w:t xml:space="preserve">除</w:t>
      </w:r>
      <w:r>
        <w:rPr>
          <w:rFonts w:hint="eastAsia" w:ascii="仿宋" w:hAnsi="仿宋" w:eastAsia="仿宋" w:cs="仿宋"/>
          <w:color w:val="auto"/>
          <w:sz w:val="28"/>
          <w:szCs w:val="28"/>
        </w:rPr>
        <w:t xml:space="preserve">乙方合同价20%的违约金。</w:t>
      </w:r>
      <w:r/>
    </w:p>
    <w:p>
      <w:pPr>
        <w:pStyle w:val="859"/>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六</w:t>
      </w:r>
      <w:r>
        <w:rPr>
          <w:rFonts w:hint="eastAsia" w:ascii="仿宋" w:hAnsi="仿宋" w:eastAsia="仿宋" w:cs="仿宋"/>
          <w:b/>
          <w:bCs/>
          <w:color w:val="auto"/>
          <w:sz w:val="28"/>
          <w:szCs w:val="28"/>
        </w:rPr>
        <w:t xml:space="preserve">、不可抗力事件处理</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1、在合同有效期内，任何一方因不可抗力事件导致不能履行合同，则合同履行期可延长，其延长期与不可抗力影响期相同。</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2、不可抗力事件发生后，应立即通知对方，并寄送有关权威机构出具的证明。</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3、不可抗力事件延续120天以上，双方应通过友好协商，确定是否继续履行合同。</w:t>
      </w:r>
      <w:r/>
    </w:p>
    <w:p>
      <w:pPr>
        <w:pStyle w:val="859"/>
        <w:ind w:firstLine="482"/>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七</w:t>
      </w:r>
      <w:r>
        <w:rPr>
          <w:rFonts w:hint="eastAsia" w:ascii="仿宋" w:hAnsi="仿宋" w:eastAsia="仿宋" w:cs="仿宋"/>
          <w:b/>
          <w:bCs/>
          <w:color w:val="auto"/>
          <w:sz w:val="28"/>
          <w:szCs w:val="28"/>
        </w:rPr>
        <w:t xml:space="preserve">、合同生效及其它约定事项</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1、合同经双方法定代表人或授权代表人签字并加盖单位公章后生效。</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2、招标文件和乙方的投标文件为本合同的不可分割的组成部分，与本合同具有同样效力。</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3、知识产权保证：</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乙方保证甲方在使用、接受本合同服务或其任何一部分时，不受第三方提出侵犯其专利权、版权、商标权和工业设计权等知识产权的起诉。一旦出现侵权，由乙方负全部责任。</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、本合同附件为本合同组成部分，与本合同具有同等效力。</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、本合同未尽事宜甲乙双方协商解决，协商不一致时，向甲方所在地人民法院起诉。</w:t>
      </w:r>
      <w:r/>
    </w:p>
    <w:p>
      <w:pPr>
        <w:pStyle w:val="859"/>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、本合同一式</w:t>
      </w:r>
      <w:r>
        <w:rPr>
          <w:rFonts w:hint="eastAsia" w:ascii="仿宋" w:hAnsi="仿宋" w:eastAsia="仿宋" w:cs="仿宋"/>
          <w:color w:val="auto"/>
          <w:sz w:val="28"/>
          <w:szCs w:val="28"/>
          <w:lang w:val="en-US" w:eastAsia="zh-CN"/>
        </w:rPr>
        <w:t xml:space="preserve">四</w:t>
      </w:r>
      <w:r>
        <w:rPr>
          <w:rFonts w:hint="eastAsia" w:ascii="仿宋" w:hAnsi="仿宋" w:eastAsia="仿宋" w:cs="仿宋"/>
          <w:color w:val="auto"/>
          <w:sz w:val="28"/>
          <w:szCs w:val="28"/>
        </w:rPr>
        <w:t xml:space="preserve">份，具有同等法律效力，甲方执</w:t>
      </w:r>
      <w:r>
        <w:rPr>
          <w:rFonts w:hint="eastAsia" w:ascii="仿宋" w:hAnsi="仿宋" w:eastAsia="仿宋" w:cs="仿宋"/>
          <w:color w:val="auto"/>
          <w:sz w:val="28"/>
          <w:szCs w:val="28"/>
          <w:u w:val="single"/>
        </w:rPr>
        <w:t xml:space="preserve">贰</w:t>
      </w:r>
      <w:r>
        <w:rPr>
          <w:rFonts w:hint="eastAsia" w:ascii="仿宋" w:hAnsi="仿宋" w:eastAsia="仿宋" w:cs="仿宋"/>
          <w:color w:val="auto"/>
          <w:sz w:val="28"/>
          <w:szCs w:val="28"/>
        </w:rPr>
        <w:t xml:space="preserve">份、乙方执</w:t>
      </w:r>
      <w:r>
        <w:rPr>
          <w:rFonts w:hint="eastAsia" w:ascii="仿宋" w:hAnsi="仿宋" w:eastAsia="仿宋" w:cs="仿宋"/>
          <w:color w:val="auto"/>
          <w:sz w:val="28"/>
          <w:szCs w:val="28"/>
          <w:u w:val="single"/>
        </w:rPr>
        <w:t xml:space="preserve">贰</w:t>
      </w:r>
      <w:r>
        <w:rPr>
          <w:rFonts w:hint="eastAsia" w:ascii="仿宋" w:hAnsi="仿宋" w:eastAsia="仿宋" w:cs="仿宋"/>
          <w:color w:val="auto"/>
          <w:sz w:val="28"/>
          <w:szCs w:val="28"/>
        </w:rPr>
        <w:t xml:space="preserve">份，采购代理机构</w:t>
      </w:r>
      <w:r>
        <w:rPr>
          <w:rFonts w:hint="eastAsia" w:ascii="仿宋" w:hAnsi="仿宋" w:eastAsia="仿宋" w:cs="仿宋"/>
          <w:color w:val="auto"/>
          <w:sz w:val="28"/>
          <w:szCs w:val="28"/>
          <w:u w:val="single"/>
        </w:rPr>
        <w:t xml:space="preserve">壹份</w:t>
      </w:r>
      <w:r>
        <w:rPr>
          <w:rFonts w:hint="eastAsia" w:ascii="仿宋" w:hAnsi="仿宋" w:eastAsia="仿宋" w:cs="仿宋"/>
          <w:color w:val="auto"/>
          <w:sz w:val="28"/>
          <w:szCs w:val="28"/>
        </w:rPr>
        <w:t xml:space="preserve">存档。</w:t>
      </w:r>
      <w:r/>
    </w:p>
    <w:p>
      <w:pPr>
        <w:pStyle w:val="859"/>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甲方和乙方由其正式授权代表于上述所写日期和地点签订本合同。</w:t>
      </w:r>
      <w:r/>
    </w:p>
    <w:p>
      <w:pPr>
        <w:pStyle w:val="859"/>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甲方（签章）： </w:t>
      </w:r>
      <w:r/>
    </w:p>
    <w:p>
      <w:pPr>
        <w:pStyle w:val="859"/>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  </w:t>
      </w:r>
      <w:r/>
    </w:p>
    <w:p>
      <w:pPr>
        <w:pStyle w:val="859"/>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邮编：  </w:t>
      </w:r>
      <w:r/>
    </w:p>
    <w:p>
      <w:pPr>
        <w:pStyle w:val="859"/>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电话： </w:t>
      </w:r>
      <w:r/>
    </w:p>
    <w:p>
      <w:pPr>
        <w:pStyle w:val="859"/>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开户银行：      </w:t>
      </w:r>
      <w:r/>
    </w:p>
    <w:p>
      <w:pPr>
        <w:pStyle w:val="859"/>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银行帐号：</w:t>
      </w:r>
      <w:r/>
    </w:p>
    <w:p>
      <w:pPr>
        <w:pStyle w:val="859"/>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法定代表人或授权代表(签名)： _______________</w:t>
      </w:r>
      <w:r/>
    </w:p>
    <w:p>
      <w:pPr>
        <w:pStyle w:val="859"/>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859"/>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乙方（签章）：</w:t>
      </w:r>
      <w:r/>
    </w:p>
    <w:p>
      <w:pPr>
        <w:pStyle w:val="859"/>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 </w:t>
      </w:r>
      <w:r/>
    </w:p>
    <w:p>
      <w:pPr>
        <w:pStyle w:val="859"/>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邮编： </w:t>
      </w:r>
      <w:r/>
    </w:p>
    <w:p>
      <w:pPr>
        <w:pStyle w:val="859"/>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电话：</w:t>
      </w:r>
      <w:r/>
    </w:p>
    <w:p>
      <w:pPr>
        <w:pStyle w:val="859"/>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开户银行：      </w:t>
      </w:r>
      <w:r/>
    </w:p>
    <w:p>
      <w:pPr>
        <w:pStyle w:val="859"/>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银行帐号：</w:t>
      </w:r>
      <w:r/>
    </w:p>
    <w:p>
      <w:pPr>
        <w:jc w:val="both"/>
        <w:spacing w:before="91" w:line="220" w:lineRule="auto"/>
        <w:rPr>
          <w:rFonts w:hint="eastAsia" w:ascii="仿宋" w:hAnsi="仿宋" w:eastAsia="仿宋" w:cs="仿宋"/>
          <w:color w:val="auto"/>
          <w:spacing w:val="-1"/>
          <w:sz w:val="28"/>
          <w:szCs w:val="28"/>
          <w:lang w:val="en-US" w:eastAsia="zh-CN"/>
        </w:rPr>
        <w:outlineLvl w:val="0"/>
      </w:pPr>
      <w:r>
        <w:rPr>
          <w:rFonts w:hint="eastAsia" w:ascii="仿宋" w:hAnsi="仿宋" w:eastAsia="仿宋" w:cs="仿宋"/>
          <w:color w:val="auto"/>
          <w:sz w:val="28"/>
          <w:szCs w:val="28"/>
        </w:rPr>
        <w:t xml:space="preserve">法定代表人或授权代表(签名)： _________</w:t>
      </w:r>
      <w:r/>
    </w:p>
    <w:p>
      <w:pPr>
        <w:pStyle w:val="837"/>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837"/>
        <w:jc w:val="center"/>
        <w:widowControl/>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837"/>
        <w:jc w:val="both"/>
        <w:widowControl/>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1019"/>
        <w:numPr>
          <w:ilvl w:val="0"/>
          <w:numId w:val="0"/>
        </w:numPr>
        <w:ind w:firstLine="2409"/>
        <w:jc w:val="both"/>
        <w:spacing w:line="240" w:lineRule="auto"/>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t xml:space="preserve">第六章   项目要求（采购需求）</w:t>
      </w:r>
      <w:r/>
    </w:p>
    <w:p>
      <w:pPr>
        <w:spacing w:line="360" w:lineRule="auto"/>
        <w:rPr>
          <w:rFonts w:hint="eastAsia" w:ascii="仿宋" w:hAnsi="仿宋" w:eastAsia="仿宋" w:cs="仿宋"/>
          <w:b/>
          <w:bCs/>
          <w:sz w:val="28"/>
          <w:szCs w:val="28"/>
          <w:lang w:eastAsia="zh-CN"/>
        </w:rPr>
      </w:pPr>
      <w:r>
        <w:rPr>
          <w:rFonts w:hint="eastAsia" w:ascii="仿宋" w:hAnsi="仿宋" w:eastAsia="仿宋" w:cs="仿宋"/>
          <w:b/>
          <w:bCs/>
          <w:sz w:val="28"/>
          <w:szCs w:val="28"/>
        </w:rPr>
        <w:t xml:space="preserve">一、</w:t>
      </w:r>
      <w:r>
        <w:rPr>
          <w:rFonts w:hint="eastAsia" w:ascii="仿宋" w:hAnsi="仿宋" w:eastAsia="仿宋" w:cs="仿宋"/>
          <w:b/>
          <w:bCs/>
          <w:sz w:val="28"/>
          <w:szCs w:val="28"/>
          <w:lang w:eastAsia="zh-CN"/>
        </w:rPr>
        <w:t xml:space="preserve">采购标的：</w:t>
      </w:r>
      <w:r/>
    </w:p>
    <w:p>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项目名称：铜山区农业微生物（食用菌）种质资源普查项目</w:t>
      </w:r>
      <w:r/>
    </w:p>
    <w:p>
      <w:p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2、采购预算：本项目采购预算59.7万元</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不接受超过59.7万元的投标报价。</w:t>
      </w:r>
      <w:r>
        <w:rPr>
          <w:rFonts w:hint="eastAsia" w:ascii="仿宋" w:hAnsi="仿宋" w:eastAsia="仿宋" w:cs="仿宋"/>
          <w:sz w:val="28"/>
          <w:szCs w:val="28"/>
        </w:rPr>
        <w:t xml:space="preserve">供应商报价包含税金、保险、</w:t>
      </w:r>
      <w:r>
        <w:rPr>
          <w:rFonts w:hint="eastAsia" w:ascii="仿宋" w:hAnsi="仿宋" w:eastAsia="仿宋" w:cs="仿宋"/>
          <w:sz w:val="28"/>
          <w:szCs w:val="28"/>
          <w:lang w:eastAsia="zh-CN"/>
        </w:rPr>
        <w:t xml:space="preserve">人员、设备、</w:t>
      </w:r>
      <w:r>
        <w:rPr>
          <w:rFonts w:hint="eastAsia" w:ascii="仿宋" w:hAnsi="仿宋" w:eastAsia="仿宋" w:cs="仿宋"/>
          <w:sz w:val="28"/>
          <w:szCs w:val="28"/>
        </w:rPr>
        <w:t xml:space="preserve">验收</w:t>
      </w:r>
      <w:r>
        <w:rPr>
          <w:rFonts w:hint="eastAsia" w:ascii="仿宋" w:hAnsi="仿宋" w:eastAsia="仿宋" w:cs="仿宋"/>
          <w:sz w:val="28"/>
          <w:szCs w:val="28"/>
          <w:lang w:eastAsia="zh-CN"/>
        </w:rPr>
        <w:t xml:space="preserve">、利润及本项目</w:t>
      </w:r>
      <w:r>
        <w:rPr>
          <w:rFonts w:hint="eastAsia" w:ascii="仿宋" w:hAnsi="仿宋" w:eastAsia="仿宋" w:cs="仿宋"/>
          <w:b/>
          <w:bCs/>
          <w:color w:val="auto"/>
          <w:sz w:val="28"/>
          <w:szCs w:val="28"/>
          <w:lang w:val="en-US" w:eastAsia="zh-CN"/>
        </w:rPr>
        <w:t xml:space="preserve">种质普查质控</w:t>
      </w:r>
      <w:r>
        <w:rPr>
          <w:rFonts w:hint="eastAsia" w:ascii="仿宋" w:hAnsi="仿宋" w:eastAsia="仿宋" w:cs="仿宋"/>
          <w:sz w:val="28"/>
          <w:szCs w:val="28"/>
        </w:rPr>
        <w:t xml:space="preserve">等全部费用。采购人不再支付报价以外的任何费用。</w:t>
      </w:r>
      <w:r/>
    </w:p>
    <w:p>
      <w:pPr>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t xml:space="preserve">二、项目概况</w:t>
      </w:r>
      <w:r/>
    </w:p>
    <w:p>
      <w:pPr>
        <w:ind w:firstLine="560"/>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根据《国务院办公厅关于加强农业种质资源保护与利用的意见》（国办发〔2019〕56号）、《农业农村部关于开展全国农业种质资源普查的通知》（农种发〔2021〕1号）、《省政府办公厅关于加强农业种质资源保护与利用的实施意见》（苏政办发〔2020〕57号）、《关于</w:t>
      </w:r>
      <w:r>
        <w:rPr>
          <w:rFonts w:hint="eastAsia" w:ascii="仿宋" w:hAnsi="仿宋" w:eastAsia="仿宋" w:cs="仿宋"/>
          <w:color w:val="auto"/>
          <w:sz w:val="28"/>
          <w:szCs w:val="28"/>
          <w:lang w:eastAsia="zh-CN"/>
        </w:rPr>
        <w:t xml:space="preserve">开展全省农业微生物（食用菌）种质资源普查及监理服务工作的通知</w:t>
      </w:r>
      <w:r>
        <w:rPr>
          <w:rFonts w:hint="eastAsia" w:ascii="仿宋" w:hAnsi="仿宋" w:eastAsia="仿宋" w:cs="仿宋"/>
          <w:color w:val="auto"/>
          <w:sz w:val="28"/>
          <w:szCs w:val="28"/>
        </w:rPr>
        <w:t xml:space="preserve">》（苏农</w:t>
      </w:r>
      <w:r>
        <w:rPr>
          <w:rFonts w:hint="eastAsia" w:ascii="仿宋" w:hAnsi="仿宋" w:eastAsia="仿宋" w:cs="仿宋"/>
          <w:color w:val="auto"/>
          <w:sz w:val="28"/>
          <w:szCs w:val="28"/>
          <w:lang w:eastAsia="zh-CN"/>
        </w:rPr>
        <w:t xml:space="preserve">便</w:t>
      </w:r>
      <w:r>
        <w:rPr>
          <w:rFonts w:hint="eastAsia" w:ascii="仿宋" w:hAnsi="仿宋" w:eastAsia="仿宋" w:cs="仿宋"/>
          <w:color w:val="auto"/>
          <w:sz w:val="28"/>
          <w:szCs w:val="28"/>
        </w:rPr>
        <w:t xml:space="preserve">〔2023〕</w:t>
      </w:r>
      <w:r>
        <w:rPr>
          <w:rFonts w:hint="eastAsia" w:ascii="仿宋" w:hAnsi="仿宋" w:eastAsia="仿宋" w:cs="仿宋"/>
          <w:color w:val="auto"/>
          <w:sz w:val="28"/>
          <w:szCs w:val="28"/>
          <w:lang w:val="en-US" w:eastAsia="zh-CN"/>
        </w:rPr>
        <w:t xml:space="preserve">83</w:t>
      </w:r>
      <w:r>
        <w:rPr>
          <w:rFonts w:hint="eastAsia" w:ascii="仿宋" w:hAnsi="仿宋" w:eastAsia="仿宋" w:cs="仿宋"/>
          <w:color w:val="auto"/>
          <w:sz w:val="28"/>
          <w:szCs w:val="28"/>
        </w:rPr>
        <w:t xml:space="preserve">号）文件精神，结合我区实际情况，</w:t>
      </w:r>
      <w:r>
        <w:rPr>
          <w:rFonts w:hint="eastAsia" w:ascii="仿宋" w:hAnsi="仿宋" w:eastAsia="仿宋" w:cs="仿宋"/>
          <w:color w:val="auto"/>
          <w:sz w:val="28"/>
          <w:szCs w:val="28"/>
          <w:lang w:eastAsia="zh-CN"/>
        </w:rPr>
        <w:t xml:space="preserve">在我</w:t>
      </w:r>
      <w:r>
        <w:rPr>
          <w:rFonts w:hint="eastAsia" w:ascii="仿宋" w:hAnsi="仿宋" w:eastAsia="仿宋" w:cs="仿宋"/>
          <w:color w:val="auto"/>
          <w:sz w:val="28"/>
          <w:szCs w:val="28"/>
        </w:rPr>
        <w:t xml:space="preserve">区实施</w:t>
      </w:r>
      <w:r>
        <w:rPr>
          <w:rFonts w:hint="eastAsia" w:ascii="仿宋" w:hAnsi="仿宋" w:eastAsia="仿宋" w:cs="仿宋"/>
          <w:color w:val="auto"/>
          <w:sz w:val="28"/>
          <w:szCs w:val="28"/>
          <w:lang w:eastAsia="zh-CN"/>
        </w:rPr>
        <w:t xml:space="preserve">农业微生物（食用菌）种质资源普查及监理服务</w:t>
      </w:r>
      <w:r>
        <w:rPr>
          <w:rFonts w:hint="eastAsia" w:ascii="仿宋" w:hAnsi="仿宋" w:eastAsia="仿宋" w:cs="仿宋"/>
          <w:color w:val="auto"/>
          <w:sz w:val="28"/>
          <w:szCs w:val="28"/>
        </w:rPr>
        <w:t xml:space="preserve">工作。</w:t>
      </w:r>
      <w:r/>
    </w:p>
    <w:p>
      <w:pPr>
        <w:ind w:firstLine="560"/>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项目计划全面摸清</w:t>
      </w:r>
      <w:r>
        <w:rPr>
          <w:rFonts w:hint="eastAsia" w:ascii="仿宋" w:hAnsi="仿宋" w:eastAsia="仿宋" w:cs="仿宋"/>
          <w:color w:val="auto"/>
          <w:sz w:val="28"/>
          <w:szCs w:val="28"/>
          <w:lang w:eastAsia="zh-CN"/>
        </w:rPr>
        <w:t xml:space="preserve">铜山</w:t>
      </w:r>
      <w:r>
        <w:rPr>
          <w:rFonts w:hint="eastAsia" w:ascii="仿宋" w:hAnsi="仿宋" w:eastAsia="仿宋" w:cs="仿宋"/>
          <w:color w:val="auto"/>
          <w:sz w:val="28"/>
          <w:szCs w:val="28"/>
        </w:rPr>
        <w:t xml:space="preserve">区农业微生物（食用菌）种质资源种类、储量、区域分布及特征特性等状况，收集保存一批食用菌种质资源，并对重要菌种的营养成分、生物活性进行全面评价，测定可栽培食用菌菌株的生产性能，建立食用菌种质资源短期库、长期库、复份库，为食用菌产业长期健康发展提供资源储备，为食用菌菌种“卡脖子”问题的解决提供源头保障，为种业振兴提供坚实基础。</w:t>
      </w:r>
      <w:r/>
    </w:p>
    <w:p>
      <w:pPr>
        <w:spacing w:line="50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三、</w:t>
      </w:r>
      <w:r>
        <w:rPr>
          <w:rFonts w:hint="eastAsia" w:ascii="仿宋" w:hAnsi="仿宋" w:eastAsia="仿宋" w:cs="仿宋"/>
          <w:b/>
          <w:bCs/>
          <w:color w:val="auto"/>
          <w:sz w:val="28"/>
          <w:szCs w:val="28"/>
        </w:rPr>
        <w:t xml:space="preserve">实施范围</w:t>
      </w:r>
      <w:r/>
    </w:p>
    <w:p>
      <w:pPr>
        <w:ind w:firstLine="560"/>
        <w:jc w:val="left"/>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铜山</w:t>
      </w:r>
      <w:r>
        <w:rPr>
          <w:rFonts w:hint="eastAsia" w:ascii="仿宋" w:hAnsi="仿宋" w:eastAsia="仿宋" w:cs="仿宋"/>
          <w:color w:val="auto"/>
          <w:sz w:val="28"/>
          <w:szCs w:val="28"/>
        </w:rPr>
        <w:t xml:space="preserve">区普查区域内的所有大型真菌物种。应基于生态系统类型、生物多样性分布、大型真菌资源普遍分布规律、地形地貌情况和交通可达性，确定调查区域、布设样线。</w:t>
      </w:r>
      <w:r/>
    </w:p>
    <w:p>
      <w:pPr>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四、</w:t>
      </w:r>
      <w:r>
        <w:rPr>
          <w:rFonts w:hint="eastAsia" w:ascii="仿宋" w:hAnsi="仿宋" w:eastAsia="仿宋" w:cs="仿宋"/>
          <w:color w:val="auto"/>
          <w:sz w:val="28"/>
          <w:szCs w:val="28"/>
        </w:rPr>
        <w:t xml:space="preserve">实施内容</w:t>
      </w:r>
      <w:r/>
    </w:p>
    <w:p>
      <w:pPr>
        <w:ind w:firstLine="560"/>
        <w:spacing w:line="500" w:lineRule="exac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lang w:eastAsia="zh-CN"/>
        </w:rPr>
        <w:t xml:space="preserve">（</w:t>
      </w:r>
      <w:r>
        <w:rPr>
          <w:rFonts w:hint="eastAsia" w:ascii="仿宋" w:hAnsi="仿宋" w:eastAsia="仿宋" w:cs="仿宋"/>
          <w:b w:val="0"/>
          <w:bCs w:val="0"/>
          <w:color w:val="auto"/>
          <w:sz w:val="28"/>
          <w:szCs w:val="28"/>
          <w:lang w:val="en-US" w:eastAsia="zh-CN"/>
        </w:rPr>
        <w:t xml:space="preserve">一</w:t>
      </w:r>
      <w:r>
        <w:rPr>
          <w:rFonts w:hint="eastAsia" w:ascii="仿宋" w:hAnsi="仿宋" w:eastAsia="仿宋" w:cs="仿宋"/>
          <w:b w:val="0"/>
          <w:bCs w:val="0"/>
          <w:color w:val="auto"/>
          <w:sz w:val="28"/>
          <w:szCs w:val="28"/>
          <w:lang w:eastAsia="zh-CN"/>
        </w:rPr>
        <w:t xml:space="preserve">）</w:t>
      </w:r>
      <w:r>
        <w:rPr>
          <w:rFonts w:hint="eastAsia" w:ascii="仿宋" w:hAnsi="仿宋" w:eastAsia="仿宋" w:cs="仿宋"/>
          <w:b w:val="0"/>
          <w:bCs w:val="0"/>
          <w:color w:val="auto"/>
          <w:sz w:val="28"/>
          <w:szCs w:val="28"/>
        </w:rPr>
        <w:t xml:space="preserve">数据收集</w:t>
      </w:r>
      <w:r/>
    </w:p>
    <w:p>
      <w:pPr>
        <w:ind w:firstLine="562"/>
        <w:spacing w:line="500" w:lineRule="exact"/>
        <w:rPr>
          <w:rFonts w:hint="eastAsia" w:ascii="仿宋" w:hAnsi="仿宋" w:eastAsia="仿宋" w:cs="仿宋"/>
          <w:color w:val="auto"/>
          <w:sz w:val="28"/>
          <w:szCs w:val="28"/>
        </w:rPr>
      </w:pPr>
      <w:r>
        <w:rPr>
          <w:rFonts w:hint="eastAsia" w:ascii="仿宋" w:hAnsi="仿宋" w:eastAsia="仿宋" w:cs="仿宋"/>
          <w:b/>
          <w:bCs/>
          <w:color w:val="auto"/>
          <w:sz w:val="28"/>
          <w:szCs w:val="28"/>
          <w:lang w:val="en-US" w:eastAsia="zh-CN"/>
        </w:rPr>
        <w:t xml:space="preserve">1、</w:t>
      </w:r>
      <w:r>
        <w:rPr>
          <w:rFonts w:hint="eastAsia" w:ascii="仿宋" w:hAnsi="仿宋" w:eastAsia="仿宋" w:cs="仿宋"/>
          <w:color w:val="auto"/>
          <w:sz w:val="28"/>
          <w:szCs w:val="28"/>
        </w:rPr>
        <w:t xml:space="preserve">收集、分析与调查</w:t>
      </w:r>
      <w:r>
        <w:rPr>
          <w:rFonts w:hint="eastAsia" w:ascii="仿宋" w:hAnsi="仿宋" w:eastAsia="仿宋" w:cs="仿宋"/>
          <w:color w:val="auto"/>
          <w:sz w:val="28"/>
          <w:szCs w:val="28"/>
          <w:lang w:eastAsia="zh-CN"/>
        </w:rPr>
        <w:t xml:space="preserve">铜山</w:t>
      </w:r>
      <w:r>
        <w:rPr>
          <w:rFonts w:hint="eastAsia" w:ascii="仿宋" w:hAnsi="仿宋" w:eastAsia="仿宋" w:cs="仿宋"/>
          <w:color w:val="auto"/>
          <w:sz w:val="28"/>
          <w:szCs w:val="28"/>
        </w:rPr>
        <w:t xml:space="preserve">区有关的志书、报告、文献、馆藏标本记录、菌种数据库记录等资料，了解</w:t>
      </w:r>
      <w:r>
        <w:rPr>
          <w:rFonts w:hint="eastAsia" w:ascii="仿宋" w:hAnsi="仿宋" w:eastAsia="仿宋" w:cs="仿宋"/>
          <w:color w:val="auto"/>
          <w:sz w:val="28"/>
          <w:szCs w:val="28"/>
          <w:lang w:eastAsia="zh-CN"/>
        </w:rPr>
        <w:t xml:space="preserve">铜山</w:t>
      </w:r>
      <w:r>
        <w:rPr>
          <w:rFonts w:hint="eastAsia" w:ascii="仿宋" w:hAnsi="仿宋" w:eastAsia="仿宋" w:cs="仿宋"/>
          <w:color w:val="auto"/>
          <w:sz w:val="28"/>
          <w:szCs w:val="28"/>
        </w:rPr>
        <w:t xml:space="preserve">区大型真菌物种概况。</w:t>
      </w:r>
      <w:r/>
    </w:p>
    <w:p>
      <w:pPr>
        <w:pStyle w:val="821"/>
        <w:ind w:left="19" w:right="128" w:firstLine="443"/>
        <w:spacing w:before="140" w:line="306" w:lineRule="auto"/>
        <w:rPr>
          <w:rFonts w:hint="eastAsia" w:ascii="仿宋" w:hAnsi="仿宋" w:eastAsia="仿宋" w:cs="仿宋"/>
          <w:color w:val="auto"/>
          <w:sz w:val="28"/>
          <w:szCs w:val="28"/>
        </w:rPr>
      </w:pPr>
      <w:r>
        <w:rPr>
          <w:rFonts w:hint="eastAsia" w:ascii="仿宋" w:hAnsi="仿宋" w:eastAsia="仿宋" w:cs="仿宋"/>
          <w:color w:val="auto"/>
          <w:spacing w:val="3"/>
          <w:sz w:val="28"/>
          <w:szCs w:val="28"/>
          <w:lang w:val="en-US" w:eastAsia="zh-CN"/>
        </w:rPr>
        <w:t xml:space="preserve">2、</w:t>
      </w:r>
      <w:r>
        <w:rPr>
          <w:rFonts w:hint="eastAsia" w:ascii="仿宋" w:hAnsi="仿宋" w:eastAsia="仿宋" w:cs="仿宋"/>
          <w:color w:val="auto"/>
          <w:spacing w:val="3"/>
          <w:sz w:val="28"/>
          <w:szCs w:val="28"/>
        </w:rPr>
        <w:t xml:space="preserve">了解调查区域的气候、地形地貌、生态系统类型等自</w:t>
      </w:r>
      <w:r>
        <w:rPr>
          <w:rFonts w:hint="eastAsia" w:ascii="仿宋" w:hAnsi="仿宋" w:eastAsia="仿宋" w:cs="仿宋"/>
          <w:color w:val="auto"/>
          <w:sz w:val="28"/>
          <w:szCs w:val="28"/>
        </w:rPr>
        <w:t xml:space="preserve"> </w:t>
      </w:r>
      <w:r>
        <w:rPr>
          <w:rFonts w:hint="eastAsia" w:ascii="仿宋" w:hAnsi="仿宋" w:eastAsia="仿宋" w:cs="仿宋"/>
          <w:color w:val="auto"/>
          <w:spacing w:val="3"/>
          <w:sz w:val="28"/>
          <w:szCs w:val="28"/>
        </w:rPr>
        <w:t xml:space="preserve">然地理概况，并分析大型真菌多样性分布情况，确定生物多样</w:t>
      </w:r>
      <w:r>
        <w:rPr>
          <w:rFonts w:hint="eastAsia" w:ascii="仿宋" w:hAnsi="仿宋" w:eastAsia="仿宋" w:cs="仿宋"/>
          <w:color w:val="auto"/>
          <w:spacing w:val="18"/>
          <w:sz w:val="28"/>
          <w:szCs w:val="28"/>
        </w:rPr>
        <w:t xml:space="preserve"> </w:t>
      </w:r>
      <w:r>
        <w:rPr>
          <w:rFonts w:hint="eastAsia" w:ascii="仿宋" w:hAnsi="仿宋" w:eastAsia="仿宋" w:cs="仿宋"/>
          <w:color w:val="auto"/>
          <w:spacing w:val="7"/>
          <w:sz w:val="28"/>
          <w:szCs w:val="28"/>
        </w:rPr>
        <w:t xml:space="preserve">性相对丰富的区域，制定调查方案。</w:t>
      </w:r>
      <w:r/>
    </w:p>
    <w:p>
      <w:pPr>
        <w:pStyle w:val="821"/>
        <w:ind w:left="8" w:right="151" w:firstLine="454"/>
        <w:spacing w:before="140" w:line="291" w:lineRule="auto"/>
        <w:rPr>
          <w:rFonts w:hint="eastAsia" w:ascii="仿宋" w:hAnsi="仿宋" w:eastAsia="仿宋" w:cs="仿宋"/>
          <w:color w:val="auto"/>
          <w:sz w:val="28"/>
          <w:szCs w:val="28"/>
        </w:rPr>
      </w:pPr>
      <w:r>
        <w:rPr>
          <w:rFonts w:hint="eastAsia" w:ascii="仿宋" w:hAnsi="仿宋" w:eastAsia="仿宋" w:cs="仿宋"/>
          <w:color w:val="auto"/>
          <w:spacing w:val="2"/>
          <w:sz w:val="28"/>
          <w:szCs w:val="28"/>
          <w:lang w:val="en-US" w:eastAsia="zh-CN"/>
        </w:rPr>
        <w:t xml:space="preserve">3、</w:t>
      </w:r>
      <w:r>
        <w:rPr>
          <w:rFonts w:hint="eastAsia" w:ascii="仿宋" w:hAnsi="仿宋" w:eastAsia="仿宋" w:cs="仿宋"/>
          <w:color w:val="auto"/>
          <w:spacing w:val="2"/>
          <w:sz w:val="28"/>
          <w:szCs w:val="28"/>
        </w:rPr>
        <w:t xml:space="preserve">根据调查目标、任务和进度要求，组织调查队伍，配</w:t>
      </w:r>
      <w:r>
        <w:rPr>
          <w:rFonts w:hint="eastAsia" w:ascii="仿宋" w:hAnsi="仿宋" w:eastAsia="仿宋" w:cs="仿宋"/>
          <w:color w:val="auto"/>
          <w:sz w:val="28"/>
          <w:szCs w:val="28"/>
        </w:rPr>
        <w:t xml:space="preserve"> </w:t>
      </w:r>
      <w:r>
        <w:rPr>
          <w:rFonts w:hint="eastAsia" w:ascii="仿宋" w:hAnsi="仿宋" w:eastAsia="仿宋" w:cs="仿宋"/>
          <w:color w:val="auto"/>
          <w:spacing w:val="8"/>
          <w:sz w:val="28"/>
          <w:szCs w:val="28"/>
        </w:rPr>
        <w:t xml:space="preserve">备大型真菌分类学专业人员，明确人员分工与责任。</w:t>
      </w:r>
      <w:r/>
    </w:p>
    <w:p>
      <w:pPr>
        <w:pStyle w:val="821"/>
        <w:ind w:left="20" w:firstLine="443"/>
        <w:spacing w:before="143" w:line="291" w:lineRule="auto"/>
        <w:rPr>
          <w:rFonts w:hint="eastAsia" w:ascii="仿宋" w:hAnsi="仿宋" w:eastAsia="仿宋" w:cs="仿宋"/>
          <w:color w:val="auto"/>
          <w:sz w:val="28"/>
          <w:szCs w:val="28"/>
        </w:rPr>
      </w:pPr>
      <w:r>
        <w:rPr>
          <w:rFonts w:hint="eastAsia" w:ascii="仿宋" w:hAnsi="仿宋" w:eastAsia="仿宋" w:cs="仿宋"/>
          <w:color w:val="auto"/>
          <w:spacing w:val="8"/>
          <w:sz w:val="28"/>
          <w:szCs w:val="28"/>
          <w:lang w:val="en-US" w:eastAsia="zh-CN"/>
        </w:rPr>
        <w:t xml:space="preserve">4、</w:t>
      </w:r>
      <w:r>
        <w:rPr>
          <w:rFonts w:hint="eastAsia" w:ascii="仿宋" w:hAnsi="仿宋" w:eastAsia="仿宋" w:cs="仿宋"/>
          <w:color w:val="auto"/>
          <w:spacing w:val="8"/>
          <w:sz w:val="28"/>
          <w:szCs w:val="28"/>
        </w:rPr>
        <w:t xml:space="preserve">开展调查技术方法、质量控制与管理、安全、</w:t>
      </w:r>
      <w:r>
        <w:rPr>
          <w:rFonts w:hint="eastAsia" w:ascii="仿宋" w:hAnsi="仿宋" w:eastAsia="仿宋" w:cs="仿宋"/>
          <w:color w:val="auto"/>
          <w:spacing w:val="7"/>
          <w:sz w:val="28"/>
          <w:szCs w:val="28"/>
        </w:rPr>
        <w:t xml:space="preserve">急救、</w:t>
      </w:r>
      <w:r>
        <w:rPr>
          <w:rFonts w:hint="eastAsia" w:ascii="仿宋" w:hAnsi="仿宋" w:eastAsia="仿宋" w:cs="仿宋"/>
          <w:color w:val="auto"/>
          <w:sz w:val="28"/>
          <w:szCs w:val="28"/>
        </w:rPr>
        <w:t xml:space="preserve"> </w:t>
      </w:r>
      <w:r>
        <w:rPr>
          <w:rFonts w:hint="eastAsia" w:ascii="仿宋" w:hAnsi="仿宋" w:eastAsia="仿宋" w:cs="仿宋"/>
          <w:color w:val="auto"/>
          <w:spacing w:val="5"/>
          <w:sz w:val="28"/>
          <w:szCs w:val="28"/>
        </w:rPr>
        <w:t xml:space="preserve">野外生存技巧等方面的培训。</w:t>
      </w:r>
      <w:r/>
    </w:p>
    <w:p>
      <w:pPr>
        <w:pStyle w:val="821"/>
        <w:ind w:right="127" w:firstLine="528"/>
        <w:spacing w:before="144" w:line="312" w:lineRule="auto"/>
        <w:rPr>
          <w:rFonts w:hint="eastAsia" w:ascii="仿宋" w:hAnsi="仿宋" w:eastAsia="仿宋" w:cs="仿宋"/>
          <w:color w:val="auto"/>
          <w:sz w:val="28"/>
          <w:szCs w:val="28"/>
        </w:rPr>
      </w:pPr>
      <w:r>
        <w:rPr>
          <w:rFonts w:hint="eastAsia" w:ascii="仿宋" w:hAnsi="仿宋" w:eastAsia="仿宋" w:cs="仿宋"/>
          <w:color w:val="auto"/>
          <w:spacing w:val="-8"/>
          <w:sz w:val="28"/>
          <w:szCs w:val="28"/>
          <w:lang w:val="en-US" w:eastAsia="zh-CN"/>
        </w:rPr>
        <w:t xml:space="preserve">5、</w:t>
      </w:r>
      <w:r>
        <w:rPr>
          <w:rFonts w:hint="eastAsia" w:ascii="仿宋" w:hAnsi="仿宋" w:eastAsia="仿宋" w:cs="仿宋"/>
          <w:color w:val="auto"/>
          <w:spacing w:val="-8"/>
          <w:sz w:val="28"/>
          <w:szCs w:val="28"/>
        </w:rPr>
        <w:t xml:space="preserve">准备调查工具与设备，包括GPS、数码相机、三角架、</w:t>
      </w:r>
      <w:r>
        <w:rPr>
          <w:rFonts w:hint="eastAsia" w:ascii="仿宋" w:hAnsi="仿宋" w:eastAsia="仿宋" w:cs="仿宋"/>
          <w:color w:val="auto"/>
          <w:sz w:val="28"/>
          <w:szCs w:val="28"/>
        </w:rPr>
        <w:t xml:space="preserve"> </w:t>
      </w:r>
      <w:r>
        <w:rPr>
          <w:rFonts w:hint="eastAsia" w:ascii="仿宋" w:hAnsi="仿宋" w:eastAsia="仿宋" w:cs="仿宋"/>
          <w:color w:val="auto"/>
          <w:spacing w:val="4"/>
          <w:sz w:val="28"/>
          <w:szCs w:val="28"/>
        </w:rPr>
        <w:t xml:space="preserve">采集刀（铲）、提篮、采集袋、塑料袋、记录本、记录笔、便</w:t>
      </w:r>
      <w:r>
        <w:rPr>
          <w:rFonts w:hint="eastAsia" w:ascii="仿宋" w:hAnsi="仿宋" w:eastAsia="仿宋" w:cs="仿宋"/>
          <w:color w:val="auto"/>
          <w:sz w:val="28"/>
          <w:szCs w:val="28"/>
        </w:rPr>
        <w:t xml:space="preserve"> </w:t>
      </w:r>
      <w:r>
        <w:rPr>
          <w:rFonts w:hint="eastAsia" w:ascii="仿宋" w:hAnsi="仿宋" w:eastAsia="仿宋" w:cs="仿宋"/>
          <w:color w:val="auto"/>
          <w:spacing w:val="4"/>
          <w:sz w:val="28"/>
          <w:szCs w:val="28"/>
        </w:rPr>
        <w:t xml:space="preserve">携式烘箱、采集标签、遮光板、个人野外调查防护用品与装备</w:t>
      </w:r>
      <w:r>
        <w:rPr>
          <w:rFonts w:hint="eastAsia" w:ascii="仿宋" w:hAnsi="仿宋" w:eastAsia="仿宋" w:cs="仿宋"/>
          <w:color w:val="auto"/>
          <w:sz w:val="28"/>
          <w:szCs w:val="28"/>
        </w:rPr>
        <w:t xml:space="preserve"> </w:t>
      </w:r>
      <w:r>
        <w:rPr>
          <w:rFonts w:hint="eastAsia" w:ascii="仿宋" w:hAnsi="仿宋" w:eastAsia="仿宋" w:cs="仿宋"/>
          <w:color w:val="auto"/>
          <w:spacing w:val="-5"/>
          <w:sz w:val="28"/>
          <w:szCs w:val="28"/>
        </w:rPr>
        <w:t xml:space="preserve">等。</w:t>
      </w:r>
      <w:r/>
    </w:p>
    <w:p>
      <w:pPr>
        <w:ind w:firstLine="280"/>
        <w:spacing w:line="500" w:lineRule="exac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lang w:eastAsia="zh-CN"/>
        </w:rPr>
        <w:t xml:space="preserve">（</w:t>
      </w:r>
      <w:r>
        <w:rPr>
          <w:rFonts w:hint="eastAsia" w:ascii="仿宋" w:hAnsi="仿宋" w:eastAsia="仿宋" w:cs="仿宋"/>
          <w:b w:val="0"/>
          <w:bCs w:val="0"/>
          <w:color w:val="auto"/>
          <w:sz w:val="28"/>
          <w:szCs w:val="28"/>
          <w:lang w:val="en-US" w:eastAsia="zh-CN"/>
        </w:rPr>
        <w:t xml:space="preserve">二</w:t>
      </w:r>
      <w:r>
        <w:rPr>
          <w:rFonts w:hint="eastAsia" w:ascii="仿宋" w:hAnsi="仿宋" w:eastAsia="仿宋" w:cs="仿宋"/>
          <w:b w:val="0"/>
          <w:bCs w:val="0"/>
          <w:color w:val="auto"/>
          <w:sz w:val="28"/>
          <w:szCs w:val="28"/>
          <w:lang w:eastAsia="zh-CN"/>
        </w:rPr>
        <w:t xml:space="preserve">）</w:t>
      </w:r>
      <w:r>
        <w:rPr>
          <w:rFonts w:hint="eastAsia" w:ascii="仿宋" w:hAnsi="仿宋" w:eastAsia="仿宋" w:cs="仿宋"/>
          <w:b w:val="0"/>
          <w:bCs w:val="0"/>
          <w:color w:val="auto"/>
          <w:sz w:val="28"/>
          <w:szCs w:val="28"/>
        </w:rPr>
        <w:t xml:space="preserve">野外调查</w:t>
      </w:r>
      <w:r/>
    </w:p>
    <w:p>
      <w:pPr>
        <w:ind w:firstLine="2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本次普查对象是</w:t>
      </w:r>
      <w:r>
        <w:rPr>
          <w:rFonts w:hint="eastAsia" w:ascii="仿宋" w:hAnsi="仿宋" w:eastAsia="仿宋" w:cs="仿宋"/>
          <w:color w:val="auto"/>
          <w:sz w:val="28"/>
          <w:szCs w:val="28"/>
          <w:lang w:eastAsia="zh-CN"/>
        </w:rPr>
        <w:t xml:space="preserve">铜山</w:t>
      </w:r>
      <w:r>
        <w:rPr>
          <w:rFonts w:hint="eastAsia" w:ascii="仿宋" w:hAnsi="仿宋" w:eastAsia="仿宋" w:cs="仿宋"/>
          <w:color w:val="auto"/>
          <w:sz w:val="28"/>
          <w:szCs w:val="28"/>
        </w:rPr>
        <w:t xml:space="preserve">区普查区域内的所有大型真菌物种，应根据大型真菌生长特性，选择适宜季节全年组织系统调查不少于5次，春（5～6月）、夏（7～8月）、秋（9～11月）、冬（12～2月）每个季度至少开展1次全面调查，每个季度累计调查自然天数不少于</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天；视当地天气情况不定期组织小规模调查；全年累计野外调查自然天数不少于4</w:t>
      </w: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天。</w:t>
      </w:r>
      <w:r/>
    </w:p>
    <w:p>
      <w:pPr>
        <w:ind w:firstLine="2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2、普查轨迹记录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采取“县级行政区代码+样线序号”的方式编号。县级行 政区代码按照GB/T 2260《中华人民共和国行政区划代码》的 规定。参考国家统计局公布的最新县级行政区划代码。样线序号为3位阿拉伯数字，以001开始。 </w:t>
      </w:r>
      <w:r/>
    </w:p>
    <w:p>
      <w:pPr>
        <w:ind w:firstLine="2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3、标本采集、制作、保存与鉴定标本采集标本采集以“完整性”为基本原则，尽量采集不同发育阶段的个体。详细记录标本的形态特征、生态环境和其他基本信息。原则上每种大型真菌子实体均需采集标本，拍照、记录经纬度海拔、采集地点、并进行编号。 </w:t>
      </w:r>
      <w:r/>
    </w:p>
    <w:p>
      <w:pPr>
        <w:ind w:firstLine="2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4、标本编号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每份标本须有唯一的编号（采集号），每个县域建议使用统一的前缀+数字进行编号，前缀可采用调查负责人的姓名拼音或县名的拼音，如“Liwei001”或“Yizheng001”等。 </w:t>
      </w:r>
      <w:r/>
    </w:p>
    <w:p>
      <w:pPr>
        <w:ind w:firstLine="2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5、标本制作与保存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（1）采集的标本应及时用带通风的标本烘干机进行干燥处理，烘干温度控制在40～50 ℃，烘烤至完全干燥。子实体较大的、不易干燥的大型真菌可以剖开或切片，以便快速干燥，避免腐烂和DNA降解。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（2）子实体较大的样本可取少量新鲜组织用硅胶干燥制作组织块，用于后续DNA测序研究，组织块编号与标本采集号一致。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（3）标本保存：将标本、采集号标签、相关记录信息等一并装入特制标本盒、标本袋中，置于低温冰箱（–40 ℃～–80 ℃）半个月至20天进行杀虫处理，然后放入标本柜（室）保存，或提交至项目组统一保存。 </w:t>
      </w:r>
      <w:r/>
    </w:p>
    <w:p>
      <w:pPr>
        <w:ind w:firstLine="2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6、标本鉴定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（1）大型真菌标本需要专业人士根据其宏观和微观特征并参考其生态习性、产地环境等进行鉴定，推荐采用分子鉴定方法。分子鉴定采用ITS片段，必要时使用多基因，序列编号与标本采集号一致。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（2）标本应尽可能鉴定到种，确定无法鉴定到种的，需鉴定到属。 </w:t>
      </w:r>
      <w:r/>
    </w:p>
    <w:p>
      <w:pPr>
        <w:ind w:firstLine="280"/>
        <w:spacing w:line="360" w:lineRule="auto"/>
        <w:rPr>
          <w:rFonts w:hint="eastAsia" w:ascii="仿宋" w:hAnsi="仿宋" w:eastAsia="仿宋" w:cs="仿宋"/>
          <w:b/>
          <w:bCs/>
          <w:color w:val="auto"/>
          <w:sz w:val="28"/>
          <w:szCs w:val="28"/>
        </w:rPr>
      </w:pPr>
      <w:r>
        <w:rPr>
          <w:rFonts w:hint="eastAsia" w:ascii="仿宋" w:hAnsi="仿宋" w:eastAsia="仿宋" w:cs="仿宋"/>
          <w:b w:val="0"/>
          <w:bCs w:val="0"/>
          <w:color w:val="auto"/>
          <w:sz w:val="28"/>
          <w:szCs w:val="28"/>
          <w:lang w:val="en-US" w:eastAsia="zh-CN"/>
        </w:rPr>
        <w:t xml:space="preserve">7、菌种分离、纯化、鉴定、保存 </w:t>
      </w:r>
      <w:r/>
    </w:p>
    <w:p>
      <w:pPr>
        <w:ind w:firstLine="280"/>
        <w:spacing w:line="360" w:lineRule="auto"/>
        <w:rPr>
          <w:rFonts w:hint="eastAsia" w:ascii="仿宋" w:hAnsi="仿宋" w:eastAsia="仿宋" w:cs="仿宋"/>
          <w:b/>
          <w:bCs/>
          <w:color w:val="auto"/>
          <w:sz w:val="28"/>
          <w:szCs w:val="28"/>
        </w:rPr>
      </w:pPr>
      <w:r>
        <w:rPr>
          <w:rFonts w:hint="eastAsia" w:ascii="仿宋" w:hAnsi="仿宋" w:eastAsia="仿宋" w:cs="仿宋"/>
          <w:b w:val="0"/>
          <w:bCs w:val="0"/>
          <w:color w:val="auto"/>
          <w:sz w:val="28"/>
          <w:szCs w:val="28"/>
          <w:lang w:val="en-US" w:eastAsia="zh-CN"/>
        </w:rPr>
        <w:t xml:space="preserve">（1）菌种分离纯化</w:t>
      </w:r>
      <w:r>
        <w:rPr>
          <w:rFonts w:hint="eastAsia" w:ascii="仿宋" w:hAnsi="仿宋" w:eastAsia="仿宋" w:cs="仿宋"/>
          <w:b/>
          <w:bCs/>
          <w:color w:val="auto"/>
          <w:sz w:val="28"/>
          <w:szCs w:val="28"/>
          <w:lang w:val="en-US" w:eastAsia="zh-CN"/>
        </w:rPr>
        <w:t xml:space="preserve">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不同类群大型真菌菌种的分离可能需要使用不同的培养基。如在野外连续工作无法当天返回实验室，应携带酒精灯、培养基等接种工具，在采集当天完成菌种分离。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菌种分离的原始试管需要进一步纯化，纯化的菌株一般需要测定ITS序列并与对应的分离标本进行比较，确认分离无污染的菌种再保存。 </w:t>
      </w:r>
      <w:r/>
    </w:p>
    <w:p>
      <w:pPr>
        <w:ind w:firstLine="2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（2）菌种鉴定保存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准确鉴定的菌种再进行保种，由普查承担单位制作甘油管保存于–80 ℃，同时备份至南京农业大学保存。有重要经济价值或开发利用潜力的菌种由项目组统一保存至中国普通微生物菌种保藏管理中心、中国农业微生物菌种保藏管理中心等国内菌种保藏机构。 </w:t>
      </w:r>
      <w:r/>
    </w:p>
    <w:p>
      <w:pPr>
        <w:ind w:firstLine="2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8、菌种编号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菌种的原始编号使用标本采集号，经鉴定后可赋予单独的菌种编号，用调查负责人的姓名拼音或县名拼音的缩写，与采集号进行区分，如“LW001”或“YZ001”等。 </w:t>
      </w:r>
      <w:r/>
    </w:p>
    <w:p>
      <w:pPr>
        <w:ind w:firstLine="2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9、物种命名规范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大型真菌物种的名称由属名+种加词构成。大型真菌的拉丁学名受《国际藻类、真菌、植物命名法规》（墨尔本法规2012）管理，汉语学名命名遵循《真菌、地衣汉语学名命名法规》的规定，具体分类单元名称参考《中国生物多样性红色名录—— 大型真菌卷》。 </w:t>
      </w:r>
      <w:r/>
    </w:p>
    <w:p>
      <w:pPr>
        <w:ind w:firstLine="280"/>
        <w:spacing w:line="360" w:lineRule="auto"/>
        <w:rPr>
          <w:rFonts w:hint="eastAsia" w:ascii="仿宋" w:hAnsi="仿宋" w:eastAsia="仿宋" w:cs="仿宋"/>
          <w:color w:val="auto"/>
          <w:sz w:val="28"/>
          <w:szCs w:val="28"/>
        </w:rPr>
      </w:pPr>
      <w:r>
        <w:rPr>
          <w:rFonts w:hint="eastAsia" w:ascii="仿宋" w:hAnsi="仿宋" w:eastAsia="仿宋" w:cs="仿宋"/>
          <w:b w:val="0"/>
          <w:bCs w:val="0"/>
          <w:color w:val="auto"/>
          <w:sz w:val="28"/>
          <w:szCs w:val="28"/>
          <w:lang w:val="en-US" w:eastAsia="zh-CN"/>
        </w:rPr>
        <w:t xml:space="preserve">10、照片拍摄 ： </w:t>
      </w:r>
      <w:r>
        <w:rPr>
          <w:rFonts w:hint="eastAsia" w:ascii="仿宋" w:hAnsi="仿宋" w:eastAsia="仿宋" w:cs="仿宋"/>
          <w:color w:val="auto"/>
          <w:sz w:val="28"/>
          <w:szCs w:val="28"/>
          <w:lang w:val="en-US" w:eastAsia="zh-CN"/>
        </w:rPr>
        <w:t xml:space="preserve">大型真菌资源普查拍摄的图片一般应包含以下内容：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（1）大型真菌生境群落外貌1张；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（2）大型真菌原生境照片若干张，其中1张应带采集号。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（3）子实体特征照片若干张。需包含子实体的着生基物，尽可能在一张照片上凸显所有或主要形态特征，并包括菌肉特征及显现是否受伤变色与否等。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（4）野外调查的工作照若干。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图片画面清晰，能准确反映大型真菌形态特征及其生境。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拍摄子实体照片时，附标尺。相机时间应调整为实际时间。 </w:t>
      </w:r>
      <w:r/>
    </w:p>
    <w:p>
      <w:p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（5）照片命名与编号 </w:t>
      </w:r>
      <w:r/>
    </w:p>
    <w:p>
      <w:p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野外工作结束后，应对调查时拍摄的全部照片进行重命名，照片编号使用“标本采集号”命名，每份标本照片重复用“标本采集号-1、-2、-3、……”加以区分。 </w:t>
      </w:r>
      <w:r/>
    </w:p>
    <w:p>
      <w:pPr>
        <w:ind w:firstLine="2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（6）图片的大小及格式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提交照片文件数据格式为jpg格式，像素不低于800万。 </w:t>
      </w:r>
      <w:r/>
    </w:p>
    <w:p>
      <w:pPr>
        <w:numPr>
          <w:ilvl w:val="0"/>
          <w:numId w:val="0"/>
        </w:numPr>
        <w:ind w:firstLine="280"/>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11、农业微生物（食用菌）种质资源信息记录表和资源名录编制野外调查完成后，基于野外调查结果，按附表1、2要求完整提供大型真菌标本和菌种的信息登记表，进行物种编目，编制完整的县域大型真菌物种名录，并提供相应凭证，包括照片、标本、菌株、DNA序列等佐证信息。</w:t>
      </w:r>
      <w:r/>
    </w:p>
    <w:p>
      <w:pPr>
        <w:numPr>
          <w:ilvl w:val="0"/>
          <w:numId w:val="0"/>
        </w:numPr>
        <w:ind w:firstLine="280"/>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12、农业微生物（食用菌）种质资源普查及监理服务信息登记表（标本）见附件1，2。</w:t>
      </w:r>
      <w:r/>
    </w:p>
    <w:p>
      <w:pPr>
        <w:numPr>
          <w:ilvl w:val="0"/>
          <w:numId w:val="0"/>
        </w:numPr>
        <w:spacing w:line="360" w:lineRule="auto"/>
        <w:rPr>
          <w:rFonts w:hint="eastAsia" w:ascii="仿宋" w:hAnsi="仿宋" w:eastAsia="仿宋" w:cs="仿宋"/>
          <w:color w:val="auto"/>
          <w:sz w:val="28"/>
          <w:szCs w:val="28"/>
        </w:rPr>
      </w:pPr>
      <w:r>
        <w:rPr>
          <w:rFonts w:hint="eastAsia" w:ascii="仿宋" w:hAnsi="仿宋" w:eastAsia="仿宋" w:cs="仿宋"/>
          <w:color w:val="auto"/>
          <w:spacing w:val="15"/>
          <w:position w:val="3"/>
          <w:sz w:val="28"/>
          <w:szCs w:val="28"/>
          <w:lang w:eastAsia="zh-CN"/>
        </w:rPr>
        <w:t xml:space="preserve">附件</w:t>
      </w:r>
      <w:r>
        <w:rPr>
          <w:rFonts w:hint="eastAsia" w:ascii="仿宋" w:hAnsi="仿宋" w:eastAsia="仿宋" w:cs="仿宋"/>
          <w:color w:val="auto"/>
          <w:spacing w:val="15"/>
          <w:position w:val="3"/>
          <w:sz w:val="28"/>
          <w:szCs w:val="28"/>
          <w:lang w:val="en-US" w:eastAsia="zh-CN"/>
        </w:rPr>
        <w:t xml:space="preserve">1：</w:t>
      </w:r>
      <w:r>
        <w:rPr>
          <w:rFonts w:hint="eastAsia" w:ascii="仿宋" w:hAnsi="仿宋" w:eastAsia="仿宋" w:cs="仿宋"/>
          <w:color w:val="auto"/>
          <w:spacing w:val="15"/>
          <w:position w:val="3"/>
          <w:sz w:val="28"/>
          <w:szCs w:val="28"/>
        </w:rPr>
        <w:t xml:space="preserve">农业微生物（食用菌</w:t>
      </w:r>
      <w:r>
        <w:rPr>
          <w:rFonts w:hint="eastAsia" w:ascii="仿宋" w:hAnsi="仿宋" w:eastAsia="仿宋" w:cs="仿宋"/>
          <w:color w:val="auto"/>
          <w:spacing w:val="15"/>
          <w:position w:val="3"/>
          <w:sz w:val="28"/>
          <w:szCs w:val="28"/>
          <w:lang w:val="en-US" w:eastAsia="zh-CN"/>
        </w:rPr>
        <w:t xml:space="preserve">)</w:t>
      </w:r>
      <w:r>
        <w:rPr>
          <w:rFonts w:hint="eastAsia" w:ascii="仿宋" w:hAnsi="仿宋" w:eastAsia="仿宋" w:cs="仿宋"/>
          <w:color w:val="auto"/>
          <w:spacing w:val="15"/>
          <w:position w:val="3"/>
          <w:sz w:val="28"/>
          <w:szCs w:val="28"/>
        </w:rPr>
        <w:t xml:space="preserve">种质资源普查信息登记表（标本）</w:t>
      </w:r>
      <w:r/>
    </w:p>
    <w:tbl>
      <w:tblPr>
        <w:tblStyle w:val="1146"/>
        <w:tblW w:w="10540" w:type="dxa"/>
        <w:tblInd w:w="-6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3"/>
        <w:gridCol w:w="787"/>
        <w:gridCol w:w="722"/>
        <w:gridCol w:w="648"/>
        <w:gridCol w:w="711"/>
        <w:gridCol w:w="747"/>
        <w:gridCol w:w="578"/>
        <w:gridCol w:w="745"/>
        <w:gridCol w:w="494"/>
        <w:gridCol w:w="660"/>
        <w:gridCol w:w="471"/>
        <w:gridCol w:w="677"/>
        <w:gridCol w:w="848"/>
        <w:gridCol w:w="762"/>
        <w:gridCol w:w="907"/>
      </w:tblGrid>
      <w:tr>
        <w:trPr>
          <w:trHeight w:val="510"/>
        </w:trPr>
        <w:tc>
          <w:tcPr>
            <w:tcW w:w="783" w:type="dxa"/>
            <w:vAlign w:val="top"/>
            <w:textDirection w:val="lrTb"/>
            <w:noWrap w:val="false"/>
          </w:tcPr>
          <w:p>
            <w:pPr>
              <w:ind w:left="121"/>
              <w:spacing w:before="158" w:line="316" w:lineRule="exact"/>
              <w:rPr>
                <w:rFonts w:hint="eastAsia" w:ascii="仿宋" w:hAnsi="仿宋" w:eastAsia="仿宋" w:cs="仿宋"/>
                <w:color w:val="auto"/>
                <w:sz w:val="28"/>
                <w:szCs w:val="28"/>
              </w:rPr>
            </w:pPr>
            <w:r>
              <w:rPr>
                <w:rFonts w:hint="eastAsia" w:ascii="仿宋" w:hAnsi="仿宋" w:eastAsia="仿宋" w:cs="仿宋"/>
                <w:color w:val="auto"/>
                <w:spacing w:val="-4"/>
                <w:position w:val="1"/>
                <w:sz w:val="28"/>
                <w:szCs w:val="28"/>
              </w:rPr>
              <w:t xml:space="preserve">采集号</w:t>
            </w:r>
            <w:r/>
          </w:p>
        </w:tc>
        <w:tc>
          <w:tcPr>
            <w:tcW w:w="787" w:type="dxa"/>
            <w:vAlign w:val="top"/>
            <w:textDirection w:val="lrTb"/>
            <w:noWrap w:val="false"/>
          </w:tcPr>
          <w:p>
            <w:pPr>
              <w:ind w:left="111"/>
              <w:spacing w:before="158" w:line="241" w:lineRule="auto"/>
              <w:rPr>
                <w:rFonts w:hint="eastAsia" w:ascii="仿宋" w:hAnsi="仿宋" w:eastAsia="仿宋" w:cs="仿宋"/>
                <w:color w:val="auto"/>
                <w:sz w:val="28"/>
                <w:szCs w:val="28"/>
              </w:rPr>
            </w:pPr>
            <w:r>
              <w:rPr>
                <w:rFonts w:hint="eastAsia" w:ascii="仿宋" w:hAnsi="仿宋" w:eastAsia="仿宋" w:cs="仿宋"/>
                <w:color w:val="auto"/>
                <w:spacing w:val="-2"/>
                <w:sz w:val="28"/>
                <w:szCs w:val="28"/>
              </w:rPr>
              <w:t xml:space="preserve">拉丁学名</w:t>
            </w:r>
            <w:r/>
          </w:p>
        </w:tc>
        <w:tc>
          <w:tcPr>
            <w:tcW w:w="722" w:type="dxa"/>
            <w:vAlign w:val="top"/>
            <w:textDirection w:val="lrTb"/>
            <w:noWrap w:val="false"/>
          </w:tcPr>
          <w:p>
            <w:pPr>
              <w:ind w:left="110"/>
              <w:spacing w:before="158" w:line="316" w:lineRule="exact"/>
              <w:rPr>
                <w:rFonts w:hint="eastAsia" w:ascii="仿宋" w:hAnsi="仿宋" w:eastAsia="仿宋" w:cs="仿宋"/>
                <w:color w:val="auto"/>
                <w:sz w:val="28"/>
                <w:szCs w:val="28"/>
              </w:rPr>
            </w:pPr>
            <w:r>
              <w:rPr>
                <w:rFonts w:hint="eastAsia" w:ascii="仿宋" w:hAnsi="仿宋" w:eastAsia="仿宋" w:cs="仿宋"/>
                <w:color w:val="auto"/>
                <w:spacing w:val="-2"/>
                <w:position w:val="1"/>
                <w:sz w:val="28"/>
                <w:szCs w:val="28"/>
              </w:rPr>
              <w:t xml:space="preserve">属名</w:t>
            </w:r>
            <w:r/>
          </w:p>
        </w:tc>
        <w:tc>
          <w:tcPr>
            <w:tcW w:w="648" w:type="dxa"/>
            <w:vAlign w:val="top"/>
            <w:textDirection w:val="lrTb"/>
            <w:noWrap w:val="false"/>
          </w:tcPr>
          <w:p>
            <w:pPr>
              <w:ind w:left="113"/>
              <w:spacing w:before="158" w:line="241" w:lineRule="auto"/>
              <w:rPr>
                <w:rFonts w:hint="eastAsia" w:ascii="仿宋" w:hAnsi="仿宋" w:eastAsia="仿宋" w:cs="仿宋"/>
                <w:color w:val="auto"/>
                <w:sz w:val="28"/>
                <w:szCs w:val="28"/>
              </w:rPr>
            </w:pPr>
            <w:r>
              <w:rPr>
                <w:rFonts w:hint="eastAsia" w:ascii="仿宋" w:hAnsi="仿宋" w:eastAsia="仿宋" w:cs="仿宋"/>
                <w:color w:val="auto"/>
                <w:spacing w:val="-3"/>
                <w:sz w:val="28"/>
                <w:szCs w:val="28"/>
              </w:rPr>
              <w:t xml:space="preserve">种加词</w:t>
            </w:r>
            <w:r/>
          </w:p>
        </w:tc>
        <w:tc>
          <w:tcPr>
            <w:tcW w:w="711" w:type="dxa"/>
            <w:vAlign w:val="top"/>
            <w:textDirection w:val="lrTb"/>
            <w:noWrap w:val="false"/>
          </w:tcPr>
          <w:p>
            <w:pPr>
              <w:ind w:left="110"/>
              <w:spacing w:before="158" w:line="318" w:lineRule="exact"/>
              <w:rPr>
                <w:rFonts w:hint="eastAsia" w:ascii="仿宋" w:hAnsi="仿宋" w:eastAsia="仿宋" w:cs="仿宋"/>
                <w:color w:val="auto"/>
                <w:sz w:val="28"/>
                <w:szCs w:val="28"/>
              </w:rPr>
            </w:pPr>
            <w:r>
              <w:rPr>
                <w:rFonts w:hint="eastAsia" w:ascii="仿宋" w:hAnsi="仿宋" w:eastAsia="仿宋" w:cs="仿宋"/>
                <w:color w:val="auto"/>
                <w:spacing w:val="-2"/>
                <w:position w:val="1"/>
                <w:sz w:val="28"/>
                <w:szCs w:val="28"/>
              </w:rPr>
              <w:t xml:space="preserve">鉴定人</w:t>
            </w:r>
            <w:r/>
          </w:p>
        </w:tc>
        <w:tc>
          <w:tcPr>
            <w:tcW w:w="747" w:type="dxa"/>
            <w:vAlign w:val="top"/>
            <w:textDirection w:val="lrTb"/>
            <w:noWrap w:val="false"/>
          </w:tcPr>
          <w:p>
            <w:pPr>
              <w:ind w:left="118"/>
              <w:spacing w:before="158" w:line="316" w:lineRule="exact"/>
              <w:rPr>
                <w:rFonts w:hint="eastAsia" w:ascii="仿宋" w:hAnsi="仿宋" w:eastAsia="仿宋" w:cs="仿宋"/>
                <w:color w:val="auto"/>
                <w:sz w:val="28"/>
                <w:szCs w:val="28"/>
              </w:rPr>
            </w:pPr>
            <w:r>
              <w:rPr>
                <w:rFonts w:hint="eastAsia" w:ascii="仿宋" w:hAnsi="仿宋" w:eastAsia="仿宋" w:cs="仿宋"/>
                <w:color w:val="auto"/>
                <w:spacing w:val="-3"/>
                <w:position w:val="1"/>
                <w:sz w:val="28"/>
                <w:szCs w:val="28"/>
              </w:rPr>
              <w:t xml:space="preserve">采集时间</w:t>
            </w:r>
            <w:r/>
          </w:p>
        </w:tc>
        <w:tc>
          <w:tcPr>
            <w:tcW w:w="578" w:type="dxa"/>
            <w:vAlign w:val="top"/>
            <w:textDirection w:val="lrTb"/>
            <w:noWrap w:val="false"/>
          </w:tcPr>
          <w:p>
            <w:pPr>
              <w:ind w:left="118"/>
              <w:spacing w:before="158" w:line="316" w:lineRule="exact"/>
              <w:rPr>
                <w:rFonts w:hint="eastAsia" w:ascii="仿宋" w:hAnsi="仿宋" w:eastAsia="仿宋" w:cs="仿宋"/>
                <w:color w:val="auto"/>
                <w:sz w:val="28"/>
                <w:szCs w:val="28"/>
              </w:rPr>
            </w:pPr>
            <w:r>
              <w:rPr>
                <w:rFonts w:hint="eastAsia" w:ascii="仿宋" w:hAnsi="仿宋" w:eastAsia="仿宋" w:cs="仿宋"/>
                <w:color w:val="auto"/>
                <w:spacing w:val="-4"/>
                <w:position w:val="1"/>
                <w:sz w:val="28"/>
                <w:szCs w:val="28"/>
              </w:rPr>
              <w:t xml:space="preserve">采集人</w:t>
            </w:r>
            <w:r/>
          </w:p>
        </w:tc>
        <w:tc>
          <w:tcPr>
            <w:tcW w:w="745" w:type="dxa"/>
            <w:vAlign w:val="top"/>
            <w:textDirection w:val="lrTb"/>
            <w:noWrap w:val="false"/>
          </w:tcPr>
          <w:p>
            <w:pPr>
              <w:ind w:left="118"/>
              <w:spacing w:before="158" w:line="316" w:lineRule="exact"/>
              <w:rPr>
                <w:rFonts w:hint="eastAsia" w:ascii="仿宋" w:hAnsi="仿宋" w:eastAsia="仿宋" w:cs="仿宋"/>
                <w:color w:val="auto"/>
                <w:sz w:val="28"/>
                <w:szCs w:val="28"/>
              </w:rPr>
            </w:pPr>
            <w:r>
              <w:rPr>
                <w:rFonts w:hint="eastAsia" w:ascii="仿宋" w:hAnsi="仿宋" w:eastAsia="仿宋" w:cs="仿宋"/>
                <w:color w:val="auto"/>
                <w:spacing w:val="-3"/>
                <w:position w:val="1"/>
                <w:sz w:val="28"/>
                <w:szCs w:val="28"/>
              </w:rPr>
              <w:t xml:space="preserve">采集地点</w:t>
            </w:r>
            <w:r/>
          </w:p>
        </w:tc>
        <w:tc>
          <w:tcPr>
            <w:tcW w:w="494" w:type="dxa"/>
            <w:vAlign w:val="top"/>
            <w:textDirection w:val="lrTb"/>
            <w:noWrap w:val="false"/>
          </w:tcPr>
          <w:p>
            <w:pPr>
              <w:ind w:left="115"/>
              <w:spacing w:before="158" w:line="242" w:lineRule="auto"/>
              <w:rPr>
                <w:rFonts w:hint="eastAsia" w:ascii="仿宋" w:hAnsi="仿宋" w:eastAsia="仿宋" w:cs="仿宋"/>
                <w:color w:val="auto"/>
                <w:sz w:val="28"/>
                <w:szCs w:val="28"/>
              </w:rPr>
            </w:pPr>
            <w:r>
              <w:rPr>
                <w:rFonts w:hint="eastAsia" w:ascii="仿宋" w:hAnsi="仿宋" w:eastAsia="仿宋" w:cs="仿宋"/>
                <w:color w:val="auto"/>
                <w:spacing w:val="-3"/>
                <w:sz w:val="28"/>
                <w:szCs w:val="28"/>
              </w:rPr>
              <w:t xml:space="preserve">经度</w:t>
            </w:r>
            <w:r/>
          </w:p>
        </w:tc>
        <w:tc>
          <w:tcPr>
            <w:tcW w:w="660" w:type="dxa"/>
            <w:vAlign w:val="top"/>
            <w:textDirection w:val="lrTb"/>
            <w:noWrap w:val="false"/>
          </w:tcPr>
          <w:p>
            <w:pPr>
              <w:ind w:left="114"/>
              <w:spacing w:before="158" w:line="242" w:lineRule="auto"/>
              <w:rPr>
                <w:rFonts w:hint="eastAsia" w:ascii="仿宋" w:hAnsi="仿宋" w:eastAsia="仿宋" w:cs="仿宋"/>
                <w:color w:val="auto"/>
                <w:sz w:val="28"/>
                <w:szCs w:val="28"/>
              </w:rPr>
            </w:pPr>
            <w:r>
              <w:rPr>
                <w:rFonts w:hint="eastAsia" w:ascii="仿宋" w:hAnsi="仿宋" w:eastAsia="仿宋" w:cs="仿宋"/>
                <w:color w:val="auto"/>
                <w:spacing w:val="-3"/>
                <w:sz w:val="28"/>
                <w:szCs w:val="28"/>
              </w:rPr>
              <w:t xml:space="preserve">纬度</w:t>
            </w:r>
            <w:r/>
          </w:p>
        </w:tc>
        <w:tc>
          <w:tcPr>
            <w:tcW w:w="471" w:type="dxa"/>
            <w:vAlign w:val="top"/>
            <w:textDirection w:val="lrTb"/>
            <w:noWrap w:val="false"/>
          </w:tcPr>
          <w:p>
            <w:pPr>
              <w:ind w:left="114"/>
              <w:spacing w:before="158" w:line="242" w:lineRule="auto"/>
              <w:rPr>
                <w:rFonts w:hint="eastAsia" w:ascii="仿宋" w:hAnsi="仿宋" w:eastAsia="仿宋" w:cs="仿宋"/>
                <w:color w:val="auto"/>
                <w:sz w:val="28"/>
                <w:szCs w:val="28"/>
              </w:rPr>
            </w:pPr>
            <w:r>
              <w:rPr>
                <w:rFonts w:hint="eastAsia" w:ascii="仿宋" w:hAnsi="仿宋" w:eastAsia="仿宋" w:cs="仿宋"/>
                <w:color w:val="auto"/>
                <w:spacing w:val="-3"/>
                <w:sz w:val="28"/>
                <w:szCs w:val="28"/>
              </w:rPr>
              <w:t xml:space="preserve">海拔</w:t>
            </w:r>
            <w:r/>
          </w:p>
        </w:tc>
        <w:tc>
          <w:tcPr>
            <w:tcW w:w="677" w:type="dxa"/>
            <w:vAlign w:val="top"/>
            <w:textDirection w:val="lrTb"/>
            <w:noWrap w:val="false"/>
          </w:tcPr>
          <w:p>
            <w:pPr>
              <w:ind w:left="123"/>
              <w:spacing w:before="158" w:line="242" w:lineRule="auto"/>
              <w:rPr>
                <w:rFonts w:hint="eastAsia" w:ascii="仿宋" w:hAnsi="仿宋" w:eastAsia="仿宋" w:cs="仿宋"/>
                <w:color w:val="auto"/>
                <w:sz w:val="28"/>
                <w:szCs w:val="28"/>
              </w:rPr>
            </w:pPr>
            <w:r>
              <w:rPr>
                <w:rFonts w:hint="eastAsia" w:ascii="仿宋" w:hAnsi="仿宋" w:eastAsia="仿宋" w:cs="仿宋"/>
                <w:color w:val="auto"/>
                <w:spacing w:val="-5"/>
                <w:sz w:val="28"/>
                <w:szCs w:val="28"/>
              </w:rPr>
              <w:t xml:space="preserve">生境</w:t>
            </w:r>
            <w:r/>
          </w:p>
        </w:tc>
        <w:tc>
          <w:tcPr>
            <w:tcW w:w="848" w:type="dxa"/>
            <w:vAlign w:val="top"/>
            <w:textDirection w:val="lrTb"/>
            <w:noWrap w:val="false"/>
          </w:tcPr>
          <w:p>
            <w:pPr>
              <w:ind w:left="114"/>
              <w:spacing w:before="158" w:line="242" w:lineRule="auto"/>
              <w:rPr>
                <w:rFonts w:hint="eastAsia" w:ascii="仿宋" w:hAnsi="仿宋" w:eastAsia="仿宋" w:cs="仿宋"/>
                <w:color w:val="auto"/>
                <w:sz w:val="28"/>
                <w:szCs w:val="28"/>
              </w:rPr>
            </w:pPr>
            <w:r>
              <w:rPr>
                <w:rFonts w:hint="eastAsia" w:ascii="仿宋" w:hAnsi="仿宋" w:eastAsia="仿宋" w:cs="仿宋"/>
                <w:color w:val="auto"/>
                <w:spacing w:val="-2"/>
                <w:sz w:val="28"/>
                <w:szCs w:val="28"/>
              </w:rPr>
              <w:t xml:space="preserve">是否可食</w:t>
            </w:r>
            <w:r/>
          </w:p>
        </w:tc>
        <w:tc>
          <w:tcPr>
            <w:tcW w:w="762" w:type="dxa"/>
            <w:vAlign w:val="top"/>
            <w:textDirection w:val="lrTb"/>
            <w:noWrap w:val="false"/>
          </w:tcPr>
          <w:p>
            <w:pPr>
              <w:ind w:left="121"/>
              <w:spacing w:before="158" w:line="241" w:lineRule="auto"/>
              <w:rPr>
                <w:rFonts w:hint="eastAsia" w:ascii="仿宋" w:hAnsi="仿宋" w:eastAsia="仿宋" w:cs="仿宋"/>
                <w:color w:val="auto"/>
                <w:sz w:val="28"/>
                <w:szCs w:val="28"/>
              </w:rPr>
            </w:pPr>
            <w:r>
              <w:rPr>
                <w:rFonts w:hint="eastAsia" w:ascii="仿宋" w:hAnsi="仿宋" w:eastAsia="仿宋" w:cs="仿宋"/>
                <w:color w:val="auto"/>
                <w:spacing w:val="-3"/>
                <w:sz w:val="28"/>
                <w:szCs w:val="28"/>
              </w:rPr>
              <w:t xml:space="preserve">资源储量</w:t>
            </w:r>
            <w:r/>
          </w:p>
        </w:tc>
        <w:tc>
          <w:tcPr>
            <w:tcW w:w="907" w:type="dxa"/>
            <w:vAlign w:val="top"/>
            <w:textDirection w:val="lrTb"/>
            <w:noWrap w:val="false"/>
          </w:tcPr>
          <w:p>
            <w:pPr>
              <w:ind w:left="117"/>
              <w:spacing w:before="158" w:line="242" w:lineRule="auto"/>
              <w:rPr>
                <w:rFonts w:hint="eastAsia" w:ascii="仿宋" w:hAnsi="仿宋" w:eastAsia="仿宋" w:cs="仿宋"/>
                <w:color w:val="auto"/>
                <w:sz w:val="28"/>
                <w:szCs w:val="28"/>
              </w:rPr>
            </w:pPr>
            <w:r>
              <w:rPr>
                <w:rFonts w:hint="eastAsia" w:ascii="仿宋" w:hAnsi="仿宋" w:eastAsia="仿宋" w:cs="仿宋"/>
                <w:color w:val="auto"/>
                <w:spacing w:val="-3"/>
                <w:sz w:val="28"/>
                <w:szCs w:val="28"/>
              </w:rPr>
              <w:t xml:space="preserve">备注</w:t>
            </w:r>
            <w:r/>
          </w:p>
        </w:tc>
      </w:tr>
      <w:tr>
        <w:trPr>
          <w:trHeight w:val="563"/>
        </w:trPr>
        <w:tc>
          <w:tcPr>
            <w:tcW w:w="783" w:type="dxa"/>
            <w:vAlign w:val="top"/>
            <w:textDirection w:val="lrTb"/>
            <w:noWrap w:val="false"/>
          </w:tcPr>
          <w:p>
            <w:pPr>
              <w:pStyle w:val="1147"/>
              <w:rPr>
                <w:color w:val="auto"/>
              </w:rPr>
            </w:pPr>
            <w:r>
              <w:rPr>
                <w:color w:val="auto"/>
              </w:rPr>
            </w:r>
            <w:r/>
          </w:p>
        </w:tc>
        <w:tc>
          <w:tcPr>
            <w:tcW w:w="787" w:type="dxa"/>
            <w:vAlign w:val="top"/>
            <w:textDirection w:val="lrTb"/>
            <w:noWrap w:val="false"/>
          </w:tcPr>
          <w:p>
            <w:pPr>
              <w:pStyle w:val="1147"/>
              <w:rPr>
                <w:color w:val="auto"/>
              </w:rPr>
            </w:pPr>
            <w:r>
              <w:rPr>
                <w:color w:val="auto"/>
              </w:rPr>
            </w:r>
            <w:r/>
          </w:p>
        </w:tc>
        <w:tc>
          <w:tcPr>
            <w:tcW w:w="722" w:type="dxa"/>
            <w:vAlign w:val="top"/>
            <w:textDirection w:val="lrTb"/>
            <w:noWrap w:val="false"/>
          </w:tcPr>
          <w:p>
            <w:pPr>
              <w:pStyle w:val="1147"/>
              <w:rPr>
                <w:color w:val="auto"/>
              </w:rPr>
            </w:pPr>
            <w:r>
              <w:rPr>
                <w:color w:val="auto"/>
              </w:rPr>
            </w:r>
            <w:r/>
          </w:p>
        </w:tc>
        <w:tc>
          <w:tcPr>
            <w:tcW w:w="648" w:type="dxa"/>
            <w:vAlign w:val="top"/>
            <w:textDirection w:val="lrTb"/>
            <w:noWrap w:val="false"/>
          </w:tcPr>
          <w:p>
            <w:pPr>
              <w:pStyle w:val="1147"/>
              <w:rPr>
                <w:color w:val="auto"/>
              </w:rPr>
            </w:pPr>
            <w:r>
              <w:rPr>
                <w:color w:val="auto"/>
              </w:rPr>
            </w:r>
            <w:r/>
          </w:p>
        </w:tc>
        <w:tc>
          <w:tcPr>
            <w:tcW w:w="711" w:type="dxa"/>
            <w:vAlign w:val="top"/>
            <w:textDirection w:val="lrTb"/>
            <w:noWrap w:val="false"/>
          </w:tcPr>
          <w:p>
            <w:pPr>
              <w:pStyle w:val="1147"/>
              <w:rPr>
                <w:color w:val="auto"/>
              </w:rPr>
            </w:pPr>
            <w:r>
              <w:rPr>
                <w:color w:val="auto"/>
              </w:rPr>
            </w:r>
            <w:r/>
          </w:p>
        </w:tc>
        <w:tc>
          <w:tcPr>
            <w:tcW w:w="747" w:type="dxa"/>
            <w:vAlign w:val="top"/>
            <w:textDirection w:val="lrTb"/>
            <w:noWrap w:val="false"/>
          </w:tcPr>
          <w:p>
            <w:pPr>
              <w:pStyle w:val="1147"/>
              <w:rPr>
                <w:color w:val="auto"/>
              </w:rPr>
            </w:pPr>
            <w:r>
              <w:rPr>
                <w:color w:val="auto"/>
              </w:rPr>
            </w:r>
            <w:r/>
          </w:p>
        </w:tc>
        <w:tc>
          <w:tcPr>
            <w:tcW w:w="578" w:type="dxa"/>
            <w:vAlign w:val="top"/>
            <w:textDirection w:val="lrTb"/>
            <w:noWrap w:val="false"/>
          </w:tcPr>
          <w:p>
            <w:pPr>
              <w:pStyle w:val="1147"/>
              <w:rPr>
                <w:color w:val="auto"/>
              </w:rPr>
            </w:pPr>
            <w:r>
              <w:rPr>
                <w:color w:val="auto"/>
              </w:rPr>
            </w:r>
            <w:r/>
          </w:p>
        </w:tc>
        <w:tc>
          <w:tcPr>
            <w:tcW w:w="745" w:type="dxa"/>
            <w:vAlign w:val="top"/>
            <w:textDirection w:val="lrTb"/>
            <w:noWrap w:val="false"/>
          </w:tcPr>
          <w:p>
            <w:pPr>
              <w:pStyle w:val="1147"/>
              <w:rPr>
                <w:color w:val="auto"/>
              </w:rPr>
            </w:pPr>
            <w:r>
              <w:rPr>
                <w:color w:val="auto"/>
              </w:rPr>
            </w:r>
            <w:r/>
          </w:p>
        </w:tc>
        <w:tc>
          <w:tcPr>
            <w:tcW w:w="494" w:type="dxa"/>
            <w:vAlign w:val="top"/>
            <w:textDirection w:val="lrTb"/>
            <w:noWrap w:val="false"/>
          </w:tcPr>
          <w:p>
            <w:pPr>
              <w:pStyle w:val="1147"/>
              <w:rPr>
                <w:color w:val="auto"/>
              </w:rPr>
            </w:pPr>
            <w:r>
              <w:rPr>
                <w:color w:val="auto"/>
              </w:rPr>
            </w:r>
            <w:r/>
          </w:p>
        </w:tc>
        <w:tc>
          <w:tcPr>
            <w:tcW w:w="660" w:type="dxa"/>
            <w:vAlign w:val="top"/>
            <w:textDirection w:val="lrTb"/>
            <w:noWrap w:val="false"/>
          </w:tcPr>
          <w:p>
            <w:pPr>
              <w:pStyle w:val="1147"/>
              <w:rPr>
                <w:color w:val="auto"/>
              </w:rPr>
            </w:pPr>
            <w:r>
              <w:rPr>
                <w:color w:val="auto"/>
              </w:rPr>
            </w:r>
            <w:r/>
          </w:p>
        </w:tc>
        <w:tc>
          <w:tcPr>
            <w:tcW w:w="471" w:type="dxa"/>
            <w:vAlign w:val="top"/>
            <w:textDirection w:val="lrTb"/>
            <w:noWrap w:val="false"/>
          </w:tcPr>
          <w:p>
            <w:pPr>
              <w:pStyle w:val="1147"/>
              <w:rPr>
                <w:color w:val="auto"/>
              </w:rPr>
            </w:pPr>
            <w:r>
              <w:rPr>
                <w:color w:val="auto"/>
              </w:rPr>
            </w:r>
            <w:r/>
          </w:p>
        </w:tc>
        <w:tc>
          <w:tcPr>
            <w:tcW w:w="677" w:type="dxa"/>
            <w:vAlign w:val="top"/>
            <w:textDirection w:val="lrTb"/>
            <w:noWrap w:val="false"/>
          </w:tcPr>
          <w:p>
            <w:pPr>
              <w:pStyle w:val="1147"/>
              <w:rPr>
                <w:color w:val="auto"/>
              </w:rPr>
            </w:pPr>
            <w:r>
              <w:rPr>
                <w:color w:val="auto"/>
              </w:rPr>
            </w:r>
            <w:r/>
          </w:p>
        </w:tc>
        <w:tc>
          <w:tcPr>
            <w:tcW w:w="848" w:type="dxa"/>
            <w:vAlign w:val="top"/>
            <w:textDirection w:val="lrTb"/>
            <w:noWrap w:val="false"/>
          </w:tcPr>
          <w:p>
            <w:pPr>
              <w:pStyle w:val="1147"/>
              <w:rPr>
                <w:color w:val="auto"/>
              </w:rPr>
            </w:pPr>
            <w:r>
              <w:rPr>
                <w:color w:val="auto"/>
              </w:rPr>
            </w:r>
            <w:r/>
          </w:p>
        </w:tc>
        <w:tc>
          <w:tcPr>
            <w:tcW w:w="762" w:type="dxa"/>
            <w:vAlign w:val="top"/>
            <w:textDirection w:val="lrTb"/>
            <w:noWrap w:val="false"/>
          </w:tcPr>
          <w:p>
            <w:pPr>
              <w:pStyle w:val="1147"/>
              <w:rPr>
                <w:color w:val="auto"/>
              </w:rPr>
            </w:pPr>
            <w:r>
              <w:rPr>
                <w:color w:val="auto"/>
              </w:rPr>
            </w:r>
            <w:r/>
          </w:p>
        </w:tc>
        <w:tc>
          <w:tcPr>
            <w:tcW w:w="907" w:type="dxa"/>
            <w:vAlign w:val="top"/>
            <w:textDirection w:val="lrTb"/>
            <w:noWrap w:val="false"/>
          </w:tcPr>
          <w:p>
            <w:pPr>
              <w:pStyle w:val="1147"/>
              <w:rPr>
                <w:color w:val="auto"/>
              </w:rPr>
            </w:pPr>
            <w:r>
              <w:rPr>
                <w:color w:val="auto"/>
              </w:rPr>
            </w:r>
            <w:r/>
          </w:p>
        </w:tc>
      </w:tr>
      <w:tr>
        <w:trPr>
          <w:trHeight w:val="566"/>
        </w:trPr>
        <w:tc>
          <w:tcPr>
            <w:tcW w:w="783" w:type="dxa"/>
            <w:vAlign w:val="top"/>
            <w:textDirection w:val="lrTb"/>
            <w:noWrap w:val="false"/>
          </w:tcPr>
          <w:p>
            <w:pPr>
              <w:pStyle w:val="1147"/>
              <w:rPr>
                <w:color w:val="auto"/>
              </w:rPr>
            </w:pPr>
            <w:r>
              <w:rPr>
                <w:color w:val="auto"/>
              </w:rPr>
            </w:r>
            <w:r/>
          </w:p>
        </w:tc>
        <w:tc>
          <w:tcPr>
            <w:tcW w:w="787" w:type="dxa"/>
            <w:vAlign w:val="top"/>
            <w:textDirection w:val="lrTb"/>
            <w:noWrap w:val="false"/>
          </w:tcPr>
          <w:p>
            <w:pPr>
              <w:pStyle w:val="1147"/>
              <w:rPr>
                <w:color w:val="auto"/>
              </w:rPr>
            </w:pPr>
            <w:r>
              <w:rPr>
                <w:color w:val="auto"/>
              </w:rPr>
            </w:r>
            <w:r/>
          </w:p>
        </w:tc>
        <w:tc>
          <w:tcPr>
            <w:tcW w:w="722" w:type="dxa"/>
            <w:vAlign w:val="top"/>
            <w:textDirection w:val="lrTb"/>
            <w:noWrap w:val="false"/>
          </w:tcPr>
          <w:p>
            <w:pPr>
              <w:pStyle w:val="1147"/>
              <w:rPr>
                <w:color w:val="auto"/>
              </w:rPr>
            </w:pPr>
            <w:r>
              <w:rPr>
                <w:color w:val="auto"/>
              </w:rPr>
            </w:r>
            <w:r/>
          </w:p>
        </w:tc>
        <w:tc>
          <w:tcPr>
            <w:tcW w:w="648" w:type="dxa"/>
            <w:vAlign w:val="top"/>
            <w:textDirection w:val="lrTb"/>
            <w:noWrap w:val="false"/>
          </w:tcPr>
          <w:p>
            <w:pPr>
              <w:pStyle w:val="1147"/>
              <w:rPr>
                <w:color w:val="auto"/>
              </w:rPr>
            </w:pPr>
            <w:r>
              <w:rPr>
                <w:color w:val="auto"/>
              </w:rPr>
            </w:r>
            <w:r/>
          </w:p>
        </w:tc>
        <w:tc>
          <w:tcPr>
            <w:tcW w:w="711" w:type="dxa"/>
            <w:vAlign w:val="top"/>
            <w:textDirection w:val="lrTb"/>
            <w:noWrap w:val="false"/>
          </w:tcPr>
          <w:p>
            <w:pPr>
              <w:pStyle w:val="1147"/>
              <w:rPr>
                <w:color w:val="auto"/>
              </w:rPr>
            </w:pPr>
            <w:r>
              <w:rPr>
                <w:color w:val="auto"/>
              </w:rPr>
            </w:r>
            <w:r/>
          </w:p>
        </w:tc>
        <w:tc>
          <w:tcPr>
            <w:tcW w:w="747" w:type="dxa"/>
            <w:vAlign w:val="top"/>
            <w:textDirection w:val="lrTb"/>
            <w:noWrap w:val="false"/>
          </w:tcPr>
          <w:p>
            <w:pPr>
              <w:pStyle w:val="1147"/>
              <w:rPr>
                <w:color w:val="auto"/>
              </w:rPr>
            </w:pPr>
            <w:r>
              <w:rPr>
                <w:color w:val="auto"/>
              </w:rPr>
            </w:r>
            <w:r/>
          </w:p>
        </w:tc>
        <w:tc>
          <w:tcPr>
            <w:tcW w:w="578" w:type="dxa"/>
            <w:vAlign w:val="top"/>
            <w:textDirection w:val="lrTb"/>
            <w:noWrap w:val="false"/>
          </w:tcPr>
          <w:p>
            <w:pPr>
              <w:pStyle w:val="1147"/>
              <w:rPr>
                <w:color w:val="auto"/>
              </w:rPr>
            </w:pPr>
            <w:r>
              <w:rPr>
                <w:color w:val="auto"/>
              </w:rPr>
            </w:r>
            <w:r/>
          </w:p>
        </w:tc>
        <w:tc>
          <w:tcPr>
            <w:tcW w:w="745" w:type="dxa"/>
            <w:vAlign w:val="top"/>
            <w:textDirection w:val="lrTb"/>
            <w:noWrap w:val="false"/>
          </w:tcPr>
          <w:p>
            <w:pPr>
              <w:pStyle w:val="1147"/>
              <w:rPr>
                <w:color w:val="auto"/>
              </w:rPr>
            </w:pPr>
            <w:r>
              <w:rPr>
                <w:color w:val="auto"/>
              </w:rPr>
            </w:r>
            <w:r/>
          </w:p>
        </w:tc>
        <w:tc>
          <w:tcPr>
            <w:tcW w:w="494" w:type="dxa"/>
            <w:vAlign w:val="top"/>
            <w:textDirection w:val="lrTb"/>
            <w:noWrap w:val="false"/>
          </w:tcPr>
          <w:p>
            <w:pPr>
              <w:pStyle w:val="1147"/>
              <w:rPr>
                <w:color w:val="auto"/>
              </w:rPr>
            </w:pPr>
            <w:r>
              <w:rPr>
                <w:color w:val="auto"/>
              </w:rPr>
            </w:r>
            <w:r/>
          </w:p>
        </w:tc>
        <w:tc>
          <w:tcPr>
            <w:tcW w:w="660" w:type="dxa"/>
            <w:vAlign w:val="top"/>
            <w:textDirection w:val="lrTb"/>
            <w:noWrap w:val="false"/>
          </w:tcPr>
          <w:p>
            <w:pPr>
              <w:pStyle w:val="1147"/>
              <w:rPr>
                <w:color w:val="auto"/>
              </w:rPr>
            </w:pPr>
            <w:r>
              <w:rPr>
                <w:color w:val="auto"/>
              </w:rPr>
            </w:r>
            <w:r/>
          </w:p>
        </w:tc>
        <w:tc>
          <w:tcPr>
            <w:tcW w:w="471" w:type="dxa"/>
            <w:vAlign w:val="top"/>
            <w:textDirection w:val="lrTb"/>
            <w:noWrap w:val="false"/>
          </w:tcPr>
          <w:p>
            <w:pPr>
              <w:pStyle w:val="1147"/>
              <w:rPr>
                <w:color w:val="auto"/>
              </w:rPr>
            </w:pPr>
            <w:r>
              <w:rPr>
                <w:color w:val="auto"/>
              </w:rPr>
            </w:r>
            <w:r/>
          </w:p>
        </w:tc>
        <w:tc>
          <w:tcPr>
            <w:tcW w:w="677" w:type="dxa"/>
            <w:vAlign w:val="top"/>
            <w:textDirection w:val="lrTb"/>
            <w:noWrap w:val="false"/>
          </w:tcPr>
          <w:p>
            <w:pPr>
              <w:pStyle w:val="1147"/>
              <w:rPr>
                <w:color w:val="auto"/>
              </w:rPr>
            </w:pPr>
            <w:r>
              <w:rPr>
                <w:color w:val="auto"/>
              </w:rPr>
            </w:r>
            <w:r/>
          </w:p>
        </w:tc>
        <w:tc>
          <w:tcPr>
            <w:tcW w:w="848" w:type="dxa"/>
            <w:vAlign w:val="top"/>
            <w:textDirection w:val="lrTb"/>
            <w:noWrap w:val="false"/>
          </w:tcPr>
          <w:p>
            <w:pPr>
              <w:pStyle w:val="1147"/>
              <w:rPr>
                <w:color w:val="auto"/>
              </w:rPr>
            </w:pPr>
            <w:r>
              <w:rPr>
                <w:color w:val="auto"/>
              </w:rPr>
            </w:r>
            <w:r/>
          </w:p>
        </w:tc>
        <w:tc>
          <w:tcPr>
            <w:tcW w:w="762" w:type="dxa"/>
            <w:vAlign w:val="top"/>
            <w:textDirection w:val="lrTb"/>
            <w:noWrap w:val="false"/>
          </w:tcPr>
          <w:p>
            <w:pPr>
              <w:pStyle w:val="1147"/>
              <w:rPr>
                <w:color w:val="auto"/>
              </w:rPr>
            </w:pPr>
            <w:r>
              <w:rPr>
                <w:color w:val="auto"/>
              </w:rPr>
            </w:r>
            <w:r/>
          </w:p>
        </w:tc>
        <w:tc>
          <w:tcPr>
            <w:tcW w:w="907" w:type="dxa"/>
            <w:vAlign w:val="top"/>
            <w:textDirection w:val="lrTb"/>
            <w:noWrap w:val="false"/>
          </w:tcPr>
          <w:p>
            <w:pPr>
              <w:pStyle w:val="1147"/>
              <w:rPr>
                <w:color w:val="auto"/>
              </w:rPr>
            </w:pPr>
            <w:r>
              <w:rPr>
                <w:color w:val="auto"/>
              </w:rPr>
            </w:r>
            <w:r/>
          </w:p>
        </w:tc>
      </w:tr>
      <w:tr>
        <w:trPr>
          <w:trHeight w:val="563"/>
        </w:trPr>
        <w:tc>
          <w:tcPr>
            <w:tcW w:w="783" w:type="dxa"/>
            <w:vAlign w:val="top"/>
            <w:textDirection w:val="lrTb"/>
            <w:noWrap w:val="false"/>
          </w:tcPr>
          <w:p>
            <w:pPr>
              <w:pStyle w:val="1147"/>
              <w:rPr>
                <w:color w:val="auto"/>
              </w:rPr>
            </w:pPr>
            <w:r>
              <w:rPr>
                <w:color w:val="auto"/>
              </w:rPr>
            </w:r>
            <w:r/>
          </w:p>
        </w:tc>
        <w:tc>
          <w:tcPr>
            <w:tcW w:w="787" w:type="dxa"/>
            <w:vAlign w:val="top"/>
            <w:textDirection w:val="lrTb"/>
            <w:noWrap w:val="false"/>
          </w:tcPr>
          <w:p>
            <w:pPr>
              <w:pStyle w:val="1147"/>
              <w:rPr>
                <w:color w:val="auto"/>
              </w:rPr>
            </w:pPr>
            <w:r>
              <w:rPr>
                <w:color w:val="auto"/>
              </w:rPr>
            </w:r>
            <w:r/>
          </w:p>
        </w:tc>
        <w:tc>
          <w:tcPr>
            <w:tcW w:w="722" w:type="dxa"/>
            <w:vAlign w:val="top"/>
            <w:textDirection w:val="lrTb"/>
            <w:noWrap w:val="false"/>
          </w:tcPr>
          <w:p>
            <w:pPr>
              <w:pStyle w:val="1147"/>
              <w:rPr>
                <w:color w:val="auto"/>
              </w:rPr>
            </w:pPr>
            <w:r>
              <w:rPr>
                <w:color w:val="auto"/>
              </w:rPr>
            </w:r>
            <w:r/>
          </w:p>
        </w:tc>
        <w:tc>
          <w:tcPr>
            <w:tcW w:w="648" w:type="dxa"/>
            <w:vAlign w:val="top"/>
            <w:textDirection w:val="lrTb"/>
            <w:noWrap w:val="false"/>
          </w:tcPr>
          <w:p>
            <w:pPr>
              <w:pStyle w:val="1147"/>
              <w:rPr>
                <w:color w:val="auto"/>
              </w:rPr>
            </w:pPr>
            <w:r>
              <w:rPr>
                <w:color w:val="auto"/>
              </w:rPr>
            </w:r>
            <w:r/>
          </w:p>
        </w:tc>
        <w:tc>
          <w:tcPr>
            <w:tcW w:w="711" w:type="dxa"/>
            <w:vAlign w:val="top"/>
            <w:textDirection w:val="lrTb"/>
            <w:noWrap w:val="false"/>
          </w:tcPr>
          <w:p>
            <w:pPr>
              <w:pStyle w:val="1147"/>
              <w:rPr>
                <w:color w:val="auto"/>
              </w:rPr>
            </w:pPr>
            <w:r>
              <w:rPr>
                <w:color w:val="auto"/>
              </w:rPr>
            </w:r>
            <w:r/>
          </w:p>
        </w:tc>
        <w:tc>
          <w:tcPr>
            <w:tcW w:w="747" w:type="dxa"/>
            <w:vAlign w:val="top"/>
            <w:textDirection w:val="lrTb"/>
            <w:noWrap w:val="false"/>
          </w:tcPr>
          <w:p>
            <w:pPr>
              <w:pStyle w:val="1147"/>
              <w:rPr>
                <w:color w:val="auto"/>
              </w:rPr>
            </w:pPr>
            <w:r>
              <w:rPr>
                <w:color w:val="auto"/>
              </w:rPr>
            </w:r>
            <w:r/>
          </w:p>
        </w:tc>
        <w:tc>
          <w:tcPr>
            <w:tcW w:w="578" w:type="dxa"/>
            <w:vAlign w:val="top"/>
            <w:textDirection w:val="lrTb"/>
            <w:noWrap w:val="false"/>
          </w:tcPr>
          <w:p>
            <w:pPr>
              <w:pStyle w:val="1147"/>
              <w:rPr>
                <w:color w:val="auto"/>
              </w:rPr>
            </w:pPr>
            <w:r>
              <w:rPr>
                <w:color w:val="auto"/>
              </w:rPr>
            </w:r>
            <w:r/>
          </w:p>
        </w:tc>
        <w:tc>
          <w:tcPr>
            <w:tcW w:w="745" w:type="dxa"/>
            <w:vAlign w:val="top"/>
            <w:textDirection w:val="lrTb"/>
            <w:noWrap w:val="false"/>
          </w:tcPr>
          <w:p>
            <w:pPr>
              <w:pStyle w:val="1147"/>
              <w:rPr>
                <w:color w:val="auto"/>
              </w:rPr>
            </w:pPr>
            <w:r>
              <w:rPr>
                <w:color w:val="auto"/>
              </w:rPr>
            </w:r>
            <w:r/>
          </w:p>
        </w:tc>
        <w:tc>
          <w:tcPr>
            <w:tcW w:w="494" w:type="dxa"/>
            <w:vAlign w:val="top"/>
            <w:textDirection w:val="lrTb"/>
            <w:noWrap w:val="false"/>
          </w:tcPr>
          <w:p>
            <w:pPr>
              <w:pStyle w:val="1147"/>
              <w:rPr>
                <w:color w:val="auto"/>
              </w:rPr>
            </w:pPr>
            <w:r>
              <w:rPr>
                <w:color w:val="auto"/>
              </w:rPr>
            </w:r>
            <w:r/>
          </w:p>
        </w:tc>
        <w:tc>
          <w:tcPr>
            <w:tcW w:w="660" w:type="dxa"/>
            <w:vAlign w:val="top"/>
            <w:textDirection w:val="lrTb"/>
            <w:noWrap w:val="false"/>
          </w:tcPr>
          <w:p>
            <w:pPr>
              <w:pStyle w:val="1147"/>
              <w:rPr>
                <w:color w:val="auto"/>
              </w:rPr>
            </w:pPr>
            <w:r>
              <w:rPr>
                <w:color w:val="auto"/>
              </w:rPr>
            </w:r>
            <w:r/>
          </w:p>
        </w:tc>
        <w:tc>
          <w:tcPr>
            <w:tcW w:w="471" w:type="dxa"/>
            <w:vAlign w:val="top"/>
            <w:textDirection w:val="lrTb"/>
            <w:noWrap w:val="false"/>
          </w:tcPr>
          <w:p>
            <w:pPr>
              <w:pStyle w:val="1147"/>
              <w:rPr>
                <w:color w:val="auto"/>
              </w:rPr>
            </w:pPr>
            <w:r>
              <w:rPr>
                <w:color w:val="auto"/>
              </w:rPr>
            </w:r>
            <w:r/>
          </w:p>
        </w:tc>
        <w:tc>
          <w:tcPr>
            <w:tcW w:w="677" w:type="dxa"/>
            <w:vAlign w:val="top"/>
            <w:textDirection w:val="lrTb"/>
            <w:noWrap w:val="false"/>
          </w:tcPr>
          <w:p>
            <w:pPr>
              <w:pStyle w:val="1147"/>
              <w:rPr>
                <w:color w:val="auto"/>
              </w:rPr>
            </w:pPr>
            <w:r>
              <w:rPr>
                <w:color w:val="auto"/>
              </w:rPr>
            </w:r>
            <w:r/>
          </w:p>
        </w:tc>
        <w:tc>
          <w:tcPr>
            <w:tcW w:w="848" w:type="dxa"/>
            <w:vAlign w:val="top"/>
            <w:textDirection w:val="lrTb"/>
            <w:noWrap w:val="false"/>
          </w:tcPr>
          <w:p>
            <w:pPr>
              <w:pStyle w:val="1147"/>
              <w:rPr>
                <w:color w:val="auto"/>
              </w:rPr>
            </w:pPr>
            <w:r>
              <w:rPr>
                <w:color w:val="auto"/>
              </w:rPr>
            </w:r>
            <w:r/>
          </w:p>
        </w:tc>
        <w:tc>
          <w:tcPr>
            <w:tcW w:w="762" w:type="dxa"/>
            <w:vAlign w:val="top"/>
            <w:textDirection w:val="lrTb"/>
            <w:noWrap w:val="false"/>
          </w:tcPr>
          <w:p>
            <w:pPr>
              <w:pStyle w:val="1147"/>
              <w:rPr>
                <w:color w:val="auto"/>
              </w:rPr>
            </w:pPr>
            <w:r>
              <w:rPr>
                <w:color w:val="auto"/>
              </w:rPr>
            </w:r>
            <w:r/>
          </w:p>
        </w:tc>
        <w:tc>
          <w:tcPr>
            <w:tcW w:w="907" w:type="dxa"/>
            <w:vAlign w:val="top"/>
            <w:textDirection w:val="lrTb"/>
            <w:noWrap w:val="false"/>
          </w:tcPr>
          <w:p>
            <w:pPr>
              <w:pStyle w:val="1147"/>
              <w:rPr>
                <w:color w:val="auto"/>
              </w:rPr>
            </w:pPr>
            <w:r>
              <w:rPr>
                <w:color w:val="auto"/>
              </w:rPr>
            </w:r>
            <w:r/>
          </w:p>
        </w:tc>
      </w:tr>
      <w:tr>
        <w:trPr>
          <w:trHeight w:val="565"/>
        </w:trPr>
        <w:tc>
          <w:tcPr>
            <w:tcW w:w="783" w:type="dxa"/>
            <w:vAlign w:val="top"/>
            <w:textDirection w:val="lrTb"/>
            <w:noWrap w:val="false"/>
          </w:tcPr>
          <w:p>
            <w:pPr>
              <w:pStyle w:val="1147"/>
              <w:rPr>
                <w:color w:val="auto"/>
              </w:rPr>
            </w:pPr>
            <w:r>
              <w:rPr>
                <w:color w:val="auto"/>
              </w:rPr>
            </w:r>
            <w:r/>
          </w:p>
        </w:tc>
        <w:tc>
          <w:tcPr>
            <w:tcW w:w="787" w:type="dxa"/>
            <w:vAlign w:val="top"/>
            <w:textDirection w:val="lrTb"/>
            <w:noWrap w:val="false"/>
          </w:tcPr>
          <w:p>
            <w:pPr>
              <w:pStyle w:val="1147"/>
              <w:rPr>
                <w:color w:val="auto"/>
              </w:rPr>
            </w:pPr>
            <w:r>
              <w:rPr>
                <w:color w:val="auto"/>
              </w:rPr>
            </w:r>
            <w:r/>
          </w:p>
        </w:tc>
        <w:tc>
          <w:tcPr>
            <w:tcW w:w="722" w:type="dxa"/>
            <w:vAlign w:val="top"/>
            <w:textDirection w:val="lrTb"/>
            <w:noWrap w:val="false"/>
          </w:tcPr>
          <w:p>
            <w:pPr>
              <w:pStyle w:val="1147"/>
              <w:rPr>
                <w:color w:val="auto"/>
              </w:rPr>
            </w:pPr>
            <w:r>
              <w:rPr>
                <w:color w:val="auto"/>
              </w:rPr>
            </w:r>
            <w:r/>
          </w:p>
        </w:tc>
        <w:tc>
          <w:tcPr>
            <w:tcW w:w="648" w:type="dxa"/>
            <w:vAlign w:val="top"/>
            <w:textDirection w:val="lrTb"/>
            <w:noWrap w:val="false"/>
          </w:tcPr>
          <w:p>
            <w:pPr>
              <w:pStyle w:val="1147"/>
              <w:rPr>
                <w:color w:val="auto"/>
              </w:rPr>
            </w:pPr>
            <w:r>
              <w:rPr>
                <w:color w:val="auto"/>
              </w:rPr>
            </w:r>
            <w:r/>
          </w:p>
        </w:tc>
        <w:tc>
          <w:tcPr>
            <w:tcW w:w="711" w:type="dxa"/>
            <w:vAlign w:val="top"/>
            <w:textDirection w:val="lrTb"/>
            <w:noWrap w:val="false"/>
          </w:tcPr>
          <w:p>
            <w:pPr>
              <w:pStyle w:val="1147"/>
              <w:rPr>
                <w:color w:val="auto"/>
              </w:rPr>
            </w:pPr>
            <w:r>
              <w:rPr>
                <w:color w:val="auto"/>
              </w:rPr>
            </w:r>
            <w:r/>
          </w:p>
        </w:tc>
        <w:tc>
          <w:tcPr>
            <w:tcW w:w="747" w:type="dxa"/>
            <w:vAlign w:val="top"/>
            <w:textDirection w:val="lrTb"/>
            <w:noWrap w:val="false"/>
          </w:tcPr>
          <w:p>
            <w:pPr>
              <w:pStyle w:val="1147"/>
              <w:rPr>
                <w:color w:val="auto"/>
              </w:rPr>
            </w:pPr>
            <w:r>
              <w:rPr>
                <w:color w:val="auto"/>
              </w:rPr>
            </w:r>
            <w:r/>
          </w:p>
        </w:tc>
        <w:tc>
          <w:tcPr>
            <w:tcW w:w="578" w:type="dxa"/>
            <w:vAlign w:val="top"/>
            <w:textDirection w:val="lrTb"/>
            <w:noWrap w:val="false"/>
          </w:tcPr>
          <w:p>
            <w:pPr>
              <w:pStyle w:val="1147"/>
              <w:rPr>
                <w:color w:val="auto"/>
              </w:rPr>
            </w:pPr>
            <w:r>
              <w:rPr>
                <w:color w:val="auto"/>
              </w:rPr>
            </w:r>
            <w:r/>
          </w:p>
        </w:tc>
        <w:tc>
          <w:tcPr>
            <w:tcW w:w="745" w:type="dxa"/>
            <w:vAlign w:val="top"/>
            <w:textDirection w:val="lrTb"/>
            <w:noWrap w:val="false"/>
          </w:tcPr>
          <w:p>
            <w:pPr>
              <w:pStyle w:val="1147"/>
              <w:rPr>
                <w:color w:val="auto"/>
              </w:rPr>
            </w:pPr>
            <w:r>
              <w:rPr>
                <w:color w:val="auto"/>
              </w:rPr>
            </w:r>
            <w:r/>
          </w:p>
        </w:tc>
        <w:tc>
          <w:tcPr>
            <w:tcW w:w="494" w:type="dxa"/>
            <w:vAlign w:val="top"/>
            <w:textDirection w:val="lrTb"/>
            <w:noWrap w:val="false"/>
          </w:tcPr>
          <w:p>
            <w:pPr>
              <w:pStyle w:val="1147"/>
              <w:rPr>
                <w:color w:val="auto"/>
              </w:rPr>
            </w:pPr>
            <w:r>
              <w:rPr>
                <w:color w:val="auto"/>
              </w:rPr>
            </w:r>
            <w:r/>
          </w:p>
        </w:tc>
        <w:tc>
          <w:tcPr>
            <w:tcW w:w="660" w:type="dxa"/>
            <w:vAlign w:val="top"/>
            <w:textDirection w:val="lrTb"/>
            <w:noWrap w:val="false"/>
          </w:tcPr>
          <w:p>
            <w:pPr>
              <w:pStyle w:val="1147"/>
              <w:rPr>
                <w:color w:val="auto"/>
              </w:rPr>
            </w:pPr>
            <w:r>
              <w:rPr>
                <w:color w:val="auto"/>
              </w:rPr>
            </w:r>
            <w:r/>
          </w:p>
        </w:tc>
        <w:tc>
          <w:tcPr>
            <w:tcW w:w="471" w:type="dxa"/>
            <w:vAlign w:val="top"/>
            <w:textDirection w:val="lrTb"/>
            <w:noWrap w:val="false"/>
          </w:tcPr>
          <w:p>
            <w:pPr>
              <w:pStyle w:val="1147"/>
              <w:rPr>
                <w:color w:val="auto"/>
              </w:rPr>
            </w:pPr>
            <w:r>
              <w:rPr>
                <w:color w:val="auto"/>
              </w:rPr>
            </w:r>
            <w:r/>
          </w:p>
        </w:tc>
        <w:tc>
          <w:tcPr>
            <w:tcW w:w="677" w:type="dxa"/>
            <w:vAlign w:val="top"/>
            <w:textDirection w:val="lrTb"/>
            <w:noWrap w:val="false"/>
          </w:tcPr>
          <w:p>
            <w:pPr>
              <w:pStyle w:val="1147"/>
              <w:rPr>
                <w:color w:val="auto"/>
              </w:rPr>
            </w:pPr>
            <w:r>
              <w:rPr>
                <w:color w:val="auto"/>
              </w:rPr>
            </w:r>
            <w:r/>
          </w:p>
        </w:tc>
        <w:tc>
          <w:tcPr>
            <w:tcW w:w="848" w:type="dxa"/>
            <w:vAlign w:val="top"/>
            <w:textDirection w:val="lrTb"/>
            <w:noWrap w:val="false"/>
          </w:tcPr>
          <w:p>
            <w:pPr>
              <w:pStyle w:val="1147"/>
              <w:rPr>
                <w:color w:val="auto"/>
              </w:rPr>
            </w:pPr>
            <w:r>
              <w:rPr>
                <w:color w:val="auto"/>
              </w:rPr>
            </w:r>
            <w:r/>
          </w:p>
        </w:tc>
        <w:tc>
          <w:tcPr>
            <w:tcW w:w="762" w:type="dxa"/>
            <w:vAlign w:val="top"/>
            <w:textDirection w:val="lrTb"/>
            <w:noWrap w:val="false"/>
          </w:tcPr>
          <w:p>
            <w:pPr>
              <w:pStyle w:val="1147"/>
              <w:rPr>
                <w:color w:val="auto"/>
              </w:rPr>
            </w:pPr>
            <w:r>
              <w:rPr>
                <w:color w:val="auto"/>
              </w:rPr>
            </w:r>
            <w:r/>
          </w:p>
        </w:tc>
        <w:tc>
          <w:tcPr>
            <w:tcW w:w="907" w:type="dxa"/>
            <w:vAlign w:val="top"/>
            <w:textDirection w:val="lrTb"/>
            <w:noWrap w:val="false"/>
          </w:tcPr>
          <w:p>
            <w:pPr>
              <w:pStyle w:val="1147"/>
              <w:rPr>
                <w:color w:val="auto"/>
              </w:rPr>
            </w:pPr>
            <w:r>
              <w:rPr>
                <w:color w:val="auto"/>
              </w:rPr>
            </w:r>
            <w:r/>
          </w:p>
        </w:tc>
      </w:tr>
      <w:tr>
        <w:trPr>
          <w:trHeight w:val="563"/>
        </w:trPr>
        <w:tc>
          <w:tcPr>
            <w:tcW w:w="783" w:type="dxa"/>
            <w:vAlign w:val="top"/>
            <w:textDirection w:val="lrTb"/>
            <w:noWrap w:val="false"/>
          </w:tcPr>
          <w:p>
            <w:pPr>
              <w:pStyle w:val="1147"/>
              <w:rPr>
                <w:color w:val="auto"/>
              </w:rPr>
            </w:pPr>
            <w:r>
              <w:rPr>
                <w:color w:val="auto"/>
              </w:rPr>
            </w:r>
            <w:r/>
          </w:p>
        </w:tc>
        <w:tc>
          <w:tcPr>
            <w:tcW w:w="787" w:type="dxa"/>
            <w:vAlign w:val="top"/>
            <w:textDirection w:val="lrTb"/>
            <w:noWrap w:val="false"/>
          </w:tcPr>
          <w:p>
            <w:pPr>
              <w:pStyle w:val="1147"/>
              <w:rPr>
                <w:color w:val="auto"/>
              </w:rPr>
            </w:pPr>
            <w:r>
              <w:rPr>
                <w:color w:val="auto"/>
              </w:rPr>
            </w:r>
            <w:r/>
          </w:p>
        </w:tc>
        <w:tc>
          <w:tcPr>
            <w:tcW w:w="722" w:type="dxa"/>
            <w:vAlign w:val="top"/>
            <w:textDirection w:val="lrTb"/>
            <w:noWrap w:val="false"/>
          </w:tcPr>
          <w:p>
            <w:pPr>
              <w:pStyle w:val="1147"/>
              <w:rPr>
                <w:color w:val="auto"/>
              </w:rPr>
            </w:pPr>
            <w:r>
              <w:rPr>
                <w:color w:val="auto"/>
              </w:rPr>
            </w:r>
            <w:r/>
          </w:p>
        </w:tc>
        <w:tc>
          <w:tcPr>
            <w:tcW w:w="648" w:type="dxa"/>
            <w:vAlign w:val="top"/>
            <w:textDirection w:val="lrTb"/>
            <w:noWrap w:val="false"/>
          </w:tcPr>
          <w:p>
            <w:pPr>
              <w:pStyle w:val="1147"/>
              <w:rPr>
                <w:color w:val="auto"/>
              </w:rPr>
            </w:pPr>
            <w:r>
              <w:rPr>
                <w:color w:val="auto"/>
              </w:rPr>
            </w:r>
            <w:r/>
          </w:p>
        </w:tc>
        <w:tc>
          <w:tcPr>
            <w:tcW w:w="711" w:type="dxa"/>
            <w:vAlign w:val="top"/>
            <w:textDirection w:val="lrTb"/>
            <w:noWrap w:val="false"/>
          </w:tcPr>
          <w:p>
            <w:pPr>
              <w:pStyle w:val="1147"/>
              <w:rPr>
                <w:color w:val="auto"/>
              </w:rPr>
            </w:pPr>
            <w:r>
              <w:rPr>
                <w:color w:val="auto"/>
              </w:rPr>
            </w:r>
            <w:r/>
          </w:p>
        </w:tc>
        <w:tc>
          <w:tcPr>
            <w:tcW w:w="747" w:type="dxa"/>
            <w:vAlign w:val="top"/>
            <w:textDirection w:val="lrTb"/>
            <w:noWrap w:val="false"/>
          </w:tcPr>
          <w:p>
            <w:pPr>
              <w:pStyle w:val="1147"/>
              <w:rPr>
                <w:color w:val="auto"/>
              </w:rPr>
            </w:pPr>
            <w:r>
              <w:rPr>
                <w:color w:val="auto"/>
              </w:rPr>
            </w:r>
            <w:r/>
          </w:p>
        </w:tc>
        <w:tc>
          <w:tcPr>
            <w:tcW w:w="578" w:type="dxa"/>
            <w:vAlign w:val="top"/>
            <w:textDirection w:val="lrTb"/>
            <w:noWrap w:val="false"/>
          </w:tcPr>
          <w:p>
            <w:pPr>
              <w:pStyle w:val="1147"/>
              <w:rPr>
                <w:color w:val="auto"/>
              </w:rPr>
            </w:pPr>
            <w:r>
              <w:rPr>
                <w:color w:val="auto"/>
              </w:rPr>
            </w:r>
            <w:r/>
          </w:p>
        </w:tc>
        <w:tc>
          <w:tcPr>
            <w:tcW w:w="745" w:type="dxa"/>
            <w:vAlign w:val="top"/>
            <w:textDirection w:val="lrTb"/>
            <w:noWrap w:val="false"/>
          </w:tcPr>
          <w:p>
            <w:pPr>
              <w:pStyle w:val="1147"/>
              <w:rPr>
                <w:color w:val="auto"/>
              </w:rPr>
            </w:pPr>
            <w:r>
              <w:rPr>
                <w:color w:val="auto"/>
              </w:rPr>
            </w:r>
            <w:r/>
          </w:p>
        </w:tc>
        <w:tc>
          <w:tcPr>
            <w:tcW w:w="494" w:type="dxa"/>
            <w:vAlign w:val="top"/>
            <w:textDirection w:val="lrTb"/>
            <w:noWrap w:val="false"/>
          </w:tcPr>
          <w:p>
            <w:pPr>
              <w:pStyle w:val="1147"/>
              <w:rPr>
                <w:color w:val="auto"/>
              </w:rPr>
            </w:pPr>
            <w:r>
              <w:rPr>
                <w:color w:val="auto"/>
              </w:rPr>
            </w:r>
            <w:r/>
          </w:p>
        </w:tc>
        <w:tc>
          <w:tcPr>
            <w:tcW w:w="660" w:type="dxa"/>
            <w:vAlign w:val="top"/>
            <w:textDirection w:val="lrTb"/>
            <w:noWrap w:val="false"/>
          </w:tcPr>
          <w:p>
            <w:pPr>
              <w:pStyle w:val="1147"/>
              <w:rPr>
                <w:color w:val="auto"/>
              </w:rPr>
            </w:pPr>
            <w:r>
              <w:rPr>
                <w:color w:val="auto"/>
              </w:rPr>
            </w:r>
            <w:r/>
          </w:p>
        </w:tc>
        <w:tc>
          <w:tcPr>
            <w:tcW w:w="471" w:type="dxa"/>
            <w:vAlign w:val="top"/>
            <w:textDirection w:val="lrTb"/>
            <w:noWrap w:val="false"/>
          </w:tcPr>
          <w:p>
            <w:pPr>
              <w:pStyle w:val="1147"/>
              <w:rPr>
                <w:color w:val="auto"/>
              </w:rPr>
            </w:pPr>
            <w:r>
              <w:rPr>
                <w:color w:val="auto"/>
              </w:rPr>
            </w:r>
            <w:r/>
          </w:p>
        </w:tc>
        <w:tc>
          <w:tcPr>
            <w:tcW w:w="677" w:type="dxa"/>
            <w:vAlign w:val="top"/>
            <w:textDirection w:val="lrTb"/>
            <w:noWrap w:val="false"/>
          </w:tcPr>
          <w:p>
            <w:pPr>
              <w:pStyle w:val="1147"/>
              <w:rPr>
                <w:color w:val="auto"/>
              </w:rPr>
            </w:pPr>
            <w:r>
              <w:rPr>
                <w:color w:val="auto"/>
              </w:rPr>
            </w:r>
            <w:r/>
          </w:p>
        </w:tc>
        <w:tc>
          <w:tcPr>
            <w:tcW w:w="848" w:type="dxa"/>
            <w:vAlign w:val="top"/>
            <w:textDirection w:val="lrTb"/>
            <w:noWrap w:val="false"/>
          </w:tcPr>
          <w:p>
            <w:pPr>
              <w:pStyle w:val="1147"/>
              <w:rPr>
                <w:color w:val="auto"/>
              </w:rPr>
            </w:pPr>
            <w:r>
              <w:rPr>
                <w:color w:val="auto"/>
              </w:rPr>
            </w:r>
            <w:r/>
          </w:p>
        </w:tc>
        <w:tc>
          <w:tcPr>
            <w:tcW w:w="762" w:type="dxa"/>
            <w:vAlign w:val="top"/>
            <w:textDirection w:val="lrTb"/>
            <w:noWrap w:val="false"/>
          </w:tcPr>
          <w:p>
            <w:pPr>
              <w:pStyle w:val="1147"/>
              <w:rPr>
                <w:color w:val="auto"/>
              </w:rPr>
            </w:pPr>
            <w:r>
              <w:rPr>
                <w:color w:val="auto"/>
              </w:rPr>
            </w:r>
            <w:r/>
          </w:p>
        </w:tc>
        <w:tc>
          <w:tcPr>
            <w:tcW w:w="907" w:type="dxa"/>
            <w:vAlign w:val="top"/>
            <w:textDirection w:val="lrTb"/>
            <w:noWrap w:val="false"/>
          </w:tcPr>
          <w:p>
            <w:pPr>
              <w:pStyle w:val="1147"/>
              <w:rPr>
                <w:color w:val="auto"/>
              </w:rPr>
            </w:pPr>
            <w:r>
              <w:rPr>
                <w:color w:val="auto"/>
              </w:rPr>
            </w:r>
            <w:r/>
          </w:p>
        </w:tc>
      </w:tr>
      <w:tr>
        <w:trPr>
          <w:trHeight w:val="566"/>
        </w:trPr>
        <w:tc>
          <w:tcPr>
            <w:tcW w:w="783" w:type="dxa"/>
            <w:vAlign w:val="top"/>
            <w:textDirection w:val="lrTb"/>
            <w:noWrap w:val="false"/>
          </w:tcPr>
          <w:p>
            <w:pPr>
              <w:pStyle w:val="1147"/>
              <w:rPr>
                <w:color w:val="auto"/>
              </w:rPr>
            </w:pPr>
            <w:r>
              <w:rPr>
                <w:color w:val="auto"/>
              </w:rPr>
            </w:r>
            <w:r/>
          </w:p>
        </w:tc>
        <w:tc>
          <w:tcPr>
            <w:tcW w:w="787" w:type="dxa"/>
            <w:vAlign w:val="top"/>
            <w:textDirection w:val="lrTb"/>
            <w:noWrap w:val="false"/>
          </w:tcPr>
          <w:p>
            <w:pPr>
              <w:pStyle w:val="1147"/>
              <w:rPr>
                <w:color w:val="auto"/>
              </w:rPr>
            </w:pPr>
            <w:r>
              <w:rPr>
                <w:color w:val="auto"/>
              </w:rPr>
            </w:r>
            <w:r/>
          </w:p>
        </w:tc>
        <w:tc>
          <w:tcPr>
            <w:tcW w:w="722" w:type="dxa"/>
            <w:vAlign w:val="top"/>
            <w:textDirection w:val="lrTb"/>
            <w:noWrap w:val="false"/>
          </w:tcPr>
          <w:p>
            <w:pPr>
              <w:pStyle w:val="1147"/>
              <w:rPr>
                <w:color w:val="auto"/>
              </w:rPr>
            </w:pPr>
            <w:r>
              <w:rPr>
                <w:color w:val="auto"/>
              </w:rPr>
            </w:r>
            <w:r/>
          </w:p>
        </w:tc>
        <w:tc>
          <w:tcPr>
            <w:tcW w:w="648" w:type="dxa"/>
            <w:vAlign w:val="top"/>
            <w:textDirection w:val="lrTb"/>
            <w:noWrap w:val="false"/>
          </w:tcPr>
          <w:p>
            <w:pPr>
              <w:pStyle w:val="1147"/>
              <w:rPr>
                <w:color w:val="auto"/>
              </w:rPr>
            </w:pPr>
            <w:r>
              <w:rPr>
                <w:color w:val="auto"/>
              </w:rPr>
            </w:r>
            <w:r/>
          </w:p>
        </w:tc>
        <w:tc>
          <w:tcPr>
            <w:tcW w:w="711" w:type="dxa"/>
            <w:vAlign w:val="top"/>
            <w:textDirection w:val="lrTb"/>
            <w:noWrap w:val="false"/>
          </w:tcPr>
          <w:p>
            <w:pPr>
              <w:pStyle w:val="1147"/>
              <w:rPr>
                <w:color w:val="auto"/>
              </w:rPr>
            </w:pPr>
            <w:r>
              <w:rPr>
                <w:color w:val="auto"/>
              </w:rPr>
            </w:r>
            <w:r/>
          </w:p>
        </w:tc>
        <w:tc>
          <w:tcPr>
            <w:tcW w:w="747" w:type="dxa"/>
            <w:vAlign w:val="top"/>
            <w:textDirection w:val="lrTb"/>
            <w:noWrap w:val="false"/>
          </w:tcPr>
          <w:p>
            <w:pPr>
              <w:pStyle w:val="1147"/>
              <w:rPr>
                <w:color w:val="auto"/>
              </w:rPr>
            </w:pPr>
            <w:r>
              <w:rPr>
                <w:color w:val="auto"/>
              </w:rPr>
            </w:r>
            <w:r/>
          </w:p>
        </w:tc>
        <w:tc>
          <w:tcPr>
            <w:tcW w:w="578" w:type="dxa"/>
            <w:vAlign w:val="top"/>
            <w:textDirection w:val="lrTb"/>
            <w:noWrap w:val="false"/>
          </w:tcPr>
          <w:p>
            <w:pPr>
              <w:pStyle w:val="1147"/>
              <w:rPr>
                <w:color w:val="auto"/>
              </w:rPr>
            </w:pPr>
            <w:r>
              <w:rPr>
                <w:color w:val="auto"/>
              </w:rPr>
            </w:r>
            <w:r/>
          </w:p>
        </w:tc>
        <w:tc>
          <w:tcPr>
            <w:tcW w:w="745" w:type="dxa"/>
            <w:vAlign w:val="top"/>
            <w:textDirection w:val="lrTb"/>
            <w:noWrap w:val="false"/>
          </w:tcPr>
          <w:p>
            <w:pPr>
              <w:pStyle w:val="1147"/>
              <w:rPr>
                <w:color w:val="auto"/>
              </w:rPr>
            </w:pPr>
            <w:r>
              <w:rPr>
                <w:color w:val="auto"/>
              </w:rPr>
            </w:r>
            <w:r/>
          </w:p>
        </w:tc>
        <w:tc>
          <w:tcPr>
            <w:tcW w:w="494" w:type="dxa"/>
            <w:vAlign w:val="top"/>
            <w:textDirection w:val="lrTb"/>
            <w:noWrap w:val="false"/>
          </w:tcPr>
          <w:p>
            <w:pPr>
              <w:pStyle w:val="1147"/>
              <w:rPr>
                <w:color w:val="auto"/>
              </w:rPr>
            </w:pPr>
            <w:r>
              <w:rPr>
                <w:color w:val="auto"/>
              </w:rPr>
            </w:r>
            <w:r/>
          </w:p>
        </w:tc>
        <w:tc>
          <w:tcPr>
            <w:tcW w:w="660" w:type="dxa"/>
            <w:vAlign w:val="top"/>
            <w:textDirection w:val="lrTb"/>
            <w:noWrap w:val="false"/>
          </w:tcPr>
          <w:p>
            <w:pPr>
              <w:pStyle w:val="1147"/>
              <w:rPr>
                <w:color w:val="auto"/>
              </w:rPr>
            </w:pPr>
            <w:r>
              <w:rPr>
                <w:color w:val="auto"/>
              </w:rPr>
            </w:r>
            <w:r/>
          </w:p>
        </w:tc>
        <w:tc>
          <w:tcPr>
            <w:tcW w:w="471" w:type="dxa"/>
            <w:vAlign w:val="top"/>
            <w:textDirection w:val="lrTb"/>
            <w:noWrap w:val="false"/>
          </w:tcPr>
          <w:p>
            <w:pPr>
              <w:pStyle w:val="1147"/>
              <w:rPr>
                <w:color w:val="auto"/>
              </w:rPr>
            </w:pPr>
            <w:r>
              <w:rPr>
                <w:color w:val="auto"/>
              </w:rPr>
            </w:r>
            <w:r/>
          </w:p>
        </w:tc>
        <w:tc>
          <w:tcPr>
            <w:tcW w:w="677" w:type="dxa"/>
            <w:vAlign w:val="top"/>
            <w:textDirection w:val="lrTb"/>
            <w:noWrap w:val="false"/>
          </w:tcPr>
          <w:p>
            <w:pPr>
              <w:pStyle w:val="1147"/>
              <w:rPr>
                <w:color w:val="auto"/>
              </w:rPr>
            </w:pPr>
            <w:r>
              <w:rPr>
                <w:color w:val="auto"/>
              </w:rPr>
            </w:r>
            <w:r/>
          </w:p>
        </w:tc>
        <w:tc>
          <w:tcPr>
            <w:tcW w:w="848" w:type="dxa"/>
            <w:vAlign w:val="top"/>
            <w:textDirection w:val="lrTb"/>
            <w:noWrap w:val="false"/>
          </w:tcPr>
          <w:p>
            <w:pPr>
              <w:pStyle w:val="1147"/>
              <w:rPr>
                <w:color w:val="auto"/>
              </w:rPr>
            </w:pPr>
            <w:r>
              <w:rPr>
                <w:color w:val="auto"/>
              </w:rPr>
            </w:r>
            <w:r/>
          </w:p>
        </w:tc>
        <w:tc>
          <w:tcPr>
            <w:tcW w:w="762" w:type="dxa"/>
            <w:vAlign w:val="top"/>
            <w:textDirection w:val="lrTb"/>
            <w:noWrap w:val="false"/>
          </w:tcPr>
          <w:p>
            <w:pPr>
              <w:pStyle w:val="1147"/>
              <w:rPr>
                <w:color w:val="auto"/>
              </w:rPr>
            </w:pPr>
            <w:r>
              <w:rPr>
                <w:color w:val="auto"/>
              </w:rPr>
            </w:r>
            <w:r/>
          </w:p>
        </w:tc>
        <w:tc>
          <w:tcPr>
            <w:tcW w:w="907" w:type="dxa"/>
            <w:vAlign w:val="top"/>
            <w:textDirection w:val="lrTb"/>
            <w:noWrap w:val="false"/>
          </w:tcPr>
          <w:p>
            <w:pPr>
              <w:pStyle w:val="1147"/>
              <w:rPr>
                <w:color w:val="auto"/>
              </w:rPr>
            </w:pPr>
            <w:r>
              <w:rPr>
                <w:color w:val="auto"/>
              </w:rPr>
            </w:r>
            <w:r/>
          </w:p>
        </w:tc>
      </w:tr>
      <w:tr>
        <w:trPr>
          <w:trHeight w:val="568"/>
        </w:trPr>
        <w:tc>
          <w:tcPr>
            <w:tcW w:w="783" w:type="dxa"/>
            <w:vAlign w:val="top"/>
            <w:textDirection w:val="lrTb"/>
            <w:noWrap w:val="false"/>
          </w:tcPr>
          <w:p>
            <w:pPr>
              <w:pStyle w:val="1147"/>
              <w:rPr>
                <w:color w:val="auto"/>
              </w:rPr>
            </w:pPr>
            <w:r>
              <w:rPr>
                <w:color w:val="auto"/>
              </w:rPr>
            </w:r>
            <w:r/>
          </w:p>
        </w:tc>
        <w:tc>
          <w:tcPr>
            <w:tcW w:w="787" w:type="dxa"/>
            <w:vAlign w:val="top"/>
            <w:textDirection w:val="lrTb"/>
            <w:noWrap w:val="false"/>
          </w:tcPr>
          <w:p>
            <w:pPr>
              <w:pStyle w:val="1147"/>
              <w:rPr>
                <w:color w:val="auto"/>
              </w:rPr>
            </w:pPr>
            <w:r>
              <w:rPr>
                <w:color w:val="auto"/>
              </w:rPr>
            </w:r>
            <w:r/>
          </w:p>
        </w:tc>
        <w:tc>
          <w:tcPr>
            <w:tcW w:w="722" w:type="dxa"/>
            <w:vAlign w:val="top"/>
            <w:textDirection w:val="lrTb"/>
            <w:noWrap w:val="false"/>
          </w:tcPr>
          <w:p>
            <w:pPr>
              <w:pStyle w:val="1147"/>
              <w:rPr>
                <w:color w:val="auto"/>
              </w:rPr>
            </w:pPr>
            <w:r>
              <w:rPr>
                <w:color w:val="auto"/>
              </w:rPr>
            </w:r>
            <w:r/>
          </w:p>
        </w:tc>
        <w:tc>
          <w:tcPr>
            <w:tcW w:w="648" w:type="dxa"/>
            <w:vAlign w:val="top"/>
            <w:textDirection w:val="lrTb"/>
            <w:noWrap w:val="false"/>
          </w:tcPr>
          <w:p>
            <w:pPr>
              <w:pStyle w:val="1147"/>
              <w:rPr>
                <w:color w:val="auto"/>
              </w:rPr>
            </w:pPr>
            <w:r>
              <w:rPr>
                <w:color w:val="auto"/>
              </w:rPr>
            </w:r>
            <w:r/>
          </w:p>
        </w:tc>
        <w:tc>
          <w:tcPr>
            <w:tcW w:w="711" w:type="dxa"/>
            <w:vAlign w:val="top"/>
            <w:textDirection w:val="lrTb"/>
            <w:noWrap w:val="false"/>
          </w:tcPr>
          <w:p>
            <w:pPr>
              <w:pStyle w:val="1147"/>
              <w:rPr>
                <w:color w:val="auto"/>
              </w:rPr>
            </w:pPr>
            <w:r>
              <w:rPr>
                <w:color w:val="auto"/>
              </w:rPr>
            </w:r>
            <w:r/>
          </w:p>
        </w:tc>
        <w:tc>
          <w:tcPr>
            <w:tcW w:w="747" w:type="dxa"/>
            <w:vAlign w:val="top"/>
            <w:textDirection w:val="lrTb"/>
            <w:noWrap w:val="false"/>
          </w:tcPr>
          <w:p>
            <w:pPr>
              <w:pStyle w:val="1147"/>
              <w:rPr>
                <w:color w:val="auto"/>
              </w:rPr>
            </w:pPr>
            <w:r>
              <w:rPr>
                <w:color w:val="auto"/>
              </w:rPr>
            </w:r>
            <w:r/>
          </w:p>
        </w:tc>
        <w:tc>
          <w:tcPr>
            <w:tcW w:w="578" w:type="dxa"/>
            <w:vAlign w:val="top"/>
            <w:textDirection w:val="lrTb"/>
            <w:noWrap w:val="false"/>
          </w:tcPr>
          <w:p>
            <w:pPr>
              <w:pStyle w:val="1147"/>
              <w:rPr>
                <w:color w:val="auto"/>
              </w:rPr>
            </w:pPr>
            <w:r>
              <w:rPr>
                <w:color w:val="auto"/>
              </w:rPr>
            </w:r>
            <w:r/>
          </w:p>
        </w:tc>
        <w:tc>
          <w:tcPr>
            <w:tcW w:w="745" w:type="dxa"/>
            <w:vAlign w:val="top"/>
            <w:textDirection w:val="lrTb"/>
            <w:noWrap w:val="false"/>
          </w:tcPr>
          <w:p>
            <w:pPr>
              <w:pStyle w:val="1147"/>
              <w:rPr>
                <w:color w:val="auto"/>
              </w:rPr>
            </w:pPr>
            <w:r>
              <w:rPr>
                <w:color w:val="auto"/>
              </w:rPr>
            </w:r>
            <w:r/>
          </w:p>
        </w:tc>
        <w:tc>
          <w:tcPr>
            <w:tcW w:w="494" w:type="dxa"/>
            <w:vAlign w:val="top"/>
            <w:textDirection w:val="lrTb"/>
            <w:noWrap w:val="false"/>
          </w:tcPr>
          <w:p>
            <w:pPr>
              <w:pStyle w:val="1147"/>
              <w:rPr>
                <w:color w:val="auto"/>
              </w:rPr>
            </w:pPr>
            <w:r>
              <w:rPr>
                <w:color w:val="auto"/>
              </w:rPr>
            </w:r>
            <w:r/>
          </w:p>
        </w:tc>
        <w:tc>
          <w:tcPr>
            <w:tcW w:w="660" w:type="dxa"/>
            <w:vAlign w:val="top"/>
            <w:textDirection w:val="lrTb"/>
            <w:noWrap w:val="false"/>
          </w:tcPr>
          <w:p>
            <w:pPr>
              <w:pStyle w:val="1147"/>
              <w:rPr>
                <w:color w:val="auto"/>
              </w:rPr>
            </w:pPr>
            <w:r>
              <w:rPr>
                <w:color w:val="auto"/>
              </w:rPr>
            </w:r>
            <w:r/>
          </w:p>
        </w:tc>
        <w:tc>
          <w:tcPr>
            <w:tcW w:w="471" w:type="dxa"/>
            <w:vAlign w:val="top"/>
            <w:textDirection w:val="lrTb"/>
            <w:noWrap w:val="false"/>
          </w:tcPr>
          <w:p>
            <w:pPr>
              <w:pStyle w:val="1147"/>
              <w:rPr>
                <w:color w:val="auto"/>
              </w:rPr>
            </w:pPr>
            <w:r>
              <w:rPr>
                <w:color w:val="auto"/>
              </w:rPr>
            </w:r>
            <w:r/>
          </w:p>
        </w:tc>
        <w:tc>
          <w:tcPr>
            <w:tcW w:w="677" w:type="dxa"/>
            <w:vAlign w:val="top"/>
            <w:textDirection w:val="lrTb"/>
            <w:noWrap w:val="false"/>
          </w:tcPr>
          <w:p>
            <w:pPr>
              <w:pStyle w:val="1147"/>
              <w:rPr>
                <w:color w:val="auto"/>
              </w:rPr>
            </w:pPr>
            <w:r>
              <w:rPr>
                <w:color w:val="auto"/>
              </w:rPr>
            </w:r>
            <w:r/>
          </w:p>
        </w:tc>
        <w:tc>
          <w:tcPr>
            <w:tcW w:w="848" w:type="dxa"/>
            <w:vAlign w:val="top"/>
            <w:textDirection w:val="lrTb"/>
            <w:noWrap w:val="false"/>
          </w:tcPr>
          <w:p>
            <w:pPr>
              <w:pStyle w:val="1147"/>
              <w:rPr>
                <w:color w:val="auto"/>
              </w:rPr>
            </w:pPr>
            <w:r>
              <w:rPr>
                <w:color w:val="auto"/>
              </w:rPr>
            </w:r>
            <w:r/>
          </w:p>
        </w:tc>
        <w:tc>
          <w:tcPr>
            <w:tcW w:w="762" w:type="dxa"/>
            <w:vAlign w:val="top"/>
            <w:textDirection w:val="lrTb"/>
            <w:noWrap w:val="false"/>
          </w:tcPr>
          <w:p>
            <w:pPr>
              <w:pStyle w:val="1147"/>
              <w:rPr>
                <w:color w:val="auto"/>
              </w:rPr>
            </w:pPr>
            <w:r>
              <w:rPr>
                <w:color w:val="auto"/>
              </w:rPr>
            </w:r>
            <w:r/>
          </w:p>
        </w:tc>
        <w:tc>
          <w:tcPr>
            <w:tcW w:w="907" w:type="dxa"/>
            <w:vAlign w:val="top"/>
            <w:textDirection w:val="lrTb"/>
            <w:noWrap w:val="false"/>
          </w:tcPr>
          <w:p>
            <w:pPr>
              <w:pStyle w:val="1147"/>
              <w:rPr>
                <w:color w:val="auto"/>
              </w:rPr>
            </w:pPr>
            <w:r>
              <w:rPr>
                <w:color w:val="auto"/>
              </w:rPr>
            </w:r>
            <w:r/>
          </w:p>
        </w:tc>
      </w:tr>
    </w:tbl>
    <w:p>
      <w:pPr>
        <w:pStyle w:val="821"/>
        <w:spacing w:before="140" w:line="222" w:lineRule="auto"/>
        <w:rPr>
          <w:rFonts w:hint="eastAsia" w:ascii="仿宋" w:hAnsi="仿宋" w:eastAsia="仿宋" w:cs="仿宋"/>
          <w:color w:val="auto"/>
          <w:sz w:val="28"/>
          <w:szCs w:val="28"/>
        </w:rPr>
      </w:pPr>
      <w:r>
        <w:rPr>
          <w:rFonts w:hint="eastAsia" w:ascii="仿宋" w:hAnsi="仿宋" w:eastAsia="仿宋" w:cs="仿宋"/>
          <w:color w:val="auto"/>
          <w:spacing w:val="18"/>
          <w:sz w:val="28"/>
          <w:szCs w:val="28"/>
          <w:lang w:eastAsia="zh-CN"/>
        </w:rPr>
        <w:t xml:space="preserve">附件</w:t>
      </w:r>
      <w:r>
        <w:rPr>
          <w:rFonts w:hint="eastAsia" w:ascii="仿宋" w:hAnsi="仿宋" w:eastAsia="仿宋" w:cs="仿宋"/>
          <w:color w:val="auto"/>
          <w:spacing w:val="18"/>
          <w:sz w:val="28"/>
          <w:szCs w:val="28"/>
          <w:lang w:val="en-US" w:eastAsia="zh-CN"/>
        </w:rPr>
        <w:t xml:space="preserve">2：</w:t>
      </w:r>
      <w:r>
        <w:rPr>
          <w:rFonts w:hint="eastAsia" w:ascii="仿宋" w:hAnsi="仿宋" w:eastAsia="仿宋" w:cs="仿宋"/>
          <w:color w:val="auto"/>
          <w:spacing w:val="18"/>
          <w:sz w:val="28"/>
          <w:szCs w:val="28"/>
        </w:rPr>
        <w:t xml:space="preserve">农业微生物</w:t>
      </w:r>
      <w:r>
        <w:rPr>
          <w:rFonts w:hint="eastAsia" w:ascii="仿宋" w:hAnsi="仿宋" w:eastAsia="仿宋" w:cs="仿宋"/>
          <w:color w:val="auto"/>
          <w:spacing w:val="18"/>
          <w:sz w:val="28"/>
          <w:szCs w:val="28"/>
          <w:lang w:val="en-US" w:eastAsia="zh-CN"/>
        </w:rPr>
        <w:t xml:space="preserve">(</w:t>
      </w:r>
      <w:r>
        <w:rPr>
          <w:rFonts w:hint="eastAsia" w:ascii="仿宋" w:hAnsi="仿宋" w:eastAsia="仿宋" w:cs="仿宋"/>
          <w:color w:val="auto"/>
          <w:spacing w:val="18"/>
          <w:sz w:val="28"/>
          <w:szCs w:val="28"/>
        </w:rPr>
        <w:t xml:space="preserve">食用菌</w:t>
      </w:r>
      <w:r>
        <w:rPr>
          <w:rFonts w:hint="eastAsia" w:ascii="仿宋" w:hAnsi="仿宋" w:eastAsia="仿宋" w:cs="仿宋"/>
          <w:color w:val="auto"/>
          <w:spacing w:val="18"/>
          <w:sz w:val="28"/>
          <w:szCs w:val="28"/>
          <w:lang w:val="en-US" w:eastAsia="zh-CN"/>
        </w:rPr>
        <w:t xml:space="preserve">)</w:t>
      </w:r>
      <w:r>
        <w:rPr>
          <w:rFonts w:hint="eastAsia" w:ascii="仿宋" w:hAnsi="仿宋" w:eastAsia="仿宋" w:cs="仿宋"/>
          <w:color w:val="auto"/>
          <w:spacing w:val="18"/>
          <w:sz w:val="28"/>
          <w:szCs w:val="28"/>
        </w:rPr>
        <w:t xml:space="preserve">种质资源普查信息登记表（菌种）</w:t>
      </w:r>
      <w:r/>
    </w:p>
    <w:tbl>
      <w:tblPr>
        <w:tblStyle w:val="1146"/>
        <w:tblW w:w="10671" w:type="dxa"/>
        <w:tblInd w:w="-75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8"/>
        <w:gridCol w:w="874"/>
        <w:gridCol w:w="838"/>
        <w:gridCol w:w="569"/>
        <w:gridCol w:w="919"/>
        <w:gridCol w:w="772"/>
        <w:gridCol w:w="953"/>
        <w:gridCol w:w="981"/>
        <w:gridCol w:w="998"/>
        <w:gridCol w:w="898"/>
        <w:gridCol w:w="1015"/>
        <w:gridCol w:w="1076"/>
      </w:tblGrid>
      <w:tr>
        <w:trPr>
          <w:trHeight w:val="507"/>
        </w:trPr>
        <w:tc>
          <w:tcPr>
            <w:tcW w:w="778"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菌</w:t>
            </w:r>
            <w:r>
              <w:rPr>
                <w:rFonts w:hint="eastAsia" w:ascii="仿宋" w:hAnsi="仿宋" w:eastAsia="仿宋" w:cs="仿宋"/>
                <w:color w:val="auto"/>
                <w:sz w:val="28"/>
                <w:szCs w:val="28"/>
              </w:rPr>
              <w:t xml:space="preserve">种</w:t>
            </w:r>
            <w:r/>
          </w:p>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编号</w:t>
            </w:r>
            <w:r/>
          </w:p>
        </w:tc>
        <w:tc>
          <w:tcPr>
            <w:tcW w:w="87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分离标本号</w:t>
            </w:r>
            <w:r/>
          </w:p>
        </w:tc>
        <w:tc>
          <w:tcPr>
            <w:tcW w:w="838" w:type="dxa"/>
            <w:vAlign w:val="top"/>
            <w:textDirection w:val="lrTb"/>
            <w:noWrap w:val="false"/>
          </w:tcPr>
          <w:p>
            <w:pP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拉丁学名</w:t>
            </w:r>
            <w:r/>
          </w:p>
        </w:tc>
        <w:tc>
          <w:tcPr>
            <w:tcW w:w="569"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属名</w:t>
            </w:r>
            <w:r/>
          </w:p>
        </w:tc>
        <w:tc>
          <w:tcPr>
            <w:tcW w:w="919"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种加词</w:t>
            </w:r>
            <w:r/>
          </w:p>
        </w:tc>
        <w:tc>
          <w:tcPr>
            <w:tcW w:w="772"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分离人</w:t>
            </w:r>
            <w:r/>
          </w:p>
        </w:tc>
        <w:tc>
          <w:tcPr>
            <w:tcW w:w="953"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分离时间</w:t>
            </w:r>
            <w:r/>
          </w:p>
        </w:tc>
        <w:tc>
          <w:tcPr>
            <w:tcW w:w="98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培养基</w:t>
            </w:r>
            <w:r/>
          </w:p>
        </w:tc>
        <w:tc>
          <w:tcPr>
            <w:tcW w:w="998"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菌种保存情况</w:t>
            </w:r>
            <w:r/>
          </w:p>
        </w:tc>
        <w:tc>
          <w:tcPr>
            <w:tcW w:w="898"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鉴定保种人</w:t>
            </w:r>
            <w:r/>
          </w:p>
        </w:tc>
        <w:tc>
          <w:tcPr>
            <w:tcW w:w="101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保种日期</w:t>
            </w:r>
            <w:r/>
          </w:p>
        </w:tc>
        <w:tc>
          <w:tcPr>
            <w:tcW w:w="1076"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备注</w:t>
            </w:r>
            <w:r/>
          </w:p>
        </w:tc>
      </w:tr>
      <w:tr>
        <w:trPr>
          <w:trHeight w:val="562"/>
        </w:trPr>
        <w:tc>
          <w:tcPr>
            <w:tcW w:w="778" w:type="dxa"/>
            <w:vAlign w:val="top"/>
            <w:textDirection w:val="lrTb"/>
            <w:noWrap w:val="false"/>
          </w:tcPr>
          <w:p>
            <w:pPr>
              <w:pStyle w:val="1147"/>
              <w:rPr>
                <w:color w:val="auto"/>
              </w:rPr>
            </w:pPr>
            <w:r>
              <w:rPr>
                <w:color w:val="auto"/>
              </w:rPr>
            </w:r>
            <w:r/>
          </w:p>
        </w:tc>
        <w:tc>
          <w:tcPr>
            <w:tcW w:w="874" w:type="dxa"/>
            <w:vAlign w:val="top"/>
            <w:textDirection w:val="lrTb"/>
            <w:noWrap w:val="false"/>
          </w:tcPr>
          <w:p>
            <w:pPr>
              <w:pStyle w:val="1147"/>
              <w:rPr>
                <w:color w:val="auto"/>
              </w:rPr>
            </w:pPr>
            <w:r>
              <w:rPr>
                <w:color w:val="auto"/>
              </w:rPr>
            </w:r>
            <w:r/>
          </w:p>
        </w:tc>
        <w:tc>
          <w:tcPr>
            <w:tcW w:w="838" w:type="dxa"/>
            <w:vAlign w:val="top"/>
            <w:textDirection w:val="lrTb"/>
            <w:noWrap w:val="false"/>
          </w:tcPr>
          <w:p>
            <w:pPr>
              <w:pStyle w:val="1147"/>
              <w:rPr>
                <w:color w:val="auto"/>
              </w:rPr>
            </w:pPr>
            <w:r>
              <w:rPr>
                <w:color w:val="auto"/>
              </w:rPr>
            </w:r>
            <w:r/>
          </w:p>
        </w:tc>
        <w:tc>
          <w:tcPr>
            <w:tcW w:w="569" w:type="dxa"/>
            <w:vAlign w:val="top"/>
            <w:textDirection w:val="lrTb"/>
            <w:noWrap w:val="false"/>
          </w:tcPr>
          <w:p>
            <w:pPr>
              <w:pStyle w:val="1147"/>
              <w:rPr>
                <w:color w:val="auto"/>
              </w:rPr>
            </w:pPr>
            <w:r>
              <w:rPr>
                <w:color w:val="auto"/>
              </w:rPr>
            </w:r>
            <w:r/>
          </w:p>
        </w:tc>
        <w:tc>
          <w:tcPr>
            <w:tcW w:w="919" w:type="dxa"/>
            <w:vAlign w:val="top"/>
            <w:textDirection w:val="lrTb"/>
            <w:noWrap w:val="false"/>
          </w:tcPr>
          <w:p>
            <w:pPr>
              <w:pStyle w:val="1147"/>
              <w:rPr>
                <w:color w:val="auto"/>
              </w:rPr>
            </w:pPr>
            <w:r>
              <w:rPr>
                <w:color w:val="auto"/>
              </w:rPr>
            </w:r>
            <w:r/>
          </w:p>
        </w:tc>
        <w:tc>
          <w:tcPr>
            <w:tcW w:w="772" w:type="dxa"/>
            <w:vAlign w:val="top"/>
            <w:textDirection w:val="lrTb"/>
            <w:noWrap w:val="false"/>
          </w:tcPr>
          <w:p>
            <w:pPr>
              <w:pStyle w:val="1147"/>
              <w:rPr>
                <w:color w:val="auto"/>
              </w:rPr>
            </w:pPr>
            <w:r>
              <w:rPr>
                <w:color w:val="auto"/>
              </w:rPr>
            </w:r>
            <w:r/>
          </w:p>
        </w:tc>
        <w:tc>
          <w:tcPr>
            <w:tcW w:w="953" w:type="dxa"/>
            <w:vAlign w:val="top"/>
            <w:textDirection w:val="lrTb"/>
            <w:noWrap w:val="false"/>
          </w:tcPr>
          <w:p>
            <w:pPr>
              <w:pStyle w:val="1147"/>
              <w:rPr>
                <w:color w:val="auto"/>
              </w:rPr>
            </w:pPr>
            <w:r>
              <w:rPr>
                <w:color w:val="auto"/>
              </w:rPr>
            </w:r>
            <w:r/>
          </w:p>
        </w:tc>
        <w:tc>
          <w:tcPr>
            <w:tcW w:w="981" w:type="dxa"/>
            <w:vAlign w:val="top"/>
            <w:textDirection w:val="lrTb"/>
            <w:noWrap w:val="false"/>
          </w:tcPr>
          <w:p>
            <w:pPr>
              <w:pStyle w:val="1147"/>
              <w:rPr>
                <w:color w:val="auto"/>
              </w:rPr>
            </w:pPr>
            <w:r>
              <w:rPr>
                <w:color w:val="auto"/>
              </w:rPr>
            </w:r>
            <w:r/>
          </w:p>
        </w:tc>
        <w:tc>
          <w:tcPr>
            <w:tcW w:w="998" w:type="dxa"/>
            <w:vAlign w:val="top"/>
            <w:textDirection w:val="lrTb"/>
            <w:noWrap w:val="false"/>
          </w:tcPr>
          <w:p>
            <w:pPr>
              <w:pStyle w:val="1147"/>
              <w:rPr>
                <w:color w:val="auto"/>
              </w:rPr>
            </w:pPr>
            <w:r>
              <w:rPr>
                <w:color w:val="auto"/>
              </w:rPr>
            </w:r>
            <w:r/>
          </w:p>
        </w:tc>
        <w:tc>
          <w:tcPr>
            <w:tcW w:w="898" w:type="dxa"/>
            <w:vAlign w:val="top"/>
            <w:textDirection w:val="lrTb"/>
            <w:noWrap w:val="false"/>
          </w:tcPr>
          <w:p>
            <w:pPr>
              <w:pStyle w:val="1147"/>
              <w:rPr>
                <w:color w:val="auto"/>
              </w:rPr>
            </w:pPr>
            <w:r>
              <w:rPr>
                <w:color w:val="auto"/>
              </w:rPr>
            </w:r>
            <w:r/>
          </w:p>
        </w:tc>
        <w:tc>
          <w:tcPr>
            <w:tcW w:w="1015" w:type="dxa"/>
            <w:vAlign w:val="top"/>
            <w:textDirection w:val="lrTb"/>
            <w:noWrap w:val="false"/>
          </w:tcPr>
          <w:p>
            <w:pPr>
              <w:pStyle w:val="1147"/>
              <w:rPr>
                <w:color w:val="auto"/>
              </w:rPr>
            </w:pPr>
            <w:r>
              <w:rPr>
                <w:color w:val="auto"/>
              </w:rPr>
            </w:r>
            <w:r/>
          </w:p>
        </w:tc>
        <w:tc>
          <w:tcPr>
            <w:tcW w:w="1076" w:type="dxa"/>
            <w:vAlign w:val="top"/>
            <w:textDirection w:val="lrTb"/>
            <w:noWrap w:val="false"/>
          </w:tcPr>
          <w:p>
            <w:pPr>
              <w:pStyle w:val="1147"/>
              <w:rPr>
                <w:color w:val="auto"/>
              </w:rPr>
            </w:pPr>
            <w:r>
              <w:rPr>
                <w:color w:val="auto"/>
              </w:rPr>
            </w:r>
            <w:r/>
          </w:p>
        </w:tc>
      </w:tr>
      <w:tr>
        <w:trPr>
          <w:trHeight w:val="565"/>
        </w:trPr>
        <w:tc>
          <w:tcPr>
            <w:tcW w:w="778" w:type="dxa"/>
            <w:vAlign w:val="top"/>
            <w:textDirection w:val="lrTb"/>
            <w:noWrap w:val="false"/>
          </w:tcPr>
          <w:p>
            <w:pPr>
              <w:pStyle w:val="1147"/>
              <w:rPr>
                <w:color w:val="auto"/>
              </w:rPr>
            </w:pPr>
            <w:r>
              <w:rPr>
                <w:color w:val="auto"/>
              </w:rPr>
            </w:r>
            <w:r/>
          </w:p>
        </w:tc>
        <w:tc>
          <w:tcPr>
            <w:tcW w:w="874" w:type="dxa"/>
            <w:vAlign w:val="top"/>
            <w:textDirection w:val="lrTb"/>
            <w:noWrap w:val="false"/>
          </w:tcPr>
          <w:p>
            <w:pPr>
              <w:pStyle w:val="1147"/>
              <w:rPr>
                <w:color w:val="auto"/>
              </w:rPr>
            </w:pPr>
            <w:r>
              <w:rPr>
                <w:color w:val="auto"/>
              </w:rPr>
            </w:r>
            <w:r/>
          </w:p>
        </w:tc>
        <w:tc>
          <w:tcPr>
            <w:tcW w:w="838" w:type="dxa"/>
            <w:vAlign w:val="top"/>
            <w:textDirection w:val="lrTb"/>
            <w:noWrap w:val="false"/>
          </w:tcPr>
          <w:p>
            <w:pPr>
              <w:pStyle w:val="1147"/>
              <w:rPr>
                <w:color w:val="auto"/>
              </w:rPr>
            </w:pPr>
            <w:r>
              <w:rPr>
                <w:color w:val="auto"/>
              </w:rPr>
            </w:r>
            <w:r/>
          </w:p>
        </w:tc>
        <w:tc>
          <w:tcPr>
            <w:tcW w:w="569" w:type="dxa"/>
            <w:vAlign w:val="top"/>
            <w:textDirection w:val="lrTb"/>
            <w:noWrap w:val="false"/>
          </w:tcPr>
          <w:p>
            <w:pPr>
              <w:pStyle w:val="1147"/>
              <w:rPr>
                <w:color w:val="auto"/>
              </w:rPr>
            </w:pPr>
            <w:r>
              <w:rPr>
                <w:color w:val="auto"/>
              </w:rPr>
            </w:r>
            <w:r/>
          </w:p>
        </w:tc>
        <w:tc>
          <w:tcPr>
            <w:tcW w:w="919" w:type="dxa"/>
            <w:vAlign w:val="top"/>
            <w:textDirection w:val="lrTb"/>
            <w:noWrap w:val="false"/>
          </w:tcPr>
          <w:p>
            <w:pPr>
              <w:pStyle w:val="1147"/>
              <w:rPr>
                <w:color w:val="auto"/>
              </w:rPr>
            </w:pPr>
            <w:r>
              <w:rPr>
                <w:color w:val="auto"/>
              </w:rPr>
            </w:r>
            <w:r/>
          </w:p>
        </w:tc>
        <w:tc>
          <w:tcPr>
            <w:tcW w:w="772" w:type="dxa"/>
            <w:vAlign w:val="top"/>
            <w:textDirection w:val="lrTb"/>
            <w:noWrap w:val="false"/>
          </w:tcPr>
          <w:p>
            <w:pPr>
              <w:pStyle w:val="1147"/>
              <w:rPr>
                <w:color w:val="auto"/>
              </w:rPr>
            </w:pPr>
            <w:r>
              <w:rPr>
                <w:color w:val="auto"/>
              </w:rPr>
            </w:r>
            <w:r/>
          </w:p>
        </w:tc>
        <w:tc>
          <w:tcPr>
            <w:tcW w:w="953" w:type="dxa"/>
            <w:vAlign w:val="top"/>
            <w:textDirection w:val="lrTb"/>
            <w:noWrap w:val="false"/>
          </w:tcPr>
          <w:p>
            <w:pPr>
              <w:pStyle w:val="1147"/>
              <w:rPr>
                <w:color w:val="auto"/>
              </w:rPr>
            </w:pPr>
            <w:r>
              <w:rPr>
                <w:color w:val="auto"/>
              </w:rPr>
            </w:r>
            <w:r/>
          </w:p>
        </w:tc>
        <w:tc>
          <w:tcPr>
            <w:tcW w:w="981" w:type="dxa"/>
            <w:vAlign w:val="top"/>
            <w:textDirection w:val="lrTb"/>
            <w:noWrap w:val="false"/>
          </w:tcPr>
          <w:p>
            <w:pPr>
              <w:pStyle w:val="1147"/>
              <w:rPr>
                <w:color w:val="auto"/>
              </w:rPr>
            </w:pPr>
            <w:r>
              <w:rPr>
                <w:color w:val="auto"/>
              </w:rPr>
            </w:r>
            <w:r/>
          </w:p>
        </w:tc>
        <w:tc>
          <w:tcPr>
            <w:tcW w:w="998" w:type="dxa"/>
            <w:vAlign w:val="top"/>
            <w:textDirection w:val="lrTb"/>
            <w:noWrap w:val="false"/>
          </w:tcPr>
          <w:p>
            <w:pPr>
              <w:pStyle w:val="1147"/>
              <w:rPr>
                <w:color w:val="auto"/>
              </w:rPr>
            </w:pPr>
            <w:r>
              <w:rPr>
                <w:color w:val="auto"/>
              </w:rPr>
            </w:r>
            <w:r/>
          </w:p>
        </w:tc>
        <w:tc>
          <w:tcPr>
            <w:tcW w:w="898" w:type="dxa"/>
            <w:vAlign w:val="top"/>
            <w:textDirection w:val="lrTb"/>
            <w:noWrap w:val="false"/>
          </w:tcPr>
          <w:p>
            <w:pPr>
              <w:pStyle w:val="1147"/>
              <w:rPr>
                <w:color w:val="auto"/>
              </w:rPr>
            </w:pPr>
            <w:r>
              <w:rPr>
                <w:color w:val="auto"/>
              </w:rPr>
            </w:r>
            <w:r/>
          </w:p>
        </w:tc>
        <w:tc>
          <w:tcPr>
            <w:tcW w:w="1015" w:type="dxa"/>
            <w:vAlign w:val="top"/>
            <w:textDirection w:val="lrTb"/>
            <w:noWrap w:val="false"/>
          </w:tcPr>
          <w:p>
            <w:pPr>
              <w:pStyle w:val="1147"/>
              <w:rPr>
                <w:color w:val="auto"/>
              </w:rPr>
            </w:pPr>
            <w:r>
              <w:rPr>
                <w:color w:val="auto"/>
              </w:rPr>
            </w:r>
            <w:r/>
          </w:p>
        </w:tc>
        <w:tc>
          <w:tcPr>
            <w:tcW w:w="1076" w:type="dxa"/>
            <w:vAlign w:val="top"/>
            <w:textDirection w:val="lrTb"/>
            <w:noWrap w:val="false"/>
          </w:tcPr>
          <w:p>
            <w:pPr>
              <w:pStyle w:val="1147"/>
              <w:rPr>
                <w:color w:val="auto"/>
              </w:rPr>
            </w:pPr>
            <w:r>
              <w:rPr>
                <w:color w:val="auto"/>
              </w:rPr>
            </w:r>
            <w:r/>
          </w:p>
        </w:tc>
      </w:tr>
      <w:tr>
        <w:trPr>
          <w:trHeight w:val="562"/>
        </w:trPr>
        <w:tc>
          <w:tcPr>
            <w:tcW w:w="778" w:type="dxa"/>
            <w:vAlign w:val="top"/>
            <w:textDirection w:val="lrTb"/>
            <w:noWrap w:val="false"/>
          </w:tcPr>
          <w:p>
            <w:pPr>
              <w:pStyle w:val="1147"/>
              <w:rPr>
                <w:color w:val="auto"/>
              </w:rPr>
            </w:pPr>
            <w:r>
              <w:rPr>
                <w:color w:val="auto"/>
              </w:rPr>
            </w:r>
            <w:r/>
          </w:p>
        </w:tc>
        <w:tc>
          <w:tcPr>
            <w:tcW w:w="874" w:type="dxa"/>
            <w:vAlign w:val="top"/>
            <w:textDirection w:val="lrTb"/>
            <w:noWrap w:val="false"/>
          </w:tcPr>
          <w:p>
            <w:pPr>
              <w:pStyle w:val="1147"/>
              <w:rPr>
                <w:color w:val="auto"/>
              </w:rPr>
            </w:pPr>
            <w:r>
              <w:rPr>
                <w:color w:val="auto"/>
              </w:rPr>
            </w:r>
            <w:r/>
          </w:p>
        </w:tc>
        <w:tc>
          <w:tcPr>
            <w:tcW w:w="838" w:type="dxa"/>
            <w:vAlign w:val="top"/>
            <w:textDirection w:val="lrTb"/>
            <w:noWrap w:val="false"/>
          </w:tcPr>
          <w:p>
            <w:pPr>
              <w:pStyle w:val="1147"/>
              <w:rPr>
                <w:color w:val="auto"/>
              </w:rPr>
            </w:pPr>
            <w:r>
              <w:rPr>
                <w:color w:val="auto"/>
              </w:rPr>
            </w:r>
            <w:r/>
          </w:p>
        </w:tc>
        <w:tc>
          <w:tcPr>
            <w:tcW w:w="569" w:type="dxa"/>
            <w:vAlign w:val="top"/>
            <w:textDirection w:val="lrTb"/>
            <w:noWrap w:val="false"/>
          </w:tcPr>
          <w:p>
            <w:pPr>
              <w:pStyle w:val="1147"/>
              <w:rPr>
                <w:color w:val="auto"/>
              </w:rPr>
            </w:pPr>
            <w:r>
              <w:rPr>
                <w:color w:val="auto"/>
              </w:rPr>
            </w:r>
            <w:r/>
          </w:p>
        </w:tc>
        <w:tc>
          <w:tcPr>
            <w:tcW w:w="919" w:type="dxa"/>
            <w:vAlign w:val="top"/>
            <w:textDirection w:val="lrTb"/>
            <w:noWrap w:val="false"/>
          </w:tcPr>
          <w:p>
            <w:pPr>
              <w:pStyle w:val="1147"/>
              <w:rPr>
                <w:color w:val="auto"/>
              </w:rPr>
            </w:pPr>
            <w:r>
              <w:rPr>
                <w:color w:val="auto"/>
              </w:rPr>
            </w:r>
            <w:r/>
          </w:p>
        </w:tc>
        <w:tc>
          <w:tcPr>
            <w:tcW w:w="772" w:type="dxa"/>
            <w:vAlign w:val="top"/>
            <w:textDirection w:val="lrTb"/>
            <w:noWrap w:val="false"/>
          </w:tcPr>
          <w:p>
            <w:pPr>
              <w:pStyle w:val="1147"/>
              <w:rPr>
                <w:color w:val="auto"/>
              </w:rPr>
            </w:pPr>
            <w:r>
              <w:rPr>
                <w:color w:val="auto"/>
              </w:rPr>
            </w:r>
            <w:r/>
          </w:p>
        </w:tc>
        <w:tc>
          <w:tcPr>
            <w:tcW w:w="953" w:type="dxa"/>
            <w:vAlign w:val="top"/>
            <w:textDirection w:val="lrTb"/>
            <w:noWrap w:val="false"/>
          </w:tcPr>
          <w:p>
            <w:pPr>
              <w:pStyle w:val="1147"/>
              <w:rPr>
                <w:color w:val="auto"/>
              </w:rPr>
            </w:pPr>
            <w:r>
              <w:rPr>
                <w:color w:val="auto"/>
              </w:rPr>
            </w:r>
            <w:r/>
          </w:p>
        </w:tc>
        <w:tc>
          <w:tcPr>
            <w:tcW w:w="981" w:type="dxa"/>
            <w:vAlign w:val="top"/>
            <w:textDirection w:val="lrTb"/>
            <w:noWrap w:val="false"/>
          </w:tcPr>
          <w:p>
            <w:pPr>
              <w:pStyle w:val="1147"/>
              <w:rPr>
                <w:color w:val="auto"/>
              </w:rPr>
            </w:pPr>
            <w:r>
              <w:rPr>
                <w:color w:val="auto"/>
              </w:rPr>
            </w:r>
            <w:r/>
          </w:p>
        </w:tc>
        <w:tc>
          <w:tcPr>
            <w:tcW w:w="998" w:type="dxa"/>
            <w:vAlign w:val="top"/>
            <w:textDirection w:val="lrTb"/>
            <w:noWrap w:val="false"/>
          </w:tcPr>
          <w:p>
            <w:pPr>
              <w:pStyle w:val="1147"/>
              <w:rPr>
                <w:color w:val="auto"/>
              </w:rPr>
            </w:pPr>
            <w:r>
              <w:rPr>
                <w:color w:val="auto"/>
              </w:rPr>
            </w:r>
            <w:r/>
          </w:p>
        </w:tc>
        <w:tc>
          <w:tcPr>
            <w:tcW w:w="898" w:type="dxa"/>
            <w:vAlign w:val="top"/>
            <w:textDirection w:val="lrTb"/>
            <w:noWrap w:val="false"/>
          </w:tcPr>
          <w:p>
            <w:pPr>
              <w:pStyle w:val="1147"/>
              <w:rPr>
                <w:color w:val="auto"/>
              </w:rPr>
            </w:pPr>
            <w:r>
              <w:rPr>
                <w:color w:val="auto"/>
              </w:rPr>
            </w:r>
            <w:r/>
          </w:p>
        </w:tc>
        <w:tc>
          <w:tcPr>
            <w:tcW w:w="1015" w:type="dxa"/>
            <w:vAlign w:val="top"/>
            <w:textDirection w:val="lrTb"/>
            <w:noWrap w:val="false"/>
          </w:tcPr>
          <w:p>
            <w:pPr>
              <w:pStyle w:val="1147"/>
              <w:rPr>
                <w:color w:val="auto"/>
              </w:rPr>
            </w:pPr>
            <w:r>
              <w:rPr>
                <w:color w:val="auto"/>
              </w:rPr>
            </w:r>
            <w:r/>
          </w:p>
        </w:tc>
        <w:tc>
          <w:tcPr>
            <w:tcW w:w="1076" w:type="dxa"/>
            <w:vAlign w:val="top"/>
            <w:textDirection w:val="lrTb"/>
            <w:noWrap w:val="false"/>
          </w:tcPr>
          <w:p>
            <w:pPr>
              <w:pStyle w:val="1147"/>
              <w:rPr>
                <w:color w:val="auto"/>
              </w:rPr>
            </w:pPr>
            <w:r>
              <w:rPr>
                <w:color w:val="auto"/>
              </w:rPr>
            </w:r>
            <w:r/>
          </w:p>
        </w:tc>
      </w:tr>
      <w:tr>
        <w:trPr>
          <w:trHeight w:val="565"/>
        </w:trPr>
        <w:tc>
          <w:tcPr>
            <w:tcW w:w="778" w:type="dxa"/>
            <w:vAlign w:val="top"/>
            <w:textDirection w:val="lrTb"/>
            <w:noWrap w:val="false"/>
          </w:tcPr>
          <w:p>
            <w:pPr>
              <w:pStyle w:val="1147"/>
              <w:rPr>
                <w:color w:val="auto"/>
              </w:rPr>
            </w:pPr>
            <w:r>
              <w:rPr>
                <w:color w:val="auto"/>
              </w:rPr>
            </w:r>
            <w:r/>
          </w:p>
        </w:tc>
        <w:tc>
          <w:tcPr>
            <w:tcW w:w="874" w:type="dxa"/>
            <w:vAlign w:val="top"/>
            <w:textDirection w:val="lrTb"/>
            <w:noWrap w:val="false"/>
          </w:tcPr>
          <w:p>
            <w:pPr>
              <w:pStyle w:val="1147"/>
              <w:rPr>
                <w:color w:val="auto"/>
              </w:rPr>
            </w:pPr>
            <w:r>
              <w:rPr>
                <w:color w:val="auto"/>
              </w:rPr>
            </w:r>
            <w:r/>
          </w:p>
        </w:tc>
        <w:tc>
          <w:tcPr>
            <w:tcW w:w="838" w:type="dxa"/>
            <w:vAlign w:val="top"/>
            <w:textDirection w:val="lrTb"/>
            <w:noWrap w:val="false"/>
          </w:tcPr>
          <w:p>
            <w:pPr>
              <w:pStyle w:val="1147"/>
              <w:rPr>
                <w:color w:val="auto"/>
              </w:rPr>
            </w:pPr>
            <w:r>
              <w:rPr>
                <w:color w:val="auto"/>
              </w:rPr>
            </w:r>
            <w:r/>
          </w:p>
        </w:tc>
        <w:tc>
          <w:tcPr>
            <w:tcW w:w="569" w:type="dxa"/>
            <w:vAlign w:val="top"/>
            <w:textDirection w:val="lrTb"/>
            <w:noWrap w:val="false"/>
          </w:tcPr>
          <w:p>
            <w:pPr>
              <w:pStyle w:val="1147"/>
              <w:rPr>
                <w:color w:val="auto"/>
              </w:rPr>
            </w:pPr>
            <w:r>
              <w:rPr>
                <w:color w:val="auto"/>
              </w:rPr>
            </w:r>
            <w:r/>
          </w:p>
        </w:tc>
        <w:tc>
          <w:tcPr>
            <w:tcW w:w="919" w:type="dxa"/>
            <w:vAlign w:val="top"/>
            <w:textDirection w:val="lrTb"/>
            <w:noWrap w:val="false"/>
          </w:tcPr>
          <w:p>
            <w:pPr>
              <w:pStyle w:val="1147"/>
              <w:rPr>
                <w:color w:val="auto"/>
              </w:rPr>
            </w:pPr>
            <w:r>
              <w:rPr>
                <w:color w:val="auto"/>
              </w:rPr>
            </w:r>
            <w:r/>
          </w:p>
        </w:tc>
        <w:tc>
          <w:tcPr>
            <w:tcW w:w="772" w:type="dxa"/>
            <w:vAlign w:val="top"/>
            <w:textDirection w:val="lrTb"/>
            <w:noWrap w:val="false"/>
          </w:tcPr>
          <w:p>
            <w:pPr>
              <w:pStyle w:val="1147"/>
              <w:rPr>
                <w:color w:val="auto"/>
              </w:rPr>
            </w:pPr>
            <w:r>
              <w:rPr>
                <w:color w:val="auto"/>
              </w:rPr>
            </w:r>
            <w:r/>
          </w:p>
        </w:tc>
        <w:tc>
          <w:tcPr>
            <w:tcW w:w="953" w:type="dxa"/>
            <w:vAlign w:val="top"/>
            <w:textDirection w:val="lrTb"/>
            <w:noWrap w:val="false"/>
          </w:tcPr>
          <w:p>
            <w:pPr>
              <w:pStyle w:val="1147"/>
              <w:rPr>
                <w:color w:val="auto"/>
              </w:rPr>
            </w:pPr>
            <w:r>
              <w:rPr>
                <w:color w:val="auto"/>
              </w:rPr>
            </w:r>
            <w:r/>
          </w:p>
        </w:tc>
        <w:tc>
          <w:tcPr>
            <w:tcW w:w="981" w:type="dxa"/>
            <w:vAlign w:val="top"/>
            <w:textDirection w:val="lrTb"/>
            <w:noWrap w:val="false"/>
          </w:tcPr>
          <w:p>
            <w:pPr>
              <w:pStyle w:val="1147"/>
              <w:rPr>
                <w:color w:val="auto"/>
              </w:rPr>
            </w:pPr>
            <w:r>
              <w:rPr>
                <w:color w:val="auto"/>
              </w:rPr>
            </w:r>
            <w:r/>
          </w:p>
        </w:tc>
        <w:tc>
          <w:tcPr>
            <w:tcW w:w="998" w:type="dxa"/>
            <w:vAlign w:val="top"/>
            <w:textDirection w:val="lrTb"/>
            <w:noWrap w:val="false"/>
          </w:tcPr>
          <w:p>
            <w:pPr>
              <w:pStyle w:val="1147"/>
              <w:rPr>
                <w:color w:val="auto"/>
              </w:rPr>
            </w:pPr>
            <w:r>
              <w:rPr>
                <w:color w:val="auto"/>
              </w:rPr>
            </w:r>
            <w:r/>
          </w:p>
        </w:tc>
        <w:tc>
          <w:tcPr>
            <w:tcW w:w="898" w:type="dxa"/>
            <w:vAlign w:val="top"/>
            <w:textDirection w:val="lrTb"/>
            <w:noWrap w:val="false"/>
          </w:tcPr>
          <w:p>
            <w:pPr>
              <w:pStyle w:val="1147"/>
              <w:rPr>
                <w:color w:val="auto"/>
              </w:rPr>
            </w:pPr>
            <w:r>
              <w:rPr>
                <w:color w:val="auto"/>
              </w:rPr>
            </w:r>
            <w:r/>
          </w:p>
        </w:tc>
        <w:tc>
          <w:tcPr>
            <w:tcW w:w="1015" w:type="dxa"/>
            <w:vAlign w:val="top"/>
            <w:textDirection w:val="lrTb"/>
            <w:noWrap w:val="false"/>
          </w:tcPr>
          <w:p>
            <w:pPr>
              <w:pStyle w:val="1147"/>
              <w:rPr>
                <w:color w:val="auto"/>
              </w:rPr>
            </w:pPr>
            <w:r>
              <w:rPr>
                <w:color w:val="auto"/>
              </w:rPr>
            </w:r>
            <w:r/>
          </w:p>
        </w:tc>
        <w:tc>
          <w:tcPr>
            <w:tcW w:w="1076" w:type="dxa"/>
            <w:vAlign w:val="top"/>
            <w:textDirection w:val="lrTb"/>
            <w:noWrap w:val="false"/>
          </w:tcPr>
          <w:p>
            <w:pPr>
              <w:pStyle w:val="1147"/>
              <w:rPr>
                <w:color w:val="auto"/>
              </w:rPr>
            </w:pPr>
            <w:r>
              <w:rPr>
                <w:color w:val="auto"/>
              </w:rPr>
            </w:r>
            <w:r/>
          </w:p>
        </w:tc>
      </w:tr>
      <w:tr>
        <w:trPr>
          <w:trHeight w:val="562"/>
        </w:trPr>
        <w:tc>
          <w:tcPr>
            <w:tcW w:w="778" w:type="dxa"/>
            <w:vAlign w:val="top"/>
            <w:textDirection w:val="lrTb"/>
            <w:noWrap w:val="false"/>
          </w:tcPr>
          <w:p>
            <w:pPr>
              <w:pStyle w:val="1147"/>
              <w:rPr>
                <w:color w:val="auto"/>
              </w:rPr>
            </w:pPr>
            <w:r>
              <w:rPr>
                <w:color w:val="auto"/>
              </w:rPr>
            </w:r>
            <w:r/>
          </w:p>
        </w:tc>
        <w:tc>
          <w:tcPr>
            <w:tcW w:w="874" w:type="dxa"/>
            <w:vAlign w:val="top"/>
            <w:textDirection w:val="lrTb"/>
            <w:noWrap w:val="false"/>
          </w:tcPr>
          <w:p>
            <w:pPr>
              <w:pStyle w:val="1147"/>
              <w:rPr>
                <w:color w:val="auto"/>
              </w:rPr>
            </w:pPr>
            <w:r>
              <w:rPr>
                <w:color w:val="auto"/>
              </w:rPr>
            </w:r>
            <w:r/>
          </w:p>
        </w:tc>
        <w:tc>
          <w:tcPr>
            <w:tcW w:w="838" w:type="dxa"/>
            <w:vAlign w:val="top"/>
            <w:textDirection w:val="lrTb"/>
            <w:noWrap w:val="false"/>
          </w:tcPr>
          <w:p>
            <w:pPr>
              <w:pStyle w:val="1147"/>
              <w:rPr>
                <w:color w:val="auto"/>
              </w:rPr>
            </w:pPr>
            <w:r>
              <w:rPr>
                <w:color w:val="auto"/>
              </w:rPr>
            </w:r>
            <w:r/>
          </w:p>
        </w:tc>
        <w:tc>
          <w:tcPr>
            <w:tcW w:w="569" w:type="dxa"/>
            <w:vAlign w:val="top"/>
            <w:textDirection w:val="lrTb"/>
            <w:noWrap w:val="false"/>
          </w:tcPr>
          <w:p>
            <w:pPr>
              <w:pStyle w:val="1147"/>
              <w:rPr>
                <w:color w:val="auto"/>
              </w:rPr>
            </w:pPr>
            <w:r>
              <w:rPr>
                <w:color w:val="auto"/>
              </w:rPr>
            </w:r>
            <w:r/>
          </w:p>
        </w:tc>
        <w:tc>
          <w:tcPr>
            <w:tcW w:w="919" w:type="dxa"/>
            <w:vAlign w:val="top"/>
            <w:textDirection w:val="lrTb"/>
            <w:noWrap w:val="false"/>
          </w:tcPr>
          <w:p>
            <w:pPr>
              <w:pStyle w:val="1147"/>
              <w:rPr>
                <w:color w:val="auto"/>
              </w:rPr>
            </w:pPr>
            <w:r>
              <w:rPr>
                <w:color w:val="auto"/>
              </w:rPr>
            </w:r>
            <w:r/>
          </w:p>
        </w:tc>
        <w:tc>
          <w:tcPr>
            <w:tcW w:w="772" w:type="dxa"/>
            <w:vAlign w:val="top"/>
            <w:textDirection w:val="lrTb"/>
            <w:noWrap w:val="false"/>
          </w:tcPr>
          <w:p>
            <w:pPr>
              <w:pStyle w:val="1147"/>
              <w:rPr>
                <w:color w:val="auto"/>
              </w:rPr>
            </w:pPr>
            <w:r>
              <w:rPr>
                <w:color w:val="auto"/>
              </w:rPr>
            </w:r>
            <w:r/>
          </w:p>
        </w:tc>
        <w:tc>
          <w:tcPr>
            <w:tcW w:w="953" w:type="dxa"/>
            <w:vAlign w:val="top"/>
            <w:textDirection w:val="lrTb"/>
            <w:noWrap w:val="false"/>
          </w:tcPr>
          <w:p>
            <w:pPr>
              <w:pStyle w:val="1147"/>
              <w:rPr>
                <w:color w:val="auto"/>
              </w:rPr>
            </w:pPr>
            <w:r>
              <w:rPr>
                <w:color w:val="auto"/>
              </w:rPr>
            </w:r>
            <w:r/>
          </w:p>
        </w:tc>
        <w:tc>
          <w:tcPr>
            <w:tcW w:w="981" w:type="dxa"/>
            <w:vAlign w:val="top"/>
            <w:textDirection w:val="lrTb"/>
            <w:noWrap w:val="false"/>
          </w:tcPr>
          <w:p>
            <w:pPr>
              <w:pStyle w:val="1147"/>
              <w:rPr>
                <w:color w:val="auto"/>
              </w:rPr>
            </w:pPr>
            <w:r>
              <w:rPr>
                <w:color w:val="auto"/>
              </w:rPr>
            </w:r>
            <w:r/>
          </w:p>
        </w:tc>
        <w:tc>
          <w:tcPr>
            <w:tcW w:w="998" w:type="dxa"/>
            <w:vAlign w:val="top"/>
            <w:textDirection w:val="lrTb"/>
            <w:noWrap w:val="false"/>
          </w:tcPr>
          <w:p>
            <w:pPr>
              <w:pStyle w:val="1147"/>
              <w:rPr>
                <w:color w:val="auto"/>
              </w:rPr>
            </w:pPr>
            <w:r>
              <w:rPr>
                <w:color w:val="auto"/>
              </w:rPr>
            </w:r>
            <w:r/>
          </w:p>
        </w:tc>
        <w:tc>
          <w:tcPr>
            <w:tcW w:w="898" w:type="dxa"/>
            <w:vAlign w:val="top"/>
            <w:textDirection w:val="lrTb"/>
            <w:noWrap w:val="false"/>
          </w:tcPr>
          <w:p>
            <w:pPr>
              <w:pStyle w:val="1147"/>
              <w:rPr>
                <w:color w:val="auto"/>
              </w:rPr>
            </w:pPr>
            <w:r>
              <w:rPr>
                <w:color w:val="auto"/>
              </w:rPr>
            </w:r>
            <w:r/>
          </w:p>
        </w:tc>
        <w:tc>
          <w:tcPr>
            <w:tcW w:w="1015" w:type="dxa"/>
            <w:vAlign w:val="top"/>
            <w:textDirection w:val="lrTb"/>
            <w:noWrap w:val="false"/>
          </w:tcPr>
          <w:p>
            <w:pPr>
              <w:pStyle w:val="1147"/>
              <w:rPr>
                <w:color w:val="auto"/>
              </w:rPr>
            </w:pPr>
            <w:r>
              <w:rPr>
                <w:color w:val="auto"/>
              </w:rPr>
            </w:r>
            <w:r/>
          </w:p>
        </w:tc>
        <w:tc>
          <w:tcPr>
            <w:tcW w:w="1076" w:type="dxa"/>
            <w:vAlign w:val="top"/>
            <w:textDirection w:val="lrTb"/>
            <w:noWrap w:val="false"/>
          </w:tcPr>
          <w:p>
            <w:pPr>
              <w:pStyle w:val="1147"/>
              <w:rPr>
                <w:color w:val="auto"/>
              </w:rPr>
            </w:pPr>
            <w:r>
              <w:rPr>
                <w:color w:val="auto"/>
              </w:rPr>
            </w:r>
            <w:r/>
          </w:p>
        </w:tc>
      </w:tr>
      <w:tr>
        <w:trPr>
          <w:trHeight w:val="565"/>
        </w:trPr>
        <w:tc>
          <w:tcPr>
            <w:tcW w:w="778" w:type="dxa"/>
            <w:vAlign w:val="top"/>
            <w:textDirection w:val="lrTb"/>
            <w:noWrap w:val="false"/>
          </w:tcPr>
          <w:p>
            <w:pPr>
              <w:pStyle w:val="1147"/>
              <w:rPr>
                <w:color w:val="auto"/>
              </w:rPr>
            </w:pPr>
            <w:r>
              <w:rPr>
                <w:color w:val="auto"/>
              </w:rPr>
            </w:r>
            <w:r/>
          </w:p>
        </w:tc>
        <w:tc>
          <w:tcPr>
            <w:tcW w:w="874" w:type="dxa"/>
            <w:vAlign w:val="top"/>
            <w:textDirection w:val="lrTb"/>
            <w:noWrap w:val="false"/>
          </w:tcPr>
          <w:p>
            <w:pPr>
              <w:pStyle w:val="1147"/>
              <w:rPr>
                <w:color w:val="auto"/>
              </w:rPr>
            </w:pPr>
            <w:r>
              <w:rPr>
                <w:color w:val="auto"/>
              </w:rPr>
            </w:r>
            <w:r/>
          </w:p>
        </w:tc>
        <w:tc>
          <w:tcPr>
            <w:tcW w:w="838" w:type="dxa"/>
            <w:vAlign w:val="top"/>
            <w:textDirection w:val="lrTb"/>
            <w:noWrap w:val="false"/>
          </w:tcPr>
          <w:p>
            <w:pPr>
              <w:pStyle w:val="1147"/>
              <w:rPr>
                <w:color w:val="auto"/>
              </w:rPr>
            </w:pPr>
            <w:r>
              <w:rPr>
                <w:color w:val="auto"/>
              </w:rPr>
            </w:r>
            <w:r/>
          </w:p>
        </w:tc>
        <w:tc>
          <w:tcPr>
            <w:tcW w:w="569" w:type="dxa"/>
            <w:vAlign w:val="top"/>
            <w:textDirection w:val="lrTb"/>
            <w:noWrap w:val="false"/>
          </w:tcPr>
          <w:p>
            <w:pPr>
              <w:pStyle w:val="1147"/>
              <w:rPr>
                <w:color w:val="auto"/>
              </w:rPr>
            </w:pPr>
            <w:r>
              <w:rPr>
                <w:color w:val="auto"/>
              </w:rPr>
            </w:r>
            <w:r/>
          </w:p>
        </w:tc>
        <w:tc>
          <w:tcPr>
            <w:tcW w:w="919" w:type="dxa"/>
            <w:vAlign w:val="top"/>
            <w:textDirection w:val="lrTb"/>
            <w:noWrap w:val="false"/>
          </w:tcPr>
          <w:p>
            <w:pPr>
              <w:pStyle w:val="1147"/>
              <w:rPr>
                <w:color w:val="auto"/>
              </w:rPr>
            </w:pPr>
            <w:r>
              <w:rPr>
                <w:color w:val="auto"/>
              </w:rPr>
            </w:r>
            <w:r/>
          </w:p>
        </w:tc>
        <w:tc>
          <w:tcPr>
            <w:tcW w:w="772" w:type="dxa"/>
            <w:vAlign w:val="top"/>
            <w:textDirection w:val="lrTb"/>
            <w:noWrap w:val="false"/>
          </w:tcPr>
          <w:p>
            <w:pPr>
              <w:pStyle w:val="1147"/>
              <w:rPr>
                <w:color w:val="auto"/>
              </w:rPr>
            </w:pPr>
            <w:r>
              <w:rPr>
                <w:color w:val="auto"/>
              </w:rPr>
            </w:r>
            <w:r/>
          </w:p>
        </w:tc>
        <w:tc>
          <w:tcPr>
            <w:tcW w:w="953" w:type="dxa"/>
            <w:vAlign w:val="top"/>
            <w:textDirection w:val="lrTb"/>
            <w:noWrap w:val="false"/>
          </w:tcPr>
          <w:p>
            <w:pPr>
              <w:pStyle w:val="1147"/>
              <w:rPr>
                <w:color w:val="auto"/>
              </w:rPr>
            </w:pPr>
            <w:r>
              <w:rPr>
                <w:color w:val="auto"/>
              </w:rPr>
            </w:r>
            <w:r/>
          </w:p>
        </w:tc>
        <w:tc>
          <w:tcPr>
            <w:tcW w:w="981" w:type="dxa"/>
            <w:vAlign w:val="top"/>
            <w:textDirection w:val="lrTb"/>
            <w:noWrap w:val="false"/>
          </w:tcPr>
          <w:p>
            <w:pPr>
              <w:pStyle w:val="1147"/>
              <w:rPr>
                <w:color w:val="auto"/>
              </w:rPr>
            </w:pPr>
            <w:r>
              <w:rPr>
                <w:color w:val="auto"/>
              </w:rPr>
            </w:r>
            <w:r/>
          </w:p>
        </w:tc>
        <w:tc>
          <w:tcPr>
            <w:tcW w:w="998" w:type="dxa"/>
            <w:vAlign w:val="top"/>
            <w:textDirection w:val="lrTb"/>
            <w:noWrap w:val="false"/>
          </w:tcPr>
          <w:p>
            <w:pPr>
              <w:pStyle w:val="1147"/>
              <w:rPr>
                <w:color w:val="auto"/>
              </w:rPr>
            </w:pPr>
            <w:r>
              <w:rPr>
                <w:color w:val="auto"/>
              </w:rPr>
            </w:r>
            <w:r/>
          </w:p>
        </w:tc>
        <w:tc>
          <w:tcPr>
            <w:tcW w:w="898" w:type="dxa"/>
            <w:vAlign w:val="top"/>
            <w:textDirection w:val="lrTb"/>
            <w:noWrap w:val="false"/>
          </w:tcPr>
          <w:p>
            <w:pPr>
              <w:pStyle w:val="1147"/>
              <w:rPr>
                <w:color w:val="auto"/>
              </w:rPr>
            </w:pPr>
            <w:r>
              <w:rPr>
                <w:color w:val="auto"/>
              </w:rPr>
            </w:r>
            <w:r/>
          </w:p>
        </w:tc>
        <w:tc>
          <w:tcPr>
            <w:tcW w:w="1015" w:type="dxa"/>
            <w:vAlign w:val="top"/>
            <w:textDirection w:val="lrTb"/>
            <w:noWrap w:val="false"/>
          </w:tcPr>
          <w:p>
            <w:pPr>
              <w:pStyle w:val="1147"/>
              <w:rPr>
                <w:color w:val="auto"/>
              </w:rPr>
            </w:pPr>
            <w:r>
              <w:rPr>
                <w:color w:val="auto"/>
              </w:rPr>
            </w:r>
            <w:r/>
          </w:p>
        </w:tc>
        <w:tc>
          <w:tcPr>
            <w:tcW w:w="1076" w:type="dxa"/>
            <w:vAlign w:val="top"/>
            <w:textDirection w:val="lrTb"/>
            <w:noWrap w:val="false"/>
          </w:tcPr>
          <w:p>
            <w:pPr>
              <w:pStyle w:val="1147"/>
              <w:rPr>
                <w:color w:val="auto"/>
              </w:rPr>
            </w:pPr>
            <w:r>
              <w:rPr>
                <w:color w:val="auto"/>
              </w:rPr>
            </w:r>
            <w:r/>
          </w:p>
        </w:tc>
      </w:tr>
      <w:tr>
        <w:trPr>
          <w:trHeight w:val="563"/>
        </w:trPr>
        <w:tc>
          <w:tcPr>
            <w:tcW w:w="778" w:type="dxa"/>
            <w:vAlign w:val="top"/>
            <w:textDirection w:val="lrTb"/>
            <w:noWrap w:val="false"/>
          </w:tcPr>
          <w:p>
            <w:pPr>
              <w:pStyle w:val="1147"/>
              <w:rPr>
                <w:color w:val="auto"/>
              </w:rPr>
            </w:pPr>
            <w:r>
              <w:rPr>
                <w:color w:val="auto"/>
              </w:rPr>
            </w:r>
            <w:r/>
          </w:p>
        </w:tc>
        <w:tc>
          <w:tcPr>
            <w:tcW w:w="874" w:type="dxa"/>
            <w:vAlign w:val="top"/>
            <w:textDirection w:val="lrTb"/>
            <w:noWrap w:val="false"/>
          </w:tcPr>
          <w:p>
            <w:pPr>
              <w:pStyle w:val="1147"/>
              <w:rPr>
                <w:color w:val="auto"/>
              </w:rPr>
            </w:pPr>
            <w:r>
              <w:rPr>
                <w:color w:val="auto"/>
              </w:rPr>
            </w:r>
            <w:r/>
          </w:p>
        </w:tc>
        <w:tc>
          <w:tcPr>
            <w:tcW w:w="838" w:type="dxa"/>
            <w:vAlign w:val="top"/>
            <w:textDirection w:val="lrTb"/>
            <w:noWrap w:val="false"/>
          </w:tcPr>
          <w:p>
            <w:pPr>
              <w:pStyle w:val="1147"/>
              <w:rPr>
                <w:color w:val="auto"/>
              </w:rPr>
            </w:pPr>
            <w:r>
              <w:rPr>
                <w:color w:val="auto"/>
              </w:rPr>
            </w:r>
            <w:r/>
          </w:p>
        </w:tc>
        <w:tc>
          <w:tcPr>
            <w:tcW w:w="569" w:type="dxa"/>
            <w:vAlign w:val="top"/>
            <w:textDirection w:val="lrTb"/>
            <w:noWrap w:val="false"/>
          </w:tcPr>
          <w:p>
            <w:pPr>
              <w:pStyle w:val="1147"/>
              <w:rPr>
                <w:color w:val="auto"/>
              </w:rPr>
            </w:pPr>
            <w:r>
              <w:rPr>
                <w:color w:val="auto"/>
              </w:rPr>
            </w:r>
            <w:r/>
          </w:p>
        </w:tc>
        <w:tc>
          <w:tcPr>
            <w:tcW w:w="919" w:type="dxa"/>
            <w:vAlign w:val="top"/>
            <w:textDirection w:val="lrTb"/>
            <w:noWrap w:val="false"/>
          </w:tcPr>
          <w:p>
            <w:pPr>
              <w:pStyle w:val="1147"/>
              <w:rPr>
                <w:color w:val="auto"/>
              </w:rPr>
            </w:pPr>
            <w:r>
              <w:rPr>
                <w:color w:val="auto"/>
              </w:rPr>
            </w:r>
            <w:r/>
          </w:p>
        </w:tc>
        <w:tc>
          <w:tcPr>
            <w:tcW w:w="772" w:type="dxa"/>
            <w:vAlign w:val="top"/>
            <w:textDirection w:val="lrTb"/>
            <w:noWrap w:val="false"/>
          </w:tcPr>
          <w:p>
            <w:pPr>
              <w:pStyle w:val="1147"/>
              <w:rPr>
                <w:color w:val="auto"/>
              </w:rPr>
            </w:pPr>
            <w:r>
              <w:rPr>
                <w:color w:val="auto"/>
              </w:rPr>
            </w:r>
            <w:r/>
          </w:p>
        </w:tc>
        <w:tc>
          <w:tcPr>
            <w:tcW w:w="953" w:type="dxa"/>
            <w:vAlign w:val="top"/>
            <w:textDirection w:val="lrTb"/>
            <w:noWrap w:val="false"/>
          </w:tcPr>
          <w:p>
            <w:pPr>
              <w:pStyle w:val="1147"/>
              <w:rPr>
                <w:color w:val="auto"/>
              </w:rPr>
            </w:pPr>
            <w:r>
              <w:rPr>
                <w:color w:val="auto"/>
              </w:rPr>
            </w:r>
            <w:r/>
          </w:p>
        </w:tc>
        <w:tc>
          <w:tcPr>
            <w:tcW w:w="981" w:type="dxa"/>
            <w:vAlign w:val="top"/>
            <w:textDirection w:val="lrTb"/>
            <w:noWrap w:val="false"/>
          </w:tcPr>
          <w:p>
            <w:pPr>
              <w:pStyle w:val="1147"/>
              <w:rPr>
                <w:color w:val="auto"/>
              </w:rPr>
            </w:pPr>
            <w:r>
              <w:rPr>
                <w:color w:val="auto"/>
              </w:rPr>
            </w:r>
            <w:r/>
          </w:p>
        </w:tc>
        <w:tc>
          <w:tcPr>
            <w:tcW w:w="998" w:type="dxa"/>
            <w:vAlign w:val="top"/>
            <w:textDirection w:val="lrTb"/>
            <w:noWrap w:val="false"/>
          </w:tcPr>
          <w:p>
            <w:pPr>
              <w:pStyle w:val="1147"/>
              <w:rPr>
                <w:color w:val="auto"/>
              </w:rPr>
            </w:pPr>
            <w:r>
              <w:rPr>
                <w:color w:val="auto"/>
              </w:rPr>
            </w:r>
            <w:r/>
          </w:p>
        </w:tc>
        <w:tc>
          <w:tcPr>
            <w:tcW w:w="898" w:type="dxa"/>
            <w:vAlign w:val="top"/>
            <w:textDirection w:val="lrTb"/>
            <w:noWrap w:val="false"/>
          </w:tcPr>
          <w:p>
            <w:pPr>
              <w:pStyle w:val="1147"/>
              <w:rPr>
                <w:color w:val="auto"/>
              </w:rPr>
            </w:pPr>
            <w:r>
              <w:rPr>
                <w:color w:val="auto"/>
              </w:rPr>
            </w:r>
            <w:r/>
          </w:p>
        </w:tc>
        <w:tc>
          <w:tcPr>
            <w:tcW w:w="1015" w:type="dxa"/>
            <w:vAlign w:val="top"/>
            <w:textDirection w:val="lrTb"/>
            <w:noWrap w:val="false"/>
          </w:tcPr>
          <w:p>
            <w:pPr>
              <w:pStyle w:val="1147"/>
              <w:rPr>
                <w:color w:val="auto"/>
              </w:rPr>
            </w:pPr>
            <w:r>
              <w:rPr>
                <w:color w:val="auto"/>
              </w:rPr>
            </w:r>
            <w:r/>
          </w:p>
        </w:tc>
        <w:tc>
          <w:tcPr>
            <w:tcW w:w="1076" w:type="dxa"/>
            <w:vAlign w:val="top"/>
            <w:textDirection w:val="lrTb"/>
            <w:noWrap w:val="false"/>
          </w:tcPr>
          <w:p>
            <w:pPr>
              <w:pStyle w:val="1147"/>
              <w:rPr>
                <w:color w:val="auto"/>
              </w:rPr>
            </w:pPr>
            <w:r>
              <w:rPr>
                <w:color w:val="auto"/>
              </w:rPr>
            </w:r>
            <w:r/>
          </w:p>
        </w:tc>
      </w:tr>
      <w:tr>
        <w:trPr>
          <w:trHeight w:val="570"/>
        </w:trPr>
        <w:tc>
          <w:tcPr>
            <w:tcW w:w="778" w:type="dxa"/>
            <w:vAlign w:val="top"/>
            <w:textDirection w:val="lrTb"/>
            <w:noWrap w:val="false"/>
          </w:tcPr>
          <w:p>
            <w:pPr>
              <w:pStyle w:val="1147"/>
              <w:rPr>
                <w:color w:val="auto"/>
              </w:rPr>
            </w:pPr>
            <w:r>
              <w:rPr>
                <w:color w:val="auto"/>
              </w:rPr>
            </w:r>
            <w:r/>
          </w:p>
        </w:tc>
        <w:tc>
          <w:tcPr>
            <w:tcW w:w="874" w:type="dxa"/>
            <w:vAlign w:val="top"/>
            <w:textDirection w:val="lrTb"/>
            <w:noWrap w:val="false"/>
          </w:tcPr>
          <w:p>
            <w:pPr>
              <w:pStyle w:val="1147"/>
              <w:rPr>
                <w:color w:val="auto"/>
              </w:rPr>
            </w:pPr>
            <w:r>
              <w:rPr>
                <w:color w:val="auto"/>
              </w:rPr>
            </w:r>
            <w:r/>
          </w:p>
        </w:tc>
        <w:tc>
          <w:tcPr>
            <w:tcW w:w="838" w:type="dxa"/>
            <w:vAlign w:val="top"/>
            <w:textDirection w:val="lrTb"/>
            <w:noWrap w:val="false"/>
          </w:tcPr>
          <w:p>
            <w:pPr>
              <w:pStyle w:val="1147"/>
              <w:rPr>
                <w:color w:val="auto"/>
              </w:rPr>
            </w:pPr>
            <w:r>
              <w:rPr>
                <w:color w:val="auto"/>
              </w:rPr>
            </w:r>
            <w:r/>
          </w:p>
        </w:tc>
        <w:tc>
          <w:tcPr>
            <w:tcW w:w="569" w:type="dxa"/>
            <w:vAlign w:val="top"/>
            <w:textDirection w:val="lrTb"/>
            <w:noWrap w:val="false"/>
          </w:tcPr>
          <w:p>
            <w:pPr>
              <w:pStyle w:val="1147"/>
              <w:rPr>
                <w:color w:val="auto"/>
              </w:rPr>
            </w:pPr>
            <w:r>
              <w:rPr>
                <w:color w:val="auto"/>
              </w:rPr>
            </w:r>
            <w:r/>
          </w:p>
        </w:tc>
        <w:tc>
          <w:tcPr>
            <w:tcW w:w="919" w:type="dxa"/>
            <w:vAlign w:val="top"/>
            <w:textDirection w:val="lrTb"/>
            <w:noWrap w:val="false"/>
          </w:tcPr>
          <w:p>
            <w:pPr>
              <w:pStyle w:val="1147"/>
              <w:rPr>
                <w:color w:val="auto"/>
              </w:rPr>
            </w:pPr>
            <w:r>
              <w:rPr>
                <w:color w:val="auto"/>
              </w:rPr>
            </w:r>
            <w:r/>
          </w:p>
        </w:tc>
        <w:tc>
          <w:tcPr>
            <w:tcW w:w="772" w:type="dxa"/>
            <w:vAlign w:val="top"/>
            <w:textDirection w:val="lrTb"/>
            <w:noWrap w:val="false"/>
          </w:tcPr>
          <w:p>
            <w:pPr>
              <w:pStyle w:val="1147"/>
              <w:rPr>
                <w:color w:val="auto"/>
              </w:rPr>
            </w:pPr>
            <w:r>
              <w:rPr>
                <w:color w:val="auto"/>
              </w:rPr>
            </w:r>
            <w:r/>
          </w:p>
        </w:tc>
        <w:tc>
          <w:tcPr>
            <w:tcW w:w="953" w:type="dxa"/>
            <w:vAlign w:val="top"/>
            <w:textDirection w:val="lrTb"/>
            <w:noWrap w:val="false"/>
          </w:tcPr>
          <w:p>
            <w:pPr>
              <w:pStyle w:val="1147"/>
              <w:rPr>
                <w:color w:val="auto"/>
              </w:rPr>
            </w:pPr>
            <w:r>
              <w:rPr>
                <w:color w:val="auto"/>
              </w:rPr>
            </w:r>
            <w:r/>
          </w:p>
        </w:tc>
        <w:tc>
          <w:tcPr>
            <w:tcW w:w="981" w:type="dxa"/>
            <w:vAlign w:val="top"/>
            <w:textDirection w:val="lrTb"/>
            <w:noWrap w:val="false"/>
          </w:tcPr>
          <w:p>
            <w:pPr>
              <w:pStyle w:val="1147"/>
              <w:rPr>
                <w:color w:val="auto"/>
              </w:rPr>
            </w:pPr>
            <w:r>
              <w:rPr>
                <w:color w:val="auto"/>
              </w:rPr>
            </w:r>
            <w:r/>
          </w:p>
        </w:tc>
        <w:tc>
          <w:tcPr>
            <w:tcW w:w="998" w:type="dxa"/>
            <w:vAlign w:val="top"/>
            <w:textDirection w:val="lrTb"/>
            <w:noWrap w:val="false"/>
          </w:tcPr>
          <w:p>
            <w:pPr>
              <w:pStyle w:val="1147"/>
              <w:rPr>
                <w:color w:val="auto"/>
              </w:rPr>
            </w:pPr>
            <w:r>
              <w:rPr>
                <w:color w:val="auto"/>
              </w:rPr>
            </w:r>
            <w:r/>
          </w:p>
        </w:tc>
        <w:tc>
          <w:tcPr>
            <w:tcW w:w="898" w:type="dxa"/>
            <w:vAlign w:val="top"/>
            <w:textDirection w:val="lrTb"/>
            <w:noWrap w:val="false"/>
          </w:tcPr>
          <w:p>
            <w:pPr>
              <w:pStyle w:val="1147"/>
              <w:rPr>
                <w:color w:val="auto"/>
              </w:rPr>
            </w:pPr>
            <w:r>
              <w:rPr>
                <w:color w:val="auto"/>
              </w:rPr>
            </w:r>
            <w:r/>
          </w:p>
        </w:tc>
        <w:tc>
          <w:tcPr>
            <w:tcW w:w="1015" w:type="dxa"/>
            <w:vAlign w:val="top"/>
            <w:textDirection w:val="lrTb"/>
            <w:noWrap w:val="false"/>
          </w:tcPr>
          <w:p>
            <w:pPr>
              <w:pStyle w:val="1147"/>
              <w:rPr>
                <w:color w:val="auto"/>
              </w:rPr>
            </w:pPr>
            <w:r>
              <w:rPr>
                <w:color w:val="auto"/>
              </w:rPr>
            </w:r>
            <w:r/>
          </w:p>
        </w:tc>
        <w:tc>
          <w:tcPr>
            <w:tcW w:w="1076" w:type="dxa"/>
            <w:vAlign w:val="top"/>
            <w:textDirection w:val="lrTb"/>
            <w:noWrap w:val="false"/>
          </w:tcPr>
          <w:p>
            <w:pPr>
              <w:pStyle w:val="1147"/>
              <w:rPr>
                <w:color w:val="auto"/>
              </w:rPr>
            </w:pPr>
            <w:r>
              <w:rPr>
                <w:color w:val="auto"/>
              </w:rPr>
            </w:r>
            <w:r/>
          </w:p>
        </w:tc>
      </w:tr>
    </w:tbl>
    <w:p>
      <w:pPr>
        <w:numPr>
          <w:ilvl w:val="0"/>
          <w:numId w:val="0"/>
        </w:numP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p>
      <w:pPr>
        <w:spacing w:line="500" w:lineRule="exact"/>
        <w:rPr>
          <w:rFonts w:hint="eastAsia" w:ascii="仿宋" w:hAnsi="仿宋" w:eastAsia="仿宋" w:cs="仿宋"/>
          <w:color w:val="auto"/>
          <w:sz w:val="28"/>
          <w:szCs w:val="28"/>
        </w:rPr>
      </w:pPr>
      <w:r>
        <w:rPr>
          <w:rFonts w:hint="eastAsia" w:ascii="仿宋" w:hAnsi="仿宋" w:eastAsia="仿宋" w:cs="仿宋"/>
          <w:b w:val="0"/>
          <w:bCs w:val="0"/>
          <w:color w:val="auto"/>
          <w:sz w:val="28"/>
          <w:szCs w:val="28"/>
          <w:lang w:eastAsia="zh-CN"/>
        </w:rPr>
        <w:t xml:space="preserve">（</w:t>
      </w:r>
      <w:r>
        <w:rPr>
          <w:rFonts w:hint="eastAsia" w:ascii="仿宋" w:hAnsi="仿宋" w:eastAsia="仿宋" w:cs="仿宋"/>
          <w:b w:val="0"/>
          <w:bCs w:val="0"/>
          <w:color w:val="auto"/>
          <w:sz w:val="28"/>
          <w:szCs w:val="28"/>
          <w:lang w:val="en-US" w:eastAsia="zh-CN"/>
        </w:rPr>
        <w:t xml:space="preserve">三</w:t>
      </w:r>
      <w:r>
        <w:rPr>
          <w:rFonts w:hint="eastAsia" w:ascii="仿宋" w:hAnsi="仿宋" w:eastAsia="仿宋" w:cs="仿宋"/>
          <w:b w:val="0"/>
          <w:bCs w:val="0"/>
          <w:color w:val="auto"/>
          <w:sz w:val="28"/>
          <w:szCs w:val="28"/>
          <w:lang w:eastAsia="zh-CN"/>
        </w:rPr>
        <w:t xml:space="preserve">）</w:t>
      </w:r>
      <w:r>
        <w:rPr>
          <w:rFonts w:hint="eastAsia" w:ascii="仿宋" w:hAnsi="仿宋" w:eastAsia="仿宋" w:cs="仿宋"/>
          <w:b w:val="0"/>
          <w:bCs w:val="0"/>
          <w:color w:val="auto"/>
          <w:sz w:val="28"/>
          <w:szCs w:val="28"/>
        </w:rPr>
        <w:t xml:space="preserve">种质资源鉴定和保藏：</w:t>
      </w:r>
      <w:r>
        <w:rPr>
          <w:rFonts w:hint="eastAsia" w:ascii="仿宋" w:hAnsi="仿宋" w:eastAsia="仿宋" w:cs="仿宋"/>
          <w:color w:val="auto"/>
          <w:sz w:val="28"/>
          <w:szCs w:val="28"/>
        </w:rPr>
        <w:t xml:space="preserve">对收集的大型真菌种质资源开展基本信息登记，对采集标本和分离的菌种进行物种鉴定，并对具有较高资源化利用价值的菌种进行保藏，建立种质资源短期库、长期库、复份库。应采集标本数不少于</w:t>
      </w:r>
      <w:r>
        <w:rPr>
          <w:rFonts w:hint="eastAsia" w:ascii="仿宋" w:hAnsi="仿宋" w:eastAsia="仿宋" w:cs="仿宋"/>
          <w:color w:val="auto"/>
          <w:sz w:val="28"/>
          <w:szCs w:val="28"/>
          <w:lang w:val="en-US" w:eastAsia="zh-CN"/>
        </w:rPr>
        <w:t xml:space="preserve">440</w:t>
      </w:r>
      <w:r>
        <w:rPr>
          <w:rFonts w:hint="eastAsia" w:ascii="仿宋" w:hAnsi="仿宋" w:eastAsia="仿宋" w:cs="仿宋"/>
          <w:color w:val="auto"/>
          <w:sz w:val="28"/>
          <w:szCs w:val="28"/>
        </w:rPr>
        <w:t xml:space="preserve">份、</w:t>
      </w:r>
      <w:r>
        <w:rPr>
          <w:rFonts w:hint="eastAsia" w:ascii="仿宋" w:hAnsi="仿宋" w:eastAsia="仿宋" w:cs="仿宋"/>
          <w:color w:val="auto"/>
          <w:sz w:val="28"/>
          <w:szCs w:val="28"/>
          <w:lang w:eastAsia="zh-CN"/>
        </w:rPr>
        <w:t xml:space="preserve">菌种分离株数不少于</w:t>
      </w:r>
      <w:r>
        <w:rPr>
          <w:rFonts w:hint="eastAsia" w:ascii="仿宋" w:hAnsi="仿宋" w:eastAsia="仿宋" w:cs="仿宋"/>
          <w:color w:val="auto"/>
          <w:sz w:val="28"/>
          <w:szCs w:val="28"/>
          <w:lang w:val="en-US" w:eastAsia="zh-CN"/>
        </w:rPr>
        <w:t xml:space="preserve">10株、鉴定物种不少于80株、</w:t>
      </w:r>
      <w:r>
        <w:rPr>
          <w:rFonts w:hint="eastAsia" w:ascii="仿宋" w:hAnsi="仿宋" w:eastAsia="仿宋" w:cs="仿宋"/>
          <w:color w:val="auto"/>
          <w:sz w:val="28"/>
          <w:szCs w:val="28"/>
          <w:lang w:eastAsia="zh-CN"/>
        </w:rPr>
        <w:t xml:space="preserve">菌种</w:t>
      </w:r>
      <w:r>
        <w:rPr>
          <w:rFonts w:hint="eastAsia" w:ascii="仿宋" w:hAnsi="仿宋" w:eastAsia="仿宋" w:cs="仿宋"/>
          <w:color w:val="auto"/>
          <w:sz w:val="28"/>
          <w:szCs w:val="28"/>
        </w:rPr>
        <w:t xml:space="preserve">专利保藏株数</w:t>
      </w:r>
      <w:r>
        <w:rPr>
          <w:rFonts w:hint="eastAsia" w:ascii="仿宋" w:hAnsi="仿宋" w:eastAsia="仿宋" w:cs="仿宋"/>
          <w:color w:val="auto"/>
          <w:sz w:val="28"/>
          <w:szCs w:val="28"/>
          <w:lang w:eastAsia="zh-CN"/>
        </w:rPr>
        <w:t xml:space="preserve">量</w:t>
      </w:r>
      <w:r>
        <w:rPr>
          <w:rFonts w:hint="eastAsia" w:ascii="仿宋" w:hAnsi="仿宋" w:eastAsia="仿宋" w:cs="仿宋"/>
          <w:color w:val="auto"/>
          <w:sz w:val="28"/>
          <w:szCs w:val="28"/>
        </w:rPr>
        <w:t xml:space="preserve">不少于</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株</w:t>
      </w:r>
      <w:r>
        <w:rPr>
          <w:rFonts w:hint="eastAsia" w:ascii="仿宋" w:hAnsi="仿宋" w:eastAsia="仿宋" w:cs="仿宋"/>
          <w:color w:val="auto"/>
          <w:sz w:val="28"/>
          <w:szCs w:val="28"/>
          <w:lang w:eastAsia="zh-CN"/>
        </w:rPr>
        <w:t xml:space="preserve">、营养及活性评价株数与生产性能评价株数不少于</w:t>
      </w:r>
      <w:r>
        <w:rPr>
          <w:rFonts w:hint="eastAsia" w:ascii="仿宋" w:hAnsi="仿宋" w:eastAsia="仿宋" w:cs="仿宋"/>
          <w:color w:val="auto"/>
          <w:sz w:val="28"/>
          <w:szCs w:val="28"/>
          <w:lang w:val="en-US" w:eastAsia="zh-CN"/>
        </w:rPr>
        <w:t xml:space="preserve">9株</w:t>
      </w:r>
      <w:r>
        <w:rPr>
          <w:rFonts w:hint="eastAsia" w:ascii="仿宋" w:hAnsi="仿宋" w:eastAsia="仿宋" w:cs="仿宋"/>
          <w:color w:val="auto"/>
          <w:sz w:val="28"/>
          <w:szCs w:val="28"/>
        </w:rPr>
        <w:t xml:space="preserve">。</w:t>
      </w:r>
      <w:r/>
    </w:p>
    <w:p>
      <w:pPr>
        <w:ind w:firstLine="560"/>
        <w:spacing w:line="500" w:lineRule="exact"/>
        <w:rPr>
          <w:rFonts w:hint="eastAsia" w:ascii="仿宋" w:hAnsi="仿宋" w:eastAsia="仿宋" w:cs="仿宋"/>
          <w:color w:val="auto"/>
          <w:sz w:val="28"/>
          <w:szCs w:val="28"/>
        </w:rPr>
      </w:pPr>
      <w:r>
        <w:rPr>
          <w:rFonts w:hint="eastAsia" w:ascii="仿宋" w:hAnsi="仿宋" w:eastAsia="仿宋" w:cs="仿宋"/>
          <w:b w:val="0"/>
          <w:bCs w:val="0"/>
          <w:color w:val="auto"/>
          <w:sz w:val="28"/>
          <w:szCs w:val="28"/>
          <w:lang w:eastAsia="zh-CN"/>
        </w:rPr>
        <w:t xml:space="preserve">（</w:t>
      </w:r>
      <w:r>
        <w:rPr>
          <w:rFonts w:hint="eastAsia" w:ascii="仿宋" w:hAnsi="仿宋" w:eastAsia="仿宋" w:cs="仿宋"/>
          <w:b w:val="0"/>
          <w:bCs w:val="0"/>
          <w:color w:val="auto"/>
          <w:sz w:val="28"/>
          <w:szCs w:val="28"/>
          <w:lang w:val="en-US" w:eastAsia="zh-CN"/>
        </w:rPr>
        <w:t xml:space="preserve">四</w:t>
      </w:r>
      <w:r>
        <w:rPr>
          <w:rFonts w:hint="eastAsia" w:ascii="仿宋" w:hAnsi="仿宋" w:eastAsia="仿宋" w:cs="仿宋"/>
          <w:b w:val="0"/>
          <w:bCs w:val="0"/>
          <w:color w:val="auto"/>
          <w:sz w:val="28"/>
          <w:szCs w:val="28"/>
          <w:lang w:eastAsia="zh-CN"/>
        </w:rPr>
        <w:t xml:space="preserve">）</w:t>
      </w:r>
      <w:r>
        <w:rPr>
          <w:rFonts w:hint="eastAsia" w:ascii="仿宋" w:hAnsi="仿宋" w:eastAsia="仿宋" w:cs="仿宋"/>
          <w:b w:val="0"/>
          <w:bCs w:val="0"/>
          <w:color w:val="auto"/>
          <w:sz w:val="28"/>
          <w:szCs w:val="28"/>
        </w:rPr>
        <w:t xml:space="preserve">种质资源化利用能力的评价：</w:t>
      </w:r>
      <w:r>
        <w:rPr>
          <w:rFonts w:hint="eastAsia" w:ascii="仿宋" w:hAnsi="仿宋" w:eastAsia="仿宋" w:cs="仿宋"/>
          <w:color w:val="auto"/>
          <w:sz w:val="28"/>
          <w:szCs w:val="28"/>
        </w:rPr>
        <w:t xml:space="preserve">对收集和保藏的菌株进行筛选，对具有应用潜力的食用菌种质资源开展营养价值和生产应用潜力评估，其中种质资源化可利用生产性能测定株不少于1株。</w:t>
      </w:r>
      <w:r/>
    </w:p>
    <w:p>
      <w:pPr>
        <w:ind w:firstLine="560"/>
        <w:spacing w:line="500" w:lineRule="exact"/>
        <w:rPr>
          <w:rFonts w:hint="eastAsia" w:ascii="仿宋" w:hAnsi="仿宋" w:eastAsia="仿宋" w:cs="仿宋"/>
          <w:color w:val="auto"/>
          <w:sz w:val="28"/>
          <w:szCs w:val="28"/>
        </w:rPr>
      </w:pPr>
      <w:r>
        <w:rPr>
          <w:rFonts w:hint="eastAsia" w:ascii="仿宋" w:hAnsi="仿宋" w:eastAsia="仿宋" w:cs="仿宋"/>
          <w:b w:val="0"/>
          <w:bCs w:val="0"/>
          <w:color w:val="auto"/>
          <w:sz w:val="28"/>
          <w:szCs w:val="28"/>
          <w:lang w:eastAsia="zh-CN"/>
        </w:rPr>
        <w:t xml:space="preserve">（</w:t>
      </w:r>
      <w:r>
        <w:rPr>
          <w:rFonts w:hint="eastAsia" w:ascii="仿宋" w:hAnsi="仿宋" w:eastAsia="仿宋" w:cs="仿宋"/>
          <w:b w:val="0"/>
          <w:bCs w:val="0"/>
          <w:color w:val="auto"/>
          <w:sz w:val="28"/>
          <w:szCs w:val="28"/>
          <w:lang w:val="en-US" w:eastAsia="zh-CN"/>
        </w:rPr>
        <w:t xml:space="preserve">五</w:t>
      </w:r>
      <w:r>
        <w:rPr>
          <w:rFonts w:hint="eastAsia" w:ascii="仿宋" w:hAnsi="仿宋" w:eastAsia="仿宋" w:cs="仿宋"/>
          <w:b w:val="0"/>
          <w:bCs w:val="0"/>
          <w:color w:val="auto"/>
          <w:sz w:val="28"/>
          <w:szCs w:val="28"/>
          <w:lang w:eastAsia="zh-CN"/>
        </w:rPr>
        <w:t xml:space="preserve">）</w:t>
      </w:r>
      <w:r>
        <w:rPr>
          <w:rFonts w:hint="eastAsia" w:ascii="仿宋" w:hAnsi="仿宋" w:eastAsia="仿宋" w:cs="仿宋"/>
          <w:b w:val="0"/>
          <w:bCs w:val="0"/>
          <w:color w:val="auto"/>
          <w:sz w:val="28"/>
          <w:szCs w:val="28"/>
        </w:rPr>
        <w:t xml:space="preserve">数据提交：</w:t>
      </w:r>
      <w:r>
        <w:rPr>
          <w:rFonts w:hint="eastAsia" w:ascii="仿宋" w:hAnsi="仿宋" w:eastAsia="仿宋" w:cs="仿宋"/>
          <w:color w:val="auto"/>
          <w:sz w:val="28"/>
          <w:szCs w:val="28"/>
        </w:rPr>
        <w:t xml:space="preserve">完成</w:t>
      </w:r>
      <w:r>
        <w:rPr>
          <w:rFonts w:hint="eastAsia" w:ascii="仿宋" w:hAnsi="仿宋" w:eastAsia="仿宋" w:cs="仿宋"/>
          <w:color w:val="auto"/>
          <w:sz w:val="28"/>
          <w:szCs w:val="28"/>
          <w:lang w:eastAsia="zh-CN"/>
        </w:rPr>
        <w:t xml:space="preserve">铜山区农业微生物（食用菌）种质资源普查项目及监理服务</w:t>
      </w:r>
      <w:r>
        <w:rPr>
          <w:rFonts w:hint="eastAsia" w:ascii="仿宋" w:hAnsi="仿宋" w:eastAsia="仿宋" w:cs="仿宋"/>
          <w:color w:val="auto"/>
          <w:sz w:val="28"/>
          <w:szCs w:val="28"/>
        </w:rPr>
        <w:t xml:space="preserve">信息登记表（标本）、</w:t>
      </w:r>
      <w:r>
        <w:rPr>
          <w:rFonts w:hint="eastAsia" w:ascii="仿宋" w:hAnsi="仿宋" w:eastAsia="仿宋" w:cs="仿宋"/>
          <w:color w:val="auto"/>
          <w:sz w:val="28"/>
          <w:szCs w:val="28"/>
          <w:lang w:eastAsia="zh-CN"/>
        </w:rPr>
        <w:t xml:space="preserve">铜山区农业微生物（食用菌）种质资源普查项目及监理服务</w:t>
      </w:r>
      <w:r>
        <w:rPr>
          <w:rFonts w:hint="eastAsia" w:ascii="仿宋" w:hAnsi="仿宋" w:eastAsia="仿宋" w:cs="仿宋"/>
          <w:color w:val="auto"/>
          <w:sz w:val="28"/>
          <w:szCs w:val="28"/>
        </w:rPr>
        <w:t xml:space="preserve">信息登记表（菌种）、</w:t>
      </w:r>
      <w:r>
        <w:rPr>
          <w:rFonts w:hint="eastAsia" w:ascii="仿宋" w:hAnsi="仿宋" w:eastAsia="仿宋" w:cs="仿宋"/>
          <w:color w:val="auto"/>
          <w:sz w:val="28"/>
          <w:szCs w:val="28"/>
          <w:lang w:eastAsia="zh-CN"/>
        </w:rPr>
        <w:t xml:space="preserve">铜山区农业微生物（食用菌）种质资源普查项目</w:t>
      </w:r>
      <w:r>
        <w:rPr>
          <w:rFonts w:hint="eastAsia" w:ascii="仿宋" w:hAnsi="仿宋" w:eastAsia="仿宋" w:cs="仿宋"/>
          <w:color w:val="auto"/>
          <w:spacing w:val="-17"/>
          <w:sz w:val="28"/>
          <w:szCs w:val="28"/>
          <w:lang w:eastAsia="zh-CN"/>
        </w:rPr>
        <w:t xml:space="preserve">及监理服务</w:t>
      </w:r>
      <w:r>
        <w:rPr>
          <w:rFonts w:hint="eastAsia" w:ascii="仿宋" w:hAnsi="仿宋" w:eastAsia="仿宋" w:cs="仿宋"/>
          <w:color w:val="auto"/>
          <w:sz w:val="28"/>
          <w:szCs w:val="28"/>
        </w:rPr>
        <w:t xml:space="preserve">报告和</w:t>
      </w:r>
      <w:r>
        <w:rPr>
          <w:rFonts w:hint="eastAsia" w:ascii="仿宋" w:hAnsi="仿宋" w:eastAsia="仿宋" w:cs="仿宋"/>
          <w:color w:val="auto"/>
          <w:sz w:val="28"/>
          <w:szCs w:val="28"/>
          <w:lang w:eastAsia="zh-CN"/>
        </w:rPr>
        <w:t xml:space="preserve">铜山</w:t>
      </w:r>
      <w:r>
        <w:rPr>
          <w:rFonts w:hint="eastAsia" w:ascii="仿宋" w:hAnsi="仿宋" w:eastAsia="仿宋" w:cs="仿宋"/>
          <w:color w:val="auto"/>
          <w:sz w:val="28"/>
          <w:szCs w:val="28"/>
        </w:rPr>
        <w:t xml:space="preserve">区农业微生物（食用菌）种质资源评价报告。</w:t>
      </w:r>
      <w:r/>
    </w:p>
    <w:p>
      <w:pPr>
        <w:spacing w:line="360" w:lineRule="auto"/>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val="en-US" w:eastAsia="zh-CN"/>
        </w:rPr>
        <w:t xml:space="preserve">四</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rPr>
        <w:t xml:space="preserve">服务</w:t>
      </w:r>
      <w:r>
        <w:rPr>
          <w:rFonts w:hint="eastAsia" w:ascii="仿宋" w:hAnsi="仿宋" w:eastAsia="仿宋" w:cs="仿宋"/>
          <w:b/>
          <w:bCs/>
          <w:color w:val="auto"/>
          <w:sz w:val="28"/>
          <w:szCs w:val="28"/>
          <w:lang w:eastAsia="zh-CN"/>
        </w:rPr>
        <w:t xml:space="preserve">要求</w:t>
      </w:r>
      <w:r/>
    </w:p>
    <w:p>
      <w:pPr>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期限</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本项目实施期限为1年</w:t>
      </w:r>
      <w:r>
        <w:rPr>
          <w:rFonts w:hint="eastAsia" w:ascii="仿宋" w:hAnsi="仿宋" w:eastAsia="仿宋" w:cs="仿宋"/>
          <w:color w:val="auto"/>
          <w:sz w:val="28"/>
          <w:szCs w:val="28"/>
          <w:lang w:eastAsia="zh-CN"/>
        </w:rPr>
        <w:t xml:space="preserve">。</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实施进度安排如下：</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（一）组建本级调查领导小组和技术专家指导组在全区范围开展</w:t>
      </w:r>
      <w:r>
        <w:rPr>
          <w:rFonts w:hint="eastAsia" w:ascii="仿宋" w:hAnsi="仿宋" w:eastAsia="仿宋" w:cs="仿宋"/>
          <w:color w:val="auto"/>
          <w:sz w:val="28"/>
          <w:szCs w:val="28"/>
          <w:lang w:eastAsia="zh-CN"/>
        </w:rPr>
        <w:t xml:space="preserve">农业微生物（食用菌）种质资源普查及监理服务</w:t>
      </w:r>
      <w:r>
        <w:rPr>
          <w:rFonts w:hint="eastAsia" w:ascii="仿宋" w:hAnsi="仿宋" w:eastAsia="仿宋" w:cs="仿宋"/>
          <w:color w:val="auto"/>
          <w:sz w:val="28"/>
          <w:szCs w:val="28"/>
        </w:rPr>
        <w:t xml:space="preserve">、标本采集及菌种分离鉴定等工作。</w:t>
      </w:r>
      <w:r/>
    </w:p>
    <w:p>
      <w:pPr>
        <w:pStyle w:val="821"/>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bidi="ar-SA"/>
        </w:rPr>
        <w:t xml:space="preserve">（二）</w:t>
      </w:r>
      <w:r>
        <w:rPr>
          <w:rFonts w:hint="eastAsia" w:ascii="仿宋" w:hAnsi="仿宋" w:eastAsia="仿宋" w:cs="仿宋"/>
          <w:color w:val="auto"/>
          <w:sz w:val="28"/>
          <w:szCs w:val="28"/>
        </w:rPr>
        <w:t xml:space="preserve">开展微生物（食用菌）种质资源的调查，核实调查数据，对普查的样本和菌种等信息汇总，</w:t>
      </w:r>
      <w:r>
        <w:rPr>
          <w:rFonts w:hint="eastAsia" w:ascii="仿宋" w:hAnsi="仿宋" w:eastAsia="仿宋" w:cs="仿宋"/>
          <w:color w:val="auto"/>
          <w:sz w:val="28"/>
          <w:szCs w:val="28"/>
          <w:lang w:val="en-US"/>
        </w:rPr>
        <w:t xml:space="preserve">填报</w:t>
      </w:r>
      <w:r>
        <w:rPr>
          <w:rFonts w:hint="eastAsia" w:ascii="仿宋" w:hAnsi="仿宋" w:eastAsia="仿宋" w:cs="仿宋"/>
          <w:color w:val="auto"/>
          <w:sz w:val="28"/>
          <w:szCs w:val="28"/>
          <w:lang w:val="en-US" w:eastAsia="zh-CN"/>
        </w:rPr>
        <w:t xml:space="preserve">铜山</w:t>
      </w:r>
      <w:r>
        <w:rPr>
          <w:rFonts w:hint="eastAsia" w:ascii="仿宋" w:hAnsi="仿宋" w:eastAsia="仿宋" w:cs="仿宋"/>
          <w:color w:val="auto"/>
          <w:sz w:val="28"/>
          <w:szCs w:val="28"/>
          <w:lang w:val="en-US"/>
        </w:rPr>
        <w:t xml:space="preserve">区</w:t>
      </w:r>
      <w:r>
        <w:rPr>
          <w:rFonts w:hint="eastAsia" w:ascii="仿宋" w:hAnsi="仿宋" w:eastAsia="仿宋" w:cs="仿宋"/>
          <w:color w:val="auto"/>
          <w:sz w:val="28"/>
          <w:szCs w:val="28"/>
          <w:lang w:eastAsia="zh-CN"/>
        </w:rPr>
        <w:t xml:space="preserve">农业微生物（食用菌）种质资源普查及监理服务</w:t>
      </w:r>
      <w:r>
        <w:rPr>
          <w:rFonts w:hint="eastAsia" w:ascii="仿宋" w:hAnsi="仿宋" w:eastAsia="仿宋" w:cs="仿宋"/>
          <w:color w:val="auto"/>
          <w:sz w:val="28"/>
          <w:szCs w:val="28"/>
        </w:rPr>
        <w:t xml:space="preserve">信息登记表（标本）、</w:t>
      </w:r>
      <w:r>
        <w:rPr>
          <w:rFonts w:hint="eastAsia" w:ascii="仿宋" w:hAnsi="仿宋" w:eastAsia="仿宋" w:cs="仿宋"/>
          <w:color w:val="auto"/>
          <w:sz w:val="28"/>
          <w:szCs w:val="28"/>
          <w:lang w:val="en-US" w:eastAsia="zh-CN"/>
        </w:rPr>
        <w:t xml:space="preserve">铜山</w:t>
      </w:r>
      <w:r>
        <w:rPr>
          <w:rFonts w:hint="eastAsia" w:ascii="仿宋" w:hAnsi="仿宋" w:eastAsia="仿宋" w:cs="仿宋"/>
          <w:color w:val="auto"/>
          <w:sz w:val="28"/>
          <w:szCs w:val="28"/>
          <w:lang w:val="en-US"/>
        </w:rPr>
        <w:t xml:space="preserve">区</w:t>
      </w:r>
      <w:r>
        <w:rPr>
          <w:rFonts w:hint="eastAsia" w:ascii="仿宋" w:hAnsi="仿宋" w:eastAsia="仿宋" w:cs="仿宋"/>
          <w:color w:val="auto"/>
          <w:sz w:val="28"/>
          <w:szCs w:val="28"/>
          <w:lang w:eastAsia="zh-CN"/>
        </w:rPr>
        <w:t xml:space="preserve">农业微生物（食用菌）种质资源普查及监理服务</w:t>
      </w:r>
      <w:r>
        <w:rPr>
          <w:rFonts w:hint="eastAsia" w:ascii="仿宋" w:hAnsi="仿宋" w:eastAsia="仿宋" w:cs="仿宋"/>
          <w:color w:val="auto"/>
          <w:sz w:val="28"/>
          <w:szCs w:val="28"/>
        </w:rPr>
        <w:t xml:space="preserve">信息登记表（菌种）</w:t>
      </w:r>
      <w:r>
        <w:rPr>
          <w:rFonts w:hint="eastAsia" w:ascii="仿宋" w:hAnsi="仿宋" w:eastAsia="仿宋" w:cs="仿宋"/>
          <w:color w:val="auto"/>
          <w:sz w:val="28"/>
          <w:szCs w:val="28"/>
          <w:lang w:val="en-US"/>
        </w:rPr>
        <w:t xml:space="preserve">；</w:t>
      </w:r>
      <w:r>
        <w:rPr>
          <w:rFonts w:hint="eastAsia" w:ascii="仿宋" w:hAnsi="仿宋" w:eastAsia="仿宋" w:cs="仿宋"/>
          <w:color w:val="auto"/>
          <w:sz w:val="28"/>
          <w:szCs w:val="28"/>
        </w:rPr>
        <w:t xml:space="preserve">对具有应用潜力的食用菌种质资源开展营养价值和生产应用潜力评估及其生产性能测定</w:t>
      </w:r>
      <w:r>
        <w:rPr>
          <w:rFonts w:hint="eastAsia" w:ascii="仿宋" w:hAnsi="仿宋" w:eastAsia="仿宋" w:cs="仿宋"/>
          <w:color w:val="auto"/>
          <w:sz w:val="28"/>
          <w:szCs w:val="28"/>
          <w:lang w:eastAsia="zh-CN"/>
        </w:rPr>
        <w:t xml:space="preserve">，</w:t>
      </w:r>
      <w:r>
        <w:rPr>
          <w:rFonts w:hint="eastAsia" w:ascii="仿宋" w:hAnsi="仿宋" w:eastAsia="仿宋" w:cs="仿宋"/>
          <w:color w:val="auto"/>
          <w:spacing w:val="-17"/>
          <w:sz w:val="28"/>
          <w:szCs w:val="28"/>
        </w:rPr>
        <w:t xml:space="preserve">完成</w:t>
      </w:r>
      <w:r>
        <w:rPr>
          <w:rFonts w:hint="eastAsia" w:ascii="仿宋" w:hAnsi="仿宋" w:eastAsia="仿宋" w:cs="仿宋"/>
          <w:color w:val="auto"/>
          <w:spacing w:val="-17"/>
          <w:sz w:val="28"/>
          <w:szCs w:val="28"/>
          <w:lang w:eastAsia="zh-CN"/>
        </w:rPr>
        <w:t xml:space="preserve">农业微生物（食用菌）种质资源普查及监理服务</w:t>
      </w:r>
      <w:r>
        <w:rPr>
          <w:rFonts w:hint="eastAsia" w:ascii="仿宋" w:hAnsi="仿宋" w:eastAsia="仿宋" w:cs="仿宋"/>
          <w:color w:val="auto"/>
          <w:sz w:val="28"/>
          <w:szCs w:val="28"/>
        </w:rPr>
        <w:t xml:space="preserve">报告和农业微生物（食用菌）种质资源评价报告。</w:t>
      </w:r>
      <w:r/>
    </w:p>
    <w:p>
      <w:pPr>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三</w:t>
      </w:r>
      <w:r>
        <w:rPr>
          <w:rFonts w:hint="eastAsia" w:ascii="仿宋" w:hAnsi="仿宋" w:eastAsia="仿宋" w:cs="仿宋"/>
          <w:color w:val="auto"/>
          <w:sz w:val="28"/>
          <w:szCs w:val="28"/>
        </w:rPr>
        <w:t xml:space="preserve">）项目总结、验收。</w:t>
      </w:r>
      <w:r/>
    </w:p>
    <w:p>
      <w:pPr>
        <w:numPr>
          <w:ilvl w:val="0"/>
          <w:numId w:val="0"/>
        </w:numPr>
        <w:spacing w:line="560" w:lineRule="exact"/>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（四）指标要求</w:t>
      </w:r>
      <w:r/>
    </w:p>
    <w:tbl>
      <w:tblPr>
        <w:tblStyle w:val="815"/>
        <w:tblW w:w="83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13"/>
        <w:gridCol w:w="1488"/>
        <w:gridCol w:w="3416"/>
        <w:gridCol w:w="1234"/>
      </w:tblGrid>
      <w:tr>
        <w:trPr>
          <w:jc w:val="center"/>
          <w:trHeight w:val="597" w:hRule="exact"/>
        </w:trPr>
        <w:tc>
          <w:tcPr>
            <w:tcW w:w="839" w:type="dxa"/>
            <w:vAlign w:val="center"/>
            <w:textDirection w:val="lrTb"/>
            <w:noWrap w:val="false"/>
          </w:tcPr>
          <w:p>
            <w:pPr>
              <w:jc w:val="center"/>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序号</w:t>
            </w:r>
            <w:r/>
          </w:p>
        </w:tc>
        <w:tc>
          <w:tcPr>
            <w:tcW w:w="1413" w:type="dxa"/>
            <w:vAlign w:val="center"/>
            <w:textDirection w:val="lrTb"/>
            <w:noWrap w:val="false"/>
          </w:tcPr>
          <w:p>
            <w:pPr>
              <w:jc w:val="center"/>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一级指标</w:t>
            </w:r>
            <w:r/>
          </w:p>
        </w:tc>
        <w:tc>
          <w:tcPr>
            <w:tcW w:w="1488" w:type="dxa"/>
            <w:vAlign w:val="center"/>
            <w:textDirection w:val="lrTb"/>
            <w:noWrap w:val="false"/>
          </w:tcPr>
          <w:p>
            <w:pPr>
              <w:jc w:val="center"/>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二级指标</w:t>
            </w:r>
            <w:r/>
          </w:p>
        </w:tc>
        <w:tc>
          <w:tcPr>
            <w:tcW w:w="3416" w:type="dxa"/>
            <w:vAlign w:val="center"/>
            <w:textDirection w:val="lrTb"/>
            <w:noWrap w:val="false"/>
          </w:tcPr>
          <w:p>
            <w:pPr>
              <w:jc w:val="center"/>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三级指标</w:t>
            </w:r>
            <w:r/>
          </w:p>
        </w:tc>
        <w:tc>
          <w:tcPr>
            <w:tcW w:w="1234" w:type="dxa"/>
            <w:vAlign w:val="center"/>
            <w:textDirection w:val="lrTb"/>
            <w:noWrap w:val="false"/>
          </w:tcPr>
          <w:p>
            <w:pPr>
              <w:jc w:val="center"/>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指标值</w:t>
            </w:r>
            <w:r/>
          </w:p>
        </w:tc>
      </w:tr>
      <w:tr>
        <w:trPr>
          <w:jc w:val="center"/>
          <w:trHeight w:val="1185" w:hRule="exact"/>
        </w:trPr>
        <w:tc>
          <w:tcPr>
            <w:tcW w:w="839"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w:t>
            </w:r>
            <w:r/>
          </w:p>
        </w:tc>
        <w:tc>
          <w:tcPr>
            <w:tcW w:w="1413" w:type="dxa"/>
            <w:vAlign w:val="center"/>
            <w:vMerge w:val="restart"/>
            <w:textDirection w:val="lrTb"/>
            <w:noWrap w:val="false"/>
          </w:tcPr>
          <w:p>
            <w:pPr>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产出指标</w:t>
            </w:r>
            <w:r/>
          </w:p>
        </w:tc>
        <w:tc>
          <w:tcPr>
            <w:tcW w:w="1488" w:type="dxa"/>
            <w:vAlign w:val="center"/>
            <w:textDirection w:val="lrTb"/>
            <w:noWrap w:val="false"/>
          </w:tcPr>
          <w:p>
            <w:pPr>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数量指标</w:t>
            </w:r>
            <w:r/>
          </w:p>
        </w:tc>
        <w:tc>
          <w:tcPr>
            <w:tcW w:w="3416" w:type="dxa"/>
            <w:vAlign w:val="center"/>
            <w:textDirection w:val="lrTb"/>
            <w:noWrap w:val="false"/>
          </w:tcPr>
          <w:p>
            <w:pPr>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铜山区农业微生物（食用菌）种质资源普查项目及质控服务</w:t>
            </w:r>
            <w:r>
              <w:rPr>
                <w:rFonts w:hint="eastAsia" w:ascii="仿宋" w:hAnsi="仿宋" w:eastAsia="仿宋" w:cs="仿宋"/>
                <w:color w:val="auto"/>
                <w:sz w:val="28"/>
                <w:szCs w:val="28"/>
              </w:rPr>
              <w:t xml:space="preserve">县域资源调查天数</w:t>
            </w:r>
            <w:r/>
          </w:p>
        </w:tc>
        <w:tc>
          <w:tcPr>
            <w:tcW w:w="1234" w:type="dxa"/>
            <w:vAlign w:val="center"/>
            <w:textDirection w:val="lrTb"/>
            <w:noWrap w:val="false"/>
          </w:tcPr>
          <w:p>
            <w:pPr>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w:t>
            </w: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天</w:t>
            </w:r>
            <w:r/>
          </w:p>
        </w:tc>
      </w:tr>
      <w:tr>
        <w:trPr>
          <w:jc w:val="center"/>
          <w:trHeight w:val="1097" w:hRule="exact"/>
        </w:trPr>
        <w:tc>
          <w:tcPr>
            <w:tcW w:w="839" w:type="dxa"/>
            <w:vAlign w:val="center"/>
            <w:textDirection w:val="lrTb"/>
            <w:noWrap w:val="false"/>
          </w:tcPr>
          <w:p>
            <w:pPr>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p>
        </w:tc>
        <w:tc>
          <w:tcPr>
            <w:tcW w:w="1413" w:type="dxa"/>
            <w:vAlign w:val="center"/>
            <w:vMerge w:val="continue"/>
            <w:textDirection w:val="lrTb"/>
            <w:noWrap w:val="false"/>
          </w:tcPr>
          <w:p>
            <w:pPr>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88" w:type="dxa"/>
            <w:vAlign w:val="center"/>
            <w:textDirection w:val="lrTb"/>
            <w:noWrap w:val="false"/>
          </w:tcPr>
          <w:p>
            <w:pPr>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数量指标</w:t>
            </w:r>
            <w:r/>
          </w:p>
        </w:tc>
        <w:tc>
          <w:tcPr>
            <w:tcW w:w="3416" w:type="dxa"/>
            <w:vAlign w:val="center"/>
            <w:textDirection w:val="lrTb"/>
            <w:noWrap w:val="false"/>
          </w:tcPr>
          <w:p>
            <w:pPr>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大型真菌样品采集、标本制作、菌种分离数量（株）</w:t>
            </w:r>
            <w:r/>
          </w:p>
        </w:tc>
        <w:tc>
          <w:tcPr>
            <w:tcW w:w="1234" w:type="dxa"/>
            <w:vAlign w:val="center"/>
            <w:textDirection w:val="lrTb"/>
            <w:noWrap w:val="false"/>
          </w:tcPr>
          <w:p>
            <w:pPr>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0株</w:t>
            </w:r>
            <w:r/>
          </w:p>
        </w:tc>
      </w:tr>
      <w:tr>
        <w:trPr>
          <w:jc w:val="center"/>
          <w:trHeight w:val="873" w:hRule="exact"/>
        </w:trPr>
        <w:tc>
          <w:tcPr>
            <w:tcW w:w="839" w:type="dxa"/>
            <w:vAlign w:val="center"/>
            <w:textDirection w:val="lrTb"/>
            <w:noWrap w:val="false"/>
          </w:tcPr>
          <w:p>
            <w:pPr>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w:t>
            </w:r>
            <w:r/>
          </w:p>
        </w:tc>
        <w:tc>
          <w:tcPr>
            <w:tcW w:w="1413" w:type="dxa"/>
            <w:vAlign w:val="center"/>
            <w:vMerge w:val="continue"/>
            <w:textDirection w:val="lrTb"/>
            <w:noWrap w:val="false"/>
          </w:tcPr>
          <w:p>
            <w:pPr>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88" w:type="dxa"/>
            <w:vAlign w:val="center"/>
            <w:textDirection w:val="lrTb"/>
            <w:noWrap w:val="false"/>
          </w:tcPr>
          <w:p>
            <w:pPr>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数量指标</w:t>
            </w:r>
            <w:r/>
          </w:p>
        </w:tc>
        <w:tc>
          <w:tcPr>
            <w:tcW w:w="3416" w:type="dxa"/>
            <w:vAlign w:val="center"/>
            <w:textDirection w:val="lrTb"/>
            <w:noWrap w:val="false"/>
          </w:tcPr>
          <w:p>
            <w:pPr>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大型真菌样品的菌种专利保藏数量（株）</w:t>
            </w:r>
            <w:r/>
          </w:p>
        </w:tc>
        <w:tc>
          <w:tcPr>
            <w:tcW w:w="1234" w:type="dxa"/>
            <w:vAlign w:val="center"/>
            <w:textDirection w:val="lrTb"/>
            <w:noWrap w:val="false"/>
          </w:tcPr>
          <w:p>
            <w:pPr>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株</w:t>
            </w:r>
            <w:r/>
          </w:p>
        </w:tc>
      </w:tr>
      <w:tr>
        <w:trPr>
          <w:jc w:val="center"/>
          <w:trHeight w:val="800" w:hRule="exact"/>
        </w:trPr>
        <w:tc>
          <w:tcPr>
            <w:tcW w:w="839" w:type="dxa"/>
            <w:vAlign w:val="center"/>
            <w:textDirection w:val="lrTb"/>
            <w:noWrap w:val="false"/>
          </w:tcPr>
          <w:p>
            <w:pPr>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w:t>
            </w:r>
            <w:r/>
          </w:p>
        </w:tc>
        <w:tc>
          <w:tcPr>
            <w:tcW w:w="1413" w:type="dxa"/>
            <w:vAlign w:val="center"/>
            <w:vMerge w:val="continue"/>
            <w:textDirection w:val="lrTb"/>
            <w:noWrap w:val="false"/>
          </w:tcPr>
          <w:p>
            <w:pPr>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88" w:type="dxa"/>
            <w:vAlign w:val="center"/>
            <w:textDirection w:val="lrTb"/>
            <w:noWrap w:val="false"/>
          </w:tcPr>
          <w:p>
            <w:pPr>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数量指标</w:t>
            </w:r>
            <w:r/>
          </w:p>
        </w:tc>
        <w:tc>
          <w:tcPr>
            <w:tcW w:w="3416" w:type="dxa"/>
            <w:vAlign w:val="center"/>
            <w:textDirection w:val="lrTb"/>
            <w:noWrap w:val="false"/>
          </w:tcPr>
          <w:p>
            <w:pPr>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营养及活性评价株数与生产性能评价</w:t>
            </w:r>
            <w:r>
              <w:rPr>
                <w:rFonts w:hint="eastAsia" w:ascii="仿宋" w:hAnsi="仿宋" w:eastAsia="仿宋" w:cs="仿宋"/>
                <w:color w:val="auto"/>
                <w:sz w:val="28"/>
                <w:szCs w:val="28"/>
              </w:rPr>
              <w:t xml:space="preserve">株数</w:t>
            </w:r>
            <w:r/>
          </w:p>
        </w:tc>
        <w:tc>
          <w:tcPr>
            <w:tcW w:w="1234" w:type="dxa"/>
            <w:vAlign w:val="center"/>
            <w:textDirection w:val="lrTb"/>
            <w:noWrap w:val="false"/>
          </w:tcPr>
          <w:p>
            <w:pPr>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株</w:t>
            </w:r>
            <w:r/>
          </w:p>
        </w:tc>
      </w:tr>
    </w:tbl>
    <w:p>
      <w:pPr>
        <w:pStyle w:val="818"/>
        <w:rPr>
          <w:rFonts w:hint="eastAsia"/>
          <w:color w:val="ff0000"/>
        </w:rPr>
      </w:pPr>
      <w:r>
        <w:rPr>
          <w:rFonts w:hint="eastAsia"/>
          <w:color w:val="ff0000"/>
        </w:rPr>
      </w:r>
      <w:r/>
    </w:p>
    <w:p>
      <w:pPr>
        <w:pStyle w:val="862"/>
        <w:numPr>
          <w:ilvl w:val="0"/>
          <w:numId w:val="0"/>
        </w:numPr>
        <w:keepLines w:val="0"/>
        <w:keepNext w:val="0"/>
        <w:pageBreakBefore w:val="0"/>
        <w:spacing w:line="360" w:lineRule="auto"/>
        <w:widowControl/>
        <w:rPr>
          <w:rFonts w:hint="eastAsia" w:ascii="仿宋" w:hAnsi="仿宋" w:eastAsia="仿宋" w:cs="仿宋"/>
          <w:b/>
          <w:bCs w:val="0"/>
          <w:color w:val="auto"/>
          <w:sz w:val="28"/>
          <w:szCs w:val="28"/>
          <w:highlight w:val="none"/>
          <w:lang w:eastAsia="zh-CN"/>
        </w:rPr>
        <w:outlineLvl w:val="9"/>
      </w:pPr>
      <w:r>
        <w:rPr>
          <w:rFonts w:hint="eastAsia" w:ascii="仿宋" w:hAnsi="仿宋" w:eastAsia="仿宋" w:cs="仿宋"/>
          <w:b/>
          <w:bCs w:val="0"/>
          <w:color w:val="auto"/>
          <w:sz w:val="28"/>
          <w:szCs w:val="28"/>
          <w:highlight w:val="none"/>
          <w:lang w:eastAsia="zh-CN"/>
        </w:rPr>
        <w:t xml:space="preserve">五、项目人员要求：</w:t>
      </w:r>
      <w:r/>
    </w:p>
    <w:p>
      <w:pPr>
        <w:pStyle w:val="862"/>
        <w:numPr>
          <w:ilvl w:val="0"/>
          <w:numId w:val="5"/>
        </w:numPr>
        <w:keepLines w:val="0"/>
        <w:keepNext w:val="0"/>
        <w:pageBreakBefore w:val="0"/>
        <w:spacing w:line="360" w:lineRule="auto"/>
        <w:widowControl/>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rPr>
        <w:t xml:space="preserve">供应商应具有食用菌种质资源收集保护、鉴定评价与开发利用的专业技术人员，掌握各类食用菌种质资源保藏技术，有开展食用菌种质资源系统调查工作基础。</w:t>
      </w:r>
      <w:r/>
    </w:p>
    <w:p>
      <w:pPr>
        <w:pStyle w:val="862"/>
        <w:numPr>
          <w:ilvl w:val="0"/>
          <w:numId w:val="5"/>
        </w:numPr>
        <w:ind w:left="0" w:firstLine="0"/>
        <w:keepLines w:val="0"/>
        <w:keepNext w:val="0"/>
        <w:pageBreakBefore w:val="0"/>
        <w:spacing w:line="360" w:lineRule="auto"/>
        <w:widowControl/>
        <w:rPr>
          <w:rFonts w:hint="eastAsia" w:ascii="仿宋" w:hAnsi="仿宋" w:eastAsia="仿宋" w:cs="仿宋"/>
          <w:bCs/>
          <w:color w:val="auto"/>
          <w:sz w:val="28"/>
          <w:szCs w:val="28"/>
          <w:highlight w:val="none"/>
        </w:rPr>
        <w:outlineLvl w:val="9"/>
      </w:pPr>
      <w:r>
        <w:rPr>
          <w:rFonts w:hint="eastAsia" w:ascii="仿宋" w:hAnsi="仿宋" w:eastAsia="仿宋" w:cs="仿宋"/>
          <w:bCs/>
          <w:color w:val="auto"/>
          <w:sz w:val="28"/>
          <w:szCs w:val="28"/>
          <w:highlight w:val="none"/>
          <w:lang w:val="en-US" w:eastAsia="zh-CN"/>
        </w:rPr>
        <w:t xml:space="preserve">选派项目负责人</w:t>
      </w:r>
      <w:r>
        <w:rPr>
          <w:rFonts w:hint="eastAsia" w:ascii="仿宋" w:hAnsi="仿宋" w:eastAsia="仿宋" w:cs="仿宋"/>
          <w:bCs/>
          <w:color w:val="auto"/>
          <w:sz w:val="28"/>
          <w:szCs w:val="28"/>
          <w:highlight w:val="none"/>
        </w:rPr>
        <w:t xml:space="preserve">组建调查队伍，开展技术培训</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制定系统调查实施方案。建立系统调查档案，对调查的种质资源进行及保藏。形成食用菌种质资源系统调查报告。</w:t>
      </w:r>
      <w:r/>
    </w:p>
    <w:p>
      <w:pPr>
        <w:numPr>
          <w:ilvl w:val="0"/>
          <w:numId w:val="6"/>
        </w:numP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其他：</w:t>
      </w:r>
      <w:r/>
    </w:p>
    <w:p>
      <w:pPr>
        <w:pStyle w:val="862"/>
        <w:numPr>
          <w:ilvl w:val="0"/>
          <w:numId w:val="7"/>
        </w:numPr>
        <w:keepLines w:val="0"/>
        <w:keepNext w:val="0"/>
        <w:pageBreakBefore w:val="0"/>
        <w:spacing w:line="360" w:lineRule="auto"/>
        <w:widowControl/>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供应商须严格遵守国家关于保密等有关法律规定，对在合同履行期间所获得的采购单位相关信息承担保密责任。</w:t>
      </w:r>
      <w:r/>
    </w:p>
    <w:p>
      <w:pPr>
        <w:numPr>
          <w:ilvl w:val="0"/>
          <w:numId w:val="0"/>
        </w:numPr>
        <w:keepLines w:val="0"/>
        <w:keepNext w:val="0"/>
        <w:pageBreakBefore w:val="0"/>
        <w:spacing w:line="360" w:lineRule="auto"/>
        <w:widowControl/>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2、供应商在项目实施期间须做好安全保护措施，合同履行期间一切安全责任均由中标供应商承担，采购单位概不负责。</w:t>
      </w:r>
      <w:r/>
    </w:p>
    <w:p>
      <w:pPr>
        <w:pStyle w:val="818"/>
        <w:rPr>
          <w:rFonts w:hint="eastAsia" w:eastAsia="宋体"/>
          <w:color w:val="ff0000"/>
          <w:lang w:eastAsia="zh-CN"/>
        </w:rPr>
      </w:pPr>
      <w:r>
        <w:rPr>
          <w:rFonts w:hint="eastAsia" w:eastAsia="宋体"/>
          <w:color w:val="ff0000"/>
          <w:lang w:eastAsia="zh-CN"/>
        </w:rPr>
      </w:r>
      <w:r/>
    </w:p>
    <w:p>
      <w:pPr>
        <w:keepLines w:val="0"/>
        <w:keepNext w:val="0"/>
        <w:pageBreakBefore w:val="0"/>
        <w:spacing w:line="360" w:lineRule="auto"/>
        <w:widowControl/>
        <w:rPr>
          <w:rFonts w:hint="eastAsia" w:ascii="仿宋" w:hAnsi="仿宋" w:eastAsia="仿宋" w:cs="仿宋"/>
          <w:b/>
          <w:color w:val="auto"/>
          <w:sz w:val="28"/>
          <w:szCs w:val="28"/>
          <w:lang w:eastAsia="zh-CN"/>
        </w:rPr>
        <w:outlineLvl w:val="9"/>
      </w:pPr>
      <w:r>
        <w:rPr>
          <w:rFonts w:hint="eastAsia" w:ascii="仿宋" w:hAnsi="仿宋" w:eastAsia="仿宋" w:cs="仿宋"/>
          <w:b/>
          <w:color w:val="auto"/>
          <w:sz w:val="28"/>
          <w:szCs w:val="28"/>
          <w:lang w:eastAsia="zh-CN"/>
        </w:rPr>
        <w:t xml:space="preserve">七</w:t>
      </w:r>
      <w:r>
        <w:rPr>
          <w:rFonts w:hint="eastAsia" w:ascii="仿宋" w:hAnsi="仿宋" w:eastAsia="仿宋" w:cs="仿宋"/>
          <w:b/>
          <w:color w:val="auto"/>
          <w:sz w:val="28"/>
          <w:szCs w:val="28"/>
        </w:rPr>
        <w:t xml:space="preserve">、其他内容和要求：</w:t>
      </w:r>
      <w:r>
        <w:rPr>
          <w:rFonts w:hint="eastAsia" w:ascii="仿宋" w:hAnsi="仿宋" w:eastAsia="仿宋" w:cs="仿宋"/>
          <w:b w:val="0"/>
          <w:bCs/>
          <w:color w:val="auto"/>
          <w:sz w:val="28"/>
          <w:szCs w:val="28"/>
        </w:rPr>
        <w:t xml:space="preserve">见附件：《</w:t>
      </w:r>
      <w:r>
        <w:rPr>
          <w:rFonts w:hint="eastAsia" w:ascii="仿宋" w:hAnsi="仿宋" w:eastAsia="仿宋" w:cs="仿宋"/>
          <w:color w:val="auto"/>
          <w:sz w:val="28"/>
          <w:szCs w:val="28"/>
        </w:rPr>
        <w:t xml:space="preserve">拟签订的合同文本</w:t>
      </w:r>
      <w:r>
        <w:rPr>
          <w:rFonts w:hint="eastAsia" w:ascii="仿宋" w:hAnsi="仿宋" w:eastAsia="仿宋" w:cs="仿宋"/>
          <w:color w:val="auto"/>
          <w:sz w:val="28"/>
          <w:szCs w:val="28"/>
          <w:lang w:eastAsia="zh-CN"/>
        </w:rPr>
        <w:t xml:space="preserve">》。</w:t>
      </w:r>
      <w:r/>
    </w:p>
    <w:p>
      <w:pPr>
        <w:rPr>
          <w:color w:val="auto"/>
        </w:rPr>
      </w:pPr>
      <w:r>
        <w:rPr>
          <w:color w:val="auto"/>
        </w:rPr>
      </w:r>
      <w:r/>
    </w:p>
    <w:p>
      <w:pPr>
        <w:ind w:firstLine="2249"/>
        <w:jc w:val="both"/>
        <w:spacing w:line="520" w:lineRule="exact"/>
        <w:rPr>
          <w:rStyle w:val="1141"/>
          <w:rFonts w:hint="eastAsia" w:ascii="仿宋" w:hAnsi="仿宋" w:eastAsia="仿宋" w:cs="仿宋"/>
          <w:color w:val="auto"/>
          <w:sz w:val="32"/>
          <w:szCs w:val="32"/>
        </w:rPr>
      </w:pPr>
      <w:r>
        <w:rPr>
          <w:rFonts w:hint="eastAsia" w:ascii="仿宋" w:hAnsi="仿宋" w:eastAsia="仿宋" w:cs="仿宋"/>
          <w:color w:val="auto"/>
          <w:sz w:val="32"/>
          <w:szCs w:val="32"/>
        </w:rPr>
      </w:r>
      <w:r/>
    </w:p>
    <w:p>
      <w:pPr>
        <w:ind w:firstLine="2249"/>
        <w:jc w:val="both"/>
        <w:spacing w:line="520" w:lineRule="exact"/>
        <w:rPr>
          <w:rStyle w:val="1141"/>
          <w:rFonts w:hint="eastAsia" w:ascii="仿宋" w:hAnsi="仿宋" w:eastAsia="仿宋" w:cs="仿宋"/>
          <w:color w:val="auto"/>
          <w:sz w:val="32"/>
          <w:szCs w:val="32"/>
        </w:rPr>
      </w:pPr>
      <w:r>
        <w:rPr>
          <w:rFonts w:hint="eastAsia" w:ascii="仿宋" w:hAnsi="仿宋" w:eastAsia="仿宋" w:cs="仿宋"/>
          <w:color w:val="auto"/>
          <w:sz w:val="32"/>
          <w:szCs w:val="32"/>
        </w:rPr>
      </w:r>
      <w:r/>
    </w:p>
    <w:p>
      <w:pPr>
        <w:ind w:firstLine="2249"/>
        <w:jc w:val="both"/>
        <w:spacing w:line="520" w:lineRule="exact"/>
        <w:rPr>
          <w:rStyle w:val="1141"/>
          <w:rFonts w:hint="eastAsia" w:ascii="仿宋" w:hAnsi="仿宋" w:eastAsia="仿宋" w:cs="仿宋"/>
          <w:color w:val="auto"/>
          <w:sz w:val="32"/>
          <w:szCs w:val="32"/>
        </w:rPr>
      </w:pPr>
      <w:r>
        <w:rPr>
          <w:rFonts w:hint="eastAsia" w:ascii="仿宋" w:hAnsi="仿宋" w:eastAsia="仿宋" w:cs="仿宋"/>
          <w:color w:val="auto"/>
          <w:sz w:val="32"/>
          <w:szCs w:val="32"/>
        </w:rPr>
      </w:r>
      <w:r/>
    </w:p>
    <w:p>
      <w:pPr>
        <w:ind w:firstLine="2249"/>
        <w:jc w:val="both"/>
        <w:spacing w:line="520" w:lineRule="exact"/>
        <w:rPr>
          <w:rStyle w:val="1141"/>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16"/>
        <w:rPr>
          <w:rStyle w:val="1141"/>
          <w:rFonts w:hint="eastAsia" w:ascii="仿宋" w:hAnsi="仿宋" w:eastAsia="仿宋" w:cs="仿宋"/>
          <w:color w:val="auto"/>
          <w:sz w:val="32"/>
          <w:szCs w:val="32"/>
        </w:rPr>
      </w:pPr>
      <w:r>
        <w:rPr>
          <w:rFonts w:hint="eastAsia" w:ascii="仿宋" w:hAnsi="仿宋" w:eastAsia="仿宋" w:cs="仿宋"/>
          <w:color w:val="auto"/>
          <w:sz w:val="32"/>
          <w:szCs w:val="32"/>
        </w:rPr>
      </w:r>
      <w:r/>
    </w:p>
    <w:p>
      <w:pPr>
        <w:rPr>
          <w:rStyle w:val="1141"/>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16"/>
        <w:rPr>
          <w:rStyle w:val="1141"/>
          <w:rFonts w:hint="eastAsia" w:ascii="仿宋" w:hAnsi="仿宋" w:eastAsia="仿宋" w:cs="仿宋"/>
          <w:color w:val="auto"/>
          <w:sz w:val="32"/>
          <w:szCs w:val="32"/>
        </w:rPr>
      </w:pPr>
      <w:r>
        <w:rPr>
          <w:rFonts w:hint="eastAsia" w:ascii="仿宋" w:hAnsi="仿宋" w:eastAsia="仿宋" w:cs="仿宋"/>
          <w:color w:val="auto"/>
          <w:sz w:val="32"/>
          <w:szCs w:val="32"/>
        </w:rPr>
      </w:r>
      <w:r/>
    </w:p>
    <w:p>
      <w:pPr>
        <w:rPr>
          <w:rStyle w:val="1141"/>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16"/>
        <w:rPr>
          <w:rStyle w:val="1141"/>
          <w:rFonts w:hint="eastAsia" w:ascii="仿宋" w:hAnsi="仿宋" w:eastAsia="仿宋" w:cs="仿宋"/>
          <w:color w:val="auto"/>
          <w:sz w:val="32"/>
          <w:szCs w:val="32"/>
        </w:rPr>
      </w:pPr>
      <w:r>
        <w:rPr>
          <w:rFonts w:hint="eastAsia" w:ascii="仿宋" w:hAnsi="仿宋" w:eastAsia="仿宋" w:cs="仿宋"/>
          <w:color w:val="auto"/>
          <w:sz w:val="32"/>
          <w:szCs w:val="32"/>
        </w:rPr>
      </w:r>
      <w:r/>
    </w:p>
    <w:p>
      <w:pPr>
        <w:rPr>
          <w:rStyle w:val="1141"/>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16"/>
        <w:rPr>
          <w:rStyle w:val="1141"/>
          <w:rFonts w:hint="eastAsia" w:ascii="仿宋" w:hAnsi="仿宋" w:eastAsia="仿宋" w:cs="仿宋"/>
          <w:color w:val="auto"/>
          <w:sz w:val="32"/>
          <w:szCs w:val="32"/>
        </w:rPr>
      </w:pPr>
      <w:r>
        <w:rPr>
          <w:rFonts w:hint="eastAsia" w:ascii="仿宋" w:hAnsi="仿宋" w:eastAsia="仿宋" w:cs="仿宋"/>
          <w:color w:val="auto"/>
          <w:sz w:val="32"/>
          <w:szCs w:val="32"/>
        </w:rPr>
      </w:r>
      <w:r/>
    </w:p>
    <w:p>
      <w:pPr>
        <w:rPr>
          <w:rStyle w:val="1141"/>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16"/>
        <w:rPr>
          <w:rStyle w:val="1141"/>
          <w:rFonts w:hint="eastAsia" w:ascii="仿宋" w:hAnsi="仿宋" w:eastAsia="仿宋" w:cs="仿宋"/>
          <w:color w:val="auto"/>
          <w:sz w:val="32"/>
          <w:szCs w:val="32"/>
        </w:rPr>
      </w:pPr>
      <w:r>
        <w:rPr>
          <w:rFonts w:hint="eastAsia" w:ascii="仿宋" w:hAnsi="仿宋" w:eastAsia="仿宋" w:cs="仿宋"/>
          <w:color w:val="auto"/>
          <w:sz w:val="32"/>
          <w:szCs w:val="32"/>
        </w:rPr>
      </w:r>
      <w:r/>
    </w:p>
    <w:p>
      <w:pPr>
        <w:rPr>
          <w:rStyle w:val="1141"/>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16"/>
        <w:rPr>
          <w:rStyle w:val="1141"/>
          <w:rFonts w:hint="eastAsia" w:ascii="仿宋" w:hAnsi="仿宋" w:eastAsia="仿宋" w:cs="仿宋"/>
          <w:color w:val="auto"/>
          <w:sz w:val="32"/>
          <w:szCs w:val="32"/>
        </w:rPr>
      </w:pPr>
      <w:r>
        <w:rPr>
          <w:rFonts w:hint="eastAsia" w:ascii="仿宋" w:hAnsi="仿宋" w:eastAsia="仿宋" w:cs="仿宋"/>
          <w:color w:val="auto"/>
          <w:sz w:val="32"/>
          <w:szCs w:val="32"/>
        </w:rPr>
      </w:r>
      <w:r/>
    </w:p>
    <w:p>
      <w:pPr>
        <w:rPr>
          <w:rStyle w:val="1141"/>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16"/>
        <w:rPr>
          <w:rStyle w:val="1141"/>
          <w:rFonts w:hint="eastAsia" w:ascii="仿宋" w:hAnsi="仿宋" w:eastAsia="仿宋" w:cs="仿宋"/>
          <w:color w:val="auto"/>
          <w:sz w:val="32"/>
          <w:szCs w:val="32"/>
        </w:rPr>
      </w:pPr>
      <w:r>
        <w:rPr>
          <w:rFonts w:hint="eastAsia" w:ascii="仿宋" w:hAnsi="仿宋" w:eastAsia="仿宋" w:cs="仿宋"/>
          <w:color w:val="auto"/>
          <w:sz w:val="32"/>
          <w:szCs w:val="32"/>
        </w:rPr>
      </w:r>
      <w:r/>
    </w:p>
    <w:p>
      <w:pPr>
        <w:rPr>
          <w:rFonts w:hint="eastAsia"/>
        </w:rPr>
      </w:pPr>
      <w:r>
        <w:rPr>
          <w:rFonts w:hint="eastAsia"/>
        </w:rPr>
      </w:r>
      <w:r/>
    </w:p>
    <w:p>
      <w:pPr>
        <w:pStyle w:val="816"/>
        <w:rPr>
          <w:rFonts w:hint="eastAsia"/>
        </w:rPr>
      </w:pPr>
      <w:r>
        <w:rPr>
          <w:rFonts w:hint="eastAsia"/>
        </w:rPr>
      </w:r>
      <w:r/>
    </w:p>
    <w:p>
      <w:pPr>
        <w:rPr>
          <w:rFonts w:hint="eastAsia"/>
        </w:rPr>
      </w:pPr>
      <w:r>
        <w:rPr>
          <w:rFonts w:hint="eastAsia"/>
        </w:rPr>
      </w:r>
      <w:r/>
    </w:p>
    <w:p>
      <w:pPr>
        <w:pStyle w:val="816"/>
        <w:rPr>
          <w:rFonts w:hint="eastAsia"/>
        </w:rPr>
      </w:pPr>
      <w:r>
        <w:rPr>
          <w:rFonts w:hint="eastAsia"/>
        </w:rPr>
      </w:r>
      <w:r/>
    </w:p>
    <w:p>
      <w:pPr>
        <w:rPr>
          <w:rFonts w:hint="eastAsia"/>
        </w:rPr>
      </w:pPr>
      <w:r>
        <w:rPr>
          <w:rFonts w:hint="eastAsia"/>
        </w:rPr>
      </w:r>
      <w:r/>
    </w:p>
    <w:p>
      <w:pPr>
        <w:pStyle w:val="816"/>
        <w:rPr>
          <w:rFonts w:hint="eastAsia"/>
        </w:rPr>
      </w:pPr>
      <w:r>
        <w:rPr>
          <w:rFonts w:hint="eastAsia"/>
        </w:rPr>
      </w:r>
      <w:r/>
    </w:p>
    <w:p>
      <w:pPr>
        <w:rPr>
          <w:rFonts w:hint="eastAsia"/>
        </w:rPr>
      </w:pPr>
      <w:r>
        <w:rPr>
          <w:rFonts w:hint="eastAsia"/>
        </w:rPr>
      </w:r>
      <w:r/>
    </w:p>
    <w:p>
      <w:pPr>
        <w:pStyle w:val="816"/>
        <w:rPr>
          <w:rFonts w:hint="eastAsia"/>
        </w:rPr>
      </w:pPr>
      <w:r>
        <w:rPr>
          <w:rFonts w:hint="eastAsia"/>
        </w:rPr>
      </w:r>
      <w:r/>
    </w:p>
    <w:p>
      <w:pPr>
        <w:rPr>
          <w:rFonts w:hint="eastAsia"/>
        </w:rPr>
      </w:pPr>
      <w:r>
        <w:rPr>
          <w:rFonts w:hint="eastAsia"/>
        </w:rPr>
      </w:r>
      <w:r/>
    </w:p>
    <w:p>
      <w:pPr>
        <w:ind w:firstLine="2249"/>
        <w:jc w:val="both"/>
        <w:spacing w:line="520" w:lineRule="exact"/>
        <w:rPr>
          <w:rFonts w:hint="eastAsia" w:ascii="仿宋" w:hAnsi="仿宋" w:eastAsia="仿宋" w:cs="仿宋"/>
          <w:color w:val="auto"/>
          <w:sz w:val="24"/>
          <w:szCs w:val="24"/>
        </w:rPr>
      </w:pPr>
      <w:r>
        <w:rPr>
          <w:rStyle w:val="1141"/>
          <w:rFonts w:hint="eastAsia" w:ascii="仿宋" w:hAnsi="仿宋" w:eastAsia="仿宋" w:cs="仿宋"/>
          <w:color w:val="auto"/>
          <w:sz w:val="32"/>
          <w:szCs w:val="32"/>
        </w:rPr>
        <w:t xml:space="preserve">第七章  投标文件相关格式</w:t>
      </w:r>
      <w:r/>
    </w:p>
    <w:p>
      <w:pPr>
        <w:ind w:firstLine="313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一、投标函格式</w:t>
      </w:r>
      <w:r/>
    </w:p>
    <w:p>
      <w:pPr>
        <w:spacing w:line="48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eastAsia="zh-CN"/>
        </w:rPr>
        <w:t xml:space="preserve">江苏友信招标代理有限公司</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根据</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项目[</w:t>
      </w:r>
      <w:r>
        <w:rPr>
          <w:rFonts w:hint="eastAsia" w:ascii="仿宋" w:hAnsi="仿宋" w:eastAsia="仿宋" w:cs="仿宋"/>
          <w:color w:val="auto"/>
          <w:sz w:val="28"/>
          <w:szCs w:val="28"/>
          <w:lang w:eastAsia="zh-CN"/>
        </w:rPr>
        <w:t xml:space="preserve">项目编号：JSZC-320312-YXYX-G2024-0010</w:t>
      </w:r>
      <w:r>
        <w:rPr>
          <w:rFonts w:hint="eastAsia" w:ascii="仿宋" w:hAnsi="仿宋" w:eastAsia="仿宋" w:cs="仿宋"/>
          <w:color w:val="auto"/>
          <w:sz w:val="28"/>
          <w:szCs w:val="28"/>
        </w:rPr>
        <w:t xml:space="preserve">]招标文件，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(姓名)代表我方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（投标人的名称）全权处理本次投标的有关事宜。</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据此函，投标人承诺并同意如下： </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 投标人唯一投标报价见《开标一览表》。</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 投标人将按招标文件的规定履行合同责任和义务。</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 投标人已详细审查全部招标文件，包括第[插入编号] [补遗书][如果有的话]。投标人完全理解并同意放弃对这方面有不明及误解的权力。</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 投标有效期为开标之日后90天。</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 投标人同意提供按照贵方可能要求的与其投标有关的一切数据或资料，完全理解贵方不一定接受最低价的投标或收到的任何投标。</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6. 投标人同意在授予合同后，按照有关规定支付公证费(如有)。</w:t>
      </w:r>
      <w:r/>
    </w:p>
    <w:p>
      <w:pPr>
        <w:ind w:right="29"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7. </w:t>
      </w:r>
      <w:r>
        <w:rPr>
          <w:rFonts w:hint="eastAsia" w:ascii="仿宋" w:hAnsi="仿宋" w:eastAsia="仿宋" w:cs="仿宋"/>
          <w:color w:val="auto"/>
          <w:sz w:val="28"/>
          <w:szCs w:val="28"/>
          <w:lang w:eastAsia="zh-CN"/>
        </w:rPr>
        <w:t xml:space="preserve">江苏友信招标代理有限公司</w:t>
      </w:r>
      <w:r>
        <w:rPr>
          <w:rFonts w:hint="eastAsia" w:ascii="仿宋" w:hAnsi="仿宋" w:eastAsia="仿宋" w:cs="仿宋"/>
          <w:color w:val="auto"/>
          <w:sz w:val="28"/>
          <w:szCs w:val="28"/>
        </w:rPr>
        <w:t xml:space="preserve">有权将我单位本项目的《开标一览表》和《分项价格表》予以公示，公示的方式由</w:t>
      </w:r>
      <w:r>
        <w:rPr>
          <w:rFonts w:hint="eastAsia" w:ascii="仿宋" w:hAnsi="仿宋" w:eastAsia="仿宋" w:cs="仿宋"/>
          <w:color w:val="auto"/>
          <w:sz w:val="28"/>
          <w:szCs w:val="28"/>
          <w:lang w:eastAsia="zh-CN"/>
        </w:rPr>
        <w:t xml:space="preserve">江苏友信招标代理有限公司</w:t>
      </w:r>
      <w:r>
        <w:rPr>
          <w:rFonts w:hint="eastAsia" w:ascii="仿宋" w:hAnsi="仿宋" w:eastAsia="仿宋" w:cs="仿宋"/>
          <w:color w:val="auto"/>
          <w:sz w:val="28"/>
          <w:szCs w:val="28"/>
        </w:rPr>
        <w:t xml:space="preserve">确定。</w:t>
      </w:r>
      <w:r/>
    </w:p>
    <w:p>
      <w:pPr>
        <w:ind w:right="29"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9. 与本投标有关的一切正式往来信函请寄：</w:t>
      </w:r>
      <w:r/>
    </w:p>
    <w:p>
      <w:pPr>
        <w:ind w:firstLine="12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 </w:t>
      </w:r>
      <w:r/>
    </w:p>
    <w:p>
      <w:pPr>
        <w:ind w:firstLine="12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电话： </w:t>
      </w:r>
      <w:r/>
    </w:p>
    <w:p>
      <w:pPr>
        <w:ind w:firstLine="12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传真： </w:t>
      </w:r>
      <w:r/>
    </w:p>
    <w:p>
      <w:pPr>
        <w:ind w:firstLine="27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（盖单位电子签章）</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4500"/>
        <w:spacing w:line="480" w:lineRule="exact"/>
        <w:rPr>
          <w:rFonts w:hint="eastAsia" w:ascii="仿宋" w:hAnsi="仿宋" w:eastAsia="仿宋" w:cs="仿宋"/>
          <w:color w:val="000000"/>
          <w:sz w:val="28"/>
          <w:szCs w:val="28"/>
        </w:rPr>
      </w:pPr>
      <w:r>
        <w:rPr>
          <w:rFonts w:hint="eastAsia" w:ascii="仿宋" w:hAnsi="仿宋" w:eastAsia="仿宋" w:cs="仿宋"/>
          <w:color w:val="auto"/>
          <w:sz w:val="28"/>
          <w:szCs w:val="28"/>
        </w:rPr>
        <w:t xml:space="preserve">日期：   年  月  日</w:t>
      </w:r>
      <w:r/>
    </w:p>
    <w:p>
      <w:pPr>
        <w:pStyle w:val="837"/>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37"/>
        <w:jc w:val="center"/>
        <w:rPr>
          <w:rFonts w:hint="eastAsia" w:ascii="仿宋" w:hAnsi="仿宋" w:eastAsia="仿宋" w:cs="仿宋"/>
          <w:color w:val="000000"/>
          <w:sz w:val="32"/>
          <w:szCs w:val="32"/>
          <w:highlight w:val="none"/>
        </w:rPr>
      </w:pPr>
      <w:r>
        <w:rPr>
          <w:rFonts w:hint="eastAsia" w:ascii="仿宋" w:hAnsi="仿宋" w:eastAsia="仿宋" w:cs="仿宋"/>
          <w:color w:val="000000"/>
          <w:sz w:val="32"/>
          <w:szCs w:val="32"/>
          <w:lang w:val="en-US" w:eastAsia="zh-CN"/>
        </w:rPr>
        <w:t xml:space="preserve"> </w:t>
      </w:r>
      <w:r>
        <w:rPr>
          <w:rFonts w:hint="eastAsia" w:ascii="仿宋" w:hAnsi="仿宋" w:eastAsia="仿宋" w:cs="仿宋"/>
          <w:color w:val="000000"/>
          <w:sz w:val="32"/>
          <w:szCs w:val="32"/>
        </w:rPr>
        <w:t xml:space="preserve">2．开标一览表</w:t>
      </w:r>
      <w:r/>
    </w:p>
    <w:p>
      <w:pPr>
        <w:pStyle w:val="837"/>
        <w:ind w:left="1200" w:hanging="1200"/>
        <w:rPr>
          <w:rFonts w:hint="eastAsia" w:ascii="仿宋" w:hAnsi="仿宋" w:eastAsia="仿宋" w:cs="仿宋"/>
          <w:color w:val="000000"/>
          <w:sz w:val="24"/>
        </w:rPr>
      </w:pPr>
      <w:r>
        <w:rPr>
          <w:rFonts w:hint="eastAsia" w:ascii="仿宋" w:hAnsi="仿宋" w:eastAsia="仿宋" w:cs="仿宋"/>
          <w:color w:val="000000"/>
          <w:sz w:val="24"/>
        </w:rPr>
      </w:r>
      <w:r/>
    </w:p>
    <w:p>
      <w:pPr>
        <w:pStyle w:val="837"/>
        <w:ind w:left="1200" w:hanging="1200"/>
        <w:rPr>
          <w:rFonts w:hint="eastAsia" w:ascii="仿宋" w:hAnsi="仿宋" w:eastAsia="仿宋" w:cs="仿宋"/>
          <w:color w:val="000000"/>
          <w:sz w:val="24"/>
        </w:rPr>
      </w:pPr>
      <w:r>
        <w:rPr>
          <w:rFonts w:hint="eastAsia" w:ascii="仿宋" w:hAnsi="仿宋" w:eastAsia="仿宋" w:cs="仿宋"/>
          <w:color w:val="000000"/>
          <w:sz w:val="24"/>
        </w:rPr>
      </w:r>
      <w:r/>
    </w:p>
    <w:p>
      <w:pPr>
        <w:pStyle w:val="837"/>
        <w:ind w:left="1200" w:hanging="1200"/>
        <w:rPr>
          <w:rFonts w:hint="eastAsia" w:ascii="仿宋" w:hAnsi="仿宋" w:eastAsia="仿宋" w:cs="仿宋"/>
          <w:color w:val="000000"/>
          <w:sz w:val="28"/>
          <w:szCs w:val="28"/>
          <w:lang w:val="zh-CN"/>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铜山区农业微生物（食用菌）种质资源普查项目</w:t>
      </w:r>
      <w:r/>
    </w:p>
    <w:p>
      <w:pPr>
        <w:pStyle w:val="837"/>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项目编号：JSZC-320312-YXYX-G2024-0010</w:t>
      </w:r>
      <w:r/>
    </w:p>
    <w:p>
      <w:pPr>
        <w:pStyle w:val="837"/>
        <w:ind w:firstLine="560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货币单位：人民币元</w:t>
      </w:r>
      <w:r/>
    </w:p>
    <w:tbl>
      <w:tblPr>
        <w:tblStyle w:val="815"/>
        <w:tblW w:w="9105" w:type="dxa"/>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4"/>
        <w:gridCol w:w="2805"/>
        <w:gridCol w:w="3376"/>
      </w:tblGrid>
      <w:tr>
        <w:trPr>
          <w:cantSplit/>
          <w:jc w:val="center"/>
          <w:trHeight w:val="768"/>
        </w:trPr>
        <w:tc>
          <w:tcPr>
            <w:tcW w:w="2924" w:type="dxa"/>
            <w:vAlign w:val="center"/>
            <w:textDirection w:val="lrTb"/>
            <w:noWrap w:val="false"/>
          </w:tcPr>
          <w:p>
            <w:pPr>
              <w:pStyle w:val="837"/>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W w:w="2805" w:type="dxa"/>
            <w:vAlign w:val="center"/>
            <w:textDirection w:val="lrTb"/>
            <w:noWrap w:val="false"/>
          </w:tcPr>
          <w:p>
            <w:pPr>
              <w:pStyle w:val="837"/>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项目内容</w:t>
            </w:r>
            <w:r/>
          </w:p>
        </w:tc>
        <w:tc>
          <w:tcPr>
            <w:tcW w:w="3376" w:type="dxa"/>
            <w:vAlign w:val="center"/>
            <w:textDirection w:val="lrTb"/>
            <w:noWrap w:val="false"/>
          </w:tcPr>
          <w:p>
            <w:pPr>
              <w:pStyle w:val="837"/>
              <w:jc w:val="cente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投标</w:t>
            </w:r>
            <w:r>
              <w:rPr>
                <w:rFonts w:hint="eastAsia" w:ascii="仿宋" w:hAnsi="仿宋" w:eastAsia="仿宋" w:cs="仿宋"/>
                <w:color w:val="000000"/>
                <w:sz w:val="28"/>
                <w:szCs w:val="28"/>
              </w:rPr>
              <w:t xml:space="preserve">报价</w:t>
            </w:r>
            <w:r>
              <w:rPr>
                <w:rFonts w:hint="eastAsia" w:ascii="仿宋" w:hAnsi="仿宋" w:eastAsia="仿宋" w:cs="仿宋"/>
                <w:color w:val="000000"/>
                <w:sz w:val="28"/>
                <w:szCs w:val="28"/>
                <w:lang w:eastAsia="zh-CN"/>
              </w:rPr>
              <w:t xml:space="preserve">（小写）</w:t>
            </w:r>
            <w:r/>
          </w:p>
        </w:tc>
      </w:tr>
      <w:tr>
        <w:trPr>
          <w:cantSplit/>
          <w:jc w:val="center"/>
          <w:trHeight w:val="1520"/>
        </w:trPr>
        <w:tc>
          <w:tcPr>
            <w:tcW w:w="2924" w:type="dxa"/>
            <w:vAlign w:val="center"/>
            <w:textDirection w:val="lrTb"/>
            <w:noWrap w:val="false"/>
          </w:tcPr>
          <w:p>
            <w:pPr>
              <w:pStyle w:val="837"/>
              <w:jc w:val="cente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铜山区农业微生物（食用菌）种质资源普查项目</w:t>
            </w:r>
            <w:r/>
          </w:p>
        </w:tc>
        <w:tc>
          <w:tcPr>
            <w:tcW w:w="2805" w:type="dxa"/>
            <w:vAlign w:val="center"/>
            <w:textDirection w:val="lrTb"/>
            <w:noWrap w:val="false"/>
          </w:tcPr>
          <w:p>
            <w:pPr>
              <w:pStyle w:val="837"/>
              <w:jc w:val="center"/>
              <w:rPr>
                <w:rFonts w:hint="eastAsia" w:ascii="仿宋" w:hAnsi="仿宋" w:eastAsia="仿宋" w:cs="仿宋"/>
                <w:color w:val="000000"/>
                <w:sz w:val="28"/>
                <w:szCs w:val="28"/>
              </w:rPr>
            </w:pPr>
            <w:r>
              <w:rPr>
                <w:rFonts w:hint="eastAsia" w:ascii="仿宋" w:hAnsi="仿宋" w:eastAsia="仿宋" w:cs="仿宋"/>
                <w:sz w:val="28"/>
                <w:szCs w:val="28"/>
              </w:rPr>
              <w:t xml:space="preserve">详见</w:t>
            </w:r>
            <w:r>
              <w:rPr>
                <w:rFonts w:hint="eastAsia" w:ascii="仿宋" w:hAnsi="仿宋" w:eastAsia="仿宋" w:cs="仿宋"/>
                <w:sz w:val="28"/>
                <w:szCs w:val="28"/>
                <w:lang w:eastAsia="zh-CN"/>
              </w:rPr>
              <w:t xml:space="preserve">招</w:t>
            </w:r>
            <w:r>
              <w:rPr>
                <w:rFonts w:hint="eastAsia" w:ascii="仿宋" w:hAnsi="仿宋" w:eastAsia="仿宋" w:cs="仿宋"/>
                <w:sz w:val="28"/>
                <w:szCs w:val="28"/>
              </w:rPr>
              <w:t xml:space="preserve">标文件</w:t>
            </w:r>
            <w:r/>
          </w:p>
        </w:tc>
        <w:tc>
          <w:tcPr>
            <w:tcW w:w="3376" w:type="dxa"/>
            <w:vAlign w:val="center"/>
            <w:textDirection w:val="lrTb"/>
            <w:noWrap w:val="false"/>
          </w:tcPr>
          <w:p>
            <w:pPr>
              <w:pStyle w:val="837"/>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945"/>
        </w:trPr>
        <w:tc>
          <w:tcPr>
            <w:tcW w:w="2924" w:type="dxa"/>
            <w:vAlign w:val="center"/>
            <w:textDirection w:val="lrTb"/>
            <w:noWrap w:val="false"/>
          </w:tcPr>
          <w:p>
            <w:pPr>
              <w:pStyle w:val="837"/>
              <w:jc w:val="cente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总价（大写）：</w:t>
            </w:r>
            <w:r/>
          </w:p>
        </w:tc>
        <w:tc>
          <w:tcPr>
            <w:gridSpan w:val="2"/>
            <w:tcW w:w="6181" w:type="dxa"/>
            <w:vAlign w:val="center"/>
            <w:textDirection w:val="lrTb"/>
            <w:noWrap w:val="false"/>
          </w:tcPr>
          <w:p>
            <w:pPr>
              <w:pStyle w:val="837"/>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pStyle w:val="1097"/>
        <w:ind w:left="0" w:firstLine="0"/>
        <w:rPr>
          <w:rFonts w:hint="default" w:ascii="仿宋" w:hAnsi="仿宋" w:eastAsia="仿宋" w:cs="仿宋"/>
          <w:color w:val="000000"/>
          <w:sz w:val="28"/>
          <w:szCs w:val="28"/>
          <w:lang w:val="en-US" w:eastAsia="zh-CN"/>
        </w:rPr>
      </w:pPr>
      <w:r>
        <w:rPr>
          <w:rFonts w:hint="default" w:ascii="仿宋" w:hAnsi="仿宋" w:eastAsia="仿宋" w:cs="仿宋"/>
          <w:color w:val="000000"/>
          <w:sz w:val="28"/>
          <w:szCs w:val="28"/>
          <w:lang w:val="en-US" w:eastAsia="zh-CN"/>
        </w:rPr>
      </w:r>
      <w:r/>
    </w:p>
    <w:p>
      <w:pPr>
        <w:pStyle w:val="870"/>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投标人</w:t>
      </w:r>
      <w:r>
        <w:rPr>
          <w:rFonts w:hint="eastAsia" w:ascii="仿宋" w:hAnsi="仿宋" w:eastAsia="仿宋" w:cs="仿宋"/>
          <w:b/>
          <w:bCs/>
          <w:color w:val="000000"/>
          <w:sz w:val="28"/>
          <w:szCs w:val="28"/>
        </w:rPr>
        <w:t xml:space="preserve">承诺：本项目由</w:t>
      </w:r>
      <w:r>
        <w:rPr>
          <w:rFonts w:hint="eastAsia" w:ascii="仿宋" w:hAnsi="仿宋" w:eastAsia="仿宋" w:cs="仿宋"/>
          <w:b/>
          <w:bCs/>
          <w:color w:val="000000"/>
          <w:sz w:val="28"/>
          <w:szCs w:val="28"/>
          <w:lang w:val="en-US" w:eastAsia="zh-CN"/>
        </w:rPr>
        <w:t xml:space="preserve">投标人</w:t>
      </w:r>
      <w:r>
        <w:rPr>
          <w:rFonts w:hint="eastAsia" w:ascii="仿宋" w:hAnsi="仿宋" w:eastAsia="仿宋" w:cs="仿宋"/>
          <w:b/>
          <w:bCs/>
          <w:color w:val="000000"/>
          <w:sz w:val="28"/>
          <w:szCs w:val="28"/>
        </w:rPr>
        <w:t xml:space="preserve">本企业提供服务</w:t>
      </w:r>
      <w:r/>
    </w:p>
    <w:p>
      <w:pPr>
        <w:pStyle w:val="1097"/>
        <w:ind w:left="0" w:firstLine="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报价说明：</w:t>
      </w:r>
      <w:r/>
    </w:p>
    <w:p>
      <w:pPr>
        <w:pStyle w:val="837"/>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1、报价包括完成项目的所有费用。采购人不再支付报价以外的任何费用。</w:t>
      </w:r>
      <w:r/>
    </w:p>
    <w:p>
      <w:pPr>
        <w:pStyle w:val="837"/>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2、报价以总价为准，大小写不一致以大写为准；</w:t>
      </w:r>
      <w:r/>
    </w:p>
    <w:p>
      <w:pPr>
        <w:pStyle w:val="837"/>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3、偏离说明：详见《偏离表》。</w:t>
      </w:r>
      <w:r/>
    </w:p>
    <w:p>
      <w:pPr>
        <w:pStyle w:val="837"/>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ind w:firstLine="312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ind w:firstLine="312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auto"/>
          <w:sz w:val="28"/>
          <w:szCs w:val="28"/>
        </w:rPr>
        <w:t xml:space="preserve">盖单位电子签章</w:t>
      </w:r>
      <w:r>
        <w:rPr>
          <w:rFonts w:hint="eastAsia" w:ascii="仿宋" w:hAnsi="仿宋" w:eastAsia="仿宋" w:cs="仿宋"/>
          <w:color w:val="000000"/>
          <w:sz w:val="28"/>
          <w:szCs w:val="28"/>
        </w:rPr>
        <w:t xml:space="preserve">）</w:t>
      </w:r>
      <w:r/>
    </w:p>
    <w:p>
      <w:pPr>
        <w:pStyle w:val="837"/>
        <w:ind w:firstLine="48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投标人授权代表：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  </w:t>
      </w:r>
      <w:r/>
    </w:p>
    <w:p>
      <w:pPr>
        <w:pStyle w:val="837"/>
        <w:ind w:firstLine="31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jc w:val="left"/>
        <w:widowControl/>
        <w:rPr>
          <w:rFonts w:hint="eastAsia" w:ascii="仿宋" w:hAnsi="仿宋" w:eastAsia="仿宋" w:cs="仿宋"/>
          <w:color w:val="auto"/>
          <w:sz w:val="30"/>
          <w:szCs w:val="30"/>
        </w:rPr>
      </w:pPr>
      <w:r>
        <w:rPr>
          <w:rFonts w:hint="eastAsia" w:ascii="仿宋" w:hAnsi="仿宋" w:eastAsia="仿宋" w:cs="仿宋"/>
          <w:color w:val="000000"/>
          <w:sz w:val="28"/>
          <w:szCs w:val="28"/>
        </w:rPr>
        <w:br w:type="page" w:clear="all"/>
      </w:r>
      <w:r>
        <w:rPr>
          <w:rFonts w:hint="eastAsia" w:ascii="仿宋" w:hAnsi="仿宋" w:eastAsia="仿宋" w:cs="仿宋"/>
          <w:color w:val="auto"/>
          <w:sz w:val="28"/>
          <w:szCs w:val="28"/>
        </w:rPr>
        <w:t xml:space="preserve">  </w:t>
      </w:r>
      <w:r>
        <w:rPr>
          <w:rFonts w:hint="eastAsia" w:ascii="仿宋" w:hAnsi="仿宋" w:eastAsia="仿宋" w:cs="仿宋"/>
          <w:color w:val="auto"/>
          <w:sz w:val="30"/>
          <w:szCs w:val="30"/>
        </w:rPr>
        <w:t xml:space="preserve">三、分项价格表格式</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w:t>
      </w:r>
      <w:r>
        <w:rPr>
          <w:rFonts w:hint="eastAsia" w:ascii="仿宋" w:hAnsi="仿宋" w:eastAsia="仿宋" w:cs="仿宋"/>
          <w:color w:val="000000"/>
          <w:sz w:val="28"/>
          <w:szCs w:val="28"/>
          <w:lang w:eastAsia="zh-CN"/>
        </w:rPr>
        <w:t xml:space="preserve">铜山区农业微生物（食用菌）种质资源普查项目</w:t>
      </w:r>
      <w:r>
        <w:rPr>
          <w:rFonts w:hint="eastAsia" w:ascii="仿宋" w:hAnsi="仿宋" w:eastAsia="仿宋" w:cs="仿宋"/>
          <w:color w:val="auto"/>
          <w:sz w:val="28"/>
          <w:szCs w:val="28"/>
        </w:rPr>
        <w:t xml:space="preserve"> </w:t>
      </w:r>
      <w:r/>
    </w:p>
    <w:p>
      <w:pPr>
        <w:ind w:firstLine="600"/>
        <w:spacing w:line="48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项目编号：JSZC-320312-YXYX-G2024-0010</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货币单位：人民币元</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格式自拟。</w:t>
      </w:r>
      <w:r/>
    </w:p>
    <w:p>
      <w:pPr>
        <w:ind w:firstLine="285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140"/>
        <w:ind w:left="1470" w:right="147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285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（盖单位电子签章）</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39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   年  月  日</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本款说明：</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2.享受政府采购支持政策的残疾人福利性单位应满足的条件以《关于促进残疾人就业政府采购政策的通知》（财库〔2017〕141号）的规定为准。</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注：①如果不提供详细分项报价的，将视为没有实质性响应招标文件。②投标人对以上数据的真实性负责。</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江苏友信招标代理有限公司</w:t>
      </w:r>
      <w:r>
        <w:rPr>
          <w:rFonts w:hint="eastAsia" w:ascii="仿宋" w:hAnsi="仿宋" w:eastAsia="仿宋" w:cs="仿宋"/>
          <w:color w:val="auto"/>
          <w:sz w:val="28"/>
          <w:szCs w:val="28"/>
        </w:rPr>
        <w:t xml:space="preserve">有权将以上内容进行公示。</w:t>
      </w:r>
      <w:r/>
    </w:p>
    <w:p>
      <w:pPr>
        <w:ind w:firstLine="560"/>
        <w:spacing w:line="480" w:lineRule="exact"/>
        <w:rPr>
          <w:rFonts w:hint="eastAsia" w:ascii="仿宋" w:hAnsi="仿宋" w:eastAsia="仿宋" w:cs="仿宋"/>
          <w:color w:val="auto"/>
          <w:sz w:val="30"/>
          <w:szCs w:val="30"/>
        </w:rPr>
      </w:pPr>
      <w:r>
        <w:rPr>
          <w:rFonts w:hint="eastAsia" w:ascii="宋体" w:hAnsi="宋体" w:eastAsia="宋体" w:cs="宋体"/>
          <w:color w:val="auto"/>
          <w:sz w:val="24"/>
          <w:szCs w:val="24"/>
        </w:rPr>
        <w:br w:type="page" w:clear="all"/>
      </w:r>
      <w:r>
        <w:rPr>
          <w:rFonts w:hint="eastAsia" w:ascii="宋体" w:hAnsi="宋体" w:cs="宋体"/>
          <w:color w:val="auto"/>
          <w:sz w:val="24"/>
          <w:szCs w:val="24"/>
          <w:lang w:val="en-US" w:eastAsia="zh-CN"/>
        </w:rPr>
        <w:t xml:space="preserve"> </w:t>
      </w:r>
      <w:r>
        <w:rPr>
          <w:rFonts w:hint="eastAsia" w:ascii="仿宋" w:hAnsi="仿宋" w:eastAsia="仿宋" w:cs="仿宋"/>
          <w:color w:val="auto"/>
          <w:sz w:val="30"/>
          <w:szCs w:val="30"/>
        </w:rPr>
        <w:t xml:space="preserve">四、偏离表格式</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w:t>
      </w:r>
      <w:r>
        <w:rPr>
          <w:rFonts w:hint="eastAsia" w:ascii="仿宋" w:hAnsi="仿宋" w:eastAsia="仿宋" w:cs="仿宋"/>
          <w:color w:val="000000"/>
          <w:sz w:val="28"/>
          <w:szCs w:val="28"/>
          <w:lang w:eastAsia="zh-CN"/>
        </w:rPr>
        <w:t xml:space="preserve">铜山区农业微生物（食用菌）种质资源普查项目</w:t>
      </w:r>
      <w:r>
        <w:rPr>
          <w:rFonts w:hint="eastAsia" w:ascii="仿宋" w:hAnsi="仿宋" w:eastAsia="仿宋" w:cs="仿宋"/>
          <w:color w:val="auto"/>
          <w:sz w:val="28"/>
          <w:szCs w:val="28"/>
        </w:rPr>
        <w:t xml:space="preserve"> </w:t>
      </w:r>
      <w:r/>
    </w:p>
    <w:p>
      <w:pPr>
        <w:ind w:firstLine="600"/>
        <w:spacing w:line="480" w:lineRule="exact"/>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lang w:eastAsia="zh-CN"/>
        </w:rPr>
        <w:t xml:space="preserve">项目编号：JSZC-320312-YXYX-G2024-0010</w:t>
      </w:r>
      <w:r/>
    </w:p>
    <w:p>
      <w:pPr>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rPr>
      </w:r>
      <w:r/>
    </w:p>
    <w:tbl>
      <w:tblPr>
        <w:tblStyle w:val="815"/>
        <w:tblW w:w="9541"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1"/>
        <w:gridCol w:w="1500"/>
        <w:gridCol w:w="1455"/>
        <w:gridCol w:w="1424"/>
        <w:gridCol w:w="1861"/>
        <w:gridCol w:w="2460"/>
      </w:tblGrid>
      <w:tr>
        <w:trPr>
          <w:trHeight w:val="794"/>
        </w:trPr>
        <w:tc>
          <w:tcPr>
            <w:tcW w:w="841"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序号</w:t>
            </w:r>
            <w:r/>
          </w:p>
        </w:tc>
        <w:tc>
          <w:tcPr>
            <w:tcW w:w="1500"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偏离内容</w:t>
            </w:r>
            <w:r/>
          </w:p>
        </w:tc>
        <w:tc>
          <w:tcPr>
            <w:tcW w:w="1455"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olor w:val="auto"/>
                <w:sz w:val="28"/>
                <w:szCs w:val="28"/>
              </w:rPr>
              <w:t xml:space="preserve">招标文件的要求</w:t>
            </w:r>
            <w:r/>
          </w:p>
        </w:tc>
        <w:tc>
          <w:tcPr>
            <w:tcW w:w="1424"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olor w:val="auto"/>
                <w:sz w:val="28"/>
                <w:szCs w:val="28"/>
              </w:rPr>
              <w:t xml:space="preserve">投标文件中的内容</w:t>
            </w:r>
            <w:r/>
          </w:p>
        </w:tc>
        <w:tc>
          <w:tcPr>
            <w:tcW w:w="1861"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（正/负/无）偏离</w:t>
            </w:r>
            <w:r/>
          </w:p>
        </w:tc>
        <w:tc>
          <w:tcPr>
            <w:tcW w:w="2460"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说明</w:t>
            </w:r>
            <w:r/>
          </w:p>
        </w:tc>
      </w:tr>
      <w:tr>
        <w:trPr>
          <w:trHeight w:val="794"/>
        </w:trPr>
        <w:tc>
          <w:tcPr>
            <w:tcW w:w="84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50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5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2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6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4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84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50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5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2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6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4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84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50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5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2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6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4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84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50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5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2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6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4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84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50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5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2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6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4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84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50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5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2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6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4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rPr>
      </w:r>
      <w:r/>
    </w:p>
    <w:p>
      <w:pPr>
        <w:ind w:firstLine="562"/>
        <w:spacing w:line="440" w:lineRule="exact"/>
        <w:rPr>
          <w:rFonts w:hint="eastAsia" w:ascii="仿宋" w:hAnsi="仿宋" w:eastAsia="仿宋" w:cs="仿宋"/>
          <w:color w:val="auto"/>
          <w:sz w:val="28"/>
          <w:szCs w:val="28"/>
        </w:rPr>
      </w:pPr>
      <w:r>
        <w:rPr>
          <w:rFonts w:hint="eastAsia" w:ascii="仿宋" w:hAnsi="仿宋" w:eastAsia="仿宋" w:cs="仿宋"/>
          <w:b/>
          <w:color w:val="auto"/>
          <w:sz w:val="28"/>
          <w:szCs w:val="28"/>
        </w:rPr>
        <w:t xml:space="preserve">注</w:t>
      </w:r>
      <w:r>
        <w:rPr>
          <w:rFonts w:hint="eastAsia" w:ascii="仿宋" w:hAnsi="仿宋" w:eastAsia="仿宋" w:cs="仿宋"/>
          <w:color w:val="auto"/>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（盖单位电子签章）</w:t>
      </w:r>
      <w:r/>
    </w:p>
    <w:p>
      <w:pPr>
        <w:ind w:firstLine="600"/>
        <w:spacing w:line="30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39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39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   年  月  日</w:t>
      </w:r>
      <w:r/>
    </w:p>
    <w:p>
      <w:pPr>
        <w:pStyle w:val="837"/>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837"/>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837"/>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837"/>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837"/>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jc w:val="lef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r/>
    </w:p>
    <w:p>
      <w:pPr>
        <w:jc w:val="left"/>
        <w:widowControl/>
        <w:rPr>
          <w:rFonts w:hint="eastAsia" w:ascii="仿宋" w:hAnsi="仿宋" w:eastAsia="仿宋" w:cs="仿宋"/>
          <w:color w:val="auto"/>
          <w:sz w:val="28"/>
          <w:szCs w:val="28"/>
        </w:rPr>
      </w:pPr>
      <w:r>
        <w:rPr>
          <w:rFonts w:hint="eastAsia" w:ascii="宋体" w:hAnsi="宋体" w:eastAsia="宋体" w:cs="宋体"/>
          <w:bCs/>
          <w:color w:val="auto"/>
          <w:sz w:val="24"/>
          <w:szCs w:val="24"/>
        </w:rPr>
        <w:t xml:space="preserve"> </w:t>
      </w:r>
      <w:r>
        <w:rPr>
          <w:rFonts w:hint="eastAsia" w:ascii="仿宋" w:hAnsi="仿宋" w:eastAsia="仿宋" w:cs="仿宋"/>
          <w:bCs/>
          <w:color w:val="auto"/>
          <w:sz w:val="28"/>
          <w:szCs w:val="28"/>
        </w:rPr>
        <w:t xml:space="preserve">五、法定代表人授权书格式</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委托人：</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地  址：</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               职务：</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统一社会信用代码：</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受托人：                   性别：男（女）  </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年龄：  岁                 民族：   族</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职务：</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身份证号：</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兹委托（       ）全权代表我企业（公司）参与（</w:t>
      </w:r>
      <w:r>
        <w:rPr>
          <w:rFonts w:hint="eastAsia" w:ascii="仿宋" w:hAnsi="仿宋" w:eastAsia="仿宋" w:cs="仿宋"/>
          <w:color w:val="000000"/>
          <w:sz w:val="28"/>
          <w:szCs w:val="28"/>
          <w:lang w:eastAsia="zh-CN"/>
        </w:rPr>
        <w:t xml:space="preserve">铜山区农业微生物（食用菌）种质资源普查项目</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eastAsia="zh-CN"/>
        </w:rPr>
        <w:t xml:space="preserve">（项目编号：JSZC-320312-YXYX-G2024-0010</w:t>
      </w:r>
      <w:r>
        <w:rPr>
          <w:rFonts w:hint="eastAsia" w:ascii="仿宋" w:hAnsi="仿宋" w:eastAsia="仿宋" w:cs="仿宋"/>
          <w:color w:val="auto"/>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特此授权委托。</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委托人（盖单位电子签章）：       受托人（签字或盖章）：</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法定代表人（签字或盖章）： </w:t>
      </w:r>
      <w:r/>
    </w:p>
    <w:p>
      <w:pPr>
        <w:ind w:right="600"/>
        <w:jc w:val="right"/>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年   月   日 </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(受托人身份证复印件附后)</w:t>
      </w:r>
      <w:r/>
    </w:p>
    <w:p>
      <w:pPr>
        <w:ind w:firstLine="4470"/>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447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37"/>
        <w:jc w:val="center"/>
        <w:spacing w:before="100" w:beforeAutospacing="1" w:after="100" w:afterAutospacing="1" w:line="450" w:lineRule="atLeas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center"/>
        <w:spacing w:before="100" w:beforeAutospacing="1" w:after="100" w:afterAutospacing="1" w:line="450" w:lineRule="atLeas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center"/>
        <w:spacing w:before="100" w:beforeAutospacing="1" w:after="100" w:afterAutospacing="1" w:line="450" w:lineRule="atLeas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center"/>
        <w:spacing w:before="100" w:beforeAutospacing="1" w:after="100" w:afterAutospacing="1" w:line="450" w:lineRule="atLeas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六、中小企业声明函格式</w:t>
      </w:r>
      <w:r/>
    </w:p>
    <w:p>
      <w:pPr>
        <w:ind w:firstLine="624"/>
        <w:spacing w:line="480" w:lineRule="exact"/>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r>
      <w:r/>
    </w:p>
    <w:p>
      <w:pPr>
        <w:ind w:firstLine="624"/>
        <w:spacing w:line="480" w:lineRule="exact"/>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 xml:space="preserve">项目名称：</w:t>
      </w:r>
      <w:r>
        <w:rPr>
          <w:rFonts w:hint="eastAsia" w:ascii="仿宋" w:hAnsi="仿宋" w:eastAsia="仿宋" w:cs="仿宋"/>
          <w:color w:val="000000"/>
          <w:sz w:val="28"/>
          <w:szCs w:val="28"/>
          <w:lang w:eastAsia="zh-CN"/>
        </w:rPr>
        <w:t xml:space="preserve">铜山区农业微生物（食用菌）种质资源普查项目</w:t>
      </w:r>
      <w:r/>
    </w:p>
    <w:p>
      <w:pPr>
        <w:ind w:firstLine="624"/>
        <w:spacing w:line="480" w:lineRule="exact"/>
        <w:rPr>
          <w:rFonts w:hint="eastAsia" w:ascii="仿宋" w:hAnsi="仿宋" w:eastAsia="仿宋" w:cs="仿宋"/>
          <w:color w:val="auto"/>
          <w:spacing w:val="6"/>
          <w:sz w:val="28"/>
          <w:szCs w:val="28"/>
          <w:lang w:eastAsia="zh-CN"/>
        </w:rPr>
      </w:pPr>
      <w:r>
        <w:rPr>
          <w:rFonts w:hint="eastAsia" w:ascii="仿宋" w:hAnsi="仿宋" w:eastAsia="仿宋" w:cs="仿宋"/>
          <w:color w:val="auto"/>
          <w:spacing w:val="6"/>
          <w:sz w:val="28"/>
          <w:szCs w:val="28"/>
          <w:lang w:eastAsia="zh-CN"/>
        </w:rPr>
        <w:t xml:space="preserve">项目编号：JSZC-320312-YXYX-G2024-0010</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本公司郑重声明，根据《政府采购促进中小企业发展管理办法》（财库﹝2020﹞46 号）的规定，本公司参加</w:t>
      </w:r>
      <w:r>
        <w:rPr>
          <w:rFonts w:hint="eastAsia" w:ascii="仿宋" w:hAnsi="仿宋" w:eastAsia="仿宋" w:cs="仿宋"/>
          <w:color w:val="auto"/>
          <w:sz w:val="28"/>
          <w:szCs w:val="28"/>
          <w:u w:val="single"/>
        </w:rPr>
        <w:t xml:space="preserve">（单位名称）</w:t>
      </w:r>
      <w:r>
        <w:rPr>
          <w:rFonts w:hint="eastAsia" w:ascii="仿宋" w:hAnsi="仿宋" w:eastAsia="仿宋" w:cs="仿宋"/>
          <w:color w:val="auto"/>
          <w:sz w:val="28"/>
          <w:szCs w:val="28"/>
        </w:rPr>
        <w:t xml:space="preserve">的</w:t>
      </w:r>
      <w:r>
        <w:rPr>
          <w:rFonts w:hint="eastAsia" w:ascii="仿宋" w:hAnsi="仿宋" w:eastAsia="仿宋" w:cs="仿宋"/>
          <w:color w:val="auto"/>
          <w:sz w:val="28"/>
          <w:szCs w:val="28"/>
          <w:u w:val="single"/>
        </w:rPr>
        <w:t xml:space="preserve">（项目名称）</w:t>
      </w:r>
      <w:r>
        <w:rPr>
          <w:rFonts w:hint="eastAsia" w:ascii="仿宋" w:hAnsi="仿宋" w:eastAsia="仿宋" w:cs="仿宋"/>
          <w:color w:val="auto"/>
          <w:sz w:val="28"/>
          <w:szCs w:val="28"/>
        </w:rPr>
        <w:t xml:space="preserve">采购活动，服务全部由符合政策要求的中小企业承接。相关企业的具体情况如下：</w:t>
      </w:r>
      <w:r/>
    </w:p>
    <w:p>
      <w:pPr>
        <w:ind w:firstLine="600"/>
        <w:spacing w:line="480" w:lineRule="exact"/>
        <w:rPr>
          <w:rFonts w:hint="eastAsia" w:ascii="仿宋" w:hAnsi="仿宋" w:eastAsia="仿宋" w:cs="仿宋"/>
          <w:color w:val="auto"/>
          <w:spacing w:val="6"/>
          <w:sz w:val="28"/>
          <w:szCs w:val="28"/>
        </w:rPr>
      </w:pPr>
      <w:r>
        <w:rPr>
          <w:rFonts w:hint="eastAsia" w:ascii="仿宋" w:hAnsi="仿宋" w:eastAsia="仿宋" w:cs="仿宋"/>
          <w:color w:val="auto"/>
          <w:sz w:val="28"/>
          <w:szCs w:val="28"/>
          <w:u w:val="single"/>
        </w:rPr>
        <w:t xml:space="preserve">（标的名称）</w:t>
      </w:r>
      <w:r>
        <w:rPr>
          <w:rFonts w:hint="eastAsia" w:ascii="仿宋" w:hAnsi="仿宋" w:eastAsia="仿宋" w:cs="仿宋"/>
          <w:color w:val="auto"/>
          <w:sz w:val="28"/>
          <w:szCs w:val="28"/>
        </w:rPr>
        <w:t xml:space="preserve">，属于</w:t>
      </w:r>
      <w:r>
        <w:rPr>
          <w:rFonts w:hint="eastAsia" w:ascii="仿宋" w:hAnsi="仿宋" w:eastAsia="仿宋" w:cs="仿宋"/>
          <w:color w:val="auto"/>
          <w:sz w:val="28"/>
          <w:szCs w:val="28"/>
          <w:u w:val="single"/>
        </w:rPr>
        <w:t xml:space="preserve">（采购文件中明确的所属行业）</w:t>
      </w:r>
      <w:r>
        <w:rPr>
          <w:rFonts w:hint="eastAsia" w:ascii="仿宋" w:hAnsi="仿宋" w:eastAsia="仿宋" w:cs="仿宋"/>
          <w:color w:val="auto"/>
          <w:sz w:val="28"/>
          <w:szCs w:val="28"/>
        </w:rPr>
        <w:t xml:space="preserve">； 承建（承接）企业为</w:t>
      </w:r>
      <w:r>
        <w:rPr>
          <w:rFonts w:hint="eastAsia" w:ascii="仿宋" w:hAnsi="仿宋" w:eastAsia="仿宋" w:cs="仿宋"/>
          <w:color w:val="auto"/>
          <w:sz w:val="28"/>
          <w:szCs w:val="28"/>
          <w:u w:val="single"/>
        </w:rPr>
        <w:t xml:space="preserve">（企业名称）</w:t>
      </w:r>
      <w:r>
        <w:rPr>
          <w:rFonts w:hint="eastAsia" w:ascii="仿宋" w:hAnsi="仿宋" w:eastAsia="仿宋" w:cs="仿宋"/>
          <w:color w:val="auto"/>
          <w:sz w:val="28"/>
          <w:szCs w:val="28"/>
        </w:rPr>
        <w:t xml:space="preserve">，从业人员</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人，营业收入为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万元，资产总额为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万元，属于（中型企业、小型企业、微型企业）；</w:t>
      </w:r>
      <w:r/>
    </w:p>
    <w:p>
      <w:pPr>
        <w:ind w:firstLine="600"/>
        <w:spacing w:line="480" w:lineRule="exact"/>
        <w:rPr>
          <w:rFonts w:hint="eastAsia" w:ascii="仿宋" w:hAnsi="仿宋" w:eastAsia="仿宋" w:cs="仿宋"/>
          <w:color w:val="auto"/>
          <w:spacing w:val="6"/>
          <w:sz w:val="28"/>
          <w:szCs w:val="28"/>
        </w:rPr>
      </w:pPr>
      <w:r>
        <w:rPr>
          <w:rFonts w:hint="eastAsia" w:ascii="仿宋" w:hAnsi="仿宋" w:eastAsia="仿宋" w:cs="仿宋"/>
          <w:color w:val="auto"/>
          <w:sz w:val="28"/>
          <w:szCs w:val="28"/>
        </w:rPr>
        <w:t xml:space="preserve">以上企业，不属于大企业的分支机构，不存在控股股东为大企业的情形，也不存在与大企业的负责人为同一人的情形。</w:t>
      </w:r>
      <w:r/>
    </w:p>
    <w:p>
      <w:pPr>
        <w:ind w:firstLine="600"/>
        <w:spacing w:line="480" w:lineRule="exact"/>
        <w:rPr>
          <w:rFonts w:hint="eastAsia" w:ascii="仿宋" w:hAnsi="仿宋" w:eastAsia="仿宋" w:cs="仿宋"/>
          <w:color w:val="auto"/>
          <w:spacing w:val="6"/>
          <w:sz w:val="28"/>
          <w:szCs w:val="28"/>
        </w:rPr>
      </w:pPr>
      <w:r>
        <w:rPr>
          <w:rFonts w:hint="eastAsia" w:ascii="仿宋" w:hAnsi="仿宋" w:eastAsia="仿宋" w:cs="仿宋"/>
          <w:color w:val="auto"/>
          <w:sz w:val="28"/>
          <w:szCs w:val="28"/>
        </w:rPr>
        <w:t xml:space="preserve">本企业对上述声明内容的真实性负责。如有虚假，将依法承担相应责任。</w:t>
      </w:r>
      <w:r/>
    </w:p>
    <w:p>
      <w:pPr>
        <w:ind w:firstLine="600"/>
        <w:jc w:val="left"/>
        <w:spacing w:line="48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企业名称（盖单位电子签章）：</w:t>
      </w:r>
      <w:r/>
    </w:p>
    <w:p>
      <w:pPr>
        <w:ind w:firstLine="600"/>
        <w:jc w:val="left"/>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日期：</w:t>
      </w:r>
      <w:r/>
    </w:p>
    <w:p>
      <w:pPr>
        <w:ind w:firstLine="600"/>
        <w:jc w:val="left"/>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注：</w:t>
      </w:r>
      <w:r>
        <w:rPr>
          <w:rFonts w:hint="eastAsia" w:ascii="仿宋" w:hAnsi="仿宋" w:eastAsia="仿宋" w:cs="仿宋"/>
          <w:b/>
          <w:bCs/>
          <w:color w:val="auto"/>
          <w:sz w:val="28"/>
          <w:szCs w:val="28"/>
        </w:rPr>
        <w:t xml:space="preserve">本项目采购的服务属于</w:t>
      </w:r>
      <w:r>
        <w:rPr>
          <w:rFonts w:hint="eastAsia" w:ascii="仿宋" w:hAnsi="仿宋" w:eastAsia="仿宋" w:cs="仿宋"/>
          <w:b/>
          <w:bCs/>
          <w:color w:val="000000" w:themeColor="text1"/>
          <w:sz w:val="28"/>
          <w:szCs w:val="28"/>
          <w:u w:val="none"/>
          <w:lang w:eastAsia="zh-CN"/>
        </w:rPr>
        <w:t xml:space="preserve">：</w:t>
      </w:r>
      <w:r>
        <w:rPr>
          <w:rFonts w:hint="eastAsia" w:ascii="仿宋" w:hAnsi="仿宋" w:eastAsia="仿宋" w:cs="仿宋"/>
          <w:sz w:val="28"/>
          <w:szCs w:val="28"/>
          <w:u w:val="single"/>
        </w:rPr>
        <w:t xml:space="preserve">其他未列明行业</w:t>
      </w:r>
      <w:r>
        <w:rPr>
          <w:rFonts w:hint="eastAsia" w:ascii="仿宋" w:hAnsi="仿宋" w:eastAsia="仿宋" w:cs="仿宋"/>
          <w:color w:val="000000" w:themeColor="text1"/>
          <w:sz w:val="28"/>
          <w:szCs w:val="28"/>
        </w:rPr>
        <w:t xml:space="preserve">。</w:t>
      </w:r>
      <w:r/>
    </w:p>
    <w:p>
      <w:pPr>
        <w:ind w:firstLine="600"/>
        <w:jc w:val="left"/>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600"/>
        <w:jc w:val="left"/>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备注：</w:t>
      </w:r>
      <w:r/>
    </w:p>
    <w:p>
      <w:pPr>
        <w:ind w:firstLine="600"/>
        <w:jc w:val="left"/>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1、从业人员、营业收入、资产总额填报上一年度数据，无上一年度数据的新成立企业可不填报。</w:t>
      </w:r>
      <w:r/>
    </w:p>
    <w:p>
      <w:pPr>
        <w:pStyle w:val="870"/>
        <w:ind w:firstLine="600"/>
        <w:rPr>
          <w:rFonts w:hint="eastAsia" w:ascii="仿宋" w:hAnsi="仿宋" w:eastAsia="仿宋" w:cs="仿宋"/>
          <w:color w:val="auto"/>
          <w:sz w:val="28"/>
          <w:szCs w:val="28"/>
        </w:rPr>
      </w:pPr>
      <w:r>
        <w:rPr>
          <w:rFonts w:hint="eastAsia" w:ascii="仿宋" w:hAnsi="仿宋" w:eastAsia="仿宋" w:cs="仿宋"/>
          <w:color w:val="auto"/>
          <w:sz w:val="28"/>
          <w:szCs w:val="28"/>
        </w:rPr>
        <w:t xml:space="preserve">2、《中小企业声明函》查询渠道参考工业和信息化部发布的中小企业规模自测小程序。</w:t>
      </w:r>
      <w:r/>
    </w:p>
    <w:p>
      <w:pPr>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870"/>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871"/>
        <w:rPr>
          <w:rFonts w:hint="eastAsia" w:ascii="仿宋" w:hAnsi="仿宋" w:eastAsia="仿宋" w:cs="仿宋"/>
          <w:color w:val="auto"/>
          <w:sz w:val="28"/>
          <w:szCs w:val="28"/>
        </w:rPr>
      </w:pPr>
      <w:r>
        <w:rPr>
          <w:rFonts w:hint="eastAsia" w:ascii="仿宋" w:hAnsi="仿宋" w:eastAsia="仿宋" w:cs="仿宋"/>
          <w:color w:val="auto"/>
          <w:sz w:val="28"/>
          <w:szCs w:val="28"/>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19"/>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588" w:lineRule="exact"/>
        <w:rPr>
          <w:rFonts w:hint="eastAsia" w:ascii="仿宋" w:hAnsi="仿宋" w:eastAsia="仿宋" w:cs="仿宋"/>
          <w:color w:val="000000"/>
          <w:sz w:val="28"/>
          <w:szCs w:val="28"/>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1473200</wp:posOffset>
                </wp:positionH>
                <wp:positionV relativeFrom="paragraph">
                  <wp:posOffset>55245</wp:posOffset>
                </wp:positionV>
                <wp:extent cx="1534795" cy="307086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534795" cy="307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16.0pt;mso-position-horizontal:absolute;mso-position-vertical-relative:text;margin-top:4.3pt;mso-position-vertical:absolute;width:120.8pt;height:241.8pt;mso-wrap-distance-left:9.0pt;mso-wrap-distance-top:0.0pt;mso-wrap-distance-right:9.0pt;mso-wrap-distance-bottom:0.0pt;" stroked="f">
                <v:path textboxrect="0,0,0,0"/>
                <v:imagedata r:id="rId17" o:title=""/>
              </v:shape>
            </w:pict>
          </mc:Fallback>
        </mc:AlternateContent>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残疾人福利性单位声明函</w:t>
      </w:r>
      <w:r/>
    </w:p>
    <w:p>
      <w:pPr>
        <w:pStyle w:val="837"/>
        <w:jc w:val="center"/>
        <w:spacing w:line="588" w:lineRule="exact"/>
        <w:rPr>
          <w:rFonts w:hint="eastAsia" w:ascii="仿宋" w:hAnsi="仿宋" w:eastAsia="仿宋" w:cs="仿宋"/>
          <w:b/>
          <w:color w:val="000000"/>
          <w:spacing w:val="6"/>
          <w:sz w:val="32"/>
          <w:szCs w:val="32"/>
        </w:rPr>
      </w:pPr>
      <w:r>
        <w:rPr>
          <w:rFonts w:hint="eastAsia" w:ascii="仿宋" w:hAnsi="仿宋" w:eastAsia="仿宋" w:cs="仿宋"/>
          <w:b/>
          <w:color w:val="000000"/>
          <w:spacing w:val="6"/>
          <w:sz w:val="32"/>
          <w:szCs w:val="32"/>
        </w:rPr>
      </w:r>
      <w:r/>
    </w:p>
    <w:p>
      <w:pPr>
        <w:pStyle w:val="837"/>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铜山区农业微生物（食用菌）种质资源普查项目</w:t>
      </w:r>
      <w:r/>
    </w:p>
    <w:p>
      <w:pPr>
        <w:pStyle w:val="837"/>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项目编号：JSZC-320312-YXYX-G2024-0010</w:t>
      </w:r>
      <w:r/>
    </w:p>
    <w:p>
      <w:pPr>
        <w:pStyle w:val="837"/>
        <w:ind w:firstLine="504"/>
        <w:spacing w:line="588"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color w:val="000000"/>
          <w:sz w:val="28"/>
          <w:szCs w:val="28"/>
        </w:rPr>
        <w:t xml:space="preserve">〔2017〕 141</w:t>
      </w:r>
      <w:r>
        <w:rPr>
          <w:rFonts w:hint="eastAsia" w:ascii="仿宋" w:hAnsi="仿宋" w:eastAsia="仿宋" w:cs="仿宋"/>
          <w:color w:val="000000"/>
          <w:spacing w:val="6"/>
          <w:sz w:val="28"/>
          <w:szCs w:val="28"/>
        </w:rPr>
        <w:t xml:space="preserve">号）的规定，本单位为</w:t>
      </w:r>
      <w:r>
        <w:rPr>
          <w:rFonts w:hint="eastAsia" w:ascii="仿宋" w:hAnsi="仿宋" w:eastAsia="仿宋" w:cs="仿宋"/>
          <w:color w:val="000000"/>
          <w:spacing w:val="6"/>
          <w:sz w:val="28"/>
          <w:szCs w:val="28"/>
          <w:lang w:val="en-US" w:eastAsia="zh-CN"/>
        </w:rPr>
        <w:t xml:space="preserve">       </w:t>
      </w:r>
      <w:r>
        <w:rPr>
          <w:rFonts w:hint="eastAsia" w:ascii="仿宋" w:hAnsi="仿宋" w:eastAsia="仿宋" w:cs="仿宋"/>
          <w:color w:val="000000"/>
          <w:spacing w:val="6"/>
          <w:sz w:val="28"/>
          <w:szCs w:val="28"/>
          <w:u w:val="single"/>
        </w:rPr>
        <w:t xml:space="preserve">符合</w:t>
      </w:r>
      <w:r>
        <w:rPr>
          <w:rFonts w:hint="eastAsia" w:ascii="仿宋" w:hAnsi="仿宋" w:eastAsia="仿宋" w:cs="仿宋"/>
          <w:color w:val="000000"/>
          <w:spacing w:val="6"/>
          <w:sz w:val="28"/>
          <w:szCs w:val="28"/>
          <w:u w:val="single"/>
          <w:lang w:val="en-US" w:eastAsia="zh-CN"/>
        </w:rPr>
        <w:t xml:space="preserve">/不符合</w:t>
      </w:r>
      <w:r>
        <w:rPr>
          <w:rFonts w:hint="eastAsia" w:ascii="仿宋" w:hAnsi="仿宋" w:eastAsia="仿宋" w:cs="仿宋"/>
          <w:color w:val="000000"/>
          <w:spacing w:val="6"/>
          <w:sz w:val="28"/>
          <w:szCs w:val="28"/>
        </w:rPr>
        <w:t xml:space="preserve">条件的残疾人福利性单位，且本单位参加</w:t>
      </w:r>
      <w:r>
        <w:rPr>
          <w:rFonts w:hint="eastAsia" w:ascii="仿宋" w:hAnsi="仿宋" w:eastAsia="仿宋" w:cs="仿宋"/>
          <w:color w:val="000000"/>
          <w:sz w:val="28"/>
          <w:szCs w:val="28"/>
          <w:u w:val="single"/>
          <w:lang w:eastAsia="zh-CN"/>
        </w:rPr>
        <w:t xml:space="preserve">铜山区农业微生物（食用菌）种质资源普查项目</w:t>
      </w:r>
      <w:r>
        <w:rPr>
          <w:rFonts w:hint="eastAsia" w:ascii="仿宋" w:hAnsi="仿宋" w:eastAsia="仿宋" w:cs="仿宋"/>
          <w:color w:val="000000"/>
          <w:spacing w:val="6"/>
          <w:sz w:val="28"/>
          <w:szCs w:val="28"/>
          <w:u w:val="single"/>
        </w:rPr>
        <w:t xml:space="preserve">[</w:t>
      </w:r>
      <w:r>
        <w:rPr>
          <w:rFonts w:hint="eastAsia" w:ascii="仿宋" w:hAnsi="仿宋" w:eastAsia="仿宋" w:cs="仿宋"/>
          <w:color w:val="000000"/>
          <w:spacing w:val="6"/>
          <w:sz w:val="28"/>
          <w:szCs w:val="28"/>
          <w:u w:val="single"/>
          <w:lang w:eastAsia="zh-CN"/>
        </w:rPr>
        <w:t xml:space="preserve">项目编号：JSZC-320312-YXYX-G2024-0010</w:t>
      </w:r>
      <w:r>
        <w:rPr>
          <w:rFonts w:hint="eastAsia" w:ascii="仿宋" w:hAnsi="仿宋" w:eastAsia="仿宋" w:cs="仿宋"/>
          <w:color w:val="000000"/>
          <w:spacing w:val="6"/>
          <w:sz w:val="28"/>
          <w:szCs w:val="28"/>
          <w:u w:val="single"/>
        </w:rPr>
        <w:t xml:space="preserve">]</w:t>
      </w:r>
      <w:r>
        <w:rPr>
          <w:rFonts w:hint="eastAsia" w:ascii="仿宋" w:hAnsi="仿宋" w:eastAsia="仿宋" w:cs="仿宋"/>
          <w:color w:val="000000"/>
          <w:spacing w:val="6"/>
          <w:sz w:val="28"/>
          <w:szCs w:val="28"/>
        </w:rPr>
        <w:t xml:space="preserve">采购活动提供本单位制造的货物（由本单位承担工程/提供服务），或者提供其他残疾人福利性单位制造的货物（不包括使用非残疾人福利性单位注册商标的货物）。</w:t>
      </w:r>
      <w:r/>
    </w:p>
    <w:p>
      <w:pPr>
        <w:pStyle w:val="837"/>
        <w:ind w:firstLine="504"/>
        <w:spacing w:line="588"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本单位对上述声明的真实性负责。如有虚假，将依法承担相应责任。</w:t>
      </w:r>
      <w:r/>
    </w:p>
    <w:p>
      <w:pPr>
        <w:pStyle w:val="837"/>
        <w:ind w:firstLine="504"/>
        <w:spacing w:line="588"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r>
      <w:r/>
    </w:p>
    <w:p>
      <w:pPr>
        <w:pStyle w:val="837"/>
        <w:ind w:firstLine="280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ind w:firstLine="280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auto"/>
          <w:sz w:val="28"/>
          <w:szCs w:val="28"/>
        </w:rPr>
        <w:t xml:space="preserve">盖单位电子签章</w:t>
      </w:r>
      <w:r>
        <w:rPr>
          <w:rFonts w:hint="eastAsia" w:ascii="仿宋" w:hAnsi="仿宋" w:eastAsia="仿宋" w:cs="仿宋"/>
          <w:color w:val="000000"/>
          <w:sz w:val="28"/>
          <w:szCs w:val="28"/>
        </w:rPr>
        <w:t xml:space="preserve">）</w:t>
      </w:r>
      <w:r/>
    </w:p>
    <w:p>
      <w:pPr>
        <w:pStyle w:val="837"/>
        <w:ind w:firstLine="48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投标人授权代表：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  </w:t>
      </w:r>
      <w:r/>
    </w:p>
    <w:p>
      <w:pPr>
        <w:pStyle w:val="837"/>
        <w:ind w:firstLine="3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pStyle w:val="837"/>
        <w:jc w:val="lef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8. 投标人参加政府采购活动前3年内在经营活动中没有重大违法记录的书面声明</w:t>
      </w:r>
      <w:r/>
    </w:p>
    <w:p>
      <w:pPr>
        <w:pStyle w:val="837"/>
        <w:ind w:firstLine="560"/>
        <w:jc w:val="left"/>
        <w:keepLines w:val="0"/>
        <w:keepNext w:val="0"/>
        <w:pageBreakBefore w:val="0"/>
        <w:spacing w:before="100" w:beforeAutospacing="1" w:after="100" w:afterAutospacing="1"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我单位在参加</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eastAsia="zh-CN"/>
        </w:rPr>
        <w:t xml:space="preserve">铜山区农业微生物（食用菌）种质资源普查项目</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eastAsia="zh-CN"/>
        </w:rPr>
        <w:t xml:space="preserve">项目编号：JSZC-320312-YXYX-G2024-0010</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110"/>
        <w:ind w:firstLine="70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我单位对上述声明的真实性负责。如有虚假，将依法承担相应责任。</w:t>
      </w:r>
      <w:r/>
    </w:p>
    <w:p>
      <w:pPr>
        <w:pStyle w:val="837"/>
        <w:ind w:firstLine="7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ind w:firstLine="360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auto"/>
          <w:sz w:val="28"/>
          <w:szCs w:val="28"/>
        </w:rPr>
        <w:t xml:space="preserve">盖单位电子签章</w:t>
      </w:r>
      <w:r>
        <w:rPr>
          <w:rFonts w:hint="eastAsia" w:ascii="仿宋" w:hAnsi="仿宋" w:eastAsia="仿宋" w:cs="仿宋"/>
          <w:color w:val="000000"/>
          <w:sz w:val="28"/>
          <w:szCs w:val="28"/>
        </w:rPr>
        <w:t xml:space="preserve">）</w:t>
      </w:r>
      <w:r/>
    </w:p>
    <w:p>
      <w:pPr>
        <w:pStyle w:val="837"/>
        <w:ind w:firstLine="48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投标人授权代表：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  </w:t>
      </w:r>
      <w:r/>
    </w:p>
    <w:p>
      <w:pPr>
        <w:pStyle w:val="837"/>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日期：   年  月  日</w:t>
      </w:r>
      <w:r/>
    </w:p>
    <w:p>
      <w:pPr>
        <w:pStyle w:val="837"/>
        <w:ind w:firstLine="399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837"/>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837"/>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837"/>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855"/>
        <w:rPr>
          <w:rFonts w:hint="eastAsia" w:ascii="仿宋" w:hAnsi="仿宋" w:eastAsia="仿宋" w:cs="仿宋"/>
          <w:color w:val="000000"/>
        </w:rPr>
      </w:pPr>
      <w:r>
        <w:rPr>
          <w:rFonts w:hint="eastAsia" w:ascii="仿宋" w:hAnsi="仿宋" w:eastAsia="仿宋" w:cs="仿宋"/>
          <w:color w:val="000000"/>
        </w:rPr>
      </w:r>
      <w:r/>
    </w:p>
    <w:p>
      <w:pPr>
        <w:pStyle w:val="837"/>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837"/>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1097"/>
        <w:rPr>
          <w:rFonts w:hint="eastAsia" w:ascii="仿宋" w:hAnsi="仿宋" w:eastAsia="仿宋" w:cs="仿宋"/>
          <w:color w:val="000000"/>
        </w:rPr>
      </w:pPr>
      <w:r>
        <w:rPr>
          <w:rFonts w:hint="eastAsia" w:ascii="仿宋" w:hAnsi="仿宋" w:eastAsia="仿宋" w:cs="仿宋"/>
          <w:color w:val="000000"/>
        </w:rPr>
      </w:r>
      <w:r/>
    </w:p>
    <w:p>
      <w:pPr>
        <w:pStyle w:val="1097"/>
        <w:rPr>
          <w:rFonts w:hint="eastAsia" w:ascii="仿宋" w:hAnsi="仿宋" w:eastAsia="仿宋" w:cs="仿宋"/>
          <w:color w:val="000000"/>
        </w:rPr>
      </w:pPr>
      <w:r>
        <w:rPr>
          <w:rFonts w:hint="eastAsia" w:ascii="仿宋" w:hAnsi="仿宋" w:eastAsia="仿宋" w:cs="仿宋"/>
          <w:color w:val="000000"/>
        </w:rPr>
      </w:r>
      <w:r/>
    </w:p>
    <w:p>
      <w:pPr>
        <w:pStyle w:val="837"/>
        <w:numPr>
          <w:ilvl w:val="0"/>
          <w:numId w:val="8"/>
        </w:numPr>
        <w:jc w:val="center"/>
        <w:rPr>
          <w:rFonts w:hint="eastAsia" w:ascii="仿宋" w:hAnsi="仿宋" w:eastAsia="仿宋" w:cs="仿宋"/>
          <w:bCs/>
          <w:color w:val="000000"/>
          <w:sz w:val="30"/>
          <w:szCs w:val="30"/>
        </w:rPr>
      </w:pPr>
      <w:r>
        <w:rPr>
          <w:rFonts w:hint="eastAsia" w:ascii="仿宋" w:hAnsi="仿宋" w:eastAsia="仿宋" w:cs="仿宋"/>
          <w:bCs/>
          <w:color w:val="000000"/>
          <w:sz w:val="28"/>
          <w:szCs w:val="28"/>
        </w:rPr>
        <w:br w:type="page" w:clear="all"/>
      </w:r>
      <w:r>
        <w:rPr>
          <w:rFonts w:hint="eastAsia" w:ascii="仿宋" w:hAnsi="仿宋" w:eastAsia="仿宋" w:cs="仿宋"/>
          <w:bCs/>
          <w:color w:val="000000"/>
          <w:sz w:val="30"/>
          <w:szCs w:val="30"/>
        </w:rPr>
        <w:t xml:space="preserve">具备履行合同所必需的设备和专业技术能力的书面声明</w:t>
      </w:r>
      <w:r/>
    </w:p>
    <w:p>
      <w:pPr>
        <w:pStyle w:val="837"/>
        <w:jc w:val="center"/>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（附证明材料</w:t>
      </w:r>
      <w:r>
        <w:rPr>
          <w:rFonts w:hint="eastAsia" w:ascii="仿宋" w:hAnsi="仿宋" w:eastAsia="仿宋" w:cs="仿宋"/>
          <w:bCs/>
          <w:color w:val="000000"/>
          <w:sz w:val="30"/>
          <w:szCs w:val="30"/>
          <w:lang w:eastAsia="zh-CN"/>
        </w:rPr>
        <w:t xml:space="preserve">扫描件</w:t>
      </w:r>
      <w:r>
        <w:rPr>
          <w:rFonts w:hint="eastAsia" w:ascii="仿宋" w:hAnsi="仿宋" w:eastAsia="仿宋" w:cs="仿宋"/>
          <w:bCs/>
          <w:color w:val="000000"/>
          <w:sz w:val="30"/>
          <w:szCs w:val="30"/>
        </w:rPr>
        <w:t xml:space="preserve">）</w:t>
      </w:r>
      <w:r/>
    </w:p>
    <w:p>
      <w:pPr>
        <w:pStyle w:val="837"/>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837"/>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铜山区农业微生物（食用菌）种质资源普查项目</w:t>
      </w:r>
      <w:r>
        <w:rPr>
          <w:rFonts w:hint="eastAsia" w:ascii="仿宋" w:hAnsi="仿宋" w:eastAsia="仿宋" w:cs="仿宋"/>
          <w:color w:val="000000"/>
          <w:sz w:val="28"/>
          <w:szCs w:val="28"/>
        </w:rPr>
        <w:t xml:space="preserve"> </w:t>
      </w:r>
      <w:r/>
    </w:p>
    <w:p>
      <w:pPr>
        <w:pStyle w:val="837"/>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项目编号：JSZC-320312-YXYX-G2024-0010</w:t>
      </w:r>
      <w:r/>
    </w:p>
    <w:p>
      <w:pPr>
        <w:pStyle w:val="8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本单位郑重声明：本单位具备履行合同（项目名称：</w:t>
      </w:r>
      <w:r>
        <w:rPr>
          <w:rFonts w:hint="eastAsia" w:ascii="仿宋" w:hAnsi="仿宋" w:eastAsia="仿宋" w:cs="仿宋"/>
          <w:color w:val="000000"/>
          <w:sz w:val="28"/>
          <w:szCs w:val="28"/>
          <w:u w:val="single"/>
          <w:lang w:eastAsia="zh-CN"/>
        </w:rPr>
        <w:t xml:space="preserve">铜山区农业微生物（食用菌）种质资源普查项目</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项目编号：JSZC-320312-YXYX-G2024-0010</w:t>
      </w:r>
      <w:r>
        <w:rPr>
          <w:rFonts w:hint="eastAsia" w:ascii="仿宋" w:hAnsi="仿宋" w:eastAsia="仿宋" w:cs="仿宋"/>
          <w:color w:val="000000"/>
          <w:sz w:val="28"/>
          <w:szCs w:val="28"/>
        </w:rPr>
        <w:t xml:space="preserve">）所必需的设备和专业技术能力，具体为：</w:t>
      </w:r>
      <w:r/>
    </w:p>
    <w:p>
      <w:pPr>
        <w:pStyle w:val="837"/>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设备：</w:t>
      </w:r>
      <w:r/>
    </w:p>
    <w:p>
      <w:pPr>
        <w:pStyle w:val="837"/>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837"/>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837"/>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837"/>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p>
      <w:pPr>
        <w:pStyle w:val="837"/>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专业技术能力：</w:t>
      </w:r>
      <w:r/>
    </w:p>
    <w:p>
      <w:pPr>
        <w:pStyle w:val="837"/>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837"/>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837"/>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837"/>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p>
      <w:pPr>
        <w:pStyle w:val="837"/>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特此声明。</w:t>
      </w:r>
      <w:r/>
    </w:p>
    <w:p>
      <w:pPr>
        <w:pStyle w:val="837"/>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本单位对上述声明的真实性负责。如有虚假，将依法承担相应责任。</w:t>
      </w:r>
      <w:r/>
    </w:p>
    <w:p>
      <w:pPr>
        <w:pStyle w:val="837"/>
        <w:ind w:firstLine="480"/>
        <w:jc w:val="lef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ind w:firstLine="480"/>
        <w:jc w:val="lef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7"/>
        <w:ind w:firstLine="364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auto"/>
          <w:sz w:val="28"/>
          <w:szCs w:val="28"/>
        </w:rPr>
        <w:t xml:space="preserve">盖单位电子签章</w:t>
      </w:r>
      <w:r>
        <w:rPr>
          <w:rFonts w:hint="eastAsia" w:ascii="仿宋" w:hAnsi="仿宋" w:eastAsia="仿宋" w:cs="仿宋"/>
          <w:color w:val="000000"/>
          <w:sz w:val="28"/>
          <w:szCs w:val="28"/>
        </w:rPr>
        <w:t xml:space="preserve">）</w:t>
      </w:r>
      <w:r/>
    </w:p>
    <w:p>
      <w:pPr>
        <w:pStyle w:val="837"/>
        <w:ind w:firstLine="48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投标人授权代表：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  </w:t>
      </w:r>
      <w:r/>
    </w:p>
    <w:p>
      <w:pPr>
        <w:pStyle w:val="837"/>
        <w:ind w:firstLine="3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pStyle w:val="863"/>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2"/>
        <w:spacing w:line="480" w:lineRule="exact"/>
        <w:rPr>
          <w:rFonts w:hint="eastAsia" w:ascii="仿宋" w:hAnsi="仿宋" w:eastAsia="仿宋" w:cs="仿宋"/>
          <w:color w:val="auto"/>
          <w:sz w:val="30"/>
          <w:szCs w:val="30"/>
        </w:rPr>
      </w:pPr>
      <w:r>
        <w:rPr>
          <w:rFonts w:hint="eastAsia" w:ascii="仿宋" w:hAnsi="仿宋" w:eastAsia="仿宋" w:cs="仿宋"/>
          <w:color w:val="000000"/>
          <w:sz w:val="24"/>
        </w:rPr>
        <w:br w:type="page" w:clear="all"/>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auto"/>
          <w:sz w:val="30"/>
          <w:szCs w:val="30"/>
        </w:rPr>
        <w:t xml:space="preserve">预付款保函支付条款模板</w:t>
      </w:r>
      <w:r/>
    </w:p>
    <w:p>
      <w:pPr>
        <w:pStyle w:val="87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2"/>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符合条件一：提交预付款保函的</w:t>
      </w:r>
      <w:r/>
    </w:p>
    <w:p>
      <w:pPr>
        <w:ind w:firstLine="602"/>
        <w:spacing w:line="48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（1）合同签订且乙方向甲方出具预付款保函后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个工作日内，甲方应支付合同价款的百分之</w:t>
      </w:r>
      <w:r>
        <w:rPr>
          <w:rFonts w:hint="eastAsia" w:ascii="仿宋" w:hAnsi="仿宋" w:eastAsia="仿宋" w:cs="仿宋"/>
          <w:color w:val="auto"/>
          <w:sz w:val="28"/>
          <w:szCs w:val="28"/>
          <w:u w:val="single"/>
        </w:rPr>
        <w:t xml:space="preserve">        XX（    XX%），</w:t>
      </w:r>
      <w:r>
        <w:rPr>
          <w:rFonts w:hint="eastAsia" w:ascii="仿宋" w:hAnsi="仿宋" w:eastAsia="仿宋" w:cs="仿宋"/>
          <w:color w:val="auto"/>
          <w:sz w:val="28"/>
          <w:szCs w:val="28"/>
        </w:rPr>
        <w:t xml:space="preserve">小写￥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乙方需提交的支付文件：乙方出具的全额正式发票。</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（2）验收合格后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个工作日内，甲方应支付合同价款的百分之</w:t>
      </w:r>
      <w:r>
        <w:rPr>
          <w:rFonts w:hint="eastAsia" w:ascii="仿宋" w:hAnsi="仿宋" w:eastAsia="仿宋" w:cs="仿宋"/>
          <w:color w:val="auto"/>
          <w:sz w:val="28"/>
          <w:szCs w:val="28"/>
          <w:u w:val="single"/>
        </w:rPr>
        <w:t xml:space="preserve">XX（    XX%），</w:t>
      </w:r>
      <w:r>
        <w:rPr>
          <w:rFonts w:hint="eastAsia" w:ascii="仿宋" w:hAnsi="仿宋" w:eastAsia="仿宋" w:cs="仿宋"/>
          <w:color w:val="auto"/>
          <w:sz w:val="28"/>
          <w:szCs w:val="28"/>
        </w:rPr>
        <w:t xml:space="preserve">小写￥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p>
    <w:p>
      <w:pPr>
        <w:ind w:firstLine="605"/>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w:t>
      </w:r>
      <w:r/>
    </w:p>
    <w:p>
      <w:pPr>
        <w:ind w:firstLine="605"/>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符合条件二：不提交预付款保函的</w:t>
      </w:r>
      <w:r/>
    </w:p>
    <w:p>
      <w:pPr>
        <w:ind w:firstLine="602"/>
        <w:spacing w:line="48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（1）合同签订后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个工作日内，甲方应支付合同价款的百分之</w:t>
      </w:r>
      <w:r>
        <w:rPr>
          <w:rFonts w:hint="eastAsia" w:ascii="仿宋" w:hAnsi="仿宋" w:eastAsia="仿宋" w:cs="仿宋"/>
          <w:color w:val="auto"/>
          <w:sz w:val="28"/>
          <w:szCs w:val="28"/>
          <w:u w:val="single"/>
        </w:rPr>
        <w:t xml:space="preserve">XX（    XX%），</w:t>
      </w:r>
      <w:r>
        <w:rPr>
          <w:rFonts w:hint="eastAsia" w:ascii="仿宋" w:hAnsi="仿宋" w:eastAsia="仿宋" w:cs="仿宋"/>
          <w:color w:val="auto"/>
          <w:sz w:val="28"/>
          <w:szCs w:val="28"/>
        </w:rPr>
        <w:t xml:space="preserve">小写￥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乙方需提交的支付文件：乙方出具的全额正式发票。</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（2）验收合格后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个工作日内，甲方应支付合同价款的百分之</w:t>
      </w:r>
      <w:r>
        <w:rPr>
          <w:rFonts w:hint="eastAsia" w:ascii="仿宋" w:hAnsi="仿宋" w:eastAsia="仿宋" w:cs="仿宋"/>
          <w:color w:val="auto"/>
          <w:sz w:val="28"/>
          <w:szCs w:val="28"/>
          <w:u w:val="single"/>
        </w:rPr>
        <w:t xml:space="preserve">XX（    XX%），</w:t>
      </w:r>
      <w:r>
        <w:rPr>
          <w:rFonts w:hint="eastAsia" w:ascii="仿宋" w:hAnsi="仿宋" w:eastAsia="仿宋" w:cs="仿宋"/>
          <w:color w:val="auto"/>
          <w:sz w:val="28"/>
          <w:szCs w:val="28"/>
        </w:rPr>
        <w:t xml:space="preserve">小写￥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p>
    <w:p>
      <w:pPr>
        <w:ind w:firstLine="605"/>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w:t>
      </w:r>
      <w:r/>
    </w:p>
    <w:p>
      <w:pPr>
        <w:ind w:left="140" w:firstLine="605"/>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注:</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1、付款条件一中，出具预付款保函后支付的合同款应当与保函金额一致。</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2、付款条件二中，预付款比例设定应符合《关于做好政府采购支持企业发展有关事项的通知》(苏财购〔2020〕52号)要求。</w:t>
      </w:r>
      <w:r/>
    </w:p>
    <w:p>
      <w:pPr>
        <w:pStyle w:val="1140"/>
        <w:ind w:left="0" w:right="14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40"/>
        <w:ind w:left="0" w:right="14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40"/>
        <w:ind w:left="0" w:right="147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69"/>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1098"/>
        <w:ind w:left="0" w:firstLine="480"/>
        <w:rPr>
          <w:rFonts w:hint="eastAsia" w:ascii="仿宋" w:hAnsi="仿宋" w:eastAsia="仿宋" w:cs="仿宋"/>
          <w:color w:val="000000"/>
          <w:sz w:val="24"/>
          <w:szCs w:val="24"/>
        </w:rPr>
      </w:pPr>
      <w:r>
        <w:rPr>
          <w:rFonts w:hint="eastAsia" w:ascii="仿宋" w:hAnsi="仿宋" w:eastAsia="仿宋" w:cs="仿宋"/>
          <w:color w:val="000000"/>
          <w:sz w:val="24"/>
          <w:szCs w:val="24"/>
        </w:rPr>
      </w:r>
      <w:r/>
    </w:p>
    <w:sectPr>
      <w:headerReference w:type="default" r:id="rId10"/>
      <w:footerReference w:type="default" r:id="rId13"/>
      <w:footnotePr/>
      <w:endnotePr/>
      <w:type w:val="continuous"/>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仿宋">
    <w:panose1 w:val="02010609060101010101"/>
  </w:font>
  <w:font w:name="Tahoma">
    <w:panose1 w:val="020B0604030504040204"/>
  </w:font>
  <w:font w:name="楷体_GB2312">
    <w:panose1 w:val="02010609060101010101"/>
  </w:font>
  <w:font w:name="Cambria">
    <w:panose1 w:val="02040503050406030204"/>
  </w:font>
  <w:font w:name="Calibri Light">
    <w:panose1 w:val="020F0302020204030204"/>
  </w:font>
  <w:font w:name="Verdana">
    <w:panose1 w:val="020B0604030504040204"/>
  </w:font>
  <w:font w:name="仿宋_GB2312">
    <w:panose1 w:val="02010609060101010101"/>
  </w:font>
  <w:font w:name="黑体">
    <w:panose1 w:val="02010609060101010101"/>
  </w:font>
  <w:font w:name="Courier New">
    <w:panose1 w:val="02070309020205020404"/>
  </w:font>
  <w:font w:name="Noto Sans CJK JP Regular">
    <w:panose1 w:val="020B0503020202020204"/>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9"/>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8"/>
                            <w:tabs>
                              <w:tab w:val="clear" w:pos="4153" w:leader="none"/>
                              <w:tab w:val="clear" w:pos="8306" w:leader="none"/>
                            </w:tabs>
                            <w:rPr>
                              <w:rFonts w:eastAsia="宋体"/>
                              <w:lang w:eastAsia="zh-CN"/>
                            </w:rPr>
                          </w:pPr>
                          <w:r>
                            <w:rPr>
                              <w:lang w:eastAsia="zh-CN"/>
                            </w:rPr>
                            <w:t xml:space="preserve">第 </w:t>
                          </w:r>
                          <w:r>
                            <w:rPr>
                              <w:lang w:eastAsia="zh-CN"/>
                            </w:rPr>
                            <w:fldChar w:fldCharType="begin"/>
                          </w:r>
                          <w:r>
                            <w:rPr>
                              <w:lang w:eastAsia="zh-CN"/>
                            </w:rPr>
                            <w:instrText xml:space="preserve"> PAGE  \* MERGEFORMAT </w:instrText>
                          </w:r>
                          <w:r>
                            <w:rPr>
                              <w:lang w:eastAsia="zh-CN"/>
                            </w:rPr>
                            <w:fldChar w:fldCharType="separate"/>
                          </w:r>
                          <w:r>
                            <w:rPr>
                              <w:lang w:eastAsia="zh-CN"/>
                            </w:rPr>
                            <w:t xml:space="preserve">5</w:t>
                          </w:r>
                          <w:r>
                            <w:rPr>
                              <w:lang w:eastAsia="zh-CN"/>
                            </w:rPr>
                            <w:fldChar w:fldCharType="end"/>
                          </w:r>
                          <w:r>
                            <w:rPr>
                              <w:lang w:eastAsia="zh-CN"/>
                            </w:rPr>
                            <w:t xml:space="preserve"> 页 共 </w:t>
                          </w:r>
                          <w:r>
                            <w:rPr>
                              <w:lang w:eastAsia="zh-CN"/>
                            </w:rPr>
                            <w:fldChar w:fldCharType="begin"/>
                          </w:r>
                          <w:r>
                            <w:rPr>
                              <w:lang w:eastAsia="zh-CN"/>
                            </w:rPr>
                            <w:instrText xml:space="preserve"> NUMPAGES  \* MERGEFORMAT </w:instrText>
                          </w:r>
                          <w:r>
                            <w:rPr>
                              <w:lang w:eastAsia="zh-CN"/>
                            </w:rPr>
                            <w:fldChar w:fldCharType="separate"/>
                          </w:r>
                          <w:r>
                            <w:rPr>
                              <w:lang w:eastAsia="zh-CN"/>
                            </w:rPr>
                            <w:t xml:space="preserve">49</w:t>
                          </w:r>
                          <w:r>
                            <w:rPr>
                              <w:lang w:eastAsia="zh-CN"/>
                            </w:rPr>
                            <w:fldChar w:fldCharType="end"/>
                          </w:r>
                          <w:r>
                            <w:rPr>
                              <w:lang w:eastAsia="zh-CN"/>
                            </w:rPr>
                            <w:t xml:space="preserve"> 页</w:t>
                          </w:r>
                          <w:r/>
                        </w:p>
                        <w:p>
                          <w:pPr>
                            <w:pStyle w:val="837"/>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8"/>
                      <w:tabs>
                        <w:tab w:val="clear" w:pos="4153" w:leader="none"/>
                        <w:tab w:val="clear" w:pos="8306" w:leader="none"/>
                      </w:tabs>
                      <w:rPr>
                        <w:rFonts w:eastAsia="宋体"/>
                        <w:lang w:eastAsia="zh-CN"/>
                      </w:rPr>
                    </w:pPr>
                    <w:r>
                      <w:rPr>
                        <w:lang w:eastAsia="zh-CN"/>
                      </w:rPr>
                      <w:t xml:space="preserve">第 </w:t>
                    </w:r>
                    <w:r>
                      <w:rPr>
                        <w:lang w:eastAsia="zh-CN"/>
                      </w:rPr>
                      <w:fldChar w:fldCharType="begin"/>
                    </w:r>
                    <w:r>
                      <w:rPr>
                        <w:lang w:eastAsia="zh-CN"/>
                      </w:rPr>
                      <w:instrText xml:space="preserve"> PAGE  \* MERGEFORMAT </w:instrText>
                    </w:r>
                    <w:r>
                      <w:rPr>
                        <w:lang w:eastAsia="zh-CN"/>
                      </w:rPr>
                      <w:fldChar w:fldCharType="separate"/>
                    </w:r>
                    <w:r>
                      <w:rPr>
                        <w:lang w:eastAsia="zh-CN"/>
                      </w:rPr>
                      <w:t xml:space="preserve">5</w:t>
                    </w:r>
                    <w:r>
                      <w:rPr>
                        <w:lang w:eastAsia="zh-CN"/>
                      </w:rPr>
                      <w:fldChar w:fldCharType="end"/>
                    </w:r>
                    <w:r>
                      <w:rPr>
                        <w:lang w:eastAsia="zh-CN"/>
                      </w:rPr>
                      <w:t xml:space="preserve"> 页 共 </w:t>
                    </w:r>
                    <w:r>
                      <w:rPr>
                        <w:lang w:eastAsia="zh-CN"/>
                      </w:rPr>
                      <w:fldChar w:fldCharType="begin"/>
                    </w:r>
                    <w:r>
                      <w:rPr>
                        <w:lang w:eastAsia="zh-CN"/>
                      </w:rPr>
                      <w:instrText xml:space="preserve"> NUMPAGES  \* MERGEFORMAT </w:instrText>
                    </w:r>
                    <w:r>
                      <w:rPr>
                        <w:lang w:eastAsia="zh-CN"/>
                      </w:rPr>
                      <w:fldChar w:fldCharType="separate"/>
                    </w:r>
                    <w:r>
                      <w:rPr>
                        <w:lang w:eastAsia="zh-CN"/>
                      </w:rPr>
                      <w:t xml:space="preserve">49</w:t>
                    </w:r>
                    <w:r>
                      <w:rPr>
                        <w:lang w:eastAsia="zh-CN"/>
                      </w:rPr>
                      <w:fldChar w:fldCharType="end"/>
                    </w:r>
                    <w:r>
                      <w:rPr>
                        <w:lang w:eastAsia="zh-CN"/>
                      </w:rPr>
                      <w:t xml:space="preserve"> 页</w:t>
                    </w:r>
                    <w:r/>
                  </w:p>
                  <w:p>
                    <w:pPr>
                      <w:pStyle w:val="837"/>
                    </w:pPr>
                    <w:r/>
                    <w:r/>
                  </w:p>
                </w:txbxContent>
              </v:textbox>
            </v:shape>
          </w:pict>
        </mc:Fallback>
      </mc:AlternateContent>
    </w:r>
    <w:r/>
  </w:p>
  <w:p>
    <w:pPr>
      <w:pStyle w:val="838"/>
      <w:jc w:val="center"/>
    </w:pPr>
    <w:r/>
    <w:r/>
  </w:p>
  <w:p>
    <w:pPr>
      <w:pStyle w:val="83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8"/>
                            <w:tabs>
                              <w:tab w:val="clear" w:pos="4153" w:leader="none"/>
                              <w:tab w:val="clear" w:pos="8306" w:leader="none"/>
                            </w:tabs>
                            <w:rPr>
                              <w:rFonts w:eastAsia="宋体"/>
                              <w:lang w:eastAsia="zh-CN"/>
                            </w:rPr>
                          </w:pPr>
                          <w:r>
                            <w:rPr>
                              <w:lang w:eastAsia="zh-CN"/>
                            </w:rPr>
                            <w:t xml:space="preserve">第 </w:t>
                          </w:r>
                          <w:r>
                            <w:rPr>
                              <w:lang w:eastAsia="zh-CN"/>
                            </w:rPr>
                            <w:fldChar w:fldCharType="begin"/>
                          </w:r>
                          <w:r>
                            <w:rPr>
                              <w:lang w:eastAsia="zh-CN"/>
                            </w:rPr>
                            <w:instrText xml:space="preserve"> PAGE  \* MERGEFORMAT </w:instrText>
                          </w:r>
                          <w:r>
                            <w:rPr>
                              <w:lang w:eastAsia="zh-CN"/>
                            </w:rPr>
                            <w:fldChar w:fldCharType="separate"/>
                          </w:r>
                          <w:r>
                            <w:rPr>
                              <w:lang w:eastAsia="zh-CN"/>
                            </w:rPr>
                            <w:t xml:space="preserve">24</w:t>
                          </w:r>
                          <w:r>
                            <w:rPr>
                              <w:lang w:eastAsia="zh-CN"/>
                            </w:rPr>
                            <w:fldChar w:fldCharType="end"/>
                          </w:r>
                          <w:r>
                            <w:rPr>
                              <w:lang w:eastAsia="zh-CN"/>
                            </w:rPr>
                            <w:t xml:space="preserve"> 页 共 </w:t>
                          </w:r>
                          <w:r>
                            <w:rPr>
                              <w:lang w:eastAsia="zh-CN"/>
                            </w:rPr>
                            <w:fldChar w:fldCharType="begin"/>
                          </w:r>
                          <w:r>
                            <w:rPr>
                              <w:lang w:eastAsia="zh-CN"/>
                            </w:rPr>
                            <w:instrText xml:space="preserve"> NUMPAGES  \* MERGEFORMAT </w:instrText>
                          </w:r>
                          <w:r>
                            <w:rPr>
                              <w:lang w:eastAsia="zh-CN"/>
                            </w:rPr>
                            <w:fldChar w:fldCharType="separate"/>
                          </w:r>
                          <w:r>
                            <w:rPr>
                              <w:lang w:eastAsia="zh-CN"/>
                            </w:rPr>
                            <w:t xml:space="preserve">49</w:t>
                          </w:r>
                          <w:r>
                            <w:rPr>
                              <w:lang w:eastAsia="zh-CN"/>
                            </w:rPr>
                            <w:fldChar w:fldCharType="end"/>
                          </w:r>
                          <w:r>
                            <w:rPr>
                              <w:lang w:eastAsia="zh-CN"/>
                            </w:rPr>
                            <w:t xml:space="preserve"> 页</w:t>
                          </w:r>
                          <w:r/>
                        </w:p>
                        <w:p>
                          <w:pPr>
                            <w:pStyle w:val="837"/>
                          </w:p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8"/>
                      <w:tabs>
                        <w:tab w:val="clear" w:pos="4153" w:leader="none"/>
                        <w:tab w:val="clear" w:pos="8306" w:leader="none"/>
                      </w:tabs>
                      <w:rPr>
                        <w:rFonts w:eastAsia="宋体"/>
                        <w:lang w:eastAsia="zh-CN"/>
                      </w:rPr>
                    </w:pPr>
                    <w:r>
                      <w:rPr>
                        <w:lang w:eastAsia="zh-CN"/>
                      </w:rPr>
                      <w:t xml:space="preserve">第 </w:t>
                    </w:r>
                    <w:r>
                      <w:rPr>
                        <w:lang w:eastAsia="zh-CN"/>
                      </w:rPr>
                      <w:fldChar w:fldCharType="begin"/>
                    </w:r>
                    <w:r>
                      <w:rPr>
                        <w:lang w:eastAsia="zh-CN"/>
                      </w:rPr>
                      <w:instrText xml:space="preserve"> PAGE  \* MERGEFORMAT </w:instrText>
                    </w:r>
                    <w:r>
                      <w:rPr>
                        <w:lang w:eastAsia="zh-CN"/>
                      </w:rPr>
                      <w:fldChar w:fldCharType="separate"/>
                    </w:r>
                    <w:r>
                      <w:rPr>
                        <w:lang w:eastAsia="zh-CN"/>
                      </w:rPr>
                      <w:t xml:space="preserve">24</w:t>
                    </w:r>
                    <w:r>
                      <w:rPr>
                        <w:lang w:eastAsia="zh-CN"/>
                      </w:rPr>
                      <w:fldChar w:fldCharType="end"/>
                    </w:r>
                    <w:r>
                      <w:rPr>
                        <w:lang w:eastAsia="zh-CN"/>
                      </w:rPr>
                      <w:t xml:space="preserve"> 页 共 </w:t>
                    </w:r>
                    <w:r>
                      <w:rPr>
                        <w:lang w:eastAsia="zh-CN"/>
                      </w:rPr>
                      <w:fldChar w:fldCharType="begin"/>
                    </w:r>
                    <w:r>
                      <w:rPr>
                        <w:lang w:eastAsia="zh-CN"/>
                      </w:rPr>
                      <w:instrText xml:space="preserve"> NUMPAGES  \* MERGEFORMAT </w:instrText>
                    </w:r>
                    <w:r>
                      <w:rPr>
                        <w:lang w:eastAsia="zh-CN"/>
                      </w:rPr>
                      <w:fldChar w:fldCharType="separate"/>
                    </w:r>
                    <w:r>
                      <w:rPr>
                        <w:lang w:eastAsia="zh-CN"/>
                      </w:rPr>
                      <w:t xml:space="preserve">49</w:t>
                    </w:r>
                    <w:r>
                      <w:rPr>
                        <w:lang w:eastAsia="zh-CN"/>
                      </w:rPr>
                      <w:fldChar w:fldCharType="end"/>
                    </w:r>
                    <w:r>
                      <w:rPr>
                        <w:lang w:eastAsia="zh-CN"/>
                      </w:rPr>
                      <w:t xml:space="preserve"> 页</w:t>
                    </w:r>
                    <w:r/>
                  </w:p>
                  <w:p>
                    <w:pPr>
                      <w:pStyle w:val="8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left"/>
      <w:rPr>
        <w:rFonts w:ascii="宋体" w:hAnsi="宋体"/>
        <w:b/>
        <w:i/>
      </w:rPr>
      <w:pBdr>
        <w:bottom w:val="none" w:color="auto" w:sz="0" w:space="1"/>
      </w:pBdr>
    </w:pPr>
    <w:r>
      <w:rPr>
        <w:rFonts w:ascii="宋体" w:hAnsi="宋体"/>
        <w:b/>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条"/>
      <w:lvlJc w:val="left"/>
      <w:pPr/>
    </w:lvl>
    <w:lvl w:ilvl="1">
      <w:start w:val="1"/>
      <w:numFmt w:val="bullet"/>
      <w:pStyle w:val="110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8"/>
      <w:numFmt w:val="chineseCounting"/>
      <w:pStyle w:val="1048"/>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6"/>
  </w:num>
  <w:num w:numId="5">
    <w:abstractNumId w:val="1"/>
  </w:num>
  <w:num w:numId="6">
    <w:abstractNumId w:val="7"/>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default="1">
    <w:name w:val="Normal"/>
    <w:next w:val="816"/>
    <w:link w:val="1144"/>
    <w:uiPriority w:val="0"/>
    <w:qFormat/>
    <w:rPr>
      <w:rFonts w:hint="default" w:ascii="Times New Roman" w:hAnsi="Times New Roman" w:eastAsia="宋体" w:cs="Times New Roman"/>
    </w:rPr>
  </w:style>
  <w:style w:type="paragraph" w:styleId="805">
    <w:name w:val="Heading 1"/>
    <w:basedOn w:val="804"/>
    <w:next w:val="804"/>
    <w:link w:val="872"/>
    <w:uiPriority w:val="9"/>
    <w:qFormat/>
    <w:pPr>
      <w:keepLines/>
      <w:keepNext/>
      <w:spacing w:before="480" w:after="200"/>
      <w:outlineLvl w:val="0"/>
    </w:pPr>
    <w:rPr>
      <w:rFonts w:hint="default" w:ascii="Arial" w:hAnsi="Arial" w:eastAsia="Arial" w:cs="Arial"/>
      <w:sz w:val="40"/>
      <w:szCs w:val="40"/>
    </w:rPr>
  </w:style>
  <w:style w:type="paragraph" w:styleId="806">
    <w:name w:val="Heading 2"/>
    <w:next w:val="804"/>
    <w:link w:val="873"/>
    <w:uiPriority w:val="9"/>
    <w:unhideWhenUsed/>
    <w:qFormat/>
    <w:pPr>
      <w:keepLines/>
      <w:keepNext/>
      <w:spacing w:before="360" w:after="200"/>
      <w:outlineLvl w:val="1"/>
    </w:pPr>
    <w:rPr>
      <w:rFonts w:hint="default" w:ascii="Arial" w:hAnsi="Arial" w:eastAsia="Arial" w:cs="Arial"/>
      <w:sz w:val="34"/>
    </w:rPr>
  </w:style>
  <w:style w:type="paragraph" w:styleId="807">
    <w:name w:val="Heading 3"/>
    <w:next w:val="804"/>
    <w:link w:val="874"/>
    <w:uiPriority w:val="9"/>
    <w:unhideWhenUsed/>
    <w:qFormat/>
    <w:pPr>
      <w:keepLines/>
      <w:keepNext/>
      <w:spacing w:before="320" w:after="200"/>
      <w:outlineLvl w:val="2"/>
    </w:pPr>
    <w:rPr>
      <w:rFonts w:hint="default" w:ascii="Arial" w:hAnsi="Arial" w:eastAsia="Arial" w:cs="Arial"/>
      <w:sz w:val="30"/>
      <w:szCs w:val="30"/>
    </w:rPr>
  </w:style>
  <w:style w:type="paragraph" w:styleId="808">
    <w:name w:val="Heading 4"/>
    <w:next w:val="804"/>
    <w:link w:val="875"/>
    <w:uiPriority w:val="9"/>
    <w:unhideWhenUsed/>
    <w:qFormat/>
    <w:pPr>
      <w:keepLines/>
      <w:keepNext/>
      <w:spacing w:before="320" w:after="200"/>
      <w:outlineLvl w:val="3"/>
    </w:pPr>
    <w:rPr>
      <w:rFonts w:hint="default" w:ascii="Arial" w:hAnsi="Arial" w:eastAsia="Arial" w:cs="Arial"/>
      <w:b/>
      <w:bCs/>
      <w:sz w:val="26"/>
      <w:szCs w:val="26"/>
    </w:rPr>
  </w:style>
  <w:style w:type="paragraph" w:styleId="809">
    <w:name w:val="Heading 5"/>
    <w:next w:val="804"/>
    <w:link w:val="876"/>
    <w:uiPriority w:val="9"/>
    <w:unhideWhenUsed/>
    <w:qFormat/>
    <w:pPr>
      <w:keepLines/>
      <w:keepNext/>
      <w:spacing w:before="320" w:after="200"/>
      <w:outlineLvl w:val="4"/>
    </w:pPr>
    <w:rPr>
      <w:rFonts w:hint="default" w:ascii="Arial" w:hAnsi="Arial" w:eastAsia="Arial" w:cs="Arial"/>
      <w:b/>
      <w:bCs/>
      <w:sz w:val="24"/>
      <w:szCs w:val="24"/>
    </w:rPr>
  </w:style>
  <w:style w:type="paragraph" w:styleId="810">
    <w:name w:val="Heading 6"/>
    <w:next w:val="804"/>
    <w:link w:val="877"/>
    <w:uiPriority w:val="9"/>
    <w:unhideWhenUsed/>
    <w:qFormat/>
    <w:pPr>
      <w:keepLines/>
      <w:keepNext/>
      <w:spacing w:before="320" w:after="200"/>
      <w:outlineLvl w:val="5"/>
    </w:pPr>
    <w:rPr>
      <w:rFonts w:hint="default" w:ascii="Arial" w:hAnsi="Arial" w:eastAsia="Arial" w:cs="Arial"/>
      <w:b/>
      <w:bCs/>
      <w:sz w:val="22"/>
      <w:szCs w:val="22"/>
    </w:rPr>
  </w:style>
  <w:style w:type="paragraph" w:styleId="811">
    <w:name w:val="Heading 7"/>
    <w:next w:val="804"/>
    <w:link w:val="878"/>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12">
    <w:name w:val="Heading 8"/>
    <w:next w:val="804"/>
    <w:link w:val="879"/>
    <w:uiPriority w:val="9"/>
    <w:unhideWhenUsed/>
    <w:qFormat/>
    <w:pPr>
      <w:keepLines/>
      <w:keepNext/>
      <w:spacing w:before="320" w:after="200"/>
      <w:outlineLvl w:val="7"/>
    </w:pPr>
    <w:rPr>
      <w:rFonts w:hint="default" w:ascii="Arial" w:hAnsi="Arial" w:eastAsia="Arial" w:cs="Arial"/>
      <w:i/>
      <w:iCs/>
      <w:sz w:val="22"/>
      <w:szCs w:val="22"/>
    </w:rPr>
  </w:style>
  <w:style w:type="paragraph" w:styleId="813">
    <w:name w:val="Heading 9"/>
    <w:next w:val="804"/>
    <w:link w:val="880"/>
    <w:uiPriority w:val="9"/>
    <w:unhideWhenUsed/>
    <w:qFormat/>
    <w:pPr>
      <w:keepLines/>
      <w:keepNext/>
      <w:spacing w:before="320" w:after="200"/>
      <w:outlineLvl w:val="8"/>
    </w:pPr>
    <w:rPr>
      <w:rFonts w:hint="default" w:ascii="Arial" w:hAnsi="Arial" w:eastAsia="Arial" w:cs="Arial"/>
      <w:i/>
      <w:iCs/>
      <w:sz w:val="21"/>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toc 1"/>
    <w:basedOn w:val="804"/>
    <w:next w:val="804"/>
    <w:uiPriority w:val="39"/>
    <w:unhideWhenUsed/>
    <w:qFormat/>
    <w:pPr>
      <w:ind w:left="0" w:right="0" w:firstLine="0"/>
      <w:spacing w:after="57"/>
    </w:pPr>
    <w:rPr>
      <w:rFonts w:hint="default" w:ascii="Times New Roman" w:hAnsi="Times New Roman" w:eastAsia="宋体" w:cs="Times New Roman"/>
    </w:rPr>
  </w:style>
  <w:style w:type="paragraph" w:styleId="817">
    <w:name w:val="toc 7"/>
    <w:next w:val="804"/>
    <w:uiPriority w:val="39"/>
    <w:unhideWhenUsed/>
    <w:qFormat/>
    <w:pPr>
      <w:ind w:left="1701" w:right="0" w:firstLine="0"/>
      <w:spacing w:after="57"/>
    </w:pPr>
    <w:rPr>
      <w:rFonts w:hint="default" w:ascii="Times New Roman" w:hAnsi="Times New Roman" w:eastAsia="宋体" w:cs="Times New Roman"/>
    </w:rPr>
  </w:style>
  <w:style w:type="paragraph" w:styleId="818">
    <w:name w:val="Normal Indent"/>
    <w:basedOn w:val="804"/>
    <w:uiPriority w:val="0"/>
    <w:qFormat/>
    <w:pPr>
      <w:ind w:firstLine="420"/>
    </w:pPr>
  </w:style>
  <w:style w:type="paragraph" w:styleId="819">
    <w:name w:val="Caption"/>
    <w:basedOn w:val="804"/>
    <w:next w:val="804"/>
    <w:uiPriority w:val="35"/>
    <w:semiHidden/>
    <w:unhideWhenUsed/>
    <w:qFormat/>
    <w:pPr>
      <w:spacing w:line="276" w:lineRule="auto"/>
    </w:pPr>
    <w:rPr>
      <w:rFonts w:hint="default" w:ascii="Times New Roman" w:hAnsi="Times New Roman" w:eastAsia="宋体" w:cs="Times New Roman"/>
      <w:b/>
      <w:bCs/>
      <w:color w:val="4f81bd" w:themeColor="accent1"/>
      <w:sz w:val="18"/>
      <w:szCs w:val="18"/>
    </w:rPr>
  </w:style>
  <w:style w:type="paragraph" w:styleId="820">
    <w:name w:val="index 5"/>
    <w:basedOn w:val="804"/>
    <w:next w:val="804"/>
    <w:uiPriority w:val="0"/>
    <w:qFormat/>
    <w:pPr>
      <w:ind w:left="798"/>
      <w:jc w:val="left"/>
    </w:pPr>
    <w:rPr>
      <w:rFonts w:ascii="Calibri"/>
    </w:rPr>
  </w:style>
  <w:style w:type="paragraph" w:styleId="821">
    <w:name w:val="Body Text"/>
    <w:basedOn w:val="804"/>
    <w:next w:val="804"/>
    <w:uiPriority w:val="0"/>
    <w:qFormat/>
    <w:pPr>
      <w:spacing w:after="120"/>
    </w:pPr>
    <w:rPr>
      <w:rFonts w:ascii="Calibri" w:hAnsi="Calibri"/>
    </w:rPr>
  </w:style>
  <w:style w:type="paragraph" w:styleId="822">
    <w:name w:val="Body Text Indent"/>
    <w:basedOn w:val="804"/>
    <w:next w:val="823"/>
    <w:uiPriority w:val="99"/>
    <w:unhideWhenUsed/>
    <w:qFormat/>
    <w:pPr>
      <w:ind w:left="420"/>
      <w:spacing w:after="120"/>
    </w:pPr>
  </w:style>
  <w:style w:type="paragraph" w:styleId="823">
    <w:name w:val="envelope return"/>
    <w:basedOn w:val="804"/>
    <w:uiPriority w:val="0"/>
    <w:qFormat/>
    <w:rPr>
      <w:rFonts w:ascii="Arial" w:hAnsi="Arial"/>
    </w:rPr>
  </w:style>
  <w:style w:type="paragraph" w:styleId="824">
    <w:name w:val="Block Text"/>
    <w:basedOn w:val="804"/>
    <w:uiPriority w:val="0"/>
    <w:qFormat/>
    <w:pPr>
      <w:ind w:left="420" w:right="33"/>
    </w:pPr>
    <w:rPr>
      <w:sz w:val="24"/>
    </w:rPr>
  </w:style>
  <w:style w:type="paragraph" w:styleId="825">
    <w:name w:val="toc 5"/>
    <w:next w:val="804"/>
    <w:uiPriority w:val="39"/>
    <w:unhideWhenUsed/>
    <w:qFormat/>
    <w:pPr>
      <w:ind w:left="1134" w:right="0" w:firstLine="0"/>
      <w:spacing w:after="57"/>
    </w:pPr>
    <w:rPr>
      <w:rFonts w:hint="default" w:ascii="Times New Roman" w:hAnsi="Times New Roman" w:eastAsia="宋体" w:cs="Times New Roman"/>
    </w:rPr>
  </w:style>
  <w:style w:type="paragraph" w:styleId="826">
    <w:name w:val="toc 3"/>
    <w:next w:val="804"/>
    <w:uiPriority w:val="39"/>
    <w:unhideWhenUsed/>
    <w:qFormat/>
    <w:pPr>
      <w:ind w:left="567" w:right="0" w:firstLine="0"/>
      <w:spacing w:after="57"/>
    </w:pPr>
    <w:rPr>
      <w:rFonts w:hint="default" w:ascii="Times New Roman" w:hAnsi="Times New Roman" w:eastAsia="宋体" w:cs="Times New Roman"/>
    </w:rPr>
  </w:style>
  <w:style w:type="paragraph" w:styleId="827">
    <w:name w:val="toc 8"/>
    <w:next w:val="804"/>
    <w:uiPriority w:val="39"/>
    <w:unhideWhenUsed/>
    <w:qFormat/>
    <w:pPr>
      <w:ind w:left="1984" w:right="0" w:firstLine="0"/>
      <w:spacing w:after="57"/>
    </w:pPr>
    <w:rPr>
      <w:rFonts w:hint="default" w:ascii="Times New Roman" w:hAnsi="Times New Roman" w:eastAsia="宋体" w:cs="Times New Roman"/>
    </w:rPr>
  </w:style>
  <w:style w:type="paragraph" w:styleId="828">
    <w:name w:val="endnote text"/>
    <w:link w:val="1017"/>
    <w:uiPriority w:val="99"/>
    <w:semiHidden/>
    <w:unhideWhenUsed/>
    <w:qFormat/>
    <w:pPr>
      <w:spacing w:after="0" w:line="240" w:lineRule="auto"/>
    </w:pPr>
    <w:rPr>
      <w:rFonts w:hint="default" w:ascii="Times New Roman" w:hAnsi="Times New Roman" w:eastAsia="宋体" w:cs="Times New Roman"/>
      <w:sz w:val="20"/>
    </w:rPr>
  </w:style>
  <w:style w:type="paragraph" w:styleId="829">
    <w:name w:val="Footer"/>
    <w:basedOn w:val="804"/>
    <w:link w:val="890"/>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30">
    <w:name w:val="Header"/>
    <w:basedOn w:val="804"/>
    <w:link w:val="888"/>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31">
    <w:name w:val="toc 4"/>
    <w:next w:val="804"/>
    <w:uiPriority w:val="39"/>
    <w:unhideWhenUsed/>
    <w:qFormat/>
    <w:pPr>
      <w:ind w:left="850" w:right="0" w:firstLine="0"/>
      <w:spacing w:after="57"/>
    </w:pPr>
    <w:rPr>
      <w:rFonts w:hint="default" w:ascii="Times New Roman" w:hAnsi="Times New Roman" w:eastAsia="宋体" w:cs="Times New Roman"/>
    </w:rPr>
  </w:style>
  <w:style w:type="paragraph" w:styleId="832">
    <w:name w:val="Subtitle"/>
    <w:link w:val="883"/>
    <w:uiPriority w:val="11"/>
    <w:qFormat/>
    <w:pPr>
      <w:spacing w:before="200" w:after="200"/>
    </w:pPr>
    <w:rPr>
      <w:rFonts w:hint="default" w:ascii="Times New Roman" w:hAnsi="Times New Roman" w:eastAsia="宋体" w:cs="Times New Roman"/>
      <w:sz w:val="24"/>
      <w:szCs w:val="24"/>
    </w:rPr>
  </w:style>
  <w:style w:type="paragraph" w:styleId="833">
    <w:name w:val="footnote text"/>
    <w:basedOn w:val="804"/>
    <w:next w:val="820"/>
    <w:link w:val="1016"/>
    <w:uiPriority w:val="99"/>
    <w:semiHidden/>
    <w:unhideWhenUsed/>
    <w:qFormat/>
    <w:pPr>
      <w:spacing w:after="40" w:line="240" w:lineRule="auto"/>
    </w:pPr>
    <w:rPr>
      <w:rFonts w:hint="default" w:ascii="Times New Roman" w:hAnsi="Times New Roman" w:eastAsia="宋体" w:cs="Times New Roman"/>
      <w:sz w:val="18"/>
    </w:rPr>
  </w:style>
  <w:style w:type="paragraph" w:styleId="834">
    <w:name w:val="toc 6"/>
    <w:basedOn w:val="804"/>
    <w:next w:val="804"/>
    <w:uiPriority w:val="39"/>
    <w:unhideWhenUsed/>
    <w:qFormat/>
    <w:pPr>
      <w:ind w:left="1417" w:right="0" w:firstLine="0"/>
      <w:spacing w:after="57"/>
    </w:pPr>
    <w:rPr>
      <w:rFonts w:hint="default" w:ascii="Times New Roman" w:hAnsi="Times New Roman" w:eastAsia="宋体" w:cs="Times New Roman"/>
    </w:rPr>
  </w:style>
  <w:style w:type="paragraph" w:styleId="835">
    <w:name w:val="table of figures"/>
    <w:next w:val="804"/>
    <w:uiPriority w:val="99"/>
    <w:unhideWhenUsed/>
    <w:qFormat/>
    <w:pPr>
      <w:spacing w:after="0" w:afterAutospacing="0"/>
    </w:pPr>
    <w:rPr>
      <w:rFonts w:hint="default" w:ascii="Times New Roman" w:hAnsi="Times New Roman" w:eastAsia="宋体" w:cs="Times New Roman"/>
    </w:rPr>
  </w:style>
  <w:style w:type="paragraph" w:styleId="836">
    <w:name w:val="toc 2"/>
    <w:basedOn w:val="837"/>
    <w:next w:val="804"/>
    <w:uiPriority w:val="0"/>
    <w:qFormat/>
    <w:pPr>
      <w:ind w:left="900"/>
      <w:jc w:val="left"/>
      <w:spacing w:line="410" w:lineRule="exact"/>
    </w:pPr>
    <w:rPr>
      <w:rFonts w:ascii="Noto Sans CJK JP Regular" w:hAnsi="Noto Sans CJK JP Regular" w:eastAsia="Noto Sans CJK JP Regular"/>
      <w:sz w:val="24"/>
      <w:lang w:eastAsia="en-US"/>
    </w:rPr>
  </w:style>
  <w:style w:type="paragraph" w:styleId="837" w:customStyle="1">
    <w:name w:val="正文112"/>
    <w:next w:val="838"/>
    <w:link w:val="1090"/>
    <w:uiPriority w:val="0"/>
    <w:qFormat/>
    <w:pPr>
      <w:jc w:val="both"/>
      <w:widowControl w:val="off"/>
    </w:pPr>
    <w:rPr>
      <w:rFonts w:ascii="Times New Roman" w:hAnsi="Times New Roman" w:eastAsia="宋体" w:cs="Times New Roman"/>
      <w:sz w:val="21"/>
      <w:szCs w:val="24"/>
      <w:lang w:val="en-US" w:eastAsia="zh-CN" w:bidi="ar-SA"/>
    </w:rPr>
  </w:style>
  <w:style w:type="paragraph" w:styleId="838" w:customStyle="1">
    <w:name w:val="页脚1"/>
    <w:basedOn w:val="839"/>
    <w:link w:val="1081"/>
    <w:uiPriority w:val="0"/>
    <w:qFormat/>
    <w:pPr>
      <w:jc w:val="left"/>
      <w:tabs>
        <w:tab w:val="center" w:pos="4153" w:leader="none"/>
        <w:tab w:val="right" w:pos="8306" w:leader="none"/>
      </w:tabs>
    </w:pPr>
    <w:rPr>
      <w:sz w:val="18"/>
      <w:szCs w:val="18"/>
    </w:rPr>
  </w:style>
  <w:style w:type="paragraph" w:styleId="839" w:customStyle="1">
    <w:name w:val="正文113"/>
    <w:next w:val="840"/>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840" w:customStyle="1">
    <w:name w:val="BodyText1I2"/>
    <w:basedOn w:val="841"/>
    <w:uiPriority w:val="0"/>
    <w:qFormat/>
    <w:pPr>
      <w:ind w:firstLine="420"/>
      <w:spacing w:line="240" w:lineRule="auto"/>
    </w:pPr>
    <w:rPr>
      <w:sz w:val="21"/>
    </w:rPr>
  </w:style>
  <w:style w:type="paragraph" w:styleId="841" w:customStyle="1">
    <w:name w:val="BodyTextIndent"/>
    <w:basedOn w:val="839"/>
    <w:uiPriority w:val="0"/>
    <w:qFormat/>
    <w:pPr>
      <w:ind w:left="420" w:firstLine="200"/>
      <w:spacing w:after="120" w:line="360" w:lineRule="auto"/>
    </w:pPr>
    <w:rPr>
      <w:rFonts w:ascii="Verdana" w:hAnsi="Verdana"/>
      <w:sz w:val="24"/>
      <w:szCs w:val="28"/>
    </w:rPr>
  </w:style>
  <w:style w:type="paragraph" w:styleId="842">
    <w:name w:val="toc 9"/>
    <w:next w:val="804"/>
    <w:uiPriority w:val="39"/>
    <w:unhideWhenUsed/>
    <w:qFormat/>
    <w:pPr>
      <w:ind w:left="2268" w:right="0" w:firstLine="0"/>
      <w:spacing w:after="57"/>
    </w:pPr>
    <w:rPr>
      <w:rFonts w:hint="default" w:ascii="Times New Roman" w:hAnsi="Times New Roman" w:eastAsia="宋体" w:cs="Times New Roman"/>
    </w:rPr>
  </w:style>
  <w:style w:type="paragraph" w:styleId="843">
    <w:name w:val="Normal (Web)"/>
    <w:basedOn w:val="804"/>
    <w:uiPriority w:val="99"/>
    <w:qFormat/>
    <w:pPr>
      <w:spacing w:before="100" w:beforeAutospacing="1" w:after="100" w:afterAutospacing="1"/>
    </w:pPr>
    <w:rPr>
      <w:rFonts w:ascii="宋体" w:hAnsi="宋体" w:cs="宋体"/>
      <w:sz w:val="24"/>
      <w:szCs w:val="24"/>
    </w:rPr>
  </w:style>
  <w:style w:type="paragraph" w:styleId="844">
    <w:name w:val="Title"/>
    <w:link w:val="882"/>
    <w:uiPriority w:val="10"/>
    <w:qFormat/>
    <w:pPr>
      <w:contextualSpacing/>
      <w:spacing w:before="300" w:after="200"/>
    </w:pPr>
    <w:rPr>
      <w:rFonts w:hint="default" w:ascii="Times New Roman" w:hAnsi="Times New Roman" w:eastAsia="宋体" w:cs="Times New Roman"/>
      <w:sz w:val="48"/>
      <w:szCs w:val="48"/>
    </w:rPr>
  </w:style>
  <w:style w:type="paragraph" w:styleId="845">
    <w:name w:val="Body Text First Indent"/>
    <w:basedOn w:val="804"/>
    <w:next w:val="834"/>
    <w:uiPriority w:val="99"/>
    <w:unhideWhenUsed/>
    <w:qFormat/>
    <w:pPr>
      <w:ind w:firstLine="420"/>
    </w:pPr>
    <w:rPr>
      <w:sz w:val="24"/>
    </w:rPr>
  </w:style>
  <w:style w:type="paragraph" w:styleId="846">
    <w:name w:val="Body Text First Indent 2"/>
    <w:basedOn w:val="822"/>
    <w:uiPriority w:val="99"/>
    <w:unhideWhenUsed/>
    <w:qFormat/>
    <w:pPr>
      <w:ind w:firstLine="420"/>
    </w:pPr>
  </w:style>
  <w:style w:type="table" w:styleId="84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endnote reference"/>
    <w:uiPriority w:val="99"/>
    <w:semiHidden/>
    <w:unhideWhenUsed/>
    <w:qFormat/>
    <w:rPr>
      <w:vertAlign w:val="superscript"/>
    </w:rPr>
  </w:style>
  <w:style w:type="character" w:styleId="849">
    <w:name w:val="page number"/>
    <w:uiPriority w:val="0"/>
    <w:qFormat/>
  </w:style>
  <w:style w:type="character" w:styleId="850">
    <w:name w:val="Hyperlink"/>
    <w:basedOn w:val="814"/>
    <w:uiPriority w:val="99"/>
    <w:unhideWhenUsed/>
    <w:qFormat/>
    <w:rPr>
      <w:color w:val="0000ff" w:themeColor="hyperlink"/>
      <w:u w:val="single"/>
    </w:rPr>
  </w:style>
  <w:style w:type="character" w:styleId="851">
    <w:name w:val="footnote reference"/>
    <w:uiPriority w:val="99"/>
    <w:unhideWhenUsed/>
    <w:qFormat/>
    <w:rPr>
      <w:vertAlign w:val="superscript"/>
    </w:rPr>
  </w:style>
  <w:style w:type="paragraph" w:styleId="852" w:customStyle="1">
    <w:name w:val="标题 211"/>
    <w:basedOn w:val="853"/>
    <w:next w:val="837"/>
    <w:uiPriority w:val="0"/>
    <w:qFormat/>
    <w:pPr>
      <w:keepLines/>
      <w:keepNext/>
      <w:spacing w:before="260" w:after="260" w:line="416" w:lineRule="auto"/>
      <w:outlineLvl w:val="1"/>
    </w:pPr>
    <w:rPr>
      <w:rFonts w:ascii="Calibri Light" w:hAnsi="Calibri Light"/>
      <w:bCs/>
      <w:sz w:val="32"/>
      <w:szCs w:val="32"/>
    </w:rPr>
  </w:style>
  <w:style w:type="paragraph" w:styleId="853" w:customStyle="1">
    <w:name w:val="正文11"/>
    <w:next w:val="8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4" w:customStyle="1">
    <w:name w:val="标题 21"/>
    <w:basedOn w:val="855"/>
    <w:next w:val="853"/>
    <w:link w:val="1065"/>
    <w:uiPriority w:val="0"/>
    <w:qFormat/>
    <w:pPr>
      <w:keepLines/>
      <w:keepNext/>
      <w:spacing w:before="260" w:after="260" w:line="412" w:lineRule="auto"/>
      <w:outlineLvl w:val="1"/>
    </w:pPr>
    <w:rPr>
      <w:rFonts w:ascii="Arial" w:hAnsi="Arial" w:eastAsia="黑体"/>
      <w:sz w:val="32"/>
      <w:szCs w:val="32"/>
    </w:rPr>
  </w:style>
  <w:style w:type="paragraph" w:styleId="855" w:customStyle="1">
    <w:name w:val="正文1"/>
    <w:basedOn w:val="837"/>
    <w:next w:val="804"/>
    <w:uiPriority w:val="0"/>
    <w:qFormat/>
    <w:pPr>
      <w:ind w:firstLine="361"/>
      <w:spacing w:line="360" w:lineRule="auto"/>
    </w:pPr>
    <w:rPr>
      <w:rFonts w:ascii="宋体" w:hAnsi="宋体"/>
    </w:rPr>
  </w:style>
  <w:style w:type="paragraph" w:styleId="856" w:customStyle="1">
    <w:name w:val="文本块1"/>
    <w:basedOn w:val="855"/>
    <w:next w:val="857"/>
    <w:uiPriority w:val="0"/>
    <w:qFormat/>
    <w:pPr>
      <w:ind w:left="1440" w:right="1440"/>
      <w:spacing w:after="120"/>
    </w:pPr>
    <w:rPr>
      <w:rFonts w:ascii="Calibri" w:hAnsi="Calibri"/>
    </w:rPr>
  </w:style>
  <w:style w:type="paragraph" w:styleId="857" w:customStyle="1">
    <w:name w:val="标题 41"/>
    <w:basedOn w:val="858"/>
    <w:next w:val="853"/>
    <w:link w:val="1042"/>
    <w:uiPriority w:val="0"/>
    <w:qFormat/>
    <w:pPr>
      <w:keepLines/>
      <w:keepNext/>
      <w:spacing w:before="280" w:after="290" w:line="376" w:lineRule="auto"/>
      <w:outlineLvl w:val="3"/>
    </w:pPr>
    <w:rPr>
      <w:rFonts w:ascii="Cambria" w:hAnsi="Cambria" w:eastAsia="宋体"/>
      <w:sz w:val="28"/>
      <w:szCs w:val="28"/>
    </w:rPr>
  </w:style>
  <w:style w:type="paragraph" w:styleId="858" w:customStyle="1">
    <w:name w:val="标题1"/>
    <w:basedOn w:val="837"/>
    <w:next w:val="804"/>
    <w:uiPriority w:val="0"/>
    <w:qFormat/>
    <w:pPr>
      <w:jc w:val="center"/>
      <w:spacing w:before="300" w:after="300"/>
      <w:outlineLvl w:val="0"/>
    </w:pPr>
    <w:rPr>
      <w:rFonts w:ascii="Cambria" w:hAnsi="Cambria" w:eastAsia="仿宋_GB2312"/>
      <w:b/>
      <w:bCs/>
      <w:sz w:val="36"/>
      <w:szCs w:val="32"/>
    </w:rPr>
  </w:style>
  <w:style w:type="paragraph" w:styleId="859" w:customStyle="1">
    <w:name w:val="正文111"/>
    <w:next w:val="8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customStyle="1">
    <w:name w:val="脚注文本2"/>
    <w:basedOn w:val="859"/>
    <w:next w:val="861"/>
    <w:uiPriority w:val="0"/>
    <w:qFormat/>
    <w:pPr>
      <w:jc w:val="left"/>
    </w:pPr>
    <w:rPr>
      <w:rFonts w:ascii="宋体" w:eastAsia="Times New Roman"/>
      <w:sz w:val="18"/>
      <w:szCs w:val="18"/>
    </w:rPr>
  </w:style>
  <w:style w:type="paragraph" w:styleId="861" w:customStyle="1">
    <w:name w:val="索引 52"/>
    <w:basedOn w:val="859"/>
    <w:next w:val="859"/>
    <w:uiPriority w:val="0"/>
    <w:qFormat/>
    <w:pPr>
      <w:ind w:left="798"/>
      <w:jc w:val="left"/>
    </w:pPr>
    <w:rPr>
      <w:rFonts w:ascii="Calibri" w:hAnsi="Calibri"/>
    </w:rPr>
  </w:style>
  <w:style w:type="paragraph" w:styleId="862" w:customStyle="1">
    <w:name w:val="目录 11"/>
    <w:basedOn w:val="853"/>
    <w:next w:val="804"/>
    <w:uiPriority w:val="0"/>
    <w:qFormat/>
    <w:pPr>
      <w:jc w:val="left"/>
      <w:spacing w:after="100" w:line="259" w:lineRule="auto"/>
      <w:widowControl/>
    </w:pPr>
    <w:rPr>
      <w:rFonts w:ascii="Calibri" w:hAnsi="Calibri" w:eastAsia="宋体"/>
      <w:sz w:val="22"/>
      <w:szCs w:val="22"/>
    </w:rPr>
  </w:style>
  <w:style w:type="paragraph" w:styleId="863" w:customStyle="1">
    <w:name w:val="正文文本12"/>
    <w:basedOn w:val="837"/>
    <w:next w:val="857"/>
    <w:link w:val="1066"/>
    <w:uiPriority w:val="0"/>
    <w:qFormat/>
    <w:pPr>
      <w:spacing w:after="120"/>
    </w:pPr>
  </w:style>
  <w:style w:type="paragraph" w:styleId="864" w:customStyle="1">
    <w:name w:val="文本块111"/>
    <w:basedOn w:val="804"/>
    <w:uiPriority w:val="0"/>
    <w:unhideWhenUsed/>
    <w:qFormat/>
    <w:pPr>
      <w:ind w:left="420" w:right="33"/>
      <w:jc w:val="left"/>
    </w:pPr>
    <w:rPr>
      <w:sz w:val="24"/>
      <w:szCs w:val="20"/>
    </w:rPr>
  </w:style>
  <w:style w:type="paragraph" w:styleId="865" w:customStyle="1">
    <w:name w:val="一级条标题"/>
    <w:basedOn w:val="866"/>
    <w:next w:val="86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6" w:customStyle="1">
    <w:name w:val="章标题"/>
    <w:basedOn w:val="837"/>
    <w:next w:val="80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7" w:customStyle="1">
    <w:name w:val="段"/>
    <w:next w:val="804"/>
    <w:uiPriority w:val="0"/>
    <w:qFormat/>
    <w:pPr>
      <w:ind w:firstLine="200"/>
      <w:jc w:val="both"/>
    </w:pPr>
    <w:rPr>
      <w:rFonts w:hint="default" w:ascii="宋体" w:hAnsi="Calibri" w:eastAsia="宋体" w:cs="Times New Roman"/>
      <w:sz w:val="21"/>
      <w:szCs w:val="22"/>
      <w:lang w:val="en-US" w:eastAsia="zh-CN" w:bidi="ar-SA"/>
    </w:rPr>
  </w:style>
  <w:style w:type="paragraph" w:styleId="868" w:customStyle="1">
    <w:name w:val="正文13"/>
    <w:next w:val="8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9" w:customStyle="1">
    <w:name w:val="正文文本1"/>
    <w:basedOn w:val="855"/>
    <w:next w:val="859"/>
    <w:uiPriority w:val="0"/>
    <w:qFormat/>
    <w:pPr>
      <w:spacing w:after="120"/>
    </w:pPr>
    <w:rPr>
      <w:rFonts w:ascii="Calibri" w:hAnsi="Calibri"/>
    </w:rPr>
  </w:style>
  <w:style w:type="paragraph" w:styleId="870" w:customStyle="1">
    <w:name w:val="脚注文本11"/>
    <w:basedOn w:val="837"/>
    <w:next w:val="871"/>
    <w:uiPriority w:val="0"/>
    <w:qFormat/>
    <w:pPr>
      <w:jc w:val="left"/>
    </w:pPr>
    <w:rPr>
      <w:rFonts w:ascii="宋体" w:eastAsia="Times New Roman"/>
      <w:sz w:val="18"/>
      <w:szCs w:val="18"/>
    </w:rPr>
  </w:style>
  <w:style w:type="paragraph" w:styleId="871" w:customStyle="1">
    <w:name w:val="索引 511"/>
    <w:basedOn w:val="837"/>
    <w:next w:val="853"/>
    <w:uiPriority w:val="0"/>
    <w:qFormat/>
    <w:pPr>
      <w:ind w:left="798"/>
      <w:jc w:val="left"/>
    </w:pPr>
    <w:rPr>
      <w:rFonts w:ascii="Calibri" w:hAnsi="Calibri"/>
    </w:rPr>
  </w:style>
  <w:style w:type="character" w:styleId="872" w:customStyle="1">
    <w:name w:val="Heading 1 Char"/>
    <w:link w:val="805"/>
    <w:uiPriority w:val="9"/>
    <w:qFormat/>
    <w:rPr>
      <w:rFonts w:ascii="Arial" w:hAnsi="Arial" w:eastAsia="Arial" w:cs="Arial"/>
      <w:sz w:val="40"/>
      <w:szCs w:val="40"/>
    </w:rPr>
  </w:style>
  <w:style w:type="character" w:styleId="873" w:customStyle="1">
    <w:name w:val="Heading 2 Char"/>
    <w:link w:val="806"/>
    <w:uiPriority w:val="9"/>
    <w:qFormat/>
    <w:rPr>
      <w:rFonts w:ascii="Arial" w:hAnsi="Arial" w:eastAsia="Arial" w:cs="Arial"/>
      <w:sz w:val="34"/>
    </w:rPr>
  </w:style>
  <w:style w:type="character" w:styleId="874" w:customStyle="1">
    <w:name w:val="Heading 3 Char"/>
    <w:link w:val="807"/>
    <w:uiPriority w:val="9"/>
    <w:qFormat/>
    <w:rPr>
      <w:rFonts w:ascii="Arial" w:hAnsi="Arial" w:eastAsia="Arial" w:cs="Arial"/>
      <w:sz w:val="30"/>
      <w:szCs w:val="30"/>
    </w:rPr>
  </w:style>
  <w:style w:type="character" w:styleId="875" w:customStyle="1">
    <w:name w:val="Heading 4 Char"/>
    <w:link w:val="808"/>
    <w:uiPriority w:val="9"/>
    <w:qFormat/>
    <w:rPr>
      <w:rFonts w:ascii="Arial" w:hAnsi="Arial" w:eastAsia="Arial" w:cs="Arial"/>
      <w:b/>
      <w:bCs/>
      <w:sz w:val="26"/>
      <w:szCs w:val="26"/>
    </w:rPr>
  </w:style>
  <w:style w:type="character" w:styleId="876" w:customStyle="1">
    <w:name w:val="Heading 5 Char"/>
    <w:link w:val="809"/>
    <w:uiPriority w:val="9"/>
    <w:qFormat/>
    <w:rPr>
      <w:rFonts w:ascii="Arial" w:hAnsi="Arial" w:eastAsia="Arial" w:cs="Arial"/>
      <w:b/>
      <w:bCs/>
      <w:sz w:val="24"/>
      <w:szCs w:val="24"/>
    </w:rPr>
  </w:style>
  <w:style w:type="character" w:styleId="877" w:customStyle="1">
    <w:name w:val="Heading 6 Char"/>
    <w:link w:val="810"/>
    <w:uiPriority w:val="9"/>
    <w:qFormat/>
    <w:rPr>
      <w:rFonts w:ascii="Arial" w:hAnsi="Arial" w:eastAsia="Arial" w:cs="Arial"/>
      <w:b/>
      <w:bCs/>
      <w:sz w:val="22"/>
      <w:szCs w:val="22"/>
    </w:rPr>
  </w:style>
  <w:style w:type="character" w:styleId="878" w:customStyle="1">
    <w:name w:val="Heading 7 Char"/>
    <w:link w:val="811"/>
    <w:uiPriority w:val="9"/>
    <w:qFormat/>
    <w:rPr>
      <w:rFonts w:ascii="Arial" w:hAnsi="Arial" w:eastAsia="Arial" w:cs="Arial"/>
      <w:b/>
      <w:bCs/>
      <w:i/>
      <w:iCs/>
      <w:sz w:val="22"/>
      <w:szCs w:val="22"/>
    </w:rPr>
  </w:style>
  <w:style w:type="character" w:styleId="879" w:customStyle="1">
    <w:name w:val="Heading 8 Char"/>
    <w:link w:val="812"/>
    <w:uiPriority w:val="9"/>
    <w:qFormat/>
    <w:rPr>
      <w:rFonts w:ascii="Arial" w:hAnsi="Arial" w:eastAsia="Arial" w:cs="Arial"/>
      <w:i/>
      <w:iCs/>
      <w:sz w:val="22"/>
      <w:szCs w:val="22"/>
    </w:rPr>
  </w:style>
  <w:style w:type="character" w:styleId="880" w:customStyle="1">
    <w:name w:val="Heading 9 Char"/>
    <w:link w:val="813"/>
    <w:uiPriority w:val="9"/>
    <w:qFormat/>
    <w:rPr>
      <w:rFonts w:ascii="Arial" w:hAnsi="Arial" w:eastAsia="Arial" w:cs="Arial"/>
      <w:i/>
      <w:iCs/>
      <w:sz w:val="21"/>
      <w:szCs w:val="21"/>
    </w:rPr>
  </w:style>
  <w:style w:type="paragraph" w:styleId="881">
    <w:name w:val="List Paragraph"/>
    <w:basedOn w:val="804"/>
    <w:uiPriority w:val="34"/>
    <w:qFormat/>
    <w:pPr>
      <w:contextualSpacing/>
      <w:ind w:left="720"/>
    </w:pPr>
    <w:rPr>
      <w:rFonts w:hint="default" w:ascii="Times New Roman" w:hAnsi="Times New Roman" w:eastAsia="宋体" w:cs="Times New Roman"/>
    </w:rPr>
  </w:style>
  <w:style w:type="character" w:styleId="882" w:customStyle="1">
    <w:name w:val="Title Char"/>
    <w:link w:val="844"/>
    <w:uiPriority w:val="10"/>
    <w:qFormat/>
    <w:rPr>
      <w:sz w:val="48"/>
      <w:szCs w:val="48"/>
    </w:rPr>
  </w:style>
  <w:style w:type="character" w:styleId="883" w:customStyle="1">
    <w:name w:val="Subtitle Char"/>
    <w:link w:val="832"/>
    <w:uiPriority w:val="11"/>
    <w:qFormat/>
    <w:rPr>
      <w:sz w:val="24"/>
      <w:szCs w:val="24"/>
    </w:rPr>
  </w:style>
  <w:style w:type="paragraph" w:styleId="884">
    <w:name w:val="Quote"/>
    <w:link w:val="885"/>
    <w:uiPriority w:val="29"/>
    <w:qFormat/>
    <w:pPr>
      <w:ind w:left="720" w:right="720"/>
    </w:pPr>
    <w:rPr>
      <w:rFonts w:hint="default" w:ascii="Times New Roman" w:hAnsi="Times New Roman" w:eastAsia="宋体" w:cs="Times New Roman"/>
      <w:i/>
    </w:rPr>
  </w:style>
  <w:style w:type="character" w:styleId="885" w:customStyle="1">
    <w:name w:val="Quote Char"/>
    <w:link w:val="884"/>
    <w:uiPriority w:val="29"/>
    <w:qFormat/>
    <w:rPr>
      <w:i/>
    </w:rPr>
  </w:style>
  <w:style w:type="paragraph" w:styleId="886">
    <w:name w:val="Intense Quote"/>
    <w:link w:val="8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87" w:customStyle="1">
    <w:name w:val="Intense Quote Char"/>
    <w:link w:val="886"/>
    <w:uiPriority w:val="30"/>
    <w:qFormat/>
    <w:rPr>
      <w:i/>
    </w:rPr>
  </w:style>
  <w:style w:type="character" w:styleId="888" w:customStyle="1">
    <w:name w:val="Header Char"/>
    <w:link w:val="830"/>
    <w:uiPriority w:val="99"/>
    <w:qFormat/>
  </w:style>
  <w:style w:type="character" w:styleId="889" w:customStyle="1">
    <w:name w:val="Footer Char"/>
    <w:link w:val="829"/>
    <w:uiPriority w:val="99"/>
    <w:qFormat/>
  </w:style>
  <w:style w:type="character" w:styleId="890" w:customStyle="1">
    <w:name w:val="Caption Char"/>
    <w:link w:val="829"/>
    <w:uiPriority w:val="99"/>
    <w:qFormat/>
  </w:style>
  <w:style w:type="table" w:styleId="89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3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3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3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3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3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7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7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7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8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8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8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8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8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8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6" w:customStyle="1">
    <w:name w:val="Footnote Text Char"/>
    <w:link w:val="833"/>
    <w:uiPriority w:val="99"/>
    <w:qFormat/>
    <w:rPr>
      <w:sz w:val="18"/>
    </w:rPr>
  </w:style>
  <w:style w:type="character" w:styleId="1017" w:customStyle="1">
    <w:name w:val="Endnote Text Char"/>
    <w:link w:val="828"/>
    <w:uiPriority w:val="99"/>
    <w:qFormat/>
    <w:rPr>
      <w:sz w:val="20"/>
    </w:rPr>
  </w:style>
  <w:style w:type="paragraph" w:styleId="1018" w:customStyle="1">
    <w:name w:val="TOC Heading"/>
    <w:uiPriority w:val="39"/>
    <w:unhideWhenUsed/>
    <w:qFormat/>
    <w:rPr>
      <w:rFonts w:hint="default" w:ascii="Times New Roman" w:hAnsi="Times New Roman" w:eastAsia="宋体" w:cs="Times New Roman"/>
    </w:rPr>
  </w:style>
  <w:style w:type="paragraph" w:styleId="1019" w:customStyle="1">
    <w:name w:val="标题 11"/>
    <w:basedOn w:val="837"/>
    <w:link w:val="1141"/>
    <w:uiPriority w:val="0"/>
    <w:qFormat/>
    <w:pPr>
      <w:keepLines/>
      <w:keepNext/>
      <w:spacing w:before="340" w:after="330" w:line="578" w:lineRule="auto"/>
      <w:outlineLvl w:val="0"/>
    </w:pPr>
    <w:rPr>
      <w:b/>
      <w:bCs/>
      <w:sz w:val="44"/>
      <w:szCs w:val="44"/>
    </w:rPr>
  </w:style>
  <w:style w:type="paragraph" w:styleId="1020" w:customStyle="1">
    <w:name w:val="标题 31"/>
    <w:basedOn w:val="837"/>
    <w:next w:val="1021"/>
    <w:link w:val="1064"/>
    <w:uiPriority w:val="0"/>
    <w:qFormat/>
    <w:pPr>
      <w:keepLines/>
      <w:keepNext/>
      <w:spacing w:before="260" w:after="260" w:line="416" w:lineRule="auto"/>
      <w:outlineLvl w:val="2"/>
    </w:pPr>
    <w:rPr>
      <w:b/>
      <w:bCs/>
      <w:sz w:val="32"/>
      <w:szCs w:val="32"/>
    </w:rPr>
  </w:style>
  <w:style w:type="paragraph" w:styleId="1021" w:customStyle="1">
    <w:name w:val="正文缩进1"/>
    <w:basedOn w:val="837"/>
    <w:link w:val="1080"/>
    <w:uiPriority w:val="0"/>
    <w:qFormat/>
    <w:pPr>
      <w:ind w:firstLine="420"/>
    </w:pPr>
  </w:style>
  <w:style w:type="paragraph" w:styleId="1022" w:customStyle="1">
    <w:name w:val="标题 51"/>
    <w:basedOn w:val="837"/>
    <w:next w:val="837"/>
    <w:link w:val="1093"/>
    <w:uiPriority w:val="0"/>
    <w:qFormat/>
    <w:pPr>
      <w:keepLines/>
      <w:keepNext/>
      <w:spacing w:before="280" w:after="290" w:line="376" w:lineRule="auto"/>
      <w:outlineLvl w:val="4"/>
    </w:pPr>
    <w:rPr>
      <w:b/>
      <w:bCs/>
      <w:sz w:val="28"/>
      <w:szCs w:val="28"/>
    </w:rPr>
  </w:style>
  <w:style w:type="paragraph" w:styleId="1023" w:customStyle="1">
    <w:name w:val="标题 61"/>
    <w:basedOn w:val="837"/>
    <w:next w:val="837"/>
    <w:link w:val="1043"/>
    <w:uiPriority w:val="0"/>
    <w:qFormat/>
    <w:pPr>
      <w:keepLines/>
      <w:keepNext/>
      <w:spacing w:before="240" w:after="64" w:line="320" w:lineRule="auto"/>
      <w:outlineLvl w:val="5"/>
    </w:pPr>
    <w:rPr>
      <w:rFonts w:ascii="Arial" w:hAnsi="Arial" w:eastAsia="黑体"/>
      <w:b/>
      <w:bCs/>
      <w:sz w:val="20"/>
      <w:szCs w:val="20"/>
    </w:rPr>
  </w:style>
  <w:style w:type="character" w:styleId="1024" w:customStyle="1">
    <w:name w:val="默认段落字体1"/>
    <w:link w:val="837"/>
    <w:uiPriority w:val="0"/>
    <w:semiHidden/>
    <w:qFormat/>
  </w:style>
  <w:style w:type="table" w:styleId="1025"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sz w:val="20"/>
      <w:szCs w:val="20"/>
    </w:rPr>
    <w:tblPr/>
  </w:style>
  <w:style w:type="character" w:styleId="1026" w:customStyle="1">
    <w:name w:val="超链接1"/>
    <w:basedOn w:val="1024"/>
    <w:link w:val="837"/>
    <w:uiPriority w:val="0"/>
    <w:qFormat/>
    <w:rPr>
      <w:color w:val="333333"/>
      <w:u w:val="none"/>
    </w:rPr>
  </w:style>
  <w:style w:type="character" w:styleId="1027" w:customStyle="1">
    <w:name w:val="批注引用1"/>
    <w:link w:val="837"/>
    <w:uiPriority w:val="0"/>
    <w:qFormat/>
    <w:rPr>
      <w:sz w:val="21"/>
      <w:szCs w:val="21"/>
    </w:rPr>
  </w:style>
  <w:style w:type="character" w:styleId="1028" w:customStyle="1">
    <w:name w:val="已访问的超链接1"/>
    <w:link w:val="837"/>
    <w:uiPriority w:val="0"/>
    <w:qFormat/>
    <w:rPr>
      <w:rFonts w:ascii="Verdana" w:hAnsi="Verdana"/>
      <w:color w:val="000000"/>
      <w:sz w:val="20"/>
      <w:szCs w:val="20"/>
      <w:u w:val="none"/>
      <w:lang w:eastAsia="en-US"/>
    </w:rPr>
  </w:style>
  <w:style w:type="character" w:styleId="1029" w:customStyle="1">
    <w:name w:val="页码1"/>
    <w:basedOn w:val="1024"/>
    <w:link w:val="837"/>
    <w:uiPriority w:val="0"/>
    <w:qFormat/>
    <w:rPr>
      <w:rFonts w:ascii="Verdana" w:hAnsi="Verdana"/>
      <w:sz w:val="20"/>
      <w:szCs w:val="20"/>
      <w:lang w:eastAsia="en-US"/>
    </w:rPr>
  </w:style>
  <w:style w:type="character" w:styleId="1030" w:customStyle="1">
    <w:name w:val="页码2"/>
    <w:basedOn w:val="1024"/>
    <w:link w:val="837"/>
    <w:uiPriority w:val="0"/>
    <w:qFormat/>
  </w:style>
  <w:style w:type="character" w:styleId="1031" w:customStyle="1">
    <w:name w:val="font91"/>
    <w:basedOn w:val="1024"/>
    <w:link w:val="837"/>
    <w:uiPriority w:val="0"/>
    <w:qFormat/>
    <w:rPr>
      <w:rFonts w:ascii="宋体" w:hAnsi="宋体" w:eastAsia="宋体"/>
      <w:color w:val="000000"/>
      <w:sz w:val="21"/>
      <w:szCs w:val="21"/>
      <w:u w:val="none"/>
    </w:rPr>
  </w:style>
  <w:style w:type="character" w:styleId="1032" w:customStyle="1">
    <w:name w:val="批注文字 Char"/>
    <w:link w:val="1033"/>
    <w:uiPriority w:val="0"/>
    <w:qFormat/>
    <w:rPr>
      <w:sz w:val="21"/>
      <w:szCs w:val="24"/>
    </w:rPr>
  </w:style>
  <w:style w:type="paragraph" w:styleId="1033" w:customStyle="1">
    <w:name w:val="批注文字1"/>
    <w:basedOn w:val="837"/>
    <w:link w:val="1032"/>
    <w:uiPriority w:val="0"/>
    <w:qFormat/>
    <w:pPr>
      <w:jc w:val="left"/>
    </w:pPr>
  </w:style>
  <w:style w:type="character" w:styleId="1034" w:customStyle="1">
    <w:name w:val="列出段落 Char"/>
    <w:link w:val="1035"/>
    <w:uiPriority w:val="0"/>
    <w:qFormat/>
    <w:rPr>
      <w:rFonts w:ascii="Calibri" w:hAnsi="Calibri" w:eastAsia="宋体"/>
      <w:sz w:val="21"/>
      <w:szCs w:val="22"/>
      <w:lang w:val="en-US" w:eastAsia="zh-CN" w:bidi="ar-SA"/>
    </w:rPr>
  </w:style>
  <w:style w:type="paragraph" w:styleId="1035" w:customStyle="1">
    <w:name w:val="列出段落"/>
    <w:basedOn w:val="837"/>
    <w:link w:val="1034"/>
    <w:uiPriority w:val="0"/>
    <w:qFormat/>
    <w:pPr>
      <w:ind w:firstLine="420"/>
    </w:pPr>
    <w:rPr>
      <w:rFonts w:ascii="Calibri" w:hAnsi="Calibri"/>
      <w:sz w:val="22"/>
      <w:szCs w:val="22"/>
    </w:rPr>
  </w:style>
  <w:style w:type="character" w:styleId="1036" w:customStyle="1">
    <w:name w:val="font141"/>
    <w:link w:val="837"/>
    <w:uiPriority w:val="0"/>
    <w:qFormat/>
    <w:rPr>
      <w:rFonts w:ascii="宋体" w:hAnsi="宋体" w:eastAsia="宋体"/>
      <w:color w:val="ff0000"/>
      <w:sz w:val="20"/>
      <w:szCs w:val="20"/>
      <w:u w:val="none"/>
    </w:rPr>
  </w:style>
  <w:style w:type="character" w:styleId="1037" w:customStyle="1">
    <w:name w:val="页眉 Char"/>
    <w:link w:val="1038"/>
    <w:uiPriority w:val="0"/>
    <w:qFormat/>
    <w:rPr>
      <w:sz w:val="18"/>
      <w:szCs w:val="18"/>
    </w:rPr>
  </w:style>
  <w:style w:type="paragraph" w:styleId="1038" w:customStyle="1">
    <w:name w:val="页眉1"/>
    <w:basedOn w:val="837"/>
    <w:link w:val="1037"/>
    <w:uiPriority w:val="0"/>
    <w:qFormat/>
    <w:pPr>
      <w:jc w:val="center"/>
      <w:tabs>
        <w:tab w:val="center" w:pos="4153" w:leader="none"/>
        <w:tab w:val="right" w:pos="8306" w:leader="none"/>
      </w:tabs>
      <w:pBdr>
        <w:bottom w:val="single" w:color="000000" w:sz="6" w:space="1"/>
      </w:pBdr>
    </w:pPr>
    <w:rPr>
      <w:sz w:val="18"/>
      <w:szCs w:val="18"/>
    </w:rPr>
  </w:style>
  <w:style w:type="character" w:styleId="1039" w:customStyle="1">
    <w:name w:val="tit2"/>
    <w:link w:val="837"/>
    <w:uiPriority w:val="0"/>
    <w:qFormat/>
    <w:rPr>
      <w:b/>
      <w:bCs/>
      <w:sz w:val="48"/>
      <w:szCs w:val="48"/>
    </w:rPr>
  </w:style>
  <w:style w:type="character" w:styleId="1040" w:customStyle="1">
    <w:name w:val="style1"/>
    <w:basedOn w:val="1024"/>
    <w:link w:val="837"/>
    <w:uiPriority w:val="0"/>
    <w:qFormat/>
  </w:style>
  <w:style w:type="character" w:styleId="1041" w:customStyle="1">
    <w:name w:val="强调1"/>
    <w:link w:val="837"/>
    <w:uiPriority w:val="0"/>
    <w:qFormat/>
    <w:rPr>
      <w:i/>
      <w:iCs/>
    </w:rPr>
  </w:style>
  <w:style w:type="character" w:styleId="1042" w:customStyle="1">
    <w:name w:val="标题 4 Char"/>
    <w:basedOn w:val="1024"/>
    <w:link w:val="857"/>
    <w:uiPriority w:val="0"/>
    <w:semiHidden/>
    <w:qFormat/>
    <w:rPr>
      <w:rFonts w:ascii="Cambria" w:hAnsi="Cambria" w:eastAsia="宋体"/>
      <w:b/>
      <w:bCs/>
      <w:sz w:val="28"/>
      <w:szCs w:val="28"/>
    </w:rPr>
  </w:style>
  <w:style w:type="character" w:styleId="1043" w:customStyle="1">
    <w:name w:val="标题 6 Char"/>
    <w:basedOn w:val="1024"/>
    <w:link w:val="1023"/>
    <w:uiPriority w:val="0"/>
    <w:qFormat/>
    <w:rPr>
      <w:rFonts w:ascii="Arial" w:hAnsi="Arial" w:eastAsia="黑体"/>
      <w:b/>
      <w:bCs/>
      <w:sz w:val="21"/>
    </w:rPr>
  </w:style>
  <w:style w:type="character" w:styleId="1044" w:customStyle="1">
    <w:name w:val="标题 1 Char"/>
    <w:basedOn w:val="1024"/>
    <w:link w:val="1019"/>
    <w:uiPriority w:val="0"/>
    <w:qFormat/>
    <w:rPr>
      <w:b/>
      <w:bCs/>
      <w:sz w:val="44"/>
      <w:szCs w:val="44"/>
    </w:rPr>
  </w:style>
  <w:style w:type="character" w:styleId="1045" w:customStyle="1">
    <w:name w:val="纯文本 Char"/>
    <w:link w:val="1046"/>
    <w:uiPriority w:val="0"/>
    <w:qFormat/>
    <w:rPr>
      <w:rFonts w:ascii="宋体" w:hAnsi="Courier New"/>
      <w:sz w:val="21"/>
    </w:rPr>
  </w:style>
  <w:style w:type="paragraph" w:styleId="1046" w:customStyle="1">
    <w:name w:val="纯文本11"/>
    <w:basedOn w:val="837"/>
    <w:link w:val="1045"/>
    <w:uiPriority w:val="0"/>
    <w:qFormat/>
    <w:rPr>
      <w:rFonts w:ascii="宋体" w:hAnsi="Courier New"/>
      <w:sz w:val="20"/>
      <w:szCs w:val="20"/>
    </w:rPr>
  </w:style>
  <w:style w:type="character" w:styleId="1047" w:customStyle="1">
    <w:name w:val="二级目录 Char Char"/>
    <w:link w:val="1048"/>
    <w:uiPriority w:val="0"/>
    <w:qFormat/>
    <w:rPr>
      <w:b/>
      <w:sz w:val="30"/>
      <w:szCs w:val="28"/>
      <w:lang w:val="en-US" w:eastAsia="zh-CN" w:bidi="ar-SA"/>
    </w:rPr>
  </w:style>
  <w:style w:type="paragraph" w:styleId="1048" w:customStyle="1">
    <w:name w:val="二级目录"/>
    <w:next w:val="837"/>
    <w:link w:val="1047"/>
    <w:uiPriority w:val="0"/>
    <w:qFormat/>
    <w:pPr>
      <w:numPr>
        <w:ilvl w:val="0"/>
        <w:numId w:val="1"/>
      </w:numPr>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049" w:customStyle="1">
    <w:name w:val="font41"/>
    <w:basedOn w:val="1024"/>
    <w:link w:val="837"/>
    <w:uiPriority w:val="0"/>
    <w:qFormat/>
    <w:rPr>
      <w:rFonts w:ascii="宋体" w:hAnsi="宋体" w:eastAsia="宋体"/>
      <w:color w:val="000000"/>
      <w:sz w:val="20"/>
      <w:szCs w:val="20"/>
      <w:u w:val="none"/>
    </w:rPr>
  </w:style>
  <w:style w:type="character" w:styleId="1050" w:customStyle="1">
    <w:name w:val="正文文本 3 Char"/>
    <w:basedOn w:val="1024"/>
    <w:link w:val="1051"/>
    <w:uiPriority w:val="0"/>
    <w:qFormat/>
    <w:rPr>
      <w:rFonts w:ascii="楷体_GB2312" w:hAnsi="Arial" w:eastAsia="楷体_GB2312"/>
      <w:b/>
      <w:bCs/>
      <w:color w:val="000000"/>
      <w:sz w:val="24"/>
    </w:rPr>
  </w:style>
  <w:style w:type="paragraph" w:styleId="1051" w:customStyle="1">
    <w:name w:val="正文文本 31"/>
    <w:basedOn w:val="837"/>
    <w:link w:val="1050"/>
    <w:uiPriority w:val="0"/>
    <w:qFormat/>
    <w:rPr>
      <w:rFonts w:ascii="楷体_GB2312" w:hAnsi="Arial" w:eastAsia="楷体_GB2312"/>
      <w:b/>
      <w:bCs/>
      <w:color w:val="000000"/>
      <w:sz w:val="24"/>
      <w:szCs w:val="20"/>
    </w:rPr>
  </w:style>
  <w:style w:type="character" w:styleId="1052" w:customStyle="1">
    <w:name w:val="font11"/>
    <w:link w:val="837"/>
    <w:uiPriority w:val="0"/>
    <w:qFormat/>
    <w:rPr>
      <w:rFonts w:ascii="宋体" w:hAnsi="宋体" w:eastAsia="宋体"/>
      <w:b/>
      <w:color w:val="000000"/>
      <w:sz w:val="20"/>
      <w:szCs w:val="20"/>
      <w:u w:val="none"/>
    </w:rPr>
  </w:style>
  <w:style w:type="character" w:styleId="1053" w:customStyle="1">
    <w:name w:val="z-窗体顶端 Char"/>
    <w:basedOn w:val="1024"/>
    <w:link w:val="1054"/>
    <w:uiPriority w:val="0"/>
    <w:qFormat/>
    <w:rPr>
      <w:sz w:val="21"/>
    </w:rPr>
  </w:style>
  <w:style w:type="paragraph" w:styleId="1054" w:customStyle="1">
    <w:name w:val="z-窗体顶端"/>
    <w:basedOn w:val="837"/>
    <w:link w:val="1053"/>
    <w:uiPriority w:val="0"/>
    <w:qFormat/>
    <w:pPr>
      <w:ind w:firstLine="420"/>
    </w:pPr>
    <w:rPr>
      <w:sz w:val="20"/>
      <w:szCs w:val="20"/>
    </w:rPr>
  </w:style>
  <w:style w:type="character" w:styleId="1055" w:customStyle="1">
    <w:name w:val="displayarti"/>
    <w:link w:val="837"/>
    <w:uiPriority w:val="0"/>
    <w:qFormat/>
    <w:rPr>
      <w:rFonts w:ascii="Verdana" w:hAnsi="Verdana"/>
      <w:color w:val="ffffff"/>
      <w:sz w:val="20"/>
      <w:szCs w:val="20"/>
      <w:shd w:val="clear" w:color="auto" w:fill="a00000"/>
      <w:lang w:eastAsia="en-US"/>
    </w:rPr>
  </w:style>
  <w:style w:type="character" w:styleId="1056" w:customStyle="1">
    <w:name w:val="日期 Char"/>
    <w:basedOn w:val="1024"/>
    <w:link w:val="1057"/>
    <w:uiPriority w:val="0"/>
    <w:qFormat/>
    <w:rPr>
      <w:rFonts w:eastAsia="仿宋_GB2312"/>
      <w:sz w:val="28"/>
    </w:rPr>
  </w:style>
  <w:style w:type="paragraph" w:styleId="1057" w:customStyle="1">
    <w:name w:val="日期1"/>
    <w:basedOn w:val="837"/>
    <w:next w:val="837"/>
    <w:link w:val="1056"/>
    <w:uiPriority w:val="0"/>
    <w:qFormat/>
    <w:rPr>
      <w:rFonts w:eastAsia="仿宋_GB2312"/>
      <w:sz w:val="28"/>
      <w:szCs w:val="20"/>
    </w:rPr>
  </w:style>
  <w:style w:type="character" w:styleId="1058" w:customStyle="1">
    <w:name w:val="正文文本缩进 2 Char"/>
    <w:basedOn w:val="1024"/>
    <w:link w:val="1059"/>
    <w:uiPriority w:val="0"/>
    <w:qFormat/>
    <w:rPr>
      <w:rFonts w:ascii="仿宋_GB2312" w:eastAsia="仿宋_GB2312"/>
      <w:sz w:val="24"/>
      <w:szCs w:val="24"/>
    </w:rPr>
  </w:style>
  <w:style w:type="paragraph" w:styleId="1059" w:customStyle="1">
    <w:name w:val="正文文本缩进 21"/>
    <w:basedOn w:val="837"/>
    <w:link w:val="1058"/>
    <w:uiPriority w:val="0"/>
    <w:qFormat/>
    <w:pPr>
      <w:ind w:firstLine="475"/>
      <w:spacing w:line="10" w:lineRule="atLeast"/>
    </w:pPr>
    <w:rPr>
      <w:rFonts w:ascii="仿宋_GB2312" w:eastAsia="仿宋_GB2312"/>
      <w:sz w:val="24"/>
    </w:rPr>
  </w:style>
  <w:style w:type="character" w:styleId="1060" w:customStyle="1">
    <w:name w:val="font21"/>
    <w:link w:val="837"/>
    <w:uiPriority w:val="0"/>
    <w:qFormat/>
    <w:rPr>
      <w:rFonts w:ascii="宋体" w:hAnsi="宋体" w:eastAsia="宋体"/>
      <w:color w:val="000000"/>
      <w:sz w:val="20"/>
      <w:szCs w:val="20"/>
      <w:u w:val="none"/>
    </w:rPr>
  </w:style>
  <w:style w:type="character" w:styleId="1061" w:customStyle="1">
    <w:name w:val="gpa"/>
    <w:link w:val="837"/>
    <w:uiPriority w:val="0"/>
    <w:qFormat/>
    <w:rPr>
      <w:rFonts w:ascii="Arial" w:hAnsi="Arial"/>
      <w:sz w:val="15"/>
      <w:szCs w:val="15"/>
      <w:lang w:eastAsia="en-US"/>
    </w:rPr>
  </w:style>
  <w:style w:type="character" w:styleId="1062" w:customStyle="1">
    <w:name w:val="f141"/>
    <w:link w:val="837"/>
    <w:uiPriority w:val="0"/>
    <w:qFormat/>
    <w:rPr>
      <w:sz w:val="21"/>
      <w:szCs w:val="21"/>
    </w:rPr>
  </w:style>
  <w:style w:type="character" w:styleId="1063" w:customStyle="1">
    <w:name w:val="font151"/>
    <w:link w:val="837"/>
    <w:uiPriority w:val="0"/>
    <w:qFormat/>
    <w:rPr>
      <w:rFonts w:ascii="宋体" w:hAnsi="宋体" w:eastAsia="宋体"/>
      <w:b/>
      <w:color w:val="000000"/>
      <w:sz w:val="20"/>
      <w:szCs w:val="20"/>
      <w:u w:val="none"/>
    </w:rPr>
  </w:style>
  <w:style w:type="character" w:styleId="1064" w:customStyle="1">
    <w:name w:val="标题 3 Char"/>
    <w:basedOn w:val="1024"/>
    <w:link w:val="1020"/>
    <w:uiPriority w:val="0"/>
    <w:qFormat/>
    <w:rPr>
      <w:b/>
      <w:bCs/>
      <w:sz w:val="32"/>
      <w:szCs w:val="32"/>
    </w:rPr>
  </w:style>
  <w:style w:type="character" w:styleId="1065" w:customStyle="1">
    <w:name w:val="标题 2 Char"/>
    <w:link w:val="854"/>
    <w:uiPriority w:val="0"/>
    <w:qFormat/>
    <w:rPr>
      <w:rFonts w:ascii="Arial" w:hAnsi="Arial" w:eastAsia="黑体"/>
      <w:sz w:val="32"/>
      <w:szCs w:val="32"/>
      <w:lang w:val="en-US" w:eastAsia="zh-CN" w:bidi="ar-SA"/>
    </w:rPr>
  </w:style>
  <w:style w:type="character" w:styleId="1066" w:customStyle="1">
    <w:name w:val="正文文本 Char"/>
    <w:link w:val="863"/>
    <w:uiPriority w:val="0"/>
    <w:qFormat/>
    <w:rPr>
      <w:sz w:val="21"/>
      <w:szCs w:val="24"/>
    </w:rPr>
  </w:style>
  <w:style w:type="character" w:styleId="1067" w:customStyle="1">
    <w:name w:val="文档结构图 Char"/>
    <w:basedOn w:val="1024"/>
    <w:link w:val="1068"/>
    <w:uiPriority w:val="0"/>
    <w:qFormat/>
    <w:rPr>
      <w:sz w:val="21"/>
      <w:shd w:val="clear" w:color="auto" w:fill="000080"/>
    </w:rPr>
  </w:style>
  <w:style w:type="paragraph" w:styleId="1068" w:customStyle="1">
    <w:name w:val="文档结构图1"/>
    <w:basedOn w:val="837"/>
    <w:link w:val="1067"/>
    <w:uiPriority w:val="0"/>
    <w:qFormat/>
    <w:pPr>
      <w:shd w:val="clear" w:color="auto" w:fill="000080"/>
    </w:pPr>
    <w:rPr>
      <w:sz w:val="20"/>
      <w:szCs w:val="20"/>
    </w:rPr>
  </w:style>
  <w:style w:type="character" w:styleId="1069" w:customStyle="1">
    <w:name w:val="m1"/>
    <w:basedOn w:val="1024"/>
    <w:link w:val="837"/>
    <w:uiPriority w:val="0"/>
    <w:qFormat/>
    <w:rPr>
      <w:color w:val="0000ff"/>
    </w:rPr>
  </w:style>
  <w:style w:type="character" w:styleId="1070" w:customStyle="1">
    <w:name w:val="apple-converted-space"/>
    <w:basedOn w:val="1024"/>
    <w:link w:val="837"/>
    <w:uiPriority w:val="0"/>
    <w:qFormat/>
  </w:style>
  <w:style w:type="character" w:styleId="1071" w:customStyle="1">
    <w:name w:val="批注框文本 Char"/>
    <w:link w:val="1072"/>
    <w:uiPriority w:val="0"/>
    <w:qFormat/>
    <w:rPr>
      <w:sz w:val="18"/>
      <w:szCs w:val="18"/>
    </w:rPr>
  </w:style>
  <w:style w:type="paragraph" w:styleId="1072" w:customStyle="1">
    <w:name w:val="批注框文本1"/>
    <w:basedOn w:val="837"/>
    <w:link w:val="1071"/>
    <w:uiPriority w:val="0"/>
    <w:qFormat/>
    <w:rPr>
      <w:sz w:val="18"/>
      <w:szCs w:val="18"/>
    </w:rPr>
  </w:style>
  <w:style w:type="character" w:styleId="1073" w:customStyle="1">
    <w:name w:val="font01"/>
    <w:basedOn w:val="1024"/>
    <w:link w:val="837"/>
    <w:uiPriority w:val="0"/>
    <w:qFormat/>
    <w:rPr>
      <w:rFonts w:ascii="Times New Roman" w:hAnsi="Times New Roman"/>
      <w:color w:val="000000"/>
      <w:sz w:val="21"/>
      <w:szCs w:val="21"/>
      <w:u w:val="none"/>
    </w:rPr>
  </w:style>
  <w:style w:type="character" w:styleId="1074" w:customStyle="1">
    <w:name w:val="正文文本缩进 Char"/>
    <w:basedOn w:val="1024"/>
    <w:link w:val="1075"/>
    <w:uiPriority w:val="0"/>
    <w:qFormat/>
    <w:rPr>
      <w:rFonts w:ascii="楷体_GB2312" w:eastAsia="楷体_GB2312"/>
      <w:sz w:val="32"/>
    </w:rPr>
  </w:style>
  <w:style w:type="paragraph" w:styleId="1075" w:customStyle="1">
    <w:name w:val="正文文本缩进1"/>
    <w:basedOn w:val="837"/>
    <w:next w:val="1076"/>
    <w:link w:val="1074"/>
    <w:uiPriority w:val="0"/>
    <w:qFormat/>
    <w:pPr>
      <w:ind w:firstLine="630"/>
    </w:pPr>
    <w:rPr>
      <w:rFonts w:ascii="楷体_GB2312" w:eastAsia="楷体_GB2312"/>
      <w:sz w:val="32"/>
      <w:szCs w:val="20"/>
    </w:rPr>
  </w:style>
  <w:style w:type="paragraph" w:styleId="1076" w:customStyle="1">
    <w:name w:val="寄信人地址1"/>
    <w:basedOn w:val="837"/>
    <w:uiPriority w:val="0"/>
    <w:qFormat/>
    <w:rPr>
      <w:rFonts w:ascii="Arial" w:hAnsi="Arial"/>
    </w:rPr>
  </w:style>
  <w:style w:type="character" w:styleId="1077" w:customStyle="1">
    <w:name w:val="纯文本 字符"/>
    <w:link w:val="837"/>
    <w:uiPriority w:val="0"/>
    <w:qFormat/>
    <w:rPr>
      <w:rFonts w:ascii="宋体" w:hAnsi="Courier New"/>
      <w:sz w:val="24"/>
      <w:szCs w:val="21"/>
    </w:rPr>
  </w:style>
  <w:style w:type="character" w:styleId="1078" w:customStyle="1">
    <w:name w:val="批注主题 Char"/>
    <w:link w:val="1079"/>
    <w:uiPriority w:val="0"/>
    <w:qFormat/>
    <w:rPr>
      <w:b/>
      <w:bCs/>
      <w:sz w:val="21"/>
      <w:szCs w:val="24"/>
    </w:rPr>
  </w:style>
  <w:style w:type="paragraph" w:styleId="1079" w:customStyle="1">
    <w:name w:val="批注主题1"/>
    <w:basedOn w:val="1033"/>
    <w:next w:val="1033"/>
    <w:link w:val="1078"/>
    <w:uiPriority w:val="0"/>
    <w:qFormat/>
    <w:rPr>
      <w:b/>
      <w:bCs/>
    </w:rPr>
  </w:style>
  <w:style w:type="character" w:styleId="1080" w:customStyle="1">
    <w:name w:val="正文缩进 Char"/>
    <w:link w:val="1021"/>
    <w:uiPriority w:val="0"/>
    <w:qFormat/>
    <w:rPr>
      <w:sz w:val="21"/>
      <w:szCs w:val="24"/>
    </w:rPr>
  </w:style>
  <w:style w:type="character" w:styleId="1081" w:customStyle="1">
    <w:name w:val="页脚 Char"/>
    <w:link w:val="838"/>
    <w:uiPriority w:val="0"/>
    <w:qFormat/>
    <w:rPr>
      <w:sz w:val="18"/>
      <w:szCs w:val="18"/>
    </w:rPr>
  </w:style>
  <w:style w:type="character" w:styleId="1082" w:customStyle="1">
    <w:name w:val="Comment Text Char"/>
    <w:link w:val="837"/>
    <w:uiPriority w:val="0"/>
    <w:qFormat/>
    <w:rPr>
      <w:rFonts w:ascii="Calibri" w:hAnsi="Calibri" w:eastAsia="宋体"/>
      <w:sz w:val="22"/>
      <w:szCs w:val="22"/>
      <w:lang w:eastAsia="en-US"/>
    </w:rPr>
  </w:style>
  <w:style w:type="character" w:styleId="1083" w:customStyle="1">
    <w:name w:val="HTML 预设格式 Char"/>
    <w:basedOn w:val="1024"/>
    <w:link w:val="1084"/>
    <w:uiPriority w:val="0"/>
    <w:qFormat/>
    <w:rPr>
      <w:rFonts w:ascii="宋体" w:hAnsi="宋体"/>
      <w:sz w:val="24"/>
    </w:rPr>
  </w:style>
  <w:style w:type="paragraph" w:styleId="1084" w:customStyle="1">
    <w:name w:val="HTML 预设格式1"/>
    <w:basedOn w:val="837"/>
    <w:link w:val="108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0"/>
    </w:rPr>
  </w:style>
  <w:style w:type="character" w:styleId="1085" w:customStyle="1">
    <w:name w:val="bsharetext"/>
    <w:basedOn w:val="1024"/>
    <w:link w:val="837"/>
    <w:uiPriority w:val="0"/>
    <w:qFormat/>
  </w:style>
  <w:style w:type="character" w:styleId="1086" w:customStyle="1">
    <w:name w:val="列出段落 Char Char"/>
    <w:link w:val="1087"/>
    <w:uiPriority w:val="0"/>
    <w:qFormat/>
    <w:rPr>
      <w:sz w:val="21"/>
      <w:szCs w:val="24"/>
    </w:rPr>
  </w:style>
  <w:style w:type="paragraph" w:styleId="1087" w:customStyle="1">
    <w:name w:val="列出段落1"/>
    <w:basedOn w:val="837"/>
    <w:link w:val="1086"/>
    <w:uiPriority w:val="0"/>
    <w:qFormat/>
    <w:pPr>
      <w:ind w:firstLine="420"/>
    </w:pPr>
  </w:style>
  <w:style w:type="character" w:styleId="1088" w:customStyle="1">
    <w:name w:val="正文文本缩进 3 Char"/>
    <w:basedOn w:val="1024"/>
    <w:link w:val="1089"/>
    <w:uiPriority w:val="0"/>
    <w:qFormat/>
    <w:rPr>
      <w:sz w:val="24"/>
    </w:rPr>
  </w:style>
  <w:style w:type="paragraph" w:styleId="1089" w:customStyle="1">
    <w:name w:val="正文文本缩进 31"/>
    <w:basedOn w:val="837"/>
    <w:link w:val="1088"/>
    <w:uiPriority w:val="0"/>
    <w:qFormat/>
    <w:pPr>
      <w:ind w:left="360"/>
      <w:spacing w:line="400" w:lineRule="exact"/>
    </w:pPr>
    <w:rPr>
      <w:sz w:val="24"/>
      <w:szCs w:val="20"/>
    </w:rPr>
  </w:style>
  <w:style w:type="character" w:styleId="1090" w:customStyle="1">
    <w:name w:val="selected"/>
    <w:link w:val="837"/>
    <w:uiPriority w:val="0"/>
    <w:qFormat/>
    <w:rPr>
      <w:rFonts w:ascii="Verdana" w:hAnsi="Verdana"/>
      <w:sz w:val="20"/>
      <w:szCs w:val="20"/>
      <w:shd w:val="clear" w:color="auto" w:fill="b00006"/>
      <w:lang w:eastAsia="en-US"/>
    </w:rPr>
  </w:style>
  <w:style w:type="character" w:styleId="1091" w:customStyle="1">
    <w:name w:val="正文文本 2 Char"/>
    <w:basedOn w:val="1024"/>
    <w:link w:val="1092"/>
    <w:uiPriority w:val="0"/>
    <w:qFormat/>
    <w:rPr>
      <w:sz w:val="21"/>
    </w:rPr>
  </w:style>
  <w:style w:type="paragraph" w:styleId="1092" w:customStyle="1">
    <w:name w:val="正文文本 21"/>
    <w:basedOn w:val="837"/>
    <w:link w:val="1091"/>
    <w:uiPriority w:val="0"/>
    <w:qFormat/>
    <w:pPr>
      <w:spacing w:after="120" w:line="480" w:lineRule="auto"/>
    </w:pPr>
    <w:rPr>
      <w:sz w:val="20"/>
      <w:szCs w:val="20"/>
    </w:rPr>
  </w:style>
  <w:style w:type="character" w:styleId="1093" w:customStyle="1">
    <w:name w:val="标题 5 Char"/>
    <w:basedOn w:val="1024"/>
    <w:link w:val="1022"/>
    <w:uiPriority w:val="0"/>
    <w:qFormat/>
    <w:rPr>
      <w:b/>
      <w:bCs/>
      <w:sz w:val="28"/>
      <w:szCs w:val="28"/>
    </w:rPr>
  </w:style>
  <w:style w:type="paragraph" w:styleId="1094" w:customStyle="1">
    <w:name w:val="目录 81"/>
    <w:basedOn w:val="837"/>
    <w:next w:val="837"/>
    <w:uiPriority w:val="0"/>
    <w:qFormat/>
    <w:pPr>
      <w:ind w:left="2940"/>
    </w:pPr>
  </w:style>
  <w:style w:type="paragraph" w:styleId="1095" w:customStyle="1">
    <w:name w:val="目录 21"/>
    <w:basedOn w:val="837"/>
    <w:next w:val="837"/>
    <w:uiPriority w:val="0"/>
    <w:qFormat/>
    <w:pPr>
      <w:ind w:left="420"/>
    </w:pPr>
    <w:rPr>
      <w:sz w:val="20"/>
      <w:szCs w:val="20"/>
    </w:rPr>
  </w:style>
  <w:style w:type="paragraph" w:styleId="1096" w:customStyle="1">
    <w:name w:val="目录 111"/>
    <w:basedOn w:val="837"/>
    <w:next w:val="837"/>
    <w:uiPriority w:val="0"/>
    <w:qFormat/>
  </w:style>
  <w:style w:type="paragraph" w:styleId="1097" w:customStyle="1">
    <w:name w:val="文本块11"/>
    <w:basedOn w:val="837"/>
    <w:uiPriority w:val="0"/>
    <w:qFormat/>
    <w:pPr>
      <w:ind w:left="420" w:right="33"/>
      <w:jc w:val="left"/>
    </w:pPr>
    <w:rPr>
      <w:sz w:val="24"/>
      <w:szCs w:val="20"/>
    </w:rPr>
  </w:style>
  <w:style w:type="paragraph" w:styleId="1098" w:customStyle="1">
    <w:name w:val="正文首行缩进111"/>
    <w:basedOn w:val="863"/>
    <w:uiPriority w:val="0"/>
    <w:qFormat/>
    <w:pPr>
      <w:ind w:firstLine="420"/>
      <w:spacing w:after="120"/>
    </w:pPr>
    <w:rPr>
      <w:rFonts w:ascii="Times New Roman" w:eastAsia="宋体"/>
      <w:sz w:val="24"/>
      <w:szCs w:val="24"/>
    </w:rPr>
  </w:style>
  <w:style w:type="paragraph" w:styleId="1099" w:customStyle="1">
    <w:name w:val="目录 31"/>
    <w:basedOn w:val="837"/>
    <w:next w:val="837"/>
    <w:uiPriority w:val="0"/>
    <w:qFormat/>
    <w:pPr>
      <w:ind w:left="840"/>
    </w:pPr>
    <w:rPr>
      <w:sz w:val="20"/>
      <w:szCs w:val="20"/>
    </w:rPr>
  </w:style>
  <w:style w:type="paragraph" w:styleId="1100" w:customStyle="1">
    <w:name w:val="纯文本2"/>
    <w:basedOn w:val="837"/>
    <w:uiPriority w:val="0"/>
    <w:qFormat/>
    <w:pPr>
      <w:spacing w:line="360" w:lineRule="auto"/>
    </w:pPr>
    <w:rPr>
      <w:rFonts w:ascii="宋体" w:hAnsi="Courier New"/>
      <w:sz w:val="20"/>
      <w:szCs w:val="20"/>
    </w:rPr>
  </w:style>
  <w:style w:type="paragraph" w:styleId="1101" w:customStyle="1">
    <w:name w:val=" Char Char Char Char Char Char Char Char Char Char"/>
    <w:basedOn w:val="837"/>
    <w:uiPriority w:val="0"/>
    <w:qFormat/>
    <w:pPr>
      <w:jc w:val="left"/>
      <w:spacing w:after="160" w:line="240" w:lineRule="exact"/>
      <w:widowControl/>
    </w:pPr>
    <w:rPr>
      <w:rFonts w:ascii="Verdana" w:hAnsi="Verdana" w:eastAsia="仿宋_GB2312"/>
      <w:sz w:val="24"/>
      <w:szCs w:val="20"/>
      <w:lang w:eastAsia="en-US"/>
    </w:rPr>
  </w:style>
  <w:style w:type="paragraph" w:styleId="1102" w:customStyle="1">
    <w:name w:val="ft00"/>
    <w:basedOn w:val="837"/>
    <w:uiPriority w:val="0"/>
    <w:qFormat/>
    <w:pPr>
      <w:jc w:val="left"/>
      <w:spacing w:before="100" w:beforeAutospacing="1" w:after="100" w:afterAutospacing="1"/>
      <w:widowControl/>
    </w:pPr>
    <w:rPr>
      <w:rFonts w:ascii="宋体" w:hAnsi="宋体"/>
      <w:sz w:val="24"/>
    </w:rPr>
  </w:style>
  <w:style w:type="paragraph" w:styleId="1103" w:customStyle="1">
    <w:name w:val="正文首行缩进 21"/>
    <w:basedOn w:val="1075"/>
    <w:next w:val="1104"/>
    <w:uiPriority w:val="0"/>
    <w:qFormat/>
    <w:pPr>
      <w:ind w:firstLine="420"/>
    </w:pPr>
  </w:style>
  <w:style w:type="paragraph" w:styleId="1104" w:customStyle="1">
    <w:name w:val="正文12"/>
    <w:next w:val="8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5" w:customStyle="1">
    <w:name w:val="正文首行缩进1"/>
    <w:basedOn w:val="869"/>
    <w:uiPriority w:val="0"/>
    <w:qFormat/>
    <w:pPr>
      <w:ind w:firstLine="420"/>
      <w:spacing w:after="120"/>
    </w:pPr>
    <w:rPr>
      <w:rFonts w:ascii="Times New Roman" w:eastAsia="宋体"/>
      <w:sz w:val="24"/>
      <w:szCs w:val="24"/>
    </w:rPr>
  </w:style>
  <w:style w:type="paragraph" w:styleId="1106">
    <w:name w:val="No Spacing"/>
    <w:basedOn w:val="819"/>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一级无"/>
    <w:basedOn w:val="837"/>
    <w:uiPriority w:val="0"/>
    <w:qFormat/>
    <w:pPr>
      <w:numPr>
        <w:ilvl w:val="1"/>
        <w:numId w:val="2"/>
      </w:numPr>
      <w:jc w:val="left"/>
      <w:widowControl/>
      <w:tabs>
        <w:tab w:val="left" w:pos="1200" w:leader="none"/>
        <w:tab w:val="left" w:pos="1440" w:leader="none"/>
      </w:tabs>
      <w:outlineLvl w:val="2"/>
    </w:pPr>
    <w:rPr>
      <w:rFonts w:ascii="宋体"/>
      <w:sz w:val="21"/>
      <w:szCs w:val="21"/>
    </w:rPr>
  </w:style>
  <w:style w:type="paragraph" w:styleId="1108" w:customStyle="1">
    <w:name w:val="正文文本11"/>
    <w:basedOn w:val="859"/>
    <w:next w:val="859"/>
    <w:uiPriority w:val="0"/>
    <w:qFormat/>
    <w:pPr>
      <w:spacing w:after="120"/>
    </w:pPr>
  </w:style>
  <w:style w:type="paragraph" w:styleId="1109" w:customStyle="1">
    <w:name w:val="普通(网站)1"/>
    <w:basedOn w:val="853"/>
    <w:uiPriority w:val="0"/>
    <w:qFormat/>
    <w:pPr>
      <w:jc w:val="left"/>
      <w:spacing w:before="100" w:beforeAutospacing="1" w:after="100" w:afterAutospacing="1"/>
      <w:widowControl/>
    </w:pPr>
    <w:rPr>
      <w:rFonts w:ascii="宋体" w:hAnsi="宋体"/>
      <w:sz w:val="24"/>
    </w:rPr>
  </w:style>
  <w:style w:type="paragraph" w:styleId="1110" w:customStyle="1">
    <w:name w:val="普通(网站)2"/>
    <w:basedOn w:val="837"/>
    <w:uiPriority w:val="0"/>
    <w:qFormat/>
    <w:pPr>
      <w:jc w:val="left"/>
      <w:spacing w:before="100" w:beforeAutospacing="1" w:after="100" w:afterAutospacing="1"/>
      <w:widowControl/>
    </w:pPr>
    <w:rPr>
      <w:rFonts w:ascii="宋体" w:hAnsi="宋体"/>
      <w:sz w:val="24"/>
    </w:rPr>
  </w:style>
  <w:style w:type="paragraph" w:styleId="1111" w:customStyle="1">
    <w:name w:val="p0"/>
    <w:basedOn w:val="837"/>
    <w:uiPriority w:val="0"/>
    <w:qFormat/>
    <w:pPr>
      <w:widowControl/>
    </w:pPr>
    <w:rPr>
      <w:sz w:val="21"/>
      <w:szCs w:val="21"/>
    </w:rPr>
  </w:style>
  <w:style w:type="paragraph" w:styleId="1112" w:customStyle="1">
    <w:name w:val="索引 51"/>
    <w:basedOn w:val="855"/>
    <w:next w:val="855"/>
    <w:uiPriority w:val="0"/>
    <w:qFormat/>
    <w:pPr>
      <w:ind w:left="798"/>
      <w:jc w:val="left"/>
    </w:pPr>
    <w:rPr>
      <w:rFonts w:ascii="Calibri" w:hAnsi="Calibri"/>
    </w:rPr>
  </w:style>
  <w:style w:type="paragraph" w:styleId="1113" w:customStyle="1">
    <w:name w:val="投标文件正文"/>
    <w:basedOn w:val="837"/>
    <w:uiPriority w:val="0"/>
    <w:qFormat/>
    <w:pPr>
      <w:ind w:firstLine="560"/>
      <w:spacing w:line="440" w:lineRule="exact"/>
    </w:pPr>
    <w:rPr>
      <w:rFonts w:ascii="仿宋_GB2312" w:hAnsi="Calibri" w:eastAsia="仿宋_GB2312"/>
      <w:bCs/>
      <w:sz w:val="28"/>
      <w:szCs w:val="28"/>
    </w:rPr>
  </w:style>
  <w:style w:type="paragraph" w:styleId="1114" w:customStyle="1">
    <w:name w:val="Char Char Char Char Char Char Char Char Char Char Char Char Char"/>
    <w:basedOn w:val="837"/>
    <w:uiPriority w:val="0"/>
    <w:qFormat/>
    <w:pPr>
      <w:jc w:val="left"/>
      <w:spacing w:after="160" w:line="240" w:lineRule="exact"/>
      <w:widowControl/>
    </w:pPr>
    <w:rPr>
      <w:rFonts w:ascii="Verdana" w:hAnsi="Verdana"/>
      <w:sz w:val="20"/>
      <w:szCs w:val="20"/>
      <w:lang w:eastAsia="en-US"/>
    </w:rPr>
  </w:style>
  <w:style w:type="paragraph" w:styleId="1115" w:customStyle="1">
    <w:name w:val="TOC 标题1"/>
    <w:basedOn w:val="1019"/>
    <w:next w:val="837"/>
    <w:uiPriority w:val="0"/>
    <w:qFormat/>
    <w:pPr>
      <w:jc w:val="left"/>
      <w:spacing w:before="480" w:after="0" w:line="276" w:lineRule="auto"/>
      <w:widowControl/>
      <w:outlineLvl w:val="9"/>
    </w:pPr>
    <w:rPr>
      <w:rFonts w:ascii="Cambria" w:hAnsi="Cambria" w:eastAsia="宋体"/>
      <w:color w:val="365f91"/>
      <w:sz w:val="28"/>
      <w:szCs w:val="28"/>
    </w:rPr>
  </w:style>
  <w:style w:type="paragraph" w:styleId="1116" w:customStyle="1">
    <w:name w:val="列出段落4"/>
    <w:basedOn w:val="837"/>
    <w:uiPriority w:val="0"/>
    <w:qFormat/>
    <w:pPr>
      <w:ind w:firstLine="420"/>
      <w:jc w:val="left"/>
      <w:spacing w:line="360" w:lineRule="auto"/>
    </w:pPr>
    <w:rPr>
      <w:sz w:val="21"/>
      <w:szCs w:val="21"/>
    </w:rPr>
  </w:style>
  <w:style w:type="paragraph" w:styleId="1117" w:customStyle="1">
    <w:name w:val="脚注文本1"/>
    <w:basedOn w:val="855"/>
    <w:next w:val="1112"/>
    <w:uiPriority w:val="0"/>
    <w:qFormat/>
    <w:pPr>
      <w:jc w:val="left"/>
    </w:pPr>
    <w:rPr>
      <w:rFonts w:ascii="宋体" w:eastAsia="Times New Roman"/>
      <w:sz w:val="18"/>
      <w:szCs w:val="18"/>
    </w:rPr>
  </w:style>
  <w:style w:type="paragraph" w:styleId="1118"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表格文字"/>
    <w:basedOn w:val="837"/>
    <w:next w:val="1120"/>
    <w:uiPriority w:val="0"/>
    <w:qFormat/>
    <w:pPr>
      <w:jc w:val="left"/>
    </w:pPr>
    <w:rPr>
      <w:bCs/>
      <w:spacing w:val="10"/>
      <w:sz w:val="20"/>
      <w:szCs w:val="20"/>
    </w:rPr>
  </w:style>
  <w:style w:type="paragraph" w:styleId="1120" w:customStyle="1">
    <w:name w:val="正文文本111"/>
    <w:basedOn w:val="804"/>
    <w:next w:val="865"/>
    <w:uiPriority w:val="1"/>
    <w:qFormat/>
    <w:pPr>
      <w:spacing w:after="120"/>
    </w:pPr>
  </w:style>
  <w:style w:type="paragraph" w:styleId="1121" w:customStyle="1">
    <w:name w:val="MM Topic 3"/>
    <w:basedOn w:val="837"/>
    <w:uiPriority w:val="0"/>
    <w:qFormat/>
    <w:pPr>
      <w:keepLines/>
      <w:keepNext/>
      <w:spacing w:before="260" w:after="260" w:line="416" w:lineRule="auto"/>
      <w:outlineLvl w:val="2"/>
    </w:pPr>
    <w:rPr>
      <w:b/>
      <w:bCs/>
      <w:sz w:val="32"/>
      <w:szCs w:val="32"/>
    </w:rPr>
  </w:style>
  <w:style w:type="paragraph" w:styleId="1122" w:customStyle="1">
    <w:name w:val="普通正文"/>
    <w:basedOn w:val="837"/>
    <w:uiPriority w:val="0"/>
    <w:qFormat/>
    <w:pPr>
      <w:ind w:firstLine="480"/>
      <w:jc w:val="left"/>
      <w:spacing w:before="120" w:after="120" w:line="360" w:lineRule="auto"/>
    </w:pPr>
    <w:rPr>
      <w:rFonts w:ascii="Arial" w:hAnsi="Arial"/>
      <w:sz w:val="24"/>
    </w:rPr>
  </w:style>
  <w:style w:type="paragraph" w:styleId="1123" w:customStyle="1">
    <w:name w:val="BodyText"/>
    <w:basedOn w:val="837"/>
    <w:uiPriority w:val="0"/>
    <w:qFormat/>
    <w:pPr>
      <w:jc w:val="both"/>
      <w:spacing w:after="0"/>
    </w:pPr>
    <w:rPr>
      <w:rFonts w:ascii="楷体_GB2312" w:hAnsi="Arial" w:eastAsia="楷体_GB2312"/>
      <w:sz w:val="28"/>
    </w:rPr>
  </w:style>
  <w:style w:type="paragraph" w:styleId="1124" w:customStyle="1">
    <w:name w:val="首行缩进"/>
    <w:basedOn w:val="837"/>
    <w:next w:val="837"/>
    <w:uiPriority w:val="0"/>
    <w:qFormat/>
    <w:pPr>
      <w:ind w:firstLine="480"/>
      <w:spacing w:line="360" w:lineRule="auto"/>
    </w:pPr>
    <w:rPr>
      <w:rFonts w:ascii="宋体" w:hAnsi="宋体"/>
      <w:sz w:val="24"/>
    </w:rPr>
  </w:style>
  <w:style w:type="paragraph" w:styleId="1125" w:customStyle="1">
    <w:name w:val="列出段落2"/>
    <w:basedOn w:val="837"/>
    <w:uiPriority w:val="0"/>
    <w:qFormat/>
    <w:pPr>
      <w:ind w:firstLine="420"/>
    </w:pPr>
    <w:rPr>
      <w:rFonts w:ascii="Arial" w:hAnsi="Arial"/>
      <w:color w:val="000000"/>
      <w:sz w:val="28"/>
      <w:szCs w:val="10"/>
    </w:rPr>
  </w:style>
  <w:style w:type="paragraph" w:styleId="1126" w:customStyle="1">
    <w:name w:val="正文首行缩进11"/>
    <w:basedOn w:val="1108"/>
    <w:uiPriority w:val="0"/>
    <w:qFormat/>
    <w:pPr>
      <w:ind w:firstLine="420"/>
      <w:spacing w:after="120"/>
    </w:pPr>
    <w:rPr>
      <w:rFonts w:ascii="Times New Roman" w:eastAsia="宋体"/>
      <w:sz w:val="24"/>
      <w:szCs w:val="24"/>
    </w:rPr>
  </w:style>
  <w:style w:type="paragraph" w:styleId="1127" w:customStyle="1">
    <w:name w:val="_Style 9"/>
    <w:basedOn w:val="837"/>
    <w:uiPriority w:val="0"/>
    <w:qFormat/>
    <w:rPr>
      <w:rFonts w:ascii="Tahoma" w:hAnsi="Tahoma"/>
      <w:sz w:val="24"/>
      <w:szCs w:val="20"/>
    </w:rPr>
  </w:style>
  <w:style w:type="paragraph" w:styleId="1128" w:customStyle="1">
    <w:name w:val="List Paragraph1"/>
    <w:basedOn w:val="837"/>
    <w:uiPriority w:val="0"/>
    <w:qFormat/>
    <w:pPr>
      <w:ind w:firstLine="420"/>
    </w:pPr>
  </w:style>
  <w:style w:type="paragraph" w:styleId="1129" w:customStyle="1">
    <w:name w:val="Char Char Char Char Char Char Char Char Char Char"/>
    <w:basedOn w:val="837"/>
    <w:uiPriority w:val="0"/>
    <w:qFormat/>
    <w:pPr>
      <w:spacing w:line="360" w:lineRule="auto"/>
    </w:pPr>
    <w:rPr>
      <w:sz w:val="24"/>
      <w:szCs w:val="20"/>
    </w:rPr>
  </w:style>
  <w:style w:type="paragraph" w:styleId="1130" w:customStyle="1">
    <w:name w:val="纯文本1"/>
    <w:basedOn w:val="837"/>
    <w:uiPriority w:val="0"/>
    <w:qFormat/>
    <w:rPr>
      <w:rFonts w:ascii="宋体" w:hAnsi="Courier New"/>
      <w:sz w:val="20"/>
      <w:szCs w:val="20"/>
    </w:rPr>
  </w:style>
  <w:style w:type="paragraph" w:styleId="1131" w:customStyle="1">
    <w:name w:val="Char Char1 Char Char Char Char Char Char"/>
    <w:basedOn w:val="837"/>
    <w:uiPriority w:val="0"/>
    <w:qFormat/>
    <w:pPr>
      <w:jc w:val="center"/>
      <w:widowControl/>
    </w:pPr>
    <w:rPr>
      <w:rFonts w:ascii="宋体" w:hAnsi="宋体"/>
      <w:b/>
      <w:sz w:val="24"/>
      <w:szCs w:val="20"/>
      <w:lang w:eastAsia="en-US"/>
    </w:rPr>
  </w:style>
  <w:style w:type="paragraph" w:styleId="1132" w:customStyle="1">
    <w:name w:val="Table Paragraph"/>
    <w:basedOn w:val="837"/>
    <w:uiPriority w:val="0"/>
    <w:qFormat/>
    <w:pPr>
      <w:jc w:val="left"/>
    </w:pPr>
    <w:rPr>
      <w:rFonts w:ascii="Calibri" w:hAnsi="Calibri"/>
      <w:sz w:val="22"/>
      <w:szCs w:val="22"/>
      <w:lang w:eastAsia="en-US"/>
    </w:rPr>
  </w:style>
  <w:style w:type="paragraph" w:styleId="1133" w:customStyle="1">
    <w:name w:val="Default"/>
    <w:uiPriority w:val="0"/>
    <w:qFormat/>
    <w:pPr>
      <w:widowControl w:val="off"/>
    </w:pPr>
    <w:rPr>
      <w:rFonts w:hint="default" w:ascii="宋体" w:hAnsi="宋体" w:eastAsia="宋体" w:cs="Times New Roman"/>
      <w:color w:val="000000"/>
      <w:sz w:val="24"/>
      <w:szCs w:val="24"/>
      <w:lang w:val="en-US" w:eastAsia="zh-CN" w:bidi="ar-SA"/>
    </w:rPr>
  </w:style>
  <w:style w:type="paragraph" w:styleId="1134" w:customStyle="1">
    <w:name w:val="99-标书-正文"/>
    <w:uiPriority w:val="0"/>
    <w:qFormat/>
    <w:pPr>
      <w:ind w:firstLine="480"/>
      <w:jc w:val="both"/>
      <w:spacing w:line="360" w:lineRule="auto"/>
    </w:pPr>
    <w:rPr>
      <w:rFonts w:hint="default" w:ascii="宋体" w:hAnsi="宋体" w:eastAsia="Calibri" w:cs="Times New Roman"/>
      <w:color w:val="000000"/>
      <w:sz w:val="24"/>
      <w:szCs w:val="21"/>
      <w:lang w:val="en-US" w:eastAsia="zh-CN" w:bidi="ar-SA"/>
    </w:rPr>
  </w:style>
  <w:style w:type="paragraph" w:styleId="1135" w:customStyle="1">
    <w:name w:val="默认段落字体 Para Char Char Char Char Char Char Char Char Char1 Char Char Char Char Char Char Char"/>
    <w:basedOn w:val="1068"/>
    <w:uiPriority w:val="0"/>
    <w:qFormat/>
    <w:rPr>
      <w:rFonts w:ascii="Tahoma" w:hAnsi="Tahoma"/>
      <w:sz w:val="24"/>
    </w:rPr>
  </w:style>
  <w:style w:type="paragraph" w:styleId="1136" w:customStyle="1">
    <w:name w:val="表"/>
    <w:basedOn w:val="837"/>
    <w:uiPriority w:val="0"/>
    <w:qFormat/>
    <w:pPr>
      <w:jc w:val="center"/>
      <w:spacing w:line="312" w:lineRule="exact"/>
    </w:pPr>
    <w:rPr>
      <w:rFonts w:eastAsia="仿宋"/>
      <w:color w:val="080808"/>
    </w:rPr>
  </w:style>
  <w:style w:type="paragraph" w:styleId="1137" w:customStyle="1">
    <w:name w:val="默认段落字体 Para Char Char Char Char Char Char Char"/>
    <w:basedOn w:val="837"/>
    <w:uiPriority w:val="0"/>
    <w:qFormat/>
    <w:rPr>
      <w:rFonts w:ascii="Tahoma" w:hAnsi="Tahoma"/>
      <w:sz w:val="24"/>
      <w:szCs w:val="20"/>
    </w:rPr>
  </w:style>
  <w:style w:type="table" w:styleId="1138" w:customStyle="1">
    <w:name w:val="网格型1"/>
    <w:basedOn w:val="1025"/>
    <w:uiPriority w:val="0"/>
    <w:qFormat/>
    <w:tblPr/>
  </w:style>
  <w:style w:type="paragraph" w:styleId="1139" w:customStyle="1">
    <w:name w:val="索引 411"/>
    <w:basedOn w:val="804"/>
    <w:next w:val="804"/>
    <w:uiPriority w:val="0"/>
    <w:qFormat/>
    <w:pPr>
      <w:ind w:left="1260"/>
    </w:pPr>
  </w:style>
  <w:style w:type="paragraph" w:styleId="1140" w:customStyle="1">
    <w:name w:val="文本块2"/>
    <w:basedOn w:val="804"/>
    <w:uiPriority w:val="6"/>
    <w:unhideWhenUsed/>
    <w:qFormat/>
    <w:pPr>
      <w:ind w:left="1440" w:right="1440"/>
      <w:spacing w:after="120"/>
    </w:pPr>
  </w:style>
  <w:style w:type="character" w:styleId="1141" w:customStyle="1">
    <w:name w:val="标题 1 字符"/>
    <w:link w:val="1019"/>
    <w:uiPriority w:val="0"/>
    <w:qFormat/>
    <w:rPr>
      <w:rFonts w:eastAsia="新宋体"/>
      <w:b/>
      <w:bCs/>
      <w:sz w:val="30"/>
      <w:szCs w:val="44"/>
    </w:rPr>
  </w:style>
  <w:style w:type="paragraph" w:styleId="1142" w:customStyle="1">
    <w:name w:val="页脚11"/>
    <w:basedOn w:val="804"/>
    <w:uiPriority w:val="99"/>
    <w:qFormat/>
    <w:pPr>
      <w:jc w:val="left"/>
      <w:tabs>
        <w:tab w:val="center" w:pos="4153" w:leader="none"/>
        <w:tab w:val="right" w:pos="8306" w:leader="none"/>
      </w:tabs>
    </w:pPr>
    <w:rPr>
      <w:sz w:val="18"/>
      <w:szCs w:val="18"/>
    </w:rPr>
  </w:style>
  <w:style w:type="character" w:styleId="1143" w:customStyle="1">
    <w:name w:val="页码11"/>
    <w:basedOn w:val="1144"/>
    <w:link w:val="804"/>
    <w:uiPriority w:val="0"/>
    <w:qFormat/>
    <w:rPr>
      <w:rFonts w:hint="default" w:ascii="Times New Roman" w:hAnsi="Times New Roman" w:eastAsia="宋体" w:cs="Times New Roman"/>
    </w:rPr>
  </w:style>
  <w:style w:type="character" w:styleId="1144" w:customStyle="1">
    <w:name w:val="默认段落字体11"/>
    <w:link w:val="804"/>
    <w:uiPriority w:val="1"/>
    <w:unhideWhenUsed/>
    <w:qFormat/>
  </w:style>
  <w:style w:type="paragraph" w:styleId="1145" w:customStyle="1">
    <w:name w:val="PlainText"/>
    <w:basedOn w:val="804"/>
    <w:uiPriority w:val="0"/>
    <w:qFormat/>
    <w:pPr>
      <w:jc w:val="left"/>
    </w:pPr>
    <w:rPr>
      <w:rFonts w:ascii="宋体" w:hAnsi="Courier New"/>
      <w:szCs w:val="20"/>
    </w:rPr>
  </w:style>
  <w:style w:type="table" w:styleId="1146" w:customStyle="1">
    <w:name w:val="Table Normal"/>
    <w:uiPriority w:val="0"/>
    <w:unhideWhenUsed/>
    <w:qFormat/>
    <w:tblPr>
      <w:tblCellMar>
        <w:left w:w="0" w:type="dxa"/>
        <w:top w:w="0" w:type="dxa"/>
        <w:right w:w="0" w:type="dxa"/>
        <w:bottom w:w="0" w:type="dxa"/>
      </w:tblCellMar>
    </w:tblPr>
  </w:style>
  <w:style w:type="paragraph" w:styleId="1147" w:customStyle="1">
    <w:name w:val="Table Text"/>
    <w:basedOn w:val="804"/>
    <w:uiPriority w:val="0"/>
    <w:semiHidden/>
    <w:qFormat/>
    <w:rPr>
      <w:rFonts w:ascii="Arial" w:hAnsi="Arial" w:eastAsia="Arial" w:cs="Arial"/>
      <w:sz w:val="21"/>
      <w:szCs w:val="21"/>
      <w:lang w:val="en-US" w:eastAsia="en-US" w:bidi="ar-SA"/>
    </w:rPr>
  </w:style>
  <w:style w:type="paragraph" w:styleId="1148" w:customStyle="1">
    <w:name w:val="表内"/>
    <w:basedOn w:val="1106"/>
    <w:uiPriority w:val="0"/>
    <w:qFormat/>
    <w:pPr>
      <w:spacing w:line="360" w:lineRule="exact"/>
    </w:pPr>
    <w:rPr>
      <w:rFonts w:ascii="Times New Roman" w:hAnsi="Times New Roman" w:eastAsia="仿宋_GB2312" w:cs="Times New Roman"/>
      <w:sz w:val="24"/>
      <w:szCs w:val="24"/>
    </w:rPr>
  </w:style>
  <w:style w:type="numbering" w:styleId="11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2049" textRotate="1"/>
    <customShpInfo spid="_x0000_s1026"/>
    <customShpInfo spid="_x0000_s1027"/>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友信</dc:creator>
  <cp:lastModifiedBy>杨伯永</cp:lastModifiedBy>
  <cp:revision>5</cp:revision>
  <dcterms:created xsi:type="dcterms:W3CDTF">2023-10-31T07:11:00Z</dcterms:created>
  <dcterms:modified xsi:type="dcterms:W3CDTF">2024-07-26T06:30:58Z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2052-12.1.0.17440</vt:lpwstr>
  </property>
  <property fmtid="{D5CDD505-2E9C-101B-9397-08002B2CF9AE}" pid="3" name="ICV">
    <vt:lpwstr>402D26217CA6438F94ECC059981125E3_12</vt:lpwstr>
  </property>
</Properties>
</file>