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C2F08">
      <w:pPr>
        <w:widowControl/>
        <w:jc w:val="left"/>
        <w:rPr>
          <w:rFonts w:hint="eastAsia" w:ascii="宋体" w:hAnsi="宋体" w:eastAsia="宋体" w:cs="Times New Roman"/>
          <w:b/>
          <w:bCs/>
          <w:spacing w:val="80"/>
          <w:sz w:val="30"/>
          <w:szCs w:val="24"/>
        </w:rPr>
      </w:pPr>
    </w:p>
    <w:p w14:paraId="207A7120">
      <w:pPr>
        <w:widowControl/>
        <w:jc w:val="left"/>
        <w:rPr>
          <w:rFonts w:hint="eastAsia" w:ascii="宋体" w:hAnsi="宋体" w:eastAsia="宋体" w:cs="Times New Roman"/>
          <w:b/>
          <w:bCs/>
          <w:spacing w:val="80"/>
          <w:sz w:val="30"/>
          <w:szCs w:val="24"/>
        </w:rPr>
      </w:pPr>
    </w:p>
    <w:p w14:paraId="4DC80060">
      <w:pPr>
        <w:pStyle w:val="215"/>
      </w:pPr>
    </w:p>
    <w:p w14:paraId="2F95E5CA">
      <w:pPr>
        <w:pStyle w:val="215"/>
      </w:pPr>
    </w:p>
    <w:p w14:paraId="0193A20F">
      <w:pPr>
        <w:spacing w:line="360" w:lineRule="auto"/>
        <w:jc w:val="center"/>
        <w:rPr>
          <w:rFonts w:hint="eastAsia" w:ascii="宋体" w:hAnsi="宋体" w:eastAsia="宋体" w:cs="宋体"/>
          <w:b/>
          <w:bCs/>
          <w:spacing w:val="80"/>
          <w:sz w:val="72"/>
          <w:szCs w:val="72"/>
        </w:rPr>
      </w:pPr>
      <w:r>
        <w:rPr>
          <w:rFonts w:hint="eastAsia" w:ascii="宋体" w:hAnsi="宋体" w:eastAsia="宋体" w:cs="宋体"/>
          <w:b/>
          <w:bCs/>
          <w:spacing w:val="80"/>
          <w:sz w:val="72"/>
          <w:szCs w:val="72"/>
        </w:rPr>
        <w:t>连云港市政府采购</w:t>
      </w:r>
    </w:p>
    <w:p w14:paraId="43762789">
      <w:pPr>
        <w:spacing w:line="360" w:lineRule="auto"/>
        <w:rPr>
          <w:rFonts w:hint="eastAsia" w:ascii="宋体" w:hAnsi="宋体" w:eastAsia="宋体" w:cs="宋体"/>
          <w:b/>
          <w:bCs/>
          <w:spacing w:val="16"/>
          <w:sz w:val="44"/>
          <w:szCs w:val="24"/>
        </w:rPr>
      </w:pPr>
    </w:p>
    <w:p w14:paraId="219234E2">
      <w:pPr>
        <w:spacing w:line="360" w:lineRule="auto"/>
        <w:rPr>
          <w:rFonts w:hint="eastAsia" w:ascii="宋体" w:hAnsi="宋体" w:eastAsia="宋体" w:cs="宋体"/>
          <w:b/>
          <w:bCs/>
          <w:spacing w:val="16"/>
          <w:sz w:val="44"/>
          <w:szCs w:val="24"/>
        </w:rPr>
      </w:pPr>
    </w:p>
    <w:p w14:paraId="59A0176E">
      <w:pPr>
        <w:spacing w:line="360" w:lineRule="auto"/>
        <w:jc w:val="center"/>
        <w:rPr>
          <w:rFonts w:hint="eastAsia" w:ascii="宋体" w:hAnsi="宋体" w:eastAsia="宋体" w:cs="宋体"/>
          <w:b/>
          <w:bCs/>
          <w:spacing w:val="80"/>
          <w:sz w:val="72"/>
          <w:szCs w:val="72"/>
        </w:rPr>
      </w:pPr>
      <w:r>
        <w:rPr>
          <w:rFonts w:hint="eastAsia" w:ascii="宋体" w:hAnsi="宋体" w:eastAsia="宋体" w:cs="宋体"/>
          <w:b/>
          <w:bCs/>
          <w:spacing w:val="80"/>
          <w:sz w:val="72"/>
          <w:szCs w:val="72"/>
        </w:rPr>
        <w:t>招标文件</w:t>
      </w:r>
    </w:p>
    <w:p w14:paraId="46EB83E6">
      <w:pPr>
        <w:spacing w:line="360" w:lineRule="auto"/>
        <w:rPr>
          <w:rFonts w:hint="eastAsia" w:ascii="宋体" w:hAnsi="宋体" w:eastAsia="宋体" w:cs="宋体"/>
          <w:b/>
          <w:bCs/>
          <w:spacing w:val="16"/>
          <w:sz w:val="44"/>
          <w:szCs w:val="24"/>
        </w:rPr>
      </w:pPr>
    </w:p>
    <w:p w14:paraId="66BD7842">
      <w:pPr>
        <w:spacing w:line="360" w:lineRule="auto"/>
        <w:rPr>
          <w:rFonts w:hint="eastAsia" w:ascii="宋体" w:hAnsi="宋体" w:eastAsia="宋体" w:cs="Times New Roman"/>
          <w:b/>
          <w:bCs/>
          <w:sz w:val="32"/>
          <w:szCs w:val="24"/>
          <w:lang w:eastAsia="zh-CN"/>
        </w:rPr>
      </w:pPr>
      <w:r>
        <w:rPr>
          <w:rFonts w:hint="eastAsia" w:ascii="宋体" w:hAnsi="宋体" w:eastAsia="宋体" w:cs="宋体"/>
          <w:b/>
          <w:bCs/>
          <w:sz w:val="32"/>
          <w:szCs w:val="24"/>
        </w:rPr>
        <w:t xml:space="preserve">     项目名称：</w:t>
      </w:r>
      <w:r>
        <w:rPr>
          <w:rFonts w:hint="eastAsia" w:ascii="宋体" w:hAnsi="宋体" w:eastAsia="宋体" w:cs="Times New Roman"/>
          <w:b/>
          <w:bCs/>
          <w:sz w:val="32"/>
          <w:szCs w:val="24"/>
          <w:lang w:eastAsia="zh-CN"/>
        </w:rPr>
        <w:t>海州区全民健身设施提档升级采购</w:t>
      </w:r>
    </w:p>
    <w:p w14:paraId="5A825561">
      <w:pPr>
        <w:spacing w:line="360" w:lineRule="auto"/>
        <w:rPr>
          <w:rFonts w:hint="eastAsia" w:ascii="宋体" w:hAnsi="宋体" w:eastAsia="宋体" w:cs="宋体"/>
          <w:b/>
          <w:bCs/>
          <w:sz w:val="32"/>
          <w:szCs w:val="24"/>
        </w:rPr>
      </w:pPr>
      <w:r>
        <w:rPr>
          <w:rFonts w:hint="eastAsia" w:ascii="宋体" w:hAnsi="宋体" w:eastAsia="宋体" w:cs="宋体"/>
          <w:b/>
          <w:bCs/>
          <w:sz w:val="32"/>
          <w:szCs w:val="24"/>
        </w:rPr>
        <w:t xml:space="preserve">     项目编号：JSZC-320706-HHGG-G2025-0008</w:t>
      </w:r>
    </w:p>
    <w:p w14:paraId="73851C22">
      <w:pPr>
        <w:spacing w:line="360" w:lineRule="auto"/>
        <w:rPr>
          <w:rFonts w:hint="eastAsia" w:ascii="宋体" w:hAnsi="宋体" w:eastAsia="宋体" w:cs="宋体"/>
          <w:szCs w:val="24"/>
        </w:rPr>
      </w:pPr>
      <w:r>
        <w:rPr>
          <w:rFonts w:hint="eastAsia" w:ascii="宋体" w:hAnsi="宋体" w:eastAsia="宋体" w:cs="宋体"/>
          <w:szCs w:val="24"/>
        </w:rPr>
        <w:t xml:space="preserve">        </w:t>
      </w:r>
    </w:p>
    <w:p w14:paraId="753FF310">
      <w:pPr>
        <w:spacing w:line="360" w:lineRule="auto"/>
        <w:rPr>
          <w:rFonts w:hint="eastAsia" w:ascii="宋体" w:hAnsi="宋体" w:eastAsia="宋体" w:cs="宋体"/>
          <w:szCs w:val="24"/>
        </w:rPr>
      </w:pPr>
    </w:p>
    <w:p w14:paraId="2B656D8B">
      <w:pPr>
        <w:spacing w:line="360" w:lineRule="auto"/>
        <w:rPr>
          <w:rFonts w:hint="eastAsia" w:ascii="宋体" w:hAnsi="宋体" w:eastAsia="宋体" w:cs="宋体"/>
          <w:szCs w:val="24"/>
        </w:rPr>
      </w:pPr>
    </w:p>
    <w:tbl>
      <w:tblPr>
        <w:tblStyle w:val="48"/>
        <w:tblW w:w="0" w:type="auto"/>
        <w:tblInd w:w="0" w:type="dxa"/>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
        <w:gridCol w:w="2520"/>
        <w:gridCol w:w="6686"/>
      </w:tblGrid>
      <w:tr w14:paraId="1CF1844D">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648" w:type="dxa"/>
            <w:vAlign w:val="center"/>
          </w:tcPr>
          <w:p w14:paraId="3FF45C25">
            <w:pPr>
              <w:spacing w:line="360" w:lineRule="auto"/>
              <w:rPr>
                <w:rFonts w:hint="eastAsia" w:ascii="宋体" w:hAnsi="宋体" w:eastAsia="宋体" w:cs="宋体"/>
                <w:b/>
                <w:bCs/>
                <w:sz w:val="32"/>
                <w:szCs w:val="24"/>
              </w:rPr>
            </w:pPr>
          </w:p>
          <w:p w14:paraId="5F8082E2">
            <w:pPr>
              <w:spacing w:line="360" w:lineRule="auto"/>
              <w:rPr>
                <w:rFonts w:hint="eastAsia" w:ascii="宋体" w:hAnsi="宋体" w:eastAsia="宋体" w:cs="宋体"/>
                <w:b/>
                <w:bCs/>
                <w:sz w:val="32"/>
                <w:szCs w:val="24"/>
              </w:rPr>
            </w:pPr>
          </w:p>
        </w:tc>
        <w:tc>
          <w:tcPr>
            <w:tcW w:w="2520" w:type="dxa"/>
            <w:vAlign w:val="center"/>
          </w:tcPr>
          <w:p w14:paraId="22BB2E76">
            <w:pPr>
              <w:spacing w:line="360" w:lineRule="auto"/>
              <w:rPr>
                <w:rFonts w:hint="eastAsia" w:ascii="宋体" w:hAnsi="宋体" w:eastAsia="宋体" w:cs="宋体"/>
                <w:b/>
                <w:bCs/>
                <w:sz w:val="32"/>
                <w:szCs w:val="24"/>
              </w:rPr>
            </w:pPr>
            <w:r>
              <w:rPr>
                <w:rFonts w:hint="eastAsia" w:ascii="宋体" w:hAnsi="宋体" w:eastAsia="宋体" w:cs="宋体"/>
                <w:b/>
                <w:bCs/>
                <w:sz w:val="32"/>
                <w:szCs w:val="24"/>
              </w:rPr>
              <w:t>采   购   人：</w:t>
            </w:r>
          </w:p>
        </w:tc>
        <w:tc>
          <w:tcPr>
            <w:tcW w:w="6687" w:type="dxa"/>
            <w:vAlign w:val="center"/>
          </w:tcPr>
          <w:p w14:paraId="301B9B61">
            <w:pPr>
              <w:spacing w:line="360" w:lineRule="auto"/>
              <w:rPr>
                <w:rFonts w:hint="eastAsia" w:ascii="宋体" w:hAnsi="宋体" w:eastAsia="宋体" w:cs="宋体"/>
                <w:b/>
                <w:bCs/>
                <w:sz w:val="32"/>
                <w:szCs w:val="24"/>
              </w:rPr>
            </w:pPr>
            <w:r>
              <w:rPr>
                <w:rFonts w:hint="eastAsia" w:ascii="宋体" w:hAnsi="宋体" w:eastAsia="宋体" w:cs="宋体"/>
                <w:b/>
                <w:bCs/>
                <w:sz w:val="32"/>
                <w:szCs w:val="24"/>
              </w:rPr>
              <w:t xml:space="preserve">连云港市海州区文化体育和旅游局  </w:t>
            </w:r>
          </w:p>
        </w:tc>
      </w:tr>
      <w:tr w14:paraId="7A75F7AA">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648" w:type="dxa"/>
            <w:vAlign w:val="center"/>
          </w:tcPr>
          <w:p w14:paraId="48C0A7D9">
            <w:pPr>
              <w:spacing w:line="360" w:lineRule="auto"/>
              <w:rPr>
                <w:rFonts w:hint="eastAsia" w:ascii="宋体" w:hAnsi="宋体" w:eastAsia="宋体" w:cs="宋体"/>
                <w:b/>
                <w:bCs/>
                <w:sz w:val="32"/>
                <w:szCs w:val="24"/>
              </w:rPr>
            </w:pPr>
          </w:p>
        </w:tc>
        <w:tc>
          <w:tcPr>
            <w:tcW w:w="2520" w:type="dxa"/>
            <w:vAlign w:val="center"/>
          </w:tcPr>
          <w:p w14:paraId="422475E1">
            <w:pPr>
              <w:spacing w:line="360" w:lineRule="auto"/>
              <w:rPr>
                <w:rFonts w:hint="eastAsia" w:ascii="宋体" w:hAnsi="宋体" w:eastAsia="宋体" w:cs="宋体"/>
                <w:szCs w:val="24"/>
              </w:rPr>
            </w:pPr>
            <w:r>
              <w:rPr>
                <w:rFonts w:hint="eastAsia" w:ascii="宋体" w:hAnsi="宋体" w:eastAsia="宋体" w:cs="宋体"/>
                <w:b/>
                <w:bCs/>
                <w:sz w:val="32"/>
                <w:szCs w:val="24"/>
              </w:rPr>
              <w:t>采购代理机构：</w:t>
            </w:r>
          </w:p>
        </w:tc>
        <w:tc>
          <w:tcPr>
            <w:tcW w:w="6687" w:type="dxa"/>
            <w:vAlign w:val="center"/>
          </w:tcPr>
          <w:p w14:paraId="4CF337D3">
            <w:pPr>
              <w:spacing w:line="360" w:lineRule="auto"/>
              <w:rPr>
                <w:rFonts w:hint="eastAsia" w:ascii="宋体" w:hAnsi="宋体" w:eastAsia="宋体" w:cs="宋体"/>
                <w:b/>
                <w:bCs/>
                <w:spacing w:val="20"/>
                <w:sz w:val="32"/>
                <w:szCs w:val="20"/>
              </w:rPr>
            </w:pPr>
            <w:r>
              <w:rPr>
                <w:rFonts w:hint="eastAsia" w:ascii="宋体" w:hAnsi="宋体" w:eastAsia="宋体" w:cs="宋体"/>
                <w:b/>
                <w:bCs/>
                <w:spacing w:val="20"/>
                <w:sz w:val="32"/>
                <w:szCs w:val="20"/>
              </w:rPr>
              <w:t>江苏衡华工程项目管理有限公司</w:t>
            </w:r>
          </w:p>
        </w:tc>
      </w:tr>
    </w:tbl>
    <w:p w14:paraId="01E85BA5">
      <w:pPr>
        <w:spacing w:line="360" w:lineRule="auto"/>
        <w:ind w:firstLine="611"/>
        <w:jc w:val="center"/>
        <w:rPr>
          <w:rFonts w:hint="eastAsia" w:ascii="Times New Roman" w:hAnsi="宋体" w:eastAsia="宋体" w:cs="宋体"/>
          <w:b/>
          <w:bCs/>
          <w:sz w:val="32"/>
          <w:szCs w:val="24"/>
        </w:rPr>
      </w:pPr>
      <w:r>
        <w:rPr>
          <w:rFonts w:hint="eastAsia" w:ascii="Times New Roman" w:hAnsi="宋体" w:eastAsia="宋体" w:cs="宋体"/>
          <w:b/>
          <w:bCs/>
          <w:sz w:val="32"/>
          <w:szCs w:val="24"/>
        </w:rPr>
        <w:t xml:space="preserve"> 2025年6月</w:t>
      </w:r>
    </w:p>
    <w:p w14:paraId="57E2D25B">
      <w:pPr>
        <w:pStyle w:val="215"/>
      </w:pPr>
    </w:p>
    <w:p w14:paraId="05CDBDB0">
      <w:pPr>
        <w:pStyle w:val="215"/>
      </w:pPr>
    </w:p>
    <w:p w14:paraId="68F18A52">
      <w:pPr>
        <w:keepNext/>
        <w:keepLines/>
        <w:tabs>
          <w:tab w:val="left" w:pos="360"/>
        </w:tabs>
        <w:spacing w:line="360" w:lineRule="auto"/>
        <w:jc w:val="center"/>
        <w:outlineLvl w:val="0"/>
        <w:rPr>
          <w:rFonts w:hint="eastAsia" w:ascii="Times New Roman" w:hAnsi="宋体" w:eastAsia="黑体" w:cs="Times New Roman"/>
          <w:sz w:val="36"/>
          <w:szCs w:val="2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cols w:space="720" w:num="1"/>
          <w:titlePg/>
          <w:docGrid w:linePitch="360" w:charSpace="0"/>
        </w:sectPr>
      </w:pPr>
      <w:bookmarkStart w:id="0" w:name="_Toc3580"/>
    </w:p>
    <w:p w14:paraId="51459957">
      <w:pPr>
        <w:keepNext/>
        <w:keepLines/>
        <w:tabs>
          <w:tab w:val="left" w:pos="360"/>
        </w:tabs>
        <w:spacing w:line="360" w:lineRule="auto"/>
        <w:jc w:val="center"/>
        <w:outlineLvl w:val="0"/>
        <w:rPr>
          <w:rFonts w:ascii="Times New Roman" w:hAnsi="Times New Roman" w:eastAsia="黑体" w:cs="Times New Roman"/>
          <w:b/>
          <w:sz w:val="36"/>
          <w:szCs w:val="20"/>
        </w:rPr>
      </w:pPr>
      <w:bookmarkStart w:id="1" w:name="_Toc14968"/>
      <w:r>
        <w:rPr>
          <w:rFonts w:hint="eastAsia" w:ascii="Times New Roman" w:hAnsi="宋体" w:eastAsia="黑体" w:cs="Times New Roman"/>
          <w:sz w:val="36"/>
          <w:szCs w:val="20"/>
        </w:rPr>
        <w:t>目     录</w:t>
      </w:r>
      <w:bookmarkEnd w:id="0"/>
      <w:bookmarkEnd w:id="1"/>
    </w:p>
    <w:p w14:paraId="142F7285">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 w:val="28"/>
          <w:szCs w:val="28"/>
        </w:rPr>
        <w:fldChar w:fldCharType="begin"/>
      </w:r>
      <w:r>
        <w:rPr>
          <w:rFonts w:hint="eastAsia" w:ascii="宋体" w:hAnsi="宋体" w:eastAsia="宋体" w:cs="宋体"/>
          <w:b w:val="0"/>
          <w:bCs w:val="0"/>
          <w:i w:val="0"/>
          <w:iCs w:val="0"/>
          <w:sz w:val="28"/>
          <w:szCs w:val="28"/>
        </w:rPr>
        <w:instrText xml:space="preserve">TOC \o "1-1" \h \u </w:instrText>
      </w:r>
      <w:r>
        <w:rPr>
          <w:rFonts w:hint="eastAsia" w:ascii="宋体" w:hAnsi="宋体" w:eastAsia="宋体" w:cs="宋体"/>
          <w:b w:val="0"/>
          <w:bCs w:val="0"/>
          <w:i w:val="0"/>
          <w:iCs w:val="0"/>
          <w:sz w:val="28"/>
          <w:szCs w:val="28"/>
        </w:rPr>
        <w:fldChar w:fldCharType="separate"/>
      </w: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_Toc6788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第一章  投标邀请</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_Toc6788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2</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740D5B1D">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_Toc24569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第二章  投标人须知</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_Toc24569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5</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6E42624C">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_Toc4092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第三章  政府采购合同格式</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_Toc4092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18</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5E273FDC">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_Toc11074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第四章  投标文件格式</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_Toc11074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23</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32C15C4F">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_Toc4658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第五章  合同专用条款表</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_Toc4658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38</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6A4921CF">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_Toc17161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第六章  项目需求</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_Toc17161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39</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43B29B70">
      <w:pPr>
        <w:pStyle w:val="32"/>
        <w:tabs>
          <w:tab w:val="right" w:leader="dot" w:pos="9638"/>
        </w:tabs>
        <w:rPr>
          <w:rFonts w:hint="eastAsia" w:ascii="宋体" w:hAnsi="宋体" w:eastAsia="宋体" w:cs="宋体"/>
          <w:b w:val="0"/>
          <w:bCs w:val="0"/>
          <w:i w:val="0"/>
          <w:iCs w:val="0"/>
        </w:rPr>
      </w:pPr>
      <w:r>
        <w:rPr>
          <w:rFonts w:hint="eastAsia" w:ascii="宋体" w:hAnsi="宋体" w:eastAsia="宋体" w:cs="宋体"/>
          <w:b w:val="0"/>
          <w:bCs w:val="0"/>
          <w:i w:val="0"/>
          <w:iCs w:val="0"/>
          <w:szCs w:val="28"/>
        </w:rPr>
        <w:fldChar w:fldCharType="begin"/>
      </w:r>
      <w:r>
        <w:rPr>
          <w:rFonts w:hint="eastAsia" w:ascii="宋体" w:hAnsi="宋体" w:eastAsia="宋体" w:cs="宋体"/>
          <w:b w:val="0"/>
          <w:bCs w:val="0"/>
          <w:i w:val="0"/>
          <w:iCs w:val="0"/>
          <w:szCs w:val="28"/>
        </w:rPr>
        <w:instrText xml:space="preserve"> HYPERLINK \l _Toc4033 </w:instrText>
      </w:r>
      <w:r>
        <w:rPr>
          <w:rFonts w:hint="eastAsia" w:ascii="宋体" w:hAnsi="宋体" w:eastAsia="宋体" w:cs="宋体"/>
          <w:b w:val="0"/>
          <w:bCs w:val="0"/>
          <w:i w:val="0"/>
          <w:iCs w:val="0"/>
          <w:szCs w:val="28"/>
        </w:rPr>
        <w:fldChar w:fldCharType="separate"/>
      </w:r>
      <w:r>
        <w:rPr>
          <w:rFonts w:hint="eastAsia" w:ascii="宋体" w:hAnsi="宋体" w:eastAsia="宋体" w:cs="宋体"/>
          <w:b w:val="0"/>
          <w:bCs w:val="0"/>
          <w:i w:val="0"/>
          <w:iCs w:val="0"/>
          <w:szCs w:val="20"/>
        </w:rPr>
        <w:t>第七章  评标办法</w:t>
      </w:r>
      <w:r>
        <w:rPr>
          <w:rFonts w:hint="eastAsia" w:ascii="宋体" w:hAnsi="宋体" w:eastAsia="宋体" w:cs="宋体"/>
          <w:b w:val="0"/>
          <w:bCs w:val="0"/>
          <w:i w:val="0"/>
          <w:iCs w:val="0"/>
        </w:rPr>
        <w:tab/>
      </w:r>
      <w:r>
        <w:rPr>
          <w:rFonts w:hint="eastAsia" w:ascii="宋体" w:hAnsi="宋体" w:eastAsia="宋体" w:cs="宋体"/>
          <w:b w:val="0"/>
          <w:bCs w:val="0"/>
          <w:i w:val="0"/>
          <w:iCs w:val="0"/>
        </w:rPr>
        <w:fldChar w:fldCharType="begin"/>
      </w:r>
      <w:r>
        <w:rPr>
          <w:rFonts w:hint="eastAsia" w:ascii="宋体" w:hAnsi="宋体" w:eastAsia="宋体" w:cs="宋体"/>
          <w:b w:val="0"/>
          <w:bCs w:val="0"/>
          <w:i w:val="0"/>
          <w:iCs w:val="0"/>
        </w:rPr>
        <w:instrText xml:space="preserve"> PAGEREF _Toc4033 \h </w:instrText>
      </w:r>
      <w:r>
        <w:rPr>
          <w:rFonts w:hint="eastAsia" w:ascii="宋体" w:hAnsi="宋体" w:eastAsia="宋体" w:cs="宋体"/>
          <w:b w:val="0"/>
          <w:bCs w:val="0"/>
          <w:i w:val="0"/>
          <w:iCs w:val="0"/>
        </w:rPr>
        <w:fldChar w:fldCharType="separate"/>
      </w:r>
      <w:r>
        <w:rPr>
          <w:rFonts w:hint="eastAsia" w:ascii="宋体" w:hAnsi="宋体" w:eastAsia="宋体" w:cs="宋体"/>
          <w:b w:val="0"/>
          <w:bCs w:val="0"/>
          <w:i w:val="0"/>
          <w:iCs w:val="0"/>
        </w:rPr>
        <w:t>47</w:t>
      </w:r>
      <w:r>
        <w:rPr>
          <w:rFonts w:hint="eastAsia" w:ascii="宋体" w:hAnsi="宋体" w:eastAsia="宋体" w:cs="宋体"/>
          <w:b w:val="0"/>
          <w:bCs w:val="0"/>
          <w:i w:val="0"/>
          <w:iCs w:val="0"/>
        </w:rPr>
        <w:fldChar w:fldCharType="end"/>
      </w:r>
      <w:r>
        <w:rPr>
          <w:rFonts w:hint="eastAsia" w:ascii="宋体" w:hAnsi="宋体" w:eastAsia="宋体" w:cs="宋体"/>
          <w:b w:val="0"/>
          <w:bCs w:val="0"/>
          <w:i w:val="0"/>
          <w:iCs w:val="0"/>
          <w:szCs w:val="28"/>
        </w:rPr>
        <w:fldChar w:fldCharType="end"/>
      </w:r>
    </w:p>
    <w:p w14:paraId="473F549C">
      <w:pPr>
        <w:spacing w:line="360" w:lineRule="auto"/>
        <w:ind w:firstLine="562"/>
        <w:rPr>
          <w:rFonts w:hint="eastAsia" w:ascii="宋体" w:hAnsi="宋体" w:eastAsia="宋体" w:cs="Times New Roman"/>
          <w:sz w:val="44"/>
          <w:szCs w:val="20"/>
        </w:rPr>
      </w:pPr>
      <w:r>
        <w:rPr>
          <w:rFonts w:hint="eastAsia" w:ascii="宋体" w:hAnsi="宋体" w:eastAsia="宋体" w:cs="宋体"/>
          <w:b w:val="0"/>
          <w:bCs w:val="0"/>
          <w:i w:val="0"/>
          <w:iCs w:val="0"/>
          <w:szCs w:val="28"/>
        </w:rPr>
        <w:fldChar w:fldCharType="end"/>
      </w:r>
    </w:p>
    <w:p w14:paraId="06151A22">
      <w:pPr>
        <w:keepNext/>
        <w:keepLines/>
        <w:tabs>
          <w:tab w:val="left" w:pos="360"/>
        </w:tabs>
        <w:spacing w:line="360" w:lineRule="auto"/>
        <w:jc w:val="center"/>
        <w:outlineLvl w:val="0"/>
        <w:rPr>
          <w:rFonts w:hint="eastAsia" w:ascii="Times New Roman" w:hAnsi="宋体" w:eastAsia="黑体" w:cs="Times New Roman"/>
          <w:sz w:val="36"/>
          <w:szCs w:val="20"/>
        </w:rPr>
      </w:pPr>
      <w:bookmarkStart w:id="2" w:name="_Toc139966426"/>
      <w:bookmarkStart w:id="3" w:name="_Toc139967210"/>
      <w:r>
        <w:rPr>
          <w:rFonts w:ascii="Times New Roman" w:hAnsi="宋体" w:eastAsia="黑体" w:cs="Times New Roman"/>
          <w:sz w:val="36"/>
          <w:szCs w:val="20"/>
        </w:rPr>
        <w:br w:type="page" w:clear="all"/>
      </w:r>
      <w:bookmarkStart w:id="4" w:name="_Toc513622226"/>
      <w:bookmarkStart w:id="5" w:name="_Toc6788"/>
      <w:r>
        <w:rPr>
          <w:rFonts w:hint="eastAsia" w:ascii="Times New Roman" w:hAnsi="宋体" w:eastAsia="黑体" w:cs="Times New Roman"/>
          <w:sz w:val="36"/>
          <w:szCs w:val="20"/>
        </w:rPr>
        <w:t>第一章  投标邀请</w:t>
      </w:r>
      <w:bookmarkEnd w:id="4"/>
      <w:bookmarkEnd w:id="5"/>
    </w:p>
    <w:p w14:paraId="6643B32E">
      <w:pPr>
        <w:spacing w:line="360" w:lineRule="auto"/>
        <w:ind w:firstLine="480"/>
        <w:rPr>
          <w:rFonts w:ascii="Times New Roman" w:hAnsi="Times New Roman" w:eastAsia="宋体" w:cs="Times New Roman"/>
          <w:sz w:val="24"/>
          <w:szCs w:val="24"/>
        </w:rPr>
      </w:pPr>
      <w:bookmarkStart w:id="6" w:name="OLE_LINK5"/>
      <w:bookmarkStart w:id="7" w:name="OLE_LINK6"/>
      <w:bookmarkStart w:id="8" w:name="OLE_LINK3"/>
      <w:bookmarkStart w:id="9" w:name="OLE_LINK1"/>
      <w:bookmarkStart w:id="10" w:name="OLE_LINK2"/>
      <w:r>
        <w:rPr>
          <w:rFonts w:hint="eastAsia" w:ascii="Times New Roman" w:hAnsi="Times New Roman" w:eastAsia="宋体" w:cs="Times New Roman"/>
          <w:sz w:val="24"/>
          <w:szCs w:val="24"/>
        </w:rPr>
        <w:t>受</w:t>
      </w:r>
      <w:r>
        <w:rPr>
          <w:rFonts w:hint="eastAsia" w:ascii="Times New Roman" w:hAnsi="Times New Roman" w:eastAsia="宋体" w:cs="Times New Roman"/>
          <w:sz w:val="24"/>
          <w:szCs w:val="24"/>
          <w:u w:val="single"/>
        </w:rPr>
        <w:t xml:space="preserve">连云港市海州区文化体育和旅游局  </w:t>
      </w:r>
      <w:r>
        <w:rPr>
          <w:rFonts w:hint="eastAsia" w:ascii="Times New Roman" w:hAnsi="Times New Roman" w:eastAsia="宋体" w:cs="Times New Roman"/>
          <w:sz w:val="24"/>
          <w:szCs w:val="24"/>
        </w:rPr>
        <w:t>的委托，</w:t>
      </w:r>
      <w:r>
        <w:rPr>
          <w:rFonts w:hint="eastAsia" w:ascii="Times New Roman" w:hAnsi="Times New Roman" w:eastAsia="宋体" w:cs="Times New Roman"/>
          <w:sz w:val="24"/>
          <w:szCs w:val="24"/>
          <w:u w:val="single"/>
        </w:rPr>
        <w:t>江苏衡华工程项目管理有限公司</w:t>
      </w:r>
      <w:r>
        <w:rPr>
          <w:rFonts w:hint="eastAsia" w:ascii="Times New Roman" w:hAnsi="Times New Roman" w:eastAsia="宋体" w:cs="Times New Roman"/>
          <w:sz w:val="24"/>
          <w:szCs w:val="24"/>
        </w:rPr>
        <w:t>就</w:t>
      </w:r>
      <w:r>
        <w:rPr>
          <w:rFonts w:hint="eastAsia" w:ascii="宋体" w:hAnsi="宋体" w:eastAsia="宋体" w:cs="Times New Roman"/>
          <w:sz w:val="24"/>
          <w:szCs w:val="24"/>
          <w:u w:val="single"/>
          <w:lang w:eastAsia="zh-CN"/>
        </w:rPr>
        <w:t>海州区全民健身设施提档升级采购</w:t>
      </w:r>
      <w:r>
        <w:rPr>
          <w:rFonts w:hint="eastAsia" w:ascii="Times New Roman" w:hAnsi="Times New Roman" w:eastAsia="宋体" w:cs="Times New Roman"/>
          <w:sz w:val="24"/>
          <w:szCs w:val="24"/>
        </w:rPr>
        <w:t>进行公开招标采购，欢迎符合条件的投标人投标。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44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62800C0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项目概况</w:t>
            </w:r>
          </w:p>
          <w:p w14:paraId="152B08A8">
            <w:pPr>
              <w:spacing w:line="360" w:lineRule="auto"/>
              <w:ind w:firstLine="480"/>
              <w:rPr>
                <w:rFonts w:hint="eastAsia" w:ascii="宋体" w:hAnsi="宋体" w:eastAsia="宋体" w:cs="Times New Roman"/>
                <w:szCs w:val="24"/>
              </w:rPr>
            </w:pPr>
            <w:r>
              <w:rPr>
                <w:rFonts w:hint="eastAsia" w:ascii="宋体" w:hAnsi="宋体" w:eastAsia="宋体" w:cs="Times New Roman"/>
                <w:sz w:val="24"/>
                <w:szCs w:val="24"/>
                <w:u w:val="single"/>
                <w:lang w:eastAsia="zh-CN"/>
              </w:rPr>
              <w:t>海州区全民健身设施提档升级采购</w:t>
            </w:r>
            <w:r>
              <w:rPr>
                <w:rFonts w:hint="eastAsia" w:ascii="宋体" w:hAnsi="宋体" w:eastAsia="宋体" w:cs="Times New Roman"/>
                <w:sz w:val="24"/>
                <w:szCs w:val="24"/>
              </w:rPr>
              <w:t>招标项目的潜在投标人应在</w:t>
            </w:r>
            <w:r>
              <w:rPr>
                <w:rFonts w:hint="eastAsia" w:ascii="宋体" w:hAnsi="宋体" w:eastAsia="宋体" w:cs="Times New Roman"/>
                <w:sz w:val="24"/>
                <w:szCs w:val="24"/>
                <w:u w:val="single"/>
              </w:rPr>
              <w:t xml:space="preserve"> </w:t>
            </w:r>
            <w:r>
              <w:rPr>
                <w:rFonts w:hint="eastAsia" w:ascii="宋体" w:hAnsi="宋体"/>
                <w:sz w:val="24"/>
                <w:u w:val="single"/>
              </w:rPr>
              <w:t>“江苏政府采购网”</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获取招标文件，并于</w:t>
            </w:r>
            <w:r>
              <w:rPr>
                <w:rFonts w:hint="eastAsia" w:ascii="宋体" w:hAnsi="宋体" w:eastAsia="宋体" w:cs="Times New Roman"/>
                <w:sz w:val="24"/>
                <w:szCs w:val="24"/>
                <w:u w:val="single"/>
              </w:rPr>
              <w:t>2025年</w:t>
            </w:r>
            <w:r>
              <w:rPr>
                <w:rFonts w:hint="eastAsia" w:ascii="宋体" w:hAnsi="宋体" w:eastAsia="宋体" w:cs="Times New Roman"/>
                <w:sz w:val="24"/>
                <w:szCs w:val="24"/>
                <w:u w:val="single"/>
                <w:lang w:val="en-US" w:eastAsia="zh-CN"/>
              </w:rPr>
              <w:t>08</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04</w:t>
            </w:r>
            <w:r>
              <w:rPr>
                <w:rFonts w:hint="eastAsia" w:ascii="宋体" w:hAnsi="宋体" w:eastAsia="宋体" w:cs="Times New Roman"/>
                <w:sz w:val="24"/>
                <w:szCs w:val="24"/>
                <w:u w:val="single"/>
              </w:rPr>
              <w:t>日9时00分00秒</w:t>
            </w:r>
            <w:r>
              <w:rPr>
                <w:rFonts w:hint="eastAsia" w:ascii="宋体" w:hAnsi="宋体" w:eastAsia="宋体" w:cs="Times New Roman"/>
                <w:sz w:val="24"/>
                <w:szCs w:val="24"/>
              </w:rPr>
              <w:t>（北京时间）</w:t>
            </w:r>
            <w:r>
              <w:rPr>
                <w:rFonts w:hint="eastAsia" w:ascii="宋体" w:hAnsi="宋体" w:eastAsia="宋体" w:cs="Times New Roman"/>
                <w:b/>
                <w:bCs/>
                <w:sz w:val="24"/>
                <w:szCs w:val="24"/>
              </w:rPr>
              <w:t>前上传电子投标文件并完成签到</w:t>
            </w:r>
            <w:r>
              <w:rPr>
                <w:rFonts w:hint="eastAsia" w:ascii="宋体" w:hAnsi="宋体" w:eastAsia="宋体" w:cs="Times New Roman"/>
                <w:sz w:val="24"/>
                <w:szCs w:val="24"/>
              </w:rPr>
              <w:t>。</w:t>
            </w:r>
          </w:p>
        </w:tc>
      </w:tr>
    </w:tbl>
    <w:p w14:paraId="7FD55833">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一、项目基本情况</w:t>
      </w:r>
    </w:p>
    <w:p w14:paraId="6528A18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标段编号：JSZC-320706-HHGG-G2025-0008 </w:t>
      </w:r>
    </w:p>
    <w:p w14:paraId="38756D90">
      <w:pPr>
        <w:spacing w:line="360"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rPr>
        <w:t>标段名称：</w:t>
      </w:r>
      <w:r>
        <w:rPr>
          <w:rFonts w:hint="eastAsia" w:ascii="宋体" w:hAnsi="宋体" w:eastAsia="宋体" w:cs="Times New Roman"/>
          <w:sz w:val="24"/>
          <w:szCs w:val="24"/>
          <w:lang w:eastAsia="zh-CN"/>
        </w:rPr>
        <w:t>海州区全民健身设施提档升级采购</w:t>
      </w:r>
    </w:p>
    <w:p w14:paraId="73FA433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预算金额</w:t>
      </w:r>
      <w:r>
        <w:rPr>
          <w:rFonts w:hint="eastAsia" w:ascii="宋体" w:hAnsi="宋体" w:eastAsia="宋体" w:cs="Times New Roman"/>
          <w:sz w:val="24"/>
          <w:szCs w:val="24"/>
          <w:highlight w:val="none"/>
        </w:rPr>
        <w:t>：人民币</w:t>
      </w:r>
      <w:r>
        <w:rPr>
          <w:rFonts w:hint="eastAsia" w:ascii="宋体" w:hAnsi="宋体" w:eastAsia="宋体" w:cs="Times New Roman"/>
          <w:b/>
          <w:sz w:val="24"/>
          <w:szCs w:val="24"/>
          <w:highlight w:val="none"/>
        </w:rPr>
        <w:t>60</w:t>
      </w:r>
      <w:r>
        <w:rPr>
          <w:rFonts w:hint="eastAsia" w:ascii="宋体" w:hAnsi="宋体" w:eastAsia="宋体" w:cs="Times New Roman"/>
          <w:sz w:val="24"/>
          <w:szCs w:val="24"/>
          <w:highlight w:val="none"/>
        </w:rPr>
        <w:t>万元，</w:t>
      </w:r>
      <w:r>
        <w:rPr>
          <w:rFonts w:hint="eastAsia" w:ascii="宋体" w:hAnsi="宋体" w:eastAsia="宋体" w:cs="Times New Roman"/>
          <w:sz w:val="24"/>
          <w:szCs w:val="24"/>
        </w:rPr>
        <w:t>投标报价超过预算金额的投标无效。</w:t>
      </w:r>
    </w:p>
    <w:p w14:paraId="2F19819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采购需求：</w:t>
      </w:r>
      <w:r>
        <w:rPr>
          <w:rFonts w:hint="eastAsia" w:ascii="宋体" w:hAnsi="宋体" w:eastAsia="宋体" w:cs="Times New Roman"/>
          <w:sz w:val="24"/>
          <w:lang w:eastAsia="zh-CN"/>
        </w:rPr>
        <w:t>海州区全民健身设施提档升级采购</w:t>
      </w:r>
      <w:r>
        <w:rPr>
          <w:rFonts w:hint="eastAsia" w:ascii="宋体" w:hAnsi="宋体" w:eastAsia="宋体" w:cs="Times New Roman"/>
          <w:sz w:val="24"/>
        </w:rPr>
        <w:t>，包含新增14套一代健身路径、25张乒乓球桌以及篮球场提档修复4处，具体详见采购需求。</w:t>
      </w:r>
    </w:p>
    <w:p w14:paraId="5FEC2201">
      <w:pPr>
        <w:spacing w:line="360" w:lineRule="auto"/>
        <w:ind w:firstLine="482"/>
        <w:rPr>
          <w:rFonts w:hint="eastAsia" w:ascii="宋体" w:hAnsi="宋体" w:eastAsia="宋体" w:cs="Times New Roman"/>
          <w:sz w:val="24"/>
          <w:szCs w:val="24"/>
        </w:rPr>
      </w:pPr>
      <w:r>
        <w:rPr>
          <w:rFonts w:hint="eastAsia" w:ascii="宋体" w:hAnsi="宋体" w:eastAsia="宋体" w:cs="Times New Roman"/>
          <w:b/>
          <w:bCs/>
          <w:sz w:val="24"/>
          <w:szCs w:val="24"/>
        </w:rPr>
        <w:t>对项目需求、综合评分部分的询问、质疑请与采购人联系，由采购人负责答复。</w:t>
      </w:r>
    </w:p>
    <w:p w14:paraId="125E71D8">
      <w:pPr>
        <w:spacing w:line="360" w:lineRule="auto"/>
        <w:ind w:firstLine="480"/>
        <w:rPr>
          <w:rFonts w:hint="eastAsia" w:ascii="宋体" w:hAnsi="宋体" w:eastAsia="宋体" w:cs="Times New Roman"/>
          <w:b/>
          <w:sz w:val="24"/>
          <w:szCs w:val="24"/>
          <w:highlight w:val="none"/>
        </w:rPr>
      </w:pPr>
      <w:r>
        <w:rPr>
          <w:rFonts w:hint="eastAsia" w:ascii="宋体" w:hAnsi="宋体" w:eastAsia="宋体" w:cs="Times New Roman"/>
          <w:sz w:val="24"/>
          <w:szCs w:val="24"/>
        </w:rPr>
        <w:t>合同履行期限</w:t>
      </w:r>
      <w:r>
        <w:rPr>
          <w:rFonts w:hint="eastAsia" w:ascii="宋体" w:hAnsi="宋体" w:eastAsia="宋体" w:cs="Times New Roman"/>
          <w:sz w:val="24"/>
        </w:rPr>
        <w:t>（交货期）</w:t>
      </w:r>
      <w:r>
        <w:rPr>
          <w:rFonts w:hint="eastAsia" w:ascii="宋体" w:hAnsi="宋体" w:eastAsia="宋体" w:cs="Times New Roman"/>
          <w:b/>
          <w:bCs/>
          <w:sz w:val="24"/>
          <w:szCs w:val="24"/>
        </w:rPr>
        <w:t>：</w:t>
      </w:r>
      <w:r>
        <w:rPr>
          <w:rFonts w:hint="eastAsia" w:ascii="宋体" w:hAnsi="宋体" w:eastAsia="宋体" w:cs="Times New Roman"/>
          <w:b/>
          <w:bCs/>
          <w:sz w:val="24"/>
          <w:szCs w:val="24"/>
          <w:highlight w:val="none"/>
        </w:rPr>
        <w:t>合同签订之日起60天内完成安装调试，达到预期效果并通过验收。</w:t>
      </w:r>
    </w:p>
    <w:p w14:paraId="2E5CA07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本项目(_是/否√)联合体投标。</w:t>
      </w:r>
    </w:p>
    <w:p w14:paraId="6BB8C566">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二、申请人的资格要求</w:t>
      </w:r>
    </w:p>
    <w:p w14:paraId="4662494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8"/>
        </w:rPr>
        <w:t>满足《中华人民共和国政府采购法》第二十二条规定，并提供下列材料：</w:t>
      </w:r>
    </w:p>
    <w:p w14:paraId="75711DF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（1）法人或者其他组织的营业执照等证明文件，自然人的身份证明；</w:t>
      </w:r>
    </w:p>
    <w:p w14:paraId="29372DE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（2）具有良好的商业信誉和健全的财务会计制度；按连财购〔2023〕4号文件要求，符合要求的提交《财务状况报告及税收、社会保障资金缴纳情况承诺函》，并上传至电子投标文件中，详见采购文件。</w:t>
      </w:r>
    </w:p>
    <w:p w14:paraId="55204A7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（3）依法缴纳税收和社会保障资金的相关材料；按连财购〔2023〕4号文件要求，符合要求的提交《财务状况报告及税收、社会保障资金缴纳情况承诺函》，并上传至电子投标文件中，详见采购文件。</w:t>
      </w:r>
    </w:p>
    <w:p w14:paraId="360E6EEF">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（4）具备履行合同所必需的设备和专业技术能力的声明及证明材料；</w:t>
      </w:r>
    </w:p>
    <w:p w14:paraId="068C7AB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（5）参加政府采购活动前三年内在经营活动中没有重大违法记录的书面声明。</w:t>
      </w:r>
    </w:p>
    <w:p w14:paraId="36C54D8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落实政府采购政策需满足的资格要求：执行财政部、工业和信息化部关于印发《政府采购促进中小企业发展管理办法》的通知（财库[2020]46号）、苏财购[2022]45号，本项目专门面向中型企业、小型企业、微型企业、残疾人福利性单位、监狱企业采购，符合文件要求的供应商应提交《中小企业声明函》或《残疾人福利性单位声明函》或属于监狱企业的证明文件,格式详见招标文件。</w:t>
      </w:r>
    </w:p>
    <w:p w14:paraId="3E455B8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3.本项目的特定资格要求：无。</w:t>
      </w:r>
    </w:p>
    <w:p w14:paraId="19D93CDA">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4.本项目的其他资格要求：</w:t>
      </w:r>
    </w:p>
    <w:p w14:paraId="0A865CA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（1）在资格审查环节对申请人的信用进行现场查询，被信用中国、中国政府采购网列入失信被执行人、重大税收违法案件当事人名单、政府采购严重违法失信行为记录名单的供应商，拒绝其参与政府采购活动。</w:t>
      </w:r>
    </w:p>
    <w:p w14:paraId="5AC5449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备注：采购人或采购代理机构通过信用中国网站（www.creditchina.gov.cn）、中国政府采购网（www.ccgp.gov.cn），对供应商信用记录情况进行查询，查询结果页面打印留存。</w:t>
      </w:r>
    </w:p>
    <w:p w14:paraId="18880A5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（2）本项目不接受进口产品，中标后不允许分包或转包。</w:t>
      </w:r>
    </w:p>
    <w:p w14:paraId="131E53C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5.法律法规规定的其他条件。</w:t>
      </w:r>
    </w:p>
    <w:p w14:paraId="7E0B026B">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三、获取招标文件</w:t>
      </w:r>
    </w:p>
    <w:p w14:paraId="2E7F3EB5">
      <w:pPr>
        <w:keepNext/>
        <w:tabs>
          <w:tab w:val="left" w:pos="1021"/>
        </w:tabs>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时间：2025年</w:t>
      </w:r>
      <w:r>
        <w:rPr>
          <w:rFonts w:hint="eastAsia" w:ascii="宋体" w:hAnsi="宋体" w:eastAsia="宋体" w:cs="Times New Roman"/>
          <w:bCs/>
          <w:sz w:val="24"/>
          <w:szCs w:val="24"/>
          <w:lang w:val="en-US" w:eastAsia="zh-CN"/>
        </w:rPr>
        <w:t>06</w:t>
      </w:r>
      <w:r>
        <w:rPr>
          <w:rFonts w:hint="eastAsia" w:ascii="宋体" w:hAnsi="宋体" w:eastAsia="宋体" w:cs="Times New Roman"/>
          <w:bCs/>
          <w:sz w:val="24"/>
          <w:szCs w:val="24"/>
        </w:rPr>
        <w:t>月</w:t>
      </w:r>
      <w:r>
        <w:rPr>
          <w:rFonts w:hint="eastAsia" w:ascii="宋体" w:hAnsi="宋体" w:eastAsia="宋体" w:cs="Times New Roman"/>
          <w:bCs/>
          <w:sz w:val="24"/>
          <w:szCs w:val="24"/>
          <w:lang w:val="en-US" w:eastAsia="zh-CN"/>
        </w:rPr>
        <w:t>27</w:t>
      </w:r>
      <w:r>
        <w:rPr>
          <w:rFonts w:hint="eastAsia" w:ascii="宋体" w:hAnsi="宋体" w:eastAsia="宋体" w:cs="Times New Roman"/>
          <w:bCs/>
          <w:sz w:val="24"/>
          <w:szCs w:val="24"/>
        </w:rPr>
        <w:t>日至2025年</w:t>
      </w:r>
      <w:r>
        <w:rPr>
          <w:rFonts w:hint="eastAsia" w:ascii="宋体" w:hAnsi="宋体" w:eastAsia="宋体" w:cs="Times New Roman"/>
          <w:bCs/>
          <w:sz w:val="24"/>
          <w:szCs w:val="24"/>
          <w:lang w:val="en-US" w:eastAsia="zh-CN"/>
        </w:rPr>
        <w:t>0</w:t>
      </w:r>
      <w:r>
        <w:rPr>
          <w:rFonts w:hint="eastAsia" w:ascii="宋体" w:hAnsi="宋体" w:eastAsia="宋体" w:cs="Times New Roman"/>
          <w:bCs/>
          <w:sz w:val="24"/>
          <w:szCs w:val="24"/>
        </w:rPr>
        <w:t>7月</w:t>
      </w:r>
      <w:r>
        <w:rPr>
          <w:rFonts w:hint="eastAsia" w:ascii="宋体" w:hAnsi="宋体" w:eastAsia="宋体" w:cs="Times New Roman"/>
          <w:bCs/>
          <w:sz w:val="24"/>
          <w:szCs w:val="24"/>
          <w:lang w:val="en-US" w:eastAsia="zh-CN"/>
        </w:rPr>
        <w:t>04</w:t>
      </w:r>
      <w:r>
        <w:rPr>
          <w:rFonts w:hint="eastAsia" w:ascii="宋体" w:hAnsi="宋体" w:eastAsia="宋体" w:cs="Times New Roman"/>
          <w:bCs/>
          <w:sz w:val="24"/>
          <w:szCs w:val="24"/>
        </w:rPr>
        <w:t>日，每天上午0:00-12:00，12:00-23:59（北京时间，法定节假日除外）</w:t>
      </w:r>
    </w:p>
    <w:p w14:paraId="48363B6A">
      <w:pPr>
        <w:keepNext/>
        <w:tabs>
          <w:tab w:val="left" w:pos="1021"/>
        </w:tabs>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地点：江苏政府采购网</w:t>
      </w:r>
    </w:p>
    <w:p w14:paraId="09F582CE">
      <w:pPr>
        <w:keepNext/>
        <w:tabs>
          <w:tab w:val="left" w:pos="1021"/>
        </w:tabs>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方式：投标人办理江苏省政府采购交易系统CA数字证书，登录“苏采云”政府采购交易系统，自行下载。</w:t>
      </w:r>
    </w:p>
    <w:p w14:paraId="293A449C">
      <w:pPr>
        <w:keepNext/>
        <w:tabs>
          <w:tab w:val="left" w:pos="1021"/>
        </w:tabs>
        <w:spacing w:line="360" w:lineRule="auto"/>
        <w:ind w:firstLine="420"/>
        <w:rPr>
          <w:rFonts w:hint="eastAsia" w:ascii="宋体" w:hAnsi="宋体" w:eastAsia="宋体" w:cs="Times New Roman"/>
          <w:bCs/>
          <w:sz w:val="24"/>
          <w:szCs w:val="24"/>
        </w:rPr>
      </w:pPr>
      <w:r>
        <w:rPr>
          <w:rFonts w:hint="eastAsia" w:ascii="宋体" w:hAnsi="宋体" w:eastAsia="宋体" w:cs="Times New Roman"/>
          <w:bCs/>
          <w:sz w:val="24"/>
          <w:szCs w:val="24"/>
        </w:rPr>
        <w:t>售价：0.00元</w:t>
      </w:r>
    </w:p>
    <w:p w14:paraId="77E7824A">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四、提交投标文件截止时间、开标时间和地点</w:t>
      </w:r>
    </w:p>
    <w:p w14:paraId="6B8BC57B">
      <w:pPr>
        <w:keepNext/>
        <w:tabs>
          <w:tab w:val="left" w:pos="1021"/>
        </w:tabs>
        <w:spacing w:line="360" w:lineRule="auto"/>
        <w:rPr>
          <w:rFonts w:hint="eastAsia" w:ascii="宋体" w:hAnsi="宋体" w:eastAsia="宋体" w:cs="Times New Roman"/>
          <w:bCs/>
          <w:sz w:val="24"/>
          <w:szCs w:val="24"/>
        </w:rPr>
      </w:pPr>
      <w:r>
        <w:rPr>
          <w:rFonts w:hint="eastAsia" w:ascii="宋体" w:hAnsi="宋体" w:eastAsia="宋体" w:cs="Times New Roman"/>
          <w:b/>
          <w:bCs/>
          <w:sz w:val="24"/>
          <w:szCs w:val="24"/>
        </w:rPr>
        <w:t xml:space="preserve">     </w:t>
      </w:r>
      <w:r>
        <w:rPr>
          <w:rFonts w:hint="eastAsia" w:ascii="宋体" w:hAnsi="宋体" w:eastAsia="宋体" w:cs="Times New Roman"/>
          <w:bCs/>
          <w:sz w:val="24"/>
          <w:szCs w:val="24"/>
        </w:rPr>
        <w:t>1.时间:2025年</w:t>
      </w:r>
      <w:r>
        <w:rPr>
          <w:rFonts w:hint="eastAsia" w:ascii="宋体" w:hAnsi="宋体" w:eastAsia="宋体" w:cs="Times New Roman"/>
          <w:bCs/>
          <w:sz w:val="24"/>
          <w:szCs w:val="24"/>
          <w:lang w:val="en-US" w:eastAsia="zh-CN"/>
        </w:rPr>
        <w:t>08</w:t>
      </w:r>
      <w:r>
        <w:rPr>
          <w:rFonts w:hint="eastAsia" w:ascii="宋体" w:hAnsi="宋体" w:eastAsia="宋体" w:cs="Times New Roman"/>
          <w:bCs/>
          <w:sz w:val="24"/>
          <w:szCs w:val="24"/>
        </w:rPr>
        <w:t>月</w:t>
      </w:r>
      <w:r>
        <w:rPr>
          <w:rFonts w:hint="eastAsia" w:ascii="宋体" w:hAnsi="宋体" w:eastAsia="宋体" w:cs="Times New Roman"/>
          <w:bCs/>
          <w:sz w:val="24"/>
          <w:szCs w:val="24"/>
          <w:lang w:val="en-US" w:eastAsia="zh-CN"/>
        </w:rPr>
        <w:t>04</w:t>
      </w:r>
      <w:r>
        <w:rPr>
          <w:rFonts w:hint="eastAsia" w:ascii="宋体" w:hAnsi="宋体" w:eastAsia="宋体" w:cs="Times New Roman"/>
          <w:bCs/>
          <w:sz w:val="24"/>
          <w:szCs w:val="24"/>
        </w:rPr>
        <w:t>日上午9时00分00秒（北京时间）</w:t>
      </w:r>
    </w:p>
    <w:p w14:paraId="295D5915">
      <w:pPr>
        <w:keepNext/>
        <w:tabs>
          <w:tab w:val="left" w:pos="1021"/>
        </w:tabs>
        <w:spacing w:line="360" w:lineRule="auto"/>
        <w:rPr>
          <w:rFonts w:hint="eastAsia" w:ascii="宋体" w:hAnsi="宋体" w:eastAsia="宋体" w:cs="Times New Roman"/>
          <w:bCs/>
          <w:sz w:val="24"/>
          <w:szCs w:val="24"/>
        </w:rPr>
      </w:pPr>
      <w:r>
        <w:rPr>
          <w:rFonts w:hint="eastAsia" w:ascii="宋体" w:hAnsi="宋体" w:eastAsia="宋体" w:cs="Times New Roman"/>
          <w:bCs/>
          <w:sz w:val="24"/>
          <w:szCs w:val="24"/>
        </w:rPr>
        <w:t xml:space="preserve">     2.地点:“苏采云”政府采购交易系统网上开标大厅</w:t>
      </w:r>
      <w:bookmarkStart w:id="33" w:name="_GoBack"/>
      <w:bookmarkEnd w:id="33"/>
    </w:p>
    <w:p w14:paraId="39415E2D">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五、公告期限</w:t>
      </w:r>
    </w:p>
    <w:p w14:paraId="7BB9AEE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自本公告发布之日起5个工作日。</w:t>
      </w:r>
    </w:p>
    <w:p w14:paraId="456F5277">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六、其他补充事宜</w:t>
      </w:r>
    </w:p>
    <w:p w14:paraId="336CE8AF">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本次公开招标不收取投标保证金。</w:t>
      </w:r>
    </w:p>
    <w:p w14:paraId="5745C30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2.本招标文件中标注★的款项为实质性响应要求和条件，如不满足将按无效响应处理。</w:t>
      </w:r>
    </w:p>
    <w:p w14:paraId="5A54083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无论出于何种原因，采购人在采购活动开始前可对采购文件进行修改、补充或变更，其内容作为采购文件的重要组成部分，请各供应商关注江苏政府采购网平台网站。若因供应商自身原因未及时关注本项目有关修改、补充或变更信息，导致投标文件编制或提交失误，由此造成的一切损失由供应商自行承担。</w:t>
      </w:r>
    </w:p>
    <w:p w14:paraId="0035DB89">
      <w:pPr>
        <w:spacing w:line="360" w:lineRule="auto"/>
        <w:ind w:firstLine="562"/>
        <w:jc w:val="left"/>
        <w:rPr>
          <w:rFonts w:ascii="Times New Roman" w:hAnsi="Times New Roman" w:eastAsia="黑体" w:cs="Times New Roman"/>
          <w:b/>
          <w:sz w:val="28"/>
          <w:szCs w:val="20"/>
        </w:rPr>
      </w:pPr>
      <w:r>
        <w:rPr>
          <w:rFonts w:hint="eastAsia" w:ascii="Times New Roman" w:hAnsi="Times New Roman" w:eastAsia="黑体" w:cs="Times New Roman"/>
          <w:b/>
          <w:sz w:val="28"/>
          <w:szCs w:val="20"/>
        </w:rPr>
        <w:t>七、对本次招标提出询问，请按以下方式联系。</w:t>
      </w:r>
    </w:p>
    <w:p w14:paraId="542185B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1.采购人信息</w:t>
      </w:r>
    </w:p>
    <w:p w14:paraId="55938007">
      <w:pPr>
        <w:spacing w:line="360" w:lineRule="auto"/>
        <w:ind w:firstLine="480"/>
        <w:rPr>
          <w:rFonts w:hint="eastAsia" w:ascii="宋体" w:hAnsi="宋体" w:eastAsia="宋体" w:cs="Times New Roman"/>
          <w:sz w:val="24"/>
        </w:rPr>
      </w:pPr>
      <w:r>
        <w:rPr>
          <w:rFonts w:hint="eastAsia" w:ascii="宋体" w:hAnsi="宋体" w:eastAsia="宋体" w:cs="Times New Roman"/>
          <w:sz w:val="24"/>
        </w:rPr>
        <w:t xml:space="preserve">名    称：连云港市海州区文化体育和旅游局  </w:t>
      </w:r>
    </w:p>
    <w:p w14:paraId="554855F7">
      <w:pPr>
        <w:spacing w:line="360" w:lineRule="auto"/>
        <w:ind w:firstLine="480"/>
        <w:rPr>
          <w:rFonts w:hint="eastAsia" w:ascii="宋体" w:hAnsi="宋体" w:eastAsia="宋体" w:cs="Times New Roman"/>
          <w:sz w:val="24"/>
        </w:rPr>
      </w:pPr>
      <w:r>
        <w:rPr>
          <w:rFonts w:hint="eastAsia" w:ascii="宋体" w:hAnsi="宋体" w:eastAsia="宋体" w:cs="Times New Roman"/>
          <w:sz w:val="24"/>
        </w:rPr>
        <w:t>地    址：江苏省连云港市海州区秦东门大街28号　</w:t>
      </w:r>
    </w:p>
    <w:p w14:paraId="20146C06">
      <w:pPr>
        <w:spacing w:line="360" w:lineRule="auto"/>
        <w:ind w:firstLine="480"/>
        <w:jc w:val="left"/>
        <w:rPr>
          <w:rFonts w:hint="eastAsia" w:ascii="宋体" w:hAnsi="宋体"/>
          <w:sz w:val="24"/>
          <w:lang w:val="en-US" w:eastAsia="zh-CN"/>
        </w:rPr>
      </w:pPr>
      <w:r>
        <w:rPr>
          <w:rFonts w:hint="eastAsia" w:ascii="宋体" w:hAnsi="宋体"/>
          <w:sz w:val="24"/>
        </w:rPr>
        <w:t>联系方式：潘</w:t>
      </w:r>
      <w:r>
        <w:rPr>
          <w:rFonts w:hint="eastAsia" w:ascii="宋体" w:hAnsi="宋体"/>
          <w:sz w:val="24"/>
          <w:lang w:val="en-US" w:eastAsia="zh-CN"/>
        </w:rPr>
        <w:t>工，</w:t>
      </w:r>
      <w:r>
        <w:rPr>
          <w:rFonts w:hint="eastAsia" w:ascii="宋体" w:hAnsi="宋体"/>
          <w:sz w:val="24"/>
        </w:rPr>
        <w:t>18961359958</w:t>
      </w:r>
    </w:p>
    <w:p w14:paraId="56EBFA44">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2.采购代理机构信息</w:t>
      </w:r>
    </w:p>
    <w:p w14:paraId="3EDDD29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名    称：江苏衡华工程项目管理有限公司</w:t>
      </w:r>
    </w:p>
    <w:p w14:paraId="53B10DF9">
      <w:pPr>
        <w:spacing w:line="360" w:lineRule="auto"/>
        <w:ind w:firstLine="480"/>
        <w:jc w:val="left"/>
        <w:rPr>
          <w:rFonts w:hint="eastAsia" w:ascii="宋体" w:hAnsi="宋体"/>
          <w:sz w:val="24"/>
        </w:rPr>
      </w:pPr>
      <w:r>
        <w:rPr>
          <w:rFonts w:hint="eastAsia" w:ascii="宋体" w:hAnsi="宋体" w:eastAsia="宋体" w:cs="Times New Roman"/>
          <w:sz w:val="24"/>
          <w:szCs w:val="24"/>
        </w:rPr>
        <w:t>地    址：</w:t>
      </w:r>
      <w:r>
        <w:rPr>
          <w:rFonts w:hint="eastAsia" w:ascii="宋体" w:hAnsi="宋体"/>
          <w:sz w:val="24"/>
        </w:rPr>
        <w:t>连云港市海州区瀛洲路凤凰商务花园1号楼1楼</w:t>
      </w:r>
    </w:p>
    <w:p w14:paraId="65FFA0E8">
      <w:pPr>
        <w:spacing w:line="360" w:lineRule="auto"/>
        <w:ind w:firstLine="480"/>
        <w:jc w:val="left"/>
        <w:rPr>
          <w:rFonts w:hint="eastAsia" w:ascii="宋体" w:hAnsi="宋体" w:eastAsia="宋体"/>
          <w:sz w:val="24"/>
        </w:rPr>
      </w:pPr>
      <w:r>
        <w:rPr>
          <w:rFonts w:hint="eastAsia" w:ascii="宋体" w:hAnsi="宋体" w:eastAsia="宋体" w:cs="Times New Roman"/>
          <w:sz w:val="24"/>
          <w:szCs w:val="24"/>
        </w:rPr>
        <w:t>联系方式：李</w:t>
      </w:r>
      <w:r>
        <w:rPr>
          <w:rFonts w:hint="eastAsia" w:ascii="宋体" w:hAnsi="宋体" w:eastAsia="宋体"/>
          <w:sz w:val="24"/>
        </w:rPr>
        <w:t>工</w:t>
      </w:r>
      <w:r>
        <w:rPr>
          <w:rFonts w:hint="eastAsia" w:ascii="宋体" w:hAnsi="宋体" w:eastAsia="宋体" w:cs="Times New Roman"/>
          <w:sz w:val="24"/>
          <w:szCs w:val="24"/>
        </w:rPr>
        <w:t>,</w:t>
      </w:r>
      <w:r>
        <w:rPr>
          <w:rFonts w:hint="eastAsia" w:ascii="宋体" w:hAnsi="宋体" w:eastAsia="宋体"/>
          <w:sz w:val="24"/>
        </w:rPr>
        <w:t>18936645909</w:t>
      </w:r>
    </w:p>
    <w:p w14:paraId="798761E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3.项目联系方式</w:t>
      </w:r>
    </w:p>
    <w:p w14:paraId="703990F7">
      <w:pPr>
        <w:spacing w:line="360" w:lineRule="auto"/>
        <w:ind w:firstLine="480"/>
        <w:jc w:val="left"/>
        <w:rPr>
          <w:rFonts w:hint="eastAsia" w:ascii="宋体" w:hAnsi="宋体" w:eastAsia="宋体" w:cs="Times New Roman"/>
          <w:sz w:val="24"/>
        </w:rPr>
      </w:pPr>
      <w:r>
        <w:rPr>
          <w:rFonts w:hint="eastAsia" w:ascii="宋体" w:hAnsi="宋体" w:eastAsia="宋体" w:cs="Times New Roman"/>
          <w:sz w:val="24"/>
          <w:szCs w:val="24"/>
        </w:rPr>
        <w:t>项目联系人：李</w:t>
      </w:r>
      <w:r>
        <w:rPr>
          <w:rFonts w:hint="eastAsia" w:ascii="宋体" w:hAnsi="宋体" w:eastAsia="宋体"/>
          <w:sz w:val="24"/>
        </w:rPr>
        <w:t>工</w:t>
      </w:r>
    </w:p>
    <w:p w14:paraId="3341B69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sz w:val="24"/>
        </w:rPr>
        <w:t>18936645909</w:t>
      </w:r>
    </w:p>
    <w:p w14:paraId="6A67E87D">
      <w:pPr>
        <w:spacing w:line="360" w:lineRule="auto"/>
        <w:ind w:firstLine="562"/>
        <w:rPr>
          <w:rFonts w:ascii="Times New Roman" w:hAnsi="Times New Roman" w:eastAsia="黑体" w:cs="Times New Roman"/>
          <w:b/>
          <w:sz w:val="28"/>
          <w:szCs w:val="20"/>
        </w:rPr>
      </w:pPr>
      <w:r>
        <w:rPr>
          <w:rFonts w:hint="eastAsia" w:ascii="Times New Roman" w:hAnsi="Times New Roman" w:eastAsia="黑体" w:cs="Times New Roman"/>
          <w:b/>
          <w:sz w:val="28"/>
          <w:szCs w:val="20"/>
        </w:rPr>
        <w:t>八、其它</w:t>
      </w:r>
    </w:p>
    <w:p w14:paraId="5F5698C0">
      <w:pPr>
        <w:spacing w:line="500" w:lineRule="exact"/>
        <w:ind w:firstLine="480"/>
        <w:jc w:val="left"/>
        <w:rPr>
          <w:sz w:val="24"/>
          <w:szCs w:val="24"/>
        </w:rPr>
      </w:pPr>
      <w:r>
        <w:rPr>
          <w:rFonts w:hint="eastAsia" w:ascii="宋体" w:hAnsi="宋体" w:eastAsia="宋体" w:cs="Times New Roman"/>
          <w:sz w:val="24"/>
          <w:szCs w:val="24"/>
        </w:rPr>
        <w:t>1.</w:t>
      </w:r>
      <w:r>
        <w:rPr>
          <w:rFonts w:hint="eastAsia"/>
          <w:sz w:val="24"/>
          <w:szCs w:val="24"/>
        </w:rPr>
        <w:t>根据江苏省财政厅《关于更换全省政府采购交易系统C A数字证书和电子签章的通知》（苏财购〔2023〕101号）要求，“苏采云”政府采购交易系统的CA数字证书、电子签章已更换为江苏省电子政务证书认证中心CA和方正国际软件（北京）有限公司电子签章。投标人通过“苏采云”系统参与政府采购项目，需要办理（更换）CA数字证书和电子签章。具体办理指南和操作手册见链接：</w:t>
      </w:r>
    </w:p>
    <w:p w14:paraId="40170A19">
      <w:pPr>
        <w:spacing w:line="500" w:lineRule="exact"/>
        <w:ind w:firstLine="480"/>
        <w:jc w:val="left"/>
        <w:rPr>
          <w:sz w:val="24"/>
          <w:szCs w:val="24"/>
        </w:rPr>
      </w:pPr>
      <w:r>
        <w:rPr>
          <w:rFonts w:hint="eastAsia"/>
          <w:sz w:val="24"/>
          <w:szCs w:val="24"/>
        </w:rPr>
        <w:t>http://www.ccgp-jiangsu.gov.cn/jiangsu/zlxz/ee/ee3a4bc5a3454aa2b0d9312230633ce9.html</w:t>
      </w:r>
    </w:p>
    <w:p w14:paraId="6041A971">
      <w:pPr>
        <w:spacing w:line="500" w:lineRule="exact"/>
        <w:ind w:firstLine="480"/>
        <w:jc w:val="left"/>
        <w:rPr>
          <w:sz w:val="24"/>
          <w:szCs w:val="24"/>
        </w:rPr>
      </w:pPr>
      <w:r>
        <w:rPr>
          <w:rFonts w:hint="eastAsia"/>
          <w:sz w:val="24"/>
          <w:szCs w:val="24"/>
        </w:rPr>
        <w:t>请投标人按照《操作手册》要求获取招标文件，制作、递交（上传）电子投标文件，参加开标，澄清、说明或者补正。因投标人未按要求操作原因导致电子投标文件被拒绝、造成无效响应的，自行承担一切损失。</w:t>
      </w:r>
    </w:p>
    <w:p w14:paraId="062DC050">
      <w:pPr>
        <w:spacing w:line="500" w:lineRule="exact"/>
        <w:ind w:firstLine="480"/>
        <w:jc w:val="left"/>
        <w:rPr>
          <w:sz w:val="24"/>
          <w:szCs w:val="24"/>
        </w:rPr>
      </w:pPr>
      <w:r>
        <w:rPr>
          <w:rFonts w:hint="eastAsia"/>
          <w:sz w:val="24"/>
          <w:szCs w:val="24"/>
        </w:rPr>
        <w:t>2. 有关本次招标的事项若存在变动或修改，敬请及时关注江苏省政府采购中心在“江苏政府采购网”发布的更正公告。</w:t>
      </w:r>
    </w:p>
    <w:p w14:paraId="60EA9BFB">
      <w:pPr>
        <w:spacing w:line="500" w:lineRule="exact"/>
        <w:ind w:firstLine="480"/>
        <w:jc w:val="left"/>
        <w:rPr>
          <w:sz w:val="24"/>
          <w:szCs w:val="24"/>
        </w:rPr>
      </w:pPr>
      <w:r>
        <w:rPr>
          <w:rFonts w:hint="eastAsia"/>
          <w:sz w:val="24"/>
          <w:szCs w:val="24"/>
        </w:rPr>
        <w:t>3. 本次招标不收取投标保证金。</w:t>
      </w:r>
    </w:p>
    <w:p w14:paraId="445B94EE">
      <w:pPr>
        <w:spacing w:line="360" w:lineRule="auto"/>
        <w:rPr>
          <w:rFonts w:hint="eastAsia" w:ascii="宋体" w:hAnsi="宋体" w:eastAsia="宋体" w:cs="Times New Roman"/>
          <w:sz w:val="24"/>
          <w:szCs w:val="24"/>
        </w:rPr>
      </w:pPr>
    </w:p>
    <w:p w14:paraId="113FE988">
      <w:pPr>
        <w:spacing w:line="276" w:lineRule="auto"/>
        <w:ind w:firstLine="480"/>
        <w:jc w:val="right"/>
        <w:rPr>
          <w:rFonts w:hint="eastAsia" w:ascii="宋体" w:hAnsi="宋体" w:eastAsia="宋体" w:cs="宋体"/>
          <w:sz w:val="24"/>
          <w:szCs w:val="24"/>
        </w:rPr>
      </w:pPr>
      <w:r>
        <w:rPr>
          <w:rFonts w:hint="eastAsia" w:ascii="宋体" w:hAnsi="宋体" w:eastAsia="宋体" w:cs="宋体"/>
          <w:sz w:val="24"/>
          <w:szCs w:val="24"/>
        </w:rPr>
        <w:t>江苏衡华工程项目管理有限公司</w:t>
      </w:r>
    </w:p>
    <w:p w14:paraId="4A0B1B0F">
      <w:pPr>
        <w:spacing w:line="276" w:lineRule="auto"/>
        <w:ind w:firstLine="480"/>
        <w:jc w:val="right"/>
        <w:rPr>
          <w:rFonts w:hint="eastAsia" w:ascii="宋体" w:hAnsi="宋体" w:eastAsia="宋体" w:cs="宋体"/>
          <w:szCs w:val="24"/>
        </w:rPr>
      </w:pPr>
      <w:r>
        <w:rPr>
          <w:rFonts w:hint="eastAsia" w:ascii="宋体" w:hAnsi="宋体" w:eastAsia="宋体" w:cs="宋体"/>
          <w:sz w:val="24"/>
          <w:szCs w:val="24"/>
        </w:rPr>
        <w:t>2025年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bookmarkEnd w:id="6"/>
      <w:bookmarkEnd w:id="7"/>
      <w:bookmarkEnd w:id="8"/>
      <w:bookmarkEnd w:id="9"/>
      <w:bookmarkEnd w:id="10"/>
    </w:p>
    <w:p w14:paraId="6DE8BF94">
      <w:pPr>
        <w:keepNext/>
        <w:keepLines/>
        <w:tabs>
          <w:tab w:val="left" w:pos="360"/>
        </w:tabs>
        <w:spacing w:line="360" w:lineRule="auto"/>
        <w:jc w:val="center"/>
        <w:outlineLvl w:val="0"/>
        <w:rPr>
          <w:rFonts w:ascii="Times New Roman" w:hAnsi="Times New Roman" w:eastAsia="黑体" w:cs="Times New Roman"/>
          <w:b/>
          <w:sz w:val="36"/>
          <w:szCs w:val="36"/>
        </w:rPr>
      </w:pPr>
      <w:r>
        <w:rPr>
          <w:rFonts w:ascii="Times New Roman" w:hAnsi="Times New Roman" w:eastAsia="黑体" w:cs="Times New Roman"/>
          <w:b/>
          <w:sz w:val="36"/>
          <w:szCs w:val="20"/>
        </w:rPr>
        <w:br w:type="page" w:clear="all"/>
      </w:r>
      <w:bookmarkStart w:id="11" w:name="_Toc513622227"/>
      <w:bookmarkStart w:id="12" w:name="_Toc24569"/>
      <w:r>
        <w:rPr>
          <w:rFonts w:hint="eastAsia" w:ascii="Times New Roman" w:hAnsi="宋体" w:eastAsia="黑体" w:cs="Times New Roman"/>
          <w:sz w:val="36"/>
          <w:szCs w:val="20"/>
        </w:rPr>
        <w:t>第二章  投标人须知</w:t>
      </w:r>
      <w:bookmarkEnd w:id="2"/>
      <w:bookmarkEnd w:id="3"/>
      <w:bookmarkEnd w:id="11"/>
      <w:bookmarkEnd w:id="12"/>
    </w:p>
    <w:p w14:paraId="52B2414F">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一、总则</w:t>
      </w:r>
    </w:p>
    <w:p w14:paraId="61A3FCD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 采购人、项目（标段）名称及编号，详见第一章“投标邀请”。</w:t>
      </w:r>
    </w:p>
    <w:p w14:paraId="58669E3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 采购预算</w:t>
      </w:r>
    </w:p>
    <w:p w14:paraId="3545875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2.1 本项目的采购预算，详见第一章“投标邀请”。</w:t>
      </w:r>
    </w:p>
    <w:p w14:paraId="4AC028D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 资金来源</w:t>
      </w:r>
    </w:p>
    <w:p w14:paraId="3773280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3.1 “投标邀请”中所述的采购人已获得一笔政府采购资金，用于采购第六章“项目需求”所列内容。</w:t>
      </w:r>
    </w:p>
    <w:p w14:paraId="1A19ABD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 采购方式</w:t>
      </w:r>
    </w:p>
    <w:p w14:paraId="4FCA11E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4.1 本项目采用公开招标采购方式，招标、投标、开标、评标和中标结果发布全程电子化。</w:t>
      </w:r>
    </w:p>
    <w:p w14:paraId="0E15AA5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 合格的投标人</w:t>
      </w:r>
    </w:p>
    <w:p w14:paraId="074A9B3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5.1 投标人应符合第一章“投标邀请”中规定的条件，</w:t>
      </w:r>
      <w:r>
        <w:rPr>
          <w:rFonts w:hint="eastAsia" w:ascii="宋体" w:hAnsi="宋体" w:eastAsia="宋体" w:cs="Times New Roman"/>
          <w:b/>
          <w:bCs/>
          <w:sz w:val="24"/>
          <w:szCs w:val="24"/>
        </w:rPr>
        <w:t>否则投标无效</w:t>
      </w:r>
      <w:r>
        <w:rPr>
          <w:rFonts w:hint="eastAsia" w:ascii="宋体" w:hAnsi="宋体" w:eastAsia="宋体" w:cs="Times New Roman"/>
          <w:sz w:val="24"/>
          <w:szCs w:val="24"/>
        </w:rPr>
        <w:t>。</w:t>
      </w:r>
    </w:p>
    <w:p w14:paraId="3496532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5.2 投标人不得直接或间接地与为本次采购的标的进行设计、编制规范和其他文件的咨询公司、采购（代理）机构或其附属机构有任何关联。 </w:t>
      </w:r>
    </w:p>
    <w:p w14:paraId="5092303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5.3 银行、保险、石油石化、电力、电信等特殊行业法人的分支机构（不具有独立的法人资格）参加本项目政府采购活动的，应当提供总公司出具的愿为其参与政府采购活动以及履约行为承担民事责任的承诺书（或授权书）。</w:t>
      </w:r>
    </w:p>
    <w:p w14:paraId="6B57B0A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5.4 符合上述条件的投标人应承担投标及履约过程应承担的全部责任与义务。</w:t>
      </w:r>
    </w:p>
    <w:p w14:paraId="008C0E6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6. 投标费用</w:t>
      </w:r>
    </w:p>
    <w:p w14:paraId="42203F0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6.1 不论投标结果如何，投标人均应自行承担所有与编写和提交投标文件有关的全部费用。</w:t>
      </w:r>
    </w:p>
    <w:p w14:paraId="523525D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7. 询问与质疑</w:t>
      </w:r>
    </w:p>
    <w:p w14:paraId="34D789C1">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7.1 询问</w:t>
      </w:r>
    </w:p>
    <w:p w14:paraId="56FE70A7">
      <w:pPr>
        <w:spacing w:line="360" w:lineRule="auto"/>
        <w:ind w:firstLine="480"/>
        <w:rPr>
          <w:rFonts w:hint="eastAsia" w:ascii="宋体" w:hAnsi="宋体" w:eastAsia="宋体" w:cs="Times New Roman"/>
          <w:sz w:val="24"/>
          <w:szCs w:val="24"/>
        </w:rPr>
      </w:pPr>
      <w:r>
        <w:rPr>
          <w:rFonts w:hint="eastAsia" w:ascii="Times New Roman" w:hAnsi="Times New Roman" w:eastAsia="宋体" w:cs="Times New Roman"/>
          <w:sz w:val="24"/>
          <w:szCs w:val="24"/>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供应商向采购人提出。</w:t>
      </w:r>
    </w:p>
    <w:p w14:paraId="7F68AC7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7.2 </w:t>
      </w:r>
      <w:r>
        <w:rPr>
          <w:rFonts w:ascii="宋体" w:hAnsi="宋体" w:eastAsia="宋体" w:cs="Times New Roman"/>
          <w:sz w:val="24"/>
          <w:szCs w:val="24"/>
        </w:rPr>
        <w:t>质疑的提出</w:t>
      </w:r>
    </w:p>
    <w:p w14:paraId="122F8D9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7.2.1 提出质疑的供应商应当是参与所质疑项目采购活动的供应商。</w:t>
      </w:r>
    </w:p>
    <w:p w14:paraId="65CF5FFF">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7.2.2供应商认为招标文件、采购过程、中标结果使自己的权益受到损害的，可以在知道或者应知其权益受到损害之日（获取招标文件之日、中标公告发布之日）起七个工作日内以书面形式向采购人、江苏衡华工程项目管理有限公司（以下简称采购代理机构）提出质疑。供应商应当在法定质疑期内一次性提出针对同一采购程序环节的质疑。</w:t>
      </w:r>
      <w:r>
        <w:rPr>
          <w:rFonts w:hint="eastAsia" w:ascii="宋体" w:hAnsi="宋体" w:eastAsia="宋体" w:cs="Times New Roman"/>
          <w:b/>
          <w:bCs/>
          <w:sz w:val="24"/>
          <w:szCs w:val="24"/>
        </w:rPr>
        <w:t>未依照采购公告要求获取招标文件的供应商，视为未参与该项目的采购活动，不具备对该招标文件提出质疑的法定权利。</w:t>
      </w:r>
    </w:p>
    <w:p w14:paraId="1D66876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7.2.3 </w:t>
      </w:r>
      <w:r>
        <w:rPr>
          <w:rFonts w:ascii="宋体" w:hAnsi="宋体" w:eastAsia="宋体" w:cs="Times New Roman"/>
          <w:sz w:val="24"/>
          <w:szCs w:val="24"/>
        </w:rPr>
        <w:t>提出质疑时，必须坚持“谁主张，谁举证”“实事求是”的原则，不能臆测。属于须由法定部门调查、侦查或先行作出相关认定的事项，质疑</w:t>
      </w:r>
      <w:r>
        <w:rPr>
          <w:rFonts w:hint="eastAsia" w:ascii="宋体" w:hAnsi="宋体" w:eastAsia="宋体" w:cs="Times New Roman"/>
          <w:sz w:val="24"/>
          <w:szCs w:val="24"/>
        </w:rPr>
        <w:t>供应商</w:t>
      </w:r>
      <w:r>
        <w:rPr>
          <w:rFonts w:ascii="宋体" w:hAnsi="宋体" w:eastAsia="宋体" w:cs="Times New Roman"/>
          <w:sz w:val="24"/>
          <w:szCs w:val="24"/>
        </w:rPr>
        <w:t>应当依法申请具有法定职权的部门查清、认定，并将相关结果提供给</w:t>
      </w:r>
      <w:r>
        <w:rPr>
          <w:rFonts w:hint="eastAsia" w:ascii="宋体" w:hAnsi="宋体" w:eastAsia="宋体" w:cs="Times New Roman"/>
          <w:sz w:val="24"/>
          <w:szCs w:val="24"/>
        </w:rPr>
        <w:t>采购人、采购代理机构</w:t>
      </w:r>
      <w:r>
        <w:rPr>
          <w:rFonts w:ascii="宋体" w:hAnsi="宋体" w:eastAsia="宋体" w:cs="Times New Roman"/>
          <w:sz w:val="24"/>
          <w:szCs w:val="24"/>
        </w:rPr>
        <w:t>。</w:t>
      </w:r>
      <w:r>
        <w:rPr>
          <w:rFonts w:hint="eastAsia" w:ascii="宋体" w:hAnsi="宋体" w:eastAsia="宋体" w:cs="Times New Roman"/>
          <w:sz w:val="24"/>
          <w:szCs w:val="24"/>
        </w:rPr>
        <w:t>采购人、采购代理机构</w:t>
      </w:r>
      <w:r>
        <w:rPr>
          <w:rFonts w:ascii="宋体" w:hAnsi="宋体" w:eastAsia="宋体" w:cs="Times New Roman"/>
          <w:sz w:val="24"/>
          <w:szCs w:val="24"/>
        </w:rPr>
        <w:t>不具有法定调查、认定权限。</w:t>
      </w:r>
    </w:p>
    <w:p w14:paraId="121C36C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7.2.4 </w:t>
      </w:r>
      <w:r>
        <w:rPr>
          <w:rFonts w:hint="eastAsia" w:ascii="宋体" w:hAnsi="宋体" w:eastAsia="宋体" w:cs="Times New Roman"/>
          <w:b/>
          <w:sz w:val="24"/>
          <w:szCs w:val="24"/>
        </w:rPr>
        <w:t>质疑函的接收方式为供应商书面原件提交</w:t>
      </w:r>
      <w:r>
        <w:rPr>
          <w:rFonts w:hint="eastAsia" w:ascii="宋体" w:hAnsi="宋体" w:eastAsia="宋体" w:cs="Times New Roman"/>
          <w:sz w:val="24"/>
          <w:szCs w:val="24"/>
        </w:rPr>
        <w:t>。联系部门、联系电话和通讯地址详见第一章“投标邀请”。</w:t>
      </w:r>
      <w:r>
        <w:rPr>
          <w:rFonts w:ascii="宋体" w:hAnsi="宋体" w:eastAsia="宋体" w:cs="Times New Roman"/>
          <w:sz w:val="24"/>
          <w:szCs w:val="24"/>
        </w:rPr>
        <w:t>质疑实行实名制，不得进行虚假、恶意质疑。</w:t>
      </w:r>
    </w:p>
    <w:p w14:paraId="23BF817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7.2.5 质疑函应当使用范本（详见连云港市政府采购交易平台-监管信息-意见反馈）。</w:t>
      </w:r>
    </w:p>
    <w:p w14:paraId="2A02DA6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供应商提出质疑</w:t>
      </w:r>
      <w:r>
        <w:rPr>
          <w:rFonts w:hint="eastAsia" w:ascii="宋体" w:hAnsi="宋体" w:eastAsia="宋体" w:cs="Times New Roman"/>
          <w:b/>
          <w:sz w:val="24"/>
          <w:szCs w:val="24"/>
        </w:rPr>
        <w:t>应当提交质疑函和必要的证明材料</w:t>
      </w:r>
      <w:r>
        <w:rPr>
          <w:rFonts w:hint="eastAsia" w:ascii="宋体" w:hAnsi="宋体" w:eastAsia="宋体" w:cs="Times New Roman"/>
          <w:sz w:val="24"/>
          <w:szCs w:val="24"/>
        </w:rPr>
        <w:t>，应当包括下列内容：</w:t>
      </w:r>
    </w:p>
    <w:p w14:paraId="28FD862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供应商的姓名或者名称、地址、邮编、联系人及联系电话；</w:t>
      </w:r>
    </w:p>
    <w:p w14:paraId="3D4A947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质疑项目的名称、编号；</w:t>
      </w:r>
    </w:p>
    <w:p w14:paraId="7203E36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具体、明确的质疑事项和与质疑事项相关的请求；</w:t>
      </w:r>
    </w:p>
    <w:p w14:paraId="66ECBDA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事实依据；</w:t>
      </w:r>
    </w:p>
    <w:p w14:paraId="73E54F8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w:t>
      </w:r>
      <w:r>
        <w:rPr>
          <w:rFonts w:hint="eastAsia" w:ascii="宋体" w:hAnsi="宋体" w:eastAsia="宋体" w:cs="Times New Roman"/>
          <w:sz w:val="24"/>
          <w:szCs w:val="24"/>
        </w:rPr>
        <w:t>必要的法律依据；</w:t>
      </w:r>
    </w:p>
    <w:p w14:paraId="1AFAA3A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w:t>
      </w:r>
      <w:r>
        <w:rPr>
          <w:rFonts w:hint="eastAsia" w:ascii="宋体" w:hAnsi="宋体" w:eastAsia="宋体" w:cs="Times New Roman"/>
          <w:sz w:val="24"/>
          <w:szCs w:val="24"/>
        </w:rPr>
        <w:t>提出质疑的日期；</w:t>
      </w:r>
    </w:p>
    <w:p w14:paraId="36146541">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（7</w:t>
      </w:r>
      <w:r>
        <w:rPr>
          <w:rFonts w:ascii="宋体" w:hAnsi="宋体" w:eastAsia="宋体" w:cs="Times New Roman"/>
          <w:sz w:val="24"/>
          <w:szCs w:val="24"/>
        </w:rPr>
        <w:t>）</w:t>
      </w:r>
      <w:r>
        <w:rPr>
          <w:rFonts w:hint="eastAsia" w:ascii="宋体" w:hAnsi="宋体" w:eastAsia="宋体" w:cs="Times New Roman"/>
          <w:b/>
          <w:sz w:val="24"/>
          <w:szCs w:val="24"/>
        </w:rPr>
        <w:t>必要的证明材料；</w:t>
      </w:r>
    </w:p>
    <w:p w14:paraId="71E21437">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（8）采购文件(交易文件)下载回执函；</w:t>
      </w:r>
    </w:p>
    <w:p w14:paraId="24AFC52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w:t>
      </w:r>
      <w:r>
        <w:rPr>
          <w:rFonts w:hint="eastAsia" w:ascii="宋体" w:hAnsi="宋体" w:eastAsia="宋体" w:cs="Times New Roman"/>
          <w:sz w:val="24"/>
          <w:szCs w:val="24"/>
        </w:rPr>
        <w:t>营业执照复印件及法定代表人授权委托书、法定代表人身份证复印件、委托代理人身份证复印件。</w:t>
      </w:r>
    </w:p>
    <w:p w14:paraId="1B999DB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供应商为自然人的，应当由本人签字；供应商为法人或者其他组织的，应当由法定代表人、主要负责人，或者其授权代理人签字或者盖章，并加盖单位公章。</w:t>
      </w:r>
    </w:p>
    <w:p w14:paraId="0F269AB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7.3 </w:t>
      </w:r>
      <w:r>
        <w:rPr>
          <w:rFonts w:ascii="宋体" w:hAnsi="宋体" w:eastAsia="宋体" w:cs="Times New Roman"/>
          <w:sz w:val="24"/>
          <w:szCs w:val="24"/>
        </w:rPr>
        <w:t>质疑函的受理和答复</w:t>
      </w:r>
    </w:p>
    <w:p w14:paraId="02C9E26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7.3.1 </w:t>
      </w:r>
      <w:r>
        <w:rPr>
          <w:rFonts w:ascii="宋体" w:hAnsi="宋体" w:eastAsia="宋体" w:cs="Times New Roman"/>
          <w:sz w:val="24"/>
          <w:szCs w:val="24"/>
        </w:rPr>
        <w:t>质疑</w:t>
      </w:r>
      <w:r>
        <w:rPr>
          <w:rFonts w:hint="eastAsia" w:ascii="宋体" w:hAnsi="宋体" w:eastAsia="宋体" w:cs="Times New Roman"/>
          <w:sz w:val="24"/>
          <w:szCs w:val="24"/>
        </w:rPr>
        <w:t>供应商</w:t>
      </w:r>
      <w:r>
        <w:rPr>
          <w:rFonts w:ascii="宋体" w:hAnsi="宋体" w:eastAsia="宋体" w:cs="Times New Roman"/>
          <w:sz w:val="24"/>
          <w:szCs w:val="24"/>
        </w:rPr>
        <w:t>应</w:t>
      </w:r>
      <w:r>
        <w:rPr>
          <w:rFonts w:hint="eastAsia" w:ascii="宋体" w:hAnsi="宋体" w:eastAsia="宋体" w:cs="Times New Roman"/>
          <w:sz w:val="24"/>
          <w:szCs w:val="24"/>
        </w:rPr>
        <w:t>当</w:t>
      </w:r>
      <w:r>
        <w:rPr>
          <w:rFonts w:ascii="宋体" w:hAnsi="宋体" w:eastAsia="宋体" w:cs="Times New Roman"/>
          <w:sz w:val="24"/>
          <w:szCs w:val="24"/>
        </w:rPr>
        <w:t>保证其提出的质疑事项及必要</w:t>
      </w:r>
      <w:r>
        <w:rPr>
          <w:rFonts w:hint="eastAsia" w:ascii="宋体" w:hAnsi="宋体" w:eastAsia="宋体" w:cs="Times New Roman"/>
          <w:sz w:val="24"/>
          <w:szCs w:val="24"/>
        </w:rPr>
        <w:t>的</w:t>
      </w:r>
      <w:r>
        <w:rPr>
          <w:rFonts w:ascii="宋体" w:hAnsi="宋体" w:eastAsia="宋体" w:cs="Times New Roman"/>
          <w:sz w:val="24"/>
          <w:szCs w:val="24"/>
        </w:rPr>
        <w:t>证明材料的真实性及来源的合法性，并承担相应的法律责任。</w:t>
      </w:r>
      <w:r>
        <w:rPr>
          <w:rFonts w:ascii="宋体" w:hAnsi="宋体" w:eastAsia="宋体" w:cs="Times New Roman"/>
          <w:b/>
          <w:sz w:val="24"/>
          <w:szCs w:val="24"/>
        </w:rPr>
        <w:t>对不能提供必要</w:t>
      </w:r>
      <w:r>
        <w:rPr>
          <w:rFonts w:hint="eastAsia" w:ascii="宋体" w:hAnsi="宋体" w:eastAsia="宋体" w:cs="Times New Roman"/>
          <w:b/>
          <w:sz w:val="24"/>
          <w:szCs w:val="24"/>
        </w:rPr>
        <w:t>的</w:t>
      </w:r>
      <w:r>
        <w:rPr>
          <w:rFonts w:ascii="宋体" w:hAnsi="宋体" w:eastAsia="宋体" w:cs="Times New Roman"/>
          <w:b/>
          <w:sz w:val="24"/>
          <w:szCs w:val="24"/>
        </w:rPr>
        <w:t>证明材料的、涉及商业秘密的、非书面原件形式的、匿名的质疑函将不予受理</w:t>
      </w:r>
      <w:r>
        <w:rPr>
          <w:rFonts w:ascii="宋体" w:hAnsi="宋体" w:eastAsia="宋体" w:cs="Times New Roman"/>
          <w:sz w:val="24"/>
          <w:szCs w:val="24"/>
        </w:rPr>
        <w:t>。必要</w:t>
      </w:r>
      <w:r>
        <w:rPr>
          <w:rFonts w:hint="eastAsia" w:ascii="宋体" w:hAnsi="宋体" w:eastAsia="宋体" w:cs="Times New Roman"/>
          <w:sz w:val="24"/>
          <w:szCs w:val="24"/>
        </w:rPr>
        <w:t>的</w:t>
      </w:r>
      <w:r>
        <w:rPr>
          <w:rFonts w:ascii="宋体" w:hAnsi="宋体" w:eastAsia="宋体" w:cs="Times New Roman"/>
          <w:sz w:val="24"/>
          <w:szCs w:val="24"/>
        </w:rPr>
        <w:t>证明材料要具备客观性、关联性、合法性，无法查实的</w:t>
      </w:r>
      <w:r>
        <w:rPr>
          <w:rFonts w:hint="eastAsia" w:ascii="宋体" w:hAnsi="宋体" w:eastAsia="宋体" w:cs="Times New Roman"/>
          <w:sz w:val="24"/>
          <w:szCs w:val="24"/>
        </w:rPr>
        <w:t>（</w:t>
      </w:r>
      <w:r>
        <w:rPr>
          <w:rFonts w:ascii="宋体" w:hAnsi="宋体" w:eastAsia="宋体" w:cs="Times New Roman"/>
          <w:sz w:val="24"/>
          <w:szCs w:val="24"/>
        </w:rPr>
        <w:t>如宣传册、媒体报道、猜测、推理等</w:t>
      </w:r>
      <w:r>
        <w:rPr>
          <w:rFonts w:hint="eastAsia" w:ascii="宋体" w:hAnsi="宋体" w:eastAsia="宋体" w:cs="Times New Roman"/>
          <w:sz w:val="24"/>
          <w:szCs w:val="24"/>
        </w:rPr>
        <w:t>）</w:t>
      </w:r>
      <w:r>
        <w:rPr>
          <w:rFonts w:ascii="宋体" w:hAnsi="宋体" w:eastAsia="宋体" w:cs="Times New Roman"/>
          <w:sz w:val="24"/>
          <w:szCs w:val="24"/>
        </w:rPr>
        <w:t>不能作为证明材料。</w:t>
      </w:r>
      <w:r>
        <w:rPr>
          <w:rFonts w:hint="eastAsia" w:ascii="宋体" w:hAnsi="宋体" w:eastAsia="宋体" w:cs="Times New Roman"/>
          <w:sz w:val="24"/>
          <w:szCs w:val="24"/>
        </w:rPr>
        <w:t>采购人、采购代理机构</w:t>
      </w:r>
      <w:r>
        <w:rPr>
          <w:rFonts w:ascii="宋体" w:hAnsi="宋体" w:eastAsia="宋体" w:cs="Times New Roman"/>
          <w:sz w:val="24"/>
          <w:szCs w:val="24"/>
        </w:rPr>
        <w:t>不负责搜集必要</w:t>
      </w:r>
      <w:r>
        <w:rPr>
          <w:rFonts w:hint="eastAsia" w:ascii="宋体" w:hAnsi="宋体" w:eastAsia="宋体" w:cs="Times New Roman"/>
          <w:sz w:val="24"/>
          <w:szCs w:val="24"/>
        </w:rPr>
        <w:t>的</w:t>
      </w:r>
      <w:r>
        <w:rPr>
          <w:rFonts w:ascii="宋体" w:hAnsi="宋体" w:eastAsia="宋体" w:cs="Times New Roman"/>
          <w:sz w:val="24"/>
          <w:szCs w:val="24"/>
        </w:rPr>
        <w:t>证明材料等工作。</w:t>
      </w:r>
    </w:p>
    <w:p w14:paraId="2AF51AB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7.3.2 </w:t>
      </w:r>
      <w:r>
        <w:rPr>
          <w:rFonts w:ascii="宋体" w:hAnsi="宋体" w:eastAsia="宋体" w:cs="Times New Roman"/>
          <w:sz w:val="24"/>
          <w:szCs w:val="24"/>
        </w:rPr>
        <w:t>对符合质疑要求的，</w:t>
      </w:r>
      <w:r>
        <w:rPr>
          <w:rFonts w:hint="eastAsia" w:ascii="宋体" w:hAnsi="宋体" w:eastAsia="宋体" w:cs="Times New Roman"/>
          <w:sz w:val="24"/>
          <w:szCs w:val="24"/>
        </w:rPr>
        <w:t>采购人、采购代理机构接收</w:t>
      </w:r>
      <w:r>
        <w:rPr>
          <w:rFonts w:ascii="宋体" w:hAnsi="宋体" w:eastAsia="宋体" w:cs="Times New Roman"/>
          <w:sz w:val="24"/>
          <w:szCs w:val="24"/>
        </w:rPr>
        <w:t>并登记《质疑函登记表》。在处理过程中，发现需要质疑</w:t>
      </w:r>
      <w:r>
        <w:rPr>
          <w:rFonts w:hint="eastAsia" w:ascii="宋体" w:hAnsi="宋体" w:eastAsia="宋体" w:cs="Times New Roman"/>
          <w:sz w:val="24"/>
          <w:szCs w:val="24"/>
        </w:rPr>
        <w:t>供应商</w:t>
      </w:r>
      <w:r>
        <w:rPr>
          <w:rFonts w:ascii="宋体" w:hAnsi="宋体" w:eastAsia="宋体" w:cs="Times New Roman"/>
          <w:sz w:val="24"/>
          <w:szCs w:val="24"/>
        </w:rPr>
        <w:t>进一步补充必要</w:t>
      </w:r>
      <w:r>
        <w:rPr>
          <w:rFonts w:hint="eastAsia" w:ascii="宋体" w:hAnsi="宋体" w:eastAsia="宋体" w:cs="Times New Roman"/>
          <w:sz w:val="24"/>
          <w:szCs w:val="24"/>
        </w:rPr>
        <w:t>的</w:t>
      </w:r>
      <w:r>
        <w:rPr>
          <w:rFonts w:ascii="宋体" w:hAnsi="宋体" w:eastAsia="宋体" w:cs="Times New Roman"/>
          <w:sz w:val="24"/>
          <w:szCs w:val="24"/>
        </w:rPr>
        <w:t>证明材料的，质疑</w:t>
      </w:r>
      <w:r>
        <w:rPr>
          <w:rFonts w:hint="eastAsia" w:ascii="宋体" w:hAnsi="宋体" w:eastAsia="宋体" w:cs="Times New Roman"/>
          <w:sz w:val="24"/>
          <w:szCs w:val="24"/>
        </w:rPr>
        <w:t>供应商应</w:t>
      </w:r>
      <w:r>
        <w:rPr>
          <w:rFonts w:ascii="宋体" w:hAnsi="宋体" w:eastAsia="宋体" w:cs="Times New Roman"/>
          <w:sz w:val="24"/>
          <w:szCs w:val="24"/>
        </w:rPr>
        <w:t>在法定的时间内提供，质疑答复时间相应顺延。质疑</w:t>
      </w:r>
      <w:r>
        <w:rPr>
          <w:rFonts w:hint="eastAsia" w:ascii="宋体" w:hAnsi="宋体" w:eastAsia="宋体" w:cs="Times New Roman"/>
          <w:sz w:val="24"/>
          <w:szCs w:val="24"/>
        </w:rPr>
        <w:t>供应商</w:t>
      </w:r>
      <w:r>
        <w:rPr>
          <w:rFonts w:ascii="宋体" w:hAnsi="宋体" w:eastAsia="宋体" w:cs="Times New Roman"/>
          <w:sz w:val="24"/>
          <w:szCs w:val="24"/>
        </w:rPr>
        <w:t>不能按时提供必要</w:t>
      </w:r>
      <w:r>
        <w:rPr>
          <w:rFonts w:hint="eastAsia" w:ascii="宋体" w:hAnsi="宋体" w:eastAsia="宋体" w:cs="Times New Roman"/>
          <w:sz w:val="24"/>
          <w:szCs w:val="24"/>
        </w:rPr>
        <w:t>的</w:t>
      </w:r>
      <w:r>
        <w:rPr>
          <w:rFonts w:ascii="宋体" w:hAnsi="宋体" w:eastAsia="宋体" w:cs="Times New Roman"/>
          <w:sz w:val="24"/>
          <w:szCs w:val="24"/>
        </w:rPr>
        <w:t>证明材料的，视同放弃质疑。</w:t>
      </w:r>
    </w:p>
    <w:p w14:paraId="3825993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7.3.3 </w:t>
      </w:r>
      <w:r>
        <w:rPr>
          <w:rFonts w:ascii="宋体" w:hAnsi="宋体" w:eastAsia="宋体" w:cs="Times New Roman"/>
          <w:sz w:val="24"/>
          <w:szCs w:val="24"/>
        </w:rPr>
        <w:t>对不符合质疑要求的，</w:t>
      </w:r>
      <w:r>
        <w:rPr>
          <w:rFonts w:hint="eastAsia" w:ascii="宋体" w:hAnsi="宋体" w:eastAsia="宋体" w:cs="Times New Roman"/>
          <w:sz w:val="24"/>
          <w:szCs w:val="24"/>
        </w:rPr>
        <w:t>采购人、采购代理机构</w:t>
      </w:r>
      <w:r>
        <w:rPr>
          <w:rFonts w:ascii="宋体" w:hAnsi="宋体" w:eastAsia="宋体" w:cs="Times New Roman"/>
          <w:sz w:val="24"/>
          <w:szCs w:val="24"/>
        </w:rPr>
        <w:t>有权要求其补充必要</w:t>
      </w:r>
      <w:r>
        <w:rPr>
          <w:rFonts w:hint="eastAsia" w:ascii="宋体" w:hAnsi="宋体" w:eastAsia="宋体" w:cs="Times New Roman"/>
          <w:sz w:val="24"/>
          <w:szCs w:val="24"/>
        </w:rPr>
        <w:t>的</w:t>
      </w:r>
      <w:r>
        <w:rPr>
          <w:rFonts w:ascii="宋体" w:hAnsi="宋体" w:eastAsia="宋体" w:cs="Times New Roman"/>
          <w:sz w:val="24"/>
          <w:szCs w:val="24"/>
        </w:rPr>
        <w:t>证明材料，质疑</w:t>
      </w:r>
      <w:r>
        <w:rPr>
          <w:rFonts w:hint="eastAsia" w:ascii="宋体" w:hAnsi="宋体" w:eastAsia="宋体" w:cs="Times New Roman"/>
          <w:sz w:val="24"/>
          <w:szCs w:val="24"/>
        </w:rPr>
        <w:t>供应商</w:t>
      </w:r>
      <w:r>
        <w:rPr>
          <w:rFonts w:ascii="宋体" w:hAnsi="宋体" w:eastAsia="宋体" w:cs="Times New Roman"/>
          <w:sz w:val="24"/>
          <w:szCs w:val="24"/>
        </w:rPr>
        <w:t>未在法定的时间内提供补充必要</w:t>
      </w:r>
      <w:r>
        <w:rPr>
          <w:rFonts w:hint="eastAsia" w:ascii="宋体" w:hAnsi="宋体" w:eastAsia="宋体" w:cs="Times New Roman"/>
          <w:sz w:val="24"/>
          <w:szCs w:val="24"/>
        </w:rPr>
        <w:t>的</w:t>
      </w:r>
      <w:r>
        <w:rPr>
          <w:rFonts w:ascii="宋体" w:hAnsi="宋体" w:eastAsia="宋体" w:cs="Times New Roman"/>
          <w:sz w:val="24"/>
          <w:szCs w:val="24"/>
        </w:rPr>
        <w:t>证明材料的，视同放弃质疑。</w:t>
      </w:r>
    </w:p>
    <w:p w14:paraId="2DBC956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7.3.4 采购人、采购代理机构</w:t>
      </w:r>
      <w:r>
        <w:rPr>
          <w:rFonts w:ascii="宋体" w:hAnsi="宋体" w:eastAsia="宋体" w:cs="Times New Roman"/>
          <w:sz w:val="24"/>
          <w:szCs w:val="24"/>
        </w:rPr>
        <w:t>负责将质疑</w:t>
      </w:r>
      <w:r>
        <w:rPr>
          <w:rFonts w:hint="eastAsia" w:ascii="宋体" w:hAnsi="宋体" w:eastAsia="宋体" w:cs="Times New Roman"/>
          <w:sz w:val="24"/>
          <w:szCs w:val="24"/>
        </w:rPr>
        <w:t>供应商</w:t>
      </w:r>
      <w:r>
        <w:rPr>
          <w:rFonts w:ascii="宋体" w:hAnsi="宋体" w:eastAsia="宋体" w:cs="Times New Roman"/>
          <w:sz w:val="24"/>
          <w:szCs w:val="24"/>
        </w:rPr>
        <w:t>提出的质疑函及</w:t>
      </w:r>
      <w:r>
        <w:rPr>
          <w:rFonts w:hint="eastAsia" w:ascii="宋体" w:hAnsi="宋体" w:eastAsia="宋体" w:cs="Times New Roman"/>
          <w:sz w:val="24"/>
          <w:szCs w:val="24"/>
        </w:rPr>
        <w:t>相关</w:t>
      </w:r>
      <w:r>
        <w:rPr>
          <w:rFonts w:ascii="宋体" w:hAnsi="宋体" w:eastAsia="宋体" w:cs="Times New Roman"/>
          <w:sz w:val="24"/>
          <w:szCs w:val="24"/>
        </w:rPr>
        <w:t>材料提供给评审委员会协助答复，并将答复意见回复质疑</w:t>
      </w:r>
      <w:r>
        <w:rPr>
          <w:rFonts w:hint="eastAsia" w:ascii="宋体" w:hAnsi="宋体" w:eastAsia="宋体" w:cs="Times New Roman"/>
          <w:sz w:val="24"/>
          <w:szCs w:val="24"/>
        </w:rPr>
        <w:t>供应商</w:t>
      </w:r>
      <w:r>
        <w:rPr>
          <w:rFonts w:ascii="宋体" w:hAnsi="宋体" w:eastAsia="宋体" w:cs="Times New Roman"/>
          <w:sz w:val="24"/>
          <w:szCs w:val="24"/>
        </w:rPr>
        <w:t>。必要时，可向被质疑</w:t>
      </w:r>
      <w:r>
        <w:rPr>
          <w:rFonts w:hint="eastAsia" w:ascii="宋体" w:hAnsi="宋体" w:eastAsia="宋体" w:cs="Times New Roman"/>
          <w:sz w:val="24"/>
          <w:szCs w:val="24"/>
        </w:rPr>
        <w:t>供应商</w:t>
      </w:r>
      <w:r>
        <w:rPr>
          <w:rFonts w:ascii="宋体" w:hAnsi="宋体" w:eastAsia="宋体" w:cs="Times New Roman"/>
          <w:sz w:val="24"/>
          <w:szCs w:val="24"/>
        </w:rPr>
        <w:t>转发《质疑函》及</w:t>
      </w:r>
      <w:r>
        <w:rPr>
          <w:rFonts w:hint="eastAsia" w:ascii="宋体" w:hAnsi="宋体" w:eastAsia="宋体" w:cs="Times New Roman"/>
          <w:sz w:val="24"/>
          <w:szCs w:val="24"/>
        </w:rPr>
        <w:t>相关</w:t>
      </w:r>
      <w:r>
        <w:rPr>
          <w:rFonts w:ascii="宋体" w:hAnsi="宋体" w:eastAsia="宋体" w:cs="Times New Roman"/>
          <w:sz w:val="24"/>
          <w:szCs w:val="24"/>
        </w:rPr>
        <w:t>材料。被质疑</w:t>
      </w:r>
      <w:r>
        <w:rPr>
          <w:rFonts w:hint="eastAsia" w:ascii="宋体" w:hAnsi="宋体" w:eastAsia="宋体" w:cs="Times New Roman"/>
          <w:sz w:val="24"/>
          <w:szCs w:val="24"/>
        </w:rPr>
        <w:t>供应商</w:t>
      </w:r>
      <w:r>
        <w:rPr>
          <w:rFonts w:ascii="宋体" w:hAnsi="宋体" w:eastAsia="宋体" w:cs="Times New Roman"/>
          <w:sz w:val="24"/>
          <w:szCs w:val="24"/>
        </w:rPr>
        <w:t>应当在要求的时间内，以书面形式作出说明并提交</w:t>
      </w:r>
      <w:r>
        <w:rPr>
          <w:rFonts w:hint="eastAsia" w:ascii="宋体" w:hAnsi="宋体" w:eastAsia="宋体" w:cs="Times New Roman"/>
          <w:sz w:val="24"/>
          <w:szCs w:val="24"/>
        </w:rPr>
        <w:t>相关</w:t>
      </w:r>
      <w:r>
        <w:rPr>
          <w:rFonts w:ascii="宋体" w:hAnsi="宋体" w:eastAsia="宋体" w:cs="Times New Roman"/>
          <w:sz w:val="24"/>
          <w:szCs w:val="24"/>
        </w:rPr>
        <w:t>材料。</w:t>
      </w:r>
    </w:p>
    <w:p w14:paraId="22E7BD6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 </w:t>
      </w:r>
      <w:r>
        <w:rPr>
          <w:rFonts w:ascii="宋体" w:hAnsi="宋体" w:eastAsia="宋体" w:cs="Times New Roman"/>
          <w:sz w:val="24"/>
          <w:szCs w:val="24"/>
        </w:rPr>
        <w:t>质疑处理</w:t>
      </w:r>
    </w:p>
    <w:p w14:paraId="29C4AA0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7.4.1 </w:t>
      </w:r>
      <w:r>
        <w:rPr>
          <w:rFonts w:ascii="宋体" w:hAnsi="宋体" w:eastAsia="宋体" w:cs="Times New Roman"/>
          <w:sz w:val="24"/>
          <w:szCs w:val="24"/>
        </w:rPr>
        <w:t>质疑</w:t>
      </w:r>
      <w:r>
        <w:rPr>
          <w:rFonts w:hint="eastAsia" w:ascii="宋体" w:hAnsi="宋体" w:eastAsia="宋体" w:cs="Times New Roman"/>
          <w:sz w:val="24"/>
          <w:szCs w:val="24"/>
        </w:rPr>
        <w:t>供应商不按照法定程序进行质疑投诉的，</w:t>
      </w:r>
      <w:r>
        <w:rPr>
          <w:rFonts w:ascii="宋体" w:hAnsi="宋体" w:eastAsia="宋体" w:cs="Times New Roman"/>
          <w:sz w:val="24"/>
          <w:szCs w:val="24"/>
        </w:rPr>
        <w:t>视为一般失信行为。</w:t>
      </w:r>
    </w:p>
    <w:p w14:paraId="7522B83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7.4.2 </w:t>
      </w:r>
      <w:r>
        <w:rPr>
          <w:rFonts w:ascii="宋体" w:hAnsi="宋体" w:eastAsia="宋体" w:cs="Times New Roman"/>
          <w:sz w:val="24"/>
          <w:szCs w:val="24"/>
        </w:rPr>
        <w:t>质疑</w:t>
      </w:r>
      <w:r>
        <w:rPr>
          <w:rFonts w:hint="eastAsia" w:ascii="宋体" w:hAnsi="宋体" w:eastAsia="宋体" w:cs="Times New Roman"/>
          <w:sz w:val="24"/>
          <w:szCs w:val="24"/>
        </w:rPr>
        <w:t>供应商不配合或者采用不正当手段干扰政府采购质疑、投诉处理工作</w:t>
      </w:r>
      <w:r>
        <w:rPr>
          <w:rFonts w:ascii="宋体" w:hAnsi="宋体" w:eastAsia="宋体" w:cs="Times New Roman"/>
          <w:sz w:val="24"/>
          <w:szCs w:val="24"/>
        </w:rPr>
        <w:t>的，视为一般失信行为。</w:t>
      </w:r>
    </w:p>
    <w:p w14:paraId="149E01E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7.4.3 </w:t>
      </w:r>
      <w:r>
        <w:rPr>
          <w:rFonts w:ascii="宋体" w:hAnsi="宋体" w:eastAsia="宋体" w:cs="Times New Roman"/>
          <w:sz w:val="24"/>
          <w:szCs w:val="24"/>
        </w:rPr>
        <w:t>质疑</w:t>
      </w:r>
      <w:r>
        <w:rPr>
          <w:rFonts w:hint="eastAsia" w:ascii="宋体" w:hAnsi="宋体" w:eastAsia="宋体" w:cs="Times New Roman"/>
          <w:sz w:val="24"/>
          <w:szCs w:val="24"/>
        </w:rPr>
        <w:t>供应商投诉受理期间，就同一事项多头举报，干扰财政部门投诉处理</w:t>
      </w:r>
      <w:r>
        <w:rPr>
          <w:rFonts w:ascii="宋体" w:hAnsi="宋体" w:eastAsia="宋体" w:cs="Times New Roman"/>
          <w:sz w:val="24"/>
          <w:szCs w:val="24"/>
        </w:rPr>
        <w:t>的，视为一般失信行为。</w:t>
      </w:r>
    </w:p>
    <w:p w14:paraId="0BBA1F8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7.4.4 </w:t>
      </w:r>
      <w:r>
        <w:rPr>
          <w:rFonts w:ascii="宋体" w:hAnsi="宋体" w:eastAsia="宋体" w:cs="Times New Roman"/>
          <w:sz w:val="24"/>
          <w:szCs w:val="24"/>
        </w:rPr>
        <w:t>质疑</w:t>
      </w:r>
      <w:r>
        <w:rPr>
          <w:rFonts w:hint="eastAsia" w:ascii="宋体" w:hAnsi="宋体" w:eastAsia="宋体" w:cs="Times New Roman"/>
          <w:sz w:val="24"/>
          <w:szCs w:val="24"/>
        </w:rPr>
        <w:t>供应商在全国范围12个月内三次以上质疑查无实据</w:t>
      </w:r>
      <w:r>
        <w:rPr>
          <w:rFonts w:ascii="宋体" w:hAnsi="宋体" w:eastAsia="宋体" w:cs="Times New Roman"/>
          <w:sz w:val="24"/>
          <w:szCs w:val="24"/>
        </w:rPr>
        <w:t>的，视为一般失信行为。</w:t>
      </w:r>
    </w:p>
    <w:p w14:paraId="012D775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7.4.5 </w:t>
      </w:r>
      <w:r>
        <w:rPr>
          <w:rFonts w:ascii="宋体" w:hAnsi="宋体" w:eastAsia="宋体" w:cs="Times New Roman"/>
          <w:sz w:val="24"/>
          <w:szCs w:val="24"/>
        </w:rPr>
        <w:t>质疑</w:t>
      </w:r>
      <w:r>
        <w:rPr>
          <w:rFonts w:hint="eastAsia" w:ascii="宋体" w:hAnsi="宋体" w:eastAsia="宋体" w:cs="Times New Roman"/>
          <w:sz w:val="24"/>
          <w:szCs w:val="24"/>
        </w:rPr>
        <w:t>供应商采用捏造事实、提供虚假材料或者以非法手段取得证明材料等方式进行虚假、恶意投诉</w:t>
      </w:r>
      <w:r>
        <w:rPr>
          <w:rFonts w:ascii="宋体" w:hAnsi="宋体" w:eastAsia="宋体" w:cs="Times New Roman"/>
          <w:sz w:val="24"/>
          <w:szCs w:val="24"/>
        </w:rPr>
        <w:t>的，视为</w:t>
      </w:r>
      <w:r>
        <w:rPr>
          <w:rFonts w:hint="eastAsia" w:ascii="宋体" w:hAnsi="宋体" w:eastAsia="宋体" w:cs="Times New Roman"/>
          <w:sz w:val="24"/>
          <w:szCs w:val="24"/>
        </w:rPr>
        <w:t>严重失信行为</w:t>
      </w:r>
      <w:r>
        <w:rPr>
          <w:rFonts w:ascii="宋体" w:hAnsi="宋体" w:eastAsia="宋体" w:cs="Times New Roman"/>
          <w:sz w:val="24"/>
          <w:szCs w:val="24"/>
        </w:rPr>
        <w:t>。</w:t>
      </w:r>
      <w:r>
        <w:rPr>
          <w:rFonts w:hint="eastAsia" w:ascii="宋体" w:hAnsi="宋体" w:eastAsia="宋体" w:cs="Times New Roman"/>
          <w:sz w:val="24"/>
          <w:szCs w:val="24"/>
        </w:rPr>
        <w:t>（证据来源的合法性存在明显疑问，投诉人无法证明其取得方式合法的，视为以非法手段取得证明材料）</w:t>
      </w:r>
    </w:p>
    <w:p w14:paraId="7246682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7.4.6 </w:t>
      </w:r>
      <w:r>
        <w:rPr>
          <w:rFonts w:ascii="宋体" w:hAnsi="宋体" w:eastAsia="宋体" w:cs="Times New Roman"/>
          <w:sz w:val="24"/>
          <w:szCs w:val="24"/>
        </w:rPr>
        <w:t>质疑</w:t>
      </w:r>
      <w:r>
        <w:rPr>
          <w:rFonts w:hint="eastAsia" w:ascii="宋体" w:hAnsi="宋体" w:eastAsia="宋体" w:cs="Times New Roman"/>
          <w:sz w:val="24"/>
          <w:szCs w:val="24"/>
        </w:rPr>
        <w:t>供应商在全国范围12个月内三次以上投诉查无实据</w:t>
      </w:r>
      <w:r>
        <w:rPr>
          <w:rFonts w:ascii="宋体" w:hAnsi="宋体" w:eastAsia="宋体" w:cs="Times New Roman"/>
          <w:sz w:val="24"/>
          <w:szCs w:val="24"/>
        </w:rPr>
        <w:t>的，视为</w:t>
      </w:r>
      <w:r>
        <w:rPr>
          <w:rFonts w:hint="eastAsia" w:ascii="宋体" w:hAnsi="宋体" w:eastAsia="宋体" w:cs="Times New Roman"/>
          <w:sz w:val="24"/>
          <w:szCs w:val="24"/>
        </w:rPr>
        <w:t>严重失信行为</w:t>
      </w:r>
      <w:r>
        <w:rPr>
          <w:rFonts w:ascii="宋体" w:hAnsi="宋体" w:eastAsia="宋体" w:cs="Times New Roman"/>
          <w:sz w:val="24"/>
          <w:szCs w:val="24"/>
        </w:rPr>
        <w:t>。</w:t>
      </w:r>
    </w:p>
    <w:p w14:paraId="0667F77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7.5 未尽事宜，依照有关法律、法规执行。</w:t>
      </w:r>
    </w:p>
    <w:p w14:paraId="3DC6E0F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8. 投诉</w:t>
      </w:r>
    </w:p>
    <w:p w14:paraId="350F28AD">
      <w:pPr>
        <w:spacing w:line="360" w:lineRule="auto"/>
        <w:ind w:firstLine="480"/>
        <w:rPr>
          <w:rFonts w:hint="eastAsia" w:ascii="宋体" w:hAnsi="宋体" w:eastAsia="宋体" w:cs="Times New Roman"/>
          <w:bCs/>
          <w:sz w:val="24"/>
          <w:szCs w:val="24"/>
        </w:rPr>
      </w:pPr>
      <w:r>
        <w:rPr>
          <w:rFonts w:hint="eastAsia" w:ascii="宋体" w:hAnsi="宋体" w:eastAsia="宋体" w:cs="Times New Roman"/>
          <w:sz w:val="24"/>
          <w:szCs w:val="24"/>
        </w:rPr>
        <w:t>8.1 投诉事项依照有关法律、法规执行。</w:t>
      </w:r>
    </w:p>
    <w:p w14:paraId="03CE9058">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二、招标文件</w:t>
      </w:r>
    </w:p>
    <w:p w14:paraId="50CE34F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9. 招标文件构成</w:t>
      </w:r>
    </w:p>
    <w:p w14:paraId="5D59724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9.1 要求提供的货物、招标过程及合同条款在招标文件中均有说明，招标文件分为七章，各章的内容如下：</w:t>
      </w:r>
    </w:p>
    <w:p w14:paraId="0F07031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第一章  投标邀请</w:t>
      </w:r>
    </w:p>
    <w:p w14:paraId="4F0F432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第二章  投标人须知</w:t>
      </w:r>
    </w:p>
    <w:p w14:paraId="2BC26F3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第三章  政府采购合同格式</w:t>
      </w:r>
    </w:p>
    <w:p w14:paraId="6DA485C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第四章  投标文件格式</w:t>
      </w:r>
    </w:p>
    <w:p w14:paraId="7E36466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第五章  合同专用条款表</w:t>
      </w:r>
    </w:p>
    <w:p w14:paraId="4412D00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第六章  项目需求</w:t>
      </w:r>
    </w:p>
    <w:p w14:paraId="0A8B0B2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第七章  评标办法</w:t>
      </w:r>
    </w:p>
    <w:p w14:paraId="13CC8A9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10. 招标文件的澄清或修改</w:t>
      </w:r>
    </w:p>
    <w:p w14:paraId="166E6A9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10.1 采购人或者采购代理机构可以对已发出的招标文件、资格预审文件、投标邀请书进行必要的澄清或者修改，但不得改变采购标的和资格条件。澄清或者修改应当在原公告发布媒体上发布公告。澄清或者修改的内容为招标文件、资格预审文件、投标邀请书的组成部分。</w:t>
      </w:r>
    </w:p>
    <w:p w14:paraId="791F604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10.2 澄清或者修改的内容可能影响投标文件编制的，采购人或者采购代理机构应当在投标截止时间至少15日前，在江苏政府采购网平台网站上发布公告形式通知所有获取招标文件的潜在投标人；不足15日的，采购人或者采购代理机构应当顺延提交投标文件的截止时间。</w:t>
      </w:r>
    </w:p>
    <w:p w14:paraId="24A8684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10.3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202D608A">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三、投标文件的编制</w:t>
      </w:r>
    </w:p>
    <w:p w14:paraId="4223842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11. 投标文件编写注意事项</w:t>
      </w:r>
    </w:p>
    <w:p w14:paraId="2F011B7E">
      <w:pPr>
        <w:spacing w:line="360" w:lineRule="auto"/>
        <w:ind w:firstLine="480"/>
        <w:rPr>
          <w:rFonts w:hint="eastAsia" w:ascii="宋体" w:hAnsi="宋体" w:eastAsia="宋体" w:cs="Times New Roman"/>
          <w:bCs/>
          <w:sz w:val="24"/>
          <w:szCs w:val="24"/>
        </w:rPr>
      </w:pPr>
      <w:r>
        <w:rPr>
          <w:rFonts w:hint="eastAsia" w:ascii="宋体" w:hAnsi="宋体" w:eastAsia="宋体" w:cs="Times New Roman"/>
          <w:sz w:val="24"/>
          <w:szCs w:val="24"/>
        </w:rPr>
        <w:t>11.1 投标人应当仔细阅读招标文件的所有内容，在完全了解招标的内容、技术性能要求和商务条件后，按照招标文件的要求编制投标文件。投标文件应当对招标文件提出的要求和条件作出明确响应，并保证所提供的全部资料的真实性，否则作</w:t>
      </w:r>
      <w:r>
        <w:rPr>
          <w:rFonts w:hint="eastAsia" w:ascii="宋体" w:hAnsi="宋体" w:eastAsia="宋体" w:cs="Times New Roman"/>
          <w:b/>
          <w:bCs/>
          <w:sz w:val="24"/>
          <w:szCs w:val="24"/>
        </w:rPr>
        <w:t>无效响应处理</w:t>
      </w:r>
      <w:r>
        <w:rPr>
          <w:rFonts w:hint="eastAsia" w:ascii="宋体" w:hAnsi="宋体" w:eastAsia="宋体" w:cs="Times New Roman"/>
          <w:sz w:val="24"/>
          <w:szCs w:val="24"/>
        </w:rPr>
        <w:t>。</w:t>
      </w:r>
    </w:p>
    <w:p w14:paraId="65FC7C7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11.2 对招标文件提出的实质性要求和条件作出响应是指投标人必须对招标文件中标明实质性要求和条件的技术参数及性能配置、数量、价格、售后服务、合同主要条款及其它要求等内容</w:t>
      </w:r>
      <w:r>
        <w:rPr>
          <w:rFonts w:hint="eastAsia" w:ascii="宋体" w:hAnsi="宋体" w:eastAsia="宋体" w:cs="Times New Roman"/>
          <w:b/>
          <w:bCs/>
          <w:sz w:val="24"/>
          <w:szCs w:val="24"/>
        </w:rPr>
        <w:t>作出满足或者优于原要求和条件的响应</w:t>
      </w:r>
      <w:r>
        <w:rPr>
          <w:rFonts w:hint="eastAsia" w:ascii="宋体" w:hAnsi="宋体" w:eastAsia="宋体" w:cs="Times New Roman"/>
          <w:sz w:val="24"/>
          <w:szCs w:val="24"/>
        </w:rPr>
        <w:t>。</w:t>
      </w:r>
    </w:p>
    <w:p w14:paraId="522815A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11.3 </w:t>
      </w:r>
      <w:r>
        <w:rPr>
          <w:rFonts w:hint="eastAsia" w:ascii="宋体" w:hAnsi="宋体" w:eastAsia="宋体" w:cs="Times New Roman"/>
          <w:b/>
          <w:bCs/>
          <w:sz w:val="24"/>
          <w:szCs w:val="24"/>
        </w:rPr>
        <w:t>招标文件中标注★号的部分为实质性要求和条件</w:t>
      </w:r>
      <w:r>
        <w:rPr>
          <w:rFonts w:hint="eastAsia" w:ascii="宋体" w:hAnsi="宋体" w:eastAsia="宋体" w:cs="Times New Roman"/>
          <w:sz w:val="24"/>
          <w:szCs w:val="24"/>
        </w:rPr>
        <w:t>。</w:t>
      </w:r>
    </w:p>
    <w:p w14:paraId="51BEED4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12. 投标的语言及计量单位</w:t>
      </w:r>
    </w:p>
    <w:p w14:paraId="617E900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12.1 投标人的投标文件内容以及投标人与采购代理机构就有关投标的所有来往函电统一使用中文（特别规定除外）。同一事项既有中文也有外文的，以中文意义为准。</w:t>
      </w:r>
    </w:p>
    <w:p w14:paraId="17D6B76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12.2 投标文件中使用的计量单位除招标文件中有特殊规定外，一律使用中国法定计量单位。</w:t>
      </w:r>
    </w:p>
    <w:p w14:paraId="1DDD6F0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13. 投标报价</w:t>
      </w:r>
    </w:p>
    <w:p w14:paraId="0CFFF6F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13.1 投标报价指货物的报价和标准附件、备品备件、专用工具、运输、装卸、验收合格所需的各种费用及必要的保险费用和各项税金等所有费用的总和。投标报价为现场交货价，投标报价必须含以下部分：</w:t>
      </w:r>
    </w:p>
    <w:p w14:paraId="7BB6FEA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（1）投标的货物总价；</w:t>
      </w:r>
    </w:p>
    <w:p w14:paraId="607CE2F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（2）货物的标准附件、备品备件、专用工具、运输、装卸等各种费用；</w:t>
      </w:r>
    </w:p>
    <w:p w14:paraId="47AC73F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（3）必要的保险费用和各项税金；</w:t>
      </w:r>
    </w:p>
    <w:p w14:paraId="0AFBBBE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（4）投标总价要求包含安装维保费用。</w:t>
      </w:r>
    </w:p>
    <w:p w14:paraId="0464A01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13.2 投标人可就第六章“项目需求”中的某个分标货物内容作完整唯一报价，也可就所有分标或某几个分标货物内容分别作完整唯一报价。</w:t>
      </w:r>
    </w:p>
    <w:p w14:paraId="544F58A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14. 投标货币</w:t>
      </w:r>
    </w:p>
    <w:p w14:paraId="1D18523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14.1 投标应以人民币报价。</w:t>
      </w:r>
    </w:p>
    <w:p w14:paraId="32CCD23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15. 投标文件有效期</w:t>
      </w:r>
    </w:p>
    <w:p w14:paraId="41AA19D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15.1 本项目投标文件有效期为：投标文件接收截止时间结束后60天内，投标文件有效期不符合招标文件要求的，该投标人投标无效。</w:t>
      </w:r>
    </w:p>
    <w:p w14:paraId="479692D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15.2 在特殊情况下，采购代理机构可与投标人协商延长投标文件的有效期，这种要求与答复均应以书面形式提交。</w:t>
      </w:r>
    </w:p>
    <w:p w14:paraId="7399AFF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16. 投标保证金：不收取。</w:t>
      </w:r>
    </w:p>
    <w:p w14:paraId="0E9C868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17. 投标文件制作工具</w:t>
      </w:r>
    </w:p>
    <w:p w14:paraId="5705D0A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17.1系统操作流程详见江苏政府采购网－办事指南－资料下载-江苏省政府采购管理交易系统（苏采云）供应商操作指南，请及时关注版本更新。</w:t>
      </w:r>
    </w:p>
    <w:p w14:paraId="6B102E0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18. 投标文件构成</w:t>
      </w:r>
    </w:p>
    <w:p w14:paraId="6D7617D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投标人编制的投标文件应包括</w:t>
      </w:r>
      <w:r>
        <w:rPr>
          <w:rFonts w:hint="eastAsia" w:ascii="宋体" w:hAnsi="宋体" w:eastAsia="宋体" w:cs="Times New Roman"/>
          <w:b/>
          <w:sz w:val="24"/>
          <w:szCs w:val="24"/>
        </w:rPr>
        <w:t>商务文件、技术文件、评审因素所需材料和其他材料</w:t>
      </w:r>
      <w:r>
        <w:rPr>
          <w:rFonts w:hint="eastAsia" w:ascii="宋体" w:hAnsi="宋体" w:eastAsia="宋体" w:cs="Times New Roman"/>
          <w:sz w:val="24"/>
          <w:szCs w:val="24"/>
        </w:rPr>
        <w:t>等内容，相关文件的提交如未特别注明可提供扫描件。</w:t>
      </w:r>
    </w:p>
    <w:p w14:paraId="4BE6F72C">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18.1 </w:t>
      </w:r>
      <w:r>
        <w:rPr>
          <w:rFonts w:hint="eastAsia" w:ascii="宋体" w:hAnsi="宋体" w:eastAsia="宋体" w:cs="Times New Roman"/>
          <w:b/>
          <w:sz w:val="24"/>
          <w:szCs w:val="24"/>
        </w:rPr>
        <w:t>投标文件格式：</w:t>
      </w:r>
    </w:p>
    <w:p w14:paraId="5A3179FF">
      <w:pPr>
        <w:spacing w:line="360" w:lineRule="auto"/>
        <w:ind w:firstLine="480"/>
        <w:rPr>
          <w:rFonts w:ascii="Times New Roman" w:hAnsi="Times New Roman" w:eastAsia="宋体" w:cs="Times New Roman"/>
          <w:szCs w:val="24"/>
        </w:rPr>
      </w:pPr>
      <w:r>
        <w:rPr>
          <w:rFonts w:hint="eastAsia" w:ascii="宋体" w:hAnsi="宋体" w:eastAsia="宋体" w:cs="Times New Roman"/>
          <w:sz w:val="24"/>
          <w:szCs w:val="24"/>
        </w:rPr>
        <w:t>填写投标人名称、投标人地址、法定代表人、委托代理人、日期等内容。</w:t>
      </w:r>
    </w:p>
    <w:p w14:paraId="4BDE083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18.2 </w:t>
      </w:r>
      <w:r>
        <w:rPr>
          <w:rFonts w:hint="eastAsia" w:ascii="宋体" w:hAnsi="宋体" w:eastAsia="宋体" w:cs="Times New Roman"/>
          <w:b/>
          <w:sz w:val="24"/>
          <w:szCs w:val="24"/>
        </w:rPr>
        <w:t>商务文件：（政府采购政策有关材料可选提交；委托代理时必须提交法定代表人授权委托书，否则投标无效；其他文件必须提交，否则投标无效）</w:t>
      </w:r>
    </w:p>
    <w:p w14:paraId="59C4B90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（1）响应函：请按给定格式及要求填写。</w:t>
      </w:r>
    </w:p>
    <w:p w14:paraId="0E2E3CF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（2）开标一览表：请按给定格式及要求填写。</w:t>
      </w:r>
    </w:p>
    <w:p w14:paraId="3267F75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（3）报价明细表：请按第四章“投标文件格式”提供的“报价明细表”格式及要求填写。</w:t>
      </w:r>
    </w:p>
    <w:p w14:paraId="6F41237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（4）政府采购政策：中小企业声明函、残疾人福利性单位声明函及省级以上监狱管理局、戒毒管理局（含新疆生产建设兵团）出具的属于监狱企业的证明文件，填报要求详见“八、政策功能”。</w:t>
      </w:r>
    </w:p>
    <w:p w14:paraId="4B67529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（5）资格审查材料：</w:t>
      </w:r>
    </w:p>
    <w:p w14:paraId="3400F5D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投标单位基本信息、财务状况报告可以通过同步诚信库后挑选；法人或者其他组织的营业执照等证明文件，自然人的身份证明；具有良好的商业信誉和健全的财务会计制度；（成立不满一个年度的不需提供）；依法缴纳税收和社会保障资金的相关证明材料；具备履行合同所必需的设备和专业技术能力的声明及证明材料，参加政府采购活动前三年内在经营活动中没有重大违法记录的书面声明，请按给定的格式填写；具备法律、行政法规规定的其他条件的证明材料，如有请提供；其他资格审查材料要求，详见第一章“投标要求”“二、申请人的资格要求”。</w:t>
      </w:r>
    </w:p>
    <w:p w14:paraId="4E90E44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根据连财购〔2023〕4号文件精神，财务状况报告、税收证明、社保证明可以提供《财务状况报告及税收、社会保障资金缴纳情况承诺函》，请按第六部分 投标文件格式给定格式及要求填写。投标文件提供《承诺函》的无需重复提供对应的证明材料。</w:t>
      </w:r>
    </w:p>
    <w:p w14:paraId="09F46C0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（6）法定代表人授权委托书：请按给定格式及要求填写。</w:t>
      </w:r>
    </w:p>
    <w:p w14:paraId="09445EB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（7）商务条款偏离表：请按给定格式及要求，并根据投标人投标承诺的商务条件与“合同条款”“合同专用条款表”“项目需求”等的差异填写。</w:t>
      </w:r>
    </w:p>
    <w:p w14:paraId="7E43EDA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（8）售后服务承诺书：请按给定格式及要求填写。</w:t>
      </w:r>
    </w:p>
    <w:p w14:paraId="18D3121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18</w:t>
      </w:r>
      <w:r>
        <w:rPr>
          <w:rFonts w:ascii="宋体" w:hAnsi="宋体" w:eastAsia="宋体" w:cs="Times New Roman"/>
          <w:sz w:val="24"/>
          <w:szCs w:val="24"/>
        </w:rPr>
        <w:t>.</w:t>
      </w:r>
      <w:r>
        <w:rPr>
          <w:rFonts w:hint="eastAsia" w:ascii="宋体" w:hAnsi="宋体" w:eastAsia="宋体" w:cs="Times New Roman"/>
          <w:sz w:val="24"/>
          <w:szCs w:val="24"/>
        </w:rPr>
        <w:t xml:space="preserve">3 </w:t>
      </w:r>
      <w:r>
        <w:rPr>
          <w:rFonts w:hint="eastAsia" w:ascii="宋体" w:hAnsi="宋体" w:eastAsia="宋体" w:cs="Times New Roman"/>
          <w:b/>
          <w:sz w:val="24"/>
          <w:szCs w:val="24"/>
        </w:rPr>
        <w:t>技术文件：（以下文件必须提交，否则该投标人投标无效）</w:t>
      </w:r>
    </w:p>
    <w:p w14:paraId="3211F70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（1）技术标：可以但不限于技术方案、产品技术资料、招标文件规定的其他文件等，格式自定。</w:t>
      </w:r>
    </w:p>
    <w:p w14:paraId="1EBAB71B">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（2）技术规格偏离表：按第四章“投标文件格式”提供的“技术规格偏离表”的格式及要求，根据投标人投标的货物与“项目需求”相关技术规格要求的差异填写。</w:t>
      </w:r>
    </w:p>
    <w:p w14:paraId="7A470CD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（3）项目需求响应：格式自定。</w:t>
      </w:r>
    </w:p>
    <w:p w14:paraId="33ED210A">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18</w:t>
      </w:r>
      <w:r>
        <w:rPr>
          <w:rFonts w:ascii="宋体" w:hAnsi="宋体" w:eastAsia="宋体" w:cs="Times New Roman"/>
          <w:sz w:val="24"/>
          <w:szCs w:val="24"/>
        </w:rPr>
        <w:t>.</w:t>
      </w:r>
      <w:r>
        <w:rPr>
          <w:rFonts w:hint="eastAsia" w:ascii="宋体" w:hAnsi="宋体" w:eastAsia="宋体" w:cs="Times New Roman"/>
          <w:sz w:val="24"/>
          <w:szCs w:val="24"/>
        </w:rPr>
        <w:t xml:space="preserve">4 </w:t>
      </w:r>
      <w:r>
        <w:rPr>
          <w:rFonts w:hint="eastAsia" w:ascii="宋体" w:hAnsi="宋体" w:eastAsia="宋体" w:cs="Times New Roman"/>
          <w:b/>
          <w:sz w:val="24"/>
          <w:szCs w:val="24"/>
        </w:rPr>
        <w:t>评审因素所需材料：</w:t>
      </w:r>
    </w:p>
    <w:p w14:paraId="560D2A5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如有，请按招标文件要求提供。</w:t>
      </w:r>
    </w:p>
    <w:p w14:paraId="2493D966">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18</w:t>
      </w:r>
      <w:r>
        <w:rPr>
          <w:rFonts w:ascii="宋体" w:hAnsi="宋体" w:eastAsia="宋体" w:cs="Times New Roman"/>
          <w:sz w:val="24"/>
          <w:szCs w:val="24"/>
        </w:rPr>
        <w:t>.</w:t>
      </w:r>
      <w:r>
        <w:rPr>
          <w:rFonts w:hint="eastAsia" w:ascii="宋体" w:hAnsi="宋体" w:eastAsia="宋体" w:cs="Times New Roman"/>
          <w:sz w:val="24"/>
          <w:szCs w:val="24"/>
        </w:rPr>
        <w:t xml:space="preserve">5 </w:t>
      </w:r>
      <w:r>
        <w:rPr>
          <w:rFonts w:hint="eastAsia" w:ascii="宋体" w:hAnsi="宋体" w:eastAsia="宋体" w:cs="Times New Roman"/>
          <w:b/>
          <w:sz w:val="24"/>
          <w:szCs w:val="24"/>
        </w:rPr>
        <w:t>其他材料：</w:t>
      </w:r>
    </w:p>
    <w:p w14:paraId="0164D90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如有，请按招标文件要求提供。</w:t>
      </w:r>
    </w:p>
    <w:p w14:paraId="2081B2A8">
      <w:pPr>
        <w:spacing w:line="360"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特别说明：投标文件制作工具所附文本格式与招标文件给定格式不一致的，以招标文件提供的为准。</w:t>
      </w:r>
    </w:p>
    <w:p w14:paraId="0B25104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18.6 特别提醒投标人，混乱的编排导致投标文件被误读或评标委员会查找不到有效文件是投标人的风险。</w:t>
      </w:r>
    </w:p>
    <w:p w14:paraId="061765D9">
      <w:pPr>
        <w:spacing w:line="360" w:lineRule="auto"/>
        <w:ind w:firstLine="482"/>
        <w:rPr>
          <w:rFonts w:hint="eastAsia" w:ascii="宋体" w:hAnsi="宋体" w:eastAsia="宋体" w:cs="Times New Roman"/>
          <w:b/>
          <w:bCs/>
          <w:sz w:val="24"/>
          <w:szCs w:val="24"/>
        </w:rPr>
      </w:pPr>
      <w:r>
        <w:rPr>
          <w:rFonts w:hint="eastAsia" w:ascii="宋体" w:hAnsi="宋体" w:eastAsia="宋体" w:cs="Times New Roman"/>
          <w:b/>
          <w:bCs/>
          <w:sz w:val="24"/>
          <w:szCs w:val="24"/>
        </w:rPr>
        <w:t>19. 生成投标文件</w:t>
      </w:r>
    </w:p>
    <w:p w14:paraId="21E3F106">
      <w:pPr>
        <w:spacing w:line="360" w:lineRule="auto"/>
        <w:ind w:firstLine="480"/>
        <w:rPr>
          <w:rFonts w:hint="eastAsia" w:ascii="宋体" w:hAnsi="宋体" w:eastAsia="宋体" w:cs="Times New Roman"/>
          <w:b/>
          <w:bCs/>
          <w:sz w:val="24"/>
          <w:szCs w:val="24"/>
        </w:rPr>
      </w:pPr>
      <w:r>
        <w:rPr>
          <w:rFonts w:hint="eastAsia" w:ascii="宋体" w:hAnsi="宋体" w:eastAsia="宋体" w:cs="Times New Roman"/>
          <w:sz w:val="24"/>
          <w:szCs w:val="24"/>
        </w:rPr>
        <w:t>19.1 投标文件应由</w:t>
      </w:r>
      <w:r>
        <w:rPr>
          <w:rFonts w:hint="eastAsia" w:ascii="宋体" w:hAnsi="宋体" w:eastAsia="宋体" w:cs="Times New Roman"/>
          <w:b/>
          <w:sz w:val="24"/>
          <w:szCs w:val="24"/>
        </w:rPr>
        <w:t>法定代表人或其委托代理人</w:t>
      </w:r>
      <w:r>
        <w:rPr>
          <w:rFonts w:hint="eastAsia" w:ascii="宋体" w:hAnsi="宋体" w:eastAsia="宋体" w:cs="Times New Roman"/>
          <w:b/>
          <w:bCs/>
          <w:sz w:val="24"/>
          <w:szCs w:val="24"/>
        </w:rPr>
        <w:t>在凡规定签章处逐一签字或盖章并加盖投标人公章（相关内容可以打印、签字、盖章后扫描电子件）或</w:t>
      </w:r>
      <w:r>
        <w:rPr>
          <w:rFonts w:hint="eastAsia" w:ascii="宋体" w:hAnsi="宋体" w:eastAsia="宋体" w:cs="Times New Roman"/>
          <w:b/>
          <w:sz w:val="24"/>
          <w:szCs w:val="24"/>
        </w:rPr>
        <w:t>使用电子签章</w:t>
      </w:r>
      <w:r>
        <w:rPr>
          <w:rFonts w:hint="eastAsia" w:ascii="宋体" w:hAnsi="宋体" w:eastAsia="宋体" w:cs="Times New Roman"/>
          <w:sz w:val="24"/>
          <w:szCs w:val="24"/>
        </w:rPr>
        <w:t>，本招标文件所表述的公章是指刻有投标人法定名称的印章，不包括合同、财务、税务、发票等形式的业务专用章。</w:t>
      </w:r>
    </w:p>
    <w:p w14:paraId="6A7B863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19.2 电子投标文件不得涂改、行间插字或删除，如出现上述情况应重新编制。</w:t>
      </w:r>
    </w:p>
    <w:p w14:paraId="65FFE04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19.3 投标文件制作工具生成内容相同、加密与未加密两个版本电子投标文件，加密版本用于提交上传</w:t>
      </w:r>
      <w:r>
        <w:rPr>
          <w:rFonts w:ascii="宋体" w:hAnsi="宋体" w:eastAsia="宋体" w:cs="Times New Roman"/>
          <w:sz w:val="24"/>
          <w:szCs w:val="24"/>
        </w:rPr>
        <w:t>，未加密版本用于特殊情况处理。</w:t>
      </w:r>
    </w:p>
    <w:p w14:paraId="5206DE1E">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四、投标文件及样品的提交</w:t>
      </w:r>
    </w:p>
    <w:p w14:paraId="522260C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20. 投标文件的上传、修改和撤回</w:t>
      </w:r>
    </w:p>
    <w:p w14:paraId="3C70064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20.1 投标人应当使用投标文件制作工具，生成加密电子投标文件一份，在规定的截止时间前上传，迟于截止时间的</w:t>
      </w:r>
      <w:r>
        <w:rPr>
          <w:rFonts w:hint="eastAsia" w:ascii="宋体" w:hAnsi="宋体" w:eastAsia="宋体" w:cs="Times New Roman"/>
          <w:b/>
          <w:sz w:val="24"/>
          <w:szCs w:val="24"/>
        </w:rPr>
        <w:t>不予接收</w:t>
      </w:r>
      <w:r>
        <w:rPr>
          <w:rFonts w:hint="eastAsia" w:ascii="宋体" w:hAnsi="宋体" w:eastAsia="宋体" w:cs="Times New Roman"/>
          <w:sz w:val="24"/>
          <w:szCs w:val="24"/>
        </w:rPr>
        <w:t>。</w:t>
      </w:r>
    </w:p>
    <w:p w14:paraId="3D76E18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20.2 投标人在上传投标文件后可以对其修改或撤回，但这种修改或撤回，必须在规定的投标截止时间前。</w:t>
      </w:r>
    </w:p>
    <w:p w14:paraId="4523525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20.3 对电子投标文件的修改，投标人可以在投标截止时间前登录电子交易平台撤回文件，并上传新的投标文件，投标文件以最终完成上传的为准。</w:t>
      </w:r>
    </w:p>
    <w:p w14:paraId="4B2B1645">
      <w:pPr>
        <w:spacing w:line="360" w:lineRule="auto"/>
        <w:ind w:firstLine="480"/>
        <w:rPr>
          <w:rFonts w:ascii="Times New Roman" w:hAnsi="Times New Roman" w:eastAsia="宋体" w:cs="Times New Roman"/>
          <w:szCs w:val="24"/>
        </w:rPr>
      </w:pPr>
      <w:r>
        <w:rPr>
          <w:rFonts w:hint="eastAsia" w:ascii="宋体" w:hAnsi="宋体" w:eastAsia="宋体" w:cs="Times New Roman"/>
          <w:sz w:val="24"/>
          <w:szCs w:val="24"/>
        </w:rPr>
        <w:t>20.4 投标人不得在投标截止时间后修改投标文件，也不得在投标截止时间起至投标有效期满前撤回投标文件。</w:t>
      </w:r>
    </w:p>
    <w:p w14:paraId="09506E6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21. 提交投标样品截止时间和地点（不提供样品）</w:t>
      </w:r>
    </w:p>
    <w:p w14:paraId="6436016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21.1 采购项目需要提交样品的，投标人应当于招标文件规定的样品接收截止</w:t>
      </w:r>
      <w:r>
        <w:rPr>
          <w:rFonts w:hint="eastAsia" w:ascii="宋体" w:hAnsi="宋体" w:eastAsia="宋体" w:cs="Times New Roman"/>
          <w:bCs/>
          <w:sz w:val="24"/>
          <w:szCs w:val="24"/>
        </w:rPr>
        <w:t>时间前将样品送到指定地点并登记完毕，</w:t>
      </w:r>
      <w:r>
        <w:rPr>
          <w:rFonts w:hint="eastAsia" w:ascii="宋体" w:hAnsi="宋体" w:eastAsia="宋体" w:cs="Times New Roman"/>
          <w:b/>
          <w:bCs/>
          <w:sz w:val="24"/>
          <w:szCs w:val="24"/>
        </w:rPr>
        <w:t>否则不予接收</w:t>
      </w:r>
      <w:r>
        <w:rPr>
          <w:rFonts w:hint="eastAsia" w:ascii="宋体" w:hAnsi="宋体" w:eastAsia="宋体" w:cs="Times New Roman"/>
          <w:sz w:val="24"/>
          <w:szCs w:val="24"/>
        </w:rPr>
        <w:t>。</w:t>
      </w:r>
    </w:p>
    <w:p w14:paraId="49A1024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21.2 中标人提供的样品由采购人封存、保管，作为履约验收的参考。未中标人提供的样品，投标人应在中标结果公布后两个工作日内领回，否则按无主物品处理。</w:t>
      </w:r>
    </w:p>
    <w:p w14:paraId="06ECB993">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五、开标与评标</w:t>
      </w:r>
    </w:p>
    <w:p w14:paraId="04EE0DC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22. 开标</w:t>
      </w:r>
    </w:p>
    <w:p w14:paraId="56B4AC8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22.1采购代理机构将在招标公告中规定的时间和地点组织公开开标。投标人应当按照《操作手册》规定，参加开标活动和在苏采云系统规定的时间内对投标文件进行解密。</w:t>
      </w:r>
    </w:p>
    <w:p w14:paraId="2EF69C4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22.2开标仪式由采购代理机构组织。苏采云系统将自动对项目进行开标，并宣布各投标人名称和投标价格。</w:t>
      </w:r>
    </w:p>
    <w:p w14:paraId="2B354AD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22.3投标人在开标过程中涉及到的投标文件解密、开标结果确认等工作，应按照《操作手册》规定执行。</w:t>
      </w:r>
    </w:p>
    <w:p w14:paraId="3BE31D3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22.4投标人如果对开标过程和开标记录有疑义，应当根据《操作手册》规定提出，如苏采云系统中《开标记录表》宣布后5分钟内未提出的，视同认可开标结果。</w:t>
      </w:r>
    </w:p>
    <w:p w14:paraId="366D2E6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23. 评标</w:t>
      </w:r>
    </w:p>
    <w:p w14:paraId="49675A6A">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23.1成立评标委员会。评标委员会由采购人代表和评审专家组成。</w:t>
      </w:r>
    </w:p>
    <w:p w14:paraId="235639B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23.2 评标的方式。本采购项目采用不公开方式评标，评标的依据为招标文件和投标文件。</w:t>
      </w:r>
    </w:p>
    <w:p w14:paraId="00289AAD">
      <w:pPr>
        <w:spacing w:line="360" w:lineRule="auto"/>
        <w:ind w:firstLine="480"/>
        <w:jc w:val="left"/>
        <w:rPr>
          <w:rFonts w:hint="eastAsia" w:ascii="宋体" w:hAnsi="宋体" w:eastAsia="宋体" w:cs="Times New Roman"/>
          <w:bCs/>
          <w:sz w:val="24"/>
          <w:szCs w:val="24"/>
        </w:rPr>
      </w:pPr>
      <w:r>
        <w:rPr>
          <w:rFonts w:hint="eastAsia" w:ascii="宋体" w:hAnsi="宋体" w:eastAsia="宋体" w:cs="Times New Roman"/>
          <w:sz w:val="24"/>
          <w:szCs w:val="24"/>
        </w:rPr>
        <w:t xml:space="preserve">23.3 </w:t>
      </w:r>
      <w:r>
        <w:rPr>
          <w:rFonts w:hint="eastAsia" w:ascii="宋体" w:hAnsi="宋体" w:eastAsia="宋体" w:cs="Times New Roman"/>
          <w:bCs/>
          <w:sz w:val="24"/>
          <w:szCs w:val="24"/>
        </w:rPr>
        <w:t>评标工作程序</w:t>
      </w:r>
    </w:p>
    <w:p w14:paraId="525D8E65">
      <w:pPr>
        <w:pStyle w:val="24"/>
        <w:ind w:firstLine="480"/>
      </w:pPr>
      <w:r>
        <w:rPr>
          <w:rFonts w:hint="eastAsia" w:hAnsi="宋体"/>
          <w:sz w:val="24"/>
          <w:szCs w:val="24"/>
        </w:rPr>
        <w:t>（1）</w:t>
      </w:r>
      <w:r>
        <w:rPr>
          <w:rFonts w:hint="eastAsia" w:hAnsi="宋体"/>
          <w:sz w:val="24"/>
        </w:rPr>
        <w:t>开标结束后，采购人依法对投标人的资格进行审查。</w:t>
      </w:r>
    </w:p>
    <w:p w14:paraId="65A1106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（2）评标委员会负责具体评标事务，并独立履行下列职责：</w:t>
      </w:r>
    </w:p>
    <w:p w14:paraId="1711FF9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①</w:t>
      </w:r>
      <w:r>
        <w:rPr>
          <w:rFonts w:ascii="宋体" w:hAnsi="宋体" w:eastAsia="宋体" w:cs="Times New Roman"/>
          <w:sz w:val="24"/>
          <w:szCs w:val="24"/>
        </w:rPr>
        <w:t>审查、评价投标文件是否符合招标文件的商务、技术等实质性要求；</w:t>
      </w:r>
    </w:p>
    <w:p w14:paraId="09350E8B">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②</w:t>
      </w:r>
      <w:r>
        <w:rPr>
          <w:rFonts w:ascii="宋体" w:hAnsi="宋体" w:eastAsia="宋体" w:cs="Times New Roman"/>
          <w:sz w:val="24"/>
          <w:szCs w:val="24"/>
        </w:rPr>
        <w:t>要求投标人对投标文件有关事项作出澄清或者说明；</w:t>
      </w:r>
    </w:p>
    <w:p w14:paraId="1689453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③</w:t>
      </w:r>
      <w:r>
        <w:rPr>
          <w:rFonts w:ascii="宋体" w:hAnsi="宋体" w:eastAsia="宋体" w:cs="Times New Roman"/>
          <w:sz w:val="24"/>
          <w:szCs w:val="24"/>
        </w:rPr>
        <w:t>对投标文件进行比较和评价</w:t>
      </w:r>
      <w:r>
        <w:rPr>
          <w:rFonts w:hint="eastAsia" w:ascii="宋体" w:hAnsi="宋体" w:eastAsia="宋体" w:cs="Times New Roman"/>
          <w:sz w:val="24"/>
          <w:szCs w:val="24"/>
        </w:rPr>
        <w:t>（对商务、技术及其他内容的比较和评价结束前，评标委员会不得比较和评价投标报价）</w:t>
      </w:r>
      <w:r>
        <w:rPr>
          <w:rFonts w:ascii="宋体" w:hAnsi="宋体" w:eastAsia="宋体" w:cs="Times New Roman"/>
          <w:sz w:val="24"/>
          <w:szCs w:val="24"/>
        </w:rPr>
        <w:t>；</w:t>
      </w:r>
    </w:p>
    <w:p w14:paraId="71F8638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④</w:t>
      </w:r>
      <w:r>
        <w:rPr>
          <w:rFonts w:ascii="宋体" w:hAnsi="宋体" w:eastAsia="宋体" w:cs="Times New Roman"/>
          <w:sz w:val="24"/>
          <w:szCs w:val="24"/>
        </w:rPr>
        <w:t>确定中标候选人名单，以及根据采购人授权直接确定中标人；</w:t>
      </w:r>
    </w:p>
    <w:p w14:paraId="7A18285C">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⑤</w:t>
      </w:r>
      <w:r>
        <w:rPr>
          <w:rFonts w:ascii="宋体" w:hAnsi="宋体" w:eastAsia="宋体" w:cs="Times New Roman"/>
          <w:sz w:val="24"/>
          <w:szCs w:val="24"/>
        </w:rPr>
        <w:t>向采购人、采购代理机构或者有关部门报告评标中发现的违法行为；</w:t>
      </w:r>
    </w:p>
    <w:p w14:paraId="39DCFFE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⑥</w:t>
      </w:r>
      <w:r>
        <w:rPr>
          <w:rFonts w:ascii="宋体" w:hAnsi="宋体" w:eastAsia="宋体" w:cs="Times New Roman"/>
          <w:sz w:val="24"/>
          <w:szCs w:val="24"/>
        </w:rPr>
        <w:t>编写评标报告</w:t>
      </w:r>
      <w:r>
        <w:rPr>
          <w:rFonts w:hint="eastAsia" w:ascii="宋体" w:hAnsi="宋体" w:eastAsia="宋体" w:cs="Times New Roman"/>
          <w:sz w:val="24"/>
          <w:szCs w:val="24"/>
        </w:rPr>
        <w:t>。</w:t>
      </w:r>
    </w:p>
    <w:p w14:paraId="7C4BF87A">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（3）评标委员会对符合资格的投标人的投标文件进行符合性审查，以确定其是否满足招标文件的实质性要求。</w:t>
      </w:r>
    </w:p>
    <w:p w14:paraId="0E5C2266">
      <w:pPr>
        <w:spacing w:line="360" w:lineRule="auto"/>
        <w:ind w:firstLine="482"/>
        <w:jc w:val="left"/>
        <w:rPr>
          <w:rFonts w:hint="eastAsia" w:ascii="宋体" w:hAnsi="宋体" w:eastAsia="宋体" w:cs="Times New Roman"/>
          <w:sz w:val="24"/>
          <w:szCs w:val="24"/>
        </w:rPr>
      </w:pPr>
      <w:r>
        <w:rPr>
          <w:rFonts w:hint="eastAsia" w:ascii="宋体" w:hAnsi="宋体" w:eastAsia="宋体" w:cs="Times New Roman"/>
          <w:b/>
          <w:sz w:val="24"/>
          <w:szCs w:val="24"/>
        </w:rPr>
        <w:t>符合性检查</w:t>
      </w:r>
      <w:r>
        <w:rPr>
          <w:rFonts w:hint="eastAsia" w:ascii="宋体" w:hAnsi="宋体" w:eastAsia="宋体" w:cs="Times New Roman"/>
          <w:sz w:val="24"/>
          <w:szCs w:val="24"/>
        </w:rPr>
        <w:t>：依据招标文件的规定，从投标文件的有效性、完整性和对招标文件的响应程度进行审查，以确定是否对招标文件的实质性要求作出响应。未实质性响应招标文件的投标文件按投标无效处理。</w:t>
      </w:r>
    </w:p>
    <w:p w14:paraId="3204B75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评标委员会首先审查每份投标文件是否实质性响应了招标文件的要求。实质性响应的投标文件是与招标文件要求的全部实质性条款、条件和规格相符</w:t>
      </w:r>
      <w:r>
        <w:rPr>
          <w:rFonts w:ascii="宋体" w:hAnsi="宋体" w:eastAsia="宋体" w:cs="Times New Roman"/>
          <w:sz w:val="24"/>
          <w:szCs w:val="24"/>
        </w:rPr>
        <w:t>且其余非实质性技术及商务条款</w:t>
      </w:r>
      <w:r>
        <w:rPr>
          <w:rFonts w:hint="eastAsia" w:ascii="宋体" w:hAnsi="宋体" w:eastAsia="宋体" w:cs="Times New Roman"/>
          <w:sz w:val="24"/>
          <w:szCs w:val="24"/>
        </w:rPr>
        <w:t>没有重大偏离或保留。</w:t>
      </w:r>
    </w:p>
    <w:p w14:paraId="5470CEF8">
      <w:pPr>
        <w:spacing w:line="360" w:lineRule="auto"/>
        <w:ind w:firstLine="482"/>
        <w:jc w:val="left"/>
        <w:rPr>
          <w:rFonts w:hint="eastAsia" w:ascii="宋体" w:hAnsi="宋体" w:eastAsia="宋体" w:cs="Times New Roman"/>
          <w:sz w:val="24"/>
          <w:szCs w:val="24"/>
        </w:rPr>
      </w:pPr>
      <w:r>
        <w:rPr>
          <w:rFonts w:ascii="宋体" w:hAnsi="宋体" w:eastAsia="宋体" w:cs="Times New Roman"/>
          <w:b/>
          <w:sz w:val="24"/>
          <w:szCs w:val="24"/>
        </w:rPr>
        <w:t>所谓重大偏离或保留</w:t>
      </w:r>
      <w:r>
        <w:rPr>
          <w:rFonts w:ascii="宋体" w:hAnsi="宋体" w:eastAsia="宋体" w:cs="Times New Roman"/>
          <w:sz w:val="24"/>
          <w:szCs w:val="24"/>
        </w:rPr>
        <w:t>，是指与</w:t>
      </w:r>
      <w:r>
        <w:rPr>
          <w:rFonts w:hint="eastAsia" w:ascii="宋体" w:hAnsi="宋体" w:eastAsia="宋体" w:cs="Times New Roman"/>
          <w:sz w:val="24"/>
          <w:szCs w:val="24"/>
        </w:rPr>
        <w:t>招标</w:t>
      </w:r>
      <w:r>
        <w:rPr>
          <w:rFonts w:ascii="宋体" w:hAnsi="宋体" w:eastAsia="宋体" w:cs="Times New Roman"/>
          <w:sz w:val="24"/>
          <w:szCs w:val="24"/>
        </w:rPr>
        <w:t>文件规定的主要技术指标或重要的商务条款或除上述以外的多项指标要求存在负偏离，或者在实质上与</w:t>
      </w:r>
      <w:r>
        <w:rPr>
          <w:rFonts w:hint="eastAsia" w:ascii="宋体" w:hAnsi="宋体" w:eastAsia="宋体" w:cs="Times New Roman"/>
          <w:sz w:val="24"/>
          <w:szCs w:val="24"/>
        </w:rPr>
        <w:t>招标</w:t>
      </w:r>
      <w:r>
        <w:rPr>
          <w:rFonts w:ascii="宋体" w:hAnsi="宋体" w:eastAsia="宋体" w:cs="Times New Roman"/>
          <w:sz w:val="24"/>
          <w:szCs w:val="24"/>
        </w:rPr>
        <w:t>文件不一致，而且限制了合同中</w:t>
      </w:r>
      <w:r>
        <w:rPr>
          <w:rFonts w:hint="eastAsia" w:ascii="宋体" w:hAnsi="宋体" w:eastAsia="宋体" w:cs="Times New Roman"/>
          <w:sz w:val="24"/>
          <w:szCs w:val="24"/>
        </w:rPr>
        <w:t>采购人</w:t>
      </w:r>
      <w:r>
        <w:rPr>
          <w:rFonts w:ascii="宋体" w:hAnsi="宋体" w:eastAsia="宋体" w:cs="Times New Roman"/>
          <w:sz w:val="24"/>
          <w:szCs w:val="24"/>
        </w:rPr>
        <w:t>的权利或</w:t>
      </w:r>
      <w:r>
        <w:rPr>
          <w:rFonts w:hint="eastAsia" w:ascii="宋体" w:hAnsi="宋体" w:eastAsia="宋体" w:cs="Times New Roman"/>
          <w:sz w:val="24"/>
          <w:szCs w:val="24"/>
        </w:rPr>
        <w:t>供应商</w:t>
      </w:r>
      <w:r>
        <w:rPr>
          <w:rFonts w:ascii="宋体" w:hAnsi="宋体" w:eastAsia="宋体" w:cs="Times New Roman"/>
          <w:sz w:val="24"/>
          <w:szCs w:val="24"/>
        </w:rPr>
        <w:t>的义务，保留或给予纠正这些偏离的机会将会对其他实质性响应要求的</w:t>
      </w:r>
      <w:r>
        <w:rPr>
          <w:rFonts w:hint="eastAsia" w:ascii="宋体" w:hAnsi="宋体" w:eastAsia="宋体" w:cs="Times New Roman"/>
          <w:sz w:val="24"/>
          <w:szCs w:val="24"/>
        </w:rPr>
        <w:t>供应商</w:t>
      </w:r>
      <w:r>
        <w:rPr>
          <w:rFonts w:ascii="宋体" w:hAnsi="宋体" w:eastAsia="宋体" w:cs="Times New Roman"/>
          <w:sz w:val="24"/>
          <w:szCs w:val="24"/>
        </w:rPr>
        <w:t>的竞争地位产生不公正的影响。重大偏离的认定需经过</w:t>
      </w:r>
      <w:r>
        <w:rPr>
          <w:rFonts w:hint="eastAsia" w:ascii="宋体" w:hAnsi="宋体" w:eastAsia="宋体" w:cs="Times New Roman"/>
          <w:sz w:val="24"/>
          <w:szCs w:val="24"/>
        </w:rPr>
        <w:t>评标委员会</w:t>
      </w:r>
      <w:r>
        <w:rPr>
          <w:rFonts w:ascii="宋体" w:hAnsi="宋体" w:eastAsia="宋体" w:cs="Times New Roman"/>
          <w:sz w:val="24"/>
          <w:szCs w:val="24"/>
        </w:rPr>
        <w:t>2/3及以上成员的认定。</w:t>
      </w:r>
    </w:p>
    <w:p w14:paraId="503DF28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评标委员会决定投标文件的响应性仅基于投标文件本身的内容，而不寻求外部证据。</w:t>
      </w:r>
    </w:p>
    <w:p w14:paraId="62DCFD3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评标委员会将拒绝被确定为非实质性响应的投标人，投标人不能通过修正或撤销不符之处而使其投标成为实质性响应的投标。</w:t>
      </w:r>
    </w:p>
    <w:p w14:paraId="41E2D95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澄清有关问题。对投标文件中含义不明确、同类问题表述不一致或者有明显文字和计算错误的内容，评标委员会应当以书面形式（从评标系统发起）要求投标人作出必要的澄清、说明或者补正。投标人的澄清、说明或者补正采用书面形式，通过江苏政府采购网平台网站作出，使用CA数字证书签章后提交，并不得超出投标文件的范围或者改变投标文件的实质性内容。投标人的澄清文件是投标文件的组成部分。</w:t>
      </w:r>
    </w:p>
    <w:p w14:paraId="217E8B6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23.4 评标过程的保密</w:t>
      </w:r>
    </w:p>
    <w:p w14:paraId="2EB8A07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5B22A81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24. 投标文件报价出现前后不一致的，按照下列规定修正：</w:t>
      </w:r>
    </w:p>
    <w:p w14:paraId="1A1985D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投标文件中开标一览表</w:t>
      </w:r>
      <w:r>
        <w:rPr>
          <w:rFonts w:hint="eastAsia" w:ascii="宋体" w:hAnsi="宋体" w:eastAsia="宋体" w:cs="Times New Roman"/>
          <w:sz w:val="24"/>
          <w:szCs w:val="24"/>
        </w:rPr>
        <w:t>（</w:t>
      </w:r>
      <w:r>
        <w:rPr>
          <w:rFonts w:ascii="宋体" w:hAnsi="宋体" w:eastAsia="宋体" w:cs="Times New Roman"/>
          <w:sz w:val="24"/>
          <w:szCs w:val="24"/>
        </w:rPr>
        <w:t>报价表</w:t>
      </w:r>
      <w:r>
        <w:rPr>
          <w:rFonts w:hint="eastAsia" w:ascii="宋体" w:hAnsi="宋体" w:eastAsia="宋体" w:cs="Times New Roman"/>
          <w:sz w:val="24"/>
          <w:szCs w:val="24"/>
        </w:rPr>
        <w:t>）</w:t>
      </w:r>
      <w:r>
        <w:rPr>
          <w:rFonts w:ascii="宋体" w:hAnsi="宋体" w:eastAsia="宋体" w:cs="Times New Roman"/>
          <w:sz w:val="24"/>
          <w:szCs w:val="24"/>
        </w:rPr>
        <w:t>内容与投标文件中相应内容不一致的，以开标一览表</w:t>
      </w:r>
      <w:r>
        <w:rPr>
          <w:rFonts w:hint="eastAsia" w:ascii="宋体" w:hAnsi="宋体" w:eastAsia="宋体" w:cs="Times New Roman"/>
          <w:sz w:val="24"/>
          <w:szCs w:val="24"/>
        </w:rPr>
        <w:t>（</w:t>
      </w:r>
      <w:r>
        <w:rPr>
          <w:rFonts w:ascii="宋体" w:hAnsi="宋体" w:eastAsia="宋体" w:cs="Times New Roman"/>
          <w:sz w:val="24"/>
          <w:szCs w:val="24"/>
        </w:rPr>
        <w:t>报价表</w:t>
      </w:r>
      <w:r>
        <w:rPr>
          <w:rFonts w:hint="eastAsia" w:ascii="宋体" w:hAnsi="宋体" w:eastAsia="宋体" w:cs="Times New Roman"/>
          <w:sz w:val="24"/>
          <w:szCs w:val="24"/>
        </w:rPr>
        <w:t>）</w:t>
      </w:r>
      <w:r>
        <w:rPr>
          <w:rFonts w:ascii="宋体" w:hAnsi="宋体" w:eastAsia="宋体" w:cs="Times New Roman"/>
          <w:sz w:val="24"/>
          <w:szCs w:val="24"/>
        </w:rPr>
        <w:t>为准；</w:t>
      </w:r>
    </w:p>
    <w:p w14:paraId="7B15557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大写金额和小写金额不一致的，以大写金额为准；</w:t>
      </w:r>
    </w:p>
    <w:p w14:paraId="7CD61F72">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单价金额小数点或者百分比有明显错位的，以开标一览表的总价为准，并修改单价；</w:t>
      </w:r>
    </w:p>
    <w:p w14:paraId="73237F0C">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总价金额与按单价汇总金额不一致的，以单价金额计算结果为准。</w:t>
      </w:r>
    </w:p>
    <w:p w14:paraId="22BA3758">
      <w:pPr>
        <w:spacing w:line="360" w:lineRule="auto"/>
        <w:ind w:firstLine="480"/>
        <w:jc w:val="left"/>
        <w:rPr>
          <w:rFonts w:hint="eastAsia" w:ascii="宋体" w:hAnsi="宋体" w:eastAsia="宋体" w:cs="Times New Roman"/>
          <w:sz w:val="24"/>
          <w:szCs w:val="24"/>
        </w:rPr>
      </w:pPr>
      <w:r>
        <w:rPr>
          <w:rFonts w:ascii="宋体" w:hAnsi="宋体" w:eastAsia="宋体" w:cs="Times New Roman"/>
          <w:sz w:val="24"/>
          <w:szCs w:val="24"/>
        </w:rPr>
        <w:t>同时出现两种以上不一致的，按照前款规定的顺序修正。修正后的报价经投标人确认后产生约束力，投标人不确认的，其投标无效。</w:t>
      </w:r>
    </w:p>
    <w:p w14:paraId="5A667BE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25. </w:t>
      </w:r>
      <w:r>
        <w:rPr>
          <w:rFonts w:hint="eastAsia" w:ascii="宋体" w:hAnsi="宋体" w:eastAsia="宋体" w:cs="Times New Roman"/>
          <w:b/>
          <w:sz w:val="24"/>
          <w:szCs w:val="24"/>
        </w:rPr>
        <w:t>投标人有下列情况之一的，投标无效：</w:t>
      </w:r>
    </w:p>
    <w:p w14:paraId="406C3673">
      <w:pPr>
        <w:spacing w:line="360" w:lineRule="auto"/>
        <w:ind w:firstLine="480"/>
        <w:jc w:val="left"/>
        <w:rPr>
          <w:rFonts w:hint="eastAsia" w:ascii="宋体" w:hAnsi="宋体" w:eastAsia="宋体" w:cs="Times New Roman"/>
          <w:sz w:val="24"/>
          <w:szCs w:val="24"/>
          <w:lang w:eastAsia="zh-CN"/>
        </w:rPr>
      </w:pPr>
      <w:r>
        <w:rPr>
          <w:rFonts w:hint="eastAsia" w:ascii="宋体" w:hAnsi="宋体" w:eastAsia="宋体" w:cs="Times New Roman"/>
          <w:sz w:val="24"/>
          <w:szCs w:val="24"/>
        </w:rPr>
        <w:t>（1）投标人在苏采云系统规定的时间内未成功解密电子投标文件的</w:t>
      </w:r>
      <w:r>
        <w:rPr>
          <w:rFonts w:hint="eastAsia" w:ascii="宋体" w:hAnsi="宋体" w:eastAsia="宋体" w:cs="Times New Roman"/>
          <w:sz w:val="24"/>
          <w:szCs w:val="24"/>
          <w:lang w:eastAsia="zh-CN"/>
        </w:rPr>
        <w:t>；</w:t>
      </w:r>
    </w:p>
    <w:p w14:paraId="44B1237B">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（2）投标文件未按招标文件要求编制、签署、盖章的；</w:t>
      </w:r>
    </w:p>
    <w:p w14:paraId="048B1ADC">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（3）不具备招标文件中规定的资格要求的；</w:t>
      </w:r>
    </w:p>
    <w:p w14:paraId="60D8718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（4）报价超过招标文件中规定的预算金额或者最高限价的；</w:t>
      </w:r>
    </w:p>
    <w:p w14:paraId="254AC91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（5）投标文件含有采购人不能接受的附加条件的；</w:t>
      </w:r>
    </w:p>
    <w:p w14:paraId="3C123C08">
      <w:pPr>
        <w:pStyle w:val="24"/>
        <w:ind w:firstLine="420"/>
      </w:pPr>
      <w:r>
        <w:rPr>
          <w:rFonts w:hint="eastAsia"/>
        </w:rPr>
        <w:t xml:space="preserve"> （6）</w:t>
      </w:r>
      <w:r>
        <w:rPr>
          <w:rFonts w:hint="eastAsia" w:hAnsi="宋体"/>
          <w:sz w:val="24"/>
        </w:rPr>
        <w:t>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5B77F7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（7）法律、法规和招标文件规定的其他无效情形。</w:t>
      </w:r>
    </w:p>
    <w:p w14:paraId="697C3D17">
      <w:pPr>
        <w:spacing w:line="360" w:lineRule="auto"/>
        <w:ind w:firstLine="480"/>
        <w:jc w:val="left"/>
        <w:rPr>
          <w:rFonts w:hint="eastAsia" w:ascii="宋体" w:hAnsi="宋体" w:eastAsia="宋体" w:cs="Times New Roman"/>
          <w:b/>
          <w:sz w:val="24"/>
          <w:szCs w:val="24"/>
        </w:rPr>
      </w:pPr>
      <w:r>
        <w:rPr>
          <w:rFonts w:hint="eastAsia" w:ascii="宋体" w:hAnsi="宋体" w:eastAsia="宋体" w:cs="Times New Roman"/>
          <w:sz w:val="24"/>
          <w:szCs w:val="24"/>
        </w:rPr>
        <w:t xml:space="preserve">26. </w:t>
      </w:r>
      <w:r>
        <w:rPr>
          <w:rFonts w:ascii="宋体" w:hAnsi="宋体" w:eastAsia="宋体" w:cs="Times New Roman"/>
          <w:b/>
          <w:sz w:val="24"/>
          <w:szCs w:val="24"/>
        </w:rPr>
        <w:t>有下列情形之一的，视为投标人串通投标，其投标无效：</w:t>
      </w:r>
    </w:p>
    <w:p w14:paraId="1177B18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不同投标人的投标文件由同一单位或者个人编制；</w:t>
      </w:r>
    </w:p>
    <w:p w14:paraId="07BFB43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不同投标人委托同一单位或者个人办理投标事宜；</w:t>
      </w:r>
    </w:p>
    <w:p w14:paraId="50E0016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不同投标人的投标文件载明的项目管理成员或者联系人员为同一人；</w:t>
      </w:r>
    </w:p>
    <w:p w14:paraId="2B2B70B9">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不同投标人的投标文件异常一致或者投标报价呈规律性差异；</w:t>
      </w:r>
    </w:p>
    <w:p w14:paraId="1B5EA42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不同投标人的投标文件相互混装；</w:t>
      </w:r>
    </w:p>
    <w:p w14:paraId="2EDF40E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不同投标人的投标保证金从同一单位或者个人的账户转出。</w:t>
      </w:r>
    </w:p>
    <w:p w14:paraId="272B203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27. </w:t>
      </w:r>
      <w:r>
        <w:rPr>
          <w:rFonts w:hint="eastAsia" w:ascii="宋体" w:hAnsi="宋体" w:eastAsia="宋体" w:cs="Times New Roman"/>
          <w:b/>
          <w:sz w:val="24"/>
          <w:szCs w:val="24"/>
        </w:rPr>
        <w:t>在招标采购中，出现下列情形之一的，应予废标：</w:t>
      </w:r>
    </w:p>
    <w:p w14:paraId="0A87C6AE">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（1）符合专业条件的供应商或者对</w:t>
      </w:r>
      <w:bookmarkStart w:id="13" w:name="OLE_LINK4"/>
      <w:r>
        <w:rPr>
          <w:rFonts w:hint="eastAsia" w:ascii="宋体" w:hAnsi="宋体" w:eastAsia="宋体" w:cs="Times New Roman"/>
          <w:sz w:val="24"/>
          <w:szCs w:val="24"/>
        </w:rPr>
        <w:t>招标文件作实质响应的供应商不足3家的</w:t>
      </w:r>
      <w:bookmarkEnd w:id="13"/>
      <w:r>
        <w:rPr>
          <w:rFonts w:hint="eastAsia" w:ascii="宋体" w:hAnsi="宋体" w:eastAsia="宋体" w:cs="Times New Roman"/>
          <w:sz w:val="24"/>
          <w:szCs w:val="24"/>
        </w:rPr>
        <w:t>；</w:t>
      </w:r>
    </w:p>
    <w:p w14:paraId="2152F31B">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（2）出现影响采购公正的违法、违规行为的；</w:t>
      </w:r>
    </w:p>
    <w:p w14:paraId="126DD392">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（3）投标人的报价均超过了采购预算（最高限价），采购人不能支付的；</w:t>
      </w:r>
    </w:p>
    <w:p w14:paraId="5A3A2A3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（4）因重大变故，采购任务取消的。</w:t>
      </w:r>
    </w:p>
    <w:p w14:paraId="1545785A">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28. 评标原则、评标办法和特殊情况处理</w:t>
      </w:r>
    </w:p>
    <w:p w14:paraId="3C3A9EB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28.1 评标原则</w:t>
      </w:r>
    </w:p>
    <w:p w14:paraId="368C672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评标委员会应当公平、公正、客观，不带任何倾向性和启发性；不得向外界透露任何与评标有关的内容；任何单位和个人不得干扰、影响评标的正常进行；评标委员会及有关工作人员不得私下与供应商接触。</w:t>
      </w:r>
    </w:p>
    <w:p w14:paraId="5ACCB2C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28.2 评标办法</w:t>
      </w:r>
    </w:p>
    <w:p w14:paraId="372704A4">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详见第七章“评标办法”。</w:t>
      </w:r>
    </w:p>
    <w:p w14:paraId="4A4FE981">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六、中标结果</w:t>
      </w:r>
    </w:p>
    <w:p w14:paraId="493CD2E2">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29. 中标人的确定</w:t>
      </w:r>
    </w:p>
    <w:p w14:paraId="6C7C8B7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29.1 评标委员会按照评审得分由高到低顺序推荐3名中标候选人。</w:t>
      </w:r>
    </w:p>
    <w:p w14:paraId="3B60BDD4">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29.2 根据采购人的授权，由评标委员会直接确定排名第一的中标候选人为中标人。</w:t>
      </w:r>
    </w:p>
    <w:p w14:paraId="0215B98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30. 中标通知书</w:t>
      </w:r>
    </w:p>
    <w:p w14:paraId="3E59E4F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30.1 中标人确定后，中标结果由采购代理机构公告，中标公告期限为1个工作日。</w:t>
      </w:r>
    </w:p>
    <w:p w14:paraId="5514500D">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30.2 在公告中标结果的同时，由采购代理机构向中标人发出中标通知书，</w:t>
      </w:r>
      <w:r>
        <w:rPr>
          <w:rFonts w:hint="eastAsia" w:ascii="宋体" w:hAnsi="宋体" w:eastAsia="宋体" w:cs="Times New Roman"/>
          <w:b/>
          <w:sz w:val="24"/>
          <w:szCs w:val="24"/>
        </w:rPr>
        <w:t>中标供应商在领取中标通知书时，需提供五份与电子投标文件一致的纸质打印投标文件</w:t>
      </w:r>
      <w:r>
        <w:rPr>
          <w:rFonts w:hint="eastAsia" w:ascii="宋体" w:hAnsi="宋体" w:eastAsia="宋体" w:cs="Times New Roman"/>
          <w:sz w:val="24"/>
          <w:szCs w:val="24"/>
        </w:rPr>
        <w:t>；对未通过资格审查的投标人，应当告知其未通过的原因；采用综合评分法评审的，还应当告知未中标人本人的评审得分与排序。</w:t>
      </w:r>
    </w:p>
    <w:p w14:paraId="248A4BA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30.3 采购代理机构无义务向未中标投标人解释落标原因和退回投标文件。</w:t>
      </w:r>
    </w:p>
    <w:p w14:paraId="4CD10343">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31. 签订合同</w:t>
      </w:r>
    </w:p>
    <w:p w14:paraId="785DE120">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31.1 中标人收到中标通知书后，应当按招标文件、投标文件及有关澄清承诺书的要求与采购人在三十日内签订合同，并送交采购代理机构见证，否则，财政部门将延期支付合同款，直至停止采购资金计划执行。采购人在采购合同签订之日起七个工作日内送一份至政府采购监督管理部门备案。</w:t>
      </w:r>
    </w:p>
    <w:p w14:paraId="7012BA65">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31.2 中标人因不可抗力或者自身原因不能履行政府采购合同的，按政府采购有关法律法规执行。</w:t>
      </w:r>
    </w:p>
    <w:p w14:paraId="482D7EBC">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32.履约验收</w:t>
      </w:r>
    </w:p>
    <w:p w14:paraId="3451F3F1">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32.1 采购人组织对供应商履约的验收。对于采购人和使用人分离的采购项目,应当邀请实际使用人参与验收。采购人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14:paraId="7BAEC26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32.2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57748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32.3 验收合格的项目，采购人将根据采购合同的约定及时向供应商支付采购资金、退还履约保证金。验收不合格的项目，供应商须承担由此发生的一切损失和费用，并接受相应的处理。采购合同的履行、违约责任和解决争议的方式等适用《中华人民共和国民法典》。供应商在履约过程中有政府采购法律法规规定的违法违规情形的，采购人应当及时报告同级财政部门。</w:t>
      </w:r>
    </w:p>
    <w:p w14:paraId="2C99B072">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32.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中标人可自愿使用履约保函（保险）代替交纳履约保证金，详情请见《关于在全省政府采购领域推行电子履约保函（保险）的通知》（苏财购〔2023〕150号）规定。</w:t>
      </w:r>
    </w:p>
    <w:p w14:paraId="47EB8DAC">
      <w:pPr>
        <w:spacing w:line="360" w:lineRule="auto"/>
        <w:ind w:firstLine="480"/>
        <w:jc w:val="left"/>
        <w:rPr>
          <w:rFonts w:hint="eastAsia"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rPr>
        <w:t xml:space="preserve">. </w:t>
      </w:r>
      <w:r>
        <w:rPr>
          <w:rFonts w:ascii="宋体" w:hAnsi="宋体" w:eastAsia="宋体" w:cs="Times New Roman"/>
          <w:sz w:val="24"/>
          <w:szCs w:val="24"/>
        </w:rPr>
        <w:t>政府采购履约资金扶持政策</w:t>
      </w:r>
    </w:p>
    <w:p w14:paraId="5737A5B0">
      <w:pPr>
        <w:spacing w:line="360" w:lineRule="auto"/>
        <w:ind w:firstLine="480"/>
        <w:jc w:val="left"/>
        <w:rPr>
          <w:rFonts w:hint="eastAsia" w:ascii="宋体" w:hAnsi="宋体" w:eastAsia="宋体" w:cs="Times New Roman"/>
          <w:sz w:val="24"/>
          <w:szCs w:val="24"/>
        </w:rPr>
      </w:pPr>
      <w:r>
        <w:rPr>
          <w:rFonts w:ascii="宋体" w:hAnsi="宋体" w:eastAsia="宋体" w:cs="Times New Roman"/>
          <w:sz w:val="24"/>
          <w:szCs w:val="24"/>
        </w:rPr>
        <w:t>33.1 中标人可凭政府采购合同办理融资贷款，详情请见江苏政府采购网“政采贷”专栏。</w:t>
      </w:r>
    </w:p>
    <w:p w14:paraId="60CEAA9D">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七、其他事项</w:t>
      </w:r>
    </w:p>
    <w:p w14:paraId="0BE0A16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34. 采购代理服务费</w:t>
      </w:r>
    </w:p>
    <w:p w14:paraId="7DB8BBB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34.1本项目的招标代理服务费按苏招协[2022]002号文规定的6</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%收取费用，由中标人在领取中标通知书时一次性支付；以上投标单位须将此部分费用综合考虑在投标报价中，不得单列。评审费按实际发生计取由招标人支付。</w:t>
      </w:r>
    </w:p>
    <w:p w14:paraId="57E55309">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35. 解释权</w:t>
      </w:r>
    </w:p>
    <w:p w14:paraId="0E0CB020">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35.1 本招标文件根据《中华人民共和国政府采购法》《中华人民共和国政府采购法实施条例》《政府采购货物和服务招标投标管理办法》及相关法律法规编制，解释权归采购代理机构。</w:t>
      </w:r>
    </w:p>
    <w:p w14:paraId="3FC6B480">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36. 有关事宜</w:t>
      </w:r>
    </w:p>
    <w:p w14:paraId="620CF8F2">
      <w:pPr>
        <w:spacing w:line="360" w:lineRule="auto"/>
        <w:ind w:firstLine="480"/>
        <w:rPr>
          <w:rFonts w:hint="eastAsia" w:ascii="Times New Roman" w:hAnsi="宋体" w:eastAsia="宋体" w:cs="Times New Roman"/>
          <w:sz w:val="24"/>
          <w:szCs w:val="24"/>
        </w:rPr>
      </w:pPr>
      <w:r>
        <w:rPr>
          <w:rFonts w:hint="eastAsia" w:ascii="Times New Roman" w:hAnsi="Times New Roman" w:eastAsia="宋体" w:cs="Times New Roman"/>
          <w:sz w:val="24"/>
          <w:szCs w:val="24"/>
        </w:rPr>
        <w:t>36.1 所有与本招标文件有关的函电和通讯地址见第一章“投标邀请”。</w:t>
      </w:r>
    </w:p>
    <w:p w14:paraId="3AEA7788">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八、政策功能</w:t>
      </w:r>
    </w:p>
    <w:p w14:paraId="1C4F7703">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37.本项目执行财政部、工业和信息化部关于印发《政府采购促进中小企业发展管理办法》的通知（财库[2020]46号），本项目专门面向中小企业采购。</w:t>
      </w:r>
    </w:p>
    <w:p w14:paraId="4A04608D">
      <w:pPr>
        <w:tabs>
          <w:tab w:val="left" w:pos="900"/>
        </w:tabs>
        <w:spacing w:line="480" w:lineRule="exact"/>
        <w:ind w:firstLine="480" w:firstLineChars="200"/>
        <w:jc w:val="left"/>
        <w:rPr>
          <w:rFonts w:hint="eastAsia" w:ascii="宋体" w:hAnsi="宋体" w:cs="宋体"/>
          <w:sz w:val="24"/>
        </w:rPr>
      </w:pPr>
      <w:r>
        <w:rPr>
          <w:rFonts w:hint="eastAsia" w:ascii="宋体" w:hAnsi="宋体" w:eastAsia="宋体" w:cs="Times New Roman"/>
          <w:sz w:val="24"/>
          <w:szCs w:val="24"/>
        </w:rPr>
        <w:t>38.（1）</w:t>
      </w:r>
      <w:r>
        <w:rPr>
          <w:rFonts w:hint="eastAsia" w:ascii="宋体" w:hAnsi="宋体" w:cs="宋体"/>
          <w:sz w:val="24"/>
        </w:rPr>
        <w:t>根据财政部、工业和信息化部关于印发《政府采购促进中小企业发展管理办 法》的通知（财库〔2020〕46 号，以下简称《办法》）规定，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货物由中小企业制造，即货物由中小企业生产且使用该中小企业商号或者注册商标的享受中小企业扶持政策。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分标准确定的中小企业，不得按《通知》规定声明为中小企业，也不适用《办法》。</w:t>
      </w:r>
    </w:p>
    <w:p w14:paraId="2AA8DBE8">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本项目执行财政部、工业和信息化部关于印发《政府采购促进中小企业发展管理办法》的通知（财库〔2020〕46号）、《关于印发中小企业划型标准规定的通知》（工信部联企业〔2011〕300号）、《财政部司法部关于政府采购支持监狱企业发展有关问题的通知》（财库〔2014〕68号）、《关于促进残疾人就业政府采购政策的通知》（财库〔2017〕141号）的规定。</w:t>
      </w:r>
    </w:p>
    <w:p w14:paraId="49408B97">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（2）参加本项目政府采购活动的供应商应当提供的材料：</w:t>
      </w:r>
    </w:p>
    <w:p w14:paraId="710556C3">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供应商提供的货物全部由小微企业制造的，提供《中小微企业声明函》（详见“投标文件格式”）。</w:t>
      </w:r>
    </w:p>
    <w:p w14:paraId="4C4C028F">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供应商为残疾人福利性单位且提供的货物全部由残疾人福利性单位制造的，符合财库〔2017〕141号文件规定条件的残疾人福利性单位视同小型、微型企业，提供《残疾人福利性单位声明函》（详见“投标文件格式”）。</w:t>
      </w:r>
    </w:p>
    <w:p w14:paraId="04088C9C">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供应商为监狱企业或提供的货物由监狱企业制造的，提供省级以上监狱管理局、戒毒管理局（含新疆生产建设兵团）出具的属于监狱企业的证明文件。</w:t>
      </w:r>
    </w:p>
    <w:p w14:paraId="7BC2A61B">
      <w:pPr>
        <w:tabs>
          <w:tab w:val="left" w:pos="900"/>
        </w:tabs>
        <w:spacing w:line="480" w:lineRule="exact"/>
        <w:ind w:firstLine="480" w:firstLineChars="200"/>
        <w:jc w:val="left"/>
        <w:rPr>
          <w:rFonts w:hint="eastAsia" w:ascii="宋体" w:hAnsi="宋体" w:cs="宋体"/>
          <w:sz w:val="24"/>
        </w:rPr>
      </w:pPr>
      <w:r>
        <w:rPr>
          <w:rFonts w:hint="eastAsia" w:ascii="宋体" w:hAnsi="宋体" w:cs="宋体"/>
          <w:sz w:val="24"/>
        </w:rPr>
        <w:t>根据《财政部司法部关于政府采购支持监狱企业发展有关问题的通知》（财库〔2014〕68号），监狱企业视同小微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政府采购活动时，提供由省级以上监狱管理局、戒毒管理局（含新疆生产建设兵团）出具的属于监狱企业的证明文件。</w:t>
      </w:r>
    </w:p>
    <w:p w14:paraId="4FAA0FFB">
      <w:pPr>
        <w:spacing w:line="360" w:lineRule="auto"/>
        <w:rPr>
          <w:rFonts w:hint="eastAsia" w:ascii="宋体" w:hAnsi="宋体" w:eastAsia="宋体" w:cs="Times New Roman"/>
          <w:sz w:val="24"/>
          <w:szCs w:val="24"/>
        </w:rPr>
      </w:pPr>
    </w:p>
    <w:p w14:paraId="60FFC7EA">
      <w:pPr>
        <w:keepNext/>
        <w:tabs>
          <w:tab w:val="left" w:pos="1021"/>
        </w:tabs>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九、支持绿色发展</w:t>
      </w:r>
    </w:p>
    <w:p w14:paraId="7D25F1DF">
      <w:pPr>
        <w:spacing w:line="360" w:lineRule="auto"/>
        <w:jc w:val="left"/>
        <w:rPr>
          <w:rFonts w:ascii="Times New Roman" w:hAnsi="Times New Roman" w:eastAsia="宋体" w:cs="宋体"/>
          <w:sz w:val="24"/>
          <w:szCs w:val="24"/>
        </w:rPr>
      </w:pPr>
      <w:r>
        <w:rPr>
          <w:rFonts w:hint="eastAsia" w:ascii="Times New Roman" w:hAnsi="Times New Roman" w:eastAsia="宋体" w:cs="宋体"/>
          <w:sz w:val="24"/>
          <w:szCs w:val="24"/>
        </w:rPr>
        <w:t xml:space="preserve">    39.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4FB40E2C">
      <w:pPr>
        <w:pStyle w:val="24"/>
        <w:ind w:firstLine="480"/>
        <w:rPr>
          <w:rFonts w:ascii="Times New Roman" w:hAnsi="Times New Roman"/>
          <w:sz w:val="24"/>
          <w:szCs w:val="24"/>
        </w:rPr>
      </w:pPr>
      <w:r>
        <w:rPr>
          <w:rFonts w:hint="eastAsia" w:ascii="Times New Roman" w:hAnsi="Times New Roman"/>
          <w:sz w:val="24"/>
          <w:szCs w:val="24"/>
        </w:rPr>
        <w:t>40.本项目执行《关于印发环境标志产品政府采购品目清单的通知》 (财库 (2019) 18号)、《关于印发节能产品政府采购品目清单的通知》 (财库 (2019) 19 号) 等有关规定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AE53AC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41.为推广使用低挥发性有机化合物产品，根据《关于加强政府绿色采购有关事项的通知》要求，在政府采购项目中涉及涂料、胶黏剂、油墨、清洗剂等挥发性有机物产品的，属于强制性标准的，供应商应执行国家和江苏省VOCs含量限制标准。</w:t>
      </w:r>
    </w:p>
    <w:p w14:paraId="701ADB8C"/>
    <w:p w14:paraId="4EC109E9">
      <w:pPr>
        <w:jc w:val="center"/>
        <w:outlineLvl w:val="0"/>
      </w:pPr>
      <w:r>
        <w:rPr>
          <w:rFonts w:ascii="宋体" w:hAnsi="Times New Roman" w:eastAsia="黑体" w:cs="Times New Roman"/>
          <w:b/>
          <w:sz w:val="36"/>
          <w:szCs w:val="20"/>
        </w:rPr>
        <w:br w:type="page" w:clear="all"/>
      </w:r>
      <w:bookmarkStart w:id="14" w:name="_Toc139967211"/>
      <w:bookmarkStart w:id="15" w:name="_Toc139966427"/>
      <w:bookmarkStart w:id="16" w:name="_Toc4092"/>
      <w:bookmarkStart w:id="17" w:name="_Toc513622228"/>
      <w:r>
        <w:rPr>
          <w:rFonts w:hint="eastAsia" w:ascii="Times New Roman" w:hAnsi="宋体" w:eastAsia="黑体" w:cs="Times New Roman"/>
          <w:sz w:val="36"/>
          <w:szCs w:val="20"/>
        </w:rPr>
        <w:t>第三章  政府采购合同格式</w:t>
      </w:r>
      <w:bookmarkEnd w:id="14"/>
      <w:bookmarkEnd w:id="15"/>
      <w:bookmarkEnd w:id="16"/>
      <w:bookmarkEnd w:id="17"/>
    </w:p>
    <w:p w14:paraId="0CCE4093">
      <w:pPr>
        <w:spacing w:line="360" w:lineRule="auto"/>
        <w:ind w:firstLine="880"/>
        <w:rPr>
          <w:rFonts w:hint="eastAsia" w:ascii="宋体" w:hAnsi="宋体" w:eastAsia="宋体" w:cs="Times New Roman"/>
          <w:sz w:val="44"/>
          <w:szCs w:val="24"/>
        </w:rPr>
      </w:pPr>
    </w:p>
    <w:p w14:paraId="24CEA683">
      <w:pPr>
        <w:spacing w:line="360" w:lineRule="auto"/>
        <w:ind w:firstLine="880"/>
        <w:rPr>
          <w:rFonts w:hint="eastAsia" w:ascii="宋体" w:hAnsi="宋体" w:eastAsia="宋体" w:cs="Times New Roman"/>
          <w:sz w:val="44"/>
          <w:szCs w:val="24"/>
        </w:rPr>
      </w:pPr>
    </w:p>
    <w:p w14:paraId="03D5B49E">
      <w:pPr>
        <w:spacing w:line="360" w:lineRule="auto"/>
        <w:ind w:firstLine="2078"/>
        <w:rPr>
          <w:rFonts w:hint="eastAsia" w:ascii="宋体" w:hAnsi="宋体" w:eastAsia="宋体" w:cs="Times New Roman"/>
          <w:b/>
          <w:bCs/>
          <w:sz w:val="52"/>
          <w:szCs w:val="24"/>
        </w:rPr>
      </w:pPr>
      <w:r>
        <w:rPr>
          <w:rFonts w:hint="eastAsia" w:ascii="宋体" w:hAnsi="宋体" w:eastAsia="宋体" w:cs="Times New Roman"/>
          <w:b/>
          <w:bCs/>
          <w:sz w:val="52"/>
          <w:szCs w:val="24"/>
        </w:rPr>
        <w:t>连 云 港 市 政 府 采 购</w:t>
      </w:r>
    </w:p>
    <w:p w14:paraId="22345819">
      <w:pPr>
        <w:spacing w:line="360" w:lineRule="auto"/>
        <w:ind w:firstLine="420"/>
        <w:rPr>
          <w:rFonts w:hint="eastAsia" w:ascii="宋体" w:hAnsi="宋体" w:eastAsia="宋体" w:cs="Times New Roman"/>
          <w:szCs w:val="24"/>
        </w:rPr>
      </w:pPr>
    </w:p>
    <w:p w14:paraId="14EDDD0A">
      <w:pPr>
        <w:spacing w:line="360" w:lineRule="auto"/>
        <w:ind w:firstLine="883"/>
        <w:jc w:val="center"/>
        <w:rPr>
          <w:rFonts w:hint="eastAsia" w:ascii="宋体" w:hAnsi="宋体" w:eastAsia="宋体" w:cs="Times New Roman"/>
          <w:b/>
          <w:bCs/>
          <w:sz w:val="44"/>
          <w:szCs w:val="24"/>
        </w:rPr>
      </w:pPr>
      <w:r>
        <w:rPr>
          <w:rFonts w:hint="eastAsia" w:ascii="宋体" w:hAnsi="宋体" w:eastAsia="宋体" w:cs="Times New Roman"/>
          <w:b/>
          <w:bCs/>
          <w:sz w:val="44"/>
          <w:szCs w:val="24"/>
          <w:u w:val="single"/>
        </w:rPr>
        <w:t xml:space="preserve">                    </w:t>
      </w:r>
      <w:r>
        <w:rPr>
          <w:rFonts w:hint="eastAsia" w:ascii="宋体" w:hAnsi="宋体" w:eastAsia="宋体" w:cs="Times New Roman"/>
          <w:b/>
          <w:bCs/>
          <w:sz w:val="44"/>
          <w:szCs w:val="24"/>
        </w:rPr>
        <w:t>合同</w:t>
      </w:r>
    </w:p>
    <w:p w14:paraId="11C75FB9">
      <w:pPr>
        <w:spacing w:line="360" w:lineRule="auto"/>
        <w:ind w:firstLine="420"/>
        <w:rPr>
          <w:rFonts w:hint="eastAsia" w:ascii="宋体" w:hAnsi="宋体" w:eastAsia="宋体" w:cs="Times New Roman"/>
          <w:szCs w:val="24"/>
        </w:rPr>
      </w:pPr>
    </w:p>
    <w:p w14:paraId="3AF8D22F">
      <w:pPr>
        <w:spacing w:line="360" w:lineRule="auto"/>
        <w:ind w:firstLine="3507"/>
        <w:rPr>
          <w:rFonts w:hint="eastAsia" w:ascii="宋体" w:hAnsi="宋体" w:eastAsia="宋体" w:cs="Times New Roman"/>
          <w:b/>
          <w:bCs/>
          <w:sz w:val="44"/>
          <w:szCs w:val="24"/>
        </w:rPr>
      </w:pPr>
    </w:p>
    <w:p w14:paraId="733567F7">
      <w:pPr>
        <w:spacing w:line="360" w:lineRule="auto"/>
        <w:ind w:firstLine="3507"/>
        <w:rPr>
          <w:rFonts w:hint="eastAsia" w:ascii="宋体" w:hAnsi="宋体" w:eastAsia="宋体" w:cs="Times New Roman"/>
          <w:b/>
          <w:bCs/>
          <w:sz w:val="44"/>
          <w:szCs w:val="24"/>
        </w:rPr>
      </w:pPr>
    </w:p>
    <w:p w14:paraId="36869454">
      <w:pPr>
        <w:spacing w:line="360" w:lineRule="auto"/>
        <w:ind w:firstLine="1802"/>
        <w:rPr>
          <w:rFonts w:hint="eastAsia" w:ascii="宋体" w:hAnsi="宋体" w:eastAsia="宋体" w:cs="Times New Roman"/>
          <w:sz w:val="44"/>
          <w:szCs w:val="24"/>
        </w:rPr>
      </w:pPr>
      <w:r>
        <w:rPr>
          <w:rFonts w:hint="eastAsia" w:ascii="宋体" w:hAnsi="宋体" w:eastAsia="宋体" w:cs="Times New Roman"/>
          <w:b/>
          <w:bCs/>
          <w:sz w:val="44"/>
          <w:szCs w:val="44"/>
        </w:rPr>
        <w:t>合同编号：</w:t>
      </w:r>
    </w:p>
    <w:p w14:paraId="4FBCE7EA">
      <w:pPr>
        <w:spacing w:line="360" w:lineRule="auto"/>
        <w:ind w:firstLine="880"/>
        <w:rPr>
          <w:rFonts w:hint="eastAsia" w:ascii="宋体" w:hAnsi="宋体" w:eastAsia="宋体" w:cs="Times New Roman"/>
          <w:sz w:val="44"/>
          <w:szCs w:val="24"/>
        </w:rPr>
      </w:pPr>
    </w:p>
    <w:p w14:paraId="5468A327">
      <w:pPr>
        <w:pStyle w:val="24"/>
        <w:rPr>
          <w:rFonts w:hint="eastAsia" w:hAnsi="宋体"/>
          <w:sz w:val="44"/>
          <w:szCs w:val="24"/>
        </w:rPr>
      </w:pPr>
    </w:p>
    <w:p w14:paraId="3C39CB47"/>
    <w:p w14:paraId="7EF9F7B1">
      <w:pPr>
        <w:spacing w:line="360" w:lineRule="auto"/>
        <w:ind w:firstLine="1758"/>
        <w:rPr>
          <w:rFonts w:hint="eastAsia" w:ascii="宋体" w:hAnsi="宋体" w:eastAsia="宋体" w:cs="Times New Roman"/>
          <w:b/>
          <w:bCs/>
          <w:sz w:val="44"/>
          <w:szCs w:val="24"/>
        </w:rPr>
      </w:pPr>
      <w:r>
        <w:rPr>
          <w:rFonts w:hint="eastAsia" w:ascii="宋体" w:hAnsi="宋体" w:eastAsia="宋体" w:cs="Times New Roman"/>
          <w:b/>
          <w:bCs/>
          <w:sz w:val="44"/>
          <w:szCs w:val="24"/>
        </w:rPr>
        <w:t>甲方（买方）：</w:t>
      </w:r>
    </w:p>
    <w:p w14:paraId="4446656D">
      <w:pPr>
        <w:spacing w:line="360" w:lineRule="auto"/>
        <w:ind w:firstLine="1758"/>
        <w:rPr>
          <w:rFonts w:hint="eastAsia" w:ascii="宋体" w:hAnsi="宋体" w:eastAsia="宋体" w:cs="Times New Roman"/>
          <w:b/>
          <w:bCs/>
          <w:sz w:val="44"/>
          <w:szCs w:val="24"/>
        </w:rPr>
      </w:pPr>
      <w:r>
        <w:rPr>
          <w:rFonts w:hint="eastAsia" w:ascii="宋体" w:hAnsi="宋体" w:eastAsia="宋体" w:cs="Times New Roman"/>
          <w:b/>
          <w:bCs/>
          <w:sz w:val="44"/>
          <w:szCs w:val="24"/>
        </w:rPr>
        <w:t>乙方（卖方）：</w:t>
      </w:r>
    </w:p>
    <w:p w14:paraId="4221A36C">
      <w:pPr>
        <w:spacing w:line="360" w:lineRule="auto"/>
        <w:ind w:firstLine="420"/>
        <w:rPr>
          <w:rFonts w:hint="eastAsia" w:ascii="宋体" w:hAnsi="宋体" w:eastAsia="宋体" w:cs="Times New Roman"/>
          <w:szCs w:val="24"/>
        </w:rPr>
      </w:pPr>
    </w:p>
    <w:p w14:paraId="457A4B60">
      <w:pPr>
        <w:spacing w:line="360" w:lineRule="auto"/>
        <w:ind w:firstLine="420"/>
        <w:rPr>
          <w:rFonts w:hint="eastAsia" w:ascii="宋体" w:hAnsi="宋体" w:eastAsia="宋体" w:cs="Times New Roman"/>
          <w:szCs w:val="24"/>
        </w:rPr>
      </w:pPr>
    </w:p>
    <w:p w14:paraId="5D1D04E0">
      <w:pPr>
        <w:spacing w:line="360" w:lineRule="auto"/>
        <w:ind w:firstLine="420"/>
        <w:rPr>
          <w:rFonts w:hint="eastAsia" w:ascii="宋体" w:hAnsi="宋体" w:eastAsia="宋体" w:cs="Times New Roman"/>
          <w:szCs w:val="24"/>
        </w:rPr>
      </w:pPr>
    </w:p>
    <w:p w14:paraId="3B4A4D90">
      <w:pPr>
        <w:spacing w:line="360" w:lineRule="auto"/>
        <w:ind w:firstLine="560"/>
        <w:rPr>
          <w:rFonts w:hint="eastAsia" w:ascii="宋体" w:hAnsi="宋体" w:eastAsia="宋体" w:cs="Times New Roman"/>
          <w:sz w:val="28"/>
          <w:szCs w:val="24"/>
        </w:rPr>
      </w:pPr>
    </w:p>
    <w:p w14:paraId="174A7157">
      <w:pPr>
        <w:pStyle w:val="24"/>
        <w:rPr>
          <w:rFonts w:hint="eastAsia" w:hAnsi="宋体"/>
          <w:sz w:val="28"/>
          <w:szCs w:val="24"/>
        </w:rPr>
      </w:pPr>
    </w:p>
    <w:p w14:paraId="1D4F116B">
      <w:pPr>
        <w:rPr>
          <w:rFonts w:hint="eastAsia" w:ascii="宋体" w:hAnsi="宋体" w:eastAsia="宋体" w:cs="Times New Roman"/>
          <w:sz w:val="28"/>
          <w:szCs w:val="24"/>
        </w:rPr>
      </w:pPr>
    </w:p>
    <w:p w14:paraId="2F90DFF2">
      <w:pPr>
        <w:pStyle w:val="24"/>
      </w:pPr>
    </w:p>
    <w:p w14:paraId="249CF583">
      <w:pPr>
        <w:spacing w:line="560" w:lineRule="exact"/>
        <w:jc w:val="center"/>
        <w:rPr>
          <w:rFonts w:hint="eastAsia" w:ascii="黑体" w:hAnsi="黑体" w:eastAsia="黑体" w:cs="Times New Roman"/>
          <w:bCs/>
          <w:szCs w:val="24"/>
        </w:rPr>
      </w:pPr>
      <w:r>
        <w:rPr>
          <w:rFonts w:hint="eastAsia" w:ascii="Times New Roman" w:hAnsi="Times New Roman" w:eastAsia="宋体" w:cs="Times New Roman"/>
          <w:b/>
          <w:sz w:val="32"/>
          <w:szCs w:val="32"/>
        </w:rPr>
        <w:t>连云港市政府采购合同</w:t>
      </w:r>
    </w:p>
    <w:p w14:paraId="248C871D">
      <w:pPr>
        <w:spacing w:line="360" w:lineRule="auto"/>
        <w:ind w:firstLine="643"/>
        <w:jc w:val="center"/>
        <w:rPr>
          <w:rFonts w:hint="eastAsia" w:ascii="宋体" w:hAnsi="宋体" w:eastAsia="宋体" w:cs="Times New Roman"/>
          <w:b/>
          <w:sz w:val="32"/>
          <w:szCs w:val="20"/>
        </w:rPr>
      </w:pPr>
    </w:p>
    <w:p w14:paraId="290D2C6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甲方：（买方）</w:t>
      </w:r>
      <w:r>
        <w:rPr>
          <w:rFonts w:hint="eastAsia" w:ascii="宋体" w:hAnsi="宋体" w:eastAsia="宋体" w:cs="Times New Roman"/>
          <w:sz w:val="24"/>
          <w:szCs w:val="24"/>
          <w:u w:val="single"/>
        </w:rPr>
        <w:t xml:space="preserve">连云港市海州区文化体育和旅游局   </w:t>
      </w:r>
    </w:p>
    <w:p w14:paraId="0E8D461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乙方：</w:t>
      </w:r>
      <w:r>
        <w:rPr>
          <w:rFonts w:ascii="宋体" w:hAnsi="宋体" w:eastAsia="宋体" w:cs="Times New Roman"/>
          <w:sz w:val="24"/>
          <w:szCs w:val="24"/>
        </w:rPr>
        <w:t>（卖方）</w:t>
      </w:r>
      <w:r>
        <w:rPr>
          <w:rFonts w:hint="eastAsia" w:ascii="宋体" w:hAnsi="宋体" w:eastAsia="宋体" w:cs="Times New Roman"/>
          <w:sz w:val="24"/>
          <w:szCs w:val="24"/>
          <w:u w:val="single"/>
        </w:rPr>
        <w:t xml:space="preserve">                        </w:t>
      </w:r>
    </w:p>
    <w:p w14:paraId="7D2E9032">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甲、乙双方根据</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r>
        <w:rPr>
          <w:rFonts w:hint="eastAsia" w:ascii="宋体" w:hAnsi="宋体" w:eastAsia="宋体" w:cs="Times New Roman"/>
          <w:sz w:val="24"/>
          <w:szCs w:val="24"/>
          <w:u w:val="single"/>
        </w:rPr>
        <w:t xml:space="preserve">         </w:t>
      </w:r>
      <w:r>
        <w:rPr>
          <w:rFonts w:ascii="宋体" w:hAnsi="宋体" w:eastAsia="宋体" w:cs="Times New Roman"/>
          <w:sz w:val="24"/>
          <w:szCs w:val="24"/>
        </w:rPr>
        <w:t>项目（标段编号：</w:t>
      </w:r>
      <w:r>
        <w:rPr>
          <w:rFonts w:hint="eastAsia"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的采购结果</w:t>
      </w:r>
      <w:r>
        <w:rPr>
          <w:rFonts w:ascii="宋体" w:hAnsi="宋体" w:eastAsia="宋体" w:cs="Times New Roman"/>
          <w:sz w:val="24"/>
          <w:szCs w:val="24"/>
        </w:rPr>
        <w:t>，签订本合同。</w:t>
      </w:r>
    </w:p>
    <w:p w14:paraId="718C7004">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一、货物内容</w:t>
      </w:r>
    </w:p>
    <w:p w14:paraId="6128703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 货物名称：</w:t>
      </w:r>
    </w:p>
    <w:p w14:paraId="6C904387">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 型号规格：</w:t>
      </w:r>
    </w:p>
    <w:p w14:paraId="293A12CD">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1.3 技术参数：</w:t>
      </w:r>
    </w:p>
    <w:p w14:paraId="4EA5FC96">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1.4 数量（单位）：</w:t>
      </w:r>
    </w:p>
    <w:p w14:paraId="694FEB61">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二、合同金额</w:t>
      </w:r>
    </w:p>
    <w:p w14:paraId="403E4B7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2.1 本合同金额为（大写）：</w:t>
      </w:r>
      <w:r>
        <w:rPr>
          <w:rFonts w:ascii="Times New Roman" w:hAnsi="Times New Roman" w:eastAsia="宋体" w:cs="Times New Roman"/>
          <w:sz w:val="24"/>
          <w:szCs w:val="24"/>
        </w:rPr>
        <w:t>_______________</w:t>
      </w:r>
      <w:r>
        <w:rPr>
          <w:rFonts w:hint="eastAsia" w:ascii="Times New Roman" w:hAnsi="Times New Roman" w:eastAsia="宋体" w:cs="Times New Roman"/>
          <w:sz w:val="24"/>
          <w:szCs w:val="24"/>
        </w:rPr>
        <w:t>元（¥</w:t>
      </w:r>
      <w:r>
        <w:rPr>
          <w:rFonts w:ascii="Times New Roman" w:hAnsi="Times New Roman" w:eastAsia="宋体" w:cs="Times New Roman"/>
          <w:sz w:val="24"/>
          <w:szCs w:val="24"/>
        </w:rPr>
        <w:t>_____________</w:t>
      </w:r>
      <w:r>
        <w:rPr>
          <w:rFonts w:hint="eastAsia" w:ascii="Times New Roman" w:hAnsi="Times New Roman" w:eastAsia="宋体" w:cs="Times New Roman"/>
          <w:sz w:val="24"/>
          <w:szCs w:val="24"/>
        </w:rPr>
        <w:t>）人民币。</w:t>
      </w:r>
    </w:p>
    <w:p w14:paraId="26C3E2CF">
      <w:pPr>
        <w:spacing w:line="360" w:lineRule="auto"/>
        <w:ind w:firstLine="480"/>
        <w:rPr>
          <w:rFonts w:hint="eastAsia" w:ascii="Times New Roman" w:hAnsi="宋体" w:eastAsia="宋体" w:cs="Times New Roman"/>
          <w:sz w:val="24"/>
          <w:szCs w:val="24"/>
        </w:rPr>
      </w:pPr>
      <w:r>
        <w:rPr>
          <w:rFonts w:hint="eastAsia" w:ascii="Times New Roman" w:hAnsi="Times New Roman" w:eastAsia="宋体" w:cs="Times New Roman"/>
          <w:sz w:val="24"/>
          <w:szCs w:val="24"/>
        </w:rPr>
        <w:t>（详见投标报价表）</w:t>
      </w:r>
    </w:p>
    <w:p w14:paraId="60B92C3C">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三、技术资料</w:t>
      </w:r>
    </w:p>
    <w:p w14:paraId="30A57AC2">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3.1 乙方应按招标文件规定的时间向甲方提供使用货物的有关技术资料。</w:t>
      </w:r>
    </w:p>
    <w:p w14:paraId="6D3456BB">
      <w:pPr>
        <w:spacing w:line="360" w:lineRule="auto"/>
        <w:ind w:firstLine="480"/>
        <w:rPr>
          <w:rFonts w:hint="eastAsia" w:ascii="Times New Roman" w:hAnsi="宋体" w:eastAsia="宋体" w:cs="Times New Roman"/>
          <w:sz w:val="24"/>
          <w:szCs w:val="24"/>
        </w:rPr>
      </w:pPr>
      <w:r>
        <w:rPr>
          <w:rFonts w:hint="eastAsia" w:ascii="Times New Roman" w:hAnsi="Times New Roman" w:eastAsia="宋体" w:cs="Times New Roman"/>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DC8C8B1">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四、知识产权</w:t>
      </w:r>
    </w:p>
    <w:p w14:paraId="5F00A553">
      <w:pPr>
        <w:spacing w:line="360" w:lineRule="auto"/>
        <w:ind w:firstLine="480"/>
        <w:rPr>
          <w:rFonts w:hint="eastAsia" w:ascii="Times New Roman" w:hAnsi="宋体" w:eastAsia="宋体" w:cs="Times New Roman"/>
          <w:sz w:val="24"/>
          <w:szCs w:val="24"/>
        </w:rPr>
      </w:pPr>
      <w:r>
        <w:rPr>
          <w:rFonts w:hint="eastAsia" w:ascii="Times New Roman" w:hAnsi="宋体" w:eastAsia="宋体" w:cs="Times New Roman"/>
          <w:sz w:val="24"/>
          <w:szCs w:val="24"/>
        </w:rPr>
        <w:t>4.1 乙方应保证所提供的货物或其任何一部分均不会侵犯任何第三方的专利权、商标权或著作权</w:t>
      </w:r>
      <w:r>
        <w:rPr>
          <w:rFonts w:hint="eastAsia" w:ascii="Times New Roman" w:hAnsi="宋体" w:eastAsia="宋体" w:cs="Times New Roman"/>
          <w:b/>
          <w:bCs/>
          <w:sz w:val="24"/>
          <w:szCs w:val="24"/>
        </w:rPr>
        <w:t>。</w:t>
      </w:r>
    </w:p>
    <w:p w14:paraId="54BF3384">
      <w:pPr>
        <w:spacing w:line="360" w:lineRule="auto"/>
        <w:ind w:firstLine="482"/>
        <w:rPr>
          <w:rFonts w:hint="eastAsia" w:ascii="宋体" w:hAnsi="宋体" w:eastAsia="宋体" w:cs="Times New Roman"/>
          <w:sz w:val="24"/>
          <w:szCs w:val="24"/>
          <w:u w:val="single"/>
        </w:rPr>
      </w:pPr>
      <w:r>
        <w:rPr>
          <w:rFonts w:hint="eastAsia" w:ascii="宋体" w:hAnsi="宋体" w:eastAsia="宋体" w:cs="Times New Roman"/>
          <w:b/>
          <w:sz w:val="24"/>
          <w:szCs w:val="24"/>
        </w:rPr>
        <w:t>五、无产权瑕疵条款</w:t>
      </w:r>
    </w:p>
    <w:p w14:paraId="214458AA">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5.1 乙方保证所交付的货物的所有权完全属于乙方且无任何抵押、查封等产权瑕疵。如乙方所交货物有产权瑕疵的，视为乙方违约，按照本合同第13条第3款的约定处理。但在已经全部支付完合同款后才发现有产权瑕疵的，除了支付违约金，乙方还应负担由此而产生的一切损失。</w:t>
      </w:r>
    </w:p>
    <w:p w14:paraId="20A5BFFA">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六、履约保证函</w:t>
      </w:r>
    </w:p>
    <w:p w14:paraId="6600A1EF">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6.1 乙方交纳合同金额的</w:t>
      </w:r>
      <w:r>
        <w:rPr>
          <w:rFonts w:hint="eastAsia" w:ascii="Times New Roman" w:hAnsi="Times New Roman" w:eastAsia="宋体" w:cs="Times New Roman"/>
          <w:sz w:val="24"/>
          <w:szCs w:val="24"/>
          <w:u w:val="single"/>
        </w:rPr>
        <w:t>　</w:t>
      </w:r>
      <w:r>
        <w:rPr>
          <w:rFonts w:hint="eastAsia" w:ascii="Times New Roman" w:hAnsi="Times New Roman" w:eastAsia="宋体" w:cs="Times New Roman"/>
          <w:sz w:val="24"/>
          <w:szCs w:val="24"/>
          <w:u w:val="single"/>
          <w:lang w:val="en-US" w:eastAsia="zh-CN"/>
        </w:rPr>
        <w:t>/</w:t>
      </w:r>
      <w:r>
        <w:rPr>
          <w:rFonts w:hint="eastAsia" w:ascii="Times New Roman" w:hAnsi="Times New Roman" w:eastAsia="宋体" w:cs="Times New Roman"/>
          <w:sz w:val="24"/>
          <w:szCs w:val="24"/>
          <w:u w:val="single"/>
        </w:rPr>
        <w:t>　</w:t>
      </w:r>
      <w:r>
        <w:rPr>
          <w:rFonts w:hint="eastAsia" w:ascii="Times New Roman" w:hAnsi="Times New Roman" w:eastAsia="宋体" w:cs="Times New Roman"/>
          <w:sz w:val="24"/>
          <w:szCs w:val="24"/>
        </w:rPr>
        <w:t>作为本合同的履约保证金，乙方应当以支票、汇票、本票或者金融机构、担保机构出具的保函等非现金形式在合同签订前提交。</w:t>
      </w:r>
    </w:p>
    <w:p w14:paraId="4F4DD947">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6.2 履约保证金在乙方主要合同义务履行完毕后五个工作日内由甲方以非现金形式一次性退还。</w:t>
      </w:r>
    </w:p>
    <w:p w14:paraId="0ABF7F85">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6.3 乙方违约的，甲方将根据违约责任条款扣除其全部或部分履约保证金。如乙方违约给甲方造成的损失超过履约保证金的，应当依法赔偿超过部分的损失。</w:t>
      </w:r>
    </w:p>
    <w:p w14:paraId="25303841">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rPr>
        <w:t>6.4 逾期退还履约保证金的甲方承担违约责任，按照中国人民银行同期贷款基准利率支付超期资金占用费。</w:t>
      </w:r>
    </w:p>
    <w:p w14:paraId="4AC6FB1A">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七、质保期</w:t>
      </w:r>
    </w:p>
    <w:p w14:paraId="5367D4A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7.1质保期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年（自验收合格之日起开始计算）质保期间，中标人免费承担维修、保养、安检、调换等；对于采购方人为原因造成的故障，中标人只收取维保成本费用。</w:t>
      </w:r>
    </w:p>
    <w:p w14:paraId="2CCB13B7">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八、交货期、交货方式及交货地点</w:t>
      </w:r>
    </w:p>
    <w:p w14:paraId="215576A9">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8.1 交货期：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2FCBE80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8.2 交货方式：</w:t>
      </w:r>
      <w:r>
        <w:rPr>
          <w:rFonts w:hint="eastAsia" w:ascii="Times New Roman" w:hAnsi="Times New Roman" w:eastAsia="宋体" w:cs="Times New Roman"/>
          <w:sz w:val="24"/>
          <w:szCs w:val="24"/>
          <w:u w:val="single"/>
        </w:rPr>
        <w:t>甲方指定方式</w:t>
      </w:r>
      <w:r>
        <w:rPr>
          <w:rFonts w:hint="eastAsia" w:ascii="Times New Roman" w:hAnsi="Times New Roman" w:eastAsia="宋体" w:cs="Times New Roman"/>
          <w:sz w:val="24"/>
          <w:szCs w:val="24"/>
        </w:rPr>
        <w:t>。</w:t>
      </w:r>
    </w:p>
    <w:p w14:paraId="56A74A19">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8.3 交货地点：</w:t>
      </w:r>
      <w:r>
        <w:rPr>
          <w:rFonts w:hint="eastAsia" w:ascii="Times New Roman" w:hAnsi="Times New Roman" w:eastAsia="宋体" w:cs="Times New Roman"/>
          <w:sz w:val="24"/>
          <w:szCs w:val="24"/>
          <w:u w:val="single"/>
        </w:rPr>
        <w:t>甲方指定地点</w:t>
      </w:r>
      <w:r>
        <w:rPr>
          <w:rFonts w:hint="eastAsia" w:ascii="Times New Roman" w:hAnsi="Times New Roman" w:eastAsia="宋体" w:cs="Times New Roman"/>
          <w:sz w:val="24"/>
          <w:szCs w:val="24"/>
        </w:rPr>
        <w:t>。</w:t>
      </w:r>
    </w:p>
    <w:p w14:paraId="27BEC44B">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九、合同款支付</w:t>
      </w:r>
    </w:p>
    <w:p w14:paraId="26487F6A">
      <w:pPr>
        <w:spacing w:line="360" w:lineRule="auto"/>
        <w:ind w:firstLine="480"/>
        <w:rPr>
          <w:rFonts w:hint="eastAsia" w:ascii="宋体" w:hAnsi="宋体" w:eastAsia="宋体" w:cs="Times New Roman"/>
          <w:b/>
          <w:sz w:val="24"/>
          <w:szCs w:val="24"/>
          <w:u w:val="single"/>
        </w:rPr>
      </w:pPr>
      <w:r>
        <w:rPr>
          <w:rFonts w:hint="eastAsia" w:ascii="Times New Roman" w:hAnsi="Times New Roman" w:eastAsia="宋体" w:cs="Times New Roman"/>
          <w:sz w:val="24"/>
          <w:szCs w:val="24"/>
        </w:rPr>
        <w:t xml:space="preserve">9.1 </w:t>
      </w:r>
      <w:r>
        <w:rPr>
          <w:rFonts w:hint="eastAsia" w:ascii="宋体" w:hAnsi="宋体" w:eastAsia="宋体" w:cs="Times New Roman"/>
          <w:sz w:val="24"/>
          <w:szCs w:val="24"/>
        </w:rPr>
        <w:t>付款方式：</w:t>
      </w:r>
      <w:r>
        <w:rPr>
          <w:rFonts w:hint="eastAsia" w:ascii="宋体" w:hAnsi="宋体" w:eastAsia="宋体" w:cs="Times New Roman"/>
          <w:b/>
          <w:sz w:val="24"/>
          <w:szCs w:val="24"/>
          <w:u w:val="single"/>
        </w:rPr>
        <w:t xml:space="preserve">                  </w:t>
      </w:r>
    </w:p>
    <w:p w14:paraId="0DD6D177">
      <w:pPr>
        <w:spacing w:line="360" w:lineRule="auto"/>
        <w:ind w:firstLine="480"/>
        <w:rPr>
          <w:rFonts w:hint="eastAsia" w:ascii="Times New Roman" w:hAnsi="宋体" w:eastAsia="宋体" w:cs="Times New Roman"/>
          <w:bCs/>
          <w:sz w:val="24"/>
          <w:szCs w:val="24"/>
        </w:rPr>
      </w:pPr>
      <w:r>
        <w:rPr>
          <w:rFonts w:hint="eastAsia" w:ascii="Times New Roman" w:hAnsi="Times New Roman" w:eastAsia="宋体" w:cs="Times New Roman"/>
          <w:sz w:val="24"/>
          <w:szCs w:val="24"/>
        </w:rPr>
        <w:t>9.2 当采购数量与实际使用数量不一致时，乙方根据实际使用量提供产品和服务，合同的最终结算金额按实际使用量乘以中标单价进行计算。</w:t>
      </w:r>
    </w:p>
    <w:p w14:paraId="289774A4">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十、质量保证及售后服务</w:t>
      </w:r>
    </w:p>
    <w:p w14:paraId="797A691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10.1 乙方应按招标文件规定的货物性能、技术要求、质量标准向甲方提供未经使用的全新产品。</w:t>
      </w:r>
    </w:p>
    <w:p w14:paraId="54A1A08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10.2 乙方提供的货物在质保期内因货物本身的质量问题发生故障，乙方应负责免费更换。对达不到技术要求者，根据实际情况，经双方协商，可按以下办法处理：</w:t>
      </w:r>
    </w:p>
    <w:p w14:paraId="45DAEFF1">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（1）更换：由乙方承担所发生的全部费用。</w:t>
      </w:r>
    </w:p>
    <w:p w14:paraId="30FE358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（2）贬值处理：由甲乙双方合议定价。</w:t>
      </w:r>
    </w:p>
    <w:p w14:paraId="2EDFC53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（3）退货处理：乙方应退还甲方支付的合同款，同时应承担该货物的直接费用（运输、保险、检验、合同款利息及银行手续费等）。</w:t>
      </w:r>
    </w:p>
    <w:p w14:paraId="35972C55">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10.3 测试要求：乙方安装后现场测试，提供测试报告，甲方验收签字确认。</w:t>
      </w:r>
    </w:p>
    <w:p w14:paraId="5D45A85D">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十一、调试和验收</w:t>
      </w:r>
    </w:p>
    <w:p w14:paraId="2E882A8F">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11.1 甲方对乙方提交的货物依据招标文件上的技术规格要求和国家有关质量标准进行现场初步验收，外观、说明书符合招标文件技术要求的，给予签收，初步验收不合格的不予签收并可立即要求退换。货到后，甲方需在五个工作日内验收。在采购人将所有的货物按招标文件要求和国家标准或行业标准进行检测验收后，发现有其他非故意的损坏或质量问题的，由中标供应商立即予以更换，不得拒绝和延误。</w:t>
      </w:r>
    </w:p>
    <w:p w14:paraId="73C31D33">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11.2 乙方交货前应对产品作出全面检查和对验收文件进行整理，并列出清单，作为甲方收货验收和使用的技术条件依据，检验的结果应随货物交甲方。</w:t>
      </w:r>
    </w:p>
    <w:p w14:paraId="57A70AC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11.3 甲方对乙方提供的货物在使用前进行调试时，乙方需负责安装并培训甲方的使用操作人员，并协助甲方一起调试，直到符合技术要求，甲方才做最终验收。</w:t>
      </w:r>
    </w:p>
    <w:p w14:paraId="3A7D188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11.4 验收时乙方必须在现场，验收完毕后作出验收结果报告；安装调试费用由中标供应商负责。</w:t>
      </w:r>
    </w:p>
    <w:p w14:paraId="3D968A46">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11.5 对技术复杂的项目，甲方可组织有关部门和专家进行验收，并出具验收报告，相关费用由甲乙双方协商解决。</w:t>
      </w:r>
    </w:p>
    <w:p w14:paraId="73954071">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十二、货物包装、发运及运输</w:t>
      </w:r>
    </w:p>
    <w:p w14:paraId="33FB2619">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12.1 乙方应在货物发运前对其进行满足运输距离、防潮、防震、防锈和防破损装卸等要求包装，以保证货物安全运达甲方指定地点。</w:t>
      </w:r>
    </w:p>
    <w:p w14:paraId="7C0BDDC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12.2 使用说明书、质量检验证明书、随配附件和工具以及清单一并附于货物内。</w:t>
      </w:r>
    </w:p>
    <w:p w14:paraId="0BC0ECA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12.3 乙方在货物发运手续办理完毕后24小时内或货到甲方48小时前通知甲方，以准备接货。</w:t>
      </w:r>
    </w:p>
    <w:p w14:paraId="632D485E">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12.4 货物在交付甲方前发生的风险均由乙方负责。</w:t>
      </w:r>
    </w:p>
    <w:p w14:paraId="462285EA">
      <w:pPr>
        <w:spacing w:line="360" w:lineRule="auto"/>
        <w:ind w:firstLine="480"/>
        <w:rPr>
          <w:rFonts w:hint="eastAsia" w:ascii="Times New Roman" w:hAnsi="宋体" w:eastAsia="宋体" w:cs="Times New Roman"/>
          <w:b/>
          <w:sz w:val="24"/>
          <w:szCs w:val="24"/>
        </w:rPr>
      </w:pPr>
      <w:r>
        <w:rPr>
          <w:rFonts w:hint="eastAsia" w:ascii="Times New Roman" w:hAnsi="Times New Roman" w:eastAsia="宋体" w:cs="Times New Roman"/>
          <w:sz w:val="24"/>
          <w:szCs w:val="24"/>
        </w:rPr>
        <w:t>12.5 货物在规定的交付期限内由乙方送达甲方指定的地点视为交付，乙方同时需通知甲方货物已送达。</w:t>
      </w:r>
    </w:p>
    <w:p w14:paraId="1FC28185">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十三、违约责任</w:t>
      </w:r>
    </w:p>
    <w:p w14:paraId="754BBE6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13.1 甲方无正当理由拒收货物的，甲方向乙方偿付拒收合同款总值的百分之五违约金。</w:t>
      </w:r>
    </w:p>
    <w:p w14:paraId="0FA809BE">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13.2 甲方无故逾期验收和办理合同款支付手续的，甲方应按逾期付款总额每日千分之五向乙方支付违约金。</w:t>
      </w:r>
    </w:p>
    <w:p w14:paraId="16BED64F">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13.3 乙方逾期交付货物的，乙方应按逾期交货总额每日千分之五向甲方支付违约金，由甲方从待付合同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8AF1B3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13.4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83CDE4F">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十四、不可抗力事件处理</w:t>
      </w:r>
    </w:p>
    <w:p w14:paraId="19788CFD">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14.1 在合同有效期内，任何一方因不可抗力事件导致不能履行合同，则合同履行期可延长，其延长期与不可抗力影响期相同。</w:t>
      </w:r>
    </w:p>
    <w:p w14:paraId="3658F7B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14.2 不可抗力事件发生后，应立即通知对方，并寄送有关权威机构出具的证明。</w:t>
      </w:r>
    </w:p>
    <w:p w14:paraId="184EE8C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14.3 不可抗力事件延续120天以上，双方应通过友好协商，确定是否继续履行合同。</w:t>
      </w:r>
    </w:p>
    <w:p w14:paraId="135DDA6F">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十五、争议解决</w:t>
      </w:r>
    </w:p>
    <w:p w14:paraId="73D5EFCF">
      <w:pPr>
        <w:spacing w:line="360" w:lineRule="auto"/>
        <w:ind w:firstLine="480"/>
        <w:rPr>
          <w:rFonts w:hint="eastAsia" w:ascii="宋体" w:hAnsi="宋体" w:eastAsia="宋体" w:cs="宋体"/>
          <w:sz w:val="24"/>
          <w:szCs w:val="24"/>
        </w:rPr>
      </w:pPr>
      <w:r>
        <w:rPr>
          <w:rFonts w:hint="eastAsia" w:ascii="Times New Roman" w:hAnsi="Times New Roman" w:eastAsia="宋体" w:cs="Times New Roman"/>
          <w:sz w:val="24"/>
          <w:szCs w:val="24"/>
        </w:rPr>
        <w:t>15.1</w:t>
      </w:r>
      <w:r>
        <w:rPr>
          <w:rFonts w:hint="eastAsia" w:ascii="宋体" w:hAnsi="宋体" w:eastAsia="宋体" w:cs="宋体"/>
          <w:sz w:val="24"/>
          <w:szCs w:val="24"/>
        </w:rPr>
        <w:t>双方在执行合同中所发生的一切争议，应通过协商解决。如协商不成，可向合同签订地人民法院起诉，合同签订地在此约定为连云港市海州区文化体育和旅游局  。</w:t>
      </w:r>
    </w:p>
    <w:p w14:paraId="5A240237">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十六、合同生效及其它</w:t>
      </w:r>
    </w:p>
    <w:p w14:paraId="37D2281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16.1 合同经双方法定代表人或授权委托代理人签名并加盖单位公章后生效。</w:t>
      </w:r>
    </w:p>
    <w:p w14:paraId="34E2741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16.2 下述合同附件为本合同不可分割的部分并与本合同具有同等效力：</w:t>
      </w:r>
    </w:p>
    <w:p w14:paraId="50D26ED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（1）供货清单和分项价格表</w:t>
      </w:r>
    </w:p>
    <w:p w14:paraId="32635670">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（2）技术规格</w:t>
      </w:r>
    </w:p>
    <w:p w14:paraId="0F891D6F">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（3）乙方报价函的内容及其澄清内容</w:t>
      </w:r>
    </w:p>
    <w:p w14:paraId="3106F05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（4）其他与本合同相关的资料</w:t>
      </w:r>
    </w:p>
    <w:p w14:paraId="4194240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（5）本合同适用的特殊条款</w:t>
      </w:r>
    </w:p>
    <w:p w14:paraId="5E02CA95">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16.3 本合同未尽事宜，遵照《中华人民共和国民法典》有关条文执行。</w:t>
      </w:r>
    </w:p>
    <w:p w14:paraId="5E9EF7BD">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16.4 本合同正本一式</w:t>
      </w:r>
      <w:r>
        <w:rPr>
          <w:rFonts w:hint="eastAsia" w:ascii="Times New Roman" w:hAnsi="Times New Roman" w:eastAsia="宋体" w:cs="Times New Roman"/>
          <w:sz w:val="24"/>
          <w:szCs w:val="24"/>
          <w:lang w:val="en-US" w:eastAsia="zh-CN"/>
        </w:rPr>
        <w:t>捌</w:t>
      </w:r>
      <w:r>
        <w:rPr>
          <w:rFonts w:hint="eastAsia" w:ascii="Times New Roman" w:hAnsi="Times New Roman" w:eastAsia="宋体" w:cs="Times New Roman"/>
          <w:sz w:val="24"/>
          <w:szCs w:val="24"/>
        </w:rPr>
        <w:t>份，具有同等法律效力，甲方执四份，乙方</w:t>
      </w:r>
      <w:r>
        <w:rPr>
          <w:rFonts w:hint="eastAsia" w:ascii="Times New Roman" w:hAnsi="Times New Roman" w:eastAsia="宋体" w:cs="Times New Roman"/>
          <w:sz w:val="24"/>
          <w:szCs w:val="24"/>
          <w:lang w:val="en-US" w:eastAsia="zh-CN"/>
        </w:rPr>
        <w:t>三份</w:t>
      </w:r>
      <w:r>
        <w:rPr>
          <w:rFonts w:hint="eastAsia" w:ascii="Times New Roman" w:hAnsi="Times New Roman" w:eastAsia="宋体" w:cs="Times New Roman"/>
          <w:sz w:val="24"/>
          <w:szCs w:val="24"/>
        </w:rPr>
        <w:t>，采购人报一份至政府采购监督管理部门。</w:t>
      </w:r>
    </w:p>
    <w:p w14:paraId="06498F01"/>
    <w:p w14:paraId="5EDD9A3F">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甲方：                                  乙方：                     </w:t>
      </w:r>
    </w:p>
    <w:p w14:paraId="10BFFBFE">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地址：                                  地址：                     </w:t>
      </w:r>
    </w:p>
    <w:p w14:paraId="5087EFF7">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14:paraId="56A5BB96">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委托代理人：                            委托代理人：           </w:t>
      </w:r>
    </w:p>
    <w:p w14:paraId="39C170A8">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电话：                                  电话：                     </w:t>
      </w:r>
    </w:p>
    <w:p w14:paraId="6EC59BFF">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 xml:space="preserve">传真：                                  传真：                     </w:t>
      </w:r>
    </w:p>
    <w:p w14:paraId="78A1D684">
      <w:pPr>
        <w:spacing w:line="36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签订日期：      年  月  日</w:t>
      </w:r>
    </w:p>
    <w:p w14:paraId="1F101615">
      <w:pPr>
        <w:spacing w:line="360" w:lineRule="auto"/>
        <w:ind w:firstLine="360"/>
        <w:jc w:val="left"/>
        <w:rPr>
          <w:rFonts w:hint="eastAsia" w:ascii="宋体" w:hAnsi="宋体" w:eastAsia="宋体" w:cs="Times New Roman"/>
          <w:sz w:val="24"/>
          <w:szCs w:val="24"/>
        </w:rPr>
      </w:pPr>
    </w:p>
    <w:p w14:paraId="6B4AD5A2">
      <w:pPr>
        <w:widowControl/>
        <w:spacing w:line="360" w:lineRule="auto"/>
        <w:jc w:val="left"/>
        <w:rPr>
          <w:rFonts w:hint="eastAsia" w:hAnsi="黑体" w:eastAsia="黑体"/>
          <w:szCs w:val="36"/>
        </w:rPr>
      </w:pPr>
    </w:p>
    <w:p w14:paraId="3626E2E6">
      <w:pPr>
        <w:widowControl/>
        <w:spacing w:line="360" w:lineRule="auto"/>
        <w:jc w:val="left"/>
        <w:rPr>
          <w:rFonts w:hint="eastAsia" w:hAnsi="黑体" w:eastAsia="黑体"/>
          <w:szCs w:val="36"/>
        </w:rPr>
      </w:pPr>
    </w:p>
    <w:p w14:paraId="166D976E">
      <w:pPr>
        <w:keepNext/>
        <w:keepLines/>
        <w:tabs>
          <w:tab w:val="left" w:pos="360"/>
        </w:tabs>
        <w:spacing w:line="360" w:lineRule="auto"/>
        <w:jc w:val="center"/>
        <w:rPr>
          <w:rFonts w:hint="eastAsia" w:ascii="Times New Roman" w:hAnsi="宋体" w:eastAsia="黑体" w:cs="Times New Roman"/>
          <w:sz w:val="36"/>
          <w:szCs w:val="20"/>
        </w:rPr>
      </w:pPr>
      <w:bookmarkStart w:id="18" w:name="_Toc513622229"/>
      <w:bookmarkStart w:id="19" w:name="_Toc139966428"/>
      <w:bookmarkStart w:id="20" w:name="_Toc139967212"/>
    </w:p>
    <w:p w14:paraId="3113C0D0">
      <w:pPr>
        <w:keepNext/>
        <w:keepLines/>
        <w:tabs>
          <w:tab w:val="left" w:pos="360"/>
        </w:tabs>
        <w:spacing w:line="360" w:lineRule="auto"/>
        <w:jc w:val="center"/>
        <w:rPr>
          <w:rFonts w:hint="eastAsia" w:ascii="Times New Roman" w:hAnsi="宋体" w:eastAsia="黑体" w:cs="Times New Roman"/>
          <w:sz w:val="36"/>
          <w:szCs w:val="20"/>
        </w:rPr>
      </w:pPr>
    </w:p>
    <w:p w14:paraId="4AE88C40">
      <w:pPr>
        <w:pStyle w:val="24"/>
      </w:pPr>
    </w:p>
    <w:p w14:paraId="67FA4704">
      <w:pPr>
        <w:keepNext/>
        <w:keepLines/>
        <w:tabs>
          <w:tab w:val="left" w:pos="360"/>
        </w:tabs>
        <w:spacing w:line="360" w:lineRule="auto"/>
        <w:jc w:val="center"/>
        <w:outlineLvl w:val="0"/>
        <w:rPr>
          <w:rFonts w:hint="eastAsia" w:ascii="Times New Roman" w:hAnsi="宋体" w:eastAsia="黑体" w:cs="Times New Roman"/>
          <w:sz w:val="36"/>
          <w:szCs w:val="20"/>
        </w:rPr>
      </w:pPr>
      <w:bookmarkStart w:id="21" w:name="_Toc11074"/>
      <w:r>
        <w:rPr>
          <w:rFonts w:hint="eastAsia" w:ascii="Times New Roman" w:hAnsi="宋体" w:eastAsia="黑体" w:cs="Times New Roman"/>
          <w:sz w:val="36"/>
          <w:szCs w:val="20"/>
        </w:rPr>
        <w:t>第四章  投标文件格式</w:t>
      </w:r>
      <w:bookmarkEnd w:id="18"/>
      <w:bookmarkEnd w:id="19"/>
      <w:bookmarkEnd w:id="20"/>
      <w:bookmarkEnd w:id="21"/>
    </w:p>
    <w:p w14:paraId="34C91594">
      <w:pPr>
        <w:spacing w:line="360" w:lineRule="auto"/>
        <w:ind w:firstLine="1044"/>
        <w:jc w:val="center"/>
        <w:rPr>
          <w:rFonts w:hint="eastAsia" w:ascii="宋体" w:hAnsi="宋体" w:eastAsia="宋体" w:cs="Times New Roman"/>
          <w:b/>
          <w:sz w:val="52"/>
          <w:szCs w:val="52"/>
        </w:rPr>
      </w:pPr>
    </w:p>
    <w:p w14:paraId="3D7376DF">
      <w:pPr>
        <w:spacing w:line="360" w:lineRule="auto"/>
        <w:jc w:val="center"/>
        <w:rPr>
          <w:rFonts w:hint="eastAsia" w:ascii="宋体" w:hAnsi="宋体" w:eastAsia="宋体" w:cs="Times New Roman"/>
          <w:b/>
          <w:sz w:val="52"/>
          <w:szCs w:val="52"/>
        </w:rPr>
      </w:pPr>
      <w:r>
        <w:rPr>
          <w:rFonts w:hint="eastAsia" w:ascii="宋体" w:hAnsi="宋体" w:eastAsia="宋体" w:cs="Times New Roman"/>
          <w:b/>
          <w:sz w:val="52"/>
          <w:szCs w:val="52"/>
        </w:rPr>
        <w:t xml:space="preserve"> 连 云 港 市 政 府 采 购</w:t>
      </w:r>
    </w:p>
    <w:p w14:paraId="70A74979">
      <w:pPr>
        <w:spacing w:line="360" w:lineRule="auto"/>
        <w:ind w:firstLine="643"/>
        <w:jc w:val="center"/>
        <w:rPr>
          <w:rFonts w:hint="eastAsia" w:ascii="宋体" w:hAnsi="宋体" w:eastAsia="宋体" w:cs="Times New Roman"/>
          <w:b/>
          <w:sz w:val="32"/>
          <w:szCs w:val="32"/>
        </w:rPr>
      </w:pPr>
    </w:p>
    <w:p w14:paraId="7ACEF3A7">
      <w:pPr>
        <w:pStyle w:val="43"/>
        <w:spacing w:before="0" w:beforeAutospacing="0" w:after="0" w:afterAutospacing="0"/>
        <w:jc w:val="center"/>
        <w:rPr>
          <w:rFonts w:hint="eastAsia"/>
        </w:rPr>
      </w:pPr>
      <w:r>
        <w:rPr>
          <w:rFonts w:cs="宋体"/>
          <w:b/>
          <w:bCs/>
          <w:sz w:val="72"/>
          <w:szCs w:val="72"/>
        </w:rPr>
        <w:t>投标文件</w:t>
      </w:r>
    </w:p>
    <w:p w14:paraId="4376271C">
      <w:pPr>
        <w:pStyle w:val="43"/>
        <w:spacing w:before="0" w:beforeAutospacing="0" w:after="0" w:afterAutospacing="0"/>
        <w:jc w:val="center"/>
        <w:rPr>
          <w:rFonts w:hint="eastAsia"/>
        </w:rPr>
      </w:pPr>
      <w:r>
        <w:rPr>
          <w:rFonts w:cs="宋体"/>
          <w:b/>
          <w:bCs/>
          <w:sz w:val="72"/>
          <w:szCs w:val="72"/>
        </w:rPr>
        <w:t> </w:t>
      </w:r>
      <w:r>
        <w:rPr>
          <w:rFonts w:cs="宋体"/>
          <w:b/>
          <w:bCs/>
          <w:sz w:val="36"/>
          <w:szCs w:val="36"/>
        </w:rPr>
        <w:t> </w:t>
      </w:r>
    </w:p>
    <w:p w14:paraId="50889AA0">
      <w:pPr>
        <w:pStyle w:val="43"/>
        <w:spacing w:before="0" w:beforeAutospacing="0" w:after="0" w:afterAutospacing="0"/>
        <w:jc w:val="center"/>
        <w:rPr>
          <w:rFonts w:hint="eastAsia"/>
        </w:rPr>
      </w:pPr>
      <w:r>
        <w:rPr>
          <w:rFonts w:cs="宋体"/>
          <w:b/>
          <w:bCs/>
          <w:sz w:val="36"/>
          <w:szCs w:val="36"/>
        </w:rPr>
        <w:t> </w:t>
      </w:r>
    </w:p>
    <w:p w14:paraId="2B9F90D1">
      <w:pPr>
        <w:pStyle w:val="43"/>
        <w:spacing w:before="0" w:beforeAutospacing="0" w:after="0" w:afterAutospacing="0"/>
        <w:ind w:firstLine="1081"/>
        <w:jc w:val="both"/>
        <w:rPr>
          <w:rFonts w:hint="eastAsia"/>
        </w:rPr>
      </w:pPr>
      <w:r>
        <w:rPr>
          <w:rFonts w:cs="宋体"/>
          <w:b/>
          <w:bCs/>
          <w:sz w:val="36"/>
          <w:szCs w:val="36"/>
        </w:rPr>
        <w:t>项 目 名 称：</w:t>
      </w:r>
      <w:r>
        <w:rPr>
          <w:rFonts w:cs="宋体"/>
          <w:b/>
          <w:bCs/>
          <w:sz w:val="36"/>
          <w:szCs w:val="36"/>
          <w:u w:val="single"/>
        </w:rPr>
        <w:t>               </w:t>
      </w:r>
    </w:p>
    <w:p w14:paraId="014AF88F">
      <w:pPr>
        <w:pStyle w:val="43"/>
        <w:spacing w:before="0" w:beforeAutospacing="0" w:after="0" w:afterAutospacing="0"/>
        <w:ind w:firstLine="1081"/>
        <w:jc w:val="both"/>
        <w:rPr>
          <w:rFonts w:hint="eastAsia" w:cs="宋体"/>
          <w:b/>
          <w:bCs/>
          <w:sz w:val="36"/>
          <w:szCs w:val="36"/>
          <w:u w:val="single"/>
        </w:rPr>
      </w:pPr>
      <w:r>
        <w:rPr>
          <w:rFonts w:cs="宋体"/>
          <w:b/>
          <w:bCs/>
          <w:sz w:val="36"/>
          <w:szCs w:val="36"/>
        </w:rPr>
        <w:t>招 标 编 号：</w:t>
      </w:r>
      <w:r>
        <w:rPr>
          <w:rFonts w:cs="宋体"/>
          <w:b/>
          <w:bCs/>
          <w:sz w:val="36"/>
          <w:szCs w:val="36"/>
          <w:u w:val="single"/>
        </w:rPr>
        <w:t>               </w:t>
      </w:r>
    </w:p>
    <w:p w14:paraId="61EC2F2E">
      <w:pPr>
        <w:pStyle w:val="43"/>
        <w:spacing w:before="0" w:beforeAutospacing="0" w:after="0" w:afterAutospacing="0"/>
        <w:ind w:firstLine="1063"/>
        <w:jc w:val="both"/>
        <w:rPr>
          <w:rFonts w:hint="eastAsia" w:cs="宋体"/>
          <w:b/>
          <w:bCs/>
          <w:sz w:val="36"/>
          <w:szCs w:val="36"/>
          <w:u w:val="single"/>
        </w:rPr>
      </w:pPr>
      <w:r>
        <w:rPr>
          <w:rFonts w:cs="宋体"/>
          <w:b/>
          <w:bCs/>
          <w:sz w:val="36"/>
          <w:szCs w:val="36"/>
        </w:rPr>
        <w:t>投标人名称 ：</w:t>
      </w:r>
      <w:r>
        <w:rPr>
          <w:rFonts w:cs="宋体"/>
          <w:b/>
          <w:bCs/>
          <w:sz w:val="36"/>
          <w:szCs w:val="36"/>
          <w:u w:val="single"/>
        </w:rPr>
        <w:t>（加盖CA电子公章）</w:t>
      </w:r>
      <w:r>
        <w:rPr>
          <w:rFonts w:hint="eastAsia" w:cs="宋体"/>
          <w:b/>
          <w:bCs/>
          <w:sz w:val="36"/>
          <w:szCs w:val="36"/>
          <w:u w:val="single"/>
        </w:rPr>
        <w:t xml:space="preserve">            </w:t>
      </w:r>
    </w:p>
    <w:p w14:paraId="5F0D6E54">
      <w:pPr>
        <w:pStyle w:val="43"/>
        <w:spacing w:before="0" w:beforeAutospacing="0" w:after="0" w:afterAutospacing="0"/>
        <w:ind w:firstLine="1063"/>
        <w:jc w:val="both"/>
        <w:rPr>
          <w:rFonts w:hint="eastAsia"/>
        </w:rPr>
      </w:pPr>
      <w:r>
        <w:rPr>
          <w:rFonts w:cs="宋体"/>
          <w:b/>
          <w:bCs/>
          <w:sz w:val="36"/>
          <w:szCs w:val="36"/>
        </w:rPr>
        <w:t>日  </w:t>
      </w:r>
      <w:r>
        <w:rPr>
          <w:rFonts w:hint="eastAsia" w:cs="宋体"/>
          <w:b/>
          <w:bCs/>
          <w:sz w:val="36"/>
          <w:szCs w:val="36"/>
        </w:rPr>
        <w:t xml:space="preserve">  </w:t>
      </w:r>
      <w:r>
        <w:rPr>
          <w:rFonts w:cs="宋体"/>
          <w:b/>
          <w:bCs/>
          <w:sz w:val="36"/>
          <w:szCs w:val="36"/>
        </w:rPr>
        <w:t>期 ：</w:t>
      </w:r>
      <w:r>
        <w:rPr>
          <w:rFonts w:cs="宋体"/>
          <w:b/>
          <w:bCs/>
          <w:sz w:val="36"/>
          <w:szCs w:val="36"/>
          <w:u w:val="single"/>
        </w:rPr>
        <w:t>               </w:t>
      </w:r>
    </w:p>
    <w:p w14:paraId="348A0BE6">
      <w:pPr>
        <w:keepNext/>
        <w:tabs>
          <w:tab w:val="left" w:pos="1021"/>
        </w:tabs>
        <w:spacing w:line="360" w:lineRule="auto"/>
        <w:outlineLvl w:val="1"/>
        <w:rPr>
          <w:rFonts w:hint="eastAsia" w:ascii="宋体" w:hAnsi="宋体" w:eastAsia="宋体" w:cs="Times New Roman"/>
          <w:sz w:val="24"/>
          <w:szCs w:val="24"/>
        </w:rPr>
      </w:pPr>
      <w:r>
        <w:rPr>
          <w:rFonts w:ascii="Times New Roman" w:hAnsi="宋体" w:eastAsia="黑体" w:cs="Times New Roman"/>
          <w:b/>
          <w:sz w:val="36"/>
          <w:szCs w:val="20"/>
        </w:rPr>
        <w:br w:type="page" w:clear="all"/>
      </w:r>
      <w:bookmarkStart w:id="22" w:name="_Toc139966431"/>
      <w:bookmarkStart w:id="23" w:name="_Toc139967215"/>
      <w:r>
        <w:rPr>
          <w:rFonts w:hint="eastAsia" w:ascii="宋体" w:hAnsi="宋体" w:eastAsia="宋体" w:cs="Times New Roman"/>
          <w:sz w:val="24"/>
          <w:szCs w:val="24"/>
        </w:rPr>
        <w:t>格式1、投标函</w:t>
      </w:r>
    </w:p>
    <w:p w14:paraId="0BB29858">
      <w:pPr>
        <w:jc w:val="center"/>
        <w:rPr>
          <w:rFonts w:hint="eastAsia" w:ascii="黑体" w:hAnsi="黑体" w:eastAsia="黑体" w:cs="宋体"/>
          <w:bCs/>
          <w:sz w:val="36"/>
          <w:szCs w:val="28"/>
        </w:rPr>
      </w:pPr>
      <w:r>
        <w:rPr>
          <w:rFonts w:hint="eastAsia" w:ascii="黑体" w:hAnsi="黑体" w:eastAsia="黑体" w:cs="宋体"/>
          <w:bCs/>
          <w:sz w:val="36"/>
          <w:szCs w:val="28"/>
        </w:rPr>
        <w:t>投标函</w:t>
      </w:r>
    </w:p>
    <w:p w14:paraId="289D762D">
      <w:pPr>
        <w:spacing w:line="480" w:lineRule="exact"/>
        <w:rPr>
          <w:rFonts w:hint="eastAsia" w:ascii="宋体" w:hAnsi="宋体" w:eastAsia="宋体" w:cs="Times New Roman"/>
          <w:sz w:val="24"/>
          <w:szCs w:val="24"/>
        </w:rPr>
      </w:pPr>
      <w:r>
        <w:rPr>
          <w:rFonts w:hint="eastAsia" w:ascii="宋体" w:hAnsi="宋体" w:eastAsia="宋体" w:cs="Times New Roman"/>
          <w:sz w:val="24"/>
          <w:szCs w:val="24"/>
        </w:rPr>
        <w:t xml:space="preserve">致：连云港市海州区文化体育和旅游局  </w:t>
      </w:r>
    </w:p>
    <w:p w14:paraId="251D9C31">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根据贵方</w:t>
      </w:r>
      <w:r>
        <w:rPr>
          <w:rFonts w:hint="eastAsia" w:ascii="宋体" w:hAnsi="宋体" w:eastAsia="宋体" w:cs="Times New Roman"/>
          <w:sz w:val="24"/>
          <w:szCs w:val="24"/>
          <w:u w:val="single"/>
        </w:rPr>
        <w:t xml:space="preserve">     标段（标段编号：     </w:t>
      </w:r>
      <w:r>
        <w:rPr>
          <w:rFonts w:hint="eastAsia" w:ascii="宋体" w:hAnsi="宋体" w:eastAsia="宋体" w:cs="Times New Roman"/>
          <w:sz w:val="24"/>
          <w:szCs w:val="24"/>
        </w:rPr>
        <w:t>）采购文件，正式授权下述签字人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全权代表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参加贵方组织的采购活动，按照采购文件要求提交响应文件。</w:t>
      </w:r>
    </w:p>
    <w:p w14:paraId="7DA2697C">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据此函，签字人兹宣布同意如下：</w:t>
      </w:r>
    </w:p>
    <w:p w14:paraId="5A21F356">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1.按采购文件项目需求提交响应报价，报价、交货期等详见开标一览表。</w:t>
      </w:r>
    </w:p>
    <w:p w14:paraId="3CE71EA6">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2.我方同意在本标段采购文件中规定的响应文件递交截止之日起60天内遵守本响应文件中的承诺且在此期限期满之前均具有约束力。</w:t>
      </w:r>
    </w:p>
    <w:p w14:paraId="15040F67">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3.我方承诺已经具备《中华人民共和国政府采购法》中规定的参加政府采购活动的供应商应当具备的条件：</w:t>
      </w:r>
    </w:p>
    <w:p w14:paraId="1452F7F5">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(1)具有独立承担民事责任的能力；</w:t>
      </w:r>
    </w:p>
    <w:p w14:paraId="15158EAD">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(2)具有良好的商业信誉和健全的财务会计制度；</w:t>
      </w:r>
    </w:p>
    <w:p w14:paraId="1017ED5C">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(3)具有履行合同所必需的设备和专业技术能力；</w:t>
      </w:r>
    </w:p>
    <w:p w14:paraId="5C819080">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(4)有依法缴纳税收和社会保障资金的良好记录；</w:t>
      </w:r>
    </w:p>
    <w:p w14:paraId="780CC099">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(5)参加此项采购活动前三年内，在经营活动中没有重大违法记录。</w:t>
      </w:r>
    </w:p>
    <w:p w14:paraId="06646156">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4.我方根据采购文件的规定，承担完成合同的责任和义务。</w:t>
      </w:r>
    </w:p>
    <w:p w14:paraId="44774022">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5.我方已详细审核采购文件，我方知道必须放弃提出含糊不清或误解问题的权利。</w:t>
      </w:r>
    </w:p>
    <w:p w14:paraId="40AA5ECA">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6.如果在响应文件有效期内撤回或者有其他违约行为，我方的保证金可被贵方全部或部分没收。</w:t>
      </w:r>
    </w:p>
    <w:p w14:paraId="49A7DC68">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7.同意应贵方要求提供与本次采购活动有关的任何数据或资料。</w:t>
      </w:r>
    </w:p>
    <w:p w14:paraId="665E8570">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8.我方完全理解，最低报价不是中标（成交）的唯一条件。</w:t>
      </w:r>
    </w:p>
    <w:p w14:paraId="4ADCE9A9">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9.若贵方需要，我方愿意提供我方作出的一切承诺的证明材料。</w:t>
      </w:r>
    </w:p>
    <w:p w14:paraId="32D2187A">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AA7347D">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(1)提供虚假材料谋取中标、成交的；</w:t>
      </w:r>
    </w:p>
    <w:p w14:paraId="2EDF1117">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(2)采取不正当手段诋毁、排挤其他供应商的；</w:t>
      </w:r>
    </w:p>
    <w:p w14:paraId="42A6C6CF">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(3)与采购人、其他供应商或者采购代理机构恶意串通的；</w:t>
      </w:r>
    </w:p>
    <w:p w14:paraId="0AE020E3">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(4)向采购人、采购代理机构行贿或者提供其他不正当利益的；</w:t>
      </w:r>
    </w:p>
    <w:p w14:paraId="43C9EC98">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(5)在招标采购过程中与采购人进行协商谈判的；</w:t>
      </w:r>
    </w:p>
    <w:p w14:paraId="0B9BCA90">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(6)拒绝有关部门监督检查或提供虚假情况的。</w:t>
      </w:r>
    </w:p>
    <w:p w14:paraId="01A41FB6">
      <w:pPr>
        <w:spacing w:line="480" w:lineRule="exact"/>
        <w:ind w:firstLine="480"/>
        <w:rPr>
          <w:rFonts w:hint="eastAsia" w:ascii="宋体" w:hAnsi="宋体" w:eastAsia="宋体" w:cs="Times New Roman"/>
          <w:sz w:val="24"/>
          <w:szCs w:val="24"/>
        </w:rPr>
      </w:pPr>
      <w:r>
        <w:rPr>
          <w:rFonts w:ascii="宋体" w:hAnsi="宋体" w:eastAsia="宋体" w:cs="Times New Roman"/>
          <w:sz w:val="24"/>
          <w:szCs w:val="24"/>
        </w:rPr>
        <w:t xml:space="preserve"> </w:t>
      </w:r>
    </w:p>
    <w:p w14:paraId="64577554">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法定代表人或其委托代理人签字（或盖章）： 　　</w:t>
      </w:r>
    </w:p>
    <w:p w14:paraId="2D6501FB">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供应商公章： </w:t>
      </w:r>
    </w:p>
    <w:p w14:paraId="3E4BE087">
      <w:pPr>
        <w:spacing w:line="48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日期： </w:t>
      </w:r>
    </w:p>
    <w:p w14:paraId="60C2027B">
      <w:pPr>
        <w:spacing w:line="480" w:lineRule="exact"/>
        <w:ind w:firstLine="480"/>
        <w:rPr>
          <w:rFonts w:hint="eastAsia" w:ascii="宋体" w:hAnsi="宋体" w:eastAsia="宋体" w:cs="Times New Roman"/>
          <w:sz w:val="24"/>
          <w:szCs w:val="24"/>
        </w:rPr>
      </w:pPr>
      <w:r>
        <w:rPr>
          <w:rFonts w:ascii="宋体" w:hAnsi="宋体" w:eastAsia="宋体" w:cs="Times New Roman"/>
          <w:sz w:val="24"/>
          <w:szCs w:val="24"/>
        </w:rPr>
        <w:t xml:space="preserve"> </w:t>
      </w:r>
    </w:p>
    <w:p w14:paraId="21920437">
      <w:pPr>
        <w:spacing w:line="480" w:lineRule="exact"/>
        <w:ind w:firstLine="480"/>
        <w:rPr>
          <w:rFonts w:hint="eastAsia" w:ascii="宋体" w:hAnsi="宋体" w:eastAsia="宋体" w:cs="宋体"/>
          <w:sz w:val="24"/>
          <w:szCs w:val="24"/>
          <w:lang w:val="zh-CN"/>
        </w:rPr>
      </w:pPr>
      <w:r>
        <w:rPr>
          <w:rFonts w:hint="eastAsia" w:ascii="宋体" w:hAnsi="宋体" w:eastAsia="宋体" w:cs="Times New Roman"/>
          <w:sz w:val="24"/>
          <w:szCs w:val="24"/>
        </w:rPr>
        <w:t>注：未按照本响应函的格式要求填写的，将造成非实质响应，从而导致该供应商响应无效。</w:t>
      </w:r>
    </w:p>
    <w:p w14:paraId="18D30158">
      <w:pPr>
        <w:keepNext/>
        <w:tabs>
          <w:tab w:val="left" w:pos="1021"/>
        </w:tabs>
        <w:spacing w:line="360" w:lineRule="auto"/>
        <w:outlineLvl w:val="1"/>
        <w:rPr>
          <w:rFonts w:ascii="Times New Roman" w:hAnsi="Times New Roman" w:eastAsia="黑体" w:cs="Times New Roman"/>
          <w:b/>
          <w:sz w:val="28"/>
          <w:szCs w:val="20"/>
        </w:rPr>
      </w:pPr>
      <w:r>
        <w:rPr>
          <w:rFonts w:ascii="Times New Roman" w:hAnsi="Times New Roman" w:eastAsia="黑体" w:cs="Times New Roman"/>
          <w:sz w:val="24"/>
          <w:szCs w:val="24"/>
        </w:rPr>
        <w:br w:type="page" w:clear="all"/>
      </w:r>
      <w:r>
        <w:rPr>
          <w:rFonts w:hint="eastAsia" w:ascii="宋体" w:hAnsi="宋体" w:eastAsia="宋体" w:cs="Times New Roman"/>
          <w:sz w:val="24"/>
          <w:szCs w:val="24"/>
        </w:rPr>
        <w:t>格式2、开标一览表</w:t>
      </w:r>
    </w:p>
    <w:p w14:paraId="3D668C5B">
      <w:pPr>
        <w:jc w:val="center"/>
        <w:rPr>
          <w:rFonts w:hint="eastAsia" w:ascii="黑体" w:hAnsi="黑体" w:eastAsia="黑体" w:cs="宋体"/>
          <w:bCs/>
          <w:sz w:val="36"/>
          <w:szCs w:val="28"/>
        </w:rPr>
      </w:pPr>
      <w:r>
        <w:rPr>
          <w:rFonts w:hint="eastAsia" w:ascii="黑体" w:hAnsi="黑体" w:eastAsia="黑体" w:cs="宋体"/>
          <w:bCs/>
          <w:sz w:val="36"/>
          <w:szCs w:val="28"/>
        </w:rPr>
        <w:t>开标一览表</w:t>
      </w:r>
    </w:p>
    <w:p w14:paraId="5D70B026">
      <w:pPr>
        <w:spacing w:line="360" w:lineRule="auto"/>
        <w:ind w:firstLine="720"/>
        <w:jc w:val="left"/>
        <w:rPr>
          <w:rFonts w:hint="eastAsia" w:ascii="宋体" w:hAnsi="宋体" w:eastAsia="宋体" w:cs="方正仿宋_GBK"/>
          <w:sz w:val="24"/>
          <w:szCs w:val="24"/>
        </w:rPr>
      </w:pPr>
      <w:r>
        <w:rPr>
          <w:rFonts w:hint="eastAsia" w:ascii="宋体" w:hAnsi="宋体" w:eastAsia="宋体" w:cs="方正仿宋_GBK"/>
          <w:sz w:val="24"/>
          <w:szCs w:val="24"/>
        </w:rPr>
        <w:t xml:space="preserve">标段编号： </w:t>
      </w:r>
    </w:p>
    <w:p w14:paraId="72DA0E0A">
      <w:pPr>
        <w:spacing w:line="360" w:lineRule="auto"/>
        <w:ind w:firstLine="720"/>
        <w:jc w:val="left"/>
        <w:rPr>
          <w:rFonts w:hint="eastAsia" w:ascii="宋体" w:hAnsi="宋体" w:eastAsia="宋体" w:cs="Times New Roman"/>
          <w:bCs/>
          <w:sz w:val="24"/>
          <w:szCs w:val="24"/>
          <w:lang w:eastAsia="zh-CN"/>
        </w:rPr>
      </w:pPr>
      <w:r>
        <w:rPr>
          <w:rFonts w:hint="eastAsia" w:ascii="宋体" w:hAnsi="宋体" w:eastAsia="宋体" w:cs="方正仿宋_GBK"/>
          <w:sz w:val="24"/>
          <w:szCs w:val="24"/>
        </w:rPr>
        <w:t>标段名称：</w:t>
      </w:r>
      <w:r>
        <w:rPr>
          <w:rFonts w:hint="eastAsia" w:ascii="宋体" w:hAnsi="宋体" w:eastAsia="宋体" w:cs="方正仿宋_GBK"/>
          <w:sz w:val="24"/>
          <w:szCs w:val="24"/>
          <w:lang w:eastAsia="zh-CN"/>
        </w:rPr>
        <w:t>海州区全民健身设施提档升级采购</w:t>
      </w:r>
    </w:p>
    <w:p w14:paraId="3C9AF6A1">
      <w:pPr>
        <w:jc w:val="left"/>
        <w:rPr>
          <w:rFonts w:ascii="MS Mincho" w:hAnsi="Calibri" w:eastAsia="宋体" w:cs="Times New Roman"/>
          <w:sz w:val="24"/>
          <w:szCs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3651"/>
      </w:tblGrid>
      <w:tr w14:paraId="15E7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653" w:type="dxa"/>
            <w:vAlign w:val="center"/>
          </w:tcPr>
          <w:p w14:paraId="3539D6A2">
            <w:pPr>
              <w:spacing w:line="360" w:lineRule="auto"/>
              <w:jc w:val="center"/>
              <w:rPr>
                <w:rFonts w:hint="eastAsia" w:ascii="宋体" w:hAnsi="宋体" w:eastAsia="宋体" w:cs="Times New Roman"/>
                <w:bCs/>
                <w:sz w:val="24"/>
                <w:szCs w:val="24"/>
              </w:rPr>
            </w:pPr>
            <w:r>
              <w:rPr>
                <w:rFonts w:ascii="宋体" w:hAnsi="宋体" w:eastAsia="宋体" w:cs="Times New Roman"/>
                <w:bCs/>
                <w:sz w:val="24"/>
                <w:szCs w:val="24"/>
              </w:rPr>
              <w:t>标题</w:t>
            </w:r>
          </w:p>
        </w:tc>
        <w:tc>
          <w:tcPr>
            <w:tcW w:w="3651" w:type="dxa"/>
            <w:vAlign w:val="center"/>
          </w:tcPr>
          <w:p w14:paraId="62BF28CA">
            <w:pPr>
              <w:spacing w:line="360" w:lineRule="auto"/>
              <w:jc w:val="center"/>
              <w:rPr>
                <w:rFonts w:hint="eastAsia" w:ascii="宋体" w:hAnsi="宋体" w:eastAsia="宋体" w:cs="Times New Roman"/>
                <w:sz w:val="24"/>
                <w:szCs w:val="24"/>
              </w:rPr>
            </w:pPr>
            <w:r>
              <w:rPr>
                <w:rFonts w:ascii="宋体" w:hAnsi="宋体" w:eastAsia="宋体" w:cs="Times New Roman"/>
                <w:sz w:val="24"/>
                <w:szCs w:val="24"/>
              </w:rPr>
              <w:t>内容</w:t>
            </w:r>
          </w:p>
        </w:tc>
      </w:tr>
      <w:tr w14:paraId="0505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653" w:type="dxa"/>
            <w:vAlign w:val="center"/>
          </w:tcPr>
          <w:p w14:paraId="4D49641F">
            <w:pPr>
              <w:spacing w:line="360" w:lineRule="auto"/>
              <w:jc w:val="center"/>
              <w:rPr>
                <w:rFonts w:hint="eastAsia" w:ascii="宋体" w:hAnsi="宋体" w:eastAsia="宋体" w:cs="Times New Roman"/>
                <w:bCs/>
                <w:sz w:val="24"/>
                <w:szCs w:val="24"/>
              </w:rPr>
            </w:pPr>
            <w:r>
              <w:rPr>
                <w:rFonts w:ascii="宋体" w:hAnsi="宋体" w:eastAsia="宋体" w:cs="Times New Roman"/>
                <w:bCs/>
                <w:sz w:val="24"/>
                <w:szCs w:val="24"/>
              </w:rPr>
              <w:t>投标报价</w:t>
            </w:r>
          </w:p>
        </w:tc>
        <w:tc>
          <w:tcPr>
            <w:tcW w:w="3651" w:type="dxa"/>
            <w:vAlign w:val="center"/>
          </w:tcPr>
          <w:p w14:paraId="103B9AC4">
            <w:pPr>
              <w:spacing w:line="360" w:lineRule="auto"/>
              <w:jc w:val="center"/>
              <w:rPr>
                <w:rFonts w:hint="eastAsia" w:ascii="宋体" w:hAnsi="宋体" w:eastAsia="宋体" w:cs="Times New Roman"/>
                <w:sz w:val="24"/>
                <w:szCs w:val="24"/>
              </w:rPr>
            </w:pPr>
          </w:p>
        </w:tc>
      </w:tr>
      <w:tr w14:paraId="116E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653" w:type="dxa"/>
            <w:vAlign w:val="center"/>
          </w:tcPr>
          <w:p w14:paraId="35A59FD2">
            <w:pPr>
              <w:spacing w:line="360" w:lineRule="auto"/>
              <w:jc w:val="center"/>
              <w:rPr>
                <w:rFonts w:hint="eastAsia" w:ascii="宋体" w:hAnsi="宋体" w:eastAsia="宋体" w:cs="Times New Roman"/>
                <w:bCs/>
                <w:sz w:val="24"/>
                <w:szCs w:val="24"/>
              </w:rPr>
            </w:pPr>
            <w:r>
              <w:rPr>
                <w:rFonts w:ascii="宋体" w:hAnsi="宋体" w:eastAsia="宋体" w:cs="Times New Roman"/>
                <w:bCs/>
                <w:sz w:val="24"/>
                <w:szCs w:val="24"/>
              </w:rPr>
              <w:t>交货期</w:t>
            </w:r>
          </w:p>
        </w:tc>
        <w:tc>
          <w:tcPr>
            <w:tcW w:w="3651" w:type="dxa"/>
            <w:vAlign w:val="center"/>
          </w:tcPr>
          <w:p w14:paraId="112FE729">
            <w:pPr>
              <w:spacing w:line="360" w:lineRule="auto"/>
              <w:jc w:val="center"/>
              <w:rPr>
                <w:rFonts w:hint="eastAsia" w:ascii="宋体" w:hAnsi="宋体" w:eastAsia="宋体" w:cs="Times New Roman"/>
                <w:sz w:val="24"/>
                <w:szCs w:val="24"/>
              </w:rPr>
            </w:pPr>
          </w:p>
        </w:tc>
      </w:tr>
    </w:tbl>
    <w:p w14:paraId="078528C9">
      <w:pPr>
        <w:spacing w:line="360" w:lineRule="auto"/>
        <w:ind w:firstLine="420"/>
        <w:jc w:val="left"/>
        <w:rPr>
          <w:rFonts w:hint="eastAsia" w:ascii="宋体" w:hAnsi="宋体" w:eastAsia="宋体" w:cs="Times New Roman"/>
          <w:bCs/>
          <w:szCs w:val="24"/>
        </w:rPr>
      </w:pPr>
    </w:p>
    <w:p w14:paraId="3372A05F">
      <w:pPr>
        <w:spacing w:line="360" w:lineRule="auto"/>
        <w:ind w:firstLine="420"/>
        <w:jc w:val="left"/>
        <w:rPr>
          <w:rFonts w:hint="eastAsia" w:ascii="宋体" w:hAnsi="宋体" w:eastAsia="宋体" w:cs="Times New Roman"/>
          <w:bCs/>
          <w:szCs w:val="24"/>
        </w:rPr>
      </w:pPr>
    </w:p>
    <w:p w14:paraId="5104A27B">
      <w:pPr>
        <w:spacing w:line="360" w:lineRule="auto"/>
        <w:ind w:firstLine="420"/>
        <w:jc w:val="left"/>
        <w:rPr>
          <w:rFonts w:hint="eastAsia" w:ascii="宋体" w:hAnsi="宋体" w:eastAsia="宋体" w:cs="Times New Roman"/>
          <w:bCs/>
          <w:szCs w:val="24"/>
        </w:rPr>
      </w:pPr>
    </w:p>
    <w:p w14:paraId="491A1763">
      <w:pPr>
        <w:spacing w:line="360" w:lineRule="auto"/>
        <w:ind w:firstLine="420"/>
        <w:rPr>
          <w:rFonts w:ascii="Times New Roman" w:hAnsi="Times New Roman" w:eastAsia="宋体" w:cs="Times New Roman"/>
          <w:szCs w:val="24"/>
        </w:rPr>
      </w:pPr>
    </w:p>
    <w:p w14:paraId="1C828AD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26A287B9">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6DC1B80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日期：    年     月     日</w:t>
      </w:r>
    </w:p>
    <w:p w14:paraId="2E5412B5">
      <w:pPr>
        <w:spacing w:line="360" w:lineRule="auto"/>
        <w:ind w:firstLine="420"/>
        <w:rPr>
          <w:rFonts w:ascii="Times New Roman" w:hAnsi="Times New Roman" w:eastAsia="宋体" w:cs="Times New Roman"/>
          <w:szCs w:val="24"/>
        </w:rPr>
      </w:pPr>
    </w:p>
    <w:p w14:paraId="22945995">
      <w:pPr>
        <w:spacing w:line="360" w:lineRule="auto"/>
        <w:rPr>
          <w:rFonts w:hint="eastAsia" w:ascii="宋体" w:hAnsi="宋体" w:eastAsia="宋体" w:cs="Times New Roman"/>
          <w:b/>
          <w:bCs/>
          <w:szCs w:val="20"/>
        </w:rPr>
      </w:pPr>
    </w:p>
    <w:p w14:paraId="5CE49ADD">
      <w:pPr>
        <w:keepNext/>
        <w:tabs>
          <w:tab w:val="left" w:pos="1021"/>
        </w:tabs>
        <w:spacing w:line="360" w:lineRule="auto"/>
        <w:outlineLvl w:val="1"/>
        <w:rPr>
          <w:rFonts w:hint="eastAsia" w:ascii="Times New Roman" w:hAnsi="宋体" w:eastAsia="黑体" w:cs="Times New Roman"/>
          <w:sz w:val="32"/>
          <w:szCs w:val="20"/>
        </w:rPr>
      </w:pPr>
      <w:r>
        <w:rPr>
          <w:rFonts w:hint="eastAsia" w:ascii="Times New Roman" w:hAnsi="宋体" w:eastAsia="黑体" w:cs="Times New Roman"/>
          <w:sz w:val="32"/>
          <w:szCs w:val="20"/>
        </w:rPr>
        <w:br w:type="page" w:clear="all"/>
      </w:r>
      <w:r>
        <w:rPr>
          <w:rFonts w:hint="eastAsia" w:ascii="宋体" w:hAnsi="宋体" w:eastAsia="宋体" w:cs="Times New Roman"/>
          <w:sz w:val="24"/>
          <w:szCs w:val="24"/>
        </w:rPr>
        <w:t>格式3、报价明细表</w:t>
      </w:r>
    </w:p>
    <w:p w14:paraId="1922CD6A">
      <w:pPr>
        <w:jc w:val="center"/>
        <w:rPr>
          <w:rFonts w:hint="eastAsia" w:ascii="黑体" w:hAnsi="黑体" w:eastAsia="黑体" w:cs="宋体"/>
          <w:bCs/>
          <w:sz w:val="36"/>
          <w:szCs w:val="28"/>
        </w:rPr>
      </w:pPr>
      <w:r>
        <w:rPr>
          <w:rFonts w:hint="eastAsia" w:ascii="黑体" w:hAnsi="黑体" w:eastAsia="黑体" w:cs="宋体"/>
          <w:bCs/>
          <w:sz w:val="36"/>
          <w:szCs w:val="28"/>
        </w:rPr>
        <w:t>报价明细表</w:t>
      </w:r>
    </w:p>
    <w:p w14:paraId="4181DC1A">
      <w:pPr>
        <w:spacing w:line="360" w:lineRule="auto"/>
        <w:jc w:val="left"/>
        <w:rPr>
          <w:rFonts w:hint="eastAsia" w:ascii="宋体" w:hAnsi="宋体" w:eastAsia="宋体" w:cs="方正仿宋_GBK"/>
          <w:sz w:val="24"/>
          <w:szCs w:val="24"/>
        </w:rPr>
      </w:pPr>
      <w:r>
        <w:rPr>
          <w:rFonts w:hint="eastAsia" w:ascii="宋体" w:hAnsi="宋体" w:eastAsia="宋体" w:cs="方正仿宋_GBK"/>
          <w:sz w:val="24"/>
          <w:szCs w:val="24"/>
        </w:rPr>
        <w:t xml:space="preserve">标段名称：                </w:t>
      </w:r>
    </w:p>
    <w:p w14:paraId="1E8C3D97">
      <w:pPr>
        <w:spacing w:line="360" w:lineRule="auto"/>
        <w:jc w:val="left"/>
        <w:rPr>
          <w:rFonts w:hint="eastAsia" w:ascii="宋体" w:hAnsi="宋体" w:eastAsia="宋体" w:cs="Times New Roman"/>
          <w:bCs/>
          <w:sz w:val="24"/>
          <w:szCs w:val="24"/>
        </w:rPr>
      </w:pPr>
      <w:r>
        <w:rPr>
          <w:rFonts w:hint="eastAsia" w:ascii="宋体" w:hAnsi="宋体" w:eastAsia="宋体" w:cs="方正仿宋_GBK"/>
          <w:sz w:val="24"/>
          <w:szCs w:val="24"/>
        </w:rPr>
        <w:t xml:space="preserve">标段编号： </w:t>
      </w:r>
    </w:p>
    <w:p w14:paraId="1DCE7EF7">
      <w:pPr>
        <w:spacing w:line="360" w:lineRule="auto"/>
        <w:jc w:val="right"/>
        <w:rPr>
          <w:rFonts w:hint="eastAsia" w:ascii="宋体" w:hAnsi="宋体" w:eastAsia="宋体" w:cs="Times New Roman"/>
          <w:szCs w:val="24"/>
        </w:rPr>
      </w:pPr>
      <w:r>
        <w:rPr>
          <w:rFonts w:hint="eastAsia" w:ascii="宋体" w:hAnsi="宋体" w:eastAsia="宋体" w:cs="Times New Roman"/>
          <w:szCs w:val="24"/>
        </w:rPr>
        <w:t>单位：元</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34"/>
        <w:gridCol w:w="709"/>
        <w:gridCol w:w="1134"/>
        <w:gridCol w:w="850"/>
        <w:gridCol w:w="1134"/>
        <w:gridCol w:w="709"/>
        <w:gridCol w:w="1134"/>
        <w:gridCol w:w="1094"/>
        <w:gridCol w:w="1047"/>
      </w:tblGrid>
      <w:tr w14:paraId="27BF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26" w:type="dxa"/>
            <w:noWrap/>
            <w:vAlign w:val="center"/>
          </w:tcPr>
          <w:p w14:paraId="48CA6D33">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项号</w:t>
            </w:r>
          </w:p>
        </w:tc>
        <w:tc>
          <w:tcPr>
            <w:tcW w:w="1134" w:type="dxa"/>
            <w:vAlign w:val="center"/>
          </w:tcPr>
          <w:p w14:paraId="525A7D21">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货物名称</w:t>
            </w:r>
          </w:p>
        </w:tc>
        <w:tc>
          <w:tcPr>
            <w:tcW w:w="709" w:type="dxa"/>
            <w:vAlign w:val="center"/>
          </w:tcPr>
          <w:p w14:paraId="0A573DDC">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品牌</w:t>
            </w:r>
          </w:p>
        </w:tc>
        <w:tc>
          <w:tcPr>
            <w:tcW w:w="1134" w:type="dxa"/>
            <w:vAlign w:val="center"/>
          </w:tcPr>
          <w:p w14:paraId="19628334">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规格型号</w:t>
            </w:r>
          </w:p>
        </w:tc>
        <w:tc>
          <w:tcPr>
            <w:tcW w:w="850" w:type="dxa"/>
            <w:vAlign w:val="center"/>
          </w:tcPr>
          <w:p w14:paraId="55F612FF">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制造商</w:t>
            </w:r>
          </w:p>
        </w:tc>
        <w:tc>
          <w:tcPr>
            <w:tcW w:w="1134" w:type="dxa"/>
            <w:vAlign w:val="center"/>
          </w:tcPr>
          <w:p w14:paraId="6B85DC53">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制造商企业类型</w:t>
            </w:r>
          </w:p>
        </w:tc>
        <w:tc>
          <w:tcPr>
            <w:tcW w:w="709" w:type="dxa"/>
            <w:vAlign w:val="center"/>
          </w:tcPr>
          <w:p w14:paraId="1E9B0654">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单价</w:t>
            </w:r>
          </w:p>
        </w:tc>
        <w:tc>
          <w:tcPr>
            <w:tcW w:w="1134" w:type="dxa"/>
            <w:vAlign w:val="center"/>
          </w:tcPr>
          <w:p w14:paraId="32645BEA">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采购数量</w:t>
            </w:r>
          </w:p>
        </w:tc>
        <w:tc>
          <w:tcPr>
            <w:tcW w:w="1094" w:type="dxa"/>
            <w:vAlign w:val="center"/>
          </w:tcPr>
          <w:p w14:paraId="3775D77D">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计量单位</w:t>
            </w:r>
          </w:p>
        </w:tc>
        <w:tc>
          <w:tcPr>
            <w:tcW w:w="1047" w:type="dxa"/>
            <w:vAlign w:val="center"/>
          </w:tcPr>
          <w:p w14:paraId="3AC0D1D2">
            <w:pPr>
              <w:widowControl/>
              <w:spacing w:line="360" w:lineRule="auto"/>
              <w:jc w:val="center"/>
              <w:rPr>
                <w:rFonts w:ascii="Times New Roman" w:hAnsi="Times New Roman" w:eastAsia="宋体" w:cs="Times New Roman"/>
                <w:bCs/>
                <w:szCs w:val="24"/>
              </w:rPr>
            </w:pPr>
            <w:r>
              <w:rPr>
                <w:rFonts w:ascii="Times New Roman" w:hAnsi="Times New Roman" w:eastAsia="宋体" w:cs="Times New Roman"/>
                <w:bCs/>
                <w:szCs w:val="24"/>
              </w:rPr>
              <w:t>总价</w:t>
            </w:r>
          </w:p>
        </w:tc>
      </w:tr>
      <w:tr w14:paraId="6E5D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6" w:type="dxa"/>
            <w:noWrap/>
            <w:vAlign w:val="center"/>
          </w:tcPr>
          <w:p w14:paraId="474FDCD4">
            <w:pPr>
              <w:widowControl/>
              <w:spacing w:line="360" w:lineRule="auto"/>
              <w:rPr>
                <w:rFonts w:ascii="Times New Roman" w:hAnsi="Times New Roman" w:eastAsia="宋体" w:cs="Times New Roman"/>
                <w:szCs w:val="24"/>
              </w:rPr>
            </w:pPr>
          </w:p>
        </w:tc>
        <w:tc>
          <w:tcPr>
            <w:tcW w:w="1134" w:type="dxa"/>
            <w:noWrap/>
            <w:vAlign w:val="center"/>
          </w:tcPr>
          <w:p w14:paraId="3D4E5696">
            <w:pPr>
              <w:widowControl/>
              <w:spacing w:line="360" w:lineRule="auto"/>
              <w:rPr>
                <w:rFonts w:ascii="Times New Roman" w:hAnsi="Times New Roman" w:eastAsia="宋体" w:cs="Times New Roman"/>
                <w:szCs w:val="24"/>
              </w:rPr>
            </w:pPr>
          </w:p>
        </w:tc>
        <w:tc>
          <w:tcPr>
            <w:tcW w:w="709" w:type="dxa"/>
            <w:noWrap/>
            <w:vAlign w:val="center"/>
          </w:tcPr>
          <w:p w14:paraId="264E0B38">
            <w:pPr>
              <w:widowControl/>
              <w:spacing w:line="360" w:lineRule="auto"/>
              <w:rPr>
                <w:rFonts w:ascii="Times New Roman" w:hAnsi="Times New Roman" w:eastAsia="宋体" w:cs="Times New Roman"/>
                <w:szCs w:val="24"/>
              </w:rPr>
            </w:pPr>
          </w:p>
        </w:tc>
        <w:tc>
          <w:tcPr>
            <w:tcW w:w="1134" w:type="dxa"/>
            <w:noWrap/>
            <w:vAlign w:val="center"/>
          </w:tcPr>
          <w:p w14:paraId="583FAB33">
            <w:pPr>
              <w:widowControl/>
              <w:spacing w:line="360" w:lineRule="auto"/>
              <w:rPr>
                <w:rFonts w:ascii="Times New Roman" w:hAnsi="Times New Roman" w:eastAsia="宋体" w:cs="Times New Roman"/>
                <w:szCs w:val="24"/>
              </w:rPr>
            </w:pPr>
          </w:p>
        </w:tc>
        <w:tc>
          <w:tcPr>
            <w:tcW w:w="850" w:type="dxa"/>
            <w:noWrap/>
            <w:vAlign w:val="center"/>
          </w:tcPr>
          <w:p w14:paraId="28B84B73">
            <w:pPr>
              <w:widowControl/>
              <w:spacing w:line="360" w:lineRule="auto"/>
              <w:rPr>
                <w:rFonts w:ascii="Times New Roman" w:hAnsi="Times New Roman" w:eastAsia="宋体" w:cs="Times New Roman"/>
                <w:szCs w:val="24"/>
              </w:rPr>
            </w:pPr>
          </w:p>
        </w:tc>
        <w:tc>
          <w:tcPr>
            <w:tcW w:w="1134" w:type="dxa"/>
            <w:noWrap/>
            <w:vAlign w:val="center"/>
          </w:tcPr>
          <w:p w14:paraId="266AA467">
            <w:pPr>
              <w:widowControl/>
              <w:spacing w:line="360" w:lineRule="auto"/>
              <w:rPr>
                <w:rFonts w:ascii="Times New Roman" w:hAnsi="Times New Roman" w:eastAsia="宋体" w:cs="Times New Roman"/>
                <w:szCs w:val="24"/>
              </w:rPr>
            </w:pPr>
          </w:p>
        </w:tc>
        <w:tc>
          <w:tcPr>
            <w:tcW w:w="709" w:type="dxa"/>
            <w:vAlign w:val="center"/>
          </w:tcPr>
          <w:p w14:paraId="14830C9A">
            <w:pPr>
              <w:widowControl/>
              <w:spacing w:line="360" w:lineRule="auto"/>
              <w:rPr>
                <w:rFonts w:ascii="Times New Roman" w:hAnsi="Times New Roman" w:eastAsia="宋体" w:cs="Times New Roman"/>
                <w:szCs w:val="24"/>
              </w:rPr>
            </w:pPr>
          </w:p>
        </w:tc>
        <w:tc>
          <w:tcPr>
            <w:tcW w:w="1134" w:type="dxa"/>
            <w:noWrap/>
            <w:vAlign w:val="center"/>
          </w:tcPr>
          <w:p w14:paraId="1B30D56F">
            <w:pPr>
              <w:widowControl/>
              <w:spacing w:line="360" w:lineRule="auto"/>
              <w:rPr>
                <w:rFonts w:ascii="Times New Roman" w:hAnsi="Times New Roman" w:eastAsia="宋体" w:cs="Times New Roman"/>
                <w:szCs w:val="24"/>
              </w:rPr>
            </w:pPr>
          </w:p>
        </w:tc>
        <w:tc>
          <w:tcPr>
            <w:tcW w:w="1094" w:type="dxa"/>
            <w:noWrap/>
            <w:vAlign w:val="center"/>
          </w:tcPr>
          <w:p w14:paraId="5078E4EC">
            <w:pPr>
              <w:widowControl/>
              <w:spacing w:line="360" w:lineRule="auto"/>
              <w:rPr>
                <w:rFonts w:ascii="Times New Roman" w:hAnsi="Times New Roman" w:eastAsia="宋体" w:cs="Times New Roman"/>
                <w:szCs w:val="24"/>
              </w:rPr>
            </w:pPr>
          </w:p>
        </w:tc>
        <w:tc>
          <w:tcPr>
            <w:tcW w:w="1047" w:type="dxa"/>
            <w:noWrap/>
            <w:vAlign w:val="center"/>
          </w:tcPr>
          <w:p w14:paraId="08561D1B">
            <w:pPr>
              <w:widowControl/>
              <w:spacing w:line="360" w:lineRule="auto"/>
              <w:rPr>
                <w:rFonts w:ascii="Times New Roman" w:hAnsi="Times New Roman" w:eastAsia="宋体" w:cs="Times New Roman"/>
                <w:szCs w:val="24"/>
              </w:rPr>
            </w:pPr>
          </w:p>
        </w:tc>
      </w:tr>
      <w:tr w14:paraId="5189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6" w:type="dxa"/>
            <w:noWrap/>
            <w:vAlign w:val="center"/>
          </w:tcPr>
          <w:p w14:paraId="69003130">
            <w:pPr>
              <w:widowControl/>
              <w:spacing w:line="360" w:lineRule="auto"/>
              <w:rPr>
                <w:rFonts w:ascii="Times New Roman" w:hAnsi="Times New Roman" w:eastAsia="宋体" w:cs="Times New Roman"/>
                <w:szCs w:val="24"/>
              </w:rPr>
            </w:pPr>
          </w:p>
        </w:tc>
        <w:tc>
          <w:tcPr>
            <w:tcW w:w="1134" w:type="dxa"/>
            <w:noWrap/>
            <w:vAlign w:val="center"/>
          </w:tcPr>
          <w:p w14:paraId="448EAE98">
            <w:pPr>
              <w:widowControl/>
              <w:spacing w:line="360" w:lineRule="auto"/>
              <w:rPr>
                <w:rFonts w:ascii="Times New Roman" w:hAnsi="Times New Roman" w:eastAsia="宋体" w:cs="Times New Roman"/>
                <w:szCs w:val="24"/>
              </w:rPr>
            </w:pPr>
          </w:p>
        </w:tc>
        <w:tc>
          <w:tcPr>
            <w:tcW w:w="709" w:type="dxa"/>
            <w:noWrap/>
            <w:vAlign w:val="center"/>
          </w:tcPr>
          <w:p w14:paraId="15FEFEB7">
            <w:pPr>
              <w:widowControl/>
              <w:spacing w:line="360" w:lineRule="auto"/>
              <w:rPr>
                <w:rFonts w:ascii="Times New Roman" w:hAnsi="Times New Roman" w:eastAsia="宋体" w:cs="Times New Roman"/>
                <w:szCs w:val="24"/>
              </w:rPr>
            </w:pPr>
          </w:p>
        </w:tc>
        <w:tc>
          <w:tcPr>
            <w:tcW w:w="1134" w:type="dxa"/>
            <w:noWrap/>
            <w:vAlign w:val="center"/>
          </w:tcPr>
          <w:p w14:paraId="1BE6A715">
            <w:pPr>
              <w:widowControl/>
              <w:spacing w:line="360" w:lineRule="auto"/>
              <w:rPr>
                <w:rFonts w:ascii="Times New Roman" w:hAnsi="Times New Roman" w:eastAsia="宋体" w:cs="Times New Roman"/>
                <w:szCs w:val="24"/>
              </w:rPr>
            </w:pPr>
          </w:p>
        </w:tc>
        <w:tc>
          <w:tcPr>
            <w:tcW w:w="850" w:type="dxa"/>
            <w:noWrap/>
            <w:vAlign w:val="center"/>
          </w:tcPr>
          <w:p w14:paraId="5281778B">
            <w:pPr>
              <w:widowControl/>
              <w:spacing w:line="360" w:lineRule="auto"/>
              <w:rPr>
                <w:rFonts w:ascii="Times New Roman" w:hAnsi="Times New Roman" w:eastAsia="宋体" w:cs="Times New Roman"/>
                <w:szCs w:val="24"/>
              </w:rPr>
            </w:pPr>
          </w:p>
        </w:tc>
        <w:tc>
          <w:tcPr>
            <w:tcW w:w="1134" w:type="dxa"/>
            <w:noWrap/>
            <w:vAlign w:val="center"/>
          </w:tcPr>
          <w:p w14:paraId="7F4CA07E">
            <w:pPr>
              <w:widowControl/>
              <w:spacing w:line="360" w:lineRule="auto"/>
              <w:rPr>
                <w:rFonts w:ascii="Times New Roman" w:hAnsi="Times New Roman" w:eastAsia="宋体" w:cs="Times New Roman"/>
                <w:szCs w:val="24"/>
              </w:rPr>
            </w:pPr>
          </w:p>
        </w:tc>
        <w:tc>
          <w:tcPr>
            <w:tcW w:w="709" w:type="dxa"/>
            <w:vAlign w:val="center"/>
          </w:tcPr>
          <w:p w14:paraId="2EB28A18">
            <w:pPr>
              <w:widowControl/>
              <w:spacing w:line="360" w:lineRule="auto"/>
              <w:rPr>
                <w:rFonts w:ascii="Times New Roman" w:hAnsi="Times New Roman" w:eastAsia="宋体" w:cs="Times New Roman"/>
                <w:szCs w:val="24"/>
              </w:rPr>
            </w:pPr>
          </w:p>
        </w:tc>
        <w:tc>
          <w:tcPr>
            <w:tcW w:w="1134" w:type="dxa"/>
            <w:noWrap/>
            <w:vAlign w:val="center"/>
          </w:tcPr>
          <w:p w14:paraId="0EFBDC59">
            <w:pPr>
              <w:widowControl/>
              <w:spacing w:line="360" w:lineRule="auto"/>
              <w:rPr>
                <w:rFonts w:ascii="Times New Roman" w:hAnsi="Times New Roman" w:eastAsia="宋体" w:cs="Times New Roman"/>
                <w:szCs w:val="24"/>
              </w:rPr>
            </w:pPr>
          </w:p>
        </w:tc>
        <w:tc>
          <w:tcPr>
            <w:tcW w:w="1094" w:type="dxa"/>
            <w:noWrap/>
            <w:vAlign w:val="center"/>
          </w:tcPr>
          <w:p w14:paraId="279D162F">
            <w:pPr>
              <w:widowControl/>
              <w:spacing w:line="360" w:lineRule="auto"/>
              <w:rPr>
                <w:rFonts w:ascii="Times New Roman" w:hAnsi="Times New Roman" w:eastAsia="宋体" w:cs="Times New Roman"/>
                <w:szCs w:val="24"/>
              </w:rPr>
            </w:pPr>
          </w:p>
        </w:tc>
        <w:tc>
          <w:tcPr>
            <w:tcW w:w="1047" w:type="dxa"/>
            <w:noWrap/>
            <w:vAlign w:val="center"/>
          </w:tcPr>
          <w:p w14:paraId="3343DAA8">
            <w:pPr>
              <w:widowControl/>
              <w:spacing w:line="360" w:lineRule="auto"/>
              <w:rPr>
                <w:rFonts w:ascii="Times New Roman" w:hAnsi="Times New Roman" w:eastAsia="宋体" w:cs="Times New Roman"/>
                <w:szCs w:val="24"/>
              </w:rPr>
            </w:pPr>
          </w:p>
        </w:tc>
      </w:tr>
      <w:tr w14:paraId="30F2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6" w:type="dxa"/>
            <w:noWrap/>
            <w:vAlign w:val="center"/>
          </w:tcPr>
          <w:p w14:paraId="6ED1C4A9">
            <w:pPr>
              <w:widowControl/>
              <w:spacing w:line="360" w:lineRule="auto"/>
              <w:rPr>
                <w:rFonts w:ascii="Times New Roman" w:hAnsi="Times New Roman" w:eastAsia="宋体" w:cs="Times New Roman"/>
                <w:szCs w:val="24"/>
              </w:rPr>
            </w:pPr>
          </w:p>
        </w:tc>
        <w:tc>
          <w:tcPr>
            <w:tcW w:w="1134" w:type="dxa"/>
            <w:noWrap/>
            <w:vAlign w:val="center"/>
          </w:tcPr>
          <w:p w14:paraId="67073E72">
            <w:pPr>
              <w:widowControl/>
              <w:spacing w:line="360" w:lineRule="auto"/>
              <w:rPr>
                <w:rFonts w:ascii="Times New Roman" w:hAnsi="Times New Roman" w:eastAsia="宋体" w:cs="Times New Roman"/>
                <w:szCs w:val="24"/>
              </w:rPr>
            </w:pPr>
          </w:p>
        </w:tc>
        <w:tc>
          <w:tcPr>
            <w:tcW w:w="709" w:type="dxa"/>
            <w:noWrap/>
            <w:vAlign w:val="center"/>
          </w:tcPr>
          <w:p w14:paraId="3CCEF711">
            <w:pPr>
              <w:widowControl/>
              <w:spacing w:line="360" w:lineRule="auto"/>
              <w:rPr>
                <w:rFonts w:ascii="Times New Roman" w:hAnsi="Times New Roman" w:eastAsia="宋体" w:cs="Times New Roman"/>
                <w:szCs w:val="24"/>
              </w:rPr>
            </w:pPr>
          </w:p>
        </w:tc>
        <w:tc>
          <w:tcPr>
            <w:tcW w:w="1134" w:type="dxa"/>
            <w:noWrap/>
            <w:vAlign w:val="center"/>
          </w:tcPr>
          <w:p w14:paraId="676D93DC">
            <w:pPr>
              <w:widowControl/>
              <w:spacing w:line="360" w:lineRule="auto"/>
              <w:rPr>
                <w:rFonts w:ascii="Times New Roman" w:hAnsi="Times New Roman" w:eastAsia="宋体" w:cs="Times New Roman"/>
                <w:szCs w:val="24"/>
              </w:rPr>
            </w:pPr>
          </w:p>
        </w:tc>
        <w:tc>
          <w:tcPr>
            <w:tcW w:w="850" w:type="dxa"/>
            <w:noWrap/>
            <w:vAlign w:val="center"/>
          </w:tcPr>
          <w:p w14:paraId="2E7F9369">
            <w:pPr>
              <w:widowControl/>
              <w:spacing w:line="360" w:lineRule="auto"/>
              <w:rPr>
                <w:rFonts w:ascii="Times New Roman" w:hAnsi="Times New Roman" w:eastAsia="宋体" w:cs="Times New Roman"/>
                <w:szCs w:val="24"/>
              </w:rPr>
            </w:pPr>
          </w:p>
        </w:tc>
        <w:tc>
          <w:tcPr>
            <w:tcW w:w="1134" w:type="dxa"/>
            <w:noWrap/>
            <w:vAlign w:val="center"/>
          </w:tcPr>
          <w:p w14:paraId="343C8BC9">
            <w:pPr>
              <w:widowControl/>
              <w:spacing w:line="360" w:lineRule="auto"/>
              <w:rPr>
                <w:rFonts w:ascii="Times New Roman" w:hAnsi="Times New Roman" w:eastAsia="宋体" w:cs="Times New Roman"/>
                <w:szCs w:val="24"/>
              </w:rPr>
            </w:pPr>
          </w:p>
        </w:tc>
        <w:tc>
          <w:tcPr>
            <w:tcW w:w="709" w:type="dxa"/>
            <w:vAlign w:val="center"/>
          </w:tcPr>
          <w:p w14:paraId="6C6E13FD">
            <w:pPr>
              <w:widowControl/>
              <w:spacing w:line="360" w:lineRule="auto"/>
              <w:rPr>
                <w:rFonts w:ascii="Times New Roman" w:hAnsi="Times New Roman" w:eastAsia="宋体" w:cs="Times New Roman"/>
                <w:szCs w:val="24"/>
              </w:rPr>
            </w:pPr>
          </w:p>
        </w:tc>
        <w:tc>
          <w:tcPr>
            <w:tcW w:w="1134" w:type="dxa"/>
            <w:noWrap/>
            <w:vAlign w:val="center"/>
          </w:tcPr>
          <w:p w14:paraId="3EEC2D19">
            <w:pPr>
              <w:widowControl/>
              <w:spacing w:line="360" w:lineRule="auto"/>
              <w:rPr>
                <w:rFonts w:ascii="Times New Roman" w:hAnsi="Times New Roman" w:eastAsia="宋体" w:cs="Times New Roman"/>
                <w:szCs w:val="24"/>
              </w:rPr>
            </w:pPr>
          </w:p>
        </w:tc>
        <w:tc>
          <w:tcPr>
            <w:tcW w:w="1094" w:type="dxa"/>
            <w:noWrap/>
            <w:vAlign w:val="center"/>
          </w:tcPr>
          <w:p w14:paraId="5F4BACC9">
            <w:pPr>
              <w:widowControl/>
              <w:spacing w:line="360" w:lineRule="auto"/>
              <w:rPr>
                <w:rFonts w:ascii="Times New Roman" w:hAnsi="Times New Roman" w:eastAsia="宋体" w:cs="Times New Roman"/>
                <w:szCs w:val="24"/>
              </w:rPr>
            </w:pPr>
          </w:p>
        </w:tc>
        <w:tc>
          <w:tcPr>
            <w:tcW w:w="1047" w:type="dxa"/>
            <w:noWrap/>
            <w:vAlign w:val="center"/>
          </w:tcPr>
          <w:p w14:paraId="4AD25A91">
            <w:pPr>
              <w:widowControl/>
              <w:spacing w:line="360" w:lineRule="auto"/>
              <w:rPr>
                <w:rFonts w:ascii="Times New Roman" w:hAnsi="Times New Roman" w:eastAsia="宋体" w:cs="Times New Roman"/>
                <w:szCs w:val="24"/>
              </w:rPr>
            </w:pPr>
          </w:p>
        </w:tc>
      </w:tr>
      <w:tr w14:paraId="0940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6" w:type="dxa"/>
            <w:noWrap/>
            <w:vAlign w:val="center"/>
          </w:tcPr>
          <w:p w14:paraId="6F19CA55">
            <w:pPr>
              <w:widowControl/>
              <w:spacing w:line="360" w:lineRule="auto"/>
              <w:rPr>
                <w:rFonts w:ascii="Times New Roman" w:hAnsi="Times New Roman" w:eastAsia="宋体" w:cs="Times New Roman"/>
                <w:szCs w:val="24"/>
              </w:rPr>
            </w:pPr>
          </w:p>
        </w:tc>
        <w:tc>
          <w:tcPr>
            <w:tcW w:w="1134" w:type="dxa"/>
            <w:noWrap/>
            <w:vAlign w:val="center"/>
          </w:tcPr>
          <w:p w14:paraId="4179313E">
            <w:pPr>
              <w:widowControl/>
              <w:spacing w:line="360" w:lineRule="auto"/>
              <w:rPr>
                <w:rFonts w:ascii="Times New Roman" w:hAnsi="Times New Roman" w:eastAsia="宋体" w:cs="Times New Roman"/>
                <w:szCs w:val="24"/>
              </w:rPr>
            </w:pPr>
          </w:p>
        </w:tc>
        <w:tc>
          <w:tcPr>
            <w:tcW w:w="709" w:type="dxa"/>
            <w:noWrap/>
            <w:vAlign w:val="center"/>
          </w:tcPr>
          <w:p w14:paraId="3EE0F402">
            <w:pPr>
              <w:widowControl/>
              <w:spacing w:line="360" w:lineRule="auto"/>
              <w:rPr>
                <w:rFonts w:ascii="Times New Roman" w:hAnsi="Times New Roman" w:eastAsia="宋体" w:cs="Times New Roman"/>
                <w:szCs w:val="24"/>
              </w:rPr>
            </w:pPr>
          </w:p>
        </w:tc>
        <w:tc>
          <w:tcPr>
            <w:tcW w:w="1134" w:type="dxa"/>
            <w:noWrap/>
            <w:vAlign w:val="center"/>
          </w:tcPr>
          <w:p w14:paraId="42AC3350">
            <w:pPr>
              <w:widowControl/>
              <w:spacing w:line="360" w:lineRule="auto"/>
              <w:rPr>
                <w:rFonts w:ascii="Times New Roman" w:hAnsi="Times New Roman" w:eastAsia="宋体" w:cs="Times New Roman"/>
                <w:szCs w:val="24"/>
              </w:rPr>
            </w:pPr>
          </w:p>
        </w:tc>
        <w:tc>
          <w:tcPr>
            <w:tcW w:w="850" w:type="dxa"/>
            <w:noWrap/>
            <w:vAlign w:val="center"/>
          </w:tcPr>
          <w:p w14:paraId="6E3F775A">
            <w:pPr>
              <w:widowControl/>
              <w:spacing w:line="360" w:lineRule="auto"/>
              <w:rPr>
                <w:rFonts w:ascii="Times New Roman" w:hAnsi="Times New Roman" w:eastAsia="宋体" w:cs="Times New Roman"/>
                <w:szCs w:val="24"/>
              </w:rPr>
            </w:pPr>
          </w:p>
        </w:tc>
        <w:tc>
          <w:tcPr>
            <w:tcW w:w="1134" w:type="dxa"/>
            <w:noWrap/>
            <w:vAlign w:val="center"/>
          </w:tcPr>
          <w:p w14:paraId="675F3BF9">
            <w:pPr>
              <w:widowControl/>
              <w:spacing w:line="360" w:lineRule="auto"/>
              <w:rPr>
                <w:rFonts w:ascii="Times New Roman" w:hAnsi="Times New Roman" w:eastAsia="宋体" w:cs="Times New Roman"/>
                <w:szCs w:val="24"/>
              </w:rPr>
            </w:pPr>
          </w:p>
        </w:tc>
        <w:tc>
          <w:tcPr>
            <w:tcW w:w="709" w:type="dxa"/>
            <w:noWrap/>
            <w:vAlign w:val="center"/>
          </w:tcPr>
          <w:p w14:paraId="6F01794B">
            <w:pPr>
              <w:widowControl/>
              <w:spacing w:line="360" w:lineRule="auto"/>
              <w:rPr>
                <w:rFonts w:ascii="Times New Roman" w:hAnsi="Times New Roman" w:eastAsia="宋体" w:cs="Times New Roman"/>
                <w:szCs w:val="24"/>
              </w:rPr>
            </w:pPr>
          </w:p>
        </w:tc>
        <w:tc>
          <w:tcPr>
            <w:tcW w:w="1134" w:type="dxa"/>
            <w:noWrap/>
            <w:vAlign w:val="center"/>
          </w:tcPr>
          <w:p w14:paraId="7170171F">
            <w:pPr>
              <w:widowControl/>
              <w:spacing w:line="360" w:lineRule="auto"/>
              <w:rPr>
                <w:rFonts w:ascii="Times New Roman" w:hAnsi="Times New Roman" w:eastAsia="宋体" w:cs="Times New Roman"/>
                <w:szCs w:val="24"/>
              </w:rPr>
            </w:pPr>
          </w:p>
        </w:tc>
        <w:tc>
          <w:tcPr>
            <w:tcW w:w="1094" w:type="dxa"/>
            <w:noWrap/>
            <w:vAlign w:val="center"/>
          </w:tcPr>
          <w:p w14:paraId="3E71B21E">
            <w:pPr>
              <w:widowControl/>
              <w:spacing w:line="360" w:lineRule="auto"/>
              <w:rPr>
                <w:rFonts w:ascii="Times New Roman" w:hAnsi="Times New Roman" w:eastAsia="宋体" w:cs="Times New Roman"/>
                <w:szCs w:val="24"/>
              </w:rPr>
            </w:pPr>
          </w:p>
        </w:tc>
        <w:tc>
          <w:tcPr>
            <w:tcW w:w="1047" w:type="dxa"/>
            <w:noWrap/>
            <w:vAlign w:val="center"/>
          </w:tcPr>
          <w:p w14:paraId="5A138EB7">
            <w:pPr>
              <w:widowControl/>
              <w:spacing w:line="360" w:lineRule="auto"/>
              <w:rPr>
                <w:rFonts w:ascii="Times New Roman" w:hAnsi="Times New Roman" w:eastAsia="宋体" w:cs="Times New Roman"/>
                <w:szCs w:val="24"/>
              </w:rPr>
            </w:pPr>
          </w:p>
        </w:tc>
      </w:tr>
      <w:tr w14:paraId="4AEE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ign w:val="center"/>
          </w:tcPr>
          <w:p w14:paraId="40572C1B">
            <w:pPr>
              <w:widowControl/>
              <w:spacing w:line="360" w:lineRule="auto"/>
              <w:rPr>
                <w:rFonts w:ascii="Times New Roman" w:hAnsi="Times New Roman" w:eastAsia="宋体" w:cs="Times New Roman"/>
                <w:szCs w:val="24"/>
              </w:rPr>
            </w:pPr>
          </w:p>
        </w:tc>
        <w:tc>
          <w:tcPr>
            <w:tcW w:w="1134" w:type="dxa"/>
            <w:noWrap/>
            <w:vAlign w:val="center"/>
          </w:tcPr>
          <w:p w14:paraId="07B8EBD5">
            <w:pPr>
              <w:widowControl/>
              <w:spacing w:line="360" w:lineRule="auto"/>
              <w:rPr>
                <w:rFonts w:ascii="Times New Roman" w:hAnsi="Times New Roman" w:eastAsia="宋体" w:cs="Times New Roman"/>
                <w:szCs w:val="24"/>
              </w:rPr>
            </w:pPr>
          </w:p>
        </w:tc>
        <w:tc>
          <w:tcPr>
            <w:tcW w:w="709" w:type="dxa"/>
            <w:noWrap/>
            <w:vAlign w:val="center"/>
          </w:tcPr>
          <w:p w14:paraId="749CB722">
            <w:pPr>
              <w:widowControl/>
              <w:spacing w:line="360" w:lineRule="auto"/>
              <w:rPr>
                <w:rFonts w:ascii="Times New Roman" w:hAnsi="Times New Roman" w:eastAsia="宋体" w:cs="Times New Roman"/>
                <w:szCs w:val="24"/>
              </w:rPr>
            </w:pPr>
          </w:p>
        </w:tc>
        <w:tc>
          <w:tcPr>
            <w:tcW w:w="1134" w:type="dxa"/>
            <w:noWrap/>
            <w:vAlign w:val="center"/>
          </w:tcPr>
          <w:p w14:paraId="24D0B5D6">
            <w:pPr>
              <w:widowControl/>
              <w:spacing w:line="360" w:lineRule="auto"/>
              <w:rPr>
                <w:rFonts w:ascii="Times New Roman" w:hAnsi="Times New Roman" w:eastAsia="宋体" w:cs="Times New Roman"/>
                <w:szCs w:val="24"/>
              </w:rPr>
            </w:pPr>
          </w:p>
        </w:tc>
        <w:tc>
          <w:tcPr>
            <w:tcW w:w="850" w:type="dxa"/>
            <w:noWrap/>
            <w:vAlign w:val="center"/>
          </w:tcPr>
          <w:p w14:paraId="568F59BE">
            <w:pPr>
              <w:widowControl/>
              <w:spacing w:line="360" w:lineRule="auto"/>
              <w:rPr>
                <w:rFonts w:ascii="Times New Roman" w:hAnsi="Times New Roman" w:eastAsia="宋体" w:cs="Times New Roman"/>
                <w:szCs w:val="24"/>
              </w:rPr>
            </w:pPr>
          </w:p>
        </w:tc>
        <w:tc>
          <w:tcPr>
            <w:tcW w:w="1134" w:type="dxa"/>
            <w:noWrap/>
            <w:vAlign w:val="center"/>
          </w:tcPr>
          <w:p w14:paraId="3136868C">
            <w:pPr>
              <w:widowControl/>
              <w:spacing w:line="360" w:lineRule="auto"/>
              <w:rPr>
                <w:rFonts w:ascii="Times New Roman" w:hAnsi="Times New Roman" w:eastAsia="宋体" w:cs="Times New Roman"/>
                <w:szCs w:val="24"/>
              </w:rPr>
            </w:pPr>
          </w:p>
        </w:tc>
        <w:tc>
          <w:tcPr>
            <w:tcW w:w="709" w:type="dxa"/>
            <w:noWrap/>
            <w:vAlign w:val="center"/>
          </w:tcPr>
          <w:p w14:paraId="37C5FFBB">
            <w:pPr>
              <w:widowControl/>
              <w:spacing w:line="360" w:lineRule="auto"/>
              <w:rPr>
                <w:rFonts w:ascii="Times New Roman" w:hAnsi="Times New Roman" w:eastAsia="宋体" w:cs="Times New Roman"/>
                <w:szCs w:val="24"/>
              </w:rPr>
            </w:pPr>
          </w:p>
        </w:tc>
        <w:tc>
          <w:tcPr>
            <w:tcW w:w="1134" w:type="dxa"/>
            <w:noWrap/>
            <w:vAlign w:val="center"/>
          </w:tcPr>
          <w:p w14:paraId="22665F7D">
            <w:pPr>
              <w:widowControl/>
              <w:spacing w:line="360" w:lineRule="auto"/>
              <w:rPr>
                <w:rFonts w:ascii="Times New Roman" w:hAnsi="Times New Roman" w:eastAsia="宋体" w:cs="Times New Roman"/>
                <w:szCs w:val="24"/>
              </w:rPr>
            </w:pPr>
          </w:p>
        </w:tc>
        <w:tc>
          <w:tcPr>
            <w:tcW w:w="1094" w:type="dxa"/>
            <w:noWrap/>
            <w:vAlign w:val="center"/>
          </w:tcPr>
          <w:p w14:paraId="1D2C56E7">
            <w:pPr>
              <w:widowControl/>
              <w:spacing w:line="360" w:lineRule="auto"/>
              <w:rPr>
                <w:rFonts w:ascii="Times New Roman" w:hAnsi="Times New Roman" w:eastAsia="宋体" w:cs="Times New Roman"/>
                <w:szCs w:val="24"/>
              </w:rPr>
            </w:pPr>
          </w:p>
        </w:tc>
        <w:tc>
          <w:tcPr>
            <w:tcW w:w="1047" w:type="dxa"/>
            <w:noWrap/>
            <w:vAlign w:val="center"/>
          </w:tcPr>
          <w:p w14:paraId="19E5F25B">
            <w:pPr>
              <w:widowControl/>
              <w:spacing w:line="360" w:lineRule="auto"/>
              <w:rPr>
                <w:rFonts w:ascii="Times New Roman" w:hAnsi="Times New Roman" w:eastAsia="宋体" w:cs="Times New Roman"/>
                <w:szCs w:val="24"/>
              </w:rPr>
            </w:pPr>
          </w:p>
        </w:tc>
      </w:tr>
    </w:tbl>
    <w:p w14:paraId="3DCE5DA3">
      <w:pPr>
        <w:spacing w:line="360" w:lineRule="auto"/>
        <w:ind w:firstLine="420"/>
        <w:rPr>
          <w:rFonts w:ascii="Times New Roman" w:hAnsi="Times New Roman" w:eastAsia="宋体" w:cs="Times New Roman"/>
          <w:szCs w:val="24"/>
        </w:rPr>
      </w:pPr>
    </w:p>
    <w:p w14:paraId="1826315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76A5BC72">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03B3D44D">
      <w:pPr>
        <w:spacing w:line="360" w:lineRule="auto"/>
        <w:ind w:firstLine="480"/>
        <w:rPr>
          <w:rFonts w:hint="eastAsia" w:ascii="宋体" w:hAnsi="宋体" w:eastAsia="宋体" w:cs="Times New Roman"/>
          <w:sz w:val="24"/>
          <w:szCs w:val="24"/>
        </w:rPr>
      </w:pPr>
      <w:r>
        <w:rPr>
          <w:rFonts w:hint="eastAsia" w:ascii="Times New Roman" w:hAnsi="Times New Roman" w:eastAsia="宋体" w:cs="Times New Roman"/>
          <w:sz w:val="24"/>
          <w:szCs w:val="24"/>
        </w:rPr>
        <w:t>日期：    年     月     日</w:t>
      </w:r>
    </w:p>
    <w:p w14:paraId="566B1D88">
      <w:pPr>
        <w:spacing w:line="360" w:lineRule="auto"/>
        <w:rPr>
          <w:rFonts w:hint="eastAsia" w:ascii="宋体" w:hAnsi="宋体" w:eastAsia="宋体" w:cs="Times New Roman"/>
          <w:sz w:val="24"/>
          <w:szCs w:val="24"/>
        </w:rPr>
      </w:pPr>
    </w:p>
    <w:p w14:paraId="77CDC2A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填报说明：</w:t>
      </w:r>
    </w:p>
    <w:p w14:paraId="04CA9C3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制造商企业类型”栏填写内容为“大型”“中型”“小型”“微型”“监狱企业”或“残疾人福利性单位”。如供应商提供的货物制造商全部为小微企业的，提供《中小企业声明函》（见格式）；供应商为残疾人福利性单位且提供的货物全部由残疾人福利性单位制造的，提供《残疾人福利性单位声明函》（见格式）；供应商为监狱企业或提供的货物由监狱企业制造的，提供由省级以上监狱管理局、戒毒管理局(含新疆生产建设兵团)出具的属于监狱企业的证明文件。否则不享受扶持政策。</w:t>
      </w:r>
    </w:p>
    <w:p w14:paraId="6FEDF7D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2、以上总价包含货物费用、运杂费、安装施工费、集成费、税金和其他费用。</w:t>
      </w:r>
    </w:p>
    <w:p w14:paraId="35062A15">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3、请供应商正确填写本表，所填内容将作为评审的依据，其内容应与对应的证明资料相符。</w:t>
      </w:r>
    </w:p>
    <w:p w14:paraId="4043B757">
      <w:pPr>
        <w:spacing w:line="360" w:lineRule="auto"/>
        <w:ind w:firstLine="480"/>
        <w:rPr>
          <w:rFonts w:hint="eastAsia" w:ascii="宋体" w:hAnsi="宋体" w:eastAsia="宋体" w:cs="Times New Roman"/>
          <w:b/>
          <w:bCs/>
          <w:sz w:val="24"/>
          <w:szCs w:val="24"/>
        </w:rPr>
      </w:pPr>
      <w:r>
        <w:rPr>
          <w:rFonts w:hint="eastAsia" w:ascii="宋体" w:hAnsi="宋体" w:eastAsia="宋体" w:cs="Times New Roman"/>
          <w:sz w:val="24"/>
          <w:szCs w:val="24"/>
        </w:rPr>
        <w:t>4、本表中事项填写不得有缺失，请如实填写，行数或事项不够，可自行增加。</w:t>
      </w:r>
    </w:p>
    <w:p w14:paraId="2A6E40DC">
      <w:pPr>
        <w:keepNext/>
        <w:tabs>
          <w:tab w:val="left" w:pos="1021"/>
        </w:tabs>
        <w:spacing w:line="360" w:lineRule="auto"/>
        <w:outlineLvl w:val="1"/>
        <w:rPr>
          <w:rFonts w:ascii="Times New Roman" w:hAnsi="Times New Roman" w:eastAsia="黑体" w:cs="Times New Roman"/>
          <w:b/>
          <w:sz w:val="28"/>
          <w:szCs w:val="20"/>
        </w:rPr>
      </w:pPr>
      <w:r>
        <w:rPr>
          <w:rFonts w:ascii="Times New Roman" w:hAnsi="Times New Roman" w:eastAsia="黑体" w:cs="Times New Roman"/>
          <w:sz w:val="28"/>
          <w:szCs w:val="20"/>
        </w:rPr>
        <w:br w:type="page" w:clear="all"/>
      </w:r>
      <w:r>
        <w:rPr>
          <w:rFonts w:hint="eastAsia" w:ascii="宋体" w:hAnsi="宋体" w:eastAsia="宋体" w:cs="Times New Roman"/>
          <w:sz w:val="24"/>
          <w:szCs w:val="24"/>
        </w:rPr>
        <w:t>格式4、中小企业声明函</w:t>
      </w:r>
    </w:p>
    <w:p w14:paraId="01096F8D">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中小企业声明函</w:t>
      </w:r>
    </w:p>
    <w:p w14:paraId="7188B4B3">
      <w:pPr>
        <w:jc w:val="left"/>
        <w:rPr>
          <w:rFonts w:ascii="MS Mincho" w:hAnsi="Calibri" w:eastAsia="宋体" w:cs="Times New Roman"/>
          <w:szCs w:val="24"/>
        </w:rPr>
      </w:pPr>
    </w:p>
    <w:p w14:paraId="77AB7C6A">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本公司郑重声明，根据《政府采购促进中小企业发展管理办法》（财库﹝2020﹞46号）的规定，本公司参加</w:t>
      </w:r>
      <w:r>
        <w:rPr>
          <w:rFonts w:ascii="宋体" w:hAnsi="宋体" w:eastAsia="宋体" w:cs="Times New Roman"/>
          <w:sz w:val="24"/>
          <w:szCs w:val="24"/>
          <w:u w:val="single"/>
        </w:rPr>
        <w:t>（单位名称）</w:t>
      </w:r>
      <w:r>
        <w:rPr>
          <w:rFonts w:ascii="宋体" w:hAnsi="宋体" w:eastAsia="宋体" w:cs="Times New Roman"/>
          <w:sz w:val="24"/>
          <w:szCs w:val="24"/>
        </w:rPr>
        <w:t>的</w:t>
      </w:r>
      <w:r>
        <w:rPr>
          <w:rFonts w:ascii="宋体" w:hAnsi="宋体" w:eastAsia="宋体" w:cs="Times New Roman"/>
          <w:sz w:val="24"/>
          <w:szCs w:val="24"/>
          <w:u w:val="single"/>
        </w:rPr>
        <w:t>（项目名称）</w:t>
      </w:r>
      <w:r>
        <w:rPr>
          <w:rFonts w:ascii="宋体" w:hAnsi="宋体" w:eastAsia="宋体" w:cs="Times New Roman"/>
          <w:sz w:val="24"/>
          <w:szCs w:val="24"/>
        </w:rPr>
        <w:t>采购活动，提供的货物全部由符合政策要求的中小企业制造。相关企业的具体情况如下：</w:t>
      </w:r>
    </w:p>
    <w:p w14:paraId="75BEA273">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 1. </w:t>
      </w:r>
      <w:r>
        <w:rPr>
          <w:rFonts w:ascii="宋体" w:hAnsi="宋体" w:eastAsia="宋体" w:cs="Times New Roman"/>
          <w:sz w:val="24"/>
          <w:szCs w:val="24"/>
          <w:u w:val="single"/>
        </w:rPr>
        <w:t>（</w:t>
      </w:r>
      <w:r>
        <w:rPr>
          <w:rFonts w:hint="eastAsia" w:ascii="宋体" w:hAnsi="宋体" w:eastAsia="宋体" w:cs="Times New Roman"/>
          <w:sz w:val="24"/>
          <w:szCs w:val="24"/>
          <w:u w:val="single"/>
        </w:rPr>
        <w:t>货物</w:t>
      </w:r>
      <w:r>
        <w:rPr>
          <w:rFonts w:ascii="宋体" w:hAnsi="宋体" w:eastAsia="宋体" w:cs="Times New Roman"/>
          <w:sz w:val="24"/>
          <w:szCs w:val="24"/>
          <w:u w:val="single"/>
        </w:rPr>
        <w:t xml:space="preserve">名称） </w:t>
      </w:r>
      <w:r>
        <w:rPr>
          <w:rFonts w:ascii="宋体" w:hAnsi="宋体" w:eastAsia="宋体" w:cs="Times New Roman"/>
          <w:sz w:val="24"/>
          <w:szCs w:val="24"/>
        </w:rPr>
        <w:t>，属于</w:t>
      </w:r>
      <w:r>
        <w:rPr>
          <w:rFonts w:ascii="宋体" w:hAnsi="宋体" w:eastAsia="宋体" w:cs="Times New Roman"/>
          <w:sz w:val="24"/>
          <w:szCs w:val="24"/>
          <w:u w:val="single"/>
        </w:rPr>
        <w:t xml:space="preserve">（采购文件中明确的所属行业） </w:t>
      </w:r>
      <w:r>
        <w:rPr>
          <w:rFonts w:ascii="宋体" w:hAnsi="宋体" w:eastAsia="宋体" w:cs="Times New Roman"/>
          <w:sz w:val="24"/>
          <w:szCs w:val="24"/>
        </w:rPr>
        <w:t>行业；制造商为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rPr>
        <w:t>万元，属于</w:t>
      </w:r>
      <w:r>
        <w:rPr>
          <w:rFonts w:ascii="宋体" w:hAnsi="宋体" w:eastAsia="宋体" w:cs="Times New Roman"/>
          <w:sz w:val="24"/>
          <w:szCs w:val="24"/>
          <w:u w:val="single"/>
        </w:rPr>
        <w:t>（</w:t>
      </w:r>
      <w:r>
        <w:rPr>
          <w:rFonts w:hint="eastAsia" w:ascii="宋体" w:hAnsi="宋体" w:eastAsia="宋体" w:cs="Times New Roman"/>
          <w:sz w:val="24"/>
          <w:szCs w:val="24"/>
          <w:u w:val="single"/>
        </w:rPr>
        <w:t>中型企业、</w:t>
      </w:r>
      <w:r>
        <w:rPr>
          <w:rFonts w:ascii="宋体" w:hAnsi="宋体" w:eastAsia="宋体" w:cs="Times New Roman"/>
          <w:sz w:val="24"/>
          <w:szCs w:val="24"/>
          <w:u w:val="single"/>
        </w:rPr>
        <w:t>小型企业、微型企业）</w:t>
      </w:r>
      <w:r>
        <w:rPr>
          <w:rFonts w:ascii="宋体" w:hAnsi="宋体" w:eastAsia="宋体" w:cs="Times New Roman"/>
          <w:sz w:val="24"/>
          <w:szCs w:val="24"/>
        </w:rPr>
        <w:t xml:space="preserve">； </w:t>
      </w:r>
    </w:p>
    <w:p w14:paraId="0D39974C">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sz w:val="24"/>
          <w:szCs w:val="24"/>
          <w:u w:val="single"/>
        </w:rPr>
        <w:t>（</w:t>
      </w:r>
      <w:r>
        <w:rPr>
          <w:rFonts w:hint="eastAsia" w:ascii="宋体" w:hAnsi="宋体" w:eastAsia="宋体" w:cs="Times New Roman"/>
          <w:sz w:val="24"/>
          <w:szCs w:val="24"/>
          <w:u w:val="single"/>
        </w:rPr>
        <w:t>货物</w:t>
      </w:r>
      <w:r>
        <w:rPr>
          <w:rFonts w:ascii="宋体" w:hAnsi="宋体" w:eastAsia="宋体" w:cs="Times New Roman"/>
          <w:sz w:val="24"/>
          <w:szCs w:val="24"/>
          <w:u w:val="single"/>
        </w:rPr>
        <w:t xml:space="preserve">名称） </w:t>
      </w:r>
      <w:r>
        <w:rPr>
          <w:rFonts w:ascii="宋体" w:hAnsi="宋体" w:eastAsia="宋体" w:cs="Times New Roman"/>
          <w:sz w:val="24"/>
          <w:szCs w:val="24"/>
        </w:rPr>
        <w:t>，属于</w:t>
      </w:r>
      <w:r>
        <w:rPr>
          <w:rFonts w:ascii="宋体" w:hAnsi="宋体" w:eastAsia="宋体" w:cs="Times New Roman"/>
          <w:sz w:val="24"/>
          <w:szCs w:val="24"/>
          <w:u w:val="single"/>
        </w:rPr>
        <w:t xml:space="preserve">（采购文件中明确的所属行业） </w:t>
      </w:r>
      <w:r>
        <w:rPr>
          <w:rFonts w:ascii="宋体" w:hAnsi="宋体" w:eastAsia="宋体" w:cs="Times New Roman"/>
          <w:sz w:val="24"/>
          <w:szCs w:val="24"/>
        </w:rPr>
        <w:t>行业；制造商为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rPr>
        <w:t>万元，属于</w:t>
      </w:r>
      <w:r>
        <w:rPr>
          <w:rFonts w:ascii="宋体" w:hAnsi="宋体" w:eastAsia="宋体" w:cs="Times New Roman"/>
          <w:sz w:val="24"/>
          <w:szCs w:val="24"/>
          <w:u w:val="single"/>
        </w:rPr>
        <w:t>（</w:t>
      </w:r>
      <w:r>
        <w:rPr>
          <w:rFonts w:hint="eastAsia" w:ascii="宋体" w:hAnsi="宋体" w:eastAsia="宋体" w:cs="Times New Roman"/>
          <w:sz w:val="24"/>
          <w:szCs w:val="24"/>
          <w:u w:val="single"/>
        </w:rPr>
        <w:t>中型企业、</w:t>
      </w:r>
      <w:r>
        <w:rPr>
          <w:rFonts w:ascii="宋体" w:hAnsi="宋体" w:eastAsia="宋体" w:cs="Times New Roman"/>
          <w:sz w:val="24"/>
          <w:szCs w:val="24"/>
          <w:u w:val="single"/>
        </w:rPr>
        <w:t>小型企业、微型企业）</w:t>
      </w:r>
      <w:r>
        <w:rPr>
          <w:rFonts w:ascii="宋体" w:hAnsi="宋体" w:eastAsia="宋体" w:cs="Times New Roman"/>
          <w:sz w:val="24"/>
          <w:szCs w:val="24"/>
        </w:rPr>
        <w:t>；</w:t>
      </w:r>
    </w:p>
    <w:p w14:paraId="2EBD36A2">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 …… </w:t>
      </w:r>
    </w:p>
    <w:p w14:paraId="6F352A6D">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以上企业，不属于大企业的分支机构，不存在控股股东为大企业的情形，也不存在与大企业的负责人为同一人的情形。 </w:t>
      </w:r>
    </w:p>
    <w:p w14:paraId="0A4B81F4">
      <w:pPr>
        <w:spacing w:line="360" w:lineRule="auto"/>
        <w:ind w:firstLine="480"/>
        <w:rPr>
          <w:rFonts w:hint="eastAsia" w:ascii="宋体" w:hAnsi="宋体" w:eastAsia="宋体" w:cs="Times New Roman"/>
          <w:sz w:val="24"/>
          <w:szCs w:val="24"/>
        </w:rPr>
      </w:pPr>
      <w:r>
        <w:rPr>
          <w:rFonts w:ascii="宋体" w:hAnsi="宋体" w:eastAsia="宋体" w:cs="Times New Roman"/>
          <w:sz w:val="24"/>
          <w:szCs w:val="24"/>
        </w:rPr>
        <w:t xml:space="preserve">本企业对上述声明内容的真实性负责。如有虚假，将依法承担相应责任。 </w:t>
      </w:r>
    </w:p>
    <w:p w14:paraId="1EB9E4E6">
      <w:pPr>
        <w:spacing w:line="360" w:lineRule="auto"/>
        <w:ind w:firstLine="480"/>
        <w:rPr>
          <w:rFonts w:hint="eastAsia" w:ascii="宋体" w:hAnsi="宋体" w:eastAsia="宋体" w:cs="Times New Roman"/>
          <w:sz w:val="24"/>
          <w:szCs w:val="24"/>
        </w:rPr>
      </w:pPr>
    </w:p>
    <w:p w14:paraId="03BEF97F">
      <w:pPr>
        <w:spacing w:line="360" w:lineRule="auto"/>
        <w:ind w:right="480" w:firstLine="4920"/>
        <w:rPr>
          <w:rFonts w:hint="eastAsia" w:ascii="宋体" w:hAnsi="宋体" w:eastAsia="宋体" w:cs="Times New Roman"/>
          <w:sz w:val="24"/>
          <w:szCs w:val="24"/>
        </w:rPr>
      </w:pPr>
    </w:p>
    <w:p w14:paraId="5823C3BA">
      <w:pPr>
        <w:spacing w:line="360" w:lineRule="auto"/>
        <w:ind w:right="480" w:firstLine="4920"/>
        <w:rPr>
          <w:rFonts w:hint="eastAsia" w:ascii="宋体" w:hAnsi="宋体" w:eastAsia="宋体" w:cs="Times New Roman"/>
          <w:sz w:val="24"/>
          <w:szCs w:val="24"/>
        </w:rPr>
      </w:pPr>
      <w:r>
        <w:rPr>
          <w:rFonts w:ascii="宋体" w:hAnsi="宋体" w:eastAsia="宋体" w:cs="Times New Roman"/>
          <w:sz w:val="24"/>
          <w:szCs w:val="24"/>
        </w:rPr>
        <w:t>企业名称（盖章）：</w:t>
      </w:r>
    </w:p>
    <w:p w14:paraId="009D3965">
      <w:pPr>
        <w:spacing w:line="360" w:lineRule="auto"/>
        <w:ind w:right="480" w:firstLine="4920"/>
        <w:rPr>
          <w:rFonts w:hint="eastAsia" w:ascii="宋体" w:hAnsi="宋体" w:eastAsia="宋体" w:cs="Times New Roman"/>
          <w:sz w:val="24"/>
          <w:szCs w:val="24"/>
        </w:rPr>
      </w:pPr>
      <w:r>
        <w:rPr>
          <w:rFonts w:ascii="宋体" w:hAnsi="宋体" w:eastAsia="宋体" w:cs="Times New Roman"/>
          <w:sz w:val="24"/>
          <w:szCs w:val="24"/>
        </w:rPr>
        <w:t>日 期：</w:t>
      </w:r>
      <w:r>
        <w:rPr>
          <w:rFonts w:hint="eastAsia" w:ascii="宋体" w:hAnsi="宋体" w:eastAsia="宋体" w:cs="Times New Roman"/>
          <w:sz w:val="24"/>
          <w:szCs w:val="24"/>
        </w:rPr>
        <w:t xml:space="preserve">   年   月   日</w:t>
      </w:r>
    </w:p>
    <w:p w14:paraId="4EC6ACFD">
      <w:pPr>
        <w:spacing w:line="360" w:lineRule="auto"/>
        <w:ind w:right="480" w:firstLine="482"/>
        <w:rPr>
          <w:rFonts w:hint="eastAsia" w:ascii="宋体" w:hAnsi="宋体" w:eastAsia="宋体" w:cs="Times New Roman"/>
          <w:b/>
          <w:sz w:val="24"/>
          <w:szCs w:val="24"/>
        </w:rPr>
      </w:pPr>
    </w:p>
    <w:p w14:paraId="687FD04A">
      <w:pPr>
        <w:spacing w:line="360" w:lineRule="auto"/>
        <w:ind w:right="480" w:firstLine="482"/>
        <w:rPr>
          <w:rFonts w:hint="eastAsia" w:ascii="宋体" w:hAnsi="宋体" w:eastAsia="宋体" w:cs="Times New Roman"/>
          <w:b/>
          <w:sz w:val="24"/>
          <w:szCs w:val="24"/>
        </w:rPr>
      </w:pPr>
    </w:p>
    <w:p w14:paraId="143191EF">
      <w:pPr>
        <w:spacing w:line="360" w:lineRule="auto"/>
        <w:ind w:right="480" w:firstLine="482"/>
        <w:rPr>
          <w:rFonts w:hint="eastAsia" w:ascii="宋体" w:hAnsi="宋体" w:eastAsia="宋体" w:cs="Times New Roman"/>
          <w:b/>
          <w:sz w:val="24"/>
          <w:szCs w:val="24"/>
        </w:rPr>
      </w:pPr>
    </w:p>
    <w:p w14:paraId="56145458">
      <w:pPr>
        <w:spacing w:line="360" w:lineRule="auto"/>
        <w:ind w:right="480" w:firstLine="482"/>
        <w:rPr>
          <w:rFonts w:hint="eastAsia" w:ascii="宋体" w:hAnsi="宋体" w:eastAsia="宋体" w:cs="Times New Roman"/>
          <w:b/>
          <w:sz w:val="24"/>
          <w:szCs w:val="24"/>
        </w:rPr>
      </w:pPr>
    </w:p>
    <w:p w14:paraId="7D856FFB">
      <w:pPr>
        <w:spacing w:line="360" w:lineRule="auto"/>
        <w:ind w:right="480" w:firstLine="480"/>
        <w:rPr>
          <w:rFonts w:hint="eastAsia" w:ascii="宋体" w:hAnsi="宋体" w:eastAsia="宋体" w:cs="Times New Roman"/>
          <w:sz w:val="24"/>
          <w:szCs w:val="24"/>
        </w:rPr>
      </w:pPr>
      <w:r>
        <w:rPr>
          <w:rFonts w:hint="eastAsia" w:ascii="宋体" w:hAnsi="宋体" w:eastAsia="宋体" w:cs="Times New Roman"/>
          <w:sz w:val="24"/>
          <w:szCs w:val="24"/>
        </w:rPr>
        <w:t>填报说明：</w:t>
      </w:r>
    </w:p>
    <w:p w14:paraId="084BF825">
      <w:pPr>
        <w:spacing w:line="360" w:lineRule="auto"/>
        <w:ind w:right="480" w:firstLine="480"/>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从业人员、营业收入、资产总额填报上一年度数据，无上一年度数据的新成立企业可不填报。</w:t>
      </w:r>
    </w:p>
    <w:p w14:paraId="344CB73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2、请供应商如实填写，所填内容将作为评审的依据。其内容填写须与报价明细表一致，如填写不完整或不一致或填写错误，将不享受扶持政策。</w:t>
      </w:r>
    </w:p>
    <w:p w14:paraId="2103E40B">
      <w:pPr>
        <w:spacing w:line="360" w:lineRule="auto"/>
        <w:ind w:firstLine="480"/>
        <w:rPr>
          <w:rFonts w:hint="eastAsia" w:ascii="宋体" w:hAnsi="宋体" w:eastAsia="宋体" w:cs="Times New Roman"/>
          <w:b/>
          <w:sz w:val="24"/>
          <w:szCs w:val="24"/>
        </w:rPr>
      </w:pPr>
      <w:r>
        <w:rPr>
          <w:rFonts w:hint="eastAsia" w:ascii="宋体" w:hAnsi="宋体" w:eastAsia="宋体" w:cs="Times New Roman"/>
          <w:sz w:val="24"/>
          <w:szCs w:val="24"/>
        </w:rPr>
        <w:t>3、中标供应商的《中小企业声明函》随中标结果公开。</w:t>
      </w:r>
    </w:p>
    <w:p w14:paraId="53F9AA75">
      <w:pPr>
        <w:keepNext/>
        <w:tabs>
          <w:tab w:val="left" w:pos="1021"/>
        </w:tabs>
        <w:spacing w:line="360" w:lineRule="auto"/>
        <w:outlineLvl w:val="1"/>
        <w:rPr>
          <w:rFonts w:ascii="Times New Roman" w:hAnsi="Times New Roman" w:eastAsia="黑体" w:cs="Times New Roman"/>
          <w:b/>
          <w:sz w:val="28"/>
          <w:szCs w:val="20"/>
        </w:rPr>
      </w:pPr>
      <w:r>
        <w:rPr>
          <w:rFonts w:hint="eastAsia" w:ascii="宋体" w:hAnsi="宋体" w:eastAsia="宋体" w:cs="Times New Roman"/>
          <w:sz w:val="24"/>
          <w:szCs w:val="24"/>
        </w:rPr>
        <w:t>格式5、残疾人福利性企业声明函</w:t>
      </w:r>
    </w:p>
    <w:p w14:paraId="68C04A7E">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残疾人福利性单位声明函</w:t>
      </w:r>
    </w:p>
    <w:p w14:paraId="79B3AA4D">
      <w:pPr>
        <w:jc w:val="left"/>
        <w:rPr>
          <w:rFonts w:ascii="MS Mincho" w:hAnsi="Calibri" w:eastAsia="宋体" w:cs="Times New Roman"/>
          <w:szCs w:val="24"/>
        </w:rPr>
      </w:pPr>
    </w:p>
    <w:p w14:paraId="0EA327B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本单位郑重声明，根据《财政部 民政部 中国残疾人联合会关于促进残疾人就业政府采购政策的通知》(财库〔2017〕141号)的规定，本单位为符合条件的残疾人福利性单位，且本单位参加____________项目采购活动提供本单位制造的货物，或者提供其他残疾人福利性单位制造的货物(不包括使用非残疾人福利性单位注册商标的货物)。相关企业的具体情况如下：</w:t>
      </w:r>
    </w:p>
    <w:p w14:paraId="3E0A679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1. </w:t>
      </w:r>
      <w:r>
        <w:rPr>
          <w:rFonts w:hint="eastAsia" w:ascii="宋体" w:hAnsi="宋体" w:eastAsia="宋体" w:cs="Times New Roman"/>
          <w:sz w:val="24"/>
          <w:szCs w:val="24"/>
          <w:u w:val="single"/>
        </w:rPr>
        <w:t>（货物名称）</w:t>
      </w:r>
      <w:r>
        <w:rPr>
          <w:rFonts w:hint="eastAsia" w:ascii="宋体" w:hAnsi="宋体" w:eastAsia="宋体" w:cs="Times New Roman"/>
          <w:sz w:val="24"/>
          <w:szCs w:val="24"/>
        </w:rPr>
        <w:t xml:space="preserve"> ，制造商为</w:t>
      </w:r>
      <w:r>
        <w:rPr>
          <w:rFonts w:hint="eastAsia" w:ascii="宋体" w:hAnsi="宋体" w:eastAsia="宋体" w:cs="Times New Roman"/>
          <w:sz w:val="24"/>
          <w:szCs w:val="24"/>
          <w:u w:val="single"/>
        </w:rPr>
        <w:t>　（企业名称）　</w:t>
      </w:r>
      <w:r>
        <w:rPr>
          <w:rFonts w:hint="eastAsia" w:ascii="宋体" w:hAnsi="宋体" w:eastAsia="宋体" w:cs="Times New Roman"/>
          <w:sz w:val="24"/>
          <w:szCs w:val="24"/>
        </w:rPr>
        <w:t xml:space="preserve">，属于残疾人福利性单位； </w:t>
      </w:r>
    </w:p>
    <w:p w14:paraId="7CF4E85A">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2. </w:t>
      </w:r>
      <w:r>
        <w:rPr>
          <w:rFonts w:hint="eastAsia" w:ascii="宋体" w:hAnsi="宋体" w:eastAsia="宋体" w:cs="Times New Roman"/>
          <w:sz w:val="24"/>
          <w:szCs w:val="24"/>
          <w:u w:val="single"/>
        </w:rPr>
        <w:t>（货物名称）</w:t>
      </w:r>
      <w:r>
        <w:rPr>
          <w:rFonts w:hint="eastAsia" w:ascii="宋体" w:hAnsi="宋体" w:eastAsia="宋体" w:cs="Times New Roman"/>
          <w:sz w:val="24"/>
          <w:szCs w:val="24"/>
        </w:rPr>
        <w:t xml:space="preserve"> ，制造商为</w:t>
      </w:r>
      <w:r>
        <w:rPr>
          <w:rFonts w:hint="eastAsia" w:ascii="宋体" w:hAnsi="宋体" w:eastAsia="宋体" w:cs="Times New Roman"/>
          <w:sz w:val="24"/>
          <w:szCs w:val="24"/>
          <w:u w:val="single"/>
        </w:rPr>
        <w:t>　（企业名称）　</w:t>
      </w:r>
      <w:r>
        <w:rPr>
          <w:rFonts w:hint="eastAsia" w:ascii="宋体" w:hAnsi="宋体" w:eastAsia="宋体" w:cs="Times New Roman"/>
          <w:sz w:val="24"/>
          <w:szCs w:val="24"/>
        </w:rPr>
        <w:t>，属于残疾人福利性单位；</w:t>
      </w:r>
    </w:p>
    <w:p w14:paraId="13DA442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 …… </w:t>
      </w:r>
    </w:p>
    <w:p w14:paraId="12FB1A4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本企业对上述声明内容的真实性负责。如有虚假，将依法承担相应责任。</w:t>
      </w:r>
    </w:p>
    <w:p w14:paraId="4461C3DA">
      <w:pPr>
        <w:spacing w:line="360" w:lineRule="auto"/>
        <w:ind w:firstLine="480"/>
        <w:rPr>
          <w:rFonts w:hint="eastAsia" w:ascii="宋体" w:hAnsi="宋体" w:eastAsia="宋体" w:cs="Times New Roman"/>
          <w:sz w:val="24"/>
          <w:szCs w:val="24"/>
        </w:rPr>
      </w:pPr>
    </w:p>
    <w:p w14:paraId="574D0E8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企业名称(盖章)：</w:t>
      </w:r>
    </w:p>
    <w:p w14:paraId="34DCC605">
      <w:pPr>
        <w:spacing w:line="588" w:lineRule="exact"/>
        <w:ind w:firstLine="480"/>
        <w:rPr>
          <w:rFonts w:ascii="Times New Roman" w:hAnsi="Times New Roman" w:eastAsia="宋体" w:cs="Times New Roman"/>
          <w:b/>
          <w:sz w:val="22"/>
          <w:szCs w:val="21"/>
        </w:rPr>
      </w:pPr>
      <w:r>
        <w:rPr>
          <w:rFonts w:hint="eastAsia" w:ascii="宋体" w:hAnsi="宋体" w:eastAsia="宋体" w:cs="Times New Roman"/>
          <w:sz w:val="24"/>
          <w:szCs w:val="24"/>
        </w:rPr>
        <w:t>　　　　　　　　　　　　　　　　　　日期：   年   月   日</w:t>
      </w:r>
    </w:p>
    <w:p w14:paraId="028556B0">
      <w:pPr>
        <w:spacing w:line="360" w:lineRule="auto"/>
        <w:ind w:firstLine="442"/>
        <w:rPr>
          <w:rFonts w:ascii="Times New Roman" w:hAnsi="Times New Roman" w:eastAsia="宋体" w:cs="Times New Roman"/>
          <w:b/>
          <w:sz w:val="22"/>
          <w:szCs w:val="21"/>
        </w:rPr>
      </w:pPr>
    </w:p>
    <w:p w14:paraId="28EA31EC">
      <w:pPr>
        <w:spacing w:line="360" w:lineRule="auto"/>
        <w:ind w:firstLine="442"/>
        <w:rPr>
          <w:rFonts w:ascii="Times New Roman" w:hAnsi="Times New Roman" w:eastAsia="宋体" w:cs="Times New Roman"/>
          <w:b/>
          <w:sz w:val="22"/>
          <w:szCs w:val="21"/>
        </w:rPr>
      </w:pPr>
    </w:p>
    <w:p w14:paraId="3CBB7BF8">
      <w:pPr>
        <w:spacing w:line="360" w:lineRule="auto"/>
        <w:ind w:firstLine="442"/>
        <w:rPr>
          <w:rFonts w:ascii="Times New Roman" w:hAnsi="Times New Roman" w:eastAsia="宋体" w:cs="Times New Roman"/>
          <w:b/>
          <w:sz w:val="22"/>
          <w:szCs w:val="21"/>
        </w:rPr>
      </w:pPr>
    </w:p>
    <w:p w14:paraId="54393B22">
      <w:pPr>
        <w:spacing w:line="360" w:lineRule="auto"/>
        <w:ind w:firstLine="442"/>
        <w:rPr>
          <w:rFonts w:ascii="Times New Roman" w:hAnsi="Times New Roman" w:eastAsia="宋体" w:cs="Times New Roman"/>
          <w:b/>
          <w:sz w:val="22"/>
          <w:szCs w:val="21"/>
        </w:rPr>
      </w:pPr>
    </w:p>
    <w:p w14:paraId="34908FDA">
      <w:pPr>
        <w:spacing w:line="360" w:lineRule="auto"/>
        <w:ind w:firstLine="442"/>
        <w:rPr>
          <w:rFonts w:ascii="Times New Roman" w:hAnsi="Times New Roman" w:eastAsia="宋体" w:cs="Times New Roman"/>
          <w:b/>
          <w:sz w:val="22"/>
          <w:szCs w:val="21"/>
        </w:rPr>
      </w:pPr>
    </w:p>
    <w:p w14:paraId="2A6FFE60">
      <w:pPr>
        <w:spacing w:line="360" w:lineRule="auto"/>
        <w:ind w:firstLine="442"/>
        <w:rPr>
          <w:rFonts w:ascii="Times New Roman" w:hAnsi="Times New Roman" w:eastAsia="宋体" w:cs="Times New Roman"/>
          <w:b/>
          <w:sz w:val="22"/>
          <w:szCs w:val="21"/>
        </w:rPr>
      </w:pPr>
    </w:p>
    <w:p w14:paraId="7EB37E37">
      <w:pPr>
        <w:spacing w:line="360" w:lineRule="auto"/>
        <w:ind w:firstLine="480"/>
        <w:rPr>
          <w:rFonts w:hint="eastAsia" w:ascii="宋体" w:hAnsi="宋体" w:eastAsia="宋体" w:cs="Times New Roman"/>
          <w:bCs/>
          <w:sz w:val="24"/>
          <w:szCs w:val="24"/>
        </w:rPr>
      </w:pPr>
      <w:r>
        <w:rPr>
          <w:rFonts w:hint="eastAsia" w:ascii="宋体" w:hAnsi="宋体" w:eastAsia="宋体" w:cs="Times New Roman"/>
          <w:bCs/>
          <w:sz w:val="24"/>
          <w:szCs w:val="24"/>
        </w:rPr>
        <w:t>填报说明：</w:t>
      </w:r>
    </w:p>
    <w:p w14:paraId="7B76121C">
      <w:pPr>
        <w:spacing w:line="360" w:lineRule="auto"/>
        <w:ind w:firstLine="480"/>
        <w:jc w:val="left"/>
        <w:rPr>
          <w:rFonts w:hint="eastAsia" w:ascii="宋体" w:hAnsi="宋体" w:eastAsia="宋体" w:cs="Times New Roman"/>
          <w:bCs/>
          <w:sz w:val="24"/>
          <w:szCs w:val="24"/>
        </w:rPr>
      </w:pPr>
      <w:r>
        <w:rPr>
          <w:rFonts w:hint="eastAsia" w:ascii="宋体" w:hAnsi="宋体" w:eastAsia="宋体" w:cs="Times New Roman"/>
          <w:bCs/>
          <w:sz w:val="24"/>
          <w:szCs w:val="24"/>
        </w:rPr>
        <w:t>1、请供应商如实填写，所填内容将作为评审的依据。</w:t>
      </w:r>
      <w:r>
        <w:rPr>
          <w:rFonts w:hint="eastAsia" w:ascii="宋体" w:hAnsi="宋体" w:eastAsia="宋体" w:cs="Times New Roman"/>
          <w:sz w:val="24"/>
          <w:szCs w:val="24"/>
        </w:rPr>
        <w:t>其内容填写须与报价明细表一致，如填写不完整或不一致，将不享受扶</w:t>
      </w:r>
      <w:r>
        <w:rPr>
          <w:rFonts w:hint="eastAsia" w:ascii="宋体" w:hAnsi="宋体" w:eastAsia="宋体" w:cs="Times New Roman"/>
          <w:bCs/>
          <w:sz w:val="24"/>
          <w:szCs w:val="24"/>
        </w:rPr>
        <w:t>持政策。</w:t>
      </w:r>
    </w:p>
    <w:p w14:paraId="75232540">
      <w:pPr>
        <w:spacing w:line="360" w:lineRule="auto"/>
        <w:ind w:firstLine="480"/>
        <w:jc w:val="left"/>
        <w:rPr>
          <w:rFonts w:ascii="Times New Roman" w:hAnsi="Times New Roman" w:eastAsia="宋体" w:cs="Times New Roman"/>
          <w:sz w:val="24"/>
          <w:szCs w:val="24"/>
        </w:rPr>
      </w:pPr>
      <w:r>
        <w:rPr>
          <w:rFonts w:hint="eastAsia" w:ascii="宋体" w:hAnsi="宋体" w:eastAsia="宋体" w:cs="Times New Roman"/>
          <w:bCs/>
          <w:sz w:val="24"/>
          <w:szCs w:val="24"/>
        </w:rPr>
        <w:t>2、中标供应商的《残疾人福利性单位声明函》随中标结果公开。</w:t>
      </w:r>
    </w:p>
    <w:p w14:paraId="73F2ABEB">
      <w:pPr>
        <w:keepNext/>
        <w:tabs>
          <w:tab w:val="left" w:pos="1021"/>
        </w:tabs>
        <w:spacing w:line="360" w:lineRule="auto"/>
        <w:outlineLvl w:val="1"/>
        <w:rPr>
          <w:rFonts w:ascii="Times New Roman" w:hAnsi="Times New Roman" w:eastAsia="黑体" w:cs="Times New Roman"/>
          <w:b/>
          <w:sz w:val="28"/>
          <w:szCs w:val="20"/>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格式6、具备履行合同所必需的设备和专业技术能力的声明及证明材料</w:t>
      </w:r>
    </w:p>
    <w:p w14:paraId="30801FF5">
      <w:pPr>
        <w:jc w:val="left"/>
        <w:rPr>
          <w:rFonts w:ascii="MS Mincho" w:hAnsi="Calibri" w:eastAsia="宋体" w:cs="Times New Roman"/>
          <w:szCs w:val="24"/>
        </w:rPr>
      </w:pPr>
    </w:p>
    <w:p w14:paraId="71C36541">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具备履行合同所必需的设备和专业技术能力的声明</w:t>
      </w:r>
    </w:p>
    <w:p w14:paraId="51D44C84">
      <w:pPr>
        <w:spacing w:line="360" w:lineRule="auto"/>
        <w:rPr>
          <w:rFonts w:ascii="Times New Roman" w:hAnsi="Times New Roman" w:eastAsia="宋体" w:cs="Times New Roman"/>
          <w:sz w:val="24"/>
          <w:szCs w:val="24"/>
        </w:rPr>
      </w:pPr>
    </w:p>
    <w:p w14:paraId="320495F1">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（供应商名称）</w:t>
      </w:r>
      <w:r>
        <w:rPr>
          <w:rFonts w:hint="eastAsia" w:ascii="Times New Roman" w:hAnsi="Times New Roman" w:eastAsia="宋体" w:cs="Times New Roman"/>
          <w:sz w:val="24"/>
          <w:szCs w:val="24"/>
        </w:rPr>
        <w:t>郑重声明：我单位具备履行本项采购合同所必需的设备和专业技术能力，为履行本项采购合同我单位具备如下主要设备和主要专业技术能力：</w:t>
      </w:r>
    </w:p>
    <w:p w14:paraId="2391E572">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主要设备有：</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744A9C3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主要专业技术能力有：</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w:t>
      </w:r>
    </w:p>
    <w:p w14:paraId="054E224E">
      <w:pPr>
        <w:spacing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注：须附证明材料。</w:t>
      </w:r>
    </w:p>
    <w:p w14:paraId="11C47E28">
      <w:pPr>
        <w:spacing w:line="360" w:lineRule="auto"/>
        <w:ind w:firstLine="480"/>
        <w:rPr>
          <w:rFonts w:ascii="Times New Roman" w:hAnsi="Times New Roman" w:eastAsia="宋体" w:cs="Times New Roman"/>
          <w:sz w:val="24"/>
          <w:szCs w:val="24"/>
        </w:rPr>
      </w:pPr>
    </w:p>
    <w:p w14:paraId="1723D94F">
      <w:pPr>
        <w:spacing w:line="360" w:lineRule="auto"/>
        <w:ind w:firstLine="480"/>
        <w:rPr>
          <w:rFonts w:ascii="Times New Roman" w:hAnsi="Times New Roman" w:eastAsia="宋体" w:cs="Times New Roman"/>
          <w:sz w:val="24"/>
          <w:szCs w:val="24"/>
        </w:rPr>
      </w:pPr>
    </w:p>
    <w:p w14:paraId="1B5BCB92">
      <w:pPr>
        <w:spacing w:line="360" w:lineRule="auto"/>
        <w:ind w:firstLine="5400"/>
        <w:rPr>
          <w:rFonts w:ascii="Times New Roman" w:hAnsi="Times New Roman" w:eastAsia="宋体" w:cs="Times New Roman"/>
          <w:sz w:val="24"/>
          <w:szCs w:val="24"/>
        </w:rPr>
      </w:pPr>
      <w:r>
        <w:rPr>
          <w:rFonts w:hint="eastAsia" w:ascii="Times New Roman" w:hAnsi="Times New Roman" w:eastAsia="宋体" w:cs="Times New Roman"/>
          <w:sz w:val="24"/>
          <w:szCs w:val="24"/>
        </w:rPr>
        <w:t>声明人（盖章）：</w:t>
      </w:r>
    </w:p>
    <w:p w14:paraId="03BFF078">
      <w:pPr>
        <w:spacing w:line="360" w:lineRule="auto"/>
        <w:ind w:firstLine="5400"/>
        <w:rPr>
          <w:rFonts w:ascii="Times New Roman" w:hAnsi="Times New Roman" w:eastAsia="宋体" w:cs="Times New Roman"/>
          <w:sz w:val="24"/>
          <w:szCs w:val="24"/>
        </w:rPr>
      </w:pPr>
      <w:r>
        <w:rPr>
          <w:rFonts w:hint="eastAsia" w:ascii="Times New Roman" w:hAnsi="Times New Roman" w:eastAsia="宋体" w:cs="Times New Roman"/>
          <w:sz w:val="24"/>
          <w:szCs w:val="24"/>
        </w:rPr>
        <w:t>日期：  年   月  日</w:t>
      </w:r>
    </w:p>
    <w:p w14:paraId="7F9ECEBA">
      <w:pPr>
        <w:spacing w:line="460" w:lineRule="exact"/>
        <w:ind w:firstLine="422"/>
        <w:rPr>
          <w:rFonts w:ascii="Times New Roman" w:hAnsi="Times New Roman" w:eastAsia="宋体" w:cs="Times New Roman"/>
          <w:b/>
          <w:szCs w:val="24"/>
        </w:rPr>
      </w:pPr>
    </w:p>
    <w:p w14:paraId="7E37EE47">
      <w:pPr>
        <w:spacing w:line="460" w:lineRule="exact"/>
        <w:ind w:firstLine="422"/>
        <w:rPr>
          <w:rFonts w:ascii="Times New Roman" w:hAnsi="Times New Roman" w:eastAsia="宋体" w:cs="Times New Roman"/>
          <w:b/>
          <w:szCs w:val="24"/>
        </w:rPr>
      </w:pPr>
    </w:p>
    <w:p w14:paraId="657CE98C">
      <w:pPr>
        <w:spacing w:line="460" w:lineRule="exact"/>
        <w:ind w:firstLine="422"/>
        <w:rPr>
          <w:rFonts w:ascii="Times New Roman" w:hAnsi="Times New Roman" w:eastAsia="宋体" w:cs="Times New Roman"/>
          <w:b/>
          <w:szCs w:val="24"/>
        </w:rPr>
      </w:pPr>
    </w:p>
    <w:p w14:paraId="5F5CDF9B">
      <w:pPr>
        <w:spacing w:line="460" w:lineRule="exact"/>
        <w:ind w:firstLine="422"/>
        <w:rPr>
          <w:rFonts w:ascii="Times New Roman" w:hAnsi="Times New Roman" w:eastAsia="宋体" w:cs="Times New Roman"/>
          <w:b/>
          <w:szCs w:val="24"/>
        </w:rPr>
      </w:pPr>
    </w:p>
    <w:p w14:paraId="35AE0B07">
      <w:pPr>
        <w:keepNext/>
        <w:tabs>
          <w:tab w:val="left" w:pos="1021"/>
        </w:tabs>
        <w:spacing w:line="360" w:lineRule="auto"/>
        <w:outlineLvl w:val="1"/>
        <w:rPr>
          <w:rFonts w:ascii="Times New Roman" w:hAnsi="Times New Roman" w:eastAsia="黑体" w:cs="Times New Roman"/>
          <w:b/>
          <w:sz w:val="28"/>
          <w:szCs w:val="20"/>
        </w:rPr>
      </w:pPr>
      <w:r>
        <w:rPr>
          <w:rFonts w:ascii="Times New Roman" w:hAnsi="Times New Roman" w:eastAsia="黑体" w:cs="Times New Roman"/>
          <w:sz w:val="28"/>
          <w:szCs w:val="20"/>
        </w:rPr>
        <w:br w:type="page" w:clear="all"/>
      </w:r>
      <w:r>
        <w:rPr>
          <w:rFonts w:hint="eastAsia" w:ascii="宋体" w:hAnsi="宋体" w:eastAsia="宋体" w:cs="Times New Roman"/>
          <w:sz w:val="24"/>
          <w:szCs w:val="24"/>
        </w:rPr>
        <w:t>格式7、参加政府采购活动前 3 年内在经营活动中没有重大违法记录的书面声明</w:t>
      </w:r>
    </w:p>
    <w:p w14:paraId="68CCD83A">
      <w:pPr>
        <w:spacing w:line="360" w:lineRule="auto"/>
        <w:ind w:firstLine="420"/>
        <w:rPr>
          <w:rFonts w:ascii="Times New Roman" w:hAnsi="Times New Roman" w:eastAsia="宋体" w:cs="Times New Roman"/>
          <w:szCs w:val="24"/>
        </w:rPr>
      </w:pPr>
    </w:p>
    <w:p w14:paraId="31F16606">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声  明</w:t>
      </w:r>
    </w:p>
    <w:p w14:paraId="770EBB35">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我公司郑重声明：参加本次政府采购活动前 3 年内，我公司在经营活动中没有因违法经营受到刑事处罚或者责令停产停业、吊销许可证或者执照、较大数额罚款等行政处罚。</w:t>
      </w:r>
    </w:p>
    <w:p w14:paraId="104B2D98">
      <w:pPr>
        <w:spacing w:line="360" w:lineRule="auto"/>
        <w:ind w:firstLine="480"/>
        <w:rPr>
          <w:rFonts w:hint="eastAsia" w:ascii="宋体" w:hAnsi="宋体" w:eastAsia="宋体" w:cs="Times New Roman"/>
          <w:bCs/>
          <w:sz w:val="24"/>
          <w:szCs w:val="24"/>
        </w:rPr>
      </w:pPr>
    </w:p>
    <w:p w14:paraId="4BAEB01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0048277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7A3C4E64">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日期：    年     月     日</w:t>
      </w:r>
    </w:p>
    <w:p w14:paraId="16200FB2">
      <w:pPr>
        <w:keepNext/>
        <w:tabs>
          <w:tab w:val="left" w:pos="1021"/>
        </w:tabs>
        <w:spacing w:line="360" w:lineRule="auto"/>
        <w:outlineLvl w:val="1"/>
        <w:rPr>
          <w:rFonts w:ascii="Times New Roman" w:hAnsi="Times New Roman" w:eastAsia="宋体" w:cs="Times New Roman"/>
          <w:b/>
          <w:sz w:val="28"/>
          <w:szCs w:val="20"/>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格式8、法定代表人授权委托书</w:t>
      </w:r>
    </w:p>
    <w:p w14:paraId="1FBA6BCB">
      <w:pPr>
        <w:spacing w:line="360" w:lineRule="auto"/>
        <w:ind w:firstLine="720"/>
        <w:jc w:val="center"/>
        <w:rPr>
          <w:rFonts w:hint="eastAsia" w:ascii="黑体" w:hAnsi="黑体" w:eastAsia="黑体" w:cs="宋体"/>
          <w:bCs/>
          <w:sz w:val="36"/>
          <w:szCs w:val="28"/>
        </w:rPr>
      </w:pPr>
    </w:p>
    <w:p w14:paraId="4F534DF9">
      <w:pPr>
        <w:spacing w:line="360" w:lineRule="auto"/>
        <w:ind w:firstLine="720"/>
        <w:jc w:val="center"/>
        <w:rPr>
          <w:rFonts w:hint="eastAsia" w:ascii="黑体" w:hAnsi="黑体" w:eastAsia="黑体" w:cs="宋体"/>
          <w:bCs/>
          <w:sz w:val="36"/>
          <w:szCs w:val="28"/>
        </w:rPr>
      </w:pPr>
      <w:r>
        <w:rPr>
          <w:rFonts w:hint="eastAsia" w:ascii="黑体" w:hAnsi="黑体" w:eastAsia="黑体" w:cs="宋体"/>
          <w:bCs/>
          <w:sz w:val="36"/>
          <w:szCs w:val="28"/>
        </w:rPr>
        <w:t>法定代表人授权委托书</w:t>
      </w:r>
    </w:p>
    <w:p w14:paraId="649643AA">
      <w:pPr>
        <w:spacing w:line="500" w:lineRule="exact"/>
        <w:ind w:firstLine="420"/>
        <w:rPr>
          <w:rFonts w:ascii="宋体" w:hAnsi="Courier New" w:eastAsia="宋体" w:cs="Times New Roman"/>
          <w:szCs w:val="20"/>
        </w:rPr>
      </w:pPr>
    </w:p>
    <w:p w14:paraId="4E2679FB">
      <w:pPr>
        <w:spacing w:line="360" w:lineRule="auto"/>
        <w:rPr>
          <w:rFonts w:ascii="Times New Roman" w:hAnsi="Times New Roman" w:eastAsia="宋体" w:cs="Times New Roman"/>
          <w:b/>
          <w:bCs/>
          <w:sz w:val="24"/>
          <w:szCs w:val="24"/>
        </w:rPr>
      </w:pPr>
      <w:r>
        <w:rPr>
          <w:rFonts w:hint="eastAsia" w:ascii="宋体" w:hAnsi="Courier New" w:eastAsia="宋体" w:cs="Times New Roman"/>
          <w:sz w:val="24"/>
          <w:szCs w:val="24"/>
        </w:rPr>
        <w:t xml:space="preserve">连云港市海州区文化体育和旅游局  </w:t>
      </w:r>
      <w:r>
        <w:rPr>
          <w:rFonts w:hint="eastAsia" w:ascii="Times New Roman" w:hAnsi="Times New Roman" w:eastAsia="宋体" w:cs="Times New Roman"/>
          <w:sz w:val="24"/>
          <w:szCs w:val="24"/>
        </w:rPr>
        <w:t>：</w:t>
      </w:r>
    </w:p>
    <w:p w14:paraId="383D4CBE">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本授权书声明：注册于</w:t>
      </w:r>
      <w:r>
        <w:rPr>
          <w:rFonts w:hint="eastAsia" w:ascii="Times New Roman" w:hAnsi="Times New Roman" w:eastAsia="宋体" w:cs="Times New Roman"/>
          <w:sz w:val="24"/>
          <w:szCs w:val="24"/>
          <w:u w:val="single"/>
        </w:rPr>
        <w:t xml:space="preserve">  （委托单位全称） </w:t>
      </w:r>
      <w:r>
        <w:rPr>
          <w:rFonts w:hint="eastAsia" w:ascii="Times New Roman" w:hAnsi="Times New Roman" w:eastAsia="宋体" w:cs="Times New Roman"/>
          <w:sz w:val="24"/>
          <w:szCs w:val="24"/>
        </w:rPr>
        <w:t>的法定代表人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代表本公司授权</w:t>
      </w:r>
      <w:r>
        <w:rPr>
          <w:rFonts w:hint="eastAsia" w:ascii="Times New Roman" w:hAnsi="Times New Roman" w:eastAsia="宋体" w:cs="Times New Roman"/>
          <w:sz w:val="24"/>
          <w:szCs w:val="24"/>
          <w:u w:val="single"/>
        </w:rPr>
        <w:t>（姓名和职务）</w:t>
      </w:r>
      <w:r>
        <w:rPr>
          <w:rFonts w:hint="eastAsia" w:ascii="Times New Roman" w:hAnsi="Times New Roman" w:eastAsia="宋体" w:cs="Times New Roman"/>
          <w:sz w:val="24"/>
          <w:szCs w:val="24"/>
        </w:rPr>
        <w:t>为本公司合法代理人，就贵方组织的有关</w:t>
      </w:r>
      <w:r>
        <w:rPr>
          <w:rFonts w:hint="eastAsia" w:ascii="Times New Roman" w:hAnsi="Times New Roman" w:eastAsia="宋体" w:cs="Times New Roman"/>
          <w:sz w:val="24"/>
          <w:szCs w:val="24"/>
          <w:u w:val="single"/>
          <w:lang w:eastAsia="zh-CN"/>
        </w:rPr>
        <w:t>海州区全民健身设施提档升级采购</w:t>
      </w:r>
      <w:r>
        <w:rPr>
          <w:rFonts w:hint="eastAsia" w:ascii="Times New Roman" w:hAnsi="Times New Roman" w:eastAsia="宋体" w:cs="Times New Roman"/>
          <w:sz w:val="24"/>
          <w:szCs w:val="24"/>
        </w:rPr>
        <w:t>项目（标段编号：</w:t>
      </w:r>
      <w:r>
        <w:rPr>
          <w:rFonts w:hint="eastAsia" w:ascii="宋体" w:hAnsi="宋体" w:eastAsia="宋体" w:cs="Times New Roman"/>
          <w:sz w:val="24"/>
          <w:szCs w:val="24"/>
          <w:u w:val="single"/>
        </w:rPr>
        <w:t>【标段编号】</w:t>
      </w:r>
      <w:r>
        <w:rPr>
          <w:rFonts w:hint="eastAsia" w:ascii="Times New Roman" w:hAnsi="Times New Roman" w:eastAsia="宋体" w:cs="Times New Roman"/>
          <w:sz w:val="24"/>
          <w:szCs w:val="24"/>
        </w:rPr>
        <w:t>）的招标采购及合同签订、执行、完成，以本单位名义处理一切与之有关的事务。</w:t>
      </w:r>
    </w:p>
    <w:p w14:paraId="2F13E2F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本授权书于</w:t>
      </w:r>
      <w:r>
        <w:rPr>
          <w:rFonts w:hint="eastAsia" w:ascii="宋体" w:hAnsi="Courier New" w:eastAsia="宋体" w:cs="Times New Roman"/>
          <w:spacing w:val="10"/>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日签字（或盖章）生效，特此声明。</w:t>
      </w:r>
    </w:p>
    <w:p w14:paraId="34AE0F95">
      <w:pPr>
        <w:spacing w:line="360" w:lineRule="auto"/>
        <w:ind w:firstLine="480"/>
        <w:rPr>
          <w:rFonts w:ascii="Times New Roman" w:hAnsi="Times New Roman" w:eastAsia="宋体" w:cs="Times New Roman"/>
          <w:sz w:val="24"/>
          <w:szCs w:val="24"/>
        </w:rPr>
      </w:pPr>
    </w:p>
    <w:p w14:paraId="50B8E4B6">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委托单位（盖章）：                      法定代表人（签字或盖章）：</w:t>
      </w:r>
    </w:p>
    <w:p w14:paraId="48AFF822">
      <w:pPr>
        <w:spacing w:line="360" w:lineRule="auto"/>
        <w:ind w:firstLine="480"/>
        <w:rPr>
          <w:rFonts w:ascii="Times New Roman" w:hAnsi="Times New Roman" w:eastAsia="宋体" w:cs="Times New Roman"/>
          <w:sz w:val="24"/>
          <w:szCs w:val="24"/>
        </w:rPr>
      </w:pPr>
    </w:p>
    <w:p w14:paraId="4F83811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签发日期：</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14:paraId="1829F7C6">
      <w:pPr>
        <w:spacing w:line="360" w:lineRule="auto"/>
        <w:ind w:firstLine="482"/>
        <w:rPr>
          <w:rFonts w:ascii="Times New Roman" w:hAnsi="Times New Roman" w:eastAsia="宋体" w:cs="Times New Roman"/>
          <w:b/>
          <w:sz w:val="24"/>
          <w:szCs w:val="24"/>
        </w:rPr>
      </w:pPr>
      <w:r>
        <w:rPr>
          <w:rFonts w:hint="eastAsia" w:ascii="宋体" w:hAnsi="Courier New" w:eastAsia="宋体" w:cs="Times New Roman"/>
          <w:b/>
          <w:sz w:val="24"/>
          <w:szCs w:val="24"/>
        </w:rPr>
        <w:t>附法定代表人与委托代理人身份证明正反面电子件。</w:t>
      </w:r>
    </w:p>
    <w:p w14:paraId="75E4D504">
      <w:pPr>
        <w:spacing w:line="360" w:lineRule="auto"/>
        <w:ind w:firstLine="480"/>
        <w:rPr>
          <w:rFonts w:ascii="Times New Roman" w:hAnsi="Times New Roman" w:eastAsia="宋体" w:cs="Times New Roman"/>
          <w:sz w:val="24"/>
          <w:szCs w:val="24"/>
        </w:rPr>
      </w:pPr>
    </w:p>
    <w:p w14:paraId="1BA128BA">
      <w:pPr>
        <w:spacing w:line="360" w:lineRule="auto"/>
        <w:ind w:firstLine="480"/>
        <w:rPr>
          <w:rFonts w:ascii="Times New Roman" w:hAnsi="Times New Roman" w:eastAsia="宋体" w:cs="Times New Roman"/>
          <w:sz w:val="24"/>
          <w:szCs w:val="24"/>
        </w:rPr>
      </w:pPr>
    </w:p>
    <w:p w14:paraId="067DE626">
      <w:pPr>
        <w:spacing w:line="360" w:lineRule="auto"/>
        <w:ind w:firstLine="480"/>
        <w:rPr>
          <w:rFonts w:ascii="Times New Roman" w:hAnsi="Times New Roman" w:eastAsia="宋体" w:cs="Times New Roman"/>
          <w:sz w:val="24"/>
          <w:szCs w:val="24"/>
        </w:rPr>
      </w:pPr>
    </w:p>
    <w:p w14:paraId="77D52B23">
      <w:pPr>
        <w:spacing w:line="360" w:lineRule="auto"/>
        <w:ind w:firstLine="480"/>
        <w:rPr>
          <w:rFonts w:ascii="Times New Roman" w:hAnsi="Times New Roman" w:eastAsia="宋体" w:cs="Times New Roman"/>
          <w:sz w:val="24"/>
          <w:szCs w:val="24"/>
        </w:rPr>
      </w:pPr>
    </w:p>
    <w:p w14:paraId="2ED1AB5C">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说明：</w:t>
      </w:r>
    </w:p>
    <w:p w14:paraId="73C9389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1．委托书内容填写应当明确、文字工整清楚，涂改无效。</w:t>
      </w:r>
    </w:p>
    <w:p w14:paraId="0739F2B5">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2．委托书不得转借、转让、买卖。</w:t>
      </w:r>
    </w:p>
    <w:p w14:paraId="2FF45C68">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3．委托代理人根据授权范围，以委托单位的名义签订合同，并将此委托书提交给对方作为合同附件。</w:t>
      </w:r>
    </w:p>
    <w:p w14:paraId="2E02B725">
      <w:pPr>
        <w:keepNext/>
        <w:tabs>
          <w:tab w:val="left" w:pos="1021"/>
        </w:tabs>
        <w:spacing w:line="360" w:lineRule="auto"/>
        <w:outlineLvl w:val="1"/>
        <w:rPr>
          <w:rFonts w:ascii="MS Mincho" w:hAnsi="Calibri" w:eastAsia="MS Mincho" w:cs="Times New Roman"/>
        </w:rPr>
      </w:pPr>
      <w:r>
        <w:rPr>
          <w:rFonts w:hint="eastAsia" w:ascii="Times New Roman" w:hAnsi="Times New Roman" w:eastAsia="黑体" w:cs="Times New Roman"/>
          <w:b/>
          <w:sz w:val="28"/>
          <w:szCs w:val="20"/>
        </w:rPr>
        <w:br w:type="page" w:clear="all"/>
      </w:r>
      <w:r>
        <w:rPr>
          <w:rFonts w:hint="eastAsia" w:ascii="宋体" w:hAnsi="宋体" w:eastAsia="宋体" w:cs="Times New Roman"/>
          <w:sz w:val="24"/>
          <w:szCs w:val="24"/>
        </w:rPr>
        <w:t xml:space="preserve">格式9、财务状况报告及税收、社会保障资金缴纳情况承诺函 </w:t>
      </w:r>
    </w:p>
    <w:p w14:paraId="799C882A">
      <w:pPr>
        <w:ind w:firstLine="480"/>
        <w:rPr>
          <w:rFonts w:ascii="Times New Roman" w:hAnsi="Times New Roman" w:eastAsia="宋体" w:cs="Times New Roman"/>
          <w:szCs w:val="24"/>
        </w:rPr>
      </w:pPr>
    </w:p>
    <w:p w14:paraId="61A1ED07">
      <w:pPr>
        <w:ind w:firstLine="480"/>
        <w:jc w:val="center"/>
        <w:rPr>
          <w:rFonts w:ascii="Times New Roman" w:hAnsi="Times New Roman" w:eastAsia="宋体" w:cs="Times New Roman"/>
          <w:b/>
          <w:szCs w:val="24"/>
        </w:rPr>
      </w:pPr>
      <w:r>
        <w:rPr>
          <w:rFonts w:hint="eastAsia" w:ascii="宋体" w:hAnsi="宋体" w:eastAsia="宋体" w:cs="Times New Roman"/>
          <w:b/>
          <w:sz w:val="24"/>
          <w:szCs w:val="24"/>
        </w:rPr>
        <w:t>财务状况报告及税收、社会保障资金缴纳情况承诺函</w:t>
      </w:r>
    </w:p>
    <w:p w14:paraId="4BDFF27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致：采购人名称</w:t>
      </w:r>
    </w:p>
    <w:p w14:paraId="18EBC80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我方</w:t>
      </w:r>
      <w:r>
        <w:rPr>
          <w:rFonts w:hint="eastAsia" w:ascii="宋体" w:hAnsi="宋体" w:eastAsia="宋体" w:cs="Times New Roman"/>
          <w:sz w:val="24"/>
          <w:szCs w:val="24"/>
          <w:u w:val="single"/>
        </w:rPr>
        <w:t xml:space="preserve">    （单位名称）    </w:t>
      </w:r>
      <w:r>
        <w:rPr>
          <w:rFonts w:hint="eastAsia" w:ascii="宋体" w:hAnsi="宋体" w:eastAsia="宋体" w:cs="Times New Roman"/>
          <w:sz w:val="24"/>
          <w:szCs w:val="24"/>
        </w:rPr>
        <w:t xml:space="preserve">参加 </w:t>
      </w:r>
      <w:r>
        <w:rPr>
          <w:rFonts w:hint="eastAsia" w:ascii="宋体" w:hAnsi="宋体" w:eastAsia="宋体" w:cs="Times New Roman"/>
          <w:sz w:val="24"/>
          <w:szCs w:val="24"/>
          <w:u w:val="single"/>
        </w:rPr>
        <w:t xml:space="preserve">   项目名称   （项目编号：</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1E15896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（1）具有良好的商业信誉和健全的财务会计制度（财务状况报告）；</w:t>
      </w:r>
    </w:p>
    <w:p w14:paraId="5C351CE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（2）有依法缴纳税收和社会保障资金的良好记录。</w:t>
      </w:r>
    </w:p>
    <w:p w14:paraId="1524DB61">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我方对上述承诺的真实性负责，如有虚假，将依法承担提供虚假材料谋取中标、成交责任，同时同意有关主管部门将相关失信信息记入公共信用信息系统并在相关政府门户网站公开。</w:t>
      </w:r>
    </w:p>
    <w:p w14:paraId="4D8EED3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特此承诺</w:t>
      </w:r>
    </w:p>
    <w:p w14:paraId="7A2A93B2">
      <w:pPr>
        <w:spacing w:line="360" w:lineRule="auto"/>
        <w:ind w:firstLine="480"/>
        <w:rPr>
          <w:rFonts w:hint="eastAsia" w:ascii="宋体" w:hAnsi="宋体" w:eastAsia="宋体" w:cs="Times New Roman"/>
          <w:sz w:val="24"/>
          <w:szCs w:val="24"/>
        </w:rPr>
      </w:pPr>
    </w:p>
    <w:p w14:paraId="277058D3">
      <w:pPr>
        <w:spacing w:line="360" w:lineRule="auto"/>
        <w:ind w:firstLine="480"/>
        <w:rPr>
          <w:rFonts w:hint="eastAsia" w:ascii="宋体" w:hAnsi="宋体" w:eastAsia="宋体" w:cs="Times New Roman"/>
          <w:sz w:val="24"/>
          <w:szCs w:val="24"/>
        </w:rPr>
      </w:pPr>
    </w:p>
    <w:p w14:paraId="0180265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供应商（公章）：          </w:t>
      </w:r>
    </w:p>
    <w:p w14:paraId="17DD398D">
      <w:pPr>
        <w:spacing w:line="360" w:lineRule="auto"/>
        <w:ind w:firstLine="480"/>
        <w:rPr>
          <w:rFonts w:hint="eastAsia" w:ascii="宋体" w:hAnsi="宋体" w:eastAsia="宋体" w:cs="Times New Roman"/>
          <w:sz w:val="24"/>
          <w:szCs w:val="24"/>
        </w:rPr>
      </w:pPr>
    </w:p>
    <w:p w14:paraId="583E3B3D">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法定代表人或其委托代理人（签名或签章）：</w:t>
      </w:r>
    </w:p>
    <w:p w14:paraId="000137D6">
      <w:pPr>
        <w:spacing w:line="360" w:lineRule="auto"/>
        <w:ind w:firstLine="480"/>
        <w:rPr>
          <w:rFonts w:hint="eastAsia" w:ascii="宋体" w:hAnsi="宋体" w:eastAsia="宋体" w:cs="Times New Roman"/>
          <w:sz w:val="24"/>
          <w:szCs w:val="24"/>
        </w:rPr>
      </w:pPr>
    </w:p>
    <w:p w14:paraId="32C00182">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日期：</w:t>
      </w:r>
    </w:p>
    <w:p w14:paraId="1813D610">
      <w:pPr>
        <w:widowControl/>
        <w:jc w:val="left"/>
        <w:rPr>
          <w:rFonts w:ascii="Times New Roman" w:hAnsi="Times New Roman" w:eastAsia="黑体" w:cs="Times New Roman"/>
          <w:b/>
          <w:sz w:val="28"/>
          <w:szCs w:val="20"/>
        </w:rPr>
      </w:pPr>
      <w:r>
        <w:rPr>
          <w:rFonts w:ascii="Times New Roman" w:hAnsi="Times New Roman" w:eastAsia="黑体" w:cs="Times New Roman"/>
          <w:b/>
          <w:sz w:val="28"/>
          <w:szCs w:val="20"/>
        </w:rPr>
        <w:br w:type="page" w:clear="all"/>
      </w:r>
    </w:p>
    <w:p w14:paraId="0DC20343">
      <w:pPr>
        <w:keepNext/>
        <w:tabs>
          <w:tab w:val="left" w:pos="1021"/>
        </w:tabs>
        <w:spacing w:line="360" w:lineRule="auto"/>
        <w:outlineLvl w:val="1"/>
        <w:rPr>
          <w:rFonts w:ascii="Times New Roman" w:hAnsi="Times New Roman" w:eastAsia="黑体" w:cs="Times New Roman"/>
          <w:bCs/>
          <w:sz w:val="32"/>
          <w:szCs w:val="21"/>
        </w:rPr>
      </w:pPr>
      <w:r>
        <w:rPr>
          <w:rFonts w:hint="eastAsia" w:ascii="宋体" w:hAnsi="宋体" w:eastAsia="宋体" w:cs="Times New Roman"/>
          <w:sz w:val="24"/>
          <w:szCs w:val="24"/>
        </w:rPr>
        <w:t>格式10、商务条款偏离表</w:t>
      </w:r>
    </w:p>
    <w:p w14:paraId="5428281F">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商务条款偏离表</w:t>
      </w:r>
    </w:p>
    <w:p w14:paraId="3CE99AC9">
      <w:pPr>
        <w:spacing w:line="360" w:lineRule="auto"/>
        <w:ind w:firstLine="480"/>
        <w:rPr>
          <w:rFonts w:hint="eastAsia" w:ascii="宋体" w:hAnsi="宋体" w:eastAsia="宋体" w:cs="Times New Roman"/>
          <w:b/>
          <w:bCs/>
          <w:sz w:val="24"/>
          <w:szCs w:val="24"/>
        </w:rPr>
      </w:pPr>
      <w:r>
        <w:rPr>
          <w:rFonts w:hint="eastAsia" w:ascii="宋体" w:hAnsi="宋体" w:eastAsia="宋体" w:cs="Times New Roman"/>
          <w:sz w:val="24"/>
          <w:szCs w:val="24"/>
        </w:rPr>
        <w:t>请逐条对应采购文件“项目需求”等内容要求的商务条件，填写该表。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774"/>
        <w:gridCol w:w="2927"/>
        <w:gridCol w:w="2444"/>
      </w:tblGrid>
      <w:tr w14:paraId="2843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vAlign w:val="center"/>
          </w:tcPr>
          <w:p w14:paraId="6AA6E3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项号</w:t>
            </w:r>
          </w:p>
        </w:tc>
        <w:tc>
          <w:tcPr>
            <w:tcW w:w="2774" w:type="dxa"/>
            <w:vAlign w:val="center"/>
          </w:tcPr>
          <w:p w14:paraId="0E77A1D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采购文件的商务条款</w:t>
            </w:r>
          </w:p>
        </w:tc>
        <w:tc>
          <w:tcPr>
            <w:tcW w:w="2927" w:type="dxa"/>
            <w:vAlign w:val="center"/>
          </w:tcPr>
          <w:p w14:paraId="4B96F29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响应文件的商务条款</w:t>
            </w:r>
          </w:p>
        </w:tc>
        <w:tc>
          <w:tcPr>
            <w:tcW w:w="2444" w:type="dxa"/>
            <w:vAlign w:val="center"/>
          </w:tcPr>
          <w:p w14:paraId="2B1779E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偏离说明</w:t>
            </w:r>
          </w:p>
        </w:tc>
      </w:tr>
      <w:tr w14:paraId="3E11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4E1A604F">
            <w:pPr>
              <w:spacing w:line="360" w:lineRule="auto"/>
              <w:ind w:firstLine="480"/>
              <w:jc w:val="center"/>
              <w:rPr>
                <w:rFonts w:hint="eastAsia" w:ascii="宋体" w:hAnsi="宋体" w:eastAsia="宋体" w:cs="Times New Roman"/>
                <w:sz w:val="24"/>
                <w:szCs w:val="24"/>
              </w:rPr>
            </w:pPr>
          </w:p>
        </w:tc>
        <w:tc>
          <w:tcPr>
            <w:tcW w:w="2774" w:type="dxa"/>
          </w:tcPr>
          <w:p w14:paraId="0C7F90E2">
            <w:pPr>
              <w:spacing w:line="360" w:lineRule="auto"/>
              <w:ind w:firstLine="480"/>
              <w:jc w:val="center"/>
              <w:rPr>
                <w:rFonts w:hint="eastAsia" w:ascii="宋体" w:hAnsi="宋体" w:eastAsia="宋体" w:cs="Times New Roman"/>
                <w:sz w:val="24"/>
                <w:szCs w:val="24"/>
              </w:rPr>
            </w:pPr>
          </w:p>
        </w:tc>
        <w:tc>
          <w:tcPr>
            <w:tcW w:w="2927" w:type="dxa"/>
          </w:tcPr>
          <w:p w14:paraId="18CF6591">
            <w:pPr>
              <w:spacing w:line="360" w:lineRule="auto"/>
              <w:ind w:firstLine="480"/>
              <w:jc w:val="center"/>
              <w:rPr>
                <w:rFonts w:hint="eastAsia" w:ascii="宋体" w:hAnsi="宋体" w:eastAsia="宋体" w:cs="Times New Roman"/>
                <w:sz w:val="24"/>
                <w:szCs w:val="24"/>
              </w:rPr>
            </w:pPr>
          </w:p>
        </w:tc>
        <w:tc>
          <w:tcPr>
            <w:tcW w:w="2444" w:type="dxa"/>
          </w:tcPr>
          <w:p w14:paraId="07D8FF59">
            <w:pPr>
              <w:spacing w:line="360" w:lineRule="auto"/>
              <w:ind w:firstLine="480"/>
              <w:jc w:val="center"/>
              <w:rPr>
                <w:rFonts w:hint="eastAsia" w:ascii="宋体" w:hAnsi="宋体" w:eastAsia="宋体" w:cs="Times New Roman"/>
                <w:sz w:val="24"/>
                <w:szCs w:val="24"/>
              </w:rPr>
            </w:pPr>
          </w:p>
        </w:tc>
      </w:tr>
      <w:tr w14:paraId="0EFE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4BB12582">
            <w:pPr>
              <w:spacing w:line="360" w:lineRule="auto"/>
              <w:ind w:firstLine="480"/>
              <w:jc w:val="center"/>
              <w:rPr>
                <w:rFonts w:hint="eastAsia" w:ascii="宋体" w:hAnsi="宋体" w:eastAsia="宋体" w:cs="Times New Roman"/>
                <w:sz w:val="24"/>
                <w:szCs w:val="24"/>
              </w:rPr>
            </w:pPr>
          </w:p>
        </w:tc>
        <w:tc>
          <w:tcPr>
            <w:tcW w:w="2774" w:type="dxa"/>
          </w:tcPr>
          <w:p w14:paraId="3FC4E7B6">
            <w:pPr>
              <w:spacing w:line="360" w:lineRule="auto"/>
              <w:ind w:firstLine="480"/>
              <w:jc w:val="center"/>
              <w:rPr>
                <w:rFonts w:hint="eastAsia" w:ascii="宋体" w:hAnsi="宋体" w:eastAsia="宋体" w:cs="Times New Roman"/>
                <w:sz w:val="24"/>
                <w:szCs w:val="24"/>
              </w:rPr>
            </w:pPr>
          </w:p>
        </w:tc>
        <w:tc>
          <w:tcPr>
            <w:tcW w:w="2927" w:type="dxa"/>
          </w:tcPr>
          <w:p w14:paraId="1EEFC0B9">
            <w:pPr>
              <w:spacing w:line="360" w:lineRule="auto"/>
              <w:ind w:firstLine="480"/>
              <w:jc w:val="center"/>
              <w:rPr>
                <w:rFonts w:hint="eastAsia" w:ascii="宋体" w:hAnsi="宋体" w:eastAsia="宋体" w:cs="Times New Roman"/>
                <w:sz w:val="24"/>
                <w:szCs w:val="24"/>
              </w:rPr>
            </w:pPr>
          </w:p>
        </w:tc>
        <w:tc>
          <w:tcPr>
            <w:tcW w:w="2444" w:type="dxa"/>
          </w:tcPr>
          <w:p w14:paraId="2280911A">
            <w:pPr>
              <w:spacing w:line="360" w:lineRule="auto"/>
              <w:ind w:firstLine="480"/>
              <w:jc w:val="center"/>
              <w:rPr>
                <w:rFonts w:hint="eastAsia" w:ascii="宋体" w:hAnsi="宋体" w:eastAsia="宋体" w:cs="Times New Roman"/>
                <w:sz w:val="24"/>
                <w:szCs w:val="24"/>
              </w:rPr>
            </w:pPr>
          </w:p>
        </w:tc>
      </w:tr>
      <w:tr w14:paraId="7B88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69A82AB7">
            <w:pPr>
              <w:spacing w:line="360" w:lineRule="auto"/>
              <w:ind w:firstLine="480"/>
              <w:jc w:val="center"/>
              <w:rPr>
                <w:rFonts w:hint="eastAsia" w:ascii="宋体" w:hAnsi="宋体" w:eastAsia="宋体" w:cs="Times New Roman"/>
                <w:sz w:val="24"/>
                <w:szCs w:val="24"/>
              </w:rPr>
            </w:pPr>
          </w:p>
        </w:tc>
        <w:tc>
          <w:tcPr>
            <w:tcW w:w="2774" w:type="dxa"/>
          </w:tcPr>
          <w:p w14:paraId="46084E64">
            <w:pPr>
              <w:spacing w:line="360" w:lineRule="auto"/>
              <w:ind w:firstLine="480"/>
              <w:jc w:val="center"/>
              <w:rPr>
                <w:rFonts w:hint="eastAsia" w:ascii="宋体" w:hAnsi="宋体" w:eastAsia="宋体" w:cs="Times New Roman"/>
                <w:sz w:val="24"/>
                <w:szCs w:val="24"/>
              </w:rPr>
            </w:pPr>
          </w:p>
        </w:tc>
        <w:tc>
          <w:tcPr>
            <w:tcW w:w="2927" w:type="dxa"/>
          </w:tcPr>
          <w:p w14:paraId="45F9B602">
            <w:pPr>
              <w:spacing w:line="360" w:lineRule="auto"/>
              <w:ind w:firstLine="480"/>
              <w:jc w:val="center"/>
              <w:rPr>
                <w:rFonts w:hint="eastAsia" w:ascii="宋体" w:hAnsi="宋体" w:eastAsia="宋体" w:cs="Times New Roman"/>
                <w:sz w:val="24"/>
                <w:szCs w:val="24"/>
              </w:rPr>
            </w:pPr>
          </w:p>
        </w:tc>
        <w:tc>
          <w:tcPr>
            <w:tcW w:w="2444" w:type="dxa"/>
          </w:tcPr>
          <w:p w14:paraId="26C3CECA">
            <w:pPr>
              <w:spacing w:line="360" w:lineRule="auto"/>
              <w:ind w:firstLine="480"/>
              <w:jc w:val="center"/>
              <w:rPr>
                <w:rFonts w:hint="eastAsia" w:ascii="宋体" w:hAnsi="宋体" w:eastAsia="宋体" w:cs="Times New Roman"/>
                <w:sz w:val="24"/>
                <w:szCs w:val="24"/>
              </w:rPr>
            </w:pPr>
          </w:p>
        </w:tc>
      </w:tr>
      <w:tr w14:paraId="51F6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077" w:type="dxa"/>
          </w:tcPr>
          <w:p w14:paraId="6B4AAB47">
            <w:pPr>
              <w:spacing w:line="360" w:lineRule="auto"/>
              <w:ind w:firstLine="480"/>
              <w:jc w:val="center"/>
              <w:rPr>
                <w:rFonts w:hint="eastAsia" w:ascii="宋体" w:hAnsi="宋体" w:eastAsia="宋体" w:cs="Times New Roman"/>
                <w:sz w:val="24"/>
                <w:szCs w:val="24"/>
              </w:rPr>
            </w:pPr>
          </w:p>
        </w:tc>
        <w:tc>
          <w:tcPr>
            <w:tcW w:w="2774" w:type="dxa"/>
          </w:tcPr>
          <w:p w14:paraId="14A28E36">
            <w:pPr>
              <w:spacing w:line="360" w:lineRule="auto"/>
              <w:ind w:firstLine="480"/>
              <w:jc w:val="center"/>
              <w:rPr>
                <w:rFonts w:hint="eastAsia" w:ascii="宋体" w:hAnsi="宋体" w:eastAsia="宋体" w:cs="Times New Roman"/>
                <w:sz w:val="24"/>
                <w:szCs w:val="24"/>
              </w:rPr>
            </w:pPr>
          </w:p>
        </w:tc>
        <w:tc>
          <w:tcPr>
            <w:tcW w:w="2927" w:type="dxa"/>
          </w:tcPr>
          <w:p w14:paraId="46E29122">
            <w:pPr>
              <w:spacing w:line="360" w:lineRule="auto"/>
              <w:ind w:firstLine="480"/>
              <w:jc w:val="center"/>
              <w:rPr>
                <w:rFonts w:hint="eastAsia" w:ascii="宋体" w:hAnsi="宋体" w:eastAsia="宋体" w:cs="Times New Roman"/>
                <w:sz w:val="24"/>
                <w:szCs w:val="24"/>
              </w:rPr>
            </w:pPr>
          </w:p>
        </w:tc>
        <w:tc>
          <w:tcPr>
            <w:tcW w:w="2444" w:type="dxa"/>
          </w:tcPr>
          <w:p w14:paraId="27F7A734">
            <w:pPr>
              <w:spacing w:line="360" w:lineRule="auto"/>
              <w:ind w:firstLine="480"/>
              <w:jc w:val="center"/>
              <w:rPr>
                <w:rFonts w:hint="eastAsia" w:ascii="宋体" w:hAnsi="宋体" w:eastAsia="宋体" w:cs="Times New Roman"/>
                <w:sz w:val="24"/>
                <w:szCs w:val="24"/>
              </w:rPr>
            </w:pPr>
          </w:p>
        </w:tc>
      </w:tr>
      <w:tr w14:paraId="7C61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0B657392">
            <w:pPr>
              <w:spacing w:line="360" w:lineRule="auto"/>
              <w:ind w:firstLine="480"/>
              <w:jc w:val="center"/>
              <w:rPr>
                <w:rFonts w:hint="eastAsia" w:ascii="宋体" w:hAnsi="宋体" w:eastAsia="宋体" w:cs="Times New Roman"/>
                <w:sz w:val="24"/>
                <w:szCs w:val="24"/>
              </w:rPr>
            </w:pPr>
          </w:p>
        </w:tc>
        <w:tc>
          <w:tcPr>
            <w:tcW w:w="2774" w:type="dxa"/>
          </w:tcPr>
          <w:p w14:paraId="0C640FF1">
            <w:pPr>
              <w:spacing w:line="360" w:lineRule="auto"/>
              <w:ind w:firstLine="480"/>
              <w:jc w:val="center"/>
              <w:rPr>
                <w:rFonts w:hint="eastAsia" w:ascii="宋体" w:hAnsi="宋体" w:eastAsia="宋体" w:cs="Times New Roman"/>
                <w:sz w:val="24"/>
                <w:szCs w:val="24"/>
              </w:rPr>
            </w:pPr>
          </w:p>
        </w:tc>
        <w:tc>
          <w:tcPr>
            <w:tcW w:w="2927" w:type="dxa"/>
          </w:tcPr>
          <w:p w14:paraId="66FEF3FF">
            <w:pPr>
              <w:spacing w:line="360" w:lineRule="auto"/>
              <w:ind w:firstLine="480"/>
              <w:jc w:val="center"/>
              <w:rPr>
                <w:rFonts w:hint="eastAsia" w:ascii="宋体" w:hAnsi="宋体" w:eastAsia="宋体" w:cs="Times New Roman"/>
                <w:sz w:val="24"/>
                <w:szCs w:val="24"/>
              </w:rPr>
            </w:pPr>
          </w:p>
        </w:tc>
        <w:tc>
          <w:tcPr>
            <w:tcW w:w="2444" w:type="dxa"/>
          </w:tcPr>
          <w:p w14:paraId="6C32BA1F">
            <w:pPr>
              <w:spacing w:line="360" w:lineRule="auto"/>
              <w:ind w:firstLine="480"/>
              <w:jc w:val="center"/>
              <w:rPr>
                <w:rFonts w:hint="eastAsia" w:ascii="宋体" w:hAnsi="宋体" w:eastAsia="宋体" w:cs="Times New Roman"/>
                <w:sz w:val="24"/>
                <w:szCs w:val="24"/>
              </w:rPr>
            </w:pPr>
          </w:p>
        </w:tc>
      </w:tr>
      <w:tr w14:paraId="58D8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2B2A0812">
            <w:pPr>
              <w:spacing w:line="360" w:lineRule="auto"/>
              <w:ind w:firstLine="480"/>
              <w:jc w:val="center"/>
              <w:rPr>
                <w:rFonts w:hint="eastAsia" w:ascii="宋体" w:hAnsi="宋体" w:eastAsia="宋体" w:cs="Times New Roman"/>
                <w:sz w:val="24"/>
                <w:szCs w:val="24"/>
              </w:rPr>
            </w:pPr>
          </w:p>
        </w:tc>
        <w:tc>
          <w:tcPr>
            <w:tcW w:w="2774" w:type="dxa"/>
          </w:tcPr>
          <w:p w14:paraId="0C02C06C">
            <w:pPr>
              <w:spacing w:line="360" w:lineRule="auto"/>
              <w:ind w:firstLine="480"/>
              <w:jc w:val="center"/>
              <w:rPr>
                <w:rFonts w:hint="eastAsia" w:ascii="宋体" w:hAnsi="宋体" w:eastAsia="宋体" w:cs="Times New Roman"/>
                <w:sz w:val="24"/>
                <w:szCs w:val="24"/>
              </w:rPr>
            </w:pPr>
          </w:p>
        </w:tc>
        <w:tc>
          <w:tcPr>
            <w:tcW w:w="2927" w:type="dxa"/>
          </w:tcPr>
          <w:p w14:paraId="0D5605EB">
            <w:pPr>
              <w:spacing w:line="360" w:lineRule="auto"/>
              <w:ind w:firstLine="480"/>
              <w:jc w:val="center"/>
              <w:rPr>
                <w:rFonts w:hint="eastAsia" w:ascii="宋体" w:hAnsi="宋体" w:eastAsia="宋体" w:cs="Times New Roman"/>
                <w:sz w:val="24"/>
                <w:szCs w:val="24"/>
              </w:rPr>
            </w:pPr>
          </w:p>
        </w:tc>
        <w:tc>
          <w:tcPr>
            <w:tcW w:w="2444" w:type="dxa"/>
          </w:tcPr>
          <w:p w14:paraId="114606B8">
            <w:pPr>
              <w:spacing w:line="360" w:lineRule="auto"/>
              <w:ind w:firstLine="480"/>
              <w:jc w:val="center"/>
              <w:rPr>
                <w:rFonts w:hint="eastAsia" w:ascii="宋体" w:hAnsi="宋体" w:eastAsia="宋体" w:cs="Times New Roman"/>
                <w:sz w:val="24"/>
                <w:szCs w:val="24"/>
              </w:rPr>
            </w:pPr>
          </w:p>
        </w:tc>
      </w:tr>
      <w:tr w14:paraId="0223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6719EFAA">
            <w:pPr>
              <w:spacing w:line="360" w:lineRule="auto"/>
              <w:ind w:firstLine="480"/>
              <w:jc w:val="center"/>
              <w:rPr>
                <w:rFonts w:hint="eastAsia" w:ascii="宋体" w:hAnsi="宋体" w:eastAsia="宋体" w:cs="Times New Roman"/>
                <w:sz w:val="24"/>
                <w:szCs w:val="24"/>
              </w:rPr>
            </w:pPr>
          </w:p>
        </w:tc>
        <w:tc>
          <w:tcPr>
            <w:tcW w:w="2774" w:type="dxa"/>
          </w:tcPr>
          <w:p w14:paraId="66827BCA">
            <w:pPr>
              <w:spacing w:line="360" w:lineRule="auto"/>
              <w:ind w:firstLine="480"/>
              <w:jc w:val="center"/>
              <w:rPr>
                <w:rFonts w:hint="eastAsia" w:ascii="宋体" w:hAnsi="宋体" w:eastAsia="宋体" w:cs="Times New Roman"/>
                <w:sz w:val="24"/>
                <w:szCs w:val="24"/>
              </w:rPr>
            </w:pPr>
          </w:p>
        </w:tc>
        <w:tc>
          <w:tcPr>
            <w:tcW w:w="2927" w:type="dxa"/>
          </w:tcPr>
          <w:p w14:paraId="01B2D05F">
            <w:pPr>
              <w:spacing w:line="360" w:lineRule="auto"/>
              <w:ind w:firstLine="480"/>
              <w:jc w:val="center"/>
              <w:rPr>
                <w:rFonts w:hint="eastAsia" w:ascii="宋体" w:hAnsi="宋体" w:eastAsia="宋体" w:cs="Times New Roman"/>
                <w:sz w:val="24"/>
                <w:szCs w:val="24"/>
              </w:rPr>
            </w:pPr>
          </w:p>
        </w:tc>
        <w:tc>
          <w:tcPr>
            <w:tcW w:w="2444" w:type="dxa"/>
          </w:tcPr>
          <w:p w14:paraId="6434FF43">
            <w:pPr>
              <w:spacing w:line="360" w:lineRule="auto"/>
              <w:ind w:firstLine="480"/>
              <w:jc w:val="center"/>
              <w:rPr>
                <w:rFonts w:hint="eastAsia" w:ascii="宋体" w:hAnsi="宋体" w:eastAsia="宋体" w:cs="Times New Roman"/>
                <w:sz w:val="24"/>
                <w:szCs w:val="24"/>
              </w:rPr>
            </w:pPr>
          </w:p>
        </w:tc>
      </w:tr>
      <w:tr w14:paraId="6E4D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55378920">
            <w:pPr>
              <w:spacing w:line="360" w:lineRule="auto"/>
              <w:ind w:firstLine="480"/>
              <w:jc w:val="center"/>
              <w:rPr>
                <w:rFonts w:hint="eastAsia" w:ascii="宋体" w:hAnsi="宋体" w:eastAsia="宋体" w:cs="Times New Roman"/>
                <w:sz w:val="24"/>
                <w:szCs w:val="24"/>
              </w:rPr>
            </w:pPr>
          </w:p>
        </w:tc>
        <w:tc>
          <w:tcPr>
            <w:tcW w:w="2774" w:type="dxa"/>
          </w:tcPr>
          <w:p w14:paraId="5D7C87BF">
            <w:pPr>
              <w:spacing w:line="360" w:lineRule="auto"/>
              <w:ind w:firstLine="480"/>
              <w:jc w:val="center"/>
              <w:rPr>
                <w:rFonts w:hint="eastAsia" w:ascii="宋体" w:hAnsi="宋体" w:eastAsia="宋体" w:cs="Times New Roman"/>
                <w:sz w:val="24"/>
                <w:szCs w:val="24"/>
              </w:rPr>
            </w:pPr>
          </w:p>
        </w:tc>
        <w:tc>
          <w:tcPr>
            <w:tcW w:w="2927" w:type="dxa"/>
          </w:tcPr>
          <w:p w14:paraId="6FE24EA0">
            <w:pPr>
              <w:spacing w:line="360" w:lineRule="auto"/>
              <w:ind w:firstLine="480"/>
              <w:jc w:val="center"/>
              <w:rPr>
                <w:rFonts w:hint="eastAsia" w:ascii="宋体" w:hAnsi="宋体" w:eastAsia="宋体" w:cs="Times New Roman"/>
                <w:sz w:val="24"/>
                <w:szCs w:val="24"/>
              </w:rPr>
            </w:pPr>
          </w:p>
        </w:tc>
        <w:tc>
          <w:tcPr>
            <w:tcW w:w="2444" w:type="dxa"/>
          </w:tcPr>
          <w:p w14:paraId="00ACA667">
            <w:pPr>
              <w:spacing w:line="360" w:lineRule="auto"/>
              <w:ind w:firstLine="480"/>
              <w:jc w:val="center"/>
              <w:rPr>
                <w:rFonts w:hint="eastAsia" w:ascii="宋体" w:hAnsi="宋体" w:eastAsia="宋体" w:cs="Times New Roman"/>
                <w:sz w:val="24"/>
                <w:szCs w:val="24"/>
              </w:rPr>
            </w:pPr>
          </w:p>
        </w:tc>
      </w:tr>
      <w:tr w14:paraId="0FE5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06A093BB">
            <w:pPr>
              <w:spacing w:line="360" w:lineRule="auto"/>
              <w:ind w:firstLine="480"/>
              <w:jc w:val="center"/>
              <w:rPr>
                <w:rFonts w:hint="eastAsia" w:ascii="宋体" w:hAnsi="宋体" w:eastAsia="宋体" w:cs="Times New Roman"/>
                <w:sz w:val="24"/>
                <w:szCs w:val="24"/>
              </w:rPr>
            </w:pPr>
          </w:p>
        </w:tc>
        <w:tc>
          <w:tcPr>
            <w:tcW w:w="2774" w:type="dxa"/>
          </w:tcPr>
          <w:p w14:paraId="49919413">
            <w:pPr>
              <w:spacing w:line="360" w:lineRule="auto"/>
              <w:ind w:firstLine="480"/>
              <w:jc w:val="center"/>
              <w:rPr>
                <w:rFonts w:hint="eastAsia" w:ascii="宋体" w:hAnsi="宋体" w:eastAsia="宋体" w:cs="Times New Roman"/>
                <w:sz w:val="24"/>
                <w:szCs w:val="24"/>
              </w:rPr>
            </w:pPr>
          </w:p>
        </w:tc>
        <w:tc>
          <w:tcPr>
            <w:tcW w:w="2927" w:type="dxa"/>
          </w:tcPr>
          <w:p w14:paraId="3B2E4E2A">
            <w:pPr>
              <w:spacing w:line="360" w:lineRule="auto"/>
              <w:ind w:firstLine="480"/>
              <w:jc w:val="center"/>
              <w:rPr>
                <w:rFonts w:hint="eastAsia" w:ascii="宋体" w:hAnsi="宋体" w:eastAsia="宋体" w:cs="Times New Roman"/>
                <w:sz w:val="24"/>
                <w:szCs w:val="24"/>
              </w:rPr>
            </w:pPr>
          </w:p>
        </w:tc>
        <w:tc>
          <w:tcPr>
            <w:tcW w:w="2444" w:type="dxa"/>
          </w:tcPr>
          <w:p w14:paraId="50DA743F">
            <w:pPr>
              <w:spacing w:line="360" w:lineRule="auto"/>
              <w:ind w:firstLine="480"/>
              <w:jc w:val="center"/>
              <w:rPr>
                <w:rFonts w:hint="eastAsia" w:ascii="宋体" w:hAnsi="宋体" w:eastAsia="宋体" w:cs="Times New Roman"/>
                <w:sz w:val="24"/>
                <w:szCs w:val="24"/>
              </w:rPr>
            </w:pPr>
          </w:p>
        </w:tc>
      </w:tr>
      <w:tr w14:paraId="4F2C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5EC00F5F">
            <w:pPr>
              <w:spacing w:line="360" w:lineRule="auto"/>
              <w:ind w:firstLine="480"/>
              <w:jc w:val="center"/>
              <w:rPr>
                <w:rFonts w:hint="eastAsia" w:ascii="宋体" w:hAnsi="宋体" w:eastAsia="宋体" w:cs="Times New Roman"/>
                <w:sz w:val="24"/>
                <w:szCs w:val="24"/>
              </w:rPr>
            </w:pPr>
          </w:p>
        </w:tc>
        <w:tc>
          <w:tcPr>
            <w:tcW w:w="2774" w:type="dxa"/>
          </w:tcPr>
          <w:p w14:paraId="04714E9F">
            <w:pPr>
              <w:spacing w:line="360" w:lineRule="auto"/>
              <w:ind w:firstLine="480"/>
              <w:jc w:val="center"/>
              <w:rPr>
                <w:rFonts w:hint="eastAsia" w:ascii="宋体" w:hAnsi="宋体" w:eastAsia="宋体" w:cs="Times New Roman"/>
                <w:sz w:val="24"/>
                <w:szCs w:val="24"/>
              </w:rPr>
            </w:pPr>
          </w:p>
        </w:tc>
        <w:tc>
          <w:tcPr>
            <w:tcW w:w="2927" w:type="dxa"/>
          </w:tcPr>
          <w:p w14:paraId="7476EFA4">
            <w:pPr>
              <w:spacing w:line="360" w:lineRule="auto"/>
              <w:ind w:firstLine="480"/>
              <w:jc w:val="center"/>
              <w:rPr>
                <w:rFonts w:hint="eastAsia" w:ascii="宋体" w:hAnsi="宋体" w:eastAsia="宋体" w:cs="Times New Roman"/>
                <w:sz w:val="24"/>
                <w:szCs w:val="24"/>
              </w:rPr>
            </w:pPr>
          </w:p>
        </w:tc>
        <w:tc>
          <w:tcPr>
            <w:tcW w:w="2444" w:type="dxa"/>
          </w:tcPr>
          <w:p w14:paraId="375D1D7D">
            <w:pPr>
              <w:spacing w:line="360" w:lineRule="auto"/>
              <w:ind w:firstLine="480"/>
              <w:jc w:val="center"/>
              <w:rPr>
                <w:rFonts w:hint="eastAsia" w:ascii="宋体" w:hAnsi="宋体" w:eastAsia="宋体" w:cs="Times New Roman"/>
                <w:sz w:val="24"/>
                <w:szCs w:val="24"/>
              </w:rPr>
            </w:pPr>
          </w:p>
        </w:tc>
      </w:tr>
    </w:tbl>
    <w:p w14:paraId="08382490">
      <w:pPr>
        <w:spacing w:line="400" w:lineRule="exact"/>
        <w:ind w:firstLine="480"/>
        <w:rPr>
          <w:rFonts w:hint="eastAsia" w:ascii="宋体" w:hAnsi="宋体" w:eastAsia="宋体" w:cs="Times New Roman"/>
          <w:szCs w:val="20"/>
        </w:rPr>
      </w:pPr>
      <w:r>
        <w:rPr>
          <w:rFonts w:hint="eastAsia" w:ascii="宋体" w:hAnsi="宋体" w:eastAsia="宋体" w:cs="Times New Roman"/>
          <w:sz w:val="24"/>
          <w:szCs w:val="24"/>
        </w:rPr>
        <w:t>注：“偏离说明”填写“正偏离”“负偏离”或“无偏离”。</w:t>
      </w:r>
    </w:p>
    <w:p w14:paraId="1124AA2F">
      <w:pPr>
        <w:spacing w:line="360" w:lineRule="auto"/>
        <w:ind w:firstLine="480"/>
        <w:rPr>
          <w:rFonts w:hint="eastAsia" w:ascii="宋体" w:hAnsi="宋体" w:eastAsia="宋体" w:cs="Times New Roman"/>
          <w:sz w:val="24"/>
          <w:szCs w:val="24"/>
        </w:rPr>
      </w:pPr>
    </w:p>
    <w:p w14:paraId="42526E67">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72A3E2B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18C9EEE2">
      <w:pPr>
        <w:spacing w:line="360" w:lineRule="auto"/>
        <w:ind w:firstLine="480"/>
        <w:rPr>
          <w:rFonts w:hint="eastAsia" w:ascii="宋体" w:hAnsi="宋体" w:eastAsia="宋体" w:cs="Times New Roman"/>
          <w:sz w:val="24"/>
          <w:szCs w:val="24"/>
        </w:rPr>
      </w:pPr>
      <w:r>
        <w:rPr>
          <w:rFonts w:hint="eastAsia" w:ascii="宋体" w:hAnsi="Courier New" w:eastAsia="宋体" w:cs="Times New Roman"/>
          <w:sz w:val="24"/>
          <w:szCs w:val="24"/>
        </w:rPr>
        <w:t>日期：    年     月     日</w:t>
      </w:r>
    </w:p>
    <w:p w14:paraId="15894160">
      <w:pPr>
        <w:spacing w:line="600" w:lineRule="exact"/>
        <w:ind w:firstLine="420"/>
        <w:rPr>
          <w:rFonts w:hint="eastAsia" w:ascii="宋体" w:hAnsi="宋体" w:eastAsia="宋体" w:cs="Times New Roman"/>
          <w:szCs w:val="20"/>
        </w:rPr>
      </w:pPr>
    </w:p>
    <w:p w14:paraId="412D8195">
      <w:pPr>
        <w:keepNext/>
        <w:tabs>
          <w:tab w:val="left" w:pos="1021"/>
        </w:tabs>
        <w:spacing w:line="360" w:lineRule="auto"/>
        <w:outlineLvl w:val="1"/>
        <w:rPr>
          <w:rFonts w:hint="eastAsia" w:ascii="Times New Roman" w:hAnsi="宋体" w:eastAsia="黑体" w:cs="Times New Roman"/>
          <w:b/>
          <w:sz w:val="28"/>
          <w:szCs w:val="21"/>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格式11、售后服务承诺书</w:t>
      </w:r>
    </w:p>
    <w:p w14:paraId="46E53E4A">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售后服务承诺书</w:t>
      </w:r>
    </w:p>
    <w:p w14:paraId="3D05625D">
      <w:pPr>
        <w:spacing w:line="360" w:lineRule="auto"/>
        <w:ind w:firstLine="480"/>
        <w:jc w:val="center"/>
        <w:rPr>
          <w:rFonts w:hint="eastAsia" w:ascii="宋体" w:hAnsi="宋体" w:eastAsia="宋体" w:cs="Times New Roman"/>
          <w:sz w:val="24"/>
          <w:szCs w:val="24"/>
        </w:rPr>
      </w:pPr>
      <w:r>
        <w:rPr>
          <w:rFonts w:hint="eastAsia" w:ascii="宋体" w:hAnsi="宋体" w:eastAsia="宋体" w:cs="Times New Roman"/>
          <w:sz w:val="24"/>
          <w:szCs w:val="24"/>
        </w:rPr>
        <w:t>（请按“项目需求”要求的售后服务及内容自行填写）</w:t>
      </w:r>
    </w:p>
    <w:p w14:paraId="5BAF99BA">
      <w:pPr>
        <w:spacing w:line="360" w:lineRule="auto"/>
        <w:ind w:firstLine="480"/>
        <w:rPr>
          <w:rFonts w:hint="eastAsia" w:ascii="宋体" w:hAnsi="宋体" w:eastAsia="宋体" w:cs="Times New Roman"/>
          <w:sz w:val="24"/>
          <w:szCs w:val="24"/>
        </w:rPr>
      </w:pPr>
    </w:p>
    <w:p w14:paraId="2457CDFA">
      <w:pPr>
        <w:spacing w:line="360" w:lineRule="auto"/>
        <w:ind w:firstLine="480"/>
        <w:rPr>
          <w:rFonts w:hint="eastAsia" w:ascii="宋体" w:hAnsi="宋体" w:eastAsia="宋体" w:cs="Times New Roman"/>
          <w:sz w:val="24"/>
          <w:szCs w:val="24"/>
        </w:rPr>
      </w:pPr>
    </w:p>
    <w:p w14:paraId="298E141D">
      <w:pPr>
        <w:spacing w:line="360" w:lineRule="auto"/>
        <w:ind w:firstLine="480"/>
        <w:rPr>
          <w:rFonts w:hint="eastAsia" w:ascii="宋体" w:hAnsi="宋体" w:eastAsia="宋体" w:cs="Times New Roman"/>
          <w:sz w:val="24"/>
          <w:szCs w:val="24"/>
        </w:rPr>
      </w:pPr>
    </w:p>
    <w:p w14:paraId="5C254921">
      <w:pPr>
        <w:spacing w:line="360" w:lineRule="auto"/>
        <w:ind w:firstLine="480"/>
        <w:rPr>
          <w:rFonts w:hint="eastAsia" w:ascii="宋体" w:hAnsi="宋体" w:eastAsia="宋体" w:cs="Times New Roman"/>
          <w:sz w:val="24"/>
          <w:szCs w:val="24"/>
        </w:rPr>
      </w:pPr>
    </w:p>
    <w:p w14:paraId="04ABEF65">
      <w:pPr>
        <w:spacing w:line="360" w:lineRule="auto"/>
        <w:ind w:firstLine="480"/>
        <w:rPr>
          <w:rFonts w:hint="eastAsia" w:ascii="宋体" w:hAnsi="宋体" w:eastAsia="宋体" w:cs="Times New Roman"/>
          <w:sz w:val="24"/>
          <w:szCs w:val="24"/>
        </w:rPr>
      </w:pPr>
    </w:p>
    <w:p w14:paraId="489AF9FA">
      <w:pPr>
        <w:spacing w:line="360" w:lineRule="auto"/>
        <w:ind w:firstLine="480"/>
        <w:rPr>
          <w:rFonts w:hint="eastAsia" w:ascii="宋体" w:hAnsi="宋体" w:eastAsia="宋体" w:cs="Times New Roman"/>
          <w:sz w:val="24"/>
          <w:szCs w:val="24"/>
        </w:rPr>
      </w:pPr>
    </w:p>
    <w:p w14:paraId="6B8F5F01">
      <w:pPr>
        <w:spacing w:line="360" w:lineRule="auto"/>
        <w:ind w:firstLine="480"/>
        <w:rPr>
          <w:rFonts w:hint="eastAsia" w:ascii="宋体" w:hAnsi="宋体" w:eastAsia="宋体" w:cs="Times New Roman"/>
          <w:sz w:val="24"/>
          <w:szCs w:val="24"/>
        </w:rPr>
      </w:pPr>
    </w:p>
    <w:p w14:paraId="5B0764AD">
      <w:pPr>
        <w:spacing w:line="360" w:lineRule="auto"/>
        <w:ind w:firstLine="480"/>
        <w:rPr>
          <w:rFonts w:hint="eastAsia" w:ascii="宋体" w:hAnsi="宋体" w:eastAsia="宋体" w:cs="Times New Roman"/>
          <w:sz w:val="24"/>
          <w:szCs w:val="24"/>
        </w:rPr>
      </w:pPr>
    </w:p>
    <w:p w14:paraId="28823B84">
      <w:pPr>
        <w:spacing w:line="360" w:lineRule="auto"/>
        <w:ind w:firstLine="480"/>
        <w:rPr>
          <w:rFonts w:hint="eastAsia" w:ascii="宋体" w:hAnsi="宋体" w:eastAsia="宋体" w:cs="Times New Roman"/>
          <w:sz w:val="24"/>
          <w:szCs w:val="24"/>
        </w:rPr>
      </w:pPr>
    </w:p>
    <w:p w14:paraId="61F7C792">
      <w:pPr>
        <w:spacing w:line="360" w:lineRule="auto"/>
        <w:ind w:firstLine="480"/>
        <w:rPr>
          <w:rFonts w:hint="eastAsia" w:ascii="宋体" w:hAnsi="宋体" w:eastAsia="宋体" w:cs="Times New Roman"/>
          <w:sz w:val="24"/>
          <w:szCs w:val="24"/>
        </w:rPr>
      </w:pPr>
    </w:p>
    <w:p w14:paraId="536D9CA4">
      <w:pPr>
        <w:spacing w:line="360" w:lineRule="auto"/>
        <w:ind w:firstLine="480"/>
        <w:rPr>
          <w:rFonts w:hint="eastAsia" w:ascii="宋体" w:hAnsi="宋体" w:eastAsia="宋体" w:cs="Times New Roman"/>
          <w:sz w:val="24"/>
          <w:szCs w:val="24"/>
        </w:rPr>
      </w:pPr>
    </w:p>
    <w:p w14:paraId="7FD78525">
      <w:pPr>
        <w:spacing w:line="360" w:lineRule="auto"/>
        <w:ind w:firstLine="480"/>
        <w:rPr>
          <w:rFonts w:hint="eastAsia" w:ascii="宋体" w:hAnsi="宋体" w:eastAsia="宋体" w:cs="Times New Roman"/>
          <w:sz w:val="24"/>
          <w:szCs w:val="24"/>
        </w:rPr>
      </w:pPr>
    </w:p>
    <w:p w14:paraId="41C4FD86">
      <w:pPr>
        <w:spacing w:line="360" w:lineRule="auto"/>
        <w:ind w:firstLine="480"/>
        <w:rPr>
          <w:rFonts w:hint="eastAsia" w:ascii="宋体" w:hAnsi="宋体" w:eastAsia="宋体" w:cs="Times New Roman"/>
          <w:sz w:val="24"/>
          <w:szCs w:val="24"/>
        </w:rPr>
      </w:pPr>
    </w:p>
    <w:p w14:paraId="30BAFBB2">
      <w:pPr>
        <w:spacing w:line="360" w:lineRule="auto"/>
        <w:ind w:firstLine="480"/>
        <w:rPr>
          <w:rFonts w:hint="eastAsia" w:ascii="宋体" w:hAnsi="宋体" w:eastAsia="宋体" w:cs="Times New Roman"/>
          <w:sz w:val="24"/>
          <w:szCs w:val="24"/>
        </w:rPr>
      </w:pPr>
    </w:p>
    <w:p w14:paraId="251BDFD3">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0FC3ED7A">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2B0E9D27">
      <w:pPr>
        <w:spacing w:line="360" w:lineRule="auto"/>
        <w:ind w:firstLine="480"/>
        <w:rPr>
          <w:rFonts w:ascii="宋体" w:hAnsi="Courier New" w:eastAsia="宋体" w:cs="Times New Roman"/>
          <w:sz w:val="24"/>
          <w:szCs w:val="24"/>
        </w:rPr>
      </w:pPr>
      <w:r>
        <w:rPr>
          <w:rFonts w:hint="eastAsia" w:ascii="宋体" w:hAnsi="Courier New" w:eastAsia="宋体" w:cs="Times New Roman"/>
          <w:sz w:val="24"/>
          <w:szCs w:val="24"/>
        </w:rPr>
        <w:t>日期：    年     月     日</w:t>
      </w:r>
    </w:p>
    <w:p w14:paraId="0428F67A">
      <w:pPr>
        <w:keepNext/>
        <w:tabs>
          <w:tab w:val="left" w:pos="1021"/>
        </w:tabs>
        <w:spacing w:line="360" w:lineRule="auto"/>
        <w:outlineLvl w:val="1"/>
        <w:rPr>
          <w:rFonts w:hint="eastAsia" w:ascii="Times New Roman" w:hAnsi="宋体" w:eastAsia="黑体" w:cs="Times New Roman"/>
          <w:b/>
          <w:sz w:val="28"/>
          <w:szCs w:val="20"/>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格式12、技术规格偏离表</w:t>
      </w:r>
    </w:p>
    <w:p w14:paraId="19C85463">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技术规格偏离表</w:t>
      </w:r>
    </w:p>
    <w:p w14:paraId="4877A3EF">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请按所响应产品的实际技术参数，逐条对应采购文件“项目需求”中要求的技术规范填写该表，该表不能作为所响应产品的技术文件，供应商应在响应文件中单独提供技术文件。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65"/>
        <w:gridCol w:w="448"/>
        <w:gridCol w:w="1418"/>
        <w:gridCol w:w="1134"/>
        <w:gridCol w:w="619"/>
        <w:gridCol w:w="1224"/>
        <w:gridCol w:w="1559"/>
        <w:gridCol w:w="1276"/>
      </w:tblGrid>
      <w:tr w14:paraId="3F11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11" w:type="dxa"/>
            <w:vMerge w:val="restart"/>
            <w:vAlign w:val="center"/>
          </w:tcPr>
          <w:p w14:paraId="7BD6C68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项号</w:t>
            </w:r>
          </w:p>
        </w:tc>
        <w:tc>
          <w:tcPr>
            <w:tcW w:w="2731" w:type="dxa"/>
            <w:gridSpan w:val="3"/>
            <w:vAlign w:val="center"/>
          </w:tcPr>
          <w:p w14:paraId="74B26B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采购文件需求</w:t>
            </w:r>
          </w:p>
        </w:tc>
        <w:tc>
          <w:tcPr>
            <w:tcW w:w="4536" w:type="dxa"/>
            <w:gridSpan w:val="4"/>
            <w:vAlign w:val="center"/>
          </w:tcPr>
          <w:p w14:paraId="3CDEA27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响应产品规格及技术参数</w:t>
            </w:r>
          </w:p>
        </w:tc>
        <w:tc>
          <w:tcPr>
            <w:tcW w:w="1276" w:type="dxa"/>
            <w:vMerge w:val="restart"/>
            <w:vAlign w:val="center"/>
          </w:tcPr>
          <w:p w14:paraId="51213F4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偏离说明</w:t>
            </w:r>
          </w:p>
        </w:tc>
      </w:tr>
      <w:tr w14:paraId="1BCB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11" w:type="dxa"/>
            <w:vMerge w:val="continue"/>
            <w:vAlign w:val="center"/>
          </w:tcPr>
          <w:p w14:paraId="1FCE1E34">
            <w:pPr>
              <w:spacing w:line="360" w:lineRule="auto"/>
              <w:jc w:val="center"/>
              <w:rPr>
                <w:rFonts w:hint="eastAsia" w:ascii="宋体" w:hAnsi="宋体" w:eastAsia="宋体" w:cs="Times New Roman"/>
                <w:sz w:val="24"/>
                <w:szCs w:val="24"/>
              </w:rPr>
            </w:pPr>
          </w:p>
        </w:tc>
        <w:tc>
          <w:tcPr>
            <w:tcW w:w="865" w:type="dxa"/>
            <w:vAlign w:val="center"/>
          </w:tcPr>
          <w:p w14:paraId="75CDD5C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货物名称</w:t>
            </w:r>
          </w:p>
        </w:tc>
        <w:tc>
          <w:tcPr>
            <w:tcW w:w="448" w:type="dxa"/>
            <w:vAlign w:val="center"/>
          </w:tcPr>
          <w:p w14:paraId="5E0E6B2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数量</w:t>
            </w:r>
          </w:p>
        </w:tc>
        <w:tc>
          <w:tcPr>
            <w:tcW w:w="1418" w:type="dxa"/>
            <w:vAlign w:val="center"/>
          </w:tcPr>
          <w:p w14:paraId="14921F3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技术参数要求</w:t>
            </w:r>
          </w:p>
        </w:tc>
        <w:tc>
          <w:tcPr>
            <w:tcW w:w="1134" w:type="dxa"/>
            <w:vAlign w:val="center"/>
          </w:tcPr>
          <w:p w14:paraId="3E72AC9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货物名称</w:t>
            </w:r>
          </w:p>
        </w:tc>
        <w:tc>
          <w:tcPr>
            <w:tcW w:w="619" w:type="dxa"/>
            <w:vAlign w:val="center"/>
          </w:tcPr>
          <w:p w14:paraId="2E9145C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数量</w:t>
            </w:r>
          </w:p>
        </w:tc>
        <w:tc>
          <w:tcPr>
            <w:tcW w:w="1224" w:type="dxa"/>
            <w:vAlign w:val="center"/>
          </w:tcPr>
          <w:p w14:paraId="06C5AA4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品牌、厂家、型号规格</w:t>
            </w:r>
          </w:p>
        </w:tc>
        <w:tc>
          <w:tcPr>
            <w:tcW w:w="1559" w:type="dxa"/>
            <w:vAlign w:val="center"/>
          </w:tcPr>
          <w:p w14:paraId="2FBA87D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技术参数</w:t>
            </w:r>
          </w:p>
        </w:tc>
        <w:tc>
          <w:tcPr>
            <w:tcW w:w="1276" w:type="dxa"/>
            <w:vMerge w:val="continue"/>
            <w:vAlign w:val="center"/>
          </w:tcPr>
          <w:p w14:paraId="7BC120F0">
            <w:pPr>
              <w:spacing w:line="360" w:lineRule="auto"/>
              <w:jc w:val="center"/>
              <w:rPr>
                <w:rFonts w:hint="eastAsia" w:ascii="宋体" w:hAnsi="宋体" w:eastAsia="宋体" w:cs="Times New Roman"/>
                <w:sz w:val="24"/>
                <w:szCs w:val="24"/>
              </w:rPr>
            </w:pPr>
          </w:p>
        </w:tc>
      </w:tr>
      <w:tr w14:paraId="6CB1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7DA69263">
            <w:pPr>
              <w:spacing w:line="360" w:lineRule="auto"/>
              <w:jc w:val="center"/>
              <w:rPr>
                <w:rFonts w:hint="eastAsia" w:ascii="宋体" w:hAnsi="宋体" w:eastAsia="宋体" w:cs="Times New Roman"/>
                <w:sz w:val="24"/>
                <w:szCs w:val="24"/>
              </w:rPr>
            </w:pPr>
          </w:p>
        </w:tc>
        <w:tc>
          <w:tcPr>
            <w:tcW w:w="865" w:type="dxa"/>
            <w:vAlign w:val="center"/>
          </w:tcPr>
          <w:p w14:paraId="22F05CA3">
            <w:pPr>
              <w:spacing w:line="360" w:lineRule="auto"/>
              <w:jc w:val="center"/>
              <w:rPr>
                <w:rFonts w:hint="eastAsia" w:ascii="宋体" w:hAnsi="宋体" w:eastAsia="宋体" w:cs="Times New Roman"/>
                <w:sz w:val="24"/>
                <w:szCs w:val="24"/>
              </w:rPr>
            </w:pPr>
          </w:p>
        </w:tc>
        <w:tc>
          <w:tcPr>
            <w:tcW w:w="448" w:type="dxa"/>
            <w:vAlign w:val="center"/>
          </w:tcPr>
          <w:p w14:paraId="4EA5DC72">
            <w:pPr>
              <w:spacing w:line="360" w:lineRule="auto"/>
              <w:jc w:val="center"/>
              <w:rPr>
                <w:rFonts w:hint="eastAsia" w:ascii="宋体" w:hAnsi="宋体" w:eastAsia="宋体" w:cs="Times New Roman"/>
                <w:sz w:val="24"/>
                <w:szCs w:val="24"/>
              </w:rPr>
            </w:pPr>
          </w:p>
        </w:tc>
        <w:tc>
          <w:tcPr>
            <w:tcW w:w="1418" w:type="dxa"/>
            <w:vAlign w:val="center"/>
          </w:tcPr>
          <w:p w14:paraId="34890D30">
            <w:pPr>
              <w:spacing w:line="360" w:lineRule="auto"/>
              <w:jc w:val="center"/>
              <w:rPr>
                <w:rFonts w:hint="eastAsia" w:ascii="宋体" w:hAnsi="宋体" w:eastAsia="宋体" w:cs="Times New Roman"/>
                <w:sz w:val="24"/>
                <w:szCs w:val="24"/>
              </w:rPr>
            </w:pPr>
          </w:p>
        </w:tc>
        <w:tc>
          <w:tcPr>
            <w:tcW w:w="1134" w:type="dxa"/>
            <w:vAlign w:val="center"/>
          </w:tcPr>
          <w:p w14:paraId="7953BE4E">
            <w:pPr>
              <w:spacing w:line="360" w:lineRule="auto"/>
              <w:jc w:val="center"/>
              <w:rPr>
                <w:rFonts w:hint="eastAsia" w:ascii="宋体" w:hAnsi="宋体" w:eastAsia="宋体" w:cs="Times New Roman"/>
                <w:sz w:val="24"/>
                <w:szCs w:val="24"/>
              </w:rPr>
            </w:pPr>
          </w:p>
        </w:tc>
        <w:tc>
          <w:tcPr>
            <w:tcW w:w="619" w:type="dxa"/>
            <w:vAlign w:val="center"/>
          </w:tcPr>
          <w:p w14:paraId="4325E82A">
            <w:pPr>
              <w:spacing w:line="360" w:lineRule="auto"/>
              <w:jc w:val="center"/>
              <w:rPr>
                <w:rFonts w:hint="eastAsia" w:ascii="宋体" w:hAnsi="宋体" w:eastAsia="宋体" w:cs="Times New Roman"/>
                <w:sz w:val="24"/>
                <w:szCs w:val="24"/>
              </w:rPr>
            </w:pPr>
          </w:p>
        </w:tc>
        <w:tc>
          <w:tcPr>
            <w:tcW w:w="1224" w:type="dxa"/>
            <w:vAlign w:val="center"/>
          </w:tcPr>
          <w:p w14:paraId="3E2D85E9">
            <w:pPr>
              <w:spacing w:line="360" w:lineRule="auto"/>
              <w:jc w:val="center"/>
              <w:rPr>
                <w:rFonts w:hint="eastAsia" w:ascii="宋体" w:hAnsi="宋体" w:eastAsia="宋体" w:cs="Times New Roman"/>
                <w:sz w:val="24"/>
                <w:szCs w:val="24"/>
              </w:rPr>
            </w:pPr>
          </w:p>
        </w:tc>
        <w:tc>
          <w:tcPr>
            <w:tcW w:w="1559" w:type="dxa"/>
            <w:vAlign w:val="center"/>
          </w:tcPr>
          <w:p w14:paraId="5B313D67">
            <w:pPr>
              <w:spacing w:line="360" w:lineRule="auto"/>
              <w:jc w:val="center"/>
              <w:rPr>
                <w:rFonts w:hint="eastAsia" w:ascii="宋体" w:hAnsi="宋体" w:eastAsia="宋体" w:cs="Times New Roman"/>
                <w:sz w:val="24"/>
                <w:szCs w:val="24"/>
              </w:rPr>
            </w:pPr>
          </w:p>
        </w:tc>
        <w:tc>
          <w:tcPr>
            <w:tcW w:w="1276" w:type="dxa"/>
            <w:vAlign w:val="center"/>
          </w:tcPr>
          <w:p w14:paraId="7723B41E">
            <w:pPr>
              <w:spacing w:line="360" w:lineRule="auto"/>
              <w:jc w:val="center"/>
              <w:rPr>
                <w:rFonts w:hint="eastAsia" w:ascii="宋体" w:hAnsi="宋体" w:eastAsia="宋体" w:cs="Times New Roman"/>
                <w:sz w:val="24"/>
                <w:szCs w:val="24"/>
              </w:rPr>
            </w:pPr>
          </w:p>
        </w:tc>
      </w:tr>
      <w:tr w14:paraId="61F8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0A633688">
            <w:pPr>
              <w:spacing w:line="360" w:lineRule="auto"/>
              <w:jc w:val="center"/>
              <w:rPr>
                <w:rFonts w:hint="eastAsia" w:ascii="宋体" w:hAnsi="宋体" w:eastAsia="宋体" w:cs="Times New Roman"/>
                <w:sz w:val="24"/>
                <w:szCs w:val="24"/>
              </w:rPr>
            </w:pPr>
          </w:p>
        </w:tc>
        <w:tc>
          <w:tcPr>
            <w:tcW w:w="865" w:type="dxa"/>
            <w:vAlign w:val="center"/>
          </w:tcPr>
          <w:p w14:paraId="02C1C4E7">
            <w:pPr>
              <w:spacing w:line="360" w:lineRule="auto"/>
              <w:jc w:val="center"/>
              <w:rPr>
                <w:rFonts w:hint="eastAsia" w:ascii="宋体" w:hAnsi="宋体" w:eastAsia="宋体" w:cs="Times New Roman"/>
                <w:sz w:val="24"/>
                <w:szCs w:val="24"/>
              </w:rPr>
            </w:pPr>
          </w:p>
        </w:tc>
        <w:tc>
          <w:tcPr>
            <w:tcW w:w="448" w:type="dxa"/>
            <w:vAlign w:val="center"/>
          </w:tcPr>
          <w:p w14:paraId="223F3201">
            <w:pPr>
              <w:spacing w:line="360" w:lineRule="auto"/>
              <w:jc w:val="center"/>
              <w:rPr>
                <w:rFonts w:hint="eastAsia" w:ascii="宋体" w:hAnsi="宋体" w:eastAsia="宋体" w:cs="Times New Roman"/>
                <w:sz w:val="24"/>
                <w:szCs w:val="24"/>
              </w:rPr>
            </w:pPr>
          </w:p>
        </w:tc>
        <w:tc>
          <w:tcPr>
            <w:tcW w:w="1418" w:type="dxa"/>
            <w:vAlign w:val="center"/>
          </w:tcPr>
          <w:p w14:paraId="46AFBD56">
            <w:pPr>
              <w:spacing w:line="360" w:lineRule="auto"/>
              <w:jc w:val="center"/>
              <w:rPr>
                <w:rFonts w:hint="eastAsia" w:ascii="宋体" w:hAnsi="宋体" w:eastAsia="宋体" w:cs="Times New Roman"/>
                <w:sz w:val="24"/>
                <w:szCs w:val="24"/>
              </w:rPr>
            </w:pPr>
          </w:p>
        </w:tc>
        <w:tc>
          <w:tcPr>
            <w:tcW w:w="1134" w:type="dxa"/>
            <w:vAlign w:val="center"/>
          </w:tcPr>
          <w:p w14:paraId="32C0BBEE">
            <w:pPr>
              <w:spacing w:line="360" w:lineRule="auto"/>
              <w:jc w:val="center"/>
              <w:rPr>
                <w:rFonts w:hint="eastAsia" w:ascii="宋体" w:hAnsi="宋体" w:eastAsia="宋体" w:cs="Times New Roman"/>
                <w:sz w:val="24"/>
                <w:szCs w:val="24"/>
              </w:rPr>
            </w:pPr>
          </w:p>
        </w:tc>
        <w:tc>
          <w:tcPr>
            <w:tcW w:w="619" w:type="dxa"/>
            <w:vAlign w:val="center"/>
          </w:tcPr>
          <w:p w14:paraId="04240987">
            <w:pPr>
              <w:spacing w:line="360" w:lineRule="auto"/>
              <w:jc w:val="center"/>
              <w:rPr>
                <w:rFonts w:hint="eastAsia" w:ascii="宋体" w:hAnsi="宋体" w:eastAsia="宋体" w:cs="Times New Roman"/>
                <w:sz w:val="24"/>
                <w:szCs w:val="24"/>
              </w:rPr>
            </w:pPr>
          </w:p>
        </w:tc>
        <w:tc>
          <w:tcPr>
            <w:tcW w:w="1224" w:type="dxa"/>
            <w:vAlign w:val="center"/>
          </w:tcPr>
          <w:p w14:paraId="3AF04425">
            <w:pPr>
              <w:spacing w:line="360" w:lineRule="auto"/>
              <w:jc w:val="center"/>
              <w:rPr>
                <w:rFonts w:hint="eastAsia" w:ascii="宋体" w:hAnsi="宋体" w:eastAsia="宋体" w:cs="Times New Roman"/>
                <w:sz w:val="24"/>
                <w:szCs w:val="24"/>
              </w:rPr>
            </w:pPr>
          </w:p>
        </w:tc>
        <w:tc>
          <w:tcPr>
            <w:tcW w:w="1559" w:type="dxa"/>
            <w:vAlign w:val="center"/>
          </w:tcPr>
          <w:p w14:paraId="02C2B22F">
            <w:pPr>
              <w:spacing w:line="360" w:lineRule="auto"/>
              <w:jc w:val="center"/>
              <w:rPr>
                <w:rFonts w:hint="eastAsia" w:ascii="宋体" w:hAnsi="宋体" w:eastAsia="宋体" w:cs="Times New Roman"/>
                <w:sz w:val="24"/>
                <w:szCs w:val="24"/>
              </w:rPr>
            </w:pPr>
          </w:p>
        </w:tc>
        <w:tc>
          <w:tcPr>
            <w:tcW w:w="1276" w:type="dxa"/>
            <w:vAlign w:val="center"/>
          </w:tcPr>
          <w:p w14:paraId="35B85A37">
            <w:pPr>
              <w:spacing w:line="360" w:lineRule="auto"/>
              <w:jc w:val="center"/>
              <w:rPr>
                <w:rFonts w:hint="eastAsia" w:ascii="宋体" w:hAnsi="宋体" w:eastAsia="宋体" w:cs="Times New Roman"/>
                <w:sz w:val="24"/>
                <w:szCs w:val="24"/>
              </w:rPr>
            </w:pPr>
          </w:p>
        </w:tc>
      </w:tr>
      <w:tr w14:paraId="4915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21D3B212">
            <w:pPr>
              <w:spacing w:line="360" w:lineRule="auto"/>
              <w:jc w:val="center"/>
              <w:rPr>
                <w:rFonts w:hint="eastAsia" w:ascii="宋体" w:hAnsi="宋体" w:eastAsia="宋体" w:cs="Times New Roman"/>
                <w:sz w:val="24"/>
                <w:szCs w:val="24"/>
              </w:rPr>
            </w:pPr>
          </w:p>
        </w:tc>
        <w:tc>
          <w:tcPr>
            <w:tcW w:w="865" w:type="dxa"/>
            <w:vAlign w:val="center"/>
          </w:tcPr>
          <w:p w14:paraId="7A51D12E">
            <w:pPr>
              <w:spacing w:line="360" w:lineRule="auto"/>
              <w:jc w:val="center"/>
              <w:rPr>
                <w:rFonts w:hint="eastAsia" w:ascii="宋体" w:hAnsi="宋体" w:eastAsia="宋体" w:cs="Times New Roman"/>
                <w:sz w:val="24"/>
                <w:szCs w:val="24"/>
              </w:rPr>
            </w:pPr>
          </w:p>
        </w:tc>
        <w:tc>
          <w:tcPr>
            <w:tcW w:w="448" w:type="dxa"/>
            <w:vAlign w:val="center"/>
          </w:tcPr>
          <w:p w14:paraId="24085FED">
            <w:pPr>
              <w:spacing w:line="360" w:lineRule="auto"/>
              <w:jc w:val="center"/>
              <w:rPr>
                <w:rFonts w:hint="eastAsia" w:ascii="宋体" w:hAnsi="宋体" w:eastAsia="宋体" w:cs="Times New Roman"/>
                <w:sz w:val="24"/>
                <w:szCs w:val="24"/>
              </w:rPr>
            </w:pPr>
          </w:p>
        </w:tc>
        <w:tc>
          <w:tcPr>
            <w:tcW w:w="1418" w:type="dxa"/>
            <w:vAlign w:val="center"/>
          </w:tcPr>
          <w:p w14:paraId="234DBE10">
            <w:pPr>
              <w:spacing w:line="360" w:lineRule="auto"/>
              <w:jc w:val="center"/>
              <w:rPr>
                <w:rFonts w:hint="eastAsia" w:ascii="宋体" w:hAnsi="宋体" w:eastAsia="宋体" w:cs="Times New Roman"/>
                <w:sz w:val="24"/>
                <w:szCs w:val="24"/>
              </w:rPr>
            </w:pPr>
          </w:p>
        </w:tc>
        <w:tc>
          <w:tcPr>
            <w:tcW w:w="1134" w:type="dxa"/>
            <w:vAlign w:val="center"/>
          </w:tcPr>
          <w:p w14:paraId="301E5A36">
            <w:pPr>
              <w:spacing w:line="360" w:lineRule="auto"/>
              <w:jc w:val="center"/>
              <w:rPr>
                <w:rFonts w:hint="eastAsia" w:ascii="宋体" w:hAnsi="宋体" w:eastAsia="宋体" w:cs="Times New Roman"/>
                <w:sz w:val="24"/>
                <w:szCs w:val="24"/>
              </w:rPr>
            </w:pPr>
          </w:p>
        </w:tc>
        <w:tc>
          <w:tcPr>
            <w:tcW w:w="619" w:type="dxa"/>
            <w:vAlign w:val="center"/>
          </w:tcPr>
          <w:p w14:paraId="0AF2E277">
            <w:pPr>
              <w:spacing w:line="360" w:lineRule="auto"/>
              <w:jc w:val="center"/>
              <w:rPr>
                <w:rFonts w:hint="eastAsia" w:ascii="宋体" w:hAnsi="宋体" w:eastAsia="宋体" w:cs="Times New Roman"/>
                <w:sz w:val="24"/>
                <w:szCs w:val="24"/>
              </w:rPr>
            </w:pPr>
          </w:p>
        </w:tc>
        <w:tc>
          <w:tcPr>
            <w:tcW w:w="1224" w:type="dxa"/>
            <w:vAlign w:val="center"/>
          </w:tcPr>
          <w:p w14:paraId="6CCD889D">
            <w:pPr>
              <w:spacing w:line="360" w:lineRule="auto"/>
              <w:jc w:val="center"/>
              <w:rPr>
                <w:rFonts w:hint="eastAsia" w:ascii="宋体" w:hAnsi="宋体" w:eastAsia="宋体" w:cs="Times New Roman"/>
                <w:sz w:val="24"/>
                <w:szCs w:val="24"/>
              </w:rPr>
            </w:pPr>
          </w:p>
        </w:tc>
        <w:tc>
          <w:tcPr>
            <w:tcW w:w="1559" w:type="dxa"/>
            <w:vAlign w:val="center"/>
          </w:tcPr>
          <w:p w14:paraId="18A4B3ED">
            <w:pPr>
              <w:spacing w:line="360" w:lineRule="auto"/>
              <w:jc w:val="center"/>
              <w:rPr>
                <w:rFonts w:hint="eastAsia" w:ascii="宋体" w:hAnsi="宋体" w:eastAsia="宋体" w:cs="Times New Roman"/>
                <w:sz w:val="24"/>
                <w:szCs w:val="24"/>
              </w:rPr>
            </w:pPr>
          </w:p>
        </w:tc>
        <w:tc>
          <w:tcPr>
            <w:tcW w:w="1276" w:type="dxa"/>
            <w:vAlign w:val="center"/>
          </w:tcPr>
          <w:p w14:paraId="6D91F8AE">
            <w:pPr>
              <w:spacing w:line="360" w:lineRule="auto"/>
              <w:jc w:val="center"/>
              <w:rPr>
                <w:rFonts w:hint="eastAsia" w:ascii="宋体" w:hAnsi="宋体" w:eastAsia="宋体" w:cs="Times New Roman"/>
                <w:sz w:val="24"/>
                <w:szCs w:val="24"/>
              </w:rPr>
            </w:pPr>
          </w:p>
        </w:tc>
      </w:tr>
      <w:tr w14:paraId="0D68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1" w:type="dxa"/>
            <w:vAlign w:val="center"/>
          </w:tcPr>
          <w:p w14:paraId="057E35D8">
            <w:pPr>
              <w:spacing w:line="360" w:lineRule="auto"/>
              <w:jc w:val="center"/>
              <w:rPr>
                <w:rFonts w:hint="eastAsia" w:ascii="宋体" w:hAnsi="宋体" w:eastAsia="宋体" w:cs="Times New Roman"/>
                <w:sz w:val="24"/>
                <w:szCs w:val="24"/>
              </w:rPr>
            </w:pPr>
          </w:p>
        </w:tc>
        <w:tc>
          <w:tcPr>
            <w:tcW w:w="865" w:type="dxa"/>
            <w:vAlign w:val="center"/>
          </w:tcPr>
          <w:p w14:paraId="1C124BE7">
            <w:pPr>
              <w:spacing w:line="360" w:lineRule="auto"/>
              <w:jc w:val="center"/>
              <w:rPr>
                <w:rFonts w:hint="eastAsia" w:ascii="宋体" w:hAnsi="宋体" w:eastAsia="宋体" w:cs="Times New Roman"/>
                <w:sz w:val="24"/>
                <w:szCs w:val="24"/>
              </w:rPr>
            </w:pPr>
          </w:p>
        </w:tc>
        <w:tc>
          <w:tcPr>
            <w:tcW w:w="448" w:type="dxa"/>
            <w:vAlign w:val="center"/>
          </w:tcPr>
          <w:p w14:paraId="0728281F">
            <w:pPr>
              <w:spacing w:line="360" w:lineRule="auto"/>
              <w:jc w:val="center"/>
              <w:rPr>
                <w:rFonts w:hint="eastAsia" w:ascii="宋体" w:hAnsi="宋体" w:eastAsia="宋体" w:cs="Times New Roman"/>
                <w:sz w:val="24"/>
                <w:szCs w:val="24"/>
              </w:rPr>
            </w:pPr>
          </w:p>
        </w:tc>
        <w:tc>
          <w:tcPr>
            <w:tcW w:w="1418" w:type="dxa"/>
            <w:vAlign w:val="center"/>
          </w:tcPr>
          <w:p w14:paraId="7DF601B1">
            <w:pPr>
              <w:spacing w:line="360" w:lineRule="auto"/>
              <w:jc w:val="center"/>
              <w:rPr>
                <w:rFonts w:hint="eastAsia" w:ascii="宋体" w:hAnsi="宋体" w:eastAsia="宋体" w:cs="Times New Roman"/>
                <w:sz w:val="24"/>
                <w:szCs w:val="24"/>
              </w:rPr>
            </w:pPr>
          </w:p>
        </w:tc>
        <w:tc>
          <w:tcPr>
            <w:tcW w:w="1134" w:type="dxa"/>
            <w:vAlign w:val="center"/>
          </w:tcPr>
          <w:p w14:paraId="1DFBE9FA">
            <w:pPr>
              <w:spacing w:line="360" w:lineRule="auto"/>
              <w:jc w:val="center"/>
              <w:rPr>
                <w:rFonts w:hint="eastAsia" w:ascii="宋体" w:hAnsi="宋体" w:eastAsia="宋体" w:cs="Times New Roman"/>
                <w:sz w:val="24"/>
                <w:szCs w:val="24"/>
              </w:rPr>
            </w:pPr>
          </w:p>
        </w:tc>
        <w:tc>
          <w:tcPr>
            <w:tcW w:w="619" w:type="dxa"/>
            <w:vAlign w:val="center"/>
          </w:tcPr>
          <w:p w14:paraId="4945DB92">
            <w:pPr>
              <w:spacing w:line="360" w:lineRule="auto"/>
              <w:jc w:val="center"/>
              <w:rPr>
                <w:rFonts w:hint="eastAsia" w:ascii="宋体" w:hAnsi="宋体" w:eastAsia="宋体" w:cs="Times New Roman"/>
                <w:sz w:val="24"/>
                <w:szCs w:val="24"/>
              </w:rPr>
            </w:pPr>
          </w:p>
        </w:tc>
        <w:tc>
          <w:tcPr>
            <w:tcW w:w="1224" w:type="dxa"/>
            <w:vAlign w:val="center"/>
          </w:tcPr>
          <w:p w14:paraId="144EAA48">
            <w:pPr>
              <w:spacing w:line="360" w:lineRule="auto"/>
              <w:jc w:val="center"/>
              <w:rPr>
                <w:rFonts w:hint="eastAsia" w:ascii="宋体" w:hAnsi="宋体" w:eastAsia="宋体" w:cs="Times New Roman"/>
                <w:sz w:val="24"/>
                <w:szCs w:val="24"/>
              </w:rPr>
            </w:pPr>
          </w:p>
        </w:tc>
        <w:tc>
          <w:tcPr>
            <w:tcW w:w="1559" w:type="dxa"/>
            <w:vAlign w:val="center"/>
          </w:tcPr>
          <w:p w14:paraId="4DBDD95D">
            <w:pPr>
              <w:spacing w:line="360" w:lineRule="auto"/>
              <w:jc w:val="center"/>
              <w:rPr>
                <w:rFonts w:hint="eastAsia" w:ascii="宋体" w:hAnsi="宋体" w:eastAsia="宋体" w:cs="Times New Roman"/>
                <w:sz w:val="24"/>
                <w:szCs w:val="24"/>
              </w:rPr>
            </w:pPr>
          </w:p>
        </w:tc>
        <w:tc>
          <w:tcPr>
            <w:tcW w:w="1276" w:type="dxa"/>
            <w:vAlign w:val="center"/>
          </w:tcPr>
          <w:p w14:paraId="0AE3DEDC">
            <w:pPr>
              <w:spacing w:line="360" w:lineRule="auto"/>
              <w:jc w:val="center"/>
              <w:rPr>
                <w:rFonts w:hint="eastAsia" w:ascii="宋体" w:hAnsi="宋体" w:eastAsia="宋体" w:cs="Times New Roman"/>
                <w:sz w:val="24"/>
                <w:szCs w:val="24"/>
              </w:rPr>
            </w:pPr>
          </w:p>
        </w:tc>
      </w:tr>
      <w:tr w14:paraId="08B0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37CE99F7">
            <w:pPr>
              <w:spacing w:line="360" w:lineRule="auto"/>
              <w:jc w:val="center"/>
              <w:rPr>
                <w:rFonts w:hint="eastAsia" w:ascii="宋体" w:hAnsi="宋体" w:eastAsia="宋体" w:cs="Times New Roman"/>
                <w:sz w:val="24"/>
                <w:szCs w:val="24"/>
              </w:rPr>
            </w:pPr>
          </w:p>
        </w:tc>
        <w:tc>
          <w:tcPr>
            <w:tcW w:w="865" w:type="dxa"/>
            <w:vAlign w:val="center"/>
          </w:tcPr>
          <w:p w14:paraId="4D0D5B0E">
            <w:pPr>
              <w:spacing w:line="360" w:lineRule="auto"/>
              <w:jc w:val="center"/>
              <w:rPr>
                <w:rFonts w:hint="eastAsia" w:ascii="宋体" w:hAnsi="宋体" w:eastAsia="宋体" w:cs="Times New Roman"/>
                <w:sz w:val="24"/>
                <w:szCs w:val="24"/>
              </w:rPr>
            </w:pPr>
          </w:p>
        </w:tc>
        <w:tc>
          <w:tcPr>
            <w:tcW w:w="448" w:type="dxa"/>
            <w:vAlign w:val="center"/>
          </w:tcPr>
          <w:p w14:paraId="08624EE0">
            <w:pPr>
              <w:spacing w:line="360" w:lineRule="auto"/>
              <w:jc w:val="center"/>
              <w:rPr>
                <w:rFonts w:hint="eastAsia" w:ascii="宋体" w:hAnsi="宋体" w:eastAsia="宋体" w:cs="Times New Roman"/>
                <w:sz w:val="24"/>
                <w:szCs w:val="24"/>
              </w:rPr>
            </w:pPr>
          </w:p>
        </w:tc>
        <w:tc>
          <w:tcPr>
            <w:tcW w:w="1418" w:type="dxa"/>
            <w:vAlign w:val="center"/>
          </w:tcPr>
          <w:p w14:paraId="27B40DF2">
            <w:pPr>
              <w:spacing w:line="360" w:lineRule="auto"/>
              <w:jc w:val="center"/>
              <w:rPr>
                <w:rFonts w:hint="eastAsia" w:ascii="宋体" w:hAnsi="宋体" w:eastAsia="宋体" w:cs="Times New Roman"/>
                <w:sz w:val="24"/>
                <w:szCs w:val="24"/>
              </w:rPr>
            </w:pPr>
          </w:p>
        </w:tc>
        <w:tc>
          <w:tcPr>
            <w:tcW w:w="1134" w:type="dxa"/>
            <w:vAlign w:val="center"/>
          </w:tcPr>
          <w:p w14:paraId="73EBEB92">
            <w:pPr>
              <w:spacing w:line="360" w:lineRule="auto"/>
              <w:jc w:val="center"/>
              <w:rPr>
                <w:rFonts w:hint="eastAsia" w:ascii="宋体" w:hAnsi="宋体" w:eastAsia="宋体" w:cs="Times New Roman"/>
                <w:sz w:val="24"/>
                <w:szCs w:val="24"/>
              </w:rPr>
            </w:pPr>
          </w:p>
        </w:tc>
        <w:tc>
          <w:tcPr>
            <w:tcW w:w="619" w:type="dxa"/>
            <w:vAlign w:val="center"/>
          </w:tcPr>
          <w:p w14:paraId="034438EE">
            <w:pPr>
              <w:spacing w:line="360" w:lineRule="auto"/>
              <w:jc w:val="center"/>
              <w:rPr>
                <w:rFonts w:hint="eastAsia" w:ascii="宋体" w:hAnsi="宋体" w:eastAsia="宋体" w:cs="Times New Roman"/>
                <w:sz w:val="24"/>
                <w:szCs w:val="24"/>
              </w:rPr>
            </w:pPr>
          </w:p>
        </w:tc>
        <w:tc>
          <w:tcPr>
            <w:tcW w:w="1224" w:type="dxa"/>
            <w:vAlign w:val="center"/>
          </w:tcPr>
          <w:p w14:paraId="65FAB43E">
            <w:pPr>
              <w:spacing w:line="360" w:lineRule="auto"/>
              <w:jc w:val="center"/>
              <w:rPr>
                <w:rFonts w:hint="eastAsia" w:ascii="宋体" w:hAnsi="宋体" w:eastAsia="宋体" w:cs="Times New Roman"/>
                <w:sz w:val="24"/>
                <w:szCs w:val="24"/>
              </w:rPr>
            </w:pPr>
          </w:p>
        </w:tc>
        <w:tc>
          <w:tcPr>
            <w:tcW w:w="1559" w:type="dxa"/>
            <w:vAlign w:val="center"/>
          </w:tcPr>
          <w:p w14:paraId="7D8308C0">
            <w:pPr>
              <w:spacing w:line="360" w:lineRule="auto"/>
              <w:jc w:val="center"/>
              <w:rPr>
                <w:rFonts w:hint="eastAsia" w:ascii="宋体" w:hAnsi="宋体" w:eastAsia="宋体" w:cs="Times New Roman"/>
                <w:sz w:val="24"/>
                <w:szCs w:val="24"/>
              </w:rPr>
            </w:pPr>
          </w:p>
        </w:tc>
        <w:tc>
          <w:tcPr>
            <w:tcW w:w="1276" w:type="dxa"/>
            <w:vAlign w:val="center"/>
          </w:tcPr>
          <w:p w14:paraId="6C39B246">
            <w:pPr>
              <w:spacing w:line="360" w:lineRule="auto"/>
              <w:jc w:val="center"/>
              <w:rPr>
                <w:rFonts w:hint="eastAsia" w:ascii="宋体" w:hAnsi="宋体" w:eastAsia="宋体" w:cs="Times New Roman"/>
                <w:sz w:val="24"/>
                <w:szCs w:val="24"/>
              </w:rPr>
            </w:pPr>
          </w:p>
        </w:tc>
      </w:tr>
      <w:tr w14:paraId="42CE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0A10E8AE">
            <w:pPr>
              <w:spacing w:line="360" w:lineRule="auto"/>
              <w:jc w:val="center"/>
              <w:rPr>
                <w:rFonts w:hint="eastAsia" w:ascii="宋体" w:hAnsi="宋体" w:eastAsia="宋体" w:cs="Times New Roman"/>
                <w:sz w:val="24"/>
                <w:szCs w:val="24"/>
              </w:rPr>
            </w:pPr>
          </w:p>
        </w:tc>
        <w:tc>
          <w:tcPr>
            <w:tcW w:w="865" w:type="dxa"/>
            <w:vAlign w:val="center"/>
          </w:tcPr>
          <w:p w14:paraId="3166E770">
            <w:pPr>
              <w:spacing w:line="360" w:lineRule="auto"/>
              <w:jc w:val="center"/>
              <w:rPr>
                <w:rFonts w:hint="eastAsia" w:ascii="宋体" w:hAnsi="宋体" w:eastAsia="宋体" w:cs="Times New Roman"/>
                <w:sz w:val="24"/>
                <w:szCs w:val="24"/>
              </w:rPr>
            </w:pPr>
          </w:p>
        </w:tc>
        <w:tc>
          <w:tcPr>
            <w:tcW w:w="448" w:type="dxa"/>
            <w:vAlign w:val="center"/>
          </w:tcPr>
          <w:p w14:paraId="4EFC1155">
            <w:pPr>
              <w:spacing w:line="360" w:lineRule="auto"/>
              <w:jc w:val="center"/>
              <w:rPr>
                <w:rFonts w:hint="eastAsia" w:ascii="宋体" w:hAnsi="宋体" w:eastAsia="宋体" w:cs="Times New Roman"/>
                <w:sz w:val="24"/>
                <w:szCs w:val="24"/>
              </w:rPr>
            </w:pPr>
          </w:p>
        </w:tc>
        <w:tc>
          <w:tcPr>
            <w:tcW w:w="1418" w:type="dxa"/>
            <w:vAlign w:val="center"/>
          </w:tcPr>
          <w:p w14:paraId="4D8C1103">
            <w:pPr>
              <w:spacing w:line="360" w:lineRule="auto"/>
              <w:jc w:val="center"/>
              <w:rPr>
                <w:rFonts w:hint="eastAsia" w:ascii="宋体" w:hAnsi="宋体" w:eastAsia="宋体" w:cs="Times New Roman"/>
                <w:sz w:val="24"/>
                <w:szCs w:val="24"/>
              </w:rPr>
            </w:pPr>
          </w:p>
        </w:tc>
        <w:tc>
          <w:tcPr>
            <w:tcW w:w="1134" w:type="dxa"/>
            <w:vAlign w:val="center"/>
          </w:tcPr>
          <w:p w14:paraId="4DF68B32">
            <w:pPr>
              <w:spacing w:line="360" w:lineRule="auto"/>
              <w:jc w:val="center"/>
              <w:rPr>
                <w:rFonts w:hint="eastAsia" w:ascii="宋体" w:hAnsi="宋体" w:eastAsia="宋体" w:cs="Times New Roman"/>
                <w:sz w:val="24"/>
                <w:szCs w:val="24"/>
              </w:rPr>
            </w:pPr>
          </w:p>
        </w:tc>
        <w:tc>
          <w:tcPr>
            <w:tcW w:w="619" w:type="dxa"/>
            <w:vAlign w:val="center"/>
          </w:tcPr>
          <w:p w14:paraId="3F1E723A">
            <w:pPr>
              <w:spacing w:line="360" w:lineRule="auto"/>
              <w:jc w:val="center"/>
              <w:rPr>
                <w:rFonts w:hint="eastAsia" w:ascii="宋体" w:hAnsi="宋体" w:eastAsia="宋体" w:cs="Times New Roman"/>
                <w:sz w:val="24"/>
                <w:szCs w:val="24"/>
              </w:rPr>
            </w:pPr>
          </w:p>
        </w:tc>
        <w:tc>
          <w:tcPr>
            <w:tcW w:w="1224" w:type="dxa"/>
            <w:vAlign w:val="center"/>
          </w:tcPr>
          <w:p w14:paraId="776668A6">
            <w:pPr>
              <w:spacing w:line="360" w:lineRule="auto"/>
              <w:jc w:val="center"/>
              <w:rPr>
                <w:rFonts w:hint="eastAsia" w:ascii="宋体" w:hAnsi="宋体" w:eastAsia="宋体" w:cs="Times New Roman"/>
                <w:sz w:val="24"/>
                <w:szCs w:val="24"/>
              </w:rPr>
            </w:pPr>
          </w:p>
        </w:tc>
        <w:tc>
          <w:tcPr>
            <w:tcW w:w="1559" w:type="dxa"/>
            <w:vAlign w:val="center"/>
          </w:tcPr>
          <w:p w14:paraId="2642D122">
            <w:pPr>
              <w:spacing w:line="360" w:lineRule="auto"/>
              <w:jc w:val="center"/>
              <w:rPr>
                <w:rFonts w:hint="eastAsia" w:ascii="宋体" w:hAnsi="宋体" w:eastAsia="宋体" w:cs="Times New Roman"/>
                <w:sz w:val="24"/>
                <w:szCs w:val="24"/>
              </w:rPr>
            </w:pPr>
          </w:p>
        </w:tc>
        <w:tc>
          <w:tcPr>
            <w:tcW w:w="1276" w:type="dxa"/>
            <w:vAlign w:val="center"/>
          </w:tcPr>
          <w:p w14:paraId="27AC9F23">
            <w:pPr>
              <w:spacing w:line="360" w:lineRule="auto"/>
              <w:jc w:val="center"/>
              <w:rPr>
                <w:rFonts w:hint="eastAsia" w:ascii="宋体" w:hAnsi="宋体" w:eastAsia="宋体" w:cs="Times New Roman"/>
                <w:sz w:val="24"/>
                <w:szCs w:val="24"/>
              </w:rPr>
            </w:pPr>
          </w:p>
        </w:tc>
      </w:tr>
      <w:tr w14:paraId="73A8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1" w:type="dxa"/>
            <w:vAlign w:val="center"/>
          </w:tcPr>
          <w:p w14:paraId="2EFE5155">
            <w:pPr>
              <w:spacing w:line="360" w:lineRule="auto"/>
              <w:jc w:val="center"/>
              <w:rPr>
                <w:rFonts w:hint="eastAsia" w:ascii="宋体" w:hAnsi="宋体" w:eastAsia="宋体" w:cs="Times New Roman"/>
                <w:sz w:val="24"/>
                <w:szCs w:val="24"/>
              </w:rPr>
            </w:pPr>
          </w:p>
        </w:tc>
        <w:tc>
          <w:tcPr>
            <w:tcW w:w="865" w:type="dxa"/>
            <w:vAlign w:val="center"/>
          </w:tcPr>
          <w:p w14:paraId="5F4B79B5">
            <w:pPr>
              <w:spacing w:line="360" w:lineRule="auto"/>
              <w:jc w:val="center"/>
              <w:rPr>
                <w:rFonts w:hint="eastAsia" w:ascii="宋体" w:hAnsi="宋体" w:eastAsia="宋体" w:cs="Times New Roman"/>
                <w:sz w:val="24"/>
                <w:szCs w:val="24"/>
              </w:rPr>
            </w:pPr>
          </w:p>
        </w:tc>
        <w:tc>
          <w:tcPr>
            <w:tcW w:w="448" w:type="dxa"/>
            <w:vAlign w:val="center"/>
          </w:tcPr>
          <w:p w14:paraId="1D30A257">
            <w:pPr>
              <w:spacing w:line="360" w:lineRule="auto"/>
              <w:jc w:val="center"/>
              <w:rPr>
                <w:rFonts w:hint="eastAsia" w:ascii="宋体" w:hAnsi="宋体" w:eastAsia="宋体" w:cs="Times New Roman"/>
                <w:sz w:val="24"/>
                <w:szCs w:val="24"/>
              </w:rPr>
            </w:pPr>
          </w:p>
        </w:tc>
        <w:tc>
          <w:tcPr>
            <w:tcW w:w="1418" w:type="dxa"/>
            <w:vAlign w:val="center"/>
          </w:tcPr>
          <w:p w14:paraId="26BB3823">
            <w:pPr>
              <w:spacing w:line="360" w:lineRule="auto"/>
              <w:jc w:val="center"/>
              <w:rPr>
                <w:rFonts w:hint="eastAsia" w:ascii="宋体" w:hAnsi="宋体" w:eastAsia="宋体" w:cs="Times New Roman"/>
                <w:sz w:val="24"/>
                <w:szCs w:val="24"/>
              </w:rPr>
            </w:pPr>
          </w:p>
        </w:tc>
        <w:tc>
          <w:tcPr>
            <w:tcW w:w="1134" w:type="dxa"/>
            <w:vAlign w:val="center"/>
          </w:tcPr>
          <w:p w14:paraId="46884639">
            <w:pPr>
              <w:spacing w:line="360" w:lineRule="auto"/>
              <w:jc w:val="center"/>
              <w:rPr>
                <w:rFonts w:hint="eastAsia" w:ascii="宋体" w:hAnsi="宋体" w:eastAsia="宋体" w:cs="Times New Roman"/>
                <w:sz w:val="24"/>
                <w:szCs w:val="24"/>
              </w:rPr>
            </w:pPr>
          </w:p>
        </w:tc>
        <w:tc>
          <w:tcPr>
            <w:tcW w:w="619" w:type="dxa"/>
            <w:vAlign w:val="center"/>
          </w:tcPr>
          <w:p w14:paraId="739C7E65">
            <w:pPr>
              <w:spacing w:line="360" w:lineRule="auto"/>
              <w:jc w:val="center"/>
              <w:rPr>
                <w:rFonts w:hint="eastAsia" w:ascii="宋体" w:hAnsi="宋体" w:eastAsia="宋体" w:cs="Times New Roman"/>
                <w:sz w:val="24"/>
                <w:szCs w:val="24"/>
              </w:rPr>
            </w:pPr>
          </w:p>
        </w:tc>
        <w:tc>
          <w:tcPr>
            <w:tcW w:w="1224" w:type="dxa"/>
            <w:vAlign w:val="center"/>
          </w:tcPr>
          <w:p w14:paraId="0E54C30A">
            <w:pPr>
              <w:spacing w:line="360" w:lineRule="auto"/>
              <w:jc w:val="center"/>
              <w:rPr>
                <w:rFonts w:hint="eastAsia" w:ascii="宋体" w:hAnsi="宋体" w:eastAsia="宋体" w:cs="Times New Roman"/>
                <w:sz w:val="24"/>
                <w:szCs w:val="24"/>
              </w:rPr>
            </w:pPr>
          </w:p>
        </w:tc>
        <w:tc>
          <w:tcPr>
            <w:tcW w:w="1559" w:type="dxa"/>
            <w:vAlign w:val="center"/>
          </w:tcPr>
          <w:p w14:paraId="41922AE3">
            <w:pPr>
              <w:spacing w:line="360" w:lineRule="auto"/>
              <w:jc w:val="center"/>
              <w:rPr>
                <w:rFonts w:hint="eastAsia" w:ascii="宋体" w:hAnsi="宋体" w:eastAsia="宋体" w:cs="Times New Roman"/>
                <w:sz w:val="24"/>
                <w:szCs w:val="24"/>
              </w:rPr>
            </w:pPr>
          </w:p>
        </w:tc>
        <w:tc>
          <w:tcPr>
            <w:tcW w:w="1276" w:type="dxa"/>
            <w:vAlign w:val="center"/>
          </w:tcPr>
          <w:p w14:paraId="56924987">
            <w:pPr>
              <w:spacing w:line="360" w:lineRule="auto"/>
              <w:jc w:val="center"/>
              <w:rPr>
                <w:rFonts w:hint="eastAsia" w:ascii="宋体" w:hAnsi="宋体" w:eastAsia="宋体" w:cs="Times New Roman"/>
                <w:sz w:val="24"/>
                <w:szCs w:val="24"/>
              </w:rPr>
            </w:pPr>
          </w:p>
        </w:tc>
      </w:tr>
      <w:tr w14:paraId="4B49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10559B27">
            <w:pPr>
              <w:spacing w:line="360" w:lineRule="auto"/>
              <w:jc w:val="center"/>
              <w:rPr>
                <w:rFonts w:hint="eastAsia" w:ascii="宋体" w:hAnsi="宋体" w:eastAsia="宋体" w:cs="Times New Roman"/>
                <w:sz w:val="24"/>
                <w:szCs w:val="24"/>
              </w:rPr>
            </w:pPr>
          </w:p>
        </w:tc>
        <w:tc>
          <w:tcPr>
            <w:tcW w:w="865" w:type="dxa"/>
            <w:vAlign w:val="center"/>
          </w:tcPr>
          <w:p w14:paraId="6C65E56F">
            <w:pPr>
              <w:spacing w:line="360" w:lineRule="auto"/>
              <w:jc w:val="center"/>
              <w:rPr>
                <w:rFonts w:hint="eastAsia" w:ascii="宋体" w:hAnsi="宋体" w:eastAsia="宋体" w:cs="Times New Roman"/>
                <w:sz w:val="24"/>
                <w:szCs w:val="24"/>
              </w:rPr>
            </w:pPr>
          </w:p>
        </w:tc>
        <w:tc>
          <w:tcPr>
            <w:tcW w:w="448" w:type="dxa"/>
            <w:vAlign w:val="center"/>
          </w:tcPr>
          <w:p w14:paraId="00BD9C15">
            <w:pPr>
              <w:spacing w:line="360" w:lineRule="auto"/>
              <w:jc w:val="center"/>
              <w:rPr>
                <w:rFonts w:hint="eastAsia" w:ascii="宋体" w:hAnsi="宋体" w:eastAsia="宋体" w:cs="Times New Roman"/>
                <w:sz w:val="24"/>
                <w:szCs w:val="24"/>
              </w:rPr>
            </w:pPr>
          </w:p>
        </w:tc>
        <w:tc>
          <w:tcPr>
            <w:tcW w:w="1418" w:type="dxa"/>
            <w:vAlign w:val="center"/>
          </w:tcPr>
          <w:p w14:paraId="7840EA23">
            <w:pPr>
              <w:spacing w:line="360" w:lineRule="auto"/>
              <w:jc w:val="center"/>
              <w:rPr>
                <w:rFonts w:hint="eastAsia" w:ascii="宋体" w:hAnsi="宋体" w:eastAsia="宋体" w:cs="Times New Roman"/>
                <w:sz w:val="24"/>
                <w:szCs w:val="24"/>
              </w:rPr>
            </w:pPr>
          </w:p>
        </w:tc>
        <w:tc>
          <w:tcPr>
            <w:tcW w:w="1134" w:type="dxa"/>
            <w:vAlign w:val="center"/>
          </w:tcPr>
          <w:p w14:paraId="29781BA6">
            <w:pPr>
              <w:spacing w:line="360" w:lineRule="auto"/>
              <w:jc w:val="center"/>
              <w:rPr>
                <w:rFonts w:hint="eastAsia" w:ascii="宋体" w:hAnsi="宋体" w:eastAsia="宋体" w:cs="Times New Roman"/>
                <w:sz w:val="24"/>
                <w:szCs w:val="24"/>
              </w:rPr>
            </w:pPr>
          </w:p>
        </w:tc>
        <w:tc>
          <w:tcPr>
            <w:tcW w:w="619" w:type="dxa"/>
            <w:vAlign w:val="center"/>
          </w:tcPr>
          <w:p w14:paraId="2BBFA8B9">
            <w:pPr>
              <w:spacing w:line="360" w:lineRule="auto"/>
              <w:jc w:val="center"/>
              <w:rPr>
                <w:rFonts w:hint="eastAsia" w:ascii="宋体" w:hAnsi="宋体" w:eastAsia="宋体" w:cs="Times New Roman"/>
                <w:sz w:val="24"/>
                <w:szCs w:val="24"/>
              </w:rPr>
            </w:pPr>
          </w:p>
        </w:tc>
        <w:tc>
          <w:tcPr>
            <w:tcW w:w="1224" w:type="dxa"/>
            <w:vAlign w:val="center"/>
          </w:tcPr>
          <w:p w14:paraId="6E8B63CA">
            <w:pPr>
              <w:spacing w:line="360" w:lineRule="auto"/>
              <w:jc w:val="center"/>
              <w:rPr>
                <w:rFonts w:hint="eastAsia" w:ascii="宋体" w:hAnsi="宋体" w:eastAsia="宋体" w:cs="Times New Roman"/>
                <w:sz w:val="24"/>
                <w:szCs w:val="24"/>
              </w:rPr>
            </w:pPr>
          </w:p>
        </w:tc>
        <w:tc>
          <w:tcPr>
            <w:tcW w:w="1559" w:type="dxa"/>
            <w:vAlign w:val="center"/>
          </w:tcPr>
          <w:p w14:paraId="0125F9D4">
            <w:pPr>
              <w:spacing w:line="360" w:lineRule="auto"/>
              <w:jc w:val="center"/>
              <w:rPr>
                <w:rFonts w:hint="eastAsia" w:ascii="宋体" w:hAnsi="宋体" w:eastAsia="宋体" w:cs="Times New Roman"/>
                <w:sz w:val="24"/>
                <w:szCs w:val="24"/>
              </w:rPr>
            </w:pPr>
          </w:p>
        </w:tc>
        <w:tc>
          <w:tcPr>
            <w:tcW w:w="1276" w:type="dxa"/>
            <w:vAlign w:val="center"/>
          </w:tcPr>
          <w:p w14:paraId="64E7780A">
            <w:pPr>
              <w:spacing w:line="360" w:lineRule="auto"/>
              <w:jc w:val="center"/>
              <w:rPr>
                <w:rFonts w:hint="eastAsia" w:ascii="宋体" w:hAnsi="宋体" w:eastAsia="宋体" w:cs="Times New Roman"/>
                <w:sz w:val="24"/>
                <w:szCs w:val="24"/>
              </w:rPr>
            </w:pPr>
          </w:p>
        </w:tc>
      </w:tr>
    </w:tbl>
    <w:p w14:paraId="7C364016">
      <w:pPr>
        <w:spacing w:line="60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注：“偏离说明”填写“正偏离”“负偏离”或“无偏离”。</w:t>
      </w:r>
    </w:p>
    <w:p w14:paraId="034145F9">
      <w:pPr>
        <w:spacing w:line="600" w:lineRule="exact"/>
        <w:ind w:firstLine="480"/>
        <w:rPr>
          <w:rFonts w:hint="eastAsia" w:ascii="宋体" w:hAnsi="宋体" w:eastAsia="宋体" w:cs="Times New Roman"/>
          <w:sz w:val="24"/>
          <w:szCs w:val="24"/>
        </w:rPr>
      </w:pPr>
    </w:p>
    <w:p w14:paraId="214AE4B7">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0E1967DB">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542DB2E6">
      <w:pPr>
        <w:spacing w:line="360" w:lineRule="auto"/>
        <w:ind w:firstLine="480"/>
        <w:rPr>
          <w:rFonts w:ascii="宋体" w:hAnsi="Courier New" w:eastAsia="宋体" w:cs="Times New Roman"/>
          <w:sz w:val="24"/>
          <w:szCs w:val="24"/>
        </w:rPr>
      </w:pPr>
      <w:r>
        <w:rPr>
          <w:rFonts w:hint="eastAsia" w:ascii="宋体" w:hAnsi="Courier New" w:eastAsia="宋体" w:cs="Times New Roman"/>
          <w:sz w:val="24"/>
          <w:szCs w:val="24"/>
        </w:rPr>
        <w:t>日期：    年     月     日</w:t>
      </w:r>
    </w:p>
    <w:p w14:paraId="4736DF6D">
      <w:pPr>
        <w:keepNext/>
        <w:tabs>
          <w:tab w:val="left" w:pos="1021"/>
        </w:tabs>
        <w:spacing w:line="360" w:lineRule="auto"/>
        <w:outlineLvl w:val="1"/>
        <w:rPr>
          <w:rFonts w:hint="eastAsia" w:ascii="宋体" w:hAnsi="宋体" w:eastAsia="宋体" w:cs="宋体"/>
          <w:sz w:val="28"/>
          <w:szCs w:val="20"/>
        </w:rPr>
      </w:pPr>
      <w:r>
        <w:rPr>
          <w:rFonts w:ascii="Times New Roman" w:hAnsi="Times New Roman" w:eastAsia="黑体" w:cs="Times New Roman"/>
          <w:b/>
          <w:sz w:val="28"/>
          <w:szCs w:val="20"/>
        </w:rPr>
        <w:br w:type="page" w:clear="all"/>
      </w:r>
      <w:r>
        <w:rPr>
          <w:rFonts w:hint="eastAsia" w:ascii="宋体" w:hAnsi="宋体" w:eastAsia="宋体" w:cs="Times New Roman"/>
          <w:sz w:val="24"/>
          <w:szCs w:val="24"/>
        </w:rPr>
        <w:t>格式13、项目需求响应</w:t>
      </w:r>
    </w:p>
    <w:p w14:paraId="510AFBC3">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项目需求响应</w:t>
      </w:r>
    </w:p>
    <w:p w14:paraId="262A174C">
      <w:pPr>
        <w:spacing w:line="360" w:lineRule="auto"/>
        <w:ind w:firstLine="480"/>
        <w:jc w:val="center"/>
        <w:rPr>
          <w:rFonts w:hint="eastAsia" w:ascii="宋体" w:hAnsi="宋体" w:eastAsia="宋体" w:cs="Times New Roman"/>
          <w:sz w:val="24"/>
          <w:szCs w:val="24"/>
        </w:rPr>
      </w:pPr>
      <w:r>
        <w:rPr>
          <w:rFonts w:hint="eastAsia" w:ascii="宋体" w:hAnsi="宋体" w:eastAsia="宋体" w:cs="Times New Roman"/>
          <w:sz w:val="24"/>
          <w:szCs w:val="24"/>
        </w:rPr>
        <w:t>（请按“项目需求”要求自行填写，格式自定）</w:t>
      </w:r>
    </w:p>
    <w:p w14:paraId="50A2C4B1">
      <w:pPr>
        <w:spacing w:line="360" w:lineRule="auto"/>
        <w:ind w:firstLine="480"/>
        <w:rPr>
          <w:rFonts w:hint="eastAsia" w:ascii="宋体" w:hAnsi="宋体" w:eastAsia="宋体" w:cs="Times New Roman"/>
          <w:sz w:val="24"/>
          <w:szCs w:val="24"/>
        </w:rPr>
      </w:pPr>
    </w:p>
    <w:p w14:paraId="24C92D78">
      <w:pPr>
        <w:spacing w:line="360" w:lineRule="auto"/>
        <w:ind w:firstLine="480"/>
        <w:rPr>
          <w:rFonts w:hint="eastAsia" w:ascii="宋体" w:hAnsi="宋体" w:eastAsia="宋体" w:cs="Times New Roman"/>
          <w:sz w:val="24"/>
          <w:szCs w:val="24"/>
        </w:rPr>
      </w:pPr>
    </w:p>
    <w:p w14:paraId="67677710">
      <w:pPr>
        <w:spacing w:line="360" w:lineRule="auto"/>
        <w:ind w:firstLine="480"/>
        <w:rPr>
          <w:rFonts w:hint="eastAsia" w:ascii="宋体" w:hAnsi="宋体" w:eastAsia="宋体" w:cs="Times New Roman"/>
          <w:sz w:val="24"/>
          <w:szCs w:val="24"/>
        </w:rPr>
      </w:pPr>
    </w:p>
    <w:p w14:paraId="1D291908">
      <w:pPr>
        <w:spacing w:line="360" w:lineRule="auto"/>
        <w:ind w:firstLine="480"/>
        <w:rPr>
          <w:rFonts w:hint="eastAsia" w:ascii="宋体" w:hAnsi="宋体" w:eastAsia="宋体" w:cs="Times New Roman"/>
          <w:sz w:val="24"/>
          <w:szCs w:val="24"/>
        </w:rPr>
      </w:pPr>
    </w:p>
    <w:p w14:paraId="16F5C072">
      <w:pPr>
        <w:spacing w:line="360" w:lineRule="auto"/>
        <w:ind w:firstLine="480"/>
        <w:rPr>
          <w:rFonts w:hint="eastAsia" w:ascii="宋体" w:hAnsi="宋体" w:eastAsia="宋体" w:cs="Times New Roman"/>
          <w:sz w:val="24"/>
          <w:szCs w:val="24"/>
        </w:rPr>
      </w:pPr>
    </w:p>
    <w:p w14:paraId="379B9E7B">
      <w:pPr>
        <w:spacing w:line="360" w:lineRule="auto"/>
        <w:ind w:firstLine="480"/>
        <w:rPr>
          <w:rFonts w:hint="eastAsia" w:ascii="宋体" w:hAnsi="宋体" w:eastAsia="宋体" w:cs="Times New Roman"/>
          <w:sz w:val="24"/>
          <w:szCs w:val="24"/>
        </w:rPr>
      </w:pPr>
    </w:p>
    <w:p w14:paraId="079A4E16">
      <w:pPr>
        <w:spacing w:line="360" w:lineRule="auto"/>
        <w:ind w:firstLine="480"/>
        <w:rPr>
          <w:rFonts w:hint="eastAsia" w:ascii="宋体" w:hAnsi="宋体" w:eastAsia="宋体" w:cs="Times New Roman"/>
          <w:sz w:val="24"/>
          <w:szCs w:val="24"/>
        </w:rPr>
      </w:pPr>
    </w:p>
    <w:p w14:paraId="588274B7">
      <w:pPr>
        <w:spacing w:line="360" w:lineRule="auto"/>
        <w:ind w:firstLine="480"/>
        <w:rPr>
          <w:rFonts w:hint="eastAsia" w:ascii="宋体" w:hAnsi="宋体" w:eastAsia="宋体" w:cs="Times New Roman"/>
          <w:sz w:val="24"/>
          <w:szCs w:val="24"/>
        </w:rPr>
      </w:pPr>
    </w:p>
    <w:p w14:paraId="4F996E7B">
      <w:pPr>
        <w:spacing w:line="360" w:lineRule="auto"/>
        <w:ind w:firstLine="480"/>
        <w:rPr>
          <w:rFonts w:hint="eastAsia" w:ascii="宋体" w:hAnsi="宋体" w:eastAsia="宋体" w:cs="Times New Roman"/>
          <w:sz w:val="24"/>
          <w:szCs w:val="24"/>
        </w:rPr>
      </w:pPr>
    </w:p>
    <w:p w14:paraId="64F37D0A">
      <w:pPr>
        <w:spacing w:line="360" w:lineRule="auto"/>
        <w:ind w:firstLine="480"/>
        <w:rPr>
          <w:rFonts w:hint="eastAsia" w:ascii="宋体" w:hAnsi="宋体" w:eastAsia="宋体" w:cs="Times New Roman"/>
          <w:sz w:val="24"/>
          <w:szCs w:val="24"/>
        </w:rPr>
      </w:pPr>
    </w:p>
    <w:p w14:paraId="4583C5DC">
      <w:pPr>
        <w:spacing w:line="360" w:lineRule="auto"/>
        <w:ind w:firstLine="480"/>
        <w:rPr>
          <w:rFonts w:hint="eastAsia" w:ascii="宋体" w:hAnsi="宋体" w:eastAsia="宋体" w:cs="Times New Roman"/>
          <w:sz w:val="24"/>
          <w:szCs w:val="24"/>
        </w:rPr>
      </w:pPr>
    </w:p>
    <w:p w14:paraId="1A3EB598">
      <w:pPr>
        <w:spacing w:line="360" w:lineRule="auto"/>
        <w:ind w:firstLine="480"/>
        <w:rPr>
          <w:rFonts w:hint="eastAsia" w:ascii="宋体" w:hAnsi="宋体" w:eastAsia="宋体" w:cs="Times New Roman"/>
          <w:sz w:val="24"/>
          <w:szCs w:val="24"/>
        </w:rPr>
      </w:pPr>
    </w:p>
    <w:p w14:paraId="4B6DA4E3">
      <w:pPr>
        <w:spacing w:line="360" w:lineRule="auto"/>
        <w:ind w:firstLine="480"/>
        <w:rPr>
          <w:rFonts w:hint="eastAsia" w:ascii="宋体" w:hAnsi="宋体" w:eastAsia="宋体" w:cs="Times New Roman"/>
          <w:sz w:val="24"/>
          <w:szCs w:val="24"/>
        </w:rPr>
      </w:pPr>
    </w:p>
    <w:p w14:paraId="6624E3E0">
      <w:pPr>
        <w:spacing w:line="360" w:lineRule="auto"/>
        <w:ind w:firstLine="480"/>
        <w:rPr>
          <w:rFonts w:hint="eastAsia" w:ascii="宋体" w:hAnsi="宋体" w:eastAsia="宋体" w:cs="Times New Roman"/>
          <w:sz w:val="24"/>
          <w:szCs w:val="24"/>
        </w:rPr>
      </w:pPr>
    </w:p>
    <w:p w14:paraId="1DA1888E">
      <w:pPr>
        <w:spacing w:line="360" w:lineRule="auto"/>
        <w:ind w:firstLine="480"/>
        <w:rPr>
          <w:rFonts w:hint="eastAsia" w:ascii="宋体" w:hAnsi="宋体" w:eastAsia="宋体" w:cs="Times New Roman"/>
          <w:sz w:val="24"/>
          <w:szCs w:val="24"/>
        </w:rPr>
      </w:pPr>
    </w:p>
    <w:p w14:paraId="0A099F54">
      <w:pPr>
        <w:spacing w:line="360" w:lineRule="auto"/>
        <w:ind w:firstLine="480"/>
        <w:rPr>
          <w:rFonts w:hint="eastAsia" w:ascii="宋体" w:hAnsi="宋体" w:eastAsia="宋体" w:cs="Times New Roman"/>
          <w:sz w:val="24"/>
          <w:szCs w:val="24"/>
        </w:rPr>
      </w:pPr>
    </w:p>
    <w:p w14:paraId="32A28AD8">
      <w:pPr>
        <w:spacing w:line="360" w:lineRule="auto"/>
        <w:ind w:firstLine="480"/>
        <w:rPr>
          <w:rFonts w:hint="eastAsia" w:ascii="宋体" w:hAnsi="宋体" w:eastAsia="宋体" w:cs="Times New Roman"/>
          <w:sz w:val="24"/>
          <w:szCs w:val="24"/>
        </w:rPr>
      </w:pPr>
    </w:p>
    <w:p w14:paraId="37E78962">
      <w:pPr>
        <w:spacing w:line="360" w:lineRule="auto"/>
        <w:ind w:firstLine="480"/>
        <w:rPr>
          <w:rFonts w:hint="eastAsia" w:ascii="宋体" w:hAnsi="宋体" w:eastAsia="宋体" w:cs="Times New Roman"/>
          <w:sz w:val="24"/>
          <w:szCs w:val="24"/>
        </w:rPr>
      </w:pPr>
    </w:p>
    <w:p w14:paraId="1ED6343D">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投标人（盖章）：</w:t>
      </w:r>
    </w:p>
    <w:p w14:paraId="75C689E1">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法定代表人或委托代理人（签字或盖章）：</w:t>
      </w:r>
    </w:p>
    <w:p w14:paraId="53EB094C">
      <w:pPr>
        <w:spacing w:line="360" w:lineRule="auto"/>
        <w:ind w:firstLine="480"/>
        <w:rPr>
          <w:rFonts w:ascii="宋体" w:hAnsi="Courier New" w:eastAsia="宋体" w:cs="Times New Roman"/>
          <w:b/>
          <w:sz w:val="24"/>
          <w:szCs w:val="24"/>
        </w:rPr>
      </w:pPr>
      <w:r>
        <w:rPr>
          <w:rFonts w:hint="eastAsia" w:ascii="宋体" w:hAnsi="Courier New" w:eastAsia="宋体" w:cs="Times New Roman"/>
          <w:sz w:val="24"/>
          <w:szCs w:val="24"/>
        </w:rPr>
        <w:t>日期：    年     月     日</w:t>
      </w:r>
    </w:p>
    <w:p w14:paraId="4AB80C6C">
      <w:pPr>
        <w:keepNext/>
        <w:keepLines/>
        <w:tabs>
          <w:tab w:val="left" w:pos="360"/>
        </w:tabs>
        <w:spacing w:line="360" w:lineRule="auto"/>
        <w:jc w:val="center"/>
        <w:outlineLvl w:val="0"/>
        <w:rPr>
          <w:rFonts w:hint="eastAsia" w:ascii="Times New Roman" w:hAnsi="宋体" w:eastAsia="黑体" w:cs="Times New Roman"/>
          <w:b/>
          <w:sz w:val="36"/>
          <w:szCs w:val="20"/>
        </w:rPr>
      </w:pPr>
      <w:r>
        <w:rPr>
          <w:rFonts w:ascii="Times New Roman" w:hAnsi="Times New Roman" w:eastAsia="黑体" w:cs="Times New Roman"/>
          <w:b/>
          <w:sz w:val="36"/>
          <w:szCs w:val="20"/>
        </w:rPr>
        <w:br w:type="page" w:clear="all"/>
      </w:r>
      <w:bookmarkStart w:id="24" w:name="_Toc4658"/>
      <w:r>
        <w:rPr>
          <w:rFonts w:hint="eastAsia" w:ascii="Times New Roman" w:hAnsi="Times New Roman" w:eastAsia="黑体" w:cs="Times New Roman"/>
          <w:b/>
          <w:sz w:val="36"/>
          <w:szCs w:val="20"/>
        </w:rPr>
        <w:t>第五章  合同专用条款表</w:t>
      </w:r>
      <w:bookmarkEnd w:id="24"/>
    </w:p>
    <w:p w14:paraId="5391B90E">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本表是对第三章“政府采购合同格式”的补充和修改。如果两者之间有抵触，以本专用条款表为准。</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551"/>
      </w:tblGrid>
      <w:tr w14:paraId="5816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9" w:type="dxa"/>
            <w:vAlign w:val="center"/>
          </w:tcPr>
          <w:p w14:paraId="700825F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条款号</w:t>
            </w:r>
          </w:p>
        </w:tc>
        <w:tc>
          <w:tcPr>
            <w:tcW w:w="8551" w:type="dxa"/>
            <w:vAlign w:val="center"/>
          </w:tcPr>
          <w:p w14:paraId="3125E0A1">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内容</w:t>
            </w:r>
          </w:p>
        </w:tc>
      </w:tr>
      <w:tr w14:paraId="73BD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Align w:val="center"/>
          </w:tcPr>
          <w:p w14:paraId="5DD77CB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8551" w:type="dxa"/>
            <w:vAlign w:val="center"/>
          </w:tcPr>
          <w:p w14:paraId="502C4887">
            <w:pPr>
              <w:pStyle w:val="24"/>
              <w:spacing w:line="360" w:lineRule="exact"/>
              <w:ind w:firstLine="0"/>
              <w:rPr>
                <w:sz w:val="24"/>
                <w:szCs w:val="24"/>
                <w:highlight w:val="none"/>
              </w:rPr>
            </w:pPr>
            <w:r>
              <w:rPr>
                <w:rFonts w:hint="eastAsia" w:hAnsi="宋体"/>
                <w:sz w:val="24"/>
                <w:szCs w:val="24"/>
                <w:highlight w:val="none"/>
              </w:rPr>
              <w:t>履约保证金：本项目</w:t>
            </w:r>
            <w:r>
              <w:rPr>
                <w:rFonts w:hint="eastAsia" w:hAnsi="宋体"/>
                <w:sz w:val="24"/>
                <w:szCs w:val="24"/>
                <w:highlight w:val="none"/>
                <w:lang w:val="en-US" w:eastAsia="zh-CN"/>
              </w:rPr>
              <w:t>不</w:t>
            </w:r>
            <w:r>
              <w:rPr>
                <w:rFonts w:hint="eastAsia" w:hAnsi="宋体"/>
                <w:sz w:val="24"/>
                <w:szCs w:val="24"/>
                <w:highlight w:val="none"/>
              </w:rPr>
              <w:t>收取履约保证金</w:t>
            </w:r>
            <w:r>
              <w:rPr>
                <w:rFonts w:hint="eastAsia" w:hAnsi="宋体"/>
                <w:sz w:val="24"/>
                <w:szCs w:val="24"/>
                <w:highlight w:val="none"/>
                <w:lang w:eastAsia="zh-CN"/>
              </w:rPr>
              <w:t>。</w:t>
            </w:r>
            <w:r>
              <w:rPr>
                <w:sz w:val="24"/>
                <w:szCs w:val="24"/>
                <w:highlight w:val="none"/>
              </w:rPr>
              <w:t xml:space="preserve"> </w:t>
            </w:r>
          </w:p>
        </w:tc>
      </w:tr>
      <w:tr w14:paraId="38E2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9" w:type="dxa"/>
            <w:vAlign w:val="center"/>
          </w:tcPr>
          <w:p w14:paraId="2D660A0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8551" w:type="dxa"/>
            <w:vAlign w:val="center"/>
          </w:tcPr>
          <w:p w14:paraId="6CBEC1C3">
            <w:pPr>
              <w:spacing w:line="360" w:lineRule="exact"/>
              <w:rPr>
                <w:rFonts w:hint="eastAsia" w:ascii="宋体" w:hAnsi="宋体" w:eastAsia="宋体" w:cs="Times New Roman"/>
                <w:b/>
                <w:sz w:val="24"/>
                <w:szCs w:val="24"/>
              </w:rPr>
            </w:pPr>
            <w:r>
              <w:rPr>
                <w:rFonts w:hint="eastAsia" w:ascii="宋体" w:hAnsi="宋体" w:eastAsia="宋体" w:cs="Times New Roman"/>
                <w:b/>
                <w:sz w:val="24"/>
                <w:szCs w:val="24"/>
              </w:rPr>
              <w:t>免费质保期：8年。质保期间，中标人免费承担维修、保养、安检、调换等；对于采购方人为原因造成的故障，中标人只收取维保成本费用。</w:t>
            </w:r>
          </w:p>
        </w:tc>
      </w:tr>
      <w:tr w14:paraId="2C31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9" w:type="dxa"/>
            <w:vAlign w:val="center"/>
          </w:tcPr>
          <w:p w14:paraId="0F030E4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8551" w:type="dxa"/>
            <w:vAlign w:val="center"/>
          </w:tcPr>
          <w:p w14:paraId="408C131E">
            <w:pPr>
              <w:spacing w:line="360" w:lineRule="exact"/>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★1.交货期：</w:t>
            </w:r>
            <w:r>
              <w:rPr>
                <w:rFonts w:hint="eastAsia" w:ascii="宋体" w:hAnsi="宋体" w:eastAsia="宋体" w:cs="Times New Roman"/>
                <w:b/>
                <w:bCs/>
                <w:sz w:val="24"/>
                <w:szCs w:val="24"/>
                <w:highlight w:val="none"/>
              </w:rPr>
              <w:t>合同签订之日起60天内完成安装调试，达到预期效果并通过验收。</w:t>
            </w:r>
          </w:p>
          <w:p w14:paraId="32B50C12">
            <w:pPr>
              <w:spacing w:line="36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2.交货方式：</w:t>
            </w:r>
            <w:r>
              <w:rPr>
                <w:rFonts w:ascii="Times New Roman" w:hAnsi="Times New Roman" w:eastAsia="宋体" w:cs="Times New Roman"/>
                <w:sz w:val="24"/>
                <w:szCs w:val="24"/>
                <w:highlight w:val="none"/>
              </w:rPr>
              <w:t>现场交付</w:t>
            </w:r>
            <w:r>
              <w:rPr>
                <w:rFonts w:hint="eastAsia" w:ascii="宋体" w:hAnsi="宋体" w:eastAsia="宋体" w:cs="Times New Roman"/>
                <w:sz w:val="24"/>
                <w:szCs w:val="24"/>
                <w:highlight w:val="none"/>
              </w:rPr>
              <w:t>。</w:t>
            </w:r>
          </w:p>
          <w:p w14:paraId="3D521483">
            <w:pPr>
              <w:spacing w:line="36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3.交货地点：招标人指定地点。</w:t>
            </w:r>
          </w:p>
        </w:tc>
      </w:tr>
      <w:tr w14:paraId="7DA3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Align w:val="center"/>
          </w:tcPr>
          <w:p w14:paraId="3E5B16E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9.1</w:t>
            </w:r>
          </w:p>
        </w:tc>
        <w:tc>
          <w:tcPr>
            <w:tcW w:w="8551" w:type="dxa"/>
            <w:vAlign w:val="center"/>
          </w:tcPr>
          <w:p w14:paraId="4B38B655">
            <w:pPr>
              <w:spacing w:line="360" w:lineRule="exact"/>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★付款方式：合同签订后，甲方支付合同金额的</w:t>
            </w:r>
            <w:r>
              <w:rPr>
                <w:rFonts w:hint="eastAsia" w:ascii="宋体" w:hAnsi="宋体" w:eastAsia="宋体" w:cs="Times New Roman"/>
                <w:b/>
                <w:sz w:val="24"/>
                <w:szCs w:val="24"/>
                <w:highlight w:val="none"/>
                <w:lang w:val="en-US" w:eastAsia="zh-CN"/>
              </w:rPr>
              <w:t>7</w:t>
            </w:r>
            <w:r>
              <w:rPr>
                <w:rFonts w:hint="eastAsia" w:ascii="宋体" w:hAnsi="宋体" w:eastAsia="宋体" w:cs="Times New Roman"/>
                <w:b/>
                <w:sz w:val="24"/>
                <w:szCs w:val="24"/>
                <w:highlight w:val="none"/>
              </w:rPr>
              <w:t>0%作为预付款，</w:t>
            </w:r>
            <w:r>
              <w:rPr>
                <w:rFonts w:hint="eastAsia" w:ascii="宋体" w:hAnsi="宋体" w:eastAsia="宋体" w:cs="Times New Roman"/>
                <w:b/>
                <w:sz w:val="24"/>
                <w:szCs w:val="24"/>
                <w:highlight w:val="none"/>
                <w:lang w:val="en-US" w:eastAsia="zh-CN"/>
              </w:rPr>
              <w:t>30%余款待</w:t>
            </w:r>
            <w:r>
              <w:rPr>
                <w:rFonts w:hint="eastAsia" w:ascii="宋体" w:hAnsi="宋体" w:eastAsia="宋体" w:cs="Times New Roman"/>
                <w:b/>
                <w:sz w:val="24"/>
                <w:szCs w:val="24"/>
                <w:highlight w:val="none"/>
              </w:rPr>
              <w:t>货到安装并经验收合格后支付。</w:t>
            </w:r>
          </w:p>
        </w:tc>
      </w:tr>
      <w:tr w14:paraId="1F6B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9" w:type="dxa"/>
            <w:vAlign w:val="center"/>
          </w:tcPr>
          <w:p w14:paraId="6CE2C13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10.3</w:t>
            </w:r>
          </w:p>
        </w:tc>
        <w:tc>
          <w:tcPr>
            <w:tcW w:w="8551" w:type="dxa"/>
            <w:vAlign w:val="center"/>
          </w:tcPr>
          <w:p w14:paraId="54984BD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测试要求：依据技术要求中的条款进行验收测试。</w:t>
            </w:r>
          </w:p>
        </w:tc>
      </w:tr>
      <w:tr w14:paraId="0459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89" w:type="dxa"/>
            <w:tcBorders>
              <w:bottom w:val="single" w:color="auto" w:sz="4" w:space="0"/>
            </w:tcBorders>
            <w:vAlign w:val="center"/>
          </w:tcPr>
          <w:p w14:paraId="7AD6EB1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w:t>
            </w:r>
          </w:p>
        </w:tc>
        <w:tc>
          <w:tcPr>
            <w:tcW w:w="8551" w:type="dxa"/>
            <w:tcBorders>
              <w:bottom w:val="single" w:color="auto" w:sz="4" w:space="0"/>
            </w:tcBorders>
            <w:vAlign w:val="center"/>
          </w:tcPr>
          <w:p w14:paraId="71CCE39C">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违约责任：具体违约条款及其它未尽事宜，将在双方签订合同时议定。</w:t>
            </w:r>
          </w:p>
        </w:tc>
      </w:tr>
    </w:tbl>
    <w:p w14:paraId="3926F310">
      <w:pPr>
        <w:spacing w:line="360"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注：招标文件中标注★号的部分为实质性要求和条件（由采购人根据实际情况设置），投标人必须作出满足原要求和条件的响应，否则投标无效。</w:t>
      </w:r>
    </w:p>
    <w:p w14:paraId="09FA157A">
      <w:pPr>
        <w:keepNext/>
        <w:keepLines/>
        <w:spacing w:line="360" w:lineRule="auto"/>
        <w:ind w:firstLine="422"/>
        <w:jc w:val="center"/>
        <w:outlineLvl w:val="0"/>
        <w:rPr>
          <w:rFonts w:hint="eastAsia" w:ascii="Times New Roman" w:hAnsi="宋体" w:eastAsia="黑体" w:cs="Times New Roman"/>
          <w:sz w:val="36"/>
          <w:szCs w:val="20"/>
        </w:rPr>
      </w:pPr>
      <w:r>
        <w:rPr>
          <w:rFonts w:ascii="Times New Roman" w:hAnsi="宋体" w:eastAsia="宋体" w:cs="Times New Roman"/>
          <w:b/>
          <w:bCs/>
          <w:szCs w:val="24"/>
        </w:rPr>
        <w:br w:type="page" w:clear="all"/>
      </w:r>
      <w:bookmarkEnd w:id="22"/>
      <w:bookmarkEnd w:id="23"/>
      <w:bookmarkStart w:id="25" w:name="_Toc513622230"/>
      <w:bookmarkStart w:id="26" w:name="_Toc17161"/>
      <w:r>
        <w:rPr>
          <w:rFonts w:hint="eastAsia" w:ascii="Times New Roman" w:hAnsi="宋体" w:eastAsia="黑体" w:cs="Times New Roman"/>
          <w:sz w:val="36"/>
          <w:szCs w:val="20"/>
        </w:rPr>
        <w:t>第六章  项目需求</w:t>
      </w:r>
      <w:bookmarkEnd w:id="25"/>
      <w:bookmarkEnd w:id="26"/>
    </w:p>
    <w:p w14:paraId="35D4A457">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b/>
          <w:bCs/>
          <w:sz w:val="24"/>
          <w:szCs w:val="24"/>
        </w:rPr>
        <w:t>说明：本项目属性为货物，</w:t>
      </w:r>
      <w:r>
        <w:rPr>
          <w:rFonts w:hint="eastAsia" w:ascii="宋体" w:hAnsi="Times New Roman" w:eastAsia="宋体" w:cs="Times New Roman"/>
          <w:b/>
          <w:sz w:val="24"/>
          <w:szCs w:val="21"/>
        </w:rPr>
        <w:t>采购标的对应的中小企业划分标准所属行业为</w:t>
      </w:r>
      <w:r>
        <w:rPr>
          <w:rFonts w:hint="eastAsia" w:ascii="宋体" w:hAnsi="Times New Roman" w:eastAsia="宋体" w:cs="Times New Roman"/>
          <w:b/>
          <w:sz w:val="24"/>
          <w:szCs w:val="21"/>
          <w:u w:val="single"/>
        </w:rPr>
        <w:t>工业</w:t>
      </w:r>
      <w:r>
        <w:rPr>
          <w:rFonts w:hint="eastAsia" w:ascii="宋体" w:hAnsi="Times New Roman" w:eastAsia="宋体" w:cs="Times New Roman"/>
          <w:b/>
          <w:sz w:val="24"/>
          <w:szCs w:val="21"/>
        </w:rPr>
        <w:t>。</w:t>
      </w:r>
    </w:p>
    <w:p w14:paraId="4B790A4C">
      <w:pPr>
        <w:spacing w:line="360" w:lineRule="auto"/>
        <w:ind w:firstLine="482"/>
        <w:jc w:val="left"/>
        <w:rPr>
          <w:rFonts w:hint="eastAsia" w:ascii="宋体" w:hAnsi="宋体" w:eastAsia="宋体" w:cs="Times New Roman"/>
          <w:sz w:val="24"/>
          <w:szCs w:val="24"/>
        </w:rPr>
      </w:pPr>
      <w:r>
        <w:rPr>
          <w:rFonts w:hint="eastAsia" w:ascii="宋体" w:hAnsi="宋体" w:eastAsia="宋体" w:cs="Times New Roman"/>
          <w:b/>
          <w:sz w:val="24"/>
          <w:szCs w:val="24"/>
        </w:rPr>
        <w:t>1、</w:t>
      </w:r>
      <w:r>
        <w:rPr>
          <w:rFonts w:hint="eastAsia" w:ascii="宋体" w:hAnsi="宋体" w:eastAsia="宋体" w:cs="Times New Roman"/>
          <w:b/>
          <w:bCs/>
          <w:sz w:val="24"/>
          <w:szCs w:val="24"/>
        </w:rPr>
        <w:t>本项目需求中标注★号的部分为实质性要求和条件（由采购人根据实际情况设置），投标人必须逐条明确作出满足实质性要求和条件的响应，否则投标无效。</w:t>
      </w:r>
    </w:p>
    <w:p w14:paraId="5175E8F8">
      <w:pPr>
        <w:pStyle w:val="24"/>
        <w:ind w:firstLine="480"/>
        <w:rPr>
          <w:rFonts w:hint="eastAsia" w:hAnsi="宋体"/>
          <w:sz w:val="24"/>
          <w:szCs w:val="24"/>
        </w:rPr>
      </w:pPr>
      <w:r>
        <w:rPr>
          <w:rFonts w:hint="eastAsia" w:hAnsi="宋体"/>
          <w:sz w:val="24"/>
          <w:szCs w:val="24"/>
        </w:rPr>
        <w:t>2、根据财政部令第87号第31条：供应商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bookmarkStart w:id="27" w:name="_Toc139966432"/>
      <w:bookmarkStart w:id="28" w:name="_Toc139967216"/>
    </w:p>
    <w:p w14:paraId="31DF9DAA">
      <w:pPr>
        <w:widowControl/>
        <w:ind w:firstLine="480"/>
      </w:pPr>
      <w:r>
        <w:rPr>
          <w:rFonts w:hint="eastAsia" w:ascii="宋体" w:hAnsi="宋体" w:eastAsia="宋体" w:cs="Times New Roman"/>
          <w:sz w:val="24"/>
          <w:szCs w:val="24"/>
        </w:rPr>
        <w:t>3、本项目核心产品为</w:t>
      </w:r>
      <w:r>
        <w:rPr>
          <w:rFonts w:hint="eastAsia" w:ascii="宋体" w:hAnsi="宋体" w:eastAsia="宋体" w:cs="Times New Roman"/>
          <w:sz w:val="24"/>
          <w:szCs w:val="24"/>
          <w:u w:val="single"/>
        </w:rPr>
        <w:t xml:space="preserve"> 双位漫步机 </w:t>
      </w:r>
      <w:r>
        <w:rPr>
          <w:rFonts w:hint="eastAsia" w:ascii="宋体" w:hAnsi="宋体" w:eastAsia="宋体" w:cs="Times New Roman"/>
          <w:sz w:val="24"/>
          <w:szCs w:val="24"/>
        </w:rPr>
        <w:t>。</w:t>
      </w:r>
    </w:p>
    <w:p w14:paraId="35E8EF12">
      <w:pPr>
        <w:numPr>
          <w:ilvl w:val="0"/>
          <w:numId w:val="2"/>
        </w:numPr>
        <w:spacing w:line="360" w:lineRule="auto"/>
        <w:rPr>
          <w:rFonts w:ascii="Times New Roman" w:hAnsi="Times New Roman" w:eastAsia="黑体" w:cs="Times New Roman"/>
          <w:b/>
          <w:sz w:val="28"/>
          <w:szCs w:val="20"/>
        </w:rPr>
      </w:pPr>
      <w:r>
        <w:rPr>
          <w:rFonts w:hint="eastAsia" w:ascii="Times New Roman" w:hAnsi="Times New Roman" w:eastAsia="黑体" w:cs="Times New Roman"/>
          <w:b/>
          <w:sz w:val="28"/>
          <w:szCs w:val="20"/>
        </w:rPr>
        <w:t>项目背景</w:t>
      </w:r>
    </w:p>
    <w:p w14:paraId="5D2B3143">
      <w:pPr>
        <w:keepNext/>
        <w:spacing w:line="360" w:lineRule="auto"/>
        <w:ind w:left="120" w:hanging="120"/>
        <w:rPr>
          <w:rFonts w:hint="eastAsia" w:ascii="宋体" w:hAnsi="宋体" w:eastAsia="宋体" w:cs="Times New Roman"/>
          <w:sz w:val="24"/>
          <w:szCs w:val="24"/>
        </w:rPr>
      </w:pPr>
      <w:r>
        <w:rPr>
          <w:rFonts w:hint="eastAsia" w:ascii="宋体" w:hAnsi="宋体" w:eastAsia="宋体" w:cs="Times New Roman"/>
          <w:sz w:val="24"/>
          <w:szCs w:val="24"/>
        </w:rPr>
        <w:t xml:space="preserve">   1、根据《迎省运全民健身场地设施提升方案》(连体〔2024】1号)精神及各区上报的实施计划，现将2025年迎省运全民健身场设施提升工程市级补助资金下达，现将海州区全民健身设施提档升级。</w:t>
      </w:r>
    </w:p>
    <w:p w14:paraId="2FA73879">
      <w:pPr>
        <w:keepNext/>
        <w:numPr>
          <w:ilvl w:val="0"/>
          <w:numId w:val="2"/>
        </w:numPr>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货物（标的）采购清单</w:t>
      </w:r>
    </w:p>
    <w:tbl>
      <w:tblPr>
        <w:tblStyle w:val="48"/>
        <w:tblW w:w="4493" w:type="pct"/>
        <w:jc w:val="center"/>
        <w:tblLayout w:type="fixed"/>
        <w:tblCellMar>
          <w:top w:w="0" w:type="dxa"/>
          <w:left w:w="108" w:type="dxa"/>
          <w:bottom w:w="0" w:type="dxa"/>
          <w:right w:w="108" w:type="dxa"/>
        </w:tblCellMar>
      </w:tblPr>
      <w:tblGrid>
        <w:gridCol w:w="816"/>
        <w:gridCol w:w="1864"/>
        <w:gridCol w:w="1058"/>
        <w:gridCol w:w="609"/>
        <w:gridCol w:w="3223"/>
        <w:gridCol w:w="1285"/>
      </w:tblGrid>
      <w:tr w14:paraId="7C73C495">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F944">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序号</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FB4E">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货物名称</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E19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数量</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0F2C">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单位</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0CC2">
            <w:pPr>
              <w:pStyle w:val="18"/>
              <w:widowControl/>
              <w:ind w:firstLine="0"/>
              <w:jc w:val="center"/>
              <w:rPr>
                <w:rFonts w:ascii="宋体" w:cs="Helvetica"/>
                <w:b/>
                <w:bCs/>
                <w:sz w:val="24"/>
              </w:rPr>
            </w:pPr>
            <w:r>
              <w:rPr>
                <w:rFonts w:hint="eastAsia" w:ascii="宋体" w:cs="Helvetica"/>
                <w:b/>
                <w:bCs/>
                <w:sz w:val="24"/>
              </w:rPr>
              <w:t>中小企业划分标准所属行业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8165">
            <w:pPr>
              <w:pStyle w:val="18"/>
              <w:widowControl/>
              <w:ind w:firstLine="0"/>
              <w:jc w:val="center"/>
              <w:rPr>
                <w:rFonts w:ascii="宋体" w:cs="Helvetica"/>
                <w:b/>
                <w:bCs/>
                <w:sz w:val="24"/>
              </w:rPr>
            </w:pPr>
            <w:r>
              <w:rPr>
                <w:rFonts w:hint="eastAsia" w:ascii="宋体" w:cs="Helvetica"/>
                <w:b/>
                <w:bCs/>
                <w:sz w:val="24"/>
              </w:rPr>
              <w:t>备注</w:t>
            </w:r>
          </w:p>
        </w:tc>
      </w:tr>
      <w:tr w14:paraId="72D05BFC">
        <w:tblPrEx>
          <w:tblCellMar>
            <w:top w:w="0" w:type="dxa"/>
            <w:left w:w="108" w:type="dxa"/>
            <w:bottom w:w="0" w:type="dxa"/>
            <w:right w:w="108" w:type="dxa"/>
          </w:tblCellMar>
        </w:tblPrEx>
        <w:trPr>
          <w:trHeight w:val="622"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93B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C27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双位漫步机(核心产品)</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DD43">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C79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DFBE">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A1AE">
            <w:pPr>
              <w:pStyle w:val="18"/>
              <w:widowControl/>
              <w:ind w:firstLine="0"/>
              <w:jc w:val="center"/>
              <w:rPr>
                <w:rFonts w:hint="eastAsia" w:cs="Helvetica" w:asciiTheme="minorEastAsia" w:hAnsiTheme="minorEastAsia" w:eastAsiaTheme="minorEastAsia"/>
                <w:sz w:val="24"/>
              </w:rPr>
            </w:pPr>
          </w:p>
        </w:tc>
      </w:tr>
      <w:tr w14:paraId="08EA21CE">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5B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67C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上肢牵引器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EA00">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41B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23BD">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F604">
            <w:pPr>
              <w:pStyle w:val="18"/>
              <w:widowControl/>
              <w:ind w:firstLine="0"/>
              <w:jc w:val="center"/>
              <w:rPr>
                <w:rFonts w:hint="eastAsia" w:cs="Helvetica" w:asciiTheme="minorEastAsia" w:hAnsiTheme="minorEastAsia" w:eastAsiaTheme="minorEastAsia"/>
                <w:sz w:val="24"/>
              </w:rPr>
            </w:pPr>
          </w:p>
        </w:tc>
      </w:tr>
      <w:tr w14:paraId="2966CD22">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F1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DE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太极揉推器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A80C">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B38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97AA">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B336">
            <w:pPr>
              <w:pStyle w:val="18"/>
              <w:widowControl/>
              <w:ind w:firstLine="0"/>
              <w:jc w:val="center"/>
              <w:rPr>
                <w:rFonts w:hint="eastAsia" w:cs="Helvetica" w:asciiTheme="minorEastAsia" w:hAnsiTheme="minorEastAsia" w:eastAsiaTheme="minorEastAsia"/>
                <w:sz w:val="24"/>
              </w:rPr>
            </w:pPr>
          </w:p>
        </w:tc>
      </w:tr>
      <w:tr w14:paraId="19236816">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BC2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04D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腰背按摩器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0077">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C29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05BF">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8D6D">
            <w:pPr>
              <w:pStyle w:val="18"/>
              <w:widowControl/>
              <w:ind w:firstLine="0"/>
              <w:jc w:val="center"/>
              <w:rPr>
                <w:rFonts w:hint="eastAsia" w:cs="Helvetica" w:asciiTheme="minorEastAsia" w:hAnsiTheme="minorEastAsia" w:eastAsiaTheme="minorEastAsia"/>
                <w:sz w:val="24"/>
              </w:rPr>
            </w:pPr>
          </w:p>
        </w:tc>
      </w:tr>
      <w:tr w14:paraId="71E1D23E">
        <w:trPr>
          <w:trHeight w:val="469"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213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B20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告示牌</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407D">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3CB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2B13">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3EE9">
            <w:pPr>
              <w:pStyle w:val="18"/>
              <w:widowControl/>
              <w:ind w:firstLine="0"/>
              <w:jc w:val="center"/>
              <w:rPr>
                <w:rFonts w:hint="eastAsia" w:cs="Helvetica" w:asciiTheme="minorEastAsia" w:hAnsiTheme="minorEastAsia" w:eastAsiaTheme="minorEastAsia"/>
                <w:sz w:val="24"/>
              </w:rPr>
            </w:pPr>
          </w:p>
        </w:tc>
      </w:tr>
      <w:tr w14:paraId="1E46D245">
        <w:tblPrEx>
          <w:tblCellMar>
            <w:top w:w="0" w:type="dxa"/>
            <w:left w:w="108" w:type="dxa"/>
            <w:bottom w:w="0" w:type="dxa"/>
            <w:right w:w="108" w:type="dxa"/>
          </w:tblCellMar>
        </w:tblPrEx>
        <w:trPr>
          <w:trHeight w:val="469"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FD8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6</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031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健骑机</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463D">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34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13F7">
            <w:pPr>
              <w:pStyle w:val="18"/>
              <w:widowControl/>
              <w:ind w:firstLine="0"/>
              <w:jc w:val="center"/>
              <w:rPr>
                <w:rFonts w:hint="eastAsia" w:cs="Helvetica" w:asciiTheme="minorEastAsia" w:hAnsiTheme="minorEastAsia" w:eastAsiaTheme="minorEastAsia"/>
                <w:sz w:val="24"/>
                <w:lang w:val="en-US" w:eastAsia="zh-CN"/>
              </w:rPr>
            </w:pPr>
            <w:r>
              <w:rPr>
                <w:rFonts w:hint="eastAsia" w:cs="Helvetica" w:asciiTheme="minorEastAsia" w:hAnsiTheme="minorEastAsia" w:eastAsiaTheme="minorEastAsia"/>
                <w:sz w:val="24"/>
                <w:lang w:val="en-US" w:eastAsia="zh-CN"/>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7622">
            <w:pPr>
              <w:pStyle w:val="18"/>
              <w:widowControl/>
              <w:ind w:firstLine="0"/>
              <w:jc w:val="center"/>
              <w:rPr>
                <w:rFonts w:hint="eastAsia" w:cs="Helvetica" w:asciiTheme="minorEastAsia" w:hAnsiTheme="minorEastAsia" w:eastAsiaTheme="minorEastAsia"/>
                <w:sz w:val="24"/>
              </w:rPr>
            </w:pPr>
          </w:p>
        </w:tc>
      </w:tr>
      <w:tr w14:paraId="0FDB3ADB">
        <w:tblPrEx>
          <w:tblCellMar>
            <w:top w:w="0" w:type="dxa"/>
            <w:left w:w="108" w:type="dxa"/>
            <w:bottom w:w="0" w:type="dxa"/>
            <w:right w:w="108" w:type="dxa"/>
          </w:tblCellMar>
        </w:tblPrEx>
        <w:trPr>
          <w:trHeight w:val="469"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FB63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7</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C8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肋木架</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37101">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01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F50B">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72E1">
            <w:pPr>
              <w:pStyle w:val="18"/>
              <w:widowControl/>
              <w:ind w:firstLine="0"/>
              <w:jc w:val="center"/>
              <w:rPr>
                <w:rFonts w:hint="eastAsia" w:cs="Helvetica" w:asciiTheme="minorEastAsia" w:hAnsiTheme="minorEastAsia" w:eastAsiaTheme="minorEastAsia"/>
                <w:sz w:val="24"/>
              </w:rPr>
            </w:pPr>
          </w:p>
        </w:tc>
      </w:tr>
      <w:tr w14:paraId="0B2F3E5C">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B7C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8</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69A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三位扭腰器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5FAC">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1BF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A593">
            <w:pPr>
              <w:pStyle w:val="18"/>
              <w:widowControl/>
              <w:ind w:firstLine="0"/>
              <w:jc w:val="center"/>
              <w:rPr>
                <w:rFonts w:hint="eastAsia" w:cs="Helvetica" w:asciiTheme="minorEastAsia" w:hAnsiTheme="minorEastAsia" w:eastAsiaTheme="minorEastAsia"/>
                <w:sz w:val="24"/>
              </w:rPr>
            </w:pPr>
            <w:r>
              <w:rPr>
                <w:rFonts w:hint="eastAsia" w:cs="Helvetica" w:asciiTheme="minorEastAsia" w:hAnsiTheme="minorEastAsia" w:eastAsia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7029">
            <w:pPr>
              <w:pStyle w:val="18"/>
              <w:widowControl/>
              <w:ind w:firstLine="0"/>
              <w:jc w:val="center"/>
              <w:rPr>
                <w:rFonts w:hint="eastAsia" w:cs="Helvetica" w:asciiTheme="minorEastAsia" w:hAnsiTheme="minorEastAsia" w:eastAsiaTheme="minorEastAsia"/>
                <w:sz w:val="24"/>
              </w:rPr>
            </w:pPr>
          </w:p>
        </w:tc>
      </w:tr>
      <w:tr w14:paraId="7C7493F0">
        <w:tblPrEx>
          <w:tblCellMar>
            <w:top w:w="0" w:type="dxa"/>
            <w:left w:w="108" w:type="dxa"/>
            <w:bottom w:w="0" w:type="dxa"/>
            <w:right w:w="108" w:type="dxa"/>
          </w:tblCellMar>
        </w:tblPrEx>
        <w:trPr>
          <w:trHeight w:val="622"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378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9</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996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四位蹬力器(两组双人位）</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26E8">
            <w:pPr>
              <w:widowControl/>
              <w:jc w:val="center"/>
              <w:textAlignment w:val="center"/>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706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6C5C">
            <w:pPr>
              <w:pStyle w:val="18"/>
              <w:widowControl/>
              <w:ind w:firstLine="0"/>
              <w:jc w:val="center"/>
              <w:rPr>
                <w:rFonts w:hint="eastAsia" w:cs="Helvetica" w:asciiTheme="minorEastAsia" w:hAnsiTheme="minorEastAsia" w:eastAsiaTheme="minorEastAsia"/>
                <w:sz w:val="24"/>
                <w:highlight w:val="none"/>
              </w:rPr>
            </w:pPr>
            <w:r>
              <w:rPr>
                <w:rFonts w:hint="eastAsia" w:cs="Helvetica" w:asciiTheme="minorEastAsia" w:hAnsiTheme="minorEastAsia" w:eastAsiaTheme="minorEastAsia"/>
                <w:sz w:val="24"/>
                <w:highlight w:val="none"/>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3D4F">
            <w:pPr>
              <w:pStyle w:val="18"/>
              <w:widowControl/>
              <w:ind w:firstLine="0"/>
              <w:jc w:val="center"/>
              <w:rPr>
                <w:rFonts w:hint="eastAsia" w:cs="Helvetica" w:asciiTheme="minorEastAsia" w:hAnsiTheme="minorEastAsia" w:eastAsiaTheme="minorEastAsia"/>
                <w:sz w:val="24"/>
                <w:highlight w:val="yellow"/>
              </w:rPr>
            </w:pPr>
          </w:p>
        </w:tc>
      </w:tr>
      <w:tr w14:paraId="2C521300">
        <w:tblPrEx>
          <w:tblCellMar>
            <w:top w:w="0" w:type="dxa"/>
            <w:left w:w="108" w:type="dxa"/>
            <w:bottom w:w="0" w:type="dxa"/>
            <w:right w:w="108" w:type="dxa"/>
          </w:tblCellMar>
        </w:tblPrEx>
        <w:trPr>
          <w:trHeight w:val="571"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3D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AA0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双杠</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4DF8">
            <w:pPr>
              <w:widowControl/>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bidi="ar"/>
              </w:rPr>
              <w:t>14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1FF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件</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38F0">
            <w:pPr>
              <w:jc w:val="center"/>
              <w:rPr>
                <w:rFonts w:hint="eastAsia" w:cs="宋体" w:asciiTheme="minorEastAsia" w:hAnsiTheme="minorEastAsia"/>
                <w:color w:val="000000"/>
                <w:sz w:val="24"/>
                <w:szCs w:val="24"/>
                <w:lang w:bidi="ar"/>
              </w:rPr>
            </w:pPr>
            <w:r>
              <w:rPr>
                <w:rFonts w:hint="eastAsia" w:cs="Helvetica" w:asciiTheme="minorEastAsia" w:hAnsi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4136">
            <w:pPr>
              <w:jc w:val="center"/>
              <w:rPr>
                <w:rFonts w:hint="eastAsia" w:cs="Helvetica" w:asciiTheme="minorEastAsia" w:hAnsiTheme="minorEastAsia"/>
                <w:sz w:val="24"/>
              </w:rPr>
            </w:pPr>
          </w:p>
        </w:tc>
      </w:tr>
      <w:tr w14:paraId="4F286D66">
        <w:tblPrEx>
          <w:tblCellMar>
            <w:top w:w="0" w:type="dxa"/>
            <w:left w:w="108" w:type="dxa"/>
            <w:bottom w:w="0" w:type="dxa"/>
            <w:right w:w="108" w:type="dxa"/>
          </w:tblCellMar>
        </w:tblPrEx>
        <w:trPr>
          <w:trHeight w:val="576"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D4F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11</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B67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乒乓球台</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341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8F7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张</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F855">
            <w:pPr>
              <w:jc w:val="center"/>
              <w:rPr>
                <w:rFonts w:hint="eastAsia" w:cs="宋体" w:asciiTheme="minorEastAsia" w:hAnsiTheme="minorEastAsia"/>
                <w:color w:val="000000"/>
                <w:sz w:val="24"/>
                <w:szCs w:val="24"/>
                <w:lang w:bidi="ar"/>
              </w:rPr>
            </w:pPr>
            <w:r>
              <w:rPr>
                <w:rFonts w:hint="eastAsia" w:cs="Helvetica" w:asciiTheme="minorEastAsia" w:hAnsi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B8F1">
            <w:pPr>
              <w:jc w:val="center"/>
              <w:rPr>
                <w:rFonts w:hint="eastAsia" w:cs="Helvetica" w:asciiTheme="minorEastAsia" w:hAnsiTheme="minorEastAsia"/>
                <w:sz w:val="24"/>
              </w:rPr>
            </w:pPr>
          </w:p>
        </w:tc>
      </w:tr>
      <w:tr w14:paraId="61F57D0A">
        <w:tblPrEx>
          <w:tblCellMar>
            <w:top w:w="0" w:type="dxa"/>
            <w:left w:w="108" w:type="dxa"/>
            <w:bottom w:w="0" w:type="dxa"/>
            <w:right w:w="108" w:type="dxa"/>
          </w:tblCellMar>
        </w:tblPrEx>
        <w:trPr>
          <w:trHeight w:val="622"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3C7D">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w:t>
            </w:r>
          </w:p>
        </w:tc>
        <w:tc>
          <w:tcPr>
            <w:tcW w:w="1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5385">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硅PU面层</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688C">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2466.219</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49C6">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0495">
            <w:pPr>
              <w:jc w:val="center"/>
              <w:rPr>
                <w:rFonts w:hint="eastAsia" w:cs="Helvetica" w:asciiTheme="minorEastAsia" w:hAnsiTheme="minorEastAsia"/>
                <w:sz w:val="24"/>
              </w:rPr>
            </w:pPr>
            <w:r>
              <w:rPr>
                <w:rFonts w:hint="eastAsia" w:cs="Helvetica" w:asciiTheme="minorEastAsia" w:hAnsiTheme="minorEastAsia"/>
                <w:sz w:val="24"/>
              </w:rPr>
              <w:t>工业</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E13E">
            <w:pPr>
              <w:jc w:val="center"/>
              <w:rPr>
                <w:rFonts w:hint="eastAsia" w:cs="Helvetica" w:asciiTheme="minorEastAsia" w:hAnsiTheme="minorEastAsia"/>
                <w:sz w:val="24"/>
              </w:rPr>
            </w:pPr>
          </w:p>
        </w:tc>
      </w:tr>
    </w:tbl>
    <w:p w14:paraId="120D4FD0">
      <w:pPr>
        <w:numPr>
          <w:ilvl w:val="0"/>
          <w:numId w:val="2"/>
        </w:numPr>
        <w:spacing w:line="360" w:lineRule="auto"/>
        <w:outlineLvl w:val="1"/>
        <w:rPr>
          <w:rFonts w:ascii="Times New Roman" w:hAnsi="Times New Roman" w:eastAsia="黑体" w:cs="Times New Roman"/>
          <w:b/>
          <w:sz w:val="28"/>
          <w:szCs w:val="20"/>
        </w:rPr>
      </w:pPr>
      <w:r>
        <w:rPr>
          <w:rFonts w:hint="eastAsia" w:ascii="Times New Roman" w:hAnsi="Times New Roman" w:eastAsia="黑体" w:cs="Times New Roman"/>
          <w:b/>
          <w:sz w:val="28"/>
          <w:szCs w:val="20"/>
        </w:rPr>
        <w:t>货物技术参数</w:t>
      </w:r>
    </w:p>
    <w:tbl>
      <w:tblPr>
        <w:tblStyle w:val="48"/>
        <w:tblW w:w="4996" w:type="pct"/>
        <w:tblInd w:w="0" w:type="dxa"/>
        <w:tblLayout w:type="autofit"/>
        <w:tblCellMar>
          <w:top w:w="0" w:type="dxa"/>
          <w:left w:w="108" w:type="dxa"/>
          <w:bottom w:w="0" w:type="dxa"/>
          <w:right w:w="108" w:type="dxa"/>
        </w:tblCellMar>
      </w:tblPr>
      <w:tblGrid>
        <w:gridCol w:w="526"/>
        <w:gridCol w:w="894"/>
        <w:gridCol w:w="8426"/>
      </w:tblGrid>
      <w:tr w14:paraId="717BD91A">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95E3">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序号</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32CC">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货物名称</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9092">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规格参数</w:t>
            </w:r>
          </w:p>
        </w:tc>
      </w:tr>
      <w:tr w14:paraId="5E0A76D3">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7D9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0740F">
            <w:pPr>
              <w:widowControl/>
              <w:jc w:val="center"/>
              <w:textAlignment w:val="center"/>
              <w:rPr>
                <w:rFonts w:hint="eastAsia" w:ascii="宋体" w:hAnsi="宋体" w:eastAsia="宋体" w:cs="宋体"/>
                <w:color w:val="000000"/>
                <w:sz w:val="24"/>
                <w:szCs w:val="24"/>
              </w:rPr>
            </w:pPr>
            <w:r>
              <w:rPr>
                <w:rFonts w:hint="eastAsia" w:ascii="宋体" w:hAnsi="宋体" w:eastAsia="宋体" w:cs="宋体"/>
                <w:b/>
                <w:bCs/>
                <w:color w:val="000000"/>
                <w:sz w:val="24"/>
                <w:szCs w:val="24"/>
                <w:lang w:bidi="ar"/>
              </w:rPr>
              <w:t>双位漫步机(核心产品)</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191A">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产品的主要技术参数： </w:t>
            </w:r>
          </w:p>
          <w:p w14:paraId="4D5AAF0A">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2FAAF5A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2.摆杆有内置限位装置，且单侧最大摆动幅度为65°，                                                  3.摆杆与主立柱内侧的最小距离处不小于60mm；</w:t>
            </w:r>
          </w:p>
          <w:p w14:paraId="40241703">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4.踏板的主运动方向和易滑脱方向设置高度不小于30mm、长度大于踏板周长2/3的防滑脱的凸台或护板；凸台顶部棱边全部以3.5mm的R圆弧过渡；</w:t>
            </w:r>
          </w:p>
          <w:p w14:paraId="5F1680C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5.摆动部件下缘距地面或底面最小高度不小于80mm；</w:t>
            </w:r>
          </w:p>
          <w:p w14:paraId="1C4047B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6.相邻运动的两踏板的间距不小于100mm；</w:t>
            </w:r>
          </w:p>
          <w:p w14:paraId="1F1F8B0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7.转轴直径为30mm，并辅以调质热处理，轴承选用为6206承载能力的深沟球轴；</w:t>
            </w:r>
          </w:p>
          <w:p w14:paraId="40C1AF5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8.踏板前后两侧采取防止碰撞第三者的缓冲措施；</w:t>
            </w:r>
          </w:p>
          <w:p w14:paraId="4B0EE88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9.没有衣服、头发钩挂或缠绕危险；</w:t>
            </w:r>
          </w:p>
          <w:p w14:paraId="325AC47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10.棱边和棱角半径为3.0mm；</w:t>
            </w:r>
          </w:p>
          <w:p w14:paraId="149626E1">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11.立柱顶部采用外扣式盖帽，避免淋入雨水，预防立柱内部生锈；</w:t>
            </w:r>
          </w:p>
          <w:p w14:paraId="5260AD9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12.紧固件材质为不锈钢，具有防盗、防锈、防松功能，需专用工具方可拆卸；</w:t>
            </w:r>
          </w:p>
          <w:p w14:paraId="2F4F989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13.涂层、橡胶、塑料件有害物质限量应符合GB 19272-2011中5.2.6的要求；</w:t>
            </w:r>
          </w:p>
          <w:p w14:paraId="7490AC4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14.器材安全警示牌有图示方式的安全提示。</w:t>
            </w:r>
          </w:p>
          <w:p w14:paraId="271797C7">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71CB76B5">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093A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12A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上肢牵引器</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F45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产品的主要技术参数：</w:t>
            </w:r>
          </w:p>
          <w:p w14:paraId="51AD439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▲1.主立柱规格不小于φ114×3mm；</w:t>
            </w:r>
          </w:p>
          <w:p w14:paraId="1F67B9C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2.立柱采用外扣式盖帽，避免淋入雨水；</w:t>
            </w:r>
          </w:p>
          <w:p w14:paraId="38FCB54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3.可双人同时使用；</w:t>
            </w:r>
          </w:p>
          <w:p w14:paraId="4D24FA6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4.采用塑胶把套，以增加使用时的舒适程度，手柄端部直径大于50mm；</w:t>
            </w:r>
          </w:p>
          <w:p w14:paraId="52BC73C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5.地埋高度为600mm；</w:t>
            </w:r>
          </w:p>
          <w:p w14:paraId="040B758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6.采用内置限位装置，产品单边最大摆幅65°；</w:t>
            </w:r>
          </w:p>
          <w:p w14:paraId="04146A0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7.摆杆运动至极限位置时，摆杆最低点与地面的距离不低于1850mm；</w:t>
            </w:r>
          </w:p>
          <w:p w14:paraId="6A38896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8.紧固件材质为不锈钢，具有防盗、防锈、防松功能，需专用工具方可拆卸；</w:t>
            </w:r>
          </w:p>
          <w:p w14:paraId="6A4B7A9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9.涂层、橡胶、塑料件有害物质限量应符合GB 19272-2011中5.2.6的要求； </w:t>
            </w:r>
          </w:p>
          <w:p w14:paraId="1033F89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10.器材安全警示牌有图示方式的安全提示。</w:t>
            </w:r>
          </w:p>
          <w:p w14:paraId="4278A788">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6A931DAE">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B3F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2D8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太极揉推器</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A9A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                                                                            ▲1.主立柱规格：φ114×3mm；</w:t>
            </w:r>
          </w:p>
          <w:p w14:paraId="636126C1">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2.立柱采用外扣式盖帽，避免淋入雨水；</w:t>
            </w:r>
          </w:p>
          <w:p w14:paraId="63CBD41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3.转盘转动位具有阻尼装置，防止器材空转；</w:t>
            </w:r>
          </w:p>
          <w:p w14:paraId="2E36831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4.紧固件材质为不锈钢，具有防盗、防锈、防松功能，需专用工具方可拆卸；</w:t>
            </w:r>
          </w:p>
          <w:p w14:paraId="4A46A05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5.涂层、橡胶、塑料件有害物质限量符合GB 19272-2011中5.2.6的要求；</w:t>
            </w:r>
          </w:p>
          <w:p w14:paraId="3AD563F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6.器材安全警示牌有图示方式的安全提示；</w:t>
            </w:r>
          </w:p>
          <w:p w14:paraId="61DB441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7.揉推盘采用LLDPE一次滚塑成型；表面采用凹凸设计；</w:t>
            </w:r>
          </w:p>
          <w:p w14:paraId="1FCE5213">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8.转动部位采用国家标准的深沟球轴承6205和有效的内置限位装置，并采用有效的防水、防尘措施；</w:t>
            </w:r>
          </w:p>
          <w:p w14:paraId="63CA856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9.地埋高度500mm。</w:t>
            </w:r>
          </w:p>
          <w:p w14:paraId="76DB0FA6">
            <w:pPr>
              <w:widowControl/>
              <w:jc w:val="left"/>
              <w:textAlignment w:val="center"/>
              <w:rPr>
                <w:rFonts w:hint="eastAsia" w:ascii="宋体" w:hAnsi="宋体" w:eastAsia="宋体" w:cs="宋体"/>
                <w:b/>
                <w:bCs/>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35D3B987">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620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6AE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腰背按摩器</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120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3F4A112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6DA5062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2.具有坐式腰部按摩及站式背部按摩两种功能，可二人同时使用；</w:t>
            </w:r>
          </w:p>
          <w:p w14:paraId="5F4346C9">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3.按摩轮采用工程塑料制作，表面具有凸起的按摩圆球，以增加锻炼效果及锻炼的舒适程度；</w:t>
            </w:r>
          </w:p>
          <w:p w14:paraId="5FF32F7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4.立柱采用外扣式盖帽，避免淋入雨水；</w:t>
            </w:r>
          </w:p>
          <w:p w14:paraId="1C3957C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5.不存在剪切点、挤压点、引入点，不存在刚性碰撞；</w:t>
            </w:r>
          </w:p>
          <w:p w14:paraId="77E8F2B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6.不存在衣服、头发钩挂或缠绕危险；</w:t>
            </w:r>
          </w:p>
          <w:p w14:paraId="24C94FC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7.转动部位采用国家标准的深沟球轴承6205和有效的内置限位装置，并采用有效的防水、防尘措施；</w:t>
            </w:r>
          </w:p>
          <w:p w14:paraId="63EAE07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8.坐凳凳面采用优质碳素钢；</w:t>
            </w:r>
          </w:p>
          <w:p w14:paraId="713A8E2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9.主体地埋500mm,凳面地埋400mm；</w:t>
            </w:r>
          </w:p>
          <w:p w14:paraId="32946BAD">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10.把手端部直径不小于mm.避免产生眼睛刺穿伤害；</w:t>
            </w:r>
          </w:p>
          <w:p w14:paraId="351D04F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11.紧固件材质为不锈钢，具有防盗、防锈、防松功能，需专用工具方可拆卸；</w:t>
            </w:r>
          </w:p>
          <w:p w14:paraId="364B535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12.涂层、橡胶、塑料件有害物质限量应符合GB 19272-2011中5.2.6的要求；</w:t>
            </w:r>
          </w:p>
          <w:p w14:paraId="481AE3D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13.器材安全警示采用图示方式提示使用者可能存在风险。</w:t>
            </w:r>
          </w:p>
          <w:p w14:paraId="5C8D2AD5">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6CFB9EEE">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42C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17F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告示牌</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A8CD">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2FD5A15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31CF49D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2.立柱采用外扣式盖帽，避免淋入雨水；</w:t>
            </w:r>
          </w:p>
          <w:p w14:paraId="3E367A1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3.采用横式不锈钢牌面，牌面尺寸(800×600)mm，板材厚度：1mm，图样及字样蚀刻处理，人体易接触区域没有钩挂、缠绕结构；</w:t>
            </w:r>
          </w:p>
          <w:p w14:paraId="566B301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4.地埋深度：500mm；</w:t>
            </w:r>
          </w:p>
          <w:p w14:paraId="016B8FE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5.牌面采用夹层式设计，防止产生刮伤的可能；</w:t>
            </w:r>
          </w:p>
          <w:p w14:paraId="76AB1BB0">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6.告示牌包含以下内容：中国体育彩票标识、简明的热身运动说明、图示方式介绍正确的锻炼方法、安全警示说明、发现器材有缺陷立即停止使用直到修复的说明、器材供应商的全称及售后服务电话等。</w:t>
            </w:r>
          </w:p>
          <w:p w14:paraId="3948C722">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7.涂层、橡胶、塑料件有害物质限量应符合GB 19272-2011中5.2.6的要求；</w:t>
            </w:r>
          </w:p>
          <w:p w14:paraId="035EFCF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8.器材安全警示牌有图示方式的安全提示；</w:t>
            </w:r>
          </w:p>
          <w:p w14:paraId="0DCDC7F0">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9.告示牌内容包含：</w:t>
            </w:r>
          </w:p>
          <w:p w14:paraId="1A31D95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a.简明的的热身运动说明；</w:t>
            </w:r>
          </w:p>
          <w:p w14:paraId="09EE960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b.图示方式介绍正确的锻炼方法；</w:t>
            </w:r>
          </w:p>
          <w:p w14:paraId="5E48BC7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c.安全警示说明；</w:t>
            </w:r>
          </w:p>
          <w:p w14:paraId="6C749C0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d.包括发现器材有缺陷应立即停止使用直到修复的说明；</w:t>
            </w:r>
          </w:p>
          <w:p w14:paraId="10EDC03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e.器材供应商的全称及售后服务电话；</w:t>
            </w:r>
          </w:p>
          <w:p w14:paraId="451F5F5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f.管理维护单位及联系电话。</w:t>
            </w:r>
          </w:p>
          <w:p w14:paraId="3E685317">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00BDB645">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4663">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7C5D">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健骑机</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666E">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6F48283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34AC088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2.顶部采用钢制封头焊接，避免淋入雨水；</w:t>
            </w:r>
          </w:p>
          <w:p w14:paraId="379FC30E">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3.转动部位采用国家标准的轴承，轴承选用6205的深沟球轴承，并采用有效的防水、防尘措施；</w:t>
            </w:r>
          </w:p>
          <w:p w14:paraId="0DB9A59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4.转动主轴为45#钢，直径为25mm；</w:t>
            </w:r>
          </w:p>
          <w:p w14:paraId="2FF2047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5.有内置限位装置，摆动件与立柱内侧距离及在使用中各结构件的内侧距离大于230mm，防止产生挤压.卡夹.碰撞的伤害可能；</w:t>
            </w:r>
          </w:p>
          <w:p w14:paraId="7A64D81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6.脚踏位有防滑措施，摩擦系数应不小于0.5；</w:t>
            </w:r>
          </w:p>
          <w:p w14:paraId="290E9F0B">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7.没有衣服、头发钩挂或缠绕危险；</w:t>
            </w:r>
          </w:p>
          <w:p w14:paraId="4A853940">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8.紧固件材质为不锈钢，具有防盗、防锈、防松功能，需专用工具方可拆卸；</w:t>
            </w:r>
          </w:p>
          <w:p w14:paraId="39AA8F2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9.涂层、橡胶、塑料件有害物质限量应符合GB 19272-2011中5.2.6的要求；</w:t>
            </w:r>
          </w:p>
          <w:p w14:paraId="58A7D05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10.器材安全警示牌有图示方式的安全提示</w:t>
            </w:r>
          </w:p>
          <w:p w14:paraId="2BEC516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4460868A">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180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7</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98D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肋木架</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D44E">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13A8FA1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4F0E7194">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2.立柱顶部高度低于横管；顶部采用钢制封头焊接，避免淋入雨水；</w:t>
            </w:r>
          </w:p>
          <w:p w14:paraId="61C9A221">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3.地埋深度600mm；</w:t>
            </w:r>
          </w:p>
          <w:p w14:paraId="133DE63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4.没有衣服、头发钩挂或缠绕危险；</w:t>
            </w:r>
          </w:p>
          <w:p w14:paraId="71B8869D">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5.紧固件材质为不锈钢，具有防盗、防锈、防松功能，需专用工具方可拆卸；</w:t>
            </w:r>
          </w:p>
          <w:p w14:paraId="5AB077F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6.涂层、橡胶、塑料件有害物质限量应符合GB 19272-2011中5.2.6的要求；</w:t>
            </w:r>
          </w:p>
          <w:p w14:paraId="569E9B28">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7.器材安全警示牌有图示方式的安全提示。</w:t>
            </w:r>
          </w:p>
          <w:p w14:paraId="69357301">
            <w:pPr>
              <w:widowControl/>
              <w:jc w:val="left"/>
              <w:textAlignment w:val="center"/>
              <w:rPr>
                <w:rFonts w:hint="eastAsia" w:ascii="宋体" w:hAnsi="宋体" w:eastAsia="宋体" w:cs="宋体"/>
                <w:b/>
                <w:bCs/>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5CD3F0B5">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207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FF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三位扭腰器</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088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产品的主要技术参数：</w:t>
            </w:r>
          </w:p>
          <w:p w14:paraId="6409234B">
            <w:pPr>
              <w:widowControl/>
              <w:ind w:right="-82" w:rightChars="-39"/>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w:t>
            </w:r>
            <w:r>
              <w:rPr>
                <w:rFonts w:hint="eastAsia" w:ascii="宋体" w:hAnsi="宋体" w:eastAsia="宋体" w:cs="宋体"/>
                <w:color w:val="000000"/>
                <w:sz w:val="24"/>
                <w:szCs w:val="24"/>
              </w:rPr>
              <w:t>1.主立柱规格：φ114×3mm；</w:t>
            </w:r>
          </w:p>
          <w:p w14:paraId="706649D8">
            <w:pPr>
              <w:widowControl/>
              <w:ind w:right="-82" w:rightChars="-39"/>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2.扭腰盘采用钢制冲压而成；</w:t>
            </w:r>
          </w:p>
          <w:p w14:paraId="1576B8A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3.转盘转动部位内置阻尼装置；</w:t>
            </w:r>
          </w:p>
          <w:p w14:paraId="1096679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4.主立柱地埋深度500mm，扭腰盘立柱地埋深度400mm；</w:t>
            </w:r>
          </w:p>
          <w:p w14:paraId="14F91AF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5.转动部位采用国家标准的轴承，轴承选用6205的深沟球轴承，并采用有效的防水、防尘措施；</w:t>
            </w:r>
          </w:p>
          <w:p w14:paraId="3B1F801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6.三人可同时使用；</w:t>
            </w:r>
          </w:p>
          <w:p w14:paraId="140113C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7.没有衣服、头发钩挂或缠绕危险；</w:t>
            </w:r>
          </w:p>
          <w:p w14:paraId="152A2A3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8.立柱顶部采用外扣式盖帽，避免淋入雨水，预防立柱内部生锈；</w:t>
            </w:r>
          </w:p>
          <w:p w14:paraId="5413719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9.紧固件材质为不锈钢，具有防盗、防锈、防松功能，需专用工具方可拆卸；</w:t>
            </w:r>
          </w:p>
          <w:p w14:paraId="32DC407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10.涂层、橡胶、塑料件有害物质限量应符合GB 19272-2011中5.2.6的要求；</w:t>
            </w:r>
          </w:p>
          <w:p w14:paraId="6BA5176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11.器材安全警示牌有图示方式的安全提示。   </w:t>
            </w:r>
          </w:p>
          <w:p w14:paraId="7457070A">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2772412D">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B5C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9</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32FE">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lang w:val="en-US" w:eastAsia="zh-CN" w:bidi="ar-SA"/>
              </w:rPr>
              <w:t>四位蹬力器(两组双人位）</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8966">
            <w:pPr>
              <w:widowControl/>
              <w:jc w:val="left"/>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产品的主要技术参数：</w:t>
            </w:r>
          </w:p>
          <w:p w14:paraId="3038D5B6">
            <w:pPr>
              <w:widowControl/>
              <w:jc w:val="left"/>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▲1.主立柱规格：φ114×3mm；</w:t>
            </w:r>
          </w:p>
          <w:p w14:paraId="2D933AD4">
            <w:pPr>
              <w:widowControl/>
              <w:jc w:val="left"/>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2.采用内置限位装置，摆臂与主立柱间距大于 230mm，无挤压卡夹危险。</w:t>
            </w:r>
          </w:p>
          <w:p w14:paraId="6D6497F6">
            <w:pPr>
              <w:widowControl/>
              <w:jc w:val="left"/>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val="en-US" w:eastAsia="zh-CN" w:bidi="ar"/>
              </w:rPr>
              <w:t>3</w:t>
            </w:r>
            <w:r>
              <w:rPr>
                <w:rFonts w:hint="eastAsia" w:ascii="宋体" w:hAnsi="宋体" w:eastAsia="宋体" w:cs="宋体"/>
                <w:color w:val="000000"/>
                <w:sz w:val="24"/>
                <w:szCs w:val="24"/>
                <w:highlight w:val="none"/>
                <w:lang w:bidi="ar"/>
              </w:rPr>
              <w:t>.立柱顶部采用钢制封头焊接，防止雨水进入导致生锈。</w:t>
            </w:r>
          </w:p>
          <w:p w14:paraId="52013532">
            <w:pPr>
              <w:widowControl/>
              <w:jc w:val="left"/>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val="en-US" w:eastAsia="zh-CN" w:bidi="ar"/>
              </w:rPr>
              <w:t>4</w:t>
            </w:r>
            <w:r>
              <w:rPr>
                <w:rFonts w:hint="eastAsia" w:ascii="宋体" w:hAnsi="宋体" w:eastAsia="宋体" w:cs="宋体"/>
                <w:color w:val="000000"/>
                <w:sz w:val="24"/>
                <w:szCs w:val="24"/>
                <w:highlight w:val="none"/>
                <w:lang w:bidi="ar"/>
              </w:rPr>
              <w:t>.紧固件材质为不锈钢，具有防盗、防锈、防松功能，需专用工具方可拆卸；</w:t>
            </w:r>
          </w:p>
          <w:p w14:paraId="74991911">
            <w:pPr>
              <w:widowControl/>
              <w:jc w:val="left"/>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val="en-US" w:eastAsia="zh-CN" w:bidi="ar"/>
              </w:rPr>
              <w:t>5</w:t>
            </w:r>
            <w:r>
              <w:rPr>
                <w:rFonts w:hint="eastAsia" w:ascii="宋体" w:hAnsi="宋体" w:eastAsia="宋体" w:cs="宋体"/>
                <w:color w:val="000000"/>
                <w:sz w:val="24"/>
                <w:szCs w:val="24"/>
                <w:highlight w:val="none"/>
                <w:lang w:bidi="ar"/>
              </w:rPr>
              <w:t>.涂层、橡胶、塑料件有害物质限量应符合GB 19272-2011中5.2.6的要求；</w:t>
            </w:r>
          </w:p>
          <w:p w14:paraId="6C170FEE">
            <w:pPr>
              <w:widowControl/>
              <w:jc w:val="left"/>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val="en-US" w:eastAsia="zh-CN" w:bidi="ar"/>
              </w:rPr>
              <w:t>6</w:t>
            </w:r>
            <w:r>
              <w:rPr>
                <w:rFonts w:hint="eastAsia" w:ascii="宋体" w:hAnsi="宋体" w:eastAsia="宋体" w:cs="宋体"/>
                <w:color w:val="000000"/>
                <w:sz w:val="24"/>
                <w:szCs w:val="24"/>
                <w:highlight w:val="none"/>
                <w:lang w:bidi="ar"/>
              </w:rPr>
              <w:t>.器材安全警示牌有图示方式的安全提示</w:t>
            </w:r>
          </w:p>
          <w:p w14:paraId="0A782DE7">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Times New Roman"/>
                <w:b/>
                <w:bCs/>
                <w:sz w:val="24"/>
                <w:szCs w:val="24"/>
                <w:highlight w:val="none"/>
              </w:rPr>
              <w:t>★</w:t>
            </w:r>
            <w:r>
              <w:rPr>
                <w:rFonts w:hint="eastAsia" w:ascii="宋体" w:hAnsi="宋体" w:eastAsia="宋体" w:cs="宋体"/>
                <w:b/>
                <w:bCs/>
                <w:color w:val="000000"/>
                <w:sz w:val="24"/>
                <w:szCs w:val="24"/>
                <w:highlight w:val="none"/>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highlight w:val="none"/>
              </w:rPr>
              <w:t>提供“CMA”或“CNAS”资质检测机构出具的符合GB19272-2011《室外健身器材的安全 通用要求》的检测报告</w:t>
            </w:r>
            <w:r>
              <w:rPr>
                <w:rFonts w:hint="eastAsia" w:ascii="宋体" w:hAnsi="宋体" w:eastAsia="宋体" w:cs="宋体"/>
                <w:b/>
                <w:bCs/>
                <w:color w:val="000000"/>
                <w:sz w:val="24"/>
                <w:szCs w:val="24"/>
                <w:highlight w:val="none"/>
                <w:lang w:bidi="ar"/>
              </w:rPr>
              <w:t>。</w:t>
            </w:r>
          </w:p>
        </w:tc>
      </w:tr>
      <w:tr w14:paraId="0BA6CBA0">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7C0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32D0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双杠</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402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01EF3C57">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▲1.主立柱规格：φ114×3mm；</w:t>
            </w:r>
          </w:p>
          <w:p w14:paraId="128CC16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2.横杠材质为φ42×5mm优质碳素钢，直径大于50mm；</w:t>
            </w:r>
          </w:p>
          <w:p w14:paraId="0D69AF69">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3.地埋深度500mm；</w:t>
            </w:r>
          </w:p>
          <w:p w14:paraId="676D98E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4.立柱顶部高度低于横杠，顶部采用钢制封头焊接，避免淋入雨水；</w:t>
            </w:r>
          </w:p>
          <w:p w14:paraId="2398571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5.没有衣服、头发钩挂或缠绕危险；</w:t>
            </w:r>
          </w:p>
          <w:p w14:paraId="5D677FE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6.紧固件材质为不锈钢，具有防盗、防锈、防松功能，需专用工具方可拆卸；</w:t>
            </w:r>
          </w:p>
          <w:p w14:paraId="1C22546A">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7.涂层、橡胶、塑料件有害物质限量应符合GB 19272-2011中5.2.6的要求；</w:t>
            </w:r>
          </w:p>
          <w:p w14:paraId="65766059">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8.器材安全警示牌有图示方式的安全提示</w:t>
            </w:r>
          </w:p>
          <w:p w14:paraId="652CFBCD">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56D108DC">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4CD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385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乒乓球台</w:t>
            </w: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1A2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2226AD4A">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▲1.支撑柱规格：60×3mm；</w:t>
            </w:r>
          </w:p>
          <w:p w14:paraId="5E2FE486">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2.乒乓球桌面材质为SMC；</w:t>
            </w:r>
          </w:p>
          <w:p w14:paraId="0F4D9D9F">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3.乒乓球桌面规格：2740×1525×50mm；</w:t>
            </w:r>
          </w:p>
          <w:p w14:paraId="4BCE7EC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4.棱边和棱角半径不小于3.0mm；</w:t>
            </w:r>
          </w:p>
          <w:p w14:paraId="77171F3D">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5.紧固件材质为不锈钢，具有防盗、防锈、防松功能，需专用工具方可拆卸；</w:t>
            </w:r>
          </w:p>
          <w:p w14:paraId="60393E4E">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6.涂层、橡胶、塑料件有害物质限量符合GB 19272-2011中5.2.6的要求；</w:t>
            </w:r>
          </w:p>
          <w:p w14:paraId="6D8B1EB8">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7.不存在卡夹，衣服.头发钩挂或缠绕结构；</w:t>
            </w:r>
          </w:p>
          <w:p w14:paraId="2F829B6C">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8.器材安全警示牌有图示方式的安全提示；</w:t>
            </w:r>
          </w:p>
          <w:p w14:paraId="426F1805">
            <w:pPr>
              <w:widowControl/>
              <w:jc w:val="left"/>
              <w:textAlignment w:val="center"/>
              <w:rPr>
                <w:rFonts w:hint="eastAsia" w:ascii="宋体" w:hAnsi="宋体" w:eastAsia="宋体" w:cs="宋体"/>
                <w:color w:val="000000"/>
                <w:sz w:val="24"/>
                <w:szCs w:val="24"/>
              </w:rPr>
            </w:pPr>
            <w:r>
              <w:rPr>
                <w:rFonts w:hint="eastAsia" w:ascii="宋体" w:hAnsi="宋体" w:eastAsia="宋体" w:cs="Times New Roman"/>
                <w:b/>
                <w:bCs/>
                <w:sz w:val="24"/>
                <w:szCs w:val="24"/>
              </w:rPr>
              <w:t>★</w:t>
            </w:r>
            <w:r>
              <w:rPr>
                <w:rFonts w:hint="eastAsia" w:ascii="宋体" w:hAnsi="宋体" w:eastAsia="宋体" w:cs="宋体"/>
                <w:b/>
                <w:bCs/>
                <w:color w:val="000000"/>
                <w:sz w:val="24"/>
                <w:szCs w:val="24"/>
                <w:lang w:bidi="ar"/>
              </w:rPr>
              <w:t>产品符合GB19272-2011《室外健身器材的安全通用要求》标准，通过经国家批准的质量认证机构的产品质量认证并</w:t>
            </w:r>
            <w:r>
              <w:rPr>
                <w:rFonts w:hint="eastAsia" w:ascii="宋体" w:hAnsi="宋体" w:eastAsia="宋体" w:cs="Times New Roman"/>
                <w:b/>
                <w:bCs/>
                <w:sz w:val="24"/>
                <w:szCs w:val="24"/>
              </w:rPr>
              <w:t>提供“CMA”或“CNAS”资质检测机构出具的符合GB19272-2011《室外健身器材的安全 通用要求》的检测报告</w:t>
            </w:r>
            <w:r>
              <w:rPr>
                <w:rFonts w:hint="eastAsia" w:ascii="宋体" w:hAnsi="宋体" w:eastAsia="宋体" w:cs="宋体"/>
                <w:b/>
                <w:bCs/>
                <w:color w:val="000000"/>
                <w:sz w:val="24"/>
                <w:szCs w:val="24"/>
                <w:lang w:bidi="ar"/>
              </w:rPr>
              <w:t>。</w:t>
            </w:r>
          </w:p>
        </w:tc>
      </w:tr>
      <w:tr w14:paraId="316C877D">
        <w:tblPrEx>
          <w:tblCellMar>
            <w:top w:w="0" w:type="dxa"/>
            <w:left w:w="108" w:type="dxa"/>
            <w:bottom w:w="0" w:type="dxa"/>
            <w:right w:w="108" w:type="dxa"/>
          </w:tblCellMar>
        </w:tblPrEx>
        <w:trPr>
          <w:trHeight w:val="23"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A376">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4D2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硅PU面层</w:t>
            </w:r>
          </w:p>
          <w:p w14:paraId="245358D8">
            <w:pPr>
              <w:widowControl/>
              <w:jc w:val="center"/>
              <w:textAlignment w:val="center"/>
              <w:rPr>
                <w:rFonts w:hint="eastAsia" w:ascii="宋体" w:hAnsi="宋体" w:eastAsia="宋体" w:cs="宋体"/>
                <w:color w:val="000000"/>
                <w:sz w:val="24"/>
                <w:szCs w:val="24"/>
                <w:lang w:bidi="ar"/>
              </w:rPr>
            </w:pPr>
          </w:p>
        </w:tc>
        <w:tc>
          <w:tcPr>
            <w:tcW w:w="4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FCB5">
            <w:pPr>
              <w:widowControl/>
              <w:jc w:val="left"/>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产品的主要技术参数：</w:t>
            </w:r>
          </w:p>
          <w:p w14:paraId="166F9053">
            <w:pPr>
              <w:spacing w:line="420" w:lineRule="exact"/>
              <w:jc w:val="left"/>
              <w:rPr>
                <w:rFonts w:hint="eastAsia" w:ascii="宋体" w:hAnsi="宋体" w:eastAsia="宋体" w:cs="宋体"/>
                <w:sz w:val="24"/>
                <w:szCs w:val="24"/>
              </w:rPr>
            </w:pPr>
            <w:r>
              <w:rPr>
                <w:rFonts w:hint="eastAsia" w:ascii="宋体" w:hAnsi="宋体" w:eastAsia="宋体" w:cs="宋体"/>
                <w:sz w:val="24"/>
                <w:szCs w:val="24"/>
              </w:rPr>
              <w:t>▲1、场地要求：</w:t>
            </w:r>
          </w:p>
          <w:p w14:paraId="0127F96A">
            <w:pPr>
              <w:spacing w:line="420" w:lineRule="exact"/>
              <w:jc w:val="left"/>
              <w:rPr>
                <w:rFonts w:hint="eastAsia" w:ascii="宋体" w:hAnsi="宋体" w:eastAsia="宋体" w:cs="宋体"/>
                <w:sz w:val="24"/>
                <w:szCs w:val="24"/>
              </w:rPr>
            </w:pPr>
            <w:r>
              <w:rPr>
                <w:rFonts w:hint="eastAsia" w:ascii="宋体" w:hAnsi="宋体" w:eastAsia="宋体" w:cs="宋体"/>
                <w:sz w:val="24"/>
                <w:szCs w:val="24"/>
              </w:rPr>
              <w:t>（1）场地硅 PU 的面层厚度≈5mm。</w:t>
            </w:r>
          </w:p>
          <w:p w14:paraId="0084DBFE">
            <w:pPr>
              <w:spacing w:line="420" w:lineRule="exact"/>
              <w:jc w:val="left"/>
              <w:rPr>
                <w:rFonts w:hint="eastAsia" w:ascii="宋体" w:hAnsi="宋体" w:eastAsia="宋体" w:cs="宋体"/>
                <w:sz w:val="24"/>
                <w:szCs w:val="24"/>
              </w:rPr>
            </w:pPr>
            <w:r>
              <w:rPr>
                <w:rFonts w:hint="eastAsia" w:ascii="宋体" w:hAnsi="宋体" w:eastAsia="宋体" w:cs="宋体"/>
                <w:sz w:val="24"/>
                <w:szCs w:val="24"/>
              </w:rPr>
              <w:t>（2）篮球场地按最新规则要求用水性划线漆划线。篮球场和辅助区均为蓝色，限制区为红色，线均为白色。</w:t>
            </w:r>
          </w:p>
          <w:p w14:paraId="3FCF8C04">
            <w:pPr>
              <w:spacing w:line="42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2、硅PU材料中液体原材料环保性能指标和面层性能指标须满足 GB36246-2018 要求</w:t>
            </w:r>
          </w:p>
          <w:p w14:paraId="325D105E">
            <w:pPr>
              <w:spacing w:line="420" w:lineRule="exact"/>
              <w:jc w:val="left"/>
              <w:rPr>
                <w:rFonts w:hint="eastAsia" w:ascii="宋体" w:hAnsi="宋体" w:eastAsia="宋体" w:cs="宋体"/>
                <w:sz w:val="24"/>
                <w:szCs w:val="24"/>
              </w:rPr>
            </w:pPr>
            <w:r>
              <w:rPr>
                <w:rFonts w:hint="eastAsia" w:ascii="宋体" w:hAnsi="宋体" w:eastAsia="宋体" w:cs="宋体"/>
                <w:sz w:val="24"/>
                <w:szCs w:val="24"/>
              </w:rPr>
              <w:t>附硅 PU 材料主要指标要求如下：</w:t>
            </w:r>
          </w:p>
          <w:p w14:paraId="1A3C5CDE">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液体原材料环保性能指标（GB36246-2018）</w:t>
            </w:r>
          </w:p>
          <w:tbl>
            <w:tblPr>
              <w:tblStyle w:val="48"/>
              <w:tblW w:w="81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6"/>
              <w:gridCol w:w="6136"/>
              <w:gridCol w:w="1455"/>
            </w:tblGrid>
            <w:tr w14:paraId="52255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7516B79F">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6136" w:type="dxa"/>
                  <w:tcBorders>
                    <w:top w:val="single" w:color="000000" w:sz="4" w:space="0"/>
                    <w:left w:val="single" w:color="000000" w:sz="4" w:space="0"/>
                    <w:bottom w:val="single" w:color="000000" w:sz="4" w:space="0"/>
                    <w:right w:val="single" w:color="000000" w:sz="4" w:space="0"/>
                  </w:tcBorders>
                  <w:vAlign w:val="center"/>
                </w:tcPr>
                <w:p w14:paraId="64C50B75">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1455" w:type="dxa"/>
                  <w:tcBorders>
                    <w:top w:val="single" w:color="000000" w:sz="4" w:space="0"/>
                    <w:left w:val="single" w:color="000000" w:sz="4" w:space="0"/>
                    <w:bottom w:val="single" w:color="000000" w:sz="4" w:space="0"/>
                    <w:right w:val="single" w:color="000000" w:sz="4" w:space="0"/>
                  </w:tcBorders>
                  <w:vAlign w:val="center"/>
                </w:tcPr>
                <w:p w14:paraId="041F1283">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标准要求</w:t>
                  </w:r>
                </w:p>
              </w:tc>
            </w:tr>
            <w:tr w14:paraId="0FF01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529169A2">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6136" w:type="dxa"/>
                  <w:tcBorders>
                    <w:top w:val="single" w:color="000000" w:sz="4" w:space="0"/>
                    <w:left w:val="single" w:color="000000" w:sz="4" w:space="0"/>
                    <w:bottom w:val="single" w:color="000000" w:sz="4" w:space="0"/>
                    <w:right w:val="single" w:color="000000" w:sz="4" w:space="0"/>
                  </w:tcBorders>
                  <w:vAlign w:val="center"/>
                </w:tcPr>
                <w:p w14:paraId="71898EE2">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3种邻苯二甲酸酯类化合物（DBP、BBP、DEHP）总和/（g/kg）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4B325B9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5CF4C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083D044">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6136" w:type="dxa"/>
                  <w:tcBorders>
                    <w:top w:val="single" w:color="000000" w:sz="4" w:space="0"/>
                    <w:left w:val="single" w:color="000000" w:sz="4" w:space="0"/>
                    <w:bottom w:val="single" w:color="000000" w:sz="4" w:space="0"/>
                    <w:right w:val="single" w:color="000000" w:sz="4" w:space="0"/>
                  </w:tcBorders>
                  <w:vAlign w:val="center"/>
                </w:tcPr>
                <w:p w14:paraId="2B468E06">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3种邻苯二甲酸酯类化合物（DNOP、DINP、DIDP）总和/（g/kg）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618C5BAA">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6FC7B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44EAC73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6136" w:type="dxa"/>
                  <w:tcBorders>
                    <w:top w:val="single" w:color="000000" w:sz="4" w:space="0"/>
                    <w:left w:val="single" w:color="000000" w:sz="4" w:space="0"/>
                    <w:bottom w:val="single" w:color="000000" w:sz="4" w:space="0"/>
                    <w:right w:val="single" w:color="000000" w:sz="4" w:space="0"/>
                  </w:tcBorders>
                  <w:vAlign w:val="center"/>
                </w:tcPr>
                <w:p w14:paraId="26CDB29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短链氯化石蜡（C10-C13）/（g/kg）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7434FA81">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≤1.5</w:t>
                  </w:r>
                </w:p>
              </w:tc>
            </w:tr>
            <w:tr w14:paraId="75EB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D7AB6C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6136" w:type="dxa"/>
                  <w:tcBorders>
                    <w:top w:val="single" w:color="000000" w:sz="4" w:space="0"/>
                    <w:left w:val="single" w:color="000000" w:sz="4" w:space="0"/>
                    <w:bottom w:val="single" w:color="000000" w:sz="4" w:space="0"/>
                    <w:right w:val="single" w:color="000000" w:sz="4" w:space="0"/>
                  </w:tcBorders>
                  <w:vAlign w:val="center"/>
                </w:tcPr>
                <w:p w14:paraId="775294E3">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游离甲苯二异氰酸酯（TDI）和游离六亚甲基二异氰酸酯（HDI） 总和/（g/kg）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5601B8D2">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7C12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34219E4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6136" w:type="dxa"/>
                  <w:tcBorders>
                    <w:top w:val="single" w:color="000000" w:sz="4" w:space="0"/>
                    <w:left w:val="single" w:color="000000" w:sz="4" w:space="0"/>
                    <w:bottom w:val="single" w:color="000000" w:sz="4" w:space="0"/>
                    <w:right w:val="single" w:color="000000" w:sz="4" w:space="0"/>
                  </w:tcBorders>
                  <w:vAlign w:val="center"/>
                </w:tcPr>
                <w:p w14:paraId="13D52CA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游离甲醛/（g/kg）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4C919F33">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≤0.5</w:t>
                  </w:r>
                </w:p>
              </w:tc>
            </w:tr>
            <w:tr w14:paraId="1548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244D00F5">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6136" w:type="dxa"/>
                  <w:tcBorders>
                    <w:top w:val="single" w:color="000000" w:sz="4" w:space="0"/>
                    <w:left w:val="single" w:color="000000" w:sz="4" w:space="0"/>
                    <w:bottom w:val="single" w:color="000000" w:sz="4" w:space="0"/>
                    <w:right w:val="single" w:color="000000" w:sz="4" w:space="0"/>
                  </w:tcBorders>
                  <w:vAlign w:val="center"/>
                </w:tcPr>
                <w:p w14:paraId="5EC2B6B2">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苯/（g/kg）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274ACD4F">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≤0.05</w:t>
                  </w:r>
                </w:p>
              </w:tc>
            </w:tr>
            <w:tr w14:paraId="1606E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9D92C45">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6136" w:type="dxa"/>
                  <w:tcBorders>
                    <w:top w:val="single" w:color="000000" w:sz="4" w:space="0"/>
                    <w:left w:val="single" w:color="000000" w:sz="4" w:space="0"/>
                    <w:bottom w:val="single" w:color="000000" w:sz="4" w:space="0"/>
                    <w:right w:val="single" w:color="000000" w:sz="4" w:space="0"/>
                  </w:tcBorders>
                  <w:vAlign w:val="center"/>
                </w:tcPr>
                <w:p w14:paraId="200F047B">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甲苯、二甲苯和乙苯总和/（g/kg）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43F954FD">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7DF66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2A21878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6136" w:type="dxa"/>
                  <w:tcBorders>
                    <w:top w:val="single" w:color="000000" w:sz="4" w:space="0"/>
                    <w:left w:val="single" w:color="000000" w:sz="4" w:space="0"/>
                    <w:bottom w:val="single" w:color="000000" w:sz="4" w:space="0"/>
                    <w:right w:val="single" w:color="000000" w:sz="4" w:space="0"/>
                  </w:tcBorders>
                  <w:vAlign w:val="center"/>
                </w:tcPr>
                <w:p w14:paraId="1992691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可溶性铅/（mg/kg）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3F6C3A1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≤50</w:t>
                  </w:r>
                </w:p>
              </w:tc>
            </w:tr>
            <w:tr w14:paraId="6C2A9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76FB08B1">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6136" w:type="dxa"/>
                  <w:tcBorders>
                    <w:top w:val="single" w:color="000000" w:sz="4" w:space="0"/>
                    <w:left w:val="single" w:color="000000" w:sz="4" w:space="0"/>
                    <w:bottom w:val="single" w:color="000000" w:sz="4" w:space="0"/>
                    <w:right w:val="single" w:color="000000" w:sz="4" w:space="0"/>
                  </w:tcBorders>
                  <w:vAlign w:val="center"/>
                </w:tcPr>
                <w:p w14:paraId="6771D080">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可溶性镉/（mg/kg）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0DBB753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05482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0F6EC78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6136" w:type="dxa"/>
                  <w:tcBorders>
                    <w:top w:val="single" w:color="000000" w:sz="4" w:space="0"/>
                    <w:left w:val="single" w:color="000000" w:sz="4" w:space="0"/>
                    <w:bottom w:val="single" w:color="000000" w:sz="4" w:space="0"/>
                    <w:right w:val="single" w:color="000000" w:sz="4" w:space="0"/>
                  </w:tcBorders>
                  <w:vAlign w:val="center"/>
                </w:tcPr>
                <w:p w14:paraId="4F5DC605">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可溶性铬/（mg/kg）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2C113481">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r>
            <w:tr w14:paraId="6734D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56" w:type="dxa"/>
                  <w:tcBorders>
                    <w:top w:val="single" w:color="000000" w:sz="4" w:space="0"/>
                    <w:left w:val="single" w:color="000000" w:sz="4" w:space="0"/>
                    <w:bottom w:val="single" w:color="000000" w:sz="4" w:space="0"/>
                    <w:right w:val="single" w:color="000000" w:sz="4" w:space="0"/>
                  </w:tcBorders>
                  <w:vAlign w:val="center"/>
                </w:tcPr>
                <w:p w14:paraId="1F7E2DAF">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6136" w:type="dxa"/>
                  <w:tcBorders>
                    <w:top w:val="single" w:color="000000" w:sz="4" w:space="0"/>
                    <w:left w:val="single" w:color="000000" w:sz="4" w:space="0"/>
                    <w:bottom w:val="single" w:color="000000" w:sz="4" w:space="0"/>
                    <w:right w:val="single" w:color="000000" w:sz="4" w:space="0"/>
                  </w:tcBorders>
                  <w:vAlign w:val="center"/>
                </w:tcPr>
                <w:p w14:paraId="53527451">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可溶性汞/（mg/kg）</w:t>
                  </w:r>
                </w:p>
              </w:tc>
              <w:tc>
                <w:tcPr>
                  <w:tcW w:w="1455" w:type="dxa"/>
                  <w:tcBorders>
                    <w:top w:val="single" w:color="000000" w:sz="4" w:space="0"/>
                    <w:left w:val="single" w:color="000000" w:sz="4" w:space="0"/>
                    <w:bottom w:val="single" w:color="000000" w:sz="4" w:space="0"/>
                    <w:right w:val="single" w:color="000000" w:sz="4" w:space="0"/>
                  </w:tcBorders>
                  <w:vAlign w:val="center"/>
                </w:tcPr>
                <w:p w14:paraId="30AC3B3E">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r>
            <w:tr w14:paraId="22A3B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147" w:type="dxa"/>
                  <w:gridSpan w:val="3"/>
                  <w:tcBorders>
                    <w:top w:val="single" w:color="000000" w:sz="4" w:space="0"/>
                    <w:left w:val="single" w:color="000000" w:sz="4" w:space="0"/>
                    <w:bottom w:val="single" w:color="000000" w:sz="4" w:space="0"/>
                    <w:right w:val="single" w:color="000000" w:sz="4" w:space="0"/>
                  </w:tcBorders>
                  <w:vAlign w:val="center"/>
                </w:tcPr>
                <w:p w14:paraId="2CC3110C">
                  <w:pPr>
                    <w:spacing w:line="420" w:lineRule="exact"/>
                    <w:jc w:val="left"/>
                    <w:rPr>
                      <w:rFonts w:hint="eastAsia" w:ascii="宋体" w:hAnsi="宋体" w:eastAsia="宋体" w:cs="宋体"/>
                      <w:sz w:val="24"/>
                      <w:szCs w:val="24"/>
                    </w:rPr>
                  </w:pPr>
                  <w:r>
                    <w:rPr>
                      <w:rFonts w:hint="eastAsia" w:ascii="宋体" w:hAnsi="宋体" w:eastAsia="宋体" w:cs="Times New Roman"/>
                      <w:b/>
                      <w:bCs/>
                      <w:sz w:val="24"/>
                      <w:szCs w:val="24"/>
                      <w:highlight w:val="none"/>
                    </w:rPr>
                    <w:t>★提供“CMA”或“CNAS”资质检测机构出具的的检测报告</w:t>
                  </w:r>
                  <w:r>
                    <w:rPr>
                      <w:rFonts w:hint="eastAsia" w:ascii="宋体" w:hAnsi="宋体" w:eastAsia="宋体" w:cs="宋体"/>
                      <w:b/>
                      <w:bCs/>
                      <w:color w:val="000000"/>
                      <w:sz w:val="24"/>
                      <w:szCs w:val="24"/>
                      <w:highlight w:val="none"/>
                      <w:lang w:bidi="ar"/>
                    </w:rPr>
                    <w:t>。</w:t>
                  </w:r>
                </w:p>
              </w:tc>
            </w:tr>
          </w:tbl>
          <w:p w14:paraId="4CF4F7E1">
            <w:pPr>
              <w:widowControl/>
              <w:jc w:val="left"/>
              <w:textAlignment w:val="center"/>
              <w:rPr>
                <w:rFonts w:hint="eastAsia" w:ascii="宋体" w:hAnsi="宋体" w:eastAsia="宋体" w:cs="Times New Roman"/>
                <w:b/>
                <w:bCs/>
                <w:sz w:val="24"/>
                <w:szCs w:val="24"/>
              </w:rPr>
            </w:pPr>
          </w:p>
        </w:tc>
      </w:tr>
    </w:tbl>
    <w:p w14:paraId="1C14BB29">
      <w:pPr>
        <w:pStyle w:val="24"/>
        <w:rPr>
          <w:b/>
          <w:bCs/>
          <w:sz w:val="24"/>
          <w:szCs w:val="24"/>
        </w:rPr>
      </w:pPr>
      <w:r>
        <w:rPr>
          <w:rFonts w:hint="eastAsia"/>
          <w:b/>
          <w:bCs/>
          <w:sz w:val="24"/>
          <w:szCs w:val="24"/>
        </w:rPr>
        <w:t>注：本项目4处篮球场分别是新浦街道龙苑社区爱家路篮球场695.8㎡、新浦街道浦东社区蓝天华侨城篮球场640㎡、宁海街道篮球场561.1㎡和锦屏镇中山社区文体广场569.319㎡。4处场地需先进行基础地面处理后再铺设新的硅PU面层，其中宁海街道篮球场原场地地势较低雨天产生积水，必须用C25混凝土加高至少10cm以上。投标报价应包含基础地面处理费用不单列，请投标人注意并自行考察场地。</w:t>
      </w:r>
    </w:p>
    <w:bookmarkEnd w:id="27"/>
    <w:bookmarkEnd w:id="28"/>
    <w:p w14:paraId="7DA22091">
      <w:pPr>
        <w:pStyle w:val="238"/>
        <w:spacing w:line="360" w:lineRule="auto"/>
        <w:outlineLvl w:val="1"/>
        <w:rPr>
          <w:rFonts w:ascii="Times New Roman" w:hAnsi="Times New Roman"/>
          <w:b/>
          <w:color w:val="auto"/>
          <w:sz w:val="28"/>
          <w:szCs w:val="28"/>
        </w:rPr>
      </w:pPr>
      <w:bookmarkStart w:id="29" w:name="_Toc513622231"/>
      <w:bookmarkStart w:id="30" w:name="_Toc139967217"/>
      <w:bookmarkStart w:id="31" w:name="_Toc139966433"/>
      <w:r>
        <w:rPr>
          <w:rFonts w:hint="eastAsia" w:ascii="Times New Roman" w:hAnsi="Times New Roman"/>
          <w:b/>
          <w:color w:val="auto"/>
          <w:sz w:val="28"/>
          <w:szCs w:val="28"/>
        </w:rPr>
        <w:t>四、</w:t>
      </w:r>
      <w:r>
        <w:rPr>
          <w:rFonts w:ascii="Times New Roman" w:hAnsi="Times New Roman"/>
          <w:b/>
          <w:color w:val="auto"/>
          <w:sz w:val="28"/>
          <w:szCs w:val="28"/>
        </w:rPr>
        <w:t>供货要求</w:t>
      </w:r>
    </w:p>
    <w:p w14:paraId="3F3C612E">
      <w:pPr>
        <w:spacing w:line="360" w:lineRule="auto"/>
        <w:ind w:firstLine="480" w:firstLineChars="200"/>
        <w:rPr>
          <w:sz w:val="24"/>
        </w:rPr>
      </w:pPr>
      <w:r>
        <w:rPr>
          <w:rFonts w:hint="eastAsia"/>
          <w:sz w:val="24"/>
        </w:rPr>
        <w:t>按合同要求供货。中标人提供的必须是全新、原包装（包括部件）的货物，货物必须符合国家检测标准以及该产品的出厂标准。如发生所供货物与合同不符、厂商登记货物所有人与采购人不符或者提供的货物属假冒伪劣产品，采购人有权不予验收，由此产生的一切责任和后果由中标人承担。</w:t>
      </w:r>
    </w:p>
    <w:p w14:paraId="5959C16A">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五、</w:t>
      </w:r>
      <w:r>
        <w:rPr>
          <w:rFonts w:ascii="Times New Roman" w:hAnsi="Times New Roman"/>
          <w:b/>
          <w:color w:val="auto"/>
          <w:sz w:val="28"/>
          <w:szCs w:val="28"/>
        </w:rPr>
        <w:t>安装调试要求</w:t>
      </w:r>
    </w:p>
    <w:p w14:paraId="6303A4A9">
      <w:pPr>
        <w:spacing w:line="360" w:lineRule="auto"/>
        <w:ind w:firstLine="480" w:firstLineChars="200"/>
        <w:jc w:val="left"/>
        <w:rPr>
          <w:sz w:val="24"/>
        </w:rPr>
      </w:pPr>
      <w:r>
        <w:rPr>
          <w:rFonts w:hint="eastAsia"/>
          <w:sz w:val="24"/>
        </w:rPr>
        <w:t>1、包装、运输、安装及调试：货物发运前对其进行满足运输距离、防潮、防震、防锈和防破损装卸等要求包装，以保证货物安全运达指定地点；使用说明书、质量检验证明书、随配附件和工具以及清单一并附于货物内；中标人应派技术人员到场安装、调试至正常使用。</w:t>
      </w:r>
    </w:p>
    <w:p w14:paraId="621D2B00">
      <w:pPr>
        <w:spacing w:line="360" w:lineRule="auto"/>
        <w:ind w:firstLine="480" w:firstLineChars="200"/>
      </w:pPr>
      <w:r>
        <w:rPr>
          <w:rFonts w:hint="eastAsia" w:ascii="宋体"/>
          <w:sz w:val="24"/>
        </w:rPr>
        <w:t>2、施工前，采购人有权检查中标人对其施工人员进行的安全进场教育及施工中有关安全、应急和急救等要求的培训情况。</w:t>
      </w:r>
    </w:p>
    <w:p w14:paraId="7480D930">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六、国家或行业相关规范标准</w:t>
      </w:r>
    </w:p>
    <w:p w14:paraId="544E6D83">
      <w:pPr>
        <w:spacing w:line="360" w:lineRule="auto"/>
        <w:ind w:firstLine="480" w:firstLineChars="200"/>
        <w:rPr>
          <w:rFonts w:hint="eastAsia" w:ascii="宋体" w:hAnsi="宋体" w:cs="宋体"/>
          <w:sz w:val="24"/>
        </w:rPr>
      </w:pPr>
      <w:r>
        <w:rPr>
          <w:rFonts w:hint="eastAsia" w:ascii="宋体" w:hAnsi="宋体" w:cs="宋体"/>
          <w:sz w:val="24"/>
        </w:rPr>
        <w:t>1、提供的健身器材必须符合GB 19272-2011《室外健身器材的安全通用要求》。</w:t>
      </w:r>
    </w:p>
    <w:p w14:paraId="5D5AAA82">
      <w:pPr>
        <w:spacing w:line="360" w:lineRule="auto"/>
        <w:ind w:firstLine="480" w:firstLineChars="200"/>
        <w:rPr>
          <w:rFonts w:hint="eastAsia" w:ascii="宋体" w:hAnsi="宋体" w:cs="宋体"/>
          <w:sz w:val="24"/>
        </w:rPr>
      </w:pPr>
      <w:r>
        <w:rPr>
          <w:rFonts w:hint="eastAsia" w:ascii="宋体" w:hAnsi="宋体" w:cs="宋体"/>
          <w:sz w:val="24"/>
        </w:rPr>
        <w:t>2、每件器材铭牌上须钢印标明“中国体育彩票”和出厂年月。</w:t>
      </w:r>
    </w:p>
    <w:p w14:paraId="68700DA0">
      <w:pPr>
        <w:spacing w:line="360" w:lineRule="auto"/>
        <w:ind w:firstLine="480" w:firstLineChars="200"/>
      </w:pPr>
      <w:r>
        <w:rPr>
          <w:rFonts w:hint="eastAsia" w:ascii="宋体" w:hAnsi="宋体" w:cs="宋体"/>
          <w:sz w:val="24"/>
        </w:rPr>
        <w:t>3、</w:t>
      </w:r>
      <w:r>
        <w:rPr>
          <w:rFonts w:hint="eastAsia" w:ascii="宋体" w:hAnsi="宋体" w:cs="宋体"/>
          <w:sz w:val="24"/>
          <w:lang w:val="zh-CN"/>
        </w:rPr>
        <w:t>应通过省全民健身设施管理维护信息平台申请全省统一的健身站点和器材编</w:t>
      </w:r>
      <w:r>
        <w:rPr>
          <w:rFonts w:hint="eastAsia" w:ascii="宋体"/>
          <w:sz w:val="24"/>
          <w:lang w:val="zh-CN"/>
        </w:rPr>
        <w:t>码，要求器材供应商将站点编码标识印制在告示牌上，器材编码标识印制在器材标签上。在安装器材时，应按全省室外全民健身设施管护专项治理工作相关要求，同步将站点和器材详细信息按要求录入省全民健身设施管理维护信息平台，并激活编码。</w:t>
      </w:r>
    </w:p>
    <w:p w14:paraId="42F45FB5">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七、履约验收要求</w:t>
      </w:r>
    </w:p>
    <w:p w14:paraId="5B8A9450">
      <w:pPr>
        <w:spacing w:line="360" w:lineRule="auto"/>
        <w:ind w:firstLine="480" w:firstLineChars="200"/>
        <w:rPr>
          <w:rFonts w:ascii="宋体"/>
          <w:sz w:val="24"/>
        </w:rPr>
      </w:pPr>
      <w:r>
        <w:rPr>
          <w:rFonts w:hint="eastAsia" w:ascii="宋体"/>
          <w:sz w:val="24"/>
        </w:rPr>
        <w:t>1.器材安装完毕后，委托国家认可的质量检测机构，按国家有关规定、规范及GB 19272-2011《室外健身器材的安全通用要求》和GB36246-2018等有关规定进行验收，对器材安装进行合格验收并出具安装验收报告。因货物质量问题发生争议时，由本地质量技术监督部门鉴定。货物符合质量技术标准的，鉴定费由采购人承担；否则鉴定费由中标人承担。</w:t>
      </w:r>
    </w:p>
    <w:p w14:paraId="13FF33BE">
      <w:pPr>
        <w:spacing w:line="360" w:lineRule="auto"/>
        <w:ind w:firstLine="480" w:firstLineChars="200"/>
        <w:rPr>
          <w:rFonts w:ascii="宋体" w:cs="宋体"/>
          <w:sz w:val="24"/>
        </w:rPr>
      </w:pPr>
      <w:r>
        <w:rPr>
          <w:rFonts w:hint="eastAsia" w:ascii="宋体"/>
          <w:sz w:val="24"/>
        </w:rPr>
        <w:t>2.</w:t>
      </w:r>
      <w:r>
        <w:rPr>
          <w:rFonts w:hint="eastAsia" w:ascii="宋体" w:cs="宋体"/>
          <w:sz w:val="24"/>
        </w:rPr>
        <w:t>采购人对提交的货物依据招标文件上的技术规格要求和国家有关质量标准进行现场初步验收，外观、说明书符合招标文件技术要求的，给予签收，初步验收不合格的不予签收并可立即要求退换。货到后，采购人需在五个工作日内验收。在采购人将所有的货物按招标文件要求和国家标准或行业标准进行检测验收后，发现有其他非故意的损坏或质量问题的，由中标供应商立即予以更换，不得拒绝和延误。</w:t>
      </w:r>
    </w:p>
    <w:p w14:paraId="371B9F46">
      <w:pPr>
        <w:spacing w:line="360" w:lineRule="auto"/>
        <w:ind w:firstLine="480" w:firstLineChars="200"/>
        <w:rPr>
          <w:rFonts w:ascii="宋体" w:cs="宋体"/>
          <w:sz w:val="24"/>
        </w:rPr>
      </w:pPr>
      <w:r>
        <w:rPr>
          <w:rFonts w:hint="eastAsia" w:ascii="宋体" w:cs="宋体"/>
          <w:sz w:val="24"/>
        </w:rPr>
        <w:t>3.交货前应对产品作出全面检查和对验收文件进行整理，并列出清单，作为采购人收货验收和使用的技术条件依据，检验的结果应随货物交采购人。</w:t>
      </w:r>
    </w:p>
    <w:p w14:paraId="4DCF02B1">
      <w:pPr>
        <w:spacing w:line="360" w:lineRule="auto"/>
        <w:ind w:firstLine="480" w:firstLineChars="200"/>
        <w:rPr>
          <w:rFonts w:ascii="宋体" w:cs="宋体"/>
          <w:sz w:val="24"/>
        </w:rPr>
      </w:pPr>
      <w:r>
        <w:rPr>
          <w:rFonts w:hint="eastAsia" w:ascii="宋体" w:cs="宋体"/>
          <w:sz w:val="24"/>
        </w:rPr>
        <w:t>4.采购人对提供的货物在使用前进行调试时，中标人需负责安装并培训采购方的使用操作人员，并协助采购人一起调试，直到符合技术要求，采购人才做最终验收。</w:t>
      </w:r>
    </w:p>
    <w:p w14:paraId="4F49C37C">
      <w:pPr>
        <w:spacing w:line="360" w:lineRule="auto"/>
        <w:ind w:firstLine="480" w:firstLineChars="200"/>
        <w:rPr>
          <w:rFonts w:ascii="宋体" w:cs="宋体"/>
          <w:sz w:val="24"/>
        </w:rPr>
      </w:pPr>
      <w:r>
        <w:rPr>
          <w:rFonts w:hint="eastAsia" w:ascii="宋体" w:cs="宋体"/>
          <w:sz w:val="24"/>
        </w:rPr>
        <w:t>5.验收时中标人必须在现场，验收完毕后出具验收结果报告；安装调试费用由中标供应商负责。</w:t>
      </w:r>
    </w:p>
    <w:p w14:paraId="5F1E528D">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八、培训要求</w:t>
      </w:r>
    </w:p>
    <w:p w14:paraId="327B0744">
      <w:pPr>
        <w:spacing w:line="360" w:lineRule="auto"/>
        <w:ind w:firstLine="480" w:firstLineChars="200"/>
        <w:rPr>
          <w:sz w:val="24"/>
        </w:rPr>
      </w:pPr>
      <w:r>
        <w:rPr>
          <w:rFonts w:hint="eastAsia" w:ascii="宋体"/>
          <w:sz w:val="24"/>
        </w:rPr>
        <w:t>设备安装、调试结束后，中标人应立即派有经验的工程师对采购人单位人员进行操作和日常管理的培训，并确保采购人单位参与培训的人员能独立、熟练地进行操作。</w:t>
      </w:r>
    </w:p>
    <w:p w14:paraId="36D3C6F6">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九、售后服务要求</w:t>
      </w:r>
    </w:p>
    <w:p w14:paraId="6B56A758">
      <w:pPr>
        <w:spacing w:line="360" w:lineRule="auto"/>
        <w:ind w:firstLine="480" w:firstLineChars="200"/>
        <w:rPr>
          <w:sz w:val="24"/>
        </w:rPr>
      </w:pPr>
      <w:r>
        <w:rPr>
          <w:rFonts w:hint="eastAsia"/>
          <w:sz w:val="24"/>
        </w:rPr>
        <w:t>1、在质保期内，中标人需为所供设备提供免费维护、保养和免费更换损坏的和有缺陷的零部件。</w:t>
      </w:r>
    </w:p>
    <w:p w14:paraId="6CE28A0D">
      <w:pPr>
        <w:spacing w:line="360" w:lineRule="auto"/>
        <w:ind w:firstLine="480" w:firstLineChars="200"/>
        <w:rPr>
          <w:sz w:val="24"/>
        </w:rPr>
      </w:pPr>
      <w:r>
        <w:rPr>
          <w:rFonts w:hint="eastAsia"/>
          <w:sz w:val="24"/>
        </w:rPr>
        <w:t>2、器材出现问题时在2小时内予以回应，在质量保修期内设备发生故障必须在得到通知后12小时内派人到现场解决。</w:t>
      </w:r>
    </w:p>
    <w:p w14:paraId="7AE5DEE8">
      <w:pPr>
        <w:pStyle w:val="238"/>
        <w:spacing w:line="360" w:lineRule="auto"/>
        <w:ind w:firstLine="480" w:firstLineChars="200"/>
        <w:rPr>
          <w:rFonts w:ascii="Times New Roman" w:hAnsi="Times New Roman"/>
          <w:color w:val="auto"/>
          <w:sz w:val="24"/>
        </w:rPr>
      </w:pPr>
      <w:r>
        <w:rPr>
          <w:rFonts w:hint="eastAsia" w:ascii="Times New Roman" w:hAnsi="Times New Roman"/>
          <w:color w:val="auto"/>
          <w:sz w:val="24"/>
        </w:rPr>
        <w:t>3、中标人负责每年对所供设备进行2次检查维护巡检服务，对异常情况及时跟进解决，并形成巡检报告报采购人审核。</w:t>
      </w:r>
    </w:p>
    <w:p w14:paraId="71071B68">
      <w:pPr>
        <w:pStyle w:val="238"/>
        <w:spacing w:line="360" w:lineRule="auto"/>
        <w:ind w:firstLine="480" w:firstLineChars="200"/>
        <w:rPr>
          <w:rFonts w:ascii="Times New Roman" w:hAnsi="Times New Roman"/>
          <w:color w:val="auto"/>
          <w:sz w:val="24"/>
        </w:rPr>
      </w:pPr>
      <w:r>
        <w:rPr>
          <w:rFonts w:hint="eastAsia" w:ascii="Times New Roman" w:hAnsi="Times New Roman"/>
          <w:color w:val="auto"/>
          <w:sz w:val="24"/>
        </w:rPr>
        <w:t>4、本项目须提供一名专业的售后服务人员，定期检查器材使用情况，质保期内因货物本身的质量问题发生故障，及时负责免费更换。</w:t>
      </w:r>
    </w:p>
    <w:p w14:paraId="79D47E5E">
      <w:pPr>
        <w:pStyle w:val="238"/>
        <w:spacing w:line="360" w:lineRule="auto"/>
        <w:ind w:firstLine="480" w:firstLineChars="200"/>
        <w:rPr>
          <w:rFonts w:ascii="Times New Roman" w:hAnsi="Times New Roman"/>
          <w:color w:val="auto"/>
          <w:sz w:val="24"/>
        </w:rPr>
      </w:pPr>
      <w:r>
        <w:rPr>
          <w:rFonts w:hint="eastAsia" w:ascii="Times New Roman" w:hAnsi="Times New Roman"/>
          <w:color w:val="auto"/>
          <w:sz w:val="24"/>
        </w:rPr>
        <w:t>5、保险：</w:t>
      </w:r>
      <w:r>
        <w:rPr>
          <w:rFonts w:hint="eastAsia" w:ascii="Times New Roman" w:hAnsi="Times New Roman"/>
          <w:bCs/>
          <w:color w:val="auto"/>
          <w:sz w:val="24"/>
        </w:rPr>
        <w:t>投标人所投产品具有产品质量险和第三者责任险等保险</w:t>
      </w:r>
      <w:r>
        <w:rPr>
          <w:rFonts w:hint="eastAsia" w:ascii="Times New Roman" w:hAnsi="Times New Roman"/>
          <w:color w:val="auto"/>
          <w:sz w:val="24"/>
        </w:rPr>
        <w:t>。</w:t>
      </w:r>
    </w:p>
    <w:p w14:paraId="5BE2BA28">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十、投标报价要求</w:t>
      </w:r>
    </w:p>
    <w:p w14:paraId="487885C3">
      <w:pPr>
        <w:pStyle w:val="238"/>
        <w:spacing w:line="360" w:lineRule="auto"/>
        <w:ind w:firstLine="480" w:firstLineChars="200"/>
        <w:rPr>
          <w:rFonts w:ascii="Times New Roman" w:hAnsi="Times New Roman"/>
          <w:color w:val="auto"/>
          <w:sz w:val="24"/>
        </w:rPr>
      </w:pPr>
      <w:r>
        <w:rPr>
          <w:rFonts w:hint="eastAsia"/>
          <w:color w:val="auto"/>
          <w:sz w:val="24"/>
        </w:rPr>
        <w:t>投标报价须包含但不限于全部设备、材料备品备件、包装费、运杂费（运抵现场）、卸货费、现场保管费、运输保险费、成品保护费、总包配合费、安装费、调试费、售后服务、有关部门验收费用、各项有关规费和政策性规定费用及投标人确认为需要的其它费用等，直至交付至采购人使用时所需要的各种费用（包含所有隐含的内容）。投标人应采用分项报价最终汇总的方式进行，标明拟提供货物和服务的单价和总价，详细分析各项费用组成。</w:t>
      </w:r>
    </w:p>
    <w:p w14:paraId="0AECBD49">
      <w:pPr>
        <w:pStyle w:val="238"/>
        <w:spacing w:line="360" w:lineRule="auto"/>
        <w:ind w:firstLine="562" w:firstLineChars="200"/>
        <w:outlineLvl w:val="1"/>
        <w:rPr>
          <w:rFonts w:ascii="Times New Roman" w:hAnsi="Times New Roman"/>
          <w:b/>
          <w:color w:val="auto"/>
          <w:sz w:val="28"/>
          <w:szCs w:val="28"/>
        </w:rPr>
      </w:pPr>
      <w:r>
        <w:rPr>
          <w:rFonts w:hint="eastAsia" w:ascii="Times New Roman" w:hAnsi="Times New Roman"/>
          <w:b/>
          <w:color w:val="auto"/>
          <w:sz w:val="28"/>
          <w:szCs w:val="28"/>
        </w:rPr>
        <w:t>十一、其他</w:t>
      </w:r>
    </w:p>
    <w:p w14:paraId="35D45E91">
      <w:pPr>
        <w:spacing w:line="360" w:lineRule="auto"/>
        <w:ind w:firstLine="480" w:firstLineChars="200"/>
        <w:jc w:val="left"/>
        <w:rPr>
          <w:rFonts w:hint="eastAsia" w:ascii="宋体" w:hAnsi="宋体"/>
          <w:sz w:val="24"/>
        </w:rPr>
      </w:pPr>
      <w:r>
        <w:rPr>
          <w:rFonts w:hint="eastAsia" w:ascii="宋体" w:hAnsi="宋体"/>
          <w:sz w:val="24"/>
        </w:rPr>
        <w:t>工作中涉及的敏感资料、电子数据等相关信息，中标供应商应严格执行保密的相关规定，不得以任何方式向任何第三人披露、泄露或许可第三人使用，否则追究其相应法律责任。</w:t>
      </w:r>
    </w:p>
    <w:p w14:paraId="3229D47F">
      <w:pPr>
        <w:pStyle w:val="3"/>
        <w:rPr>
          <w:rFonts w:ascii="宋体" w:hAnsi="宋体"/>
          <w:sz w:val="24"/>
        </w:rPr>
      </w:pPr>
    </w:p>
    <w:p w14:paraId="0E7F6D36">
      <w:pPr>
        <w:rPr>
          <w:rFonts w:hint="eastAsia" w:ascii="宋体" w:hAnsi="宋体"/>
          <w:sz w:val="24"/>
        </w:rPr>
      </w:pPr>
    </w:p>
    <w:p w14:paraId="6F58D53A">
      <w:pPr>
        <w:pStyle w:val="3"/>
        <w:rPr>
          <w:rFonts w:ascii="宋体" w:hAnsi="宋体"/>
          <w:sz w:val="24"/>
        </w:rPr>
      </w:pPr>
    </w:p>
    <w:p w14:paraId="7F6D8AF3">
      <w:pPr>
        <w:rPr>
          <w:rFonts w:hint="eastAsia" w:ascii="宋体" w:hAnsi="宋体"/>
          <w:sz w:val="24"/>
        </w:rPr>
      </w:pPr>
    </w:p>
    <w:p w14:paraId="3C7ABBB7">
      <w:pPr>
        <w:pStyle w:val="3"/>
        <w:rPr>
          <w:rFonts w:ascii="宋体" w:hAnsi="宋体"/>
          <w:sz w:val="24"/>
        </w:rPr>
      </w:pPr>
    </w:p>
    <w:p w14:paraId="49846D2E">
      <w:pPr>
        <w:rPr>
          <w:rFonts w:hint="eastAsia" w:ascii="宋体" w:hAnsi="宋体"/>
          <w:sz w:val="24"/>
        </w:rPr>
      </w:pPr>
    </w:p>
    <w:p w14:paraId="50E5B9B5">
      <w:pPr>
        <w:pStyle w:val="3"/>
      </w:pPr>
    </w:p>
    <w:p w14:paraId="7CD82ED1">
      <w:pPr>
        <w:rPr>
          <w:rFonts w:hint="eastAsia" w:ascii="宋体" w:hAnsi="宋体"/>
          <w:sz w:val="24"/>
        </w:rPr>
      </w:pPr>
    </w:p>
    <w:p w14:paraId="71611BCD">
      <w:pPr>
        <w:keepNext/>
        <w:keepLines/>
        <w:spacing w:line="360" w:lineRule="auto"/>
        <w:ind w:firstLine="422"/>
        <w:jc w:val="center"/>
        <w:outlineLvl w:val="0"/>
        <w:rPr>
          <w:rFonts w:hint="eastAsia" w:ascii="Times New Roman" w:hAnsi="宋体" w:eastAsia="黑体" w:cs="Times New Roman"/>
          <w:sz w:val="36"/>
          <w:szCs w:val="20"/>
        </w:rPr>
      </w:pPr>
      <w:bookmarkStart w:id="32" w:name="_Toc4033"/>
      <w:r>
        <w:rPr>
          <w:rFonts w:hint="eastAsia" w:ascii="Times New Roman" w:hAnsi="宋体" w:eastAsia="黑体" w:cs="Times New Roman"/>
          <w:sz w:val="36"/>
          <w:szCs w:val="20"/>
        </w:rPr>
        <w:t>第七章  评标办法</w:t>
      </w:r>
      <w:bookmarkEnd w:id="29"/>
      <w:bookmarkEnd w:id="32"/>
    </w:p>
    <w:p w14:paraId="4E17248F">
      <w:pPr>
        <w:spacing w:line="360"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一、</w:t>
      </w:r>
      <w:r>
        <w:rPr>
          <w:rFonts w:hint="eastAsia" w:ascii="宋体" w:hAnsi="宋体" w:eastAsia="宋体" w:cs="Times New Roman"/>
          <w:b/>
          <w:bCs/>
          <w:sz w:val="24"/>
          <w:szCs w:val="24"/>
        </w:rPr>
        <w:t>评标委员会构成</w:t>
      </w:r>
      <w:r>
        <w:rPr>
          <w:rFonts w:hint="eastAsia" w:ascii="宋体" w:hAnsi="宋体" w:eastAsia="宋体" w:cs="Times New Roman"/>
          <w:b/>
          <w:sz w:val="24"/>
          <w:szCs w:val="24"/>
        </w:rPr>
        <w:t>：</w:t>
      </w:r>
    </w:p>
    <w:p w14:paraId="65C2809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本采购项目评标委员会的评委由采购人代表和评审专家组成。</w:t>
      </w:r>
    </w:p>
    <w:p w14:paraId="148E33A9">
      <w:pPr>
        <w:spacing w:line="360" w:lineRule="auto"/>
        <w:ind w:firstLine="482"/>
        <w:rPr>
          <w:rFonts w:hint="eastAsia" w:ascii="宋体" w:hAnsi="宋体" w:eastAsia="宋体" w:cs="Times New Roman"/>
          <w:sz w:val="24"/>
          <w:szCs w:val="24"/>
        </w:rPr>
      </w:pPr>
      <w:r>
        <w:rPr>
          <w:rFonts w:hint="eastAsia" w:ascii="宋体" w:hAnsi="宋体" w:eastAsia="宋体" w:cs="Times New Roman"/>
          <w:b/>
          <w:sz w:val="24"/>
          <w:szCs w:val="24"/>
        </w:rPr>
        <w:t>二、</w:t>
      </w:r>
      <w:r>
        <w:rPr>
          <w:rFonts w:hint="eastAsia" w:ascii="宋体" w:hAnsi="宋体" w:eastAsia="宋体" w:cs="Times New Roman"/>
          <w:b/>
          <w:bCs/>
          <w:sz w:val="24"/>
          <w:szCs w:val="24"/>
        </w:rPr>
        <w:t>评标方法</w:t>
      </w:r>
      <w:r>
        <w:rPr>
          <w:rFonts w:hint="eastAsia" w:ascii="宋体" w:hAnsi="宋体" w:eastAsia="宋体" w:cs="Times New Roman"/>
          <w:b/>
          <w:sz w:val="24"/>
          <w:szCs w:val="24"/>
        </w:rPr>
        <w:t>：</w:t>
      </w:r>
    </w:p>
    <w:p w14:paraId="2225CC46">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本项目评标方法采用综合评分法。综合评分法，是指投标文件满足招标文件全部实质性要求，且按照评审因素的量化指标评审得分最高的投标人为中标候选人的评标方法。</w:t>
      </w:r>
    </w:p>
    <w:p w14:paraId="1207945F">
      <w:pPr>
        <w:spacing w:line="360"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三、</w:t>
      </w:r>
      <w:r>
        <w:rPr>
          <w:rFonts w:hint="eastAsia" w:ascii="宋体" w:hAnsi="宋体" w:eastAsia="宋体" w:cs="Times New Roman"/>
          <w:b/>
          <w:bCs/>
          <w:sz w:val="24"/>
          <w:szCs w:val="24"/>
        </w:rPr>
        <w:t>评标原则</w:t>
      </w:r>
      <w:r>
        <w:rPr>
          <w:rFonts w:hint="eastAsia" w:ascii="宋体" w:hAnsi="宋体" w:eastAsia="宋体" w:cs="Times New Roman"/>
          <w:b/>
          <w:sz w:val="24"/>
          <w:szCs w:val="24"/>
        </w:rPr>
        <w:t>：</w:t>
      </w:r>
    </w:p>
    <w:p w14:paraId="6B787D69">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评标委员会必须公平、公正、客观，不带任何倾向性和启发性；不得向外界透露任何与评标有关的内容；任何单位和个人不得干扰、影响评标的正常进行；评标委员会及有关工作人员不得私下与供应商接触。</w:t>
      </w:r>
    </w:p>
    <w:p w14:paraId="759C44FB">
      <w:pPr>
        <w:spacing w:line="360"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四、</w:t>
      </w:r>
      <w:r>
        <w:rPr>
          <w:rFonts w:hint="eastAsia" w:ascii="宋体" w:hAnsi="宋体" w:eastAsia="宋体" w:cs="Times New Roman"/>
          <w:b/>
          <w:bCs/>
          <w:sz w:val="24"/>
          <w:szCs w:val="24"/>
        </w:rPr>
        <w:t>评标标准</w:t>
      </w:r>
      <w:r>
        <w:rPr>
          <w:rFonts w:hint="eastAsia" w:ascii="宋体" w:hAnsi="宋体" w:eastAsia="宋体" w:cs="Times New Roman"/>
          <w:b/>
          <w:sz w:val="24"/>
          <w:szCs w:val="24"/>
        </w:rPr>
        <w:t>：</w:t>
      </w:r>
    </w:p>
    <w:p w14:paraId="7FDF42B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（一）评标时，评标委员会以招标文件为评标依据，评标委员会各成员独立对每个投标人的投标文件进行评价，并汇总每个投标人的得分。</w:t>
      </w:r>
    </w:p>
    <w:p w14:paraId="2AED15C4">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（二）本项目评分总分为100分，按四舍五入取至小数点后两位。</w:t>
      </w:r>
    </w:p>
    <w:p w14:paraId="5B4C0F40">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 xml:space="preserve">（三）总得分 =价格分 + 商务技术分 </w:t>
      </w:r>
    </w:p>
    <w:p w14:paraId="71DA9BAB">
      <w:pPr>
        <w:spacing w:line="360" w:lineRule="auto"/>
        <w:ind w:firstLine="480"/>
        <w:rPr>
          <w:rFonts w:ascii="Times New Roman" w:hAnsi="Times New Roman" w:eastAsia="宋体" w:cs="Times New Roman"/>
          <w:sz w:val="24"/>
          <w:szCs w:val="24"/>
        </w:rPr>
      </w:pPr>
      <w:r>
        <w:rPr>
          <w:rFonts w:hint="eastAsia" w:ascii="宋体" w:hAnsi="宋体" w:eastAsia="宋体" w:cs="Times New Roman"/>
          <w:sz w:val="24"/>
          <w:szCs w:val="24"/>
        </w:rPr>
        <w:t>（四）中标标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87DB53">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center"/>
        <w:rPr>
          <w:rFonts w:hint="eastAsia" w:ascii="宋体" w:hAnsi="宋体" w:eastAsia="宋体" w:cs="Times New Roman"/>
          <w:b/>
          <w:sz w:val="24"/>
          <w:szCs w:val="24"/>
        </w:rPr>
      </w:pPr>
      <w:r>
        <w:rPr>
          <w:rFonts w:hint="eastAsia" w:ascii="宋体" w:hAnsi="宋体" w:eastAsia="宋体" w:cs="Times New Roman"/>
          <w:b/>
          <w:sz w:val="24"/>
          <w:szCs w:val="24"/>
        </w:rPr>
        <w:t>综合评分法</w:t>
      </w:r>
    </w:p>
    <w:p w14:paraId="616FC7D8">
      <w:pPr>
        <w:spacing w:line="360" w:lineRule="auto"/>
        <w:ind w:firstLine="482"/>
        <w:rPr>
          <w:rFonts w:ascii="宋体" w:hAnsi="Times New Roman" w:eastAsia="宋体" w:cs="Times New Roman"/>
          <w:b/>
          <w:sz w:val="24"/>
          <w:szCs w:val="24"/>
        </w:rPr>
      </w:pPr>
      <w:r>
        <w:rPr>
          <w:rFonts w:hint="eastAsia" w:ascii="宋体" w:hAnsi="Times New Roman" w:eastAsia="宋体" w:cs="Times New Roman"/>
          <w:b/>
          <w:sz w:val="24"/>
          <w:szCs w:val="24"/>
        </w:rPr>
        <w:t>1.价格分（30分）</w:t>
      </w:r>
    </w:p>
    <w:p w14:paraId="19F2CCE7">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采用低价优先法计算，即满足招标文件要求且投标价格最低的投标报价为评标基准价，其价格分为满分。其他投标人的价格分统一按照下列公式计算：</w:t>
      </w:r>
    </w:p>
    <w:p w14:paraId="1E358CC8">
      <w:pPr>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投标报价得分=（评标基准价/投标报价）×30分。</w:t>
      </w:r>
    </w:p>
    <w:p w14:paraId="1CE9A4D4">
      <w:pPr>
        <w:numPr>
          <w:ilvl w:val="0"/>
          <w:numId w:val="3"/>
        </w:numPr>
        <w:spacing w:line="360" w:lineRule="auto"/>
        <w:ind w:firstLine="482"/>
      </w:pPr>
      <w:r>
        <w:rPr>
          <w:rFonts w:hint="eastAsia" w:ascii="宋体" w:hAnsi="宋体" w:eastAsia="宋体" w:cs="Times New Roman"/>
          <w:b/>
          <w:sz w:val="24"/>
          <w:szCs w:val="24"/>
        </w:rPr>
        <w:t>商务技术分（70分）</w:t>
      </w:r>
    </w:p>
    <w:bookmarkEnd w:id="30"/>
    <w:bookmarkEnd w:id="31"/>
    <w:tbl>
      <w:tblPr>
        <w:tblStyle w:val="48"/>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16"/>
        <w:gridCol w:w="7028"/>
      </w:tblGrid>
      <w:tr w14:paraId="46A4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7833505B">
            <w:pPr>
              <w:spacing w:line="360" w:lineRule="exact"/>
              <w:jc w:val="center"/>
              <w:rPr>
                <w:rFonts w:hint="eastAsia" w:cs="仿宋_GB2312" w:asciiTheme="minorEastAsia" w:hAnsiTheme="minorEastAsia"/>
                <w:szCs w:val="21"/>
              </w:rPr>
            </w:pPr>
            <w:r>
              <w:rPr>
                <w:rFonts w:hint="eastAsia" w:cs="仿宋_GB2312" w:asciiTheme="minorEastAsia" w:hAnsiTheme="minorEastAsia"/>
                <w:szCs w:val="21"/>
              </w:rPr>
              <w:t>分项内容</w:t>
            </w:r>
          </w:p>
        </w:tc>
        <w:tc>
          <w:tcPr>
            <w:tcW w:w="716" w:type="dxa"/>
            <w:tcBorders>
              <w:top w:val="single" w:color="auto" w:sz="4" w:space="0"/>
              <w:left w:val="single" w:color="auto" w:sz="4" w:space="0"/>
              <w:bottom w:val="single" w:color="auto" w:sz="4" w:space="0"/>
              <w:right w:val="single" w:color="auto" w:sz="4" w:space="0"/>
            </w:tcBorders>
            <w:vAlign w:val="center"/>
          </w:tcPr>
          <w:p w14:paraId="2236F6A3">
            <w:pPr>
              <w:spacing w:line="360" w:lineRule="exact"/>
              <w:jc w:val="center"/>
              <w:rPr>
                <w:rFonts w:hint="eastAsia" w:cs="仿宋_GB2312" w:asciiTheme="minorEastAsia" w:hAnsiTheme="minorEastAsia"/>
                <w:szCs w:val="21"/>
              </w:rPr>
            </w:pPr>
            <w:r>
              <w:rPr>
                <w:rFonts w:hint="eastAsia" w:cs="仿宋_GB2312" w:asciiTheme="minorEastAsia" w:hAnsiTheme="minorEastAsia"/>
                <w:szCs w:val="21"/>
              </w:rPr>
              <w:t>分值</w:t>
            </w:r>
          </w:p>
        </w:tc>
        <w:tc>
          <w:tcPr>
            <w:tcW w:w="7028" w:type="dxa"/>
            <w:tcBorders>
              <w:top w:val="single" w:color="auto" w:sz="4" w:space="0"/>
              <w:left w:val="single" w:color="auto" w:sz="4" w:space="0"/>
              <w:bottom w:val="single" w:color="auto" w:sz="4" w:space="0"/>
              <w:right w:val="single" w:color="auto" w:sz="4" w:space="0"/>
            </w:tcBorders>
            <w:vAlign w:val="center"/>
          </w:tcPr>
          <w:p w14:paraId="7ADF5681">
            <w:pPr>
              <w:spacing w:line="360" w:lineRule="exact"/>
              <w:jc w:val="center"/>
              <w:rPr>
                <w:rFonts w:hint="eastAsia" w:cs="仿宋_GB2312" w:asciiTheme="minorEastAsia" w:hAnsiTheme="minorEastAsia"/>
                <w:szCs w:val="21"/>
              </w:rPr>
            </w:pPr>
            <w:r>
              <w:rPr>
                <w:rFonts w:hint="eastAsia" w:cs="仿宋_GB2312" w:asciiTheme="minorEastAsia" w:hAnsiTheme="minorEastAsia"/>
                <w:szCs w:val="21"/>
              </w:rPr>
              <w:t>打分要求</w:t>
            </w:r>
          </w:p>
        </w:tc>
      </w:tr>
      <w:tr w14:paraId="768C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59117D79">
            <w:pPr>
              <w:widowControl/>
              <w:jc w:val="center"/>
              <w:rPr>
                <w:rFonts w:hint="eastAsia" w:ascii="宋体" w:hAnsi="宋体" w:eastAsia="宋体" w:cs="宋体"/>
                <w:sz w:val="24"/>
                <w:szCs w:val="24"/>
              </w:rPr>
            </w:pPr>
            <w:r>
              <w:rPr>
                <w:rFonts w:hint="eastAsia" w:ascii="宋体" w:hAnsi="宋体" w:eastAsia="宋体" w:cs="宋体"/>
                <w:color w:val="000000"/>
                <w:sz w:val="24"/>
                <w:szCs w:val="24"/>
                <w:lang w:bidi="ar"/>
              </w:rPr>
              <w:t>技术部分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E04F47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7028" w:type="dxa"/>
            <w:tcBorders>
              <w:top w:val="single" w:color="auto" w:sz="4" w:space="0"/>
              <w:left w:val="single" w:color="auto" w:sz="4" w:space="0"/>
              <w:bottom w:val="single" w:color="auto" w:sz="4" w:space="0"/>
              <w:right w:val="single" w:color="auto" w:sz="4" w:space="0"/>
            </w:tcBorders>
            <w:shd w:val="clear" w:color="auto" w:fill="auto"/>
          </w:tcPr>
          <w:p w14:paraId="70478642">
            <w:pPr>
              <w:autoSpaceDE w:val="0"/>
              <w:autoSpaceDN w:val="0"/>
              <w:adjustRightInd w:val="0"/>
              <w:spacing w:line="300" w:lineRule="exact"/>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根据招</w:t>
            </w:r>
            <w:r>
              <w:rPr>
                <w:rFonts w:hint="eastAsia" w:ascii="宋体" w:hAnsi="宋体" w:eastAsia="宋体" w:cs="宋体"/>
                <w:b/>
                <w:bCs/>
                <w:sz w:val="24"/>
                <w:szCs w:val="24"/>
              </w:rPr>
              <w:t>标文件“第六章 项目需求”进行评审</w:t>
            </w:r>
            <w:r>
              <w:rPr>
                <w:rFonts w:hint="eastAsia" w:ascii="宋体" w:hAnsi="宋体" w:eastAsia="宋体" w:cs="宋体"/>
                <w:sz w:val="24"/>
                <w:szCs w:val="24"/>
              </w:rPr>
              <w:t>，</w:t>
            </w:r>
            <w:r>
              <w:rPr>
                <w:rFonts w:hint="eastAsia" w:ascii="宋体" w:hAnsi="宋体" w:eastAsia="宋体" w:cs="宋体"/>
                <w:bCs/>
                <w:sz w:val="24"/>
                <w:szCs w:val="24"/>
              </w:rPr>
              <w:t>投标人或投标产品生产企业所投产品技术参数未完全满足招标文件“技术要求”中标注“</w:t>
            </w:r>
            <w:r>
              <w:rPr>
                <w:rFonts w:hint="eastAsia" w:ascii="宋体" w:hAnsi="宋体" w:eastAsia="宋体" w:cs="宋体"/>
                <w:b/>
                <w:bCs/>
                <w:sz w:val="24"/>
                <w:szCs w:val="24"/>
              </w:rPr>
              <w:t>★</w:t>
            </w:r>
            <w:r>
              <w:rPr>
                <w:rFonts w:hint="eastAsia" w:ascii="宋体" w:hAnsi="宋体" w:eastAsia="宋体" w:cs="宋体"/>
                <w:bCs/>
                <w:sz w:val="24"/>
                <w:szCs w:val="24"/>
              </w:rPr>
              <w:t>”技术参数要求的作无效投标处理。</w:t>
            </w:r>
          </w:p>
          <w:p w14:paraId="0F738FC7">
            <w:pPr>
              <w:spacing w:line="320" w:lineRule="exact"/>
              <w:rPr>
                <w:rFonts w:hint="eastAsia" w:ascii="宋体" w:hAnsi="宋体" w:eastAsia="宋体" w:cs="宋体"/>
                <w:sz w:val="24"/>
                <w:szCs w:val="24"/>
              </w:rPr>
            </w:pPr>
            <w:r>
              <w:rPr>
                <w:rFonts w:hint="eastAsia" w:ascii="宋体" w:hAnsi="宋体" w:eastAsia="宋体" w:cs="宋体"/>
                <w:bCs/>
                <w:sz w:val="24"/>
                <w:szCs w:val="24"/>
              </w:rPr>
              <w:t>（2）投标人或投标产品生产企业所投产品技术参数与招标文件“技术要求”中标注“▲”为重要</w:t>
            </w:r>
            <w:r>
              <w:rPr>
                <w:rFonts w:hint="eastAsia" w:ascii="宋体" w:hAnsi="宋体" w:eastAsia="宋体" w:cs="宋体"/>
                <w:sz w:val="24"/>
                <w:szCs w:val="24"/>
              </w:rPr>
              <w:t>技术条款</w:t>
            </w:r>
            <w:r>
              <w:rPr>
                <w:rFonts w:hint="eastAsia" w:ascii="宋体" w:hAnsi="宋体" w:eastAsia="宋体" w:cs="宋体"/>
                <w:bCs/>
                <w:sz w:val="24"/>
                <w:szCs w:val="24"/>
              </w:rPr>
              <w:t>，</w:t>
            </w:r>
            <w:r>
              <w:rPr>
                <w:rFonts w:hint="eastAsia" w:ascii="宋体" w:hAnsi="宋体" w:eastAsia="宋体" w:cs="宋体"/>
                <w:sz w:val="24"/>
                <w:szCs w:val="24"/>
              </w:rPr>
              <w:t>“▲”负偏离每项扣2分，</w:t>
            </w:r>
            <w:r>
              <w:rPr>
                <w:rFonts w:hint="eastAsia" w:ascii="宋体" w:hAnsi="宋体" w:eastAsia="宋体" w:cs="宋体"/>
                <w:sz w:val="24"/>
                <w:szCs w:val="24"/>
                <w:lang w:val="en-US" w:eastAsia="zh-CN"/>
              </w:rPr>
              <w:t>20分</w:t>
            </w:r>
            <w:r>
              <w:rPr>
                <w:rFonts w:hint="eastAsia" w:ascii="宋体" w:hAnsi="宋体" w:eastAsia="宋体" w:cs="宋体"/>
                <w:sz w:val="24"/>
                <w:szCs w:val="24"/>
              </w:rPr>
              <w:t>扣完为止；</w:t>
            </w:r>
          </w:p>
          <w:p w14:paraId="2F9B519C">
            <w:pPr>
              <w:autoSpaceDE w:val="0"/>
              <w:autoSpaceDN w:val="0"/>
              <w:adjustRightInd w:val="0"/>
              <w:spacing w:line="3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rPr>
              <w:t>注：未在《技术规格偏离表》中响应的条款，视同负偏离；如未标注“★”与“▲”的指标必须提供相应的有效证明材料（如白皮书、彩页、手册、检测（验）报告等材料）以证明技术参数及功能的有效性，如未附有效证明材料或者所附的证明材料由评标委员会认为不能佐证技术指标的有效性的，则同样视为负偏离。</w:t>
            </w:r>
          </w:p>
        </w:tc>
      </w:tr>
      <w:tr w14:paraId="5954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70D21D81">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供货方案</w:t>
            </w:r>
          </w:p>
        </w:tc>
        <w:tc>
          <w:tcPr>
            <w:tcW w:w="716" w:type="dxa"/>
            <w:tcBorders>
              <w:top w:val="single" w:color="auto" w:sz="4" w:space="0"/>
              <w:left w:val="single" w:color="auto" w:sz="4" w:space="0"/>
              <w:bottom w:val="single" w:color="auto" w:sz="4" w:space="0"/>
              <w:right w:val="single" w:color="auto" w:sz="4" w:space="0"/>
            </w:tcBorders>
            <w:vAlign w:val="center"/>
          </w:tcPr>
          <w:p w14:paraId="51095DA8">
            <w:pPr>
              <w:spacing w:line="320" w:lineRule="exact"/>
              <w:jc w:val="center"/>
              <w:rPr>
                <w:rFonts w:hint="default" w:ascii="宋体" w:hAnsi="宋体" w:eastAsia="宋体" w:cs="宋体"/>
                <w:szCs w:val="21"/>
                <w:lang w:val="en-US" w:eastAsia="zh-CN"/>
              </w:rPr>
            </w:pPr>
            <w:r>
              <w:rPr>
                <w:rFonts w:hint="eastAsia" w:ascii="宋体" w:hAnsi="宋体" w:eastAsia="宋体" w:cs="宋体"/>
                <w:sz w:val="24"/>
                <w:lang w:val="en-US" w:eastAsia="zh-CN"/>
              </w:rPr>
              <w:t>5</w:t>
            </w:r>
          </w:p>
        </w:tc>
        <w:tc>
          <w:tcPr>
            <w:tcW w:w="7028" w:type="dxa"/>
            <w:tcBorders>
              <w:top w:val="single" w:color="auto" w:sz="4" w:space="0"/>
              <w:left w:val="single" w:color="auto" w:sz="4" w:space="0"/>
              <w:bottom w:val="single" w:color="auto" w:sz="4" w:space="0"/>
              <w:right w:val="single" w:color="auto" w:sz="4" w:space="0"/>
            </w:tcBorders>
          </w:tcPr>
          <w:p w14:paraId="3C6DF752">
            <w:pPr>
              <w:spacing w:line="320" w:lineRule="exact"/>
              <w:rPr>
                <w:rFonts w:hint="eastAsia" w:ascii="宋体" w:hAnsi="宋体" w:eastAsia="宋体" w:cs="宋体"/>
                <w:sz w:val="24"/>
              </w:rPr>
            </w:pPr>
            <w:r>
              <w:rPr>
                <w:rFonts w:hint="eastAsia" w:ascii="宋体" w:hAnsi="宋体" w:eastAsia="宋体" w:cs="宋体"/>
                <w:sz w:val="24"/>
              </w:rPr>
              <w:t>根据供应商提供的供货方案，包括但不限于供货计划、工期保证措施等进行评分：</w:t>
            </w:r>
          </w:p>
          <w:p w14:paraId="0F4DF0F6">
            <w:pPr>
              <w:spacing w:line="320" w:lineRule="exact"/>
              <w:rPr>
                <w:rFonts w:hint="eastAsia" w:ascii="宋体" w:hAnsi="宋体" w:eastAsia="宋体" w:cs="宋体"/>
                <w:sz w:val="24"/>
              </w:rPr>
            </w:pPr>
            <w:r>
              <w:rPr>
                <w:rFonts w:hint="eastAsia" w:ascii="宋体" w:hAnsi="宋体" w:eastAsia="宋体" w:cs="宋体"/>
                <w:sz w:val="24"/>
              </w:rPr>
              <w:t>1.供货计划安排合理、工期保证措施切实可行的得</w:t>
            </w:r>
            <w:r>
              <w:rPr>
                <w:rFonts w:hint="eastAsia" w:ascii="宋体" w:hAnsi="宋体" w:eastAsia="宋体" w:cs="宋体"/>
                <w:sz w:val="24"/>
                <w:lang w:val="en-US" w:eastAsia="zh-CN"/>
              </w:rPr>
              <w:t>5</w:t>
            </w:r>
            <w:r>
              <w:rPr>
                <w:rFonts w:hint="eastAsia" w:ascii="宋体" w:hAnsi="宋体" w:eastAsia="宋体" w:cs="宋体"/>
                <w:sz w:val="24"/>
              </w:rPr>
              <w:t>分；</w:t>
            </w:r>
          </w:p>
          <w:p w14:paraId="6C236FCB">
            <w:pPr>
              <w:spacing w:line="320" w:lineRule="exact"/>
              <w:rPr>
                <w:rFonts w:hint="eastAsia" w:ascii="宋体" w:hAnsi="宋体" w:eastAsia="宋体" w:cs="宋体"/>
                <w:sz w:val="24"/>
              </w:rPr>
            </w:pPr>
            <w:r>
              <w:rPr>
                <w:rFonts w:hint="eastAsia" w:ascii="宋体" w:hAnsi="宋体" w:eastAsia="宋体" w:cs="宋体"/>
                <w:sz w:val="24"/>
              </w:rPr>
              <w:t>2.供货计划安排较合理、工期保证措施较可行的得</w:t>
            </w:r>
            <w:r>
              <w:rPr>
                <w:rFonts w:hint="eastAsia" w:ascii="宋体" w:hAnsi="宋体" w:eastAsia="宋体" w:cs="宋体"/>
                <w:sz w:val="24"/>
                <w:lang w:val="en-US" w:eastAsia="zh-CN"/>
              </w:rPr>
              <w:t>3</w:t>
            </w:r>
            <w:r>
              <w:rPr>
                <w:rFonts w:hint="eastAsia" w:ascii="宋体" w:hAnsi="宋体" w:eastAsia="宋体" w:cs="宋体"/>
                <w:sz w:val="24"/>
              </w:rPr>
              <w:t>分；</w:t>
            </w:r>
          </w:p>
          <w:p w14:paraId="47B8CD08">
            <w:pPr>
              <w:spacing w:line="320" w:lineRule="exact"/>
              <w:rPr>
                <w:rFonts w:hint="eastAsia" w:ascii="宋体" w:hAnsi="宋体" w:eastAsia="宋体" w:cs="宋体"/>
                <w:sz w:val="24"/>
              </w:rPr>
            </w:pPr>
            <w:r>
              <w:rPr>
                <w:rFonts w:hint="eastAsia" w:ascii="宋体" w:hAnsi="宋体" w:eastAsia="宋体" w:cs="宋体"/>
                <w:sz w:val="24"/>
              </w:rPr>
              <w:t>3.供货计划安排一般、工期保证措施一般的得</w:t>
            </w:r>
            <w:r>
              <w:rPr>
                <w:rFonts w:hint="eastAsia" w:ascii="宋体" w:hAnsi="宋体" w:eastAsia="宋体" w:cs="宋体"/>
                <w:sz w:val="24"/>
                <w:lang w:val="en-US" w:eastAsia="zh-CN"/>
              </w:rPr>
              <w:t>1</w:t>
            </w:r>
            <w:r>
              <w:rPr>
                <w:rFonts w:hint="eastAsia" w:ascii="宋体" w:hAnsi="宋体" w:eastAsia="宋体" w:cs="宋体"/>
                <w:sz w:val="24"/>
              </w:rPr>
              <w:t>分；</w:t>
            </w:r>
          </w:p>
          <w:p w14:paraId="47119051">
            <w:pPr>
              <w:spacing w:line="320" w:lineRule="exact"/>
              <w:rPr>
                <w:rFonts w:hint="eastAsia" w:ascii="宋体" w:hAnsi="宋体" w:eastAsia="宋体" w:cs="宋体"/>
                <w:bCs/>
                <w:szCs w:val="21"/>
              </w:rPr>
            </w:pPr>
            <w:r>
              <w:rPr>
                <w:rFonts w:hint="eastAsia" w:ascii="宋体" w:hAnsi="宋体" w:eastAsia="宋体" w:cs="宋体"/>
                <w:sz w:val="24"/>
                <w:szCs w:val="24"/>
                <w:lang w:val="zh-CN"/>
              </w:rPr>
              <w:t>该项</w:t>
            </w:r>
            <w:r>
              <w:rPr>
                <w:rFonts w:hint="eastAsia" w:ascii="宋体" w:hAnsi="宋体" w:eastAsia="宋体" w:cs="宋体"/>
                <w:sz w:val="24"/>
                <w:szCs w:val="24"/>
              </w:rPr>
              <w:t>未见阐述不得分。</w:t>
            </w:r>
          </w:p>
        </w:tc>
      </w:tr>
      <w:tr w14:paraId="7BBE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637FE863">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安装及调</w:t>
            </w:r>
          </w:p>
          <w:p w14:paraId="30B7E98E">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试方案</w:t>
            </w:r>
          </w:p>
        </w:tc>
        <w:tc>
          <w:tcPr>
            <w:tcW w:w="716" w:type="dxa"/>
            <w:tcBorders>
              <w:top w:val="single" w:color="auto" w:sz="4" w:space="0"/>
              <w:left w:val="single" w:color="auto" w:sz="4" w:space="0"/>
              <w:bottom w:val="single" w:color="auto" w:sz="4" w:space="0"/>
              <w:right w:val="single" w:color="auto" w:sz="4" w:space="0"/>
            </w:tcBorders>
            <w:vAlign w:val="center"/>
          </w:tcPr>
          <w:p w14:paraId="08F73F5A">
            <w:pPr>
              <w:spacing w:line="3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7028" w:type="dxa"/>
            <w:tcBorders>
              <w:top w:val="single" w:color="auto" w:sz="4" w:space="0"/>
              <w:left w:val="single" w:color="auto" w:sz="4" w:space="0"/>
              <w:bottom w:val="single" w:color="auto" w:sz="4" w:space="0"/>
              <w:right w:val="single" w:color="auto" w:sz="4" w:space="0"/>
            </w:tcBorders>
          </w:tcPr>
          <w:p w14:paraId="24A4ED65">
            <w:pPr>
              <w:spacing w:line="320" w:lineRule="exact"/>
              <w:rPr>
                <w:rFonts w:hint="eastAsia" w:ascii="宋体" w:hAnsi="宋体" w:eastAsia="宋体" w:cs="宋体"/>
                <w:sz w:val="24"/>
              </w:rPr>
            </w:pPr>
            <w:r>
              <w:rPr>
                <w:rFonts w:hint="eastAsia" w:ascii="宋体" w:hAnsi="宋体" w:eastAsia="宋体" w:cs="宋体"/>
                <w:sz w:val="24"/>
              </w:rPr>
              <w:t>根据供应商提供的安装方案包括但不限</w:t>
            </w:r>
            <w:r>
              <w:rPr>
                <w:rFonts w:hint="eastAsia" w:ascii="宋体" w:hAnsi="宋体" w:eastAsia="宋体" w:cs="宋体"/>
                <w:sz w:val="24"/>
                <w:lang w:val="en-US" w:eastAsia="zh-CN"/>
              </w:rPr>
              <w:t>于</w:t>
            </w:r>
            <w:r>
              <w:rPr>
                <w:rFonts w:hint="eastAsia" w:ascii="宋体" w:hAnsi="宋体" w:eastAsia="宋体" w:cs="宋体"/>
                <w:sz w:val="24"/>
              </w:rPr>
              <w:t>安装供货期安排现场安装流程、安装质量要求、安装验收方案</w:t>
            </w:r>
            <w:r>
              <w:rPr>
                <w:rFonts w:hint="eastAsia" w:ascii="宋体" w:hAnsi="宋体" w:eastAsia="宋体" w:cs="宋体"/>
                <w:sz w:val="24"/>
                <w:lang w:val="en-US" w:eastAsia="zh-CN"/>
              </w:rPr>
              <w:t>等</w:t>
            </w:r>
            <w:r>
              <w:rPr>
                <w:rFonts w:hint="eastAsia" w:ascii="宋体" w:hAnsi="宋体" w:eastAsia="宋体" w:cs="宋体"/>
                <w:sz w:val="24"/>
              </w:rPr>
              <w:t>进行综合评分：</w:t>
            </w:r>
          </w:p>
          <w:p w14:paraId="3D3DC0E6">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1.</w:t>
            </w:r>
            <w:r>
              <w:rPr>
                <w:rFonts w:hint="eastAsia" w:ascii="宋体" w:hAnsi="宋体" w:eastAsia="宋体" w:cs="宋体"/>
                <w:sz w:val="24"/>
              </w:rPr>
              <w:t>方案有针对性、合理、可行、全面的得</w:t>
            </w:r>
            <w:r>
              <w:rPr>
                <w:rFonts w:hint="eastAsia" w:ascii="宋体" w:hAnsi="宋体" w:eastAsia="宋体" w:cs="宋体"/>
                <w:sz w:val="24"/>
                <w:lang w:val="en-US" w:eastAsia="zh-CN"/>
              </w:rPr>
              <w:t>5</w:t>
            </w:r>
            <w:r>
              <w:rPr>
                <w:rFonts w:hint="eastAsia" w:ascii="宋体" w:hAnsi="宋体" w:eastAsia="宋体" w:cs="宋体"/>
                <w:sz w:val="24"/>
              </w:rPr>
              <w:t>分；</w:t>
            </w:r>
          </w:p>
          <w:p w14:paraId="5676CEC4">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2.</w:t>
            </w:r>
            <w:r>
              <w:rPr>
                <w:rFonts w:hint="eastAsia" w:ascii="宋体" w:hAnsi="宋体" w:eastAsia="宋体" w:cs="宋体"/>
                <w:sz w:val="24"/>
              </w:rPr>
              <w:t>方案较有针对性、较合理、较可行的得</w:t>
            </w:r>
            <w:r>
              <w:rPr>
                <w:rFonts w:hint="eastAsia" w:ascii="宋体" w:hAnsi="宋体" w:eastAsia="宋体" w:cs="宋体"/>
                <w:sz w:val="24"/>
                <w:lang w:val="en-US" w:eastAsia="zh-CN"/>
              </w:rPr>
              <w:t>3</w:t>
            </w:r>
            <w:r>
              <w:rPr>
                <w:rFonts w:hint="eastAsia" w:ascii="宋体" w:hAnsi="宋体" w:eastAsia="宋体" w:cs="宋体"/>
                <w:sz w:val="24"/>
              </w:rPr>
              <w:t>分；</w:t>
            </w:r>
          </w:p>
          <w:p w14:paraId="4ACA31A2">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3.</w:t>
            </w:r>
            <w:r>
              <w:rPr>
                <w:rFonts w:hint="eastAsia" w:ascii="宋体" w:hAnsi="宋体" w:eastAsia="宋体" w:cs="宋体"/>
                <w:sz w:val="24"/>
              </w:rPr>
              <w:t>方案合理性、可行性、针对性一般的得</w:t>
            </w:r>
            <w:r>
              <w:rPr>
                <w:rFonts w:hint="eastAsia" w:ascii="宋体" w:hAnsi="宋体" w:eastAsia="宋体" w:cs="宋体"/>
                <w:sz w:val="24"/>
                <w:lang w:val="en-US" w:eastAsia="zh-CN"/>
              </w:rPr>
              <w:t>1</w:t>
            </w:r>
            <w:r>
              <w:rPr>
                <w:rFonts w:hint="eastAsia" w:ascii="宋体" w:hAnsi="宋体" w:eastAsia="宋体" w:cs="宋体"/>
                <w:sz w:val="24"/>
              </w:rPr>
              <w:t>分；</w:t>
            </w:r>
          </w:p>
          <w:p w14:paraId="15C1247D">
            <w:pPr>
              <w:pStyle w:val="3"/>
              <w:ind w:firstLine="0"/>
              <w:rPr>
                <w:rFonts w:hint="eastAsia" w:ascii="宋体" w:hAnsi="宋体" w:eastAsia="宋体" w:cs="宋体"/>
                <w:b w:val="0"/>
                <w:spacing w:val="0"/>
                <w:sz w:val="24"/>
                <w:szCs w:val="22"/>
              </w:rPr>
            </w:pPr>
            <w:r>
              <w:rPr>
                <w:rFonts w:hint="eastAsia" w:ascii="宋体" w:hAnsi="宋体" w:eastAsia="宋体" w:cs="宋体"/>
                <w:b w:val="0"/>
                <w:spacing w:val="0"/>
                <w:sz w:val="24"/>
                <w:szCs w:val="22"/>
              </w:rPr>
              <w:t>该项未见阐述不得分。</w:t>
            </w:r>
          </w:p>
        </w:tc>
      </w:tr>
      <w:tr w14:paraId="55B7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6A0898C3">
            <w:pPr>
              <w:widowControl/>
              <w:jc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施工</w:t>
            </w:r>
            <w:r>
              <w:rPr>
                <w:rFonts w:hint="eastAsia" w:ascii="宋体" w:hAnsi="宋体" w:eastAsia="宋体" w:cs="宋体"/>
                <w:color w:val="000000"/>
                <w:sz w:val="24"/>
                <w:szCs w:val="24"/>
                <w:lang w:val="en-US" w:eastAsia="zh-CN" w:bidi="ar"/>
              </w:rPr>
              <w:t>组织方案</w:t>
            </w:r>
          </w:p>
        </w:tc>
        <w:tc>
          <w:tcPr>
            <w:tcW w:w="716" w:type="dxa"/>
            <w:tcBorders>
              <w:top w:val="single" w:color="auto" w:sz="4" w:space="0"/>
              <w:left w:val="single" w:color="auto" w:sz="4" w:space="0"/>
              <w:bottom w:val="single" w:color="auto" w:sz="4" w:space="0"/>
              <w:right w:val="single" w:color="auto" w:sz="4" w:space="0"/>
            </w:tcBorders>
            <w:vAlign w:val="center"/>
          </w:tcPr>
          <w:p w14:paraId="42242D28">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7028" w:type="dxa"/>
            <w:tcBorders>
              <w:top w:val="single" w:color="auto" w:sz="4" w:space="0"/>
              <w:left w:val="single" w:color="auto" w:sz="4" w:space="0"/>
              <w:bottom w:val="single" w:color="auto" w:sz="4" w:space="0"/>
              <w:right w:val="single" w:color="auto" w:sz="4" w:space="0"/>
            </w:tcBorders>
          </w:tcPr>
          <w:p w14:paraId="6933BC90">
            <w:pPr>
              <w:numPr>
                <w:ilvl w:val="0"/>
                <w:numId w:val="0"/>
              </w:numPr>
              <w:spacing w:line="320" w:lineRule="exact"/>
              <w:rPr>
                <w:rFonts w:hint="eastAsia" w:ascii="宋体" w:hAnsi="宋体" w:eastAsia="宋体" w:cs="宋体"/>
                <w:sz w:val="24"/>
              </w:rPr>
            </w:pPr>
            <w:r>
              <w:rPr>
                <w:rFonts w:hint="eastAsia" w:ascii="宋体" w:hAnsi="宋体" w:eastAsia="宋体" w:cs="宋体"/>
                <w:sz w:val="24"/>
              </w:rPr>
              <w:t>投标文件中提供施工组织方案，内容包括但不限于项目实施方案、施工组织及进度计划等：</w:t>
            </w:r>
          </w:p>
          <w:p w14:paraId="047FF59D">
            <w:pPr>
              <w:numPr>
                <w:ilvl w:val="0"/>
                <w:numId w:val="0"/>
              </w:numPr>
              <w:spacing w:line="320" w:lineRule="exact"/>
              <w:rPr>
                <w:rFonts w:hint="eastAsia" w:ascii="宋体" w:hAnsi="宋体" w:eastAsia="宋体" w:cs="宋体"/>
                <w:sz w:val="24"/>
              </w:rPr>
            </w:pPr>
            <w:r>
              <w:rPr>
                <w:rFonts w:hint="eastAsia" w:ascii="宋体" w:hAnsi="宋体" w:eastAsia="宋体" w:cs="宋体"/>
                <w:sz w:val="24"/>
              </w:rPr>
              <w:t>方案全面详细、进度安排科学合理、针对性强的得</w:t>
            </w:r>
            <w:r>
              <w:rPr>
                <w:rFonts w:hint="eastAsia" w:ascii="宋体" w:hAnsi="宋体" w:eastAsia="宋体" w:cs="宋体"/>
                <w:sz w:val="24"/>
                <w:lang w:val="en-US" w:eastAsia="zh-CN"/>
              </w:rPr>
              <w:t>6</w:t>
            </w:r>
            <w:r>
              <w:rPr>
                <w:rFonts w:hint="eastAsia" w:ascii="宋体" w:hAnsi="宋体" w:eastAsia="宋体" w:cs="宋体"/>
                <w:sz w:val="24"/>
              </w:rPr>
              <w:t>分。</w:t>
            </w:r>
          </w:p>
          <w:p w14:paraId="3865208D">
            <w:pPr>
              <w:numPr>
                <w:ilvl w:val="0"/>
                <w:numId w:val="0"/>
              </w:numPr>
              <w:spacing w:line="320" w:lineRule="exact"/>
              <w:rPr>
                <w:rFonts w:hint="eastAsia" w:ascii="宋体" w:hAnsi="宋体" w:eastAsia="宋体" w:cs="宋体"/>
                <w:sz w:val="24"/>
              </w:rPr>
            </w:pPr>
            <w:r>
              <w:rPr>
                <w:rFonts w:hint="eastAsia" w:ascii="宋体" w:hAnsi="宋体" w:eastAsia="宋体" w:cs="宋体"/>
                <w:sz w:val="24"/>
              </w:rPr>
              <w:t>方案较为详细，进度安排较为合理针对性较强的得</w:t>
            </w:r>
            <w:r>
              <w:rPr>
                <w:rFonts w:hint="eastAsia" w:ascii="宋体" w:hAnsi="宋体" w:eastAsia="宋体" w:cs="宋体"/>
                <w:sz w:val="24"/>
                <w:lang w:val="en-US" w:eastAsia="zh-CN"/>
              </w:rPr>
              <w:t>4</w:t>
            </w:r>
            <w:r>
              <w:rPr>
                <w:rFonts w:hint="eastAsia" w:ascii="宋体" w:hAnsi="宋体" w:eastAsia="宋体" w:cs="宋体"/>
                <w:sz w:val="24"/>
              </w:rPr>
              <w:t>分。</w:t>
            </w:r>
          </w:p>
          <w:p w14:paraId="64757E89">
            <w:pPr>
              <w:numPr>
                <w:ilvl w:val="0"/>
                <w:numId w:val="0"/>
              </w:numPr>
              <w:spacing w:line="320" w:lineRule="exact"/>
              <w:rPr>
                <w:rFonts w:hint="eastAsia" w:ascii="宋体" w:hAnsi="宋体" w:eastAsia="宋体" w:cs="宋体"/>
                <w:sz w:val="24"/>
              </w:rPr>
            </w:pPr>
            <w:r>
              <w:rPr>
                <w:rFonts w:hint="eastAsia" w:ascii="宋体" w:hAnsi="宋体" w:eastAsia="宋体" w:cs="宋体"/>
                <w:sz w:val="24"/>
              </w:rPr>
              <w:t>方案</w:t>
            </w:r>
            <w:r>
              <w:rPr>
                <w:rFonts w:hint="eastAsia" w:ascii="宋体" w:hAnsi="宋体" w:eastAsia="宋体" w:cs="宋体"/>
                <w:sz w:val="24"/>
                <w:lang w:val="en-US" w:eastAsia="zh-CN"/>
              </w:rPr>
              <w:t>一般</w:t>
            </w:r>
            <w:r>
              <w:rPr>
                <w:rFonts w:hint="eastAsia" w:ascii="宋体" w:hAnsi="宋体" w:eastAsia="宋体" w:cs="宋体"/>
                <w:sz w:val="24"/>
              </w:rPr>
              <w:t>的得</w:t>
            </w:r>
            <w:r>
              <w:rPr>
                <w:rFonts w:hint="eastAsia" w:ascii="宋体" w:hAnsi="宋体" w:eastAsia="宋体" w:cs="宋体"/>
                <w:sz w:val="24"/>
                <w:lang w:val="en-US" w:eastAsia="zh-CN"/>
              </w:rPr>
              <w:t>2</w:t>
            </w:r>
            <w:r>
              <w:rPr>
                <w:rFonts w:hint="eastAsia" w:ascii="宋体" w:hAnsi="宋体" w:eastAsia="宋体" w:cs="宋体"/>
                <w:sz w:val="24"/>
              </w:rPr>
              <w:t>分。</w:t>
            </w:r>
          </w:p>
          <w:p w14:paraId="3F9BDB6F">
            <w:pPr>
              <w:numPr>
                <w:ilvl w:val="0"/>
                <w:numId w:val="0"/>
              </w:numPr>
              <w:spacing w:line="320" w:lineRule="exact"/>
              <w:rPr>
                <w:rFonts w:hint="eastAsia" w:ascii="宋体" w:hAnsi="宋体" w:eastAsia="宋体" w:cs="宋体"/>
                <w:sz w:val="24"/>
              </w:rPr>
            </w:pPr>
            <w:r>
              <w:rPr>
                <w:rFonts w:hint="eastAsia" w:ascii="宋体" w:hAnsi="宋体" w:eastAsia="宋体" w:cs="宋体"/>
                <w:sz w:val="24"/>
              </w:rPr>
              <w:t>该项未见阐述不得分。</w:t>
            </w:r>
          </w:p>
        </w:tc>
      </w:tr>
      <w:tr w14:paraId="0AB2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67E6760F">
            <w:pPr>
              <w:widowControl/>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质量保证措施</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71E59745">
            <w:pPr>
              <w:spacing w:line="360" w:lineRule="auto"/>
              <w:ind w:right="-159" w:rightChars="0" w:firstLine="240" w:firstLineChars="100"/>
              <w:jc w:val="both"/>
              <w:rPr>
                <w:rFonts w:hint="eastAsia" w:ascii="宋体" w:hAnsi="宋体" w:eastAsia="宋体" w:cs="宋体"/>
                <w:sz w:val="24"/>
                <w:szCs w:val="24"/>
                <w:lang w:val="en-US" w:eastAsia="zh-CN" w:bidi="ar-SA"/>
              </w:rPr>
            </w:pPr>
            <w:r>
              <w:rPr>
                <w:rFonts w:hint="eastAsia" w:ascii="宋体" w:hAnsi="宋体" w:eastAsia="宋体" w:cs="宋体"/>
                <w:sz w:val="24"/>
                <w:szCs w:val="24"/>
              </w:rPr>
              <w:t>6</w:t>
            </w:r>
          </w:p>
        </w:tc>
        <w:tc>
          <w:tcPr>
            <w:tcW w:w="7028" w:type="dxa"/>
            <w:tcBorders>
              <w:top w:val="single" w:color="auto" w:sz="4" w:space="0"/>
              <w:left w:val="single" w:color="auto" w:sz="4" w:space="0"/>
              <w:bottom w:val="single" w:color="auto" w:sz="4" w:space="0"/>
              <w:right w:val="single" w:color="auto" w:sz="4" w:space="0"/>
            </w:tcBorders>
            <w:shd w:val="clear" w:color="auto" w:fill="auto"/>
            <w:vAlign w:val="center"/>
          </w:tcPr>
          <w:p w14:paraId="6CCF7A88">
            <w:pPr>
              <w:spacing w:line="320" w:lineRule="exact"/>
              <w:rPr>
                <w:rFonts w:hint="eastAsia" w:ascii="宋体" w:hAnsi="宋体" w:eastAsia="宋体" w:cs="宋体"/>
                <w:sz w:val="24"/>
              </w:rPr>
            </w:pPr>
            <w:r>
              <w:rPr>
                <w:rFonts w:hint="eastAsia" w:ascii="宋体" w:hAnsi="宋体" w:eastAsia="宋体" w:cs="宋体"/>
                <w:sz w:val="24"/>
              </w:rPr>
              <w:t>投标人根据项目需求提供质量保证措施相关内容：</w:t>
            </w:r>
          </w:p>
          <w:p w14:paraId="37AE8D21">
            <w:pPr>
              <w:spacing w:line="32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cs="宋体"/>
                <w:color w:val="000000"/>
                <w:sz w:val="24"/>
                <w:szCs w:val="24"/>
                <w:highlight w:val="none"/>
                <w:lang w:val="zh-CN"/>
              </w:rPr>
              <w:t>方案、</w:t>
            </w:r>
            <w:r>
              <w:rPr>
                <w:rFonts w:hint="eastAsia" w:ascii="宋体" w:hAnsi="宋体" w:cs="宋体"/>
                <w:color w:val="000000"/>
                <w:sz w:val="24"/>
                <w:szCs w:val="24"/>
                <w:highlight w:val="none"/>
              </w:rPr>
              <w:t>质量保证措施</w:t>
            </w:r>
            <w:r>
              <w:rPr>
                <w:rFonts w:hint="eastAsia" w:ascii="宋体" w:hAnsi="宋体" w:eastAsia="宋体" w:cs="宋体"/>
                <w:color w:val="000000"/>
                <w:sz w:val="24"/>
                <w:szCs w:val="24"/>
                <w:highlight w:val="none"/>
              </w:rPr>
              <w:t>合理性、可行性</w:t>
            </w:r>
            <w:r>
              <w:rPr>
                <w:rFonts w:hint="eastAsia" w:ascii="宋体" w:hAnsi="宋体" w:cs="宋体"/>
                <w:color w:val="000000"/>
                <w:sz w:val="24"/>
                <w:szCs w:val="24"/>
                <w:highlight w:val="none"/>
                <w:lang w:val="en-US" w:eastAsia="zh-CN"/>
              </w:rPr>
              <w:t>优秀</w:t>
            </w:r>
            <w:r>
              <w:rPr>
                <w:rFonts w:hint="eastAsia" w:ascii="宋体" w:hAnsi="宋体" w:cs="宋体"/>
                <w:color w:val="000000"/>
                <w:sz w:val="24"/>
                <w:szCs w:val="24"/>
                <w:highlight w:val="none"/>
                <w:lang w:val="zh-CN"/>
              </w:rPr>
              <w:t>的得</w:t>
            </w:r>
            <w:r>
              <w:rPr>
                <w:rFonts w:hint="eastAsia" w:ascii="宋体" w:hAnsi="宋体" w:eastAsia="宋体" w:cs="宋体"/>
                <w:sz w:val="24"/>
              </w:rPr>
              <w:t>6分；</w:t>
            </w:r>
          </w:p>
          <w:p w14:paraId="41DA3158">
            <w:pPr>
              <w:spacing w:line="32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cs="宋体"/>
                <w:color w:val="000000"/>
                <w:sz w:val="24"/>
                <w:szCs w:val="24"/>
                <w:highlight w:val="none"/>
                <w:lang w:val="zh-CN"/>
              </w:rPr>
              <w:t>方案、</w:t>
            </w:r>
            <w:r>
              <w:rPr>
                <w:rFonts w:hint="eastAsia" w:ascii="宋体" w:hAnsi="宋体" w:cs="宋体"/>
                <w:color w:val="000000"/>
                <w:sz w:val="24"/>
                <w:szCs w:val="24"/>
                <w:highlight w:val="none"/>
              </w:rPr>
              <w:t>质量保证措施</w:t>
            </w:r>
            <w:r>
              <w:rPr>
                <w:rFonts w:hint="eastAsia" w:ascii="宋体" w:hAnsi="宋体" w:eastAsia="宋体" w:cs="宋体"/>
                <w:color w:val="000000"/>
                <w:sz w:val="24"/>
                <w:szCs w:val="24"/>
                <w:highlight w:val="none"/>
              </w:rPr>
              <w:t>合理性、可行性</w:t>
            </w:r>
            <w:r>
              <w:rPr>
                <w:rFonts w:hint="eastAsia" w:ascii="宋体" w:hAnsi="宋体" w:eastAsia="宋体" w:cs="宋体"/>
                <w:color w:val="000000"/>
                <w:sz w:val="24"/>
                <w:szCs w:val="24"/>
                <w:highlight w:val="none"/>
                <w:lang w:val="en-US" w:eastAsia="zh-CN"/>
              </w:rPr>
              <w:t>较好</w:t>
            </w:r>
            <w:r>
              <w:rPr>
                <w:rFonts w:hint="eastAsia" w:ascii="宋体" w:hAnsi="宋体" w:cs="宋体"/>
                <w:color w:val="000000"/>
                <w:sz w:val="24"/>
                <w:szCs w:val="24"/>
                <w:highlight w:val="none"/>
                <w:lang w:val="zh-CN"/>
              </w:rPr>
              <w:t>的得</w:t>
            </w:r>
            <w:r>
              <w:rPr>
                <w:rFonts w:hint="eastAsia" w:ascii="宋体" w:hAnsi="宋体" w:eastAsia="宋体" w:cs="宋体"/>
                <w:sz w:val="24"/>
              </w:rPr>
              <w:t>4分；</w:t>
            </w:r>
          </w:p>
          <w:p w14:paraId="64C072D1">
            <w:pPr>
              <w:spacing w:line="32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cs="宋体"/>
                <w:color w:val="000000"/>
                <w:sz w:val="24"/>
                <w:szCs w:val="24"/>
                <w:highlight w:val="none"/>
                <w:lang w:val="zh-CN"/>
              </w:rPr>
              <w:t>方案、</w:t>
            </w:r>
            <w:r>
              <w:rPr>
                <w:rFonts w:hint="eastAsia" w:ascii="宋体" w:hAnsi="宋体" w:cs="宋体"/>
                <w:color w:val="000000"/>
                <w:sz w:val="24"/>
                <w:szCs w:val="24"/>
                <w:highlight w:val="none"/>
              </w:rPr>
              <w:t>质量保证措施</w:t>
            </w:r>
            <w:r>
              <w:rPr>
                <w:rFonts w:hint="eastAsia" w:ascii="宋体" w:hAnsi="宋体" w:eastAsia="宋体" w:cs="宋体"/>
                <w:color w:val="000000"/>
                <w:sz w:val="24"/>
                <w:szCs w:val="24"/>
                <w:highlight w:val="none"/>
              </w:rPr>
              <w:t>合理性、可行性</w:t>
            </w:r>
            <w:r>
              <w:rPr>
                <w:rFonts w:hint="eastAsia" w:ascii="宋体" w:hAnsi="宋体" w:cs="宋体"/>
                <w:color w:val="000000"/>
                <w:sz w:val="24"/>
                <w:szCs w:val="24"/>
                <w:highlight w:val="none"/>
                <w:lang w:val="zh-CN"/>
              </w:rPr>
              <w:t>一般的得</w:t>
            </w:r>
            <w:r>
              <w:rPr>
                <w:rFonts w:hint="eastAsia" w:ascii="宋体" w:hAnsi="宋体" w:eastAsia="宋体" w:cs="宋体"/>
                <w:sz w:val="24"/>
              </w:rPr>
              <w:t>2分。</w:t>
            </w:r>
          </w:p>
          <w:p w14:paraId="0FD2BA47">
            <w:pPr>
              <w:spacing w:line="320" w:lineRule="exact"/>
              <w:rPr>
                <w:rFonts w:hint="eastAsia" w:ascii="宋体" w:hAnsi="宋体" w:eastAsia="宋体" w:cs="宋体"/>
                <w:sz w:val="24"/>
                <w:szCs w:val="22"/>
                <w:lang w:val="en-US" w:eastAsia="zh-CN" w:bidi="ar-SA"/>
              </w:rPr>
            </w:pPr>
            <w:r>
              <w:rPr>
                <w:rFonts w:hint="eastAsia" w:ascii="宋体" w:hAnsi="宋体" w:eastAsia="宋体" w:cs="宋体"/>
                <w:sz w:val="24"/>
              </w:rPr>
              <w:t>该项未见阐述不得分。</w:t>
            </w:r>
          </w:p>
        </w:tc>
      </w:tr>
      <w:tr w14:paraId="01E8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143A91BB">
            <w:pPr>
              <w:widowControl/>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应急方案</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1BD8444">
            <w:pPr>
              <w:widowControl/>
              <w:spacing w:line="360"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6</w:t>
            </w:r>
          </w:p>
        </w:tc>
        <w:tc>
          <w:tcPr>
            <w:tcW w:w="7028" w:type="dxa"/>
            <w:tcBorders>
              <w:top w:val="single" w:color="auto" w:sz="4" w:space="0"/>
              <w:left w:val="single" w:color="auto" w:sz="4" w:space="0"/>
              <w:bottom w:val="single" w:color="auto" w:sz="4" w:space="0"/>
              <w:right w:val="single" w:color="auto" w:sz="4" w:space="0"/>
            </w:tcBorders>
            <w:shd w:val="clear" w:color="auto" w:fill="auto"/>
            <w:vAlign w:val="top"/>
          </w:tcPr>
          <w:p w14:paraId="60B9A664">
            <w:pPr>
              <w:spacing w:line="320" w:lineRule="exact"/>
              <w:rPr>
                <w:rFonts w:hint="eastAsia" w:ascii="宋体" w:hAnsi="宋体" w:eastAsia="宋体" w:cs="宋体"/>
                <w:sz w:val="24"/>
              </w:rPr>
            </w:pPr>
            <w:r>
              <w:rPr>
                <w:rFonts w:hint="eastAsia" w:ascii="宋体" w:hAnsi="宋体" w:eastAsia="宋体" w:cs="宋体"/>
                <w:sz w:val="24"/>
              </w:rPr>
              <w:t>为保障采购货物正常使用，对采购期间可能存在的产品生产、采购、供应运输等环节中发生的应急情况，编制应急预案及承诺：</w:t>
            </w:r>
          </w:p>
          <w:p w14:paraId="37D92CC6">
            <w:pPr>
              <w:spacing w:line="320" w:lineRule="exact"/>
              <w:rPr>
                <w:rFonts w:hint="eastAsia" w:ascii="宋体" w:hAnsi="宋体" w:eastAsia="宋体" w:cs="宋体"/>
                <w:sz w:val="24"/>
              </w:rPr>
            </w:pPr>
            <w:r>
              <w:rPr>
                <w:rFonts w:hint="eastAsia" w:ascii="宋体" w:hAnsi="宋体" w:eastAsia="宋体" w:cs="宋体"/>
                <w:sz w:val="24"/>
              </w:rPr>
              <w:t>1、应急预案及承诺科学合理、完整全面、思路清晰</w:t>
            </w:r>
            <w:r>
              <w:rPr>
                <w:rFonts w:hint="eastAsia" w:ascii="宋体" w:hAnsi="宋体" w:eastAsia="宋体" w:cs="宋体"/>
                <w:sz w:val="24"/>
                <w:lang w:val="en-US" w:eastAsia="zh-CN"/>
              </w:rPr>
              <w:t>的</w:t>
            </w:r>
            <w:r>
              <w:rPr>
                <w:rFonts w:hint="eastAsia" w:ascii="宋体" w:hAnsi="宋体" w:eastAsia="宋体" w:cs="宋体"/>
                <w:sz w:val="24"/>
              </w:rPr>
              <w:t>得</w:t>
            </w:r>
            <w:r>
              <w:rPr>
                <w:rFonts w:hint="eastAsia" w:ascii="宋体" w:hAnsi="宋体" w:eastAsia="宋体" w:cs="宋体"/>
                <w:sz w:val="24"/>
                <w:lang w:val="en-US" w:eastAsia="zh-CN"/>
              </w:rPr>
              <w:t>6</w:t>
            </w:r>
            <w:r>
              <w:rPr>
                <w:rFonts w:hint="eastAsia" w:ascii="宋体" w:hAnsi="宋体" w:eastAsia="宋体" w:cs="宋体"/>
                <w:sz w:val="24"/>
              </w:rPr>
              <w:t>分；</w:t>
            </w:r>
          </w:p>
          <w:p w14:paraId="519FCA04">
            <w:pPr>
              <w:spacing w:line="320" w:lineRule="exact"/>
              <w:rPr>
                <w:rFonts w:hint="eastAsia" w:ascii="宋体" w:hAnsi="宋体" w:eastAsia="宋体" w:cs="宋体"/>
                <w:sz w:val="24"/>
              </w:rPr>
            </w:pPr>
            <w:r>
              <w:rPr>
                <w:rFonts w:hint="eastAsia" w:ascii="宋体" w:hAnsi="宋体" w:eastAsia="宋体" w:cs="宋体"/>
                <w:sz w:val="24"/>
              </w:rPr>
              <w:t>2、应急预案及承诺比较科学合理、比较完整全面、思路比较清晰</w:t>
            </w:r>
            <w:r>
              <w:rPr>
                <w:rFonts w:hint="eastAsia" w:ascii="宋体" w:hAnsi="宋体" w:eastAsia="宋体" w:cs="宋体"/>
                <w:sz w:val="24"/>
                <w:lang w:val="en-US" w:eastAsia="zh-CN"/>
              </w:rPr>
              <w:t>的</w:t>
            </w:r>
            <w:r>
              <w:rPr>
                <w:rFonts w:hint="eastAsia" w:ascii="宋体" w:hAnsi="宋体" w:eastAsia="宋体" w:cs="宋体"/>
                <w:sz w:val="24"/>
              </w:rPr>
              <w:t>得</w:t>
            </w:r>
            <w:r>
              <w:rPr>
                <w:rFonts w:hint="eastAsia" w:ascii="宋体" w:hAnsi="宋体" w:eastAsia="宋体" w:cs="宋体"/>
                <w:sz w:val="24"/>
                <w:lang w:val="en-US" w:eastAsia="zh-CN"/>
              </w:rPr>
              <w:t>4</w:t>
            </w:r>
            <w:r>
              <w:rPr>
                <w:rFonts w:hint="eastAsia" w:ascii="宋体" w:hAnsi="宋体" w:eastAsia="宋体" w:cs="宋体"/>
                <w:sz w:val="24"/>
              </w:rPr>
              <w:t>分；</w:t>
            </w:r>
          </w:p>
          <w:p w14:paraId="7251B884">
            <w:pPr>
              <w:spacing w:line="320" w:lineRule="exact"/>
              <w:rPr>
                <w:rFonts w:hint="eastAsia" w:ascii="宋体" w:hAnsi="宋体" w:eastAsia="宋体" w:cs="宋体"/>
                <w:sz w:val="24"/>
              </w:rPr>
            </w:pPr>
            <w:r>
              <w:rPr>
                <w:rFonts w:hint="eastAsia" w:ascii="宋体" w:hAnsi="宋体" w:eastAsia="宋体" w:cs="宋体"/>
                <w:sz w:val="24"/>
              </w:rPr>
              <w:t>3、应急预案及承诺不够科学合理、不够完整全面、思路不够清晰</w:t>
            </w:r>
            <w:r>
              <w:rPr>
                <w:rFonts w:hint="eastAsia" w:ascii="宋体" w:hAnsi="宋体" w:eastAsia="宋体" w:cs="宋体"/>
                <w:sz w:val="24"/>
                <w:lang w:val="en-US" w:eastAsia="zh-CN"/>
              </w:rPr>
              <w:t>的</w:t>
            </w:r>
            <w:r>
              <w:rPr>
                <w:rFonts w:hint="eastAsia" w:ascii="宋体" w:hAnsi="宋体" w:eastAsia="宋体" w:cs="宋体"/>
                <w:sz w:val="24"/>
              </w:rPr>
              <w:t>得</w:t>
            </w:r>
            <w:r>
              <w:rPr>
                <w:rFonts w:hint="eastAsia" w:ascii="宋体" w:hAnsi="宋体" w:eastAsia="宋体" w:cs="宋体"/>
                <w:sz w:val="24"/>
                <w:lang w:val="en-US" w:eastAsia="zh-CN"/>
              </w:rPr>
              <w:t>2</w:t>
            </w:r>
            <w:r>
              <w:rPr>
                <w:rFonts w:hint="eastAsia" w:ascii="宋体" w:hAnsi="宋体" w:eastAsia="宋体" w:cs="宋体"/>
                <w:sz w:val="24"/>
              </w:rPr>
              <w:t>分；</w:t>
            </w:r>
          </w:p>
          <w:p w14:paraId="16ABC6EA">
            <w:pPr>
              <w:spacing w:line="320" w:lineRule="exact"/>
              <w:rPr>
                <w:rFonts w:hint="eastAsia" w:ascii="宋体" w:hAnsi="宋体" w:eastAsia="宋体" w:cs="宋体"/>
                <w:sz w:val="24"/>
                <w:szCs w:val="22"/>
                <w:lang w:val="en-US" w:eastAsia="zh-CN" w:bidi="ar-SA"/>
              </w:rPr>
            </w:pPr>
            <w:r>
              <w:rPr>
                <w:rFonts w:hint="eastAsia" w:ascii="宋体" w:hAnsi="宋体" w:eastAsia="宋体" w:cs="宋体"/>
                <w:sz w:val="24"/>
              </w:rPr>
              <w:t>该项未见阐述不得分。</w:t>
            </w:r>
          </w:p>
        </w:tc>
      </w:tr>
      <w:tr w14:paraId="1161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357FDE3A">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培训方案</w:t>
            </w:r>
          </w:p>
        </w:tc>
        <w:tc>
          <w:tcPr>
            <w:tcW w:w="716" w:type="dxa"/>
            <w:tcBorders>
              <w:top w:val="single" w:color="auto" w:sz="4" w:space="0"/>
              <w:left w:val="single" w:color="auto" w:sz="4" w:space="0"/>
              <w:bottom w:val="single" w:color="auto" w:sz="4" w:space="0"/>
              <w:right w:val="single" w:color="auto" w:sz="4" w:space="0"/>
            </w:tcBorders>
            <w:vAlign w:val="center"/>
          </w:tcPr>
          <w:p w14:paraId="57AFB42E">
            <w:pPr>
              <w:spacing w:line="320" w:lineRule="exact"/>
              <w:jc w:val="center"/>
              <w:rPr>
                <w:rFonts w:hint="eastAsia" w:ascii="宋体" w:hAnsi="宋体" w:eastAsia="宋体" w:cs="宋体"/>
                <w:szCs w:val="21"/>
              </w:rPr>
            </w:pPr>
            <w:r>
              <w:rPr>
                <w:rFonts w:hint="eastAsia" w:ascii="宋体" w:hAnsi="宋体" w:eastAsia="宋体" w:cs="宋体"/>
                <w:sz w:val="24"/>
                <w:szCs w:val="24"/>
              </w:rPr>
              <w:t>6</w:t>
            </w:r>
          </w:p>
        </w:tc>
        <w:tc>
          <w:tcPr>
            <w:tcW w:w="7028" w:type="dxa"/>
            <w:tcBorders>
              <w:top w:val="single" w:color="auto" w:sz="4" w:space="0"/>
              <w:left w:val="single" w:color="auto" w:sz="4" w:space="0"/>
              <w:bottom w:val="single" w:color="auto" w:sz="4" w:space="0"/>
              <w:right w:val="single" w:color="auto" w:sz="4" w:space="0"/>
            </w:tcBorders>
          </w:tcPr>
          <w:p w14:paraId="53C017BD">
            <w:pPr>
              <w:spacing w:line="320" w:lineRule="exact"/>
              <w:rPr>
                <w:rFonts w:hint="eastAsia" w:ascii="宋体" w:hAnsi="宋体" w:eastAsia="宋体" w:cs="宋体"/>
                <w:sz w:val="24"/>
              </w:rPr>
            </w:pPr>
            <w:r>
              <w:rPr>
                <w:rFonts w:hint="eastAsia" w:ascii="宋体" w:hAnsi="宋体" w:eastAsia="宋体" w:cs="宋体"/>
                <w:sz w:val="24"/>
              </w:rPr>
              <w:t>针对本项目特点，结合采购人的需求，制定包括但不限于培训内容、培训方式、培训计划、培训对象、培训团队配备等技术培训方案：</w:t>
            </w:r>
          </w:p>
          <w:p w14:paraId="2A325F26">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1.</w:t>
            </w:r>
            <w:r>
              <w:rPr>
                <w:rFonts w:hint="eastAsia" w:ascii="宋体" w:hAnsi="宋体" w:eastAsia="宋体" w:cs="宋体"/>
                <w:sz w:val="24"/>
              </w:rPr>
              <w:t>方案有针对性、合理、可行、全面的得6分；</w:t>
            </w:r>
          </w:p>
          <w:p w14:paraId="0D6E9A64">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2.</w:t>
            </w:r>
            <w:r>
              <w:rPr>
                <w:rFonts w:hint="eastAsia" w:ascii="宋体" w:hAnsi="宋体" w:eastAsia="宋体" w:cs="宋体"/>
                <w:sz w:val="24"/>
              </w:rPr>
              <w:t>方案较有针对性、较合理、较可行的得4分；</w:t>
            </w:r>
          </w:p>
          <w:p w14:paraId="4A94A487">
            <w:pPr>
              <w:numPr>
                <w:ilvl w:val="0"/>
                <w:numId w:val="0"/>
              </w:numPr>
              <w:spacing w:line="320" w:lineRule="exact"/>
              <w:rPr>
                <w:rFonts w:hint="eastAsia" w:ascii="宋体" w:hAnsi="宋体" w:eastAsia="宋体" w:cs="宋体"/>
                <w:sz w:val="24"/>
              </w:rPr>
            </w:pPr>
            <w:r>
              <w:rPr>
                <w:rFonts w:hint="eastAsia" w:ascii="宋体" w:hAnsi="宋体" w:eastAsia="宋体" w:cs="宋体"/>
                <w:sz w:val="24"/>
                <w:szCs w:val="22"/>
                <w:lang w:val="en-US" w:eastAsia="zh-CN" w:bidi="ar-SA"/>
              </w:rPr>
              <w:t>3.</w:t>
            </w:r>
            <w:r>
              <w:rPr>
                <w:rFonts w:hint="eastAsia" w:ascii="宋体" w:hAnsi="宋体" w:eastAsia="宋体" w:cs="宋体"/>
                <w:sz w:val="24"/>
              </w:rPr>
              <w:t>方案合理性、可行性、针对性一般的得2分；</w:t>
            </w:r>
          </w:p>
          <w:p w14:paraId="2788ACD9">
            <w:pPr>
              <w:spacing w:line="320" w:lineRule="exact"/>
              <w:rPr>
                <w:rFonts w:hint="eastAsia" w:ascii="宋体" w:hAnsi="宋体" w:eastAsia="宋体" w:cs="宋体"/>
                <w:sz w:val="24"/>
              </w:rPr>
            </w:pPr>
            <w:r>
              <w:rPr>
                <w:rFonts w:hint="eastAsia" w:ascii="宋体" w:hAnsi="宋体" w:eastAsia="宋体" w:cs="宋体"/>
                <w:b w:val="0"/>
                <w:spacing w:val="0"/>
                <w:sz w:val="24"/>
                <w:szCs w:val="22"/>
              </w:rPr>
              <w:t>该项未见阐述不得分。</w:t>
            </w:r>
          </w:p>
        </w:tc>
      </w:tr>
      <w:tr w14:paraId="7F25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14:paraId="506B92B2">
            <w:pPr>
              <w:widowControl/>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售后服务</w:t>
            </w:r>
          </w:p>
        </w:tc>
        <w:tc>
          <w:tcPr>
            <w:tcW w:w="716" w:type="dxa"/>
            <w:tcBorders>
              <w:top w:val="single" w:color="auto" w:sz="4" w:space="0"/>
              <w:left w:val="single" w:color="auto" w:sz="4" w:space="0"/>
              <w:bottom w:val="single" w:color="auto" w:sz="4" w:space="0"/>
              <w:right w:val="single" w:color="auto" w:sz="4" w:space="0"/>
            </w:tcBorders>
            <w:vAlign w:val="center"/>
          </w:tcPr>
          <w:p w14:paraId="3D68EE29">
            <w:pPr>
              <w:widowControl/>
              <w:spacing w:line="360" w:lineRule="auto"/>
              <w:jc w:val="center"/>
              <w:rPr>
                <w:rFonts w:hint="eastAsia" w:ascii="宋体" w:hAnsi="宋体" w:eastAsia="宋体" w:cs="宋体"/>
                <w:szCs w:val="21"/>
                <w:lang w:eastAsia="zh-CN"/>
              </w:rPr>
            </w:pPr>
            <w:r>
              <w:rPr>
                <w:rFonts w:hint="eastAsia" w:ascii="宋体" w:hAnsi="宋体" w:eastAsia="宋体" w:cs="宋体"/>
                <w:sz w:val="24"/>
                <w:szCs w:val="24"/>
                <w:lang w:val="en-US" w:eastAsia="zh-CN"/>
              </w:rPr>
              <w:t>6</w:t>
            </w:r>
          </w:p>
        </w:tc>
        <w:tc>
          <w:tcPr>
            <w:tcW w:w="7028" w:type="dxa"/>
            <w:tcBorders>
              <w:top w:val="single" w:color="auto" w:sz="4" w:space="0"/>
              <w:left w:val="single" w:color="auto" w:sz="4" w:space="0"/>
              <w:bottom w:val="single" w:color="auto" w:sz="4" w:space="0"/>
              <w:right w:val="single" w:color="auto" w:sz="4" w:space="0"/>
            </w:tcBorders>
          </w:tcPr>
          <w:p w14:paraId="1C15322D">
            <w:pPr>
              <w:spacing w:line="320" w:lineRule="exact"/>
              <w:rPr>
                <w:rFonts w:hint="eastAsia" w:ascii="宋体" w:hAnsi="宋体" w:eastAsia="宋体" w:cs="宋体"/>
                <w:sz w:val="24"/>
              </w:rPr>
            </w:pPr>
            <w:r>
              <w:rPr>
                <w:rFonts w:hint="eastAsia" w:ascii="宋体" w:hAnsi="宋体" w:eastAsia="宋体" w:cs="宋体"/>
                <w:sz w:val="24"/>
              </w:rPr>
              <w:t>投标人针对本项目提供售后服务方案，内容包含但不限于：售后服务承诺、售后服务内容和售后服务响应时间、售后服务</w:t>
            </w:r>
            <w:r>
              <w:rPr>
                <w:rFonts w:hint="eastAsia" w:ascii="宋体" w:hAnsi="宋体" w:eastAsia="宋体" w:cs="宋体"/>
                <w:sz w:val="24"/>
                <w:lang w:val="en-US" w:eastAsia="zh-CN"/>
              </w:rPr>
              <w:t>电话</w:t>
            </w:r>
            <w:r>
              <w:rPr>
                <w:rFonts w:hint="eastAsia" w:ascii="宋体" w:hAnsi="宋体" w:eastAsia="宋体" w:cs="宋体"/>
                <w:sz w:val="24"/>
              </w:rPr>
              <w:t>等进行综合评分。</w:t>
            </w:r>
          </w:p>
          <w:p w14:paraId="41010D8A">
            <w:pPr>
              <w:spacing w:line="320" w:lineRule="exact"/>
              <w:rPr>
                <w:rFonts w:hint="eastAsia" w:ascii="宋体" w:hAnsi="宋体" w:eastAsia="宋体" w:cs="宋体"/>
                <w:sz w:val="24"/>
              </w:rPr>
            </w:pPr>
            <w:r>
              <w:rPr>
                <w:rFonts w:hint="eastAsia" w:ascii="宋体" w:hAnsi="宋体" w:eastAsia="宋体" w:cs="宋体"/>
                <w:sz w:val="24"/>
              </w:rPr>
              <w:t>方案针对性强，完善合理，措施切实可行，可操作性强</w:t>
            </w:r>
            <w:r>
              <w:rPr>
                <w:rFonts w:hint="eastAsia" w:ascii="宋体" w:hAnsi="宋体" w:cs="宋体"/>
                <w:color w:val="000000"/>
                <w:sz w:val="24"/>
                <w:szCs w:val="24"/>
                <w:highlight w:val="none"/>
                <w:lang w:val="zh-CN"/>
              </w:rPr>
              <w:t>的得</w:t>
            </w:r>
            <w:r>
              <w:rPr>
                <w:rFonts w:hint="eastAsia" w:ascii="宋体" w:hAnsi="宋体" w:eastAsia="宋体" w:cs="宋体"/>
                <w:sz w:val="24"/>
                <w:lang w:val="en-US" w:eastAsia="zh-CN"/>
              </w:rPr>
              <w:t>6</w:t>
            </w:r>
            <w:r>
              <w:rPr>
                <w:rFonts w:hint="eastAsia" w:ascii="宋体" w:hAnsi="宋体" w:eastAsia="宋体" w:cs="宋体"/>
                <w:sz w:val="24"/>
              </w:rPr>
              <w:t>分；</w:t>
            </w:r>
          </w:p>
          <w:p w14:paraId="4788E55E">
            <w:pPr>
              <w:spacing w:line="320" w:lineRule="exact"/>
              <w:rPr>
                <w:rFonts w:hint="eastAsia" w:ascii="宋体" w:hAnsi="宋体" w:eastAsia="宋体" w:cs="宋体"/>
                <w:sz w:val="24"/>
              </w:rPr>
            </w:pPr>
            <w:r>
              <w:rPr>
                <w:rFonts w:hint="eastAsia" w:ascii="宋体" w:hAnsi="宋体" w:eastAsia="宋体" w:cs="宋体"/>
                <w:sz w:val="24"/>
              </w:rPr>
              <w:t>方案较合理，措施具有可行性，可操作性一般</w:t>
            </w:r>
            <w:r>
              <w:rPr>
                <w:rFonts w:hint="eastAsia" w:ascii="宋体" w:hAnsi="宋体" w:cs="宋体"/>
                <w:color w:val="000000"/>
                <w:sz w:val="24"/>
                <w:szCs w:val="24"/>
                <w:highlight w:val="none"/>
                <w:lang w:val="zh-CN"/>
              </w:rPr>
              <w:t>的得</w:t>
            </w:r>
            <w:r>
              <w:rPr>
                <w:rFonts w:hint="eastAsia" w:ascii="宋体" w:hAnsi="宋体" w:eastAsia="宋体" w:cs="宋体"/>
                <w:sz w:val="24"/>
                <w:lang w:val="en-US" w:eastAsia="zh-CN"/>
              </w:rPr>
              <w:t>4</w:t>
            </w:r>
            <w:r>
              <w:rPr>
                <w:rFonts w:hint="eastAsia" w:ascii="宋体" w:hAnsi="宋体" w:eastAsia="宋体" w:cs="宋体"/>
                <w:sz w:val="24"/>
              </w:rPr>
              <w:t>分；</w:t>
            </w:r>
          </w:p>
          <w:p w14:paraId="14741379">
            <w:pPr>
              <w:spacing w:line="320" w:lineRule="exact"/>
              <w:rPr>
                <w:rFonts w:hint="eastAsia" w:ascii="宋体" w:hAnsi="宋体" w:eastAsia="宋体" w:cs="宋体"/>
                <w:sz w:val="24"/>
                <w:lang w:val="en-US" w:eastAsia="zh-CN"/>
              </w:rPr>
            </w:pPr>
            <w:r>
              <w:rPr>
                <w:rFonts w:hint="eastAsia" w:ascii="宋体" w:hAnsi="宋体" w:eastAsia="宋体" w:cs="宋体"/>
                <w:sz w:val="24"/>
              </w:rPr>
              <w:t>方案基本满足招标文件要求</w:t>
            </w:r>
            <w:r>
              <w:rPr>
                <w:rFonts w:hint="eastAsia" w:ascii="宋体" w:hAnsi="宋体" w:cs="宋体"/>
                <w:color w:val="000000"/>
                <w:sz w:val="24"/>
                <w:szCs w:val="24"/>
                <w:highlight w:val="none"/>
                <w:lang w:val="zh-CN"/>
              </w:rPr>
              <w:t>的得</w:t>
            </w:r>
            <w:r>
              <w:rPr>
                <w:rFonts w:hint="eastAsia" w:ascii="宋体" w:hAnsi="宋体" w:cs="宋体"/>
                <w:color w:val="000000"/>
                <w:sz w:val="24"/>
                <w:szCs w:val="24"/>
                <w:highlight w:val="none"/>
                <w:lang w:val="en-US" w:eastAsia="zh-CN"/>
              </w:rPr>
              <w:t>2</w:t>
            </w:r>
            <w:r>
              <w:rPr>
                <w:rFonts w:hint="eastAsia" w:ascii="宋体" w:hAnsi="宋体" w:eastAsia="宋体" w:cs="宋体"/>
                <w:sz w:val="24"/>
              </w:rPr>
              <w:t>分</w:t>
            </w:r>
            <w:r>
              <w:rPr>
                <w:rFonts w:hint="eastAsia" w:ascii="宋体" w:hAnsi="宋体" w:eastAsia="宋体" w:cs="宋体"/>
                <w:sz w:val="24"/>
                <w:lang w:eastAsia="zh-CN"/>
              </w:rPr>
              <w:t>；</w:t>
            </w:r>
          </w:p>
          <w:p w14:paraId="497BB00B">
            <w:pPr>
              <w:spacing w:line="320" w:lineRule="exact"/>
              <w:rPr>
                <w:rFonts w:hint="eastAsia" w:ascii="宋体" w:hAnsi="宋体" w:eastAsia="宋体" w:cs="宋体"/>
                <w:sz w:val="24"/>
              </w:rPr>
            </w:pPr>
            <w:r>
              <w:rPr>
                <w:rFonts w:hint="eastAsia" w:ascii="宋体" w:hAnsi="宋体" w:eastAsia="宋体" w:cs="宋体"/>
                <w:sz w:val="24"/>
              </w:rPr>
              <w:t>未见阐述不得分</w:t>
            </w:r>
            <w:r>
              <w:rPr>
                <w:rFonts w:hint="eastAsia" w:ascii="宋体" w:hAnsi="宋体" w:eastAsia="宋体" w:cs="宋体"/>
                <w:sz w:val="24"/>
                <w:lang w:eastAsia="zh-CN"/>
              </w:rPr>
              <w:t>。</w:t>
            </w:r>
          </w:p>
        </w:tc>
      </w:tr>
      <w:tr w14:paraId="27BE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53259D1">
            <w:pPr>
              <w:widowControl/>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保险</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2AA81805">
            <w:pPr>
              <w:spacing w:line="36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4</w:t>
            </w:r>
          </w:p>
        </w:tc>
        <w:tc>
          <w:tcPr>
            <w:tcW w:w="7028" w:type="dxa"/>
            <w:tcBorders>
              <w:top w:val="single" w:color="auto" w:sz="4" w:space="0"/>
              <w:left w:val="single" w:color="auto" w:sz="4" w:space="0"/>
              <w:bottom w:val="single" w:color="auto" w:sz="4" w:space="0"/>
              <w:right w:val="single" w:color="auto" w:sz="4" w:space="0"/>
            </w:tcBorders>
            <w:shd w:val="clear" w:color="auto" w:fill="auto"/>
            <w:vAlign w:val="top"/>
          </w:tcPr>
          <w:p w14:paraId="7C93EAFD">
            <w:pPr>
              <w:autoSpaceDE w:val="0"/>
              <w:autoSpaceDN w:val="0"/>
              <w:adjustRightInd w:val="0"/>
              <w:spacing w:line="30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所投</w:t>
            </w:r>
            <w:r>
              <w:rPr>
                <w:rFonts w:hint="eastAsia" w:ascii="宋体" w:hAnsi="宋体" w:eastAsia="宋体" w:cs="宋体"/>
                <w:bCs/>
                <w:sz w:val="24"/>
                <w:szCs w:val="24"/>
              </w:rPr>
              <w:t>全部产品购买保险</w:t>
            </w:r>
            <w:r>
              <w:rPr>
                <w:rFonts w:hint="eastAsia" w:ascii="宋体" w:hAnsi="宋体" w:eastAsia="宋体" w:cs="宋体"/>
                <w:bCs/>
                <w:sz w:val="24"/>
                <w:szCs w:val="24"/>
                <w:lang w:val="en-US" w:eastAsia="zh-CN"/>
              </w:rPr>
              <w:t>的</w:t>
            </w:r>
            <w:r>
              <w:rPr>
                <w:rFonts w:hint="eastAsia" w:ascii="宋体" w:hAnsi="宋体" w:eastAsia="宋体" w:cs="宋体"/>
                <w:bCs/>
                <w:sz w:val="24"/>
                <w:szCs w:val="24"/>
              </w:rPr>
              <w:t>（保险包括：产品责任险、产品质量险）得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 xml:space="preserve">分，缺项或不提供不得分。 </w:t>
            </w:r>
          </w:p>
          <w:p w14:paraId="1739A427">
            <w:pPr>
              <w:pStyle w:val="3"/>
              <w:ind w:firstLine="0" w:firstLineChars="0"/>
              <w:rPr>
                <w:rFonts w:hint="eastAsia" w:ascii="宋体" w:hAnsi="宋体" w:eastAsia="宋体" w:cs="宋体"/>
                <w:b/>
                <w:spacing w:val="-8"/>
                <w:sz w:val="44"/>
                <w:szCs w:val="20"/>
                <w:lang w:val="zh-CN" w:eastAsia="zh-CN" w:bidi="ar-SA"/>
              </w:rPr>
            </w:pPr>
            <w:r>
              <w:rPr>
                <w:rFonts w:hint="eastAsia" w:ascii="宋体" w:hAnsi="宋体" w:eastAsia="宋体" w:cs="宋体"/>
                <w:spacing w:val="0"/>
                <w:sz w:val="24"/>
                <w:szCs w:val="24"/>
              </w:rPr>
              <w:t>注：投标文件中提供有效的保险单扫描件并加盖公章。</w:t>
            </w:r>
          </w:p>
        </w:tc>
      </w:tr>
      <w:tr w14:paraId="795F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77D07FA8">
            <w:pPr>
              <w:widowControl/>
              <w:jc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t>类似业绩</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3ED7DC6">
            <w:pPr>
              <w:spacing w:line="360" w:lineRule="exact"/>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6</w:t>
            </w:r>
          </w:p>
        </w:tc>
        <w:tc>
          <w:tcPr>
            <w:tcW w:w="7028" w:type="dxa"/>
            <w:tcBorders>
              <w:top w:val="single" w:color="auto" w:sz="4" w:space="0"/>
              <w:left w:val="single" w:color="auto" w:sz="4" w:space="0"/>
              <w:bottom w:val="single" w:color="auto" w:sz="4" w:space="0"/>
              <w:right w:val="single" w:color="auto" w:sz="4" w:space="0"/>
            </w:tcBorders>
            <w:shd w:val="clear" w:color="auto" w:fill="auto"/>
            <w:vAlign w:val="top"/>
          </w:tcPr>
          <w:p w14:paraId="7E9C6749">
            <w:pPr>
              <w:autoSpaceDE w:val="0"/>
              <w:autoSpaceDN w:val="0"/>
              <w:adjustRightInd w:val="0"/>
              <w:spacing w:line="300" w:lineRule="exact"/>
              <w:rPr>
                <w:rFonts w:hint="eastAsia" w:ascii="宋体" w:hAnsi="宋体" w:eastAsia="宋体" w:cs="宋体"/>
                <w:bCs/>
                <w:sz w:val="24"/>
                <w:szCs w:val="24"/>
              </w:rPr>
            </w:pPr>
            <w:r>
              <w:rPr>
                <w:rFonts w:hint="eastAsia" w:ascii="宋体" w:hAnsi="宋体" w:eastAsia="宋体" w:cs="宋体"/>
                <w:sz w:val="24"/>
              </w:rPr>
              <w:t>供应商</w:t>
            </w:r>
            <w:r>
              <w:rPr>
                <w:rFonts w:hint="eastAsia" w:ascii="宋体" w:hAnsi="宋体" w:eastAsia="宋体" w:cs="宋体"/>
                <w:bCs/>
                <w:sz w:val="24"/>
                <w:szCs w:val="24"/>
              </w:rPr>
              <w:t>或投标产品生产企业提供202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年以来（以合同签订时间为准）室外健身路径器材类似项目的业绩，每提供一个得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分，本项最多得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分，没有不得分。</w:t>
            </w:r>
          </w:p>
          <w:p w14:paraId="6136D35F">
            <w:pPr>
              <w:pStyle w:val="3"/>
              <w:ind w:firstLine="0" w:firstLineChars="0"/>
              <w:rPr>
                <w:rFonts w:hint="eastAsia" w:ascii="宋体" w:hAnsi="宋体" w:eastAsia="宋体" w:cs="宋体"/>
                <w:b/>
                <w:spacing w:val="-8"/>
                <w:sz w:val="44"/>
                <w:szCs w:val="20"/>
                <w:lang w:val="zh-CN" w:eastAsia="zh-CN" w:bidi="ar-SA"/>
              </w:rPr>
            </w:pPr>
            <w:r>
              <w:rPr>
                <w:rFonts w:hint="eastAsia" w:ascii="宋体" w:hAnsi="宋体" w:eastAsia="宋体" w:cs="宋体"/>
                <w:spacing w:val="0"/>
                <w:sz w:val="24"/>
                <w:szCs w:val="24"/>
              </w:rPr>
              <w:t>注：投标文件中提供完整的合同扫描件并加盖公章。合同须清晰反映项目</w:t>
            </w:r>
            <w:r>
              <w:rPr>
                <w:rFonts w:hint="eastAsia" w:ascii="宋体" w:hAnsi="宋体" w:eastAsia="宋体" w:cs="宋体"/>
                <w:spacing w:val="0"/>
                <w:sz w:val="24"/>
                <w:szCs w:val="24"/>
                <w:lang w:val="zh-CN"/>
              </w:rPr>
              <w:t>时间、采购标的、内容等</w:t>
            </w:r>
            <w:r>
              <w:rPr>
                <w:rFonts w:hint="eastAsia" w:ascii="宋体" w:hAnsi="宋体" w:eastAsia="宋体" w:cs="宋体"/>
                <w:spacing w:val="0"/>
                <w:sz w:val="24"/>
                <w:szCs w:val="24"/>
              </w:rPr>
              <w:t>，否则不得分。</w:t>
            </w:r>
          </w:p>
        </w:tc>
      </w:tr>
    </w:tbl>
    <w:p w14:paraId="366E3BDC">
      <w:pPr>
        <w:rPr>
          <w:rFonts w:hint="eastAsia" w:ascii="宋体" w:hAnsi="宋体" w:eastAsia="宋体" w:cs="宋体"/>
        </w:rPr>
      </w:pPr>
    </w:p>
    <w:sectPr>
      <w:footerReference r:id="rId10" w:type="first"/>
      <w:footerReference r:id="rId9" w:type="default"/>
      <w:pgSz w:w="11906" w:h="16838"/>
      <w:pgMar w:top="1134" w:right="1134" w:bottom="1134" w:left="1134" w:header="720" w:footer="720" w:gutter="0"/>
      <w:pgNumType w:fmt="decimal"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金山简黑体">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auto"/>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C2762">
    <w:pPr>
      <w:pStyle w:val="3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6469">
    <w:pPr>
      <w:pStyle w:val="30"/>
      <w:framePr w:wrap="around" w:vAnchor="text" w:hAnchor="margin" w:xAlign="center" w:y="1"/>
      <w:ind w:firstLine="420"/>
      <w:rPr>
        <w:rStyle w:val="53"/>
        <w:sz w:val="21"/>
      </w:rPr>
    </w:pPr>
    <w:r>
      <w:rPr>
        <w:sz w:val="21"/>
      </w:rPr>
      <w:fldChar w:fldCharType="begin"/>
    </w:r>
    <w:r>
      <w:rPr>
        <w:rStyle w:val="53"/>
        <w:sz w:val="21"/>
      </w:rPr>
      <w:instrText xml:space="preserve">PAGE  </w:instrText>
    </w:r>
    <w:r>
      <w:rPr>
        <w:sz w:val="21"/>
      </w:rPr>
      <w:fldChar w:fldCharType="separate"/>
    </w:r>
    <w:r>
      <w:rPr>
        <w:rStyle w:val="53"/>
        <w:sz w:val="21"/>
      </w:rPr>
      <w:t>34</w:t>
    </w:r>
    <w:r>
      <w:rPr>
        <w:sz w:val="21"/>
      </w:rPr>
      <w:fldChar w:fldCharType="end"/>
    </w:r>
  </w:p>
  <w:p w14:paraId="20E2CB48">
    <w:pPr>
      <w:pStyle w:val="30"/>
      <w:ind w:firstLine="420"/>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1CBC">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B419">
    <w:pPr>
      <w:pStyle w:val="3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35CDC">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A35CDC">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367B">
    <w:pPr>
      <w:pStyle w:val="3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AD9EC">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EAD9EC">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E965">
    <w:pPr>
      <w:pStyle w:val="31"/>
      <w:jc w:val="both"/>
      <w:rPr>
        <w:color w:val="FF0000"/>
      </w:rPr>
    </w:pPr>
    <w:r>
      <w:rPr>
        <w:rFonts w:hint="eastAsia"/>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8743">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424D">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pStyle w:val="4"/>
      <w:lvlText w:val="%1"/>
      <w:lvlJc w:val="left"/>
      <w:pPr>
        <w:tabs>
          <w:tab w:val="left" w:pos="360"/>
        </w:tabs>
        <w:ind w:left="284" w:hanging="284"/>
      </w:pPr>
      <w:rPr>
        <w:rFonts w:hint="default" w:ascii="Times New Roman" w:hAnsi="Times New Roman"/>
        <w:b/>
        <w:i w:val="0"/>
        <w:sz w:val="28"/>
      </w:rPr>
    </w:lvl>
    <w:lvl w:ilvl="1" w:tentative="0">
      <w:start w:val="1"/>
      <w:numFmt w:val="decimal"/>
      <w:pStyle w:val="5"/>
      <w:lvlText w:val="%1.%2"/>
      <w:lvlJc w:val="left"/>
      <w:pPr>
        <w:tabs>
          <w:tab w:val="left" w:pos="1021"/>
        </w:tabs>
        <w:ind w:left="1021" w:hanging="596"/>
      </w:pPr>
      <w:rPr>
        <w:rFonts w:hint="default" w:ascii="Times New Roman" w:hAnsi="Times New Roman"/>
        <w:b/>
        <w:i w:val="0"/>
        <w:sz w:val="28"/>
      </w:rPr>
    </w:lvl>
    <w:lvl w:ilvl="2" w:tentative="0">
      <w:start w:val="1"/>
      <w:numFmt w:val="decimal"/>
      <w:pStyle w:val="6"/>
      <w:lvlText w:val="%1.%2.%3"/>
      <w:lvlJc w:val="left"/>
      <w:pPr>
        <w:tabs>
          <w:tab w:val="left" w:pos="1588"/>
        </w:tabs>
        <w:ind w:left="1588" w:hanging="737"/>
      </w:pPr>
      <w:rPr>
        <w:rFonts w:hint="default" w:ascii="Times New Roman" w:hAnsi="Times New Roman"/>
        <w:b/>
        <w:i w:val="0"/>
        <w:sz w:val="24"/>
      </w:rPr>
    </w:lvl>
    <w:lvl w:ilvl="3" w:tentative="0">
      <w:start w:val="1"/>
      <w:numFmt w:val="decimal"/>
      <w:pStyle w:val="7"/>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17DAFD0"/>
    <w:multiLevelType w:val="singleLevel"/>
    <w:tmpl w:val="317DAFD0"/>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yNzc1MThhMjg3OGI0MTg3YzBlNTRlMDJmOGFmM2MifQ=="/>
  </w:docVars>
  <w:rsids>
    <w:rsidRoot w:val="00EF6790"/>
    <w:rsid w:val="00265B14"/>
    <w:rsid w:val="003929B0"/>
    <w:rsid w:val="00426DA5"/>
    <w:rsid w:val="00447362"/>
    <w:rsid w:val="004C2F2A"/>
    <w:rsid w:val="005004AF"/>
    <w:rsid w:val="00586603"/>
    <w:rsid w:val="006D0BFB"/>
    <w:rsid w:val="006F19DB"/>
    <w:rsid w:val="0079129B"/>
    <w:rsid w:val="00965E3F"/>
    <w:rsid w:val="00AA7EA6"/>
    <w:rsid w:val="00EF6790"/>
    <w:rsid w:val="042B2F9B"/>
    <w:rsid w:val="061919C3"/>
    <w:rsid w:val="07A50D69"/>
    <w:rsid w:val="09A11A04"/>
    <w:rsid w:val="09BD164E"/>
    <w:rsid w:val="0A0B6438"/>
    <w:rsid w:val="0B844890"/>
    <w:rsid w:val="0BA17A99"/>
    <w:rsid w:val="0C803B53"/>
    <w:rsid w:val="0CFD6C5C"/>
    <w:rsid w:val="14592C48"/>
    <w:rsid w:val="14EA425F"/>
    <w:rsid w:val="15EE3C3C"/>
    <w:rsid w:val="16364493"/>
    <w:rsid w:val="166B7621"/>
    <w:rsid w:val="1EDD3086"/>
    <w:rsid w:val="1F233431"/>
    <w:rsid w:val="1F7E03C6"/>
    <w:rsid w:val="1FFA3623"/>
    <w:rsid w:val="20DF4E94"/>
    <w:rsid w:val="218672E6"/>
    <w:rsid w:val="22135FDA"/>
    <w:rsid w:val="22DF5A0A"/>
    <w:rsid w:val="22F1348C"/>
    <w:rsid w:val="24420388"/>
    <w:rsid w:val="244A6AC8"/>
    <w:rsid w:val="24722EAE"/>
    <w:rsid w:val="25013373"/>
    <w:rsid w:val="25096403"/>
    <w:rsid w:val="25305ECD"/>
    <w:rsid w:val="26332C8D"/>
    <w:rsid w:val="2B083239"/>
    <w:rsid w:val="2B2F07C6"/>
    <w:rsid w:val="2EF22236"/>
    <w:rsid w:val="2F1D492A"/>
    <w:rsid w:val="2F510A70"/>
    <w:rsid w:val="32076F88"/>
    <w:rsid w:val="349D4A8D"/>
    <w:rsid w:val="35507CB7"/>
    <w:rsid w:val="35FF020F"/>
    <w:rsid w:val="383A32D4"/>
    <w:rsid w:val="397B62E6"/>
    <w:rsid w:val="3B6224F2"/>
    <w:rsid w:val="3CBB042D"/>
    <w:rsid w:val="3F820624"/>
    <w:rsid w:val="3FB44A34"/>
    <w:rsid w:val="4057345D"/>
    <w:rsid w:val="40A4535A"/>
    <w:rsid w:val="413C3683"/>
    <w:rsid w:val="42615272"/>
    <w:rsid w:val="42C22FA8"/>
    <w:rsid w:val="444E7AB7"/>
    <w:rsid w:val="44DB460F"/>
    <w:rsid w:val="461B7E6D"/>
    <w:rsid w:val="46475E97"/>
    <w:rsid w:val="465F5FAB"/>
    <w:rsid w:val="481C1C7A"/>
    <w:rsid w:val="49C36851"/>
    <w:rsid w:val="4B083509"/>
    <w:rsid w:val="4CB76E6A"/>
    <w:rsid w:val="4E285AAE"/>
    <w:rsid w:val="4F675ED1"/>
    <w:rsid w:val="4FF77255"/>
    <w:rsid w:val="506348EA"/>
    <w:rsid w:val="52D65847"/>
    <w:rsid w:val="53034162"/>
    <w:rsid w:val="541E1C1F"/>
    <w:rsid w:val="544B5DC1"/>
    <w:rsid w:val="5748483A"/>
    <w:rsid w:val="580C4CAE"/>
    <w:rsid w:val="5A0F4A80"/>
    <w:rsid w:val="5AD76E7E"/>
    <w:rsid w:val="5B7E6A7C"/>
    <w:rsid w:val="5D4722E6"/>
    <w:rsid w:val="5DD140D6"/>
    <w:rsid w:val="5F6B4083"/>
    <w:rsid w:val="5FD51572"/>
    <w:rsid w:val="604F6C39"/>
    <w:rsid w:val="60D809DC"/>
    <w:rsid w:val="62361E5F"/>
    <w:rsid w:val="636B3D8A"/>
    <w:rsid w:val="649E77E7"/>
    <w:rsid w:val="65BF600E"/>
    <w:rsid w:val="68442DFB"/>
    <w:rsid w:val="68694610"/>
    <w:rsid w:val="69386686"/>
    <w:rsid w:val="6B392624"/>
    <w:rsid w:val="6C5F0204"/>
    <w:rsid w:val="6C6F157F"/>
    <w:rsid w:val="6D75789B"/>
    <w:rsid w:val="6EE959B9"/>
    <w:rsid w:val="6FB95E7D"/>
    <w:rsid w:val="70FE448F"/>
    <w:rsid w:val="71E847F7"/>
    <w:rsid w:val="71EB6773"/>
    <w:rsid w:val="724849E1"/>
    <w:rsid w:val="75A44ED9"/>
    <w:rsid w:val="76830292"/>
    <w:rsid w:val="775B50FC"/>
    <w:rsid w:val="776C3152"/>
    <w:rsid w:val="77CF596F"/>
    <w:rsid w:val="78380F8C"/>
    <w:rsid w:val="795100F6"/>
    <w:rsid w:val="7AA03EC1"/>
    <w:rsid w:val="7AE77D42"/>
    <w:rsid w:val="7B122641"/>
    <w:rsid w:val="7D3B5470"/>
    <w:rsid w:val="7D6E64F9"/>
    <w:rsid w:val="7E7F0367"/>
    <w:rsid w:val="7EF46ED2"/>
    <w:rsid w:val="7F22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4">
    <w:name w:val="heading 1"/>
    <w:basedOn w:val="1"/>
    <w:next w:val="1"/>
    <w:link w:val="218"/>
    <w:qFormat/>
    <w:uiPriority w:val="0"/>
    <w:pPr>
      <w:keepNext/>
      <w:keepLines/>
      <w:numPr>
        <w:ilvl w:val="0"/>
        <w:numId w:val="1"/>
      </w:numPr>
      <w:spacing w:line="360" w:lineRule="auto"/>
      <w:jc w:val="center"/>
      <w:outlineLvl w:val="0"/>
    </w:pPr>
    <w:rPr>
      <w:rFonts w:ascii="Times New Roman" w:hAnsi="Times New Roman" w:eastAsia="黑体" w:cs="Times New Roman"/>
      <w:b/>
      <w:sz w:val="36"/>
      <w:szCs w:val="20"/>
    </w:rPr>
  </w:style>
  <w:style w:type="paragraph" w:styleId="5">
    <w:name w:val="heading 2"/>
    <w:basedOn w:val="1"/>
    <w:next w:val="1"/>
    <w:link w:val="219"/>
    <w:qFormat/>
    <w:uiPriority w:val="0"/>
    <w:pPr>
      <w:keepNext/>
      <w:numPr>
        <w:ilvl w:val="1"/>
        <w:numId w:val="1"/>
      </w:numPr>
      <w:spacing w:line="360" w:lineRule="auto"/>
      <w:outlineLvl w:val="1"/>
    </w:pPr>
    <w:rPr>
      <w:rFonts w:ascii="Times New Roman" w:hAnsi="Times New Roman" w:eastAsia="黑体" w:cs="Times New Roman"/>
      <w:b/>
      <w:sz w:val="28"/>
      <w:szCs w:val="20"/>
    </w:rPr>
  </w:style>
  <w:style w:type="paragraph" w:styleId="6">
    <w:name w:val="heading 3"/>
    <w:basedOn w:val="1"/>
    <w:next w:val="1"/>
    <w:link w:val="220"/>
    <w:qFormat/>
    <w:uiPriority w:val="0"/>
    <w:pPr>
      <w:numPr>
        <w:ilvl w:val="2"/>
        <w:numId w:val="1"/>
      </w:numPr>
      <w:tabs>
        <w:tab w:val="left" w:pos="900"/>
      </w:tabs>
      <w:spacing w:before="120" w:line="360" w:lineRule="auto"/>
      <w:ind w:firstLine="200"/>
      <w:outlineLvl w:val="2"/>
    </w:pPr>
    <w:rPr>
      <w:rFonts w:ascii="Times New Roman" w:hAnsi="Times New Roman" w:eastAsia="黑体" w:cs="Times New Roman"/>
      <w:b/>
      <w:sz w:val="28"/>
      <w:szCs w:val="20"/>
    </w:rPr>
  </w:style>
  <w:style w:type="paragraph" w:styleId="7">
    <w:name w:val="heading 4"/>
    <w:basedOn w:val="1"/>
    <w:next w:val="1"/>
    <w:link w:val="221"/>
    <w:qFormat/>
    <w:uiPriority w:val="0"/>
    <w:pPr>
      <w:numPr>
        <w:ilvl w:val="3"/>
        <w:numId w:val="1"/>
      </w:numPr>
      <w:spacing w:before="120" w:line="360" w:lineRule="auto"/>
      <w:ind w:firstLine="200"/>
      <w:outlineLvl w:val="3"/>
    </w:pPr>
    <w:rPr>
      <w:rFonts w:ascii="Arial" w:hAnsi="Times New Roman" w:eastAsia="黑体" w:cs="Times New Roman"/>
      <w:sz w:val="28"/>
      <w:szCs w:val="20"/>
    </w:rPr>
  </w:style>
  <w:style w:type="paragraph" w:styleId="8">
    <w:name w:val="heading 5"/>
    <w:basedOn w:val="1"/>
    <w:next w:val="1"/>
    <w:link w:val="9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92"/>
    <w:unhideWhenUsed/>
    <w:qFormat/>
    <w:uiPriority w:val="9"/>
    <w:pPr>
      <w:keepNext/>
      <w:keepLines/>
      <w:spacing w:before="320" w:after="200"/>
      <w:outlineLvl w:val="5"/>
    </w:pPr>
    <w:rPr>
      <w:rFonts w:ascii="Arial" w:hAnsi="Arial" w:eastAsia="Arial" w:cs="Arial"/>
      <w:b/>
      <w:bCs/>
      <w:sz w:val="22"/>
    </w:rPr>
  </w:style>
  <w:style w:type="paragraph" w:styleId="10">
    <w:name w:val="heading 7"/>
    <w:basedOn w:val="1"/>
    <w:next w:val="1"/>
    <w:link w:val="93"/>
    <w:unhideWhenUsed/>
    <w:qFormat/>
    <w:uiPriority w:val="9"/>
    <w:pPr>
      <w:keepNext/>
      <w:keepLines/>
      <w:spacing w:before="320" w:after="200"/>
      <w:outlineLvl w:val="6"/>
    </w:pPr>
    <w:rPr>
      <w:rFonts w:ascii="Arial" w:hAnsi="Arial" w:eastAsia="Arial" w:cs="Arial"/>
      <w:b/>
      <w:bCs/>
      <w:i/>
      <w:iCs/>
      <w:sz w:val="22"/>
    </w:rPr>
  </w:style>
  <w:style w:type="paragraph" w:styleId="11">
    <w:name w:val="heading 8"/>
    <w:basedOn w:val="1"/>
    <w:next w:val="1"/>
    <w:link w:val="94"/>
    <w:unhideWhenUsed/>
    <w:qFormat/>
    <w:uiPriority w:val="9"/>
    <w:pPr>
      <w:keepNext/>
      <w:keepLines/>
      <w:spacing w:before="320" w:after="200"/>
      <w:outlineLvl w:val="7"/>
    </w:pPr>
    <w:rPr>
      <w:rFonts w:ascii="Arial" w:hAnsi="Arial" w:eastAsia="Arial" w:cs="Arial"/>
      <w:i/>
      <w:iCs/>
      <w:sz w:val="22"/>
    </w:rPr>
  </w:style>
  <w:style w:type="paragraph" w:styleId="12">
    <w:name w:val="heading 9"/>
    <w:basedOn w:val="1"/>
    <w:next w:val="1"/>
    <w:link w:val="95"/>
    <w:unhideWhenUsed/>
    <w:qFormat/>
    <w:uiPriority w:val="9"/>
    <w:pPr>
      <w:keepNext/>
      <w:keepLines/>
      <w:spacing w:before="320" w:after="200"/>
      <w:outlineLvl w:val="8"/>
    </w:pPr>
    <w:rPr>
      <w:rFonts w:ascii="Arial" w:hAnsi="Arial" w:eastAsia="Arial" w:cs="Arial"/>
      <w:i/>
      <w:iCs/>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essage Header"/>
    <w:next w:val="3"/>
    <w:qFormat/>
    <w:uiPriority w:val="99"/>
    <w:pPr>
      <w:widowControl w:val="0"/>
      <w:pBdr>
        <w:top w:val="none" w:color="auto" w:sz="0" w:space="1"/>
        <w:left w:val="none" w:color="auto" w:sz="0" w:space="1"/>
        <w:bottom w:val="none" w:color="auto" w:sz="0" w:space="1"/>
        <w:right w:val="none" w:color="auto" w:sz="0" w:space="1"/>
      </w:pBdr>
      <w:shd w:val="pct20" w:color="auto" w:fill="auto"/>
      <w:jc w:val="both"/>
    </w:pPr>
    <w:rPr>
      <w:rFonts w:ascii="华文细黑" w:hAnsi="华文细黑" w:eastAsia="宋体" w:cs="Times New Roman"/>
      <w:color w:val="000000"/>
      <w:sz w:val="21"/>
      <w:szCs w:val="24"/>
      <w:lang w:val="en-US" w:eastAsia="zh-CN" w:bidi="ar-SA"/>
    </w:rPr>
  </w:style>
  <w:style w:type="paragraph" w:styleId="3">
    <w:name w:val="Body Text"/>
    <w:basedOn w:val="1"/>
    <w:next w:val="1"/>
    <w:link w:val="227"/>
    <w:qFormat/>
    <w:uiPriority w:val="0"/>
    <w:pPr>
      <w:spacing w:line="360" w:lineRule="auto"/>
      <w:ind w:firstLine="922"/>
    </w:pPr>
    <w:rPr>
      <w:rFonts w:ascii="金山简黑体" w:hAnsi="Courier New" w:eastAsia="金山简黑体" w:cs="Times New Roman"/>
      <w:b/>
      <w:spacing w:val="-8"/>
      <w:sz w:val="44"/>
      <w:szCs w:val="20"/>
    </w:rPr>
  </w:style>
  <w:style w:type="paragraph" w:styleId="13">
    <w:name w:val="toc 7"/>
    <w:basedOn w:val="1"/>
    <w:next w:val="1"/>
    <w:qFormat/>
    <w:uiPriority w:val="0"/>
    <w:pPr>
      <w:spacing w:line="360" w:lineRule="auto"/>
      <w:ind w:left="1260" w:firstLine="922"/>
      <w:jc w:val="left"/>
    </w:pPr>
    <w:rPr>
      <w:rFonts w:ascii="Calibri" w:hAnsi="Calibri" w:eastAsia="宋体" w:cs="Times New Roman"/>
      <w:sz w:val="20"/>
      <w:szCs w:val="20"/>
    </w:rPr>
  </w:style>
  <w:style w:type="paragraph" w:styleId="14">
    <w:name w:val="Normal Indent"/>
    <w:basedOn w:val="1"/>
    <w:link w:val="223"/>
    <w:qFormat/>
    <w:uiPriority w:val="0"/>
    <w:pPr>
      <w:spacing w:line="360" w:lineRule="auto"/>
      <w:ind w:firstLine="420"/>
    </w:pPr>
    <w:rPr>
      <w:rFonts w:ascii="Times New Roman" w:hAnsi="Times New Roman" w:eastAsia="宋体" w:cs="Times New Roman"/>
      <w:sz w:val="24"/>
      <w:szCs w:val="24"/>
    </w:r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Document Map"/>
    <w:basedOn w:val="1"/>
    <w:link w:val="224"/>
    <w:semiHidden/>
    <w:qFormat/>
    <w:uiPriority w:val="0"/>
    <w:pPr>
      <w:shd w:val="clear" w:color="auto" w:fill="000080"/>
      <w:spacing w:line="360" w:lineRule="auto"/>
      <w:ind w:firstLine="922"/>
    </w:pPr>
    <w:rPr>
      <w:rFonts w:ascii="Times New Roman" w:hAnsi="Times New Roman" w:eastAsia="宋体" w:cs="Times New Roman"/>
      <w:szCs w:val="24"/>
    </w:rPr>
  </w:style>
  <w:style w:type="paragraph" w:styleId="17">
    <w:name w:val="toa heading"/>
    <w:basedOn w:val="1"/>
    <w:next w:val="1"/>
    <w:qFormat/>
    <w:uiPriority w:val="0"/>
    <w:pPr>
      <w:spacing w:before="120"/>
    </w:pPr>
    <w:rPr>
      <w:rFonts w:ascii="Cambria" w:hAnsi="Cambria" w:eastAsia="宋体" w:cs="Times New Roman"/>
      <w:szCs w:val="24"/>
    </w:rPr>
  </w:style>
  <w:style w:type="paragraph" w:styleId="18">
    <w:name w:val="annotation text"/>
    <w:basedOn w:val="1"/>
    <w:link w:val="225"/>
    <w:qFormat/>
    <w:uiPriority w:val="0"/>
    <w:pPr>
      <w:spacing w:line="360" w:lineRule="auto"/>
      <w:ind w:firstLine="922"/>
      <w:jc w:val="left"/>
    </w:pPr>
    <w:rPr>
      <w:rFonts w:ascii="Times New Roman" w:hAnsi="Times New Roman" w:eastAsia="宋体" w:cs="Times New Roman"/>
      <w:szCs w:val="24"/>
    </w:rPr>
  </w:style>
  <w:style w:type="paragraph" w:styleId="19">
    <w:name w:val="Body Text 3"/>
    <w:basedOn w:val="1"/>
    <w:link w:val="226"/>
    <w:qFormat/>
    <w:uiPriority w:val="0"/>
    <w:pPr>
      <w:spacing w:line="360" w:lineRule="auto"/>
      <w:ind w:firstLine="922"/>
    </w:pPr>
    <w:rPr>
      <w:rFonts w:ascii="Times New Roman" w:hAnsi="Times New Roman" w:eastAsia="宋体" w:cs="Times New Roman"/>
      <w:sz w:val="24"/>
      <w:szCs w:val="24"/>
    </w:rPr>
  </w:style>
  <w:style w:type="paragraph" w:styleId="20">
    <w:name w:val="Body Text Indent"/>
    <w:basedOn w:val="1"/>
    <w:next w:val="21"/>
    <w:link w:val="228"/>
    <w:qFormat/>
    <w:uiPriority w:val="0"/>
    <w:pPr>
      <w:spacing w:line="200" w:lineRule="exact"/>
      <w:ind w:firstLine="301"/>
    </w:pPr>
    <w:rPr>
      <w:rFonts w:ascii="宋体" w:hAnsi="Courier New" w:eastAsia="宋体" w:cs="Times New Roman"/>
      <w:spacing w:val="-4"/>
      <w:sz w:val="18"/>
      <w:szCs w:val="20"/>
    </w:rPr>
  </w:style>
  <w:style w:type="paragraph" w:styleId="21">
    <w:name w:val="envelope return"/>
    <w:basedOn w:val="1"/>
    <w:qFormat/>
    <w:uiPriority w:val="0"/>
    <w:rPr>
      <w:rFonts w:ascii="Arial" w:hAnsi="Arial" w:cs="Arial"/>
    </w:rPr>
  </w:style>
  <w:style w:type="paragraph" w:styleId="22">
    <w:name w:val="toc 5"/>
    <w:basedOn w:val="1"/>
    <w:next w:val="1"/>
    <w:qFormat/>
    <w:uiPriority w:val="0"/>
    <w:pPr>
      <w:spacing w:line="360" w:lineRule="auto"/>
      <w:ind w:left="840" w:firstLine="922"/>
      <w:jc w:val="left"/>
    </w:pPr>
    <w:rPr>
      <w:rFonts w:ascii="Calibri" w:hAnsi="Calibri" w:eastAsia="宋体" w:cs="Times New Roman"/>
      <w:sz w:val="20"/>
      <w:szCs w:val="20"/>
    </w:rPr>
  </w:style>
  <w:style w:type="paragraph" w:styleId="23">
    <w:name w:val="toc 3"/>
    <w:basedOn w:val="1"/>
    <w:next w:val="1"/>
    <w:unhideWhenUsed/>
    <w:qFormat/>
    <w:uiPriority w:val="39"/>
    <w:pPr>
      <w:spacing w:line="360" w:lineRule="auto"/>
      <w:ind w:left="420" w:firstLine="922"/>
      <w:jc w:val="left"/>
    </w:pPr>
    <w:rPr>
      <w:rFonts w:ascii="Calibri" w:hAnsi="Calibri" w:eastAsia="宋体" w:cs="Times New Roman"/>
      <w:sz w:val="20"/>
      <w:szCs w:val="20"/>
    </w:rPr>
  </w:style>
  <w:style w:type="paragraph" w:styleId="24">
    <w:name w:val="Plain Text"/>
    <w:basedOn w:val="1"/>
    <w:next w:val="1"/>
    <w:link w:val="229"/>
    <w:qFormat/>
    <w:uiPriority w:val="0"/>
    <w:pPr>
      <w:spacing w:line="360" w:lineRule="auto"/>
      <w:ind w:firstLine="922"/>
    </w:pPr>
    <w:rPr>
      <w:rFonts w:ascii="宋体" w:hAnsi="Courier New" w:eastAsia="宋体" w:cs="Times New Roman"/>
      <w:szCs w:val="20"/>
    </w:rPr>
  </w:style>
  <w:style w:type="paragraph" w:styleId="25">
    <w:name w:val="toc 8"/>
    <w:basedOn w:val="1"/>
    <w:next w:val="1"/>
    <w:qFormat/>
    <w:uiPriority w:val="0"/>
    <w:pPr>
      <w:spacing w:line="360" w:lineRule="auto"/>
      <w:ind w:left="1470" w:firstLine="922"/>
      <w:jc w:val="left"/>
    </w:pPr>
    <w:rPr>
      <w:rFonts w:ascii="Calibri" w:hAnsi="Calibri" w:eastAsia="宋体" w:cs="Times New Roman"/>
      <w:sz w:val="20"/>
      <w:szCs w:val="20"/>
    </w:rPr>
  </w:style>
  <w:style w:type="paragraph" w:styleId="26">
    <w:name w:val="Date"/>
    <w:basedOn w:val="1"/>
    <w:next w:val="1"/>
    <w:link w:val="230"/>
    <w:qFormat/>
    <w:uiPriority w:val="0"/>
    <w:pPr>
      <w:spacing w:line="360" w:lineRule="auto"/>
      <w:ind w:left="100" w:firstLine="922"/>
    </w:pPr>
    <w:rPr>
      <w:rFonts w:ascii="Times New Roman" w:hAnsi="Times New Roman" w:eastAsia="宋体" w:cs="Times New Roman"/>
      <w:szCs w:val="24"/>
    </w:rPr>
  </w:style>
  <w:style w:type="paragraph" w:styleId="27">
    <w:name w:val="Body Text Indent 2"/>
    <w:basedOn w:val="1"/>
    <w:link w:val="231"/>
    <w:qFormat/>
    <w:uiPriority w:val="0"/>
    <w:pPr>
      <w:spacing w:after="120" w:line="480" w:lineRule="auto"/>
      <w:ind w:left="420" w:firstLine="922"/>
    </w:pPr>
    <w:rPr>
      <w:rFonts w:ascii="Times New Roman" w:hAnsi="Times New Roman" w:eastAsia="宋体" w:cs="Times New Roman"/>
      <w:szCs w:val="24"/>
    </w:rPr>
  </w:style>
  <w:style w:type="paragraph" w:styleId="28">
    <w:name w:val="endnote text"/>
    <w:basedOn w:val="1"/>
    <w:link w:val="213"/>
    <w:semiHidden/>
    <w:unhideWhenUsed/>
    <w:qFormat/>
    <w:uiPriority w:val="99"/>
    <w:rPr>
      <w:sz w:val="20"/>
    </w:rPr>
  </w:style>
  <w:style w:type="paragraph" w:styleId="29">
    <w:name w:val="Balloon Text"/>
    <w:basedOn w:val="1"/>
    <w:link w:val="232"/>
    <w:semiHidden/>
    <w:qFormat/>
    <w:uiPriority w:val="0"/>
    <w:pPr>
      <w:spacing w:line="360" w:lineRule="auto"/>
      <w:ind w:firstLine="922"/>
    </w:pPr>
    <w:rPr>
      <w:rFonts w:ascii="Times New Roman" w:hAnsi="Times New Roman" w:eastAsia="宋体" w:cs="Times New Roman"/>
      <w:sz w:val="18"/>
      <w:szCs w:val="18"/>
    </w:rPr>
  </w:style>
  <w:style w:type="paragraph" w:styleId="30">
    <w:name w:val="footer"/>
    <w:basedOn w:val="1"/>
    <w:link w:val="217"/>
    <w:unhideWhenUsed/>
    <w:qFormat/>
    <w:uiPriority w:val="99"/>
    <w:pPr>
      <w:tabs>
        <w:tab w:val="center" w:pos="4153"/>
        <w:tab w:val="right" w:pos="8306"/>
      </w:tabs>
      <w:jc w:val="left"/>
    </w:pPr>
    <w:rPr>
      <w:sz w:val="18"/>
      <w:szCs w:val="18"/>
    </w:rPr>
  </w:style>
  <w:style w:type="paragraph" w:styleId="31">
    <w:name w:val="header"/>
    <w:basedOn w:val="1"/>
    <w:link w:val="216"/>
    <w:unhideWhenUsed/>
    <w:qFormat/>
    <w:uiPriority w:val="0"/>
    <w:pPr>
      <w:pBdr>
        <w:bottom w:val="single" w:color="auto" w:sz="6" w:space="1"/>
      </w:pBdr>
      <w:tabs>
        <w:tab w:val="center" w:pos="4153"/>
        <w:tab w:val="right" w:pos="8306"/>
      </w:tabs>
      <w:jc w:val="center"/>
    </w:pPr>
    <w:rPr>
      <w:sz w:val="18"/>
      <w:szCs w:val="18"/>
    </w:rPr>
  </w:style>
  <w:style w:type="paragraph" w:styleId="32">
    <w:name w:val="toc 1"/>
    <w:basedOn w:val="1"/>
    <w:next w:val="1"/>
    <w:qFormat/>
    <w:uiPriority w:val="39"/>
    <w:pPr>
      <w:spacing w:before="120" w:line="360" w:lineRule="auto"/>
      <w:ind w:firstLine="922"/>
      <w:jc w:val="left"/>
    </w:pPr>
    <w:rPr>
      <w:rFonts w:ascii="Calibri" w:hAnsi="Calibri" w:eastAsia="宋体" w:cs="Times New Roman"/>
      <w:b/>
      <w:bCs/>
      <w:i/>
      <w:iCs/>
      <w:sz w:val="24"/>
      <w:szCs w:val="24"/>
    </w:rPr>
  </w:style>
  <w:style w:type="paragraph" w:styleId="33">
    <w:name w:val="toc 4"/>
    <w:basedOn w:val="1"/>
    <w:next w:val="1"/>
    <w:qFormat/>
    <w:uiPriority w:val="0"/>
    <w:pPr>
      <w:spacing w:line="360" w:lineRule="auto"/>
      <w:ind w:left="630" w:firstLine="922"/>
      <w:jc w:val="left"/>
    </w:pPr>
    <w:rPr>
      <w:rFonts w:ascii="Calibri" w:hAnsi="Calibri" w:eastAsia="宋体" w:cs="Times New Roman"/>
      <w:sz w:val="20"/>
      <w:szCs w:val="20"/>
    </w:rPr>
  </w:style>
  <w:style w:type="paragraph" w:styleId="34">
    <w:name w:val="Subtitle"/>
    <w:basedOn w:val="1"/>
    <w:next w:val="1"/>
    <w:link w:val="233"/>
    <w:qFormat/>
    <w:uiPriority w:val="0"/>
    <w:pPr>
      <w:spacing w:before="240" w:after="60" w:line="312" w:lineRule="auto"/>
      <w:ind w:firstLine="922"/>
      <w:jc w:val="center"/>
      <w:outlineLvl w:val="1"/>
    </w:pPr>
    <w:rPr>
      <w:rFonts w:ascii="Cambria" w:hAnsi="Cambria" w:eastAsia="宋体" w:cs="Times New Roman"/>
      <w:b/>
      <w:bCs/>
      <w:sz w:val="32"/>
      <w:szCs w:val="32"/>
    </w:rPr>
  </w:style>
  <w:style w:type="paragraph" w:styleId="35">
    <w:name w:val="footnote text"/>
    <w:basedOn w:val="1"/>
    <w:link w:val="212"/>
    <w:semiHidden/>
    <w:unhideWhenUsed/>
    <w:qFormat/>
    <w:uiPriority w:val="99"/>
    <w:pPr>
      <w:spacing w:after="40"/>
    </w:pPr>
    <w:rPr>
      <w:sz w:val="18"/>
    </w:rPr>
  </w:style>
  <w:style w:type="paragraph" w:styleId="36">
    <w:name w:val="toc 6"/>
    <w:basedOn w:val="1"/>
    <w:next w:val="1"/>
    <w:qFormat/>
    <w:uiPriority w:val="0"/>
    <w:pPr>
      <w:spacing w:line="360" w:lineRule="auto"/>
      <w:ind w:left="1050" w:firstLine="922"/>
      <w:jc w:val="left"/>
    </w:pPr>
    <w:rPr>
      <w:rFonts w:ascii="Calibri" w:hAnsi="Calibri" w:eastAsia="宋体" w:cs="Times New Roman"/>
      <w:sz w:val="20"/>
      <w:szCs w:val="20"/>
    </w:rPr>
  </w:style>
  <w:style w:type="paragraph" w:styleId="37">
    <w:name w:val="Body Text Indent 3"/>
    <w:basedOn w:val="1"/>
    <w:link w:val="234"/>
    <w:qFormat/>
    <w:uiPriority w:val="0"/>
    <w:pPr>
      <w:spacing w:line="400" w:lineRule="exact"/>
      <w:ind w:left="360" w:firstLine="922"/>
    </w:pPr>
    <w:rPr>
      <w:rFonts w:ascii="Times New Roman" w:hAnsi="Times New Roman" w:eastAsia="宋体" w:cs="Times New Roman"/>
      <w:sz w:val="24"/>
      <w:szCs w:val="24"/>
    </w:r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before="120" w:line="360" w:lineRule="auto"/>
      <w:ind w:left="210" w:firstLine="922"/>
      <w:jc w:val="left"/>
    </w:pPr>
    <w:rPr>
      <w:rFonts w:ascii="Calibri" w:hAnsi="Calibri" w:eastAsia="宋体" w:cs="Times New Roman"/>
      <w:b/>
      <w:bCs/>
      <w:sz w:val="22"/>
    </w:rPr>
  </w:style>
  <w:style w:type="paragraph" w:styleId="40">
    <w:name w:val="toc 9"/>
    <w:basedOn w:val="1"/>
    <w:next w:val="1"/>
    <w:qFormat/>
    <w:uiPriority w:val="0"/>
    <w:pPr>
      <w:spacing w:line="360" w:lineRule="auto"/>
      <w:ind w:left="1680" w:firstLine="922"/>
      <w:jc w:val="left"/>
    </w:pPr>
    <w:rPr>
      <w:rFonts w:ascii="Calibri" w:hAnsi="Calibri" w:eastAsia="宋体" w:cs="Times New Roman"/>
      <w:sz w:val="20"/>
      <w:szCs w:val="20"/>
    </w:rPr>
  </w:style>
  <w:style w:type="paragraph" w:styleId="41">
    <w:name w:val="Body Text 2"/>
    <w:basedOn w:val="1"/>
    <w:link w:val="235"/>
    <w:qFormat/>
    <w:uiPriority w:val="0"/>
    <w:pPr>
      <w:spacing w:line="360" w:lineRule="auto"/>
      <w:ind w:firstLine="922"/>
    </w:pPr>
    <w:rPr>
      <w:rFonts w:ascii="宋体" w:hAnsi="Courier New" w:eastAsia="宋体" w:cs="Times New Roman"/>
      <w:sz w:val="13"/>
      <w:szCs w:val="20"/>
    </w:rPr>
  </w:style>
  <w:style w:type="paragraph" w:styleId="42">
    <w:name w:val="HTML Preformatted"/>
    <w:basedOn w:val="1"/>
    <w:link w:val="2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22"/>
      <w:jc w:val="left"/>
    </w:pPr>
    <w:rPr>
      <w:rFonts w:ascii="宋体" w:hAnsi="宋体" w:eastAsia="宋体" w:cs="Times New Roman"/>
      <w:sz w:val="24"/>
      <w:szCs w:val="24"/>
    </w:rPr>
  </w:style>
  <w:style w:type="paragraph" w:styleId="43">
    <w:name w:val="Normal (Web)"/>
    <w:basedOn w:val="1"/>
    <w:qFormat/>
    <w:uiPriority w:val="0"/>
    <w:pPr>
      <w:widowControl/>
      <w:spacing w:before="100" w:beforeAutospacing="1" w:after="100" w:afterAutospacing="1" w:line="360" w:lineRule="auto"/>
      <w:ind w:firstLine="922"/>
      <w:jc w:val="left"/>
    </w:pPr>
    <w:rPr>
      <w:rFonts w:ascii="宋体" w:hAnsi="宋体" w:eastAsia="宋体" w:cs="Times New Roman"/>
      <w:sz w:val="24"/>
      <w:szCs w:val="24"/>
    </w:rPr>
  </w:style>
  <w:style w:type="paragraph" w:styleId="44">
    <w:name w:val="Title"/>
    <w:basedOn w:val="1"/>
    <w:next w:val="1"/>
    <w:qFormat/>
    <w:uiPriority w:val="10"/>
    <w:pPr>
      <w:widowControl/>
      <w:spacing w:line="420" w:lineRule="exact"/>
      <w:jc w:val="center"/>
    </w:pPr>
    <w:rPr>
      <w:rFonts w:eastAsia="黑体"/>
      <w:b/>
      <w:sz w:val="20"/>
      <w:szCs w:val="20"/>
      <w:lang w:val="en-GB"/>
    </w:rPr>
  </w:style>
  <w:style w:type="paragraph" w:styleId="45">
    <w:name w:val="annotation subject"/>
    <w:basedOn w:val="18"/>
    <w:next w:val="18"/>
    <w:link w:val="236"/>
    <w:semiHidden/>
    <w:qFormat/>
    <w:uiPriority w:val="0"/>
    <w:rPr>
      <w:b/>
      <w:bCs/>
    </w:rPr>
  </w:style>
  <w:style w:type="paragraph" w:styleId="46">
    <w:name w:val="Body Text First Indent"/>
    <w:basedOn w:val="3"/>
    <w:link w:val="237"/>
    <w:qFormat/>
    <w:uiPriority w:val="0"/>
    <w:pPr>
      <w:spacing w:after="120"/>
      <w:ind w:firstLine="420"/>
    </w:pPr>
    <w:rPr>
      <w:rFonts w:ascii="Times New Roman" w:hAnsi="Times New Roman" w:eastAsia="宋体"/>
      <w:b w:val="0"/>
      <w:spacing w:val="0"/>
      <w:sz w:val="21"/>
      <w:szCs w:val="24"/>
    </w:rPr>
  </w:style>
  <w:style w:type="paragraph" w:styleId="47">
    <w:name w:val="Body Text First Indent 2"/>
    <w:basedOn w:val="20"/>
    <w:next w:val="3"/>
    <w:qFormat/>
    <w:uiPriority w:val="99"/>
    <w:pPr>
      <w:spacing w:line="360" w:lineRule="auto"/>
      <w:ind w:firstLine="420"/>
    </w:pPr>
    <w:rPr>
      <w:rFonts w:hAnsi="宋体"/>
      <w:sz w:val="20"/>
    </w:rPr>
  </w:style>
  <w:style w:type="table" w:styleId="49">
    <w:name w:val="Table Grid"/>
    <w:basedOn w:val="48"/>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endnote reference"/>
    <w:basedOn w:val="50"/>
    <w:semiHidden/>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basedOn w:val="50"/>
    <w:unhideWhenUsed/>
    <w:qFormat/>
    <w:uiPriority w:val="99"/>
    <w:rPr>
      <w:vertAlign w:val="superscript"/>
    </w:rPr>
  </w:style>
  <w:style w:type="character" w:customStyle="1" w:styleId="58">
    <w:name w:val="Heading 5 Char"/>
    <w:basedOn w:val="50"/>
    <w:qFormat/>
    <w:uiPriority w:val="9"/>
    <w:rPr>
      <w:rFonts w:ascii="Arial" w:hAnsi="Arial" w:eastAsia="Arial" w:cs="Arial"/>
      <w:b/>
      <w:bCs/>
      <w:sz w:val="24"/>
      <w:szCs w:val="24"/>
    </w:rPr>
  </w:style>
  <w:style w:type="character" w:customStyle="1" w:styleId="59">
    <w:name w:val="Heading 6 Char"/>
    <w:basedOn w:val="50"/>
    <w:qFormat/>
    <w:uiPriority w:val="9"/>
    <w:rPr>
      <w:rFonts w:ascii="Arial" w:hAnsi="Arial" w:eastAsia="Arial" w:cs="Arial"/>
      <w:b/>
      <w:bCs/>
      <w:sz w:val="22"/>
      <w:szCs w:val="22"/>
    </w:rPr>
  </w:style>
  <w:style w:type="character" w:customStyle="1" w:styleId="60">
    <w:name w:val="Heading 7 Char"/>
    <w:basedOn w:val="50"/>
    <w:qFormat/>
    <w:uiPriority w:val="9"/>
    <w:rPr>
      <w:rFonts w:ascii="Arial" w:hAnsi="Arial" w:eastAsia="Arial" w:cs="Arial"/>
      <w:b/>
      <w:bCs/>
      <w:i/>
      <w:iCs/>
      <w:sz w:val="22"/>
      <w:szCs w:val="22"/>
    </w:rPr>
  </w:style>
  <w:style w:type="character" w:customStyle="1" w:styleId="61">
    <w:name w:val="Heading 8 Char"/>
    <w:basedOn w:val="50"/>
    <w:qFormat/>
    <w:uiPriority w:val="9"/>
    <w:rPr>
      <w:rFonts w:ascii="Arial" w:hAnsi="Arial" w:eastAsia="Arial" w:cs="Arial"/>
      <w:i/>
      <w:iCs/>
      <w:sz w:val="22"/>
      <w:szCs w:val="22"/>
    </w:rPr>
  </w:style>
  <w:style w:type="character" w:customStyle="1" w:styleId="62">
    <w:name w:val="Heading 9 Char"/>
    <w:basedOn w:val="50"/>
    <w:qFormat/>
    <w:uiPriority w:val="9"/>
    <w:rPr>
      <w:rFonts w:ascii="Arial" w:hAnsi="Arial" w:eastAsia="Arial" w:cs="Arial"/>
      <w:i/>
      <w:iCs/>
      <w:sz w:val="21"/>
      <w:szCs w:val="21"/>
    </w:rPr>
  </w:style>
  <w:style w:type="character" w:customStyle="1" w:styleId="63">
    <w:name w:val="Quote Char"/>
    <w:qFormat/>
    <w:uiPriority w:val="29"/>
    <w:rPr>
      <w:i/>
    </w:rPr>
  </w:style>
  <w:style w:type="character" w:customStyle="1" w:styleId="64">
    <w:name w:val="Intense Quote Char"/>
    <w:qFormat/>
    <w:uiPriority w:val="30"/>
    <w:rPr>
      <w:i/>
    </w:rPr>
  </w:style>
  <w:style w:type="table" w:customStyle="1" w:styleId="65">
    <w:name w:val="无格式表格 11"/>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无格式表格 21"/>
    <w:basedOn w:val="48"/>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无格式表格 31"/>
    <w:basedOn w:val="48"/>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无格式表格 41"/>
    <w:basedOn w:val="48"/>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无格式表格 51"/>
    <w:basedOn w:val="48"/>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网格表 1 浅色1"/>
    <w:basedOn w:val="48"/>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网格表 21"/>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网格表 31"/>
    <w:basedOn w:val="4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网格表 41"/>
    <w:basedOn w:val="48"/>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网格表 5 深色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5">
    <w:name w:val="网格表 6 彩色1"/>
    <w:basedOn w:val="48"/>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6">
    <w:name w:val="网格表 7 彩色1"/>
    <w:basedOn w:val="48"/>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7">
    <w:name w:val="清单表 1 浅色1"/>
    <w:basedOn w:val="48"/>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8">
    <w:name w:val="清单表 21"/>
    <w:basedOn w:val="48"/>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9">
    <w:name w:val="清单表 31"/>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0">
    <w:name w:val="清单表 41"/>
    <w:basedOn w:val="4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1">
    <w:name w:val="清单表 5 深色1"/>
    <w:basedOn w:val="48"/>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2">
    <w:name w:val="清单表 6 彩色1"/>
    <w:basedOn w:val="48"/>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3">
    <w:name w:val="清单表 7 彩色1"/>
    <w:basedOn w:val="48"/>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4">
    <w:name w:val="Footnote Text Char"/>
    <w:qFormat/>
    <w:uiPriority w:val="99"/>
    <w:rPr>
      <w:sz w:val="18"/>
    </w:rPr>
  </w:style>
  <w:style w:type="character" w:customStyle="1" w:styleId="85">
    <w:name w:val="Endnote Text Char"/>
    <w:qFormat/>
    <w:uiPriority w:val="99"/>
    <w:rPr>
      <w:sz w:val="20"/>
    </w:rPr>
  </w:style>
  <w:style w:type="paragraph" w:customStyle="1" w:styleId="86">
    <w:name w:val="TOC 标题1"/>
    <w:unhideWhenUsed/>
    <w:qFormat/>
    <w:uiPriority w:val="39"/>
    <w:rPr>
      <w:rFonts w:ascii="Times New Roman" w:hAnsi="Times New Roman" w:eastAsia="宋体" w:cs="Times New Roman"/>
      <w:lang w:val="en-US" w:eastAsia="zh-CN" w:bidi="ar-SA"/>
    </w:rPr>
  </w:style>
  <w:style w:type="character" w:customStyle="1" w:styleId="87">
    <w:name w:val="Heading 1 Char"/>
    <w:basedOn w:val="50"/>
    <w:qFormat/>
    <w:uiPriority w:val="9"/>
    <w:rPr>
      <w:rFonts w:ascii="Arial" w:hAnsi="Arial" w:eastAsia="Arial" w:cs="Arial"/>
      <w:sz w:val="40"/>
      <w:szCs w:val="40"/>
    </w:rPr>
  </w:style>
  <w:style w:type="character" w:customStyle="1" w:styleId="88">
    <w:name w:val="Heading 2 Char"/>
    <w:basedOn w:val="50"/>
    <w:qFormat/>
    <w:uiPriority w:val="9"/>
    <w:rPr>
      <w:rFonts w:ascii="Arial" w:hAnsi="Arial" w:eastAsia="Arial" w:cs="Arial"/>
      <w:sz w:val="34"/>
    </w:rPr>
  </w:style>
  <w:style w:type="character" w:customStyle="1" w:styleId="89">
    <w:name w:val="Heading 3 Char"/>
    <w:basedOn w:val="50"/>
    <w:qFormat/>
    <w:uiPriority w:val="9"/>
    <w:rPr>
      <w:rFonts w:ascii="Arial" w:hAnsi="Arial" w:eastAsia="Arial" w:cs="Arial"/>
      <w:sz w:val="30"/>
      <w:szCs w:val="30"/>
    </w:rPr>
  </w:style>
  <w:style w:type="character" w:customStyle="1" w:styleId="90">
    <w:name w:val="Heading 4 Char"/>
    <w:basedOn w:val="50"/>
    <w:qFormat/>
    <w:uiPriority w:val="9"/>
    <w:rPr>
      <w:rFonts w:ascii="Arial" w:hAnsi="Arial" w:eastAsia="Arial" w:cs="Arial"/>
      <w:b/>
      <w:bCs/>
      <w:sz w:val="26"/>
      <w:szCs w:val="26"/>
    </w:rPr>
  </w:style>
  <w:style w:type="character" w:customStyle="1" w:styleId="91">
    <w:name w:val="标题 5 字符"/>
    <w:basedOn w:val="50"/>
    <w:link w:val="8"/>
    <w:qFormat/>
    <w:uiPriority w:val="9"/>
    <w:rPr>
      <w:rFonts w:ascii="Arial" w:hAnsi="Arial" w:eastAsia="Arial" w:cs="Arial"/>
      <w:b/>
      <w:bCs/>
      <w:sz w:val="24"/>
      <w:szCs w:val="24"/>
    </w:rPr>
  </w:style>
  <w:style w:type="character" w:customStyle="1" w:styleId="92">
    <w:name w:val="标题 6 字符"/>
    <w:basedOn w:val="50"/>
    <w:link w:val="9"/>
    <w:qFormat/>
    <w:uiPriority w:val="9"/>
    <w:rPr>
      <w:rFonts w:ascii="Arial" w:hAnsi="Arial" w:eastAsia="Arial" w:cs="Arial"/>
      <w:b/>
      <w:bCs/>
      <w:sz w:val="22"/>
      <w:szCs w:val="22"/>
    </w:rPr>
  </w:style>
  <w:style w:type="character" w:customStyle="1" w:styleId="93">
    <w:name w:val="标题 7 字符"/>
    <w:basedOn w:val="50"/>
    <w:link w:val="10"/>
    <w:qFormat/>
    <w:uiPriority w:val="9"/>
    <w:rPr>
      <w:rFonts w:ascii="Arial" w:hAnsi="Arial" w:eastAsia="Arial" w:cs="Arial"/>
      <w:b/>
      <w:bCs/>
      <w:i/>
      <w:iCs/>
      <w:sz w:val="22"/>
      <w:szCs w:val="22"/>
    </w:rPr>
  </w:style>
  <w:style w:type="character" w:customStyle="1" w:styleId="94">
    <w:name w:val="标题 8 字符"/>
    <w:basedOn w:val="50"/>
    <w:link w:val="11"/>
    <w:qFormat/>
    <w:uiPriority w:val="9"/>
    <w:rPr>
      <w:rFonts w:ascii="Arial" w:hAnsi="Arial" w:eastAsia="Arial" w:cs="Arial"/>
      <w:i/>
      <w:iCs/>
      <w:sz w:val="22"/>
      <w:szCs w:val="22"/>
    </w:rPr>
  </w:style>
  <w:style w:type="character" w:customStyle="1" w:styleId="95">
    <w:name w:val="标题 9 字符"/>
    <w:basedOn w:val="50"/>
    <w:link w:val="12"/>
    <w:qFormat/>
    <w:uiPriority w:val="9"/>
    <w:rPr>
      <w:rFonts w:ascii="Arial" w:hAnsi="Arial" w:eastAsia="Arial" w:cs="Arial"/>
      <w:i/>
      <w:iCs/>
      <w:sz w:val="21"/>
      <w:szCs w:val="21"/>
    </w:rPr>
  </w:style>
  <w:style w:type="paragraph" w:styleId="96">
    <w:name w:val="No Spacing"/>
    <w:qFormat/>
    <w:uiPriority w:val="1"/>
    <w:rPr>
      <w:rFonts w:ascii="Times New Roman" w:hAnsi="Times New Roman" w:eastAsia="宋体" w:cs="Times New Roman"/>
      <w:lang w:val="en-US" w:eastAsia="zh-CN" w:bidi="ar-SA"/>
    </w:rPr>
  </w:style>
  <w:style w:type="character" w:customStyle="1" w:styleId="97">
    <w:name w:val="Title Char"/>
    <w:basedOn w:val="50"/>
    <w:qFormat/>
    <w:uiPriority w:val="10"/>
    <w:rPr>
      <w:sz w:val="48"/>
      <w:szCs w:val="48"/>
    </w:rPr>
  </w:style>
  <w:style w:type="character" w:customStyle="1" w:styleId="98">
    <w:name w:val="Subtitle Char"/>
    <w:basedOn w:val="50"/>
    <w:qFormat/>
    <w:uiPriority w:val="11"/>
    <w:rPr>
      <w:sz w:val="24"/>
      <w:szCs w:val="24"/>
    </w:rPr>
  </w:style>
  <w:style w:type="paragraph" w:styleId="99">
    <w:name w:val="Quote"/>
    <w:basedOn w:val="1"/>
    <w:next w:val="1"/>
    <w:link w:val="100"/>
    <w:qFormat/>
    <w:uiPriority w:val="29"/>
    <w:pPr>
      <w:ind w:left="720" w:right="720"/>
    </w:pPr>
    <w:rPr>
      <w:i/>
    </w:rPr>
  </w:style>
  <w:style w:type="character" w:customStyle="1" w:styleId="100">
    <w:name w:val="引用 字符"/>
    <w:link w:val="99"/>
    <w:qFormat/>
    <w:uiPriority w:val="29"/>
    <w:rPr>
      <w:i/>
    </w:rPr>
  </w:style>
  <w:style w:type="paragraph" w:styleId="101">
    <w:name w:val="Intense Quote"/>
    <w:basedOn w:val="1"/>
    <w:next w:val="1"/>
    <w:link w:val="10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2">
    <w:name w:val="明显引用 字符"/>
    <w:link w:val="101"/>
    <w:qFormat/>
    <w:uiPriority w:val="30"/>
    <w:rPr>
      <w:i/>
    </w:rPr>
  </w:style>
  <w:style w:type="character" w:customStyle="1" w:styleId="103">
    <w:name w:val="Header Char"/>
    <w:basedOn w:val="50"/>
    <w:qFormat/>
    <w:uiPriority w:val="99"/>
  </w:style>
  <w:style w:type="character" w:customStyle="1" w:styleId="104">
    <w:name w:val="Footer Char"/>
    <w:basedOn w:val="50"/>
    <w:qFormat/>
    <w:uiPriority w:val="99"/>
  </w:style>
  <w:style w:type="character" w:customStyle="1" w:styleId="105">
    <w:name w:val="Caption Char"/>
    <w:qFormat/>
    <w:uiPriority w:val="99"/>
  </w:style>
  <w:style w:type="table" w:customStyle="1" w:styleId="106">
    <w:name w:val="Table Grid Light"/>
    <w:basedOn w:val="4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07">
    <w:name w:val="Grid Table 1 Light - Accent 1"/>
    <w:basedOn w:val="48"/>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8">
    <w:name w:val="Grid Table 1 Light - Accent 2"/>
    <w:basedOn w:val="48"/>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9">
    <w:name w:val="Grid Table 1 Light - Accent 3"/>
    <w:basedOn w:val="48"/>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10">
    <w:name w:val="Grid Table 1 Light - Accent 4"/>
    <w:basedOn w:val="48"/>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11">
    <w:name w:val="Grid Table 1 Light - Accent 5"/>
    <w:basedOn w:val="48"/>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12">
    <w:name w:val="Grid Table 1 Light - Accent 6"/>
    <w:basedOn w:val="48"/>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3">
    <w:name w:val="Grid Table 2 - Accent 1"/>
    <w:basedOn w:val="48"/>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4">
    <w:name w:val="Grid Table 2 - Accent 2"/>
    <w:basedOn w:val="48"/>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5">
    <w:name w:val="Grid Table 2 - Accent 3"/>
    <w:basedOn w:val="48"/>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6">
    <w:name w:val="Grid Table 2 - Accent 4"/>
    <w:basedOn w:val="48"/>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7">
    <w:name w:val="Grid Table 2 - Accent 5"/>
    <w:basedOn w:val="48"/>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8">
    <w:name w:val="Grid Table 2 - Accent 6"/>
    <w:basedOn w:val="48"/>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9">
    <w:name w:val="Grid Table 3 - Accent 1"/>
    <w:basedOn w:val="48"/>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0">
    <w:name w:val="Grid Table 3 - Accent 2"/>
    <w:basedOn w:val="48"/>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1">
    <w:name w:val="Grid Table 3 - Accent 3"/>
    <w:basedOn w:val="48"/>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2">
    <w:name w:val="Grid Table 3 - Accent 4"/>
    <w:basedOn w:val="48"/>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3">
    <w:name w:val="Grid Table 3 - Accent 5"/>
    <w:basedOn w:val="48"/>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4">
    <w:name w:val="Grid Table 3 - Accent 6"/>
    <w:basedOn w:val="48"/>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5">
    <w:name w:val="Grid Table 4 - Accent 1"/>
    <w:basedOn w:val="48"/>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6">
    <w:name w:val="Grid Table 4 - Accent 2"/>
    <w:basedOn w:val="48"/>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7">
    <w:name w:val="Grid Table 4 - Accent 3"/>
    <w:basedOn w:val="48"/>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8">
    <w:name w:val="Grid Table 4 - Accent 4"/>
    <w:basedOn w:val="48"/>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9">
    <w:name w:val="Grid Table 4 - Accent 5"/>
    <w:basedOn w:val="48"/>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0">
    <w:name w:val="Grid Table 4 - Accent 6"/>
    <w:basedOn w:val="48"/>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1">
    <w:name w:val="Grid Table 5 Dark- Accent 1"/>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2">
    <w:name w:val="Grid Table 5 Dark - Accent 2"/>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3">
    <w:name w:val="Grid Table 5 Dark - Accent 3"/>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4">
    <w:name w:val="Grid Table 5 Dark- Accent 4"/>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5">
    <w:name w:val="Grid Table 5 Dark - Accent 5"/>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6">
    <w:name w:val="Grid Table 5 Dark - Accent 6"/>
    <w:basedOn w:val="4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7">
    <w:name w:val="Grid Table 6 Colorful - Accent 1"/>
    <w:basedOn w:val="48"/>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8">
    <w:name w:val="Grid Table 6 Colorful - Accent 2"/>
    <w:basedOn w:val="48"/>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9">
    <w:name w:val="Grid Table 6 Colorful - Accent 3"/>
    <w:basedOn w:val="48"/>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0">
    <w:name w:val="Grid Table 6 Colorful - Accent 4"/>
    <w:basedOn w:val="48"/>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1">
    <w:name w:val="Grid Table 6 Colorful - Accent 5"/>
    <w:basedOn w:val="48"/>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2">
    <w:name w:val="Grid Table 6 Colorful - Accent 6"/>
    <w:basedOn w:val="48"/>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3">
    <w:name w:val="Grid Table 7 Colorful - Accent 1"/>
    <w:basedOn w:val="48"/>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4">
    <w:name w:val="Grid Table 7 Colorful - Accent 2"/>
    <w:basedOn w:val="48"/>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5">
    <w:name w:val="Grid Table 7 Colorful - Accent 3"/>
    <w:basedOn w:val="48"/>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6">
    <w:name w:val="Grid Table 7 Colorful - Accent 4"/>
    <w:basedOn w:val="48"/>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7">
    <w:name w:val="Grid Table 7 Colorful - Accent 5"/>
    <w:basedOn w:val="48"/>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8">
    <w:name w:val="Grid Table 7 Colorful - Accent 6"/>
    <w:basedOn w:val="48"/>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49">
    <w:name w:val="List Table 1 Light - Accent 1"/>
    <w:basedOn w:val="48"/>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0">
    <w:name w:val="List Table 1 Light - Accent 2"/>
    <w:basedOn w:val="48"/>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1">
    <w:name w:val="List Table 1 Light - Accent 3"/>
    <w:basedOn w:val="48"/>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2">
    <w:name w:val="List Table 1 Light - Accent 4"/>
    <w:basedOn w:val="48"/>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3">
    <w:name w:val="List Table 1 Light - Accent 5"/>
    <w:basedOn w:val="48"/>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4">
    <w:name w:val="List Table 1 Light - Accent 6"/>
    <w:basedOn w:val="48"/>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5">
    <w:name w:val="List Table 2 - Accent 1"/>
    <w:basedOn w:val="48"/>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6">
    <w:name w:val="List Table 2 - Accent 2"/>
    <w:basedOn w:val="48"/>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7">
    <w:name w:val="List Table 2 - Accent 3"/>
    <w:basedOn w:val="48"/>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8">
    <w:name w:val="List Table 2 - Accent 4"/>
    <w:basedOn w:val="48"/>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9">
    <w:name w:val="List Table 2 - Accent 5"/>
    <w:basedOn w:val="48"/>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0">
    <w:name w:val="List Table 2 - Accent 6"/>
    <w:basedOn w:val="48"/>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1">
    <w:name w:val="List Table 3 - Accent 1"/>
    <w:basedOn w:val="48"/>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2">
    <w:name w:val="List Table 3 - Accent 2"/>
    <w:basedOn w:val="48"/>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3">
    <w:name w:val="List Table 3 - Accent 3"/>
    <w:basedOn w:val="48"/>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4">
    <w:name w:val="List Table 3 - Accent 4"/>
    <w:basedOn w:val="48"/>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5">
    <w:name w:val="List Table 3 - Accent 5"/>
    <w:basedOn w:val="48"/>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6">
    <w:name w:val="List Table 3 - Accent 6"/>
    <w:basedOn w:val="48"/>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67">
    <w:name w:val="List Table 4 - Accent 1"/>
    <w:basedOn w:val="48"/>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8">
    <w:name w:val="List Table 4 - Accent 2"/>
    <w:basedOn w:val="48"/>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9">
    <w:name w:val="List Table 4 - Accent 3"/>
    <w:basedOn w:val="48"/>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0">
    <w:name w:val="List Table 4 - Accent 4"/>
    <w:basedOn w:val="48"/>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1">
    <w:name w:val="List Table 4 - Accent 5"/>
    <w:basedOn w:val="48"/>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2">
    <w:name w:val="List Table 4 - Accent 6"/>
    <w:basedOn w:val="48"/>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3">
    <w:name w:val="List Table 5 Dark - Accent 1"/>
    <w:basedOn w:val="48"/>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4">
    <w:name w:val="List Table 5 Dark - Accent 2"/>
    <w:basedOn w:val="48"/>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75">
    <w:name w:val="List Table 5 Dark - Accent 3"/>
    <w:basedOn w:val="48"/>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6">
    <w:name w:val="List Table 5 Dark - Accent 4"/>
    <w:basedOn w:val="48"/>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77">
    <w:name w:val="List Table 5 Dark - Accent 5"/>
    <w:basedOn w:val="48"/>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8">
    <w:name w:val="List Table 5 Dark - Accent 6"/>
    <w:basedOn w:val="48"/>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9">
    <w:name w:val="List Table 6 Colorful - Accent 1"/>
    <w:basedOn w:val="48"/>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0">
    <w:name w:val="List Table 6 Colorful - Accent 2"/>
    <w:basedOn w:val="48"/>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1">
    <w:name w:val="List Table 6 Colorful - Accent 3"/>
    <w:basedOn w:val="48"/>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2">
    <w:name w:val="List Table 6 Colorful - Accent 4"/>
    <w:basedOn w:val="48"/>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3">
    <w:name w:val="List Table 6 Colorful - Accent 5"/>
    <w:basedOn w:val="48"/>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4">
    <w:name w:val="List Table 6 Colorful - Accent 6"/>
    <w:basedOn w:val="48"/>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5">
    <w:name w:val="List Table 7 Colorful - Accent 1"/>
    <w:basedOn w:val="48"/>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6">
    <w:name w:val="List Table 7 Colorful - Accent 2"/>
    <w:basedOn w:val="48"/>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7">
    <w:name w:val="List Table 7 Colorful - Accent 3"/>
    <w:basedOn w:val="48"/>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8">
    <w:name w:val="List Table 7 Colorful - Accent 4"/>
    <w:basedOn w:val="48"/>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9">
    <w:name w:val="List Table 7 Colorful - Accent 5"/>
    <w:basedOn w:val="48"/>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0">
    <w:name w:val="List Table 7 Colorful - Accent 6"/>
    <w:basedOn w:val="48"/>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1">
    <w:name w:val="Lined - Accent"/>
    <w:basedOn w:val="48"/>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2">
    <w:name w:val="Lined - Accent 1"/>
    <w:basedOn w:val="48"/>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3">
    <w:name w:val="Lined - Accent 2"/>
    <w:basedOn w:val="48"/>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4">
    <w:name w:val="Lined - Accent 3"/>
    <w:basedOn w:val="48"/>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5">
    <w:name w:val="Lined - Accent 4"/>
    <w:basedOn w:val="48"/>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6">
    <w:name w:val="Lined - Accent 5"/>
    <w:basedOn w:val="48"/>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7">
    <w:name w:val="Lined - Accent 6"/>
    <w:basedOn w:val="48"/>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8">
    <w:name w:val="Bordered &amp; Lined - Accent"/>
    <w:basedOn w:val="48"/>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9">
    <w:name w:val="Bordered &amp; Lined - Accent 1"/>
    <w:basedOn w:val="48"/>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0">
    <w:name w:val="Bordered &amp; Lined - Accent 2"/>
    <w:basedOn w:val="48"/>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1">
    <w:name w:val="Bordered &amp; Lined - Accent 3"/>
    <w:basedOn w:val="48"/>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2">
    <w:name w:val="Bordered &amp; Lined - Accent 4"/>
    <w:basedOn w:val="48"/>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3">
    <w:name w:val="Bordered &amp; Lined - Accent 5"/>
    <w:basedOn w:val="48"/>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4">
    <w:name w:val="Bordered &amp; Lined - Accent 6"/>
    <w:basedOn w:val="48"/>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5">
    <w:name w:val="Bordered"/>
    <w:basedOn w:val="48"/>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6">
    <w:name w:val="Bordered - Accent 1"/>
    <w:basedOn w:val="48"/>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7">
    <w:name w:val="Bordered - Accent 2"/>
    <w:basedOn w:val="48"/>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8">
    <w:name w:val="Bordered - Accent 3"/>
    <w:basedOn w:val="48"/>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9">
    <w:name w:val="Bordered - Accent 4"/>
    <w:basedOn w:val="48"/>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0">
    <w:name w:val="Bordered - Accent 5"/>
    <w:basedOn w:val="48"/>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1">
    <w:name w:val="Bordered - Accent 6"/>
    <w:basedOn w:val="48"/>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2">
    <w:name w:val="脚注文本 字符"/>
    <w:link w:val="35"/>
    <w:qFormat/>
    <w:uiPriority w:val="99"/>
    <w:rPr>
      <w:sz w:val="18"/>
    </w:rPr>
  </w:style>
  <w:style w:type="character" w:customStyle="1" w:styleId="213">
    <w:name w:val="尾注文本 字符"/>
    <w:link w:val="28"/>
    <w:qFormat/>
    <w:uiPriority w:val="99"/>
    <w:rPr>
      <w:sz w:val="20"/>
    </w:rPr>
  </w:style>
  <w:style w:type="paragraph" w:customStyle="1" w:styleId="214">
    <w:name w:val="TOC 标题111"/>
    <w:unhideWhenUsed/>
    <w:qFormat/>
    <w:uiPriority w:val="39"/>
    <w:rPr>
      <w:rFonts w:ascii="Times New Roman" w:hAnsi="Times New Roman" w:eastAsia="宋体" w:cs="Times New Roman"/>
      <w:lang w:val="en-US" w:eastAsia="zh-CN" w:bidi="ar-SA"/>
    </w:rPr>
  </w:style>
  <w:style w:type="paragraph" w:customStyle="1" w:styleId="215">
    <w:name w:val="BodyTextIndent"/>
    <w:basedOn w:val="1"/>
    <w:qFormat/>
    <w:uiPriority w:val="0"/>
    <w:pPr>
      <w:spacing w:line="520" w:lineRule="exact"/>
      <w:ind w:firstLine="601"/>
    </w:pPr>
    <w:rPr>
      <w:rFonts w:ascii="CG Times" w:hAnsi="CG Times" w:eastAsia="仿宋_GB2312"/>
      <w:sz w:val="30"/>
      <w:szCs w:val="20"/>
    </w:rPr>
  </w:style>
  <w:style w:type="character" w:customStyle="1" w:styleId="216">
    <w:name w:val="页眉 字符"/>
    <w:basedOn w:val="50"/>
    <w:link w:val="31"/>
    <w:semiHidden/>
    <w:qFormat/>
    <w:uiPriority w:val="99"/>
    <w:rPr>
      <w:sz w:val="18"/>
      <w:szCs w:val="18"/>
    </w:rPr>
  </w:style>
  <w:style w:type="character" w:customStyle="1" w:styleId="217">
    <w:name w:val="页脚 字符"/>
    <w:basedOn w:val="50"/>
    <w:link w:val="30"/>
    <w:qFormat/>
    <w:uiPriority w:val="99"/>
    <w:rPr>
      <w:sz w:val="18"/>
      <w:szCs w:val="18"/>
    </w:rPr>
  </w:style>
  <w:style w:type="character" w:customStyle="1" w:styleId="218">
    <w:name w:val="标题 1 字符"/>
    <w:basedOn w:val="50"/>
    <w:link w:val="4"/>
    <w:qFormat/>
    <w:uiPriority w:val="0"/>
    <w:rPr>
      <w:rFonts w:ascii="Times New Roman" w:hAnsi="Times New Roman" w:eastAsia="黑体" w:cs="Times New Roman"/>
      <w:b/>
      <w:sz w:val="36"/>
      <w:szCs w:val="20"/>
    </w:rPr>
  </w:style>
  <w:style w:type="character" w:customStyle="1" w:styleId="219">
    <w:name w:val="标题 2 字符"/>
    <w:basedOn w:val="50"/>
    <w:link w:val="5"/>
    <w:qFormat/>
    <w:uiPriority w:val="0"/>
    <w:rPr>
      <w:rFonts w:ascii="Times New Roman" w:hAnsi="Times New Roman" w:eastAsia="黑体" w:cs="Times New Roman"/>
      <w:b/>
      <w:sz w:val="28"/>
      <w:szCs w:val="20"/>
    </w:rPr>
  </w:style>
  <w:style w:type="character" w:customStyle="1" w:styleId="220">
    <w:name w:val="标题 3 字符"/>
    <w:basedOn w:val="50"/>
    <w:link w:val="6"/>
    <w:qFormat/>
    <w:uiPriority w:val="0"/>
    <w:rPr>
      <w:rFonts w:ascii="Times New Roman" w:hAnsi="Times New Roman" w:eastAsia="黑体" w:cs="Times New Roman"/>
      <w:b/>
      <w:sz w:val="28"/>
      <w:szCs w:val="20"/>
    </w:rPr>
  </w:style>
  <w:style w:type="character" w:customStyle="1" w:styleId="221">
    <w:name w:val="标题 4 字符"/>
    <w:basedOn w:val="50"/>
    <w:link w:val="7"/>
    <w:qFormat/>
    <w:uiPriority w:val="0"/>
    <w:rPr>
      <w:rFonts w:ascii="Arial" w:hAnsi="Times New Roman" w:eastAsia="黑体" w:cs="Times New Roman"/>
      <w:sz w:val="28"/>
      <w:szCs w:val="20"/>
    </w:rPr>
  </w:style>
  <w:style w:type="character" w:customStyle="1" w:styleId="222">
    <w:name w:val="HTML 预设格式 字符"/>
    <w:basedOn w:val="50"/>
    <w:link w:val="42"/>
    <w:qFormat/>
    <w:uiPriority w:val="0"/>
    <w:rPr>
      <w:rFonts w:ascii="宋体" w:hAnsi="宋体" w:eastAsia="宋体" w:cs="Times New Roman"/>
      <w:sz w:val="24"/>
      <w:szCs w:val="24"/>
    </w:rPr>
  </w:style>
  <w:style w:type="character" w:customStyle="1" w:styleId="223">
    <w:name w:val="正文缩进 字符"/>
    <w:link w:val="14"/>
    <w:qFormat/>
    <w:uiPriority w:val="0"/>
    <w:rPr>
      <w:rFonts w:ascii="Times New Roman" w:hAnsi="Times New Roman" w:eastAsia="宋体" w:cs="Times New Roman"/>
      <w:sz w:val="24"/>
      <w:szCs w:val="24"/>
    </w:rPr>
  </w:style>
  <w:style w:type="character" w:customStyle="1" w:styleId="224">
    <w:name w:val="文档结构图 字符"/>
    <w:basedOn w:val="50"/>
    <w:link w:val="16"/>
    <w:semiHidden/>
    <w:qFormat/>
    <w:uiPriority w:val="0"/>
    <w:rPr>
      <w:rFonts w:ascii="Times New Roman" w:hAnsi="Times New Roman" w:eastAsia="宋体" w:cs="Times New Roman"/>
      <w:szCs w:val="24"/>
      <w:shd w:val="clear" w:color="auto" w:fill="000080"/>
    </w:rPr>
  </w:style>
  <w:style w:type="character" w:customStyle="1" w:styleId="225">
    <w:name w:val="批注文字 字符"/>
    <w:basedOn w:val="50"/>
    <w:link w:val="18"/>
    <w:qFormat/>
    <w:uiPriority w:val="0"/>
    <w:rPr>
      <w:rFonts w:ascii="Times New Roman" w:hAnsi="Times New Roman" w:eastAsia="宋体" w:cs="Times New Roman"/>
      <w:szCs w:val="24"/>
    </w:rPr>
  </w:style>
  <w:style w:type="character" w:customStyle="1" w:styleId="226">
    <w:name w:val="正文文本 3 字符"/>
    <w:basedOn w:val="50"/>
    <w:link w:val="19"/>
    <w:qFormat/>
    <w:uiPriority w:val="0"/>
    <w:rPr>
      <w:rFonts w:ascii="Times New Roman" w:hAnsi="Times New Roman" w:eastAsia="宋体" w:cs="Times New Roman"/>
      <w:sz w:val="24"/>
      <w:szCs w:val="24"/>
    </w:rPr>
  </w:style>
  <w:style w:type="character" w:customStyle="1" w:styleId="227">
    <w:name w:val="正文文本 字符"/>
    <w:basedOn w:val="50"/>
    <w:link w:val="3"/>
    <w:qFormat/>
    <w:uiPriority w:val="0"/>
    <w:rPr>
      <w:rFonts w:ascii="金山简黑体" w:hAnsi="Courier New" w:eastAsia="金山简黑体" w:cs="Times New Roman"/>
      <w:b/>
      <w:spacing w:val="-8"/>
      <w:sz w:val="44"/>
      <w:szCs w:val="20"/>
    </w:rPr>
  </w:style>
  <w:style w:type="character" w:customStyle="1" w:styleId="228">
    <w:name w:val="正文文本缩进 字符"/>
    <w:basedOn w:val="50"/>
    <w:link w:val="20"/>
    <w:qFormat/>
    <w:uiPriority w:val="0"/>
    <w:rPr>
      <w:rFonts w:ascii="宋体" w:hAnsi="Courier New" w:eastAsia="宋体" w:cs="Times New Roman"/>
      <w:spacing w:val="-4"/>
      <w:sz w:val="18"/>
      <w:szCs w:val="20"/>
    </w:rPr>
  </w:style>
  <w:style w:type="character" w:customStyle="1" w:styleId="229">
    <w:name w:val="纯文本 字符"/>
    <w:basedOn w:val="50"/>
    <w:link w:val="24"/>
    <w:qFormat/>
    <w:uiPriority w:val="0"/>
    <w:rPr>
      <w:rFonts w:ascii="宋体" w:hAnsi="Courier New" w:eastAsia="宋体" w:cs="Times New Roman"/>
      <w:szCs w:val="20"/>
    </w:rPr>
  </w:style>
  <w:style w:type="character" w:customStyle="1" w:styleId="230">
    <w:name w:val="日期 字符"/>
    <w:basedOn w:val="50"/>
    <w:link w:val="26"/>
    <w:qFormat/>
    <w:uiPriority w:val="0"/>
    <w:rPr>
      <w:rFonts w:ascii="Times New Roman" w:hAnsi="Times New Roman" w:eastAsia="宋体" w:cs="Times New Roman"/>
      <w:szCs w:val="24"/>
    </w:rPr>
  </w:style>
  <w:style w:type="character" w:customStyle="1" w:styleId="231">
    <w:name w:val="正文文本缩进 2 字符"/>
    <w:basedOn w:val="50"/>
    <w:link w:val="27"/>
    <w:qFormat/>
    <w:uiPriority w:val="0"/>
    <w:rPr>
      <w:rFonts w:ascii="Times New Roman" w:hAnsi="Times New Roman" w:eastAsia="宋体" w:cs="Times New Roman"/>
      <w:szCs w:val="24"/>
    </w:rPr>
  </w:style>
  <w:style w:type="character" w:customStyle="1" w:styleId="232">
    <w:name w:val="批注框文本 字符"/>
    <w:basedOn w:val="50"/>
    <w:link w:val="29"/>
    <w:semiHidden/>
    <w:qFormat/>
    <w:uiPriority w:val="0"/>
    <w:rPr>
      <w:rFonts w:ascii="Times New Roman" w:hAnsi="Times New Roman" w:eastAsia="宋体" w:cs="Times New Roman"/>
      <w:sz w:val="18"/>
      <w:szCs w:val="18"/>
    </w:rPr>
  </w:style>
  <w:style w:type="character" w:customStyle="1" w:styleId="233">
    <w:name w:val="副标题 字符"/>
    <w:basedOn w:val="50"/>
    <w:link w:val="34"/>
    <w:qFormat/>
    <w:uiPriority w:val="0"/>
    <w:rPr>
      <w:rFonts w:ascii="Cambria" w:hAnsi="Cambria" w:eastAsia="宋体" w:cs="Times New Roman"/>
      <w:b/>
      <w:bCs/>
      <w:sz w:val="32"/>
      <w:szCs w:val="32"/>
    </w:rPr>
  </w:style>
  <w:style w:type="character" w:customStyle="1" w:styleId="234">
    <w:name w:val="正文文本缩进 3 字符"/>
    <w:basedOn w:val="50"/>
    <w:link w:val="37"/>
    <w:qFormat/>
    <w:uiPriority w:val="0"/>
    <w:rPr>
      <w:rFonts w:ascii="Times New Roman" w:hAnsi="Times New Roman" w:eastAsia="宋体" w:cs="Times New Roman"/>
      <w:sz w:val="24"/>
      <w:szCs w:val="24"/>
    </w:rPr>
  </w:style>
  <w:style w:type="character" w:customStyle="1" w:styleId="235">
    <w:name w:val="正文文本 2 字符"/>
    <w:basedOn w:val="50"/>
    <w:link w:val="41"/>
    <w:qFormat/>
    <w:uiPriority w:val="0"/>
    <w:rPr>
      <w:rFonts w:ascii="宋体" w:hAnsi="Courier New" w:eastAsia="宋体" w:cs="Times New Roman"/>
      <w:sz w:val="13"/>
      <w:szCs w:val="20"/>
    </w:rPr>
  </w:style>
  <w:style w:type="character" w:customStyle="1" w:styleId="236">
    <w:name w:val="批注主题 字符"/>
    <w:basedOn w:val="225"/>
    <w:link w:val="45"/>
    <w:semiHidden/>
    <w:qFormat/>
    <w:uiPriority w:val="0"/>
    <w:rPr>
      <w:rFonts w:ascii="Times New Roman" w:hAnsi="Times New Roman" w:eastAsia="宋体" w:cs="Times New Roman"/>
      <w:b/>
      <w:bCs/>
      <w:szCs w:val="24"/>
    </w:rPr>
  </w:style>
  <w:style w:type="character" w:customStyle="1" w:styleId="237">
    <w:name w:val="正文文本首行缩进 字符"/>
    <w:basedOn w:val="227"/>
    <w:link w:val="46"/>
    <w:qFormat/>
    <w:uiPriority w:val="0"/>
    <w:rPr>
      <w:rFonts w:ascii="Times New Roman" w:hAnsi="Times New Roman" w:eastAsia="宋体" w:cs="Times New Roman"/>
      <w:spacing w:val="-8"/>
      <w:sz w:val="44"/>
      <w:szCs w:val="24"/>
    </w:rPr>
  </w:style>
  <w:style w:type="paragraph" w:customStyle="1" w:styleId="238">
    <w:name w:val="Default"/>
    <w:link w:val="239"/>
    <w:qFormat/>
    <w:uiPriority w:val="99"/>
    <w:pPr>
      <w:widowControl w:val="0"/>
    </w:pPr>
    <w:rPr>
      <w:rFonts w:ascii="MS Mincho" w:hAnsi="Calibri" w:eastAsia="宋体" w:cs="Times New Roman"/>
      <w:color w:val="000000"/>
      <w:sz w:val="21"/>
      <w:szCs w:val="24"/>
      <w:lang w:val="en-US" w:eastAsia="zh-CN" w:bidi="ar-SA"/>
    </w:rPr>
  </w:style>
  <w:style w:type="character" w:customStyle="1" w:styleId="239">
    <w:name w:val="Default Char"/>
    <w:link w:val="238"/>
    <w:qFormat/>
    <w:uiPriority w:val="99"/>
    <w:rPr>
      <w:rFonts w:ascii="MS Mincho" w:hAnsi="Calibri" w:eastAsia="宋体" w:cs="Times New Roman"/>
      <w:color w:val="000000"/>
      <w:szCs w:val="24"/>
    </w:rPr>
  </w:style>
  <w:style w:type="character" w:customStyle="1" w:styleId="240">
    <w:name w:val="ca-72"/>
    <w:qFormat/>
    <w:uiPriority w:val="0"/>
  </w:style>
  <w:style w:type="character" w:customStyle="1" w:styleId="241">
    <w:name w:val="普通正文 Char"/>
    <w:link w:val="242"/>
    <w:qFormat/>
    <w:uiPriority w:val="0"/>
    <w:rPr>
      <w:rFonts w:ascii="Arial" w:hAnsi="Arial"/>
      <w:sz w:val="24"/>
      <w:szCs w:val="24"/>
    </w:rPr>
  </w:style>
  <w:style w:type="paragraph" w:customStyle="1" w:styleId="242">
    <w:name w:val="普通正文"/>
    <w:basedOn w:val="1"/>
    <w:link w:val="241"/>
    <w:qFormat/>
    <w:uiPriority w:val="0"/>
    <w:pPr>
      <w:spacing w:before="120" w:after="120" w:line="360" w:lineRule="auto"/>
      <w:ind w:firstLine="480"/>
      <w:jc w:val="left"/>
    </w:pPr>
    <w:rPr>
      <w:rFonts w:ascii="Arial" w:hAnsi="Arial"/>
      <w:sz w:val="24"/>
      <w:szCs w:val="24"/>
    </w:rPr>
  </w:style>
  <w:style w:type="character" w:customStyle="1" w:styleId="243">
    <w:name w:val="Char Char4"/>
    <w:qFormat/>
    <w:uiPriority w:val="0"/>
    <w:rPr>
      <w:b/>
      <w:bCs/>
      <w:sz w:val="24"/>
      <w:szCs w:val="24"/>
    </w:rPr>
  </w:style>
  <w:style w:type="character" w:customStyle="1" w:styleId="244">
    <w:name w:val="font"/>
    <w:qFormat/>
    <w:uiPriority w:val="0"/>
    <w:rPr>
      <w:rFonts w:cs="Times New Roman"/>
    </w:rPr>
  </w:style>
  <w:style w:type="character" w:customStyle="1" w:styleId="245">
    <w:name w:val="1 Char"/>
    <w:link w:val="246"/>
    <w:qFormat/>
    <w:uiPriority w:val="0"/>
    <w:rPr>
      <w:szCs w:val="24"/>
    </w:rPr>
  </w:style>
  <w:style w:type="paragraph" w:customStyle="1" w:styleId="246">
    <w:name w:val="1"/>
    <w:basedOn w:val="1"/>
    <w:link w:val="245"/>
    <w:qFormat/>
    <w:uiPriority w:val="0"/>
    <w:pPr>
      <w:spacing w:line="360" w:lineRule="auto"/>
      <w:jc w:val="left"/>
    </w:pPr>
    <w:rPr>
      <w:szCs w:val="24"/>
    </w:rPr>
  </w:style>
  <w:style w:type="character" w:customStyle="1" w:styleId="247">
    <w:name w:val="普通文字1 Char1"/>
    <w:qFormat/>
    <w:uiPriority w:val="0"/>
    <w:rPr>
      <w:rFonts w:ascii="宋体" w:hAnsi="Courier New" w:eastAsia="宋体"/>
      <w:sz w:val="21"/>
      <w:lang w:val="en-US" w:eastAsia="zh-CN" w:bidi="ar-SA"/>
    </w:rPr>
  </w:style>
  <w:style w:type="character" w:customStyle="1" w:styleId="248">
    <w:name w:val="纯文本 Char1"/>
    <w:qFormat/>
    <w:uiPriority w:val="0"/>
    <w:rPr>
      <w:rFonts w:ascii="宋体" w:hAnsi="Courier New"/>
      <w:sz w:val="21"/>
    </w:rPr>
  </w:style>
  <w:style w:type="character" w:customStyle="1" w:styleId="249">
    <w:name w:val="ca-412"/>
    <w:qFormat/>
    <w:uiPriority w:val="0"/>
  </w:style>
  <w:style w:type="character" w:customStyle="1" w:styleId="250">
    <w:name w:val="apple-style-span"/>
    <w:qFormat/>
    <w:uiPriority w:val="0"/>
  </w:style>
  <w:style w:type="paragraph" w:customStyle="1" w:styleId="251">
    <w:name w:val="Char1"/>
    <w:basedOn w:val="1"/>
    <w:qFormat/>
    <w:uiPriority w:val="0"/>
    <w:pPr>
      <w:tabs>
        <w:tab w:val="left" w:pos="360"/>
      </w:tabs>
      <w:spacing w:line="360" w:lineRule="auto"/>
      <w:ind w:firstLine="922"/>
    </w:pPr>
    <w:rPr>
      <w:rFonts w:ascii="Times New Roman" w:hAnsi="Times New Roman" w:eastAsia="宋体" w:cs="Times New Roman"/>
      <w:sz w:val="24"/>
      <w:szCs w:val="24"/>
    </w:rPr>
  </w:style>
  <w:style w:type="paragraph" w:customStyle="1" w:styleId="252">
    <w:name w:val="Char Char1 Char Char Char"/>
    <w:basedOn w:val="1"/>
    <w:qFormat/>
    <w:uiPriority w:val="0"/>
    <w:pPr>
      <w:spacing w:line="360" w:lineRule="auto"/>
      <w:ind w:firstLine="922"/>
    </w:pPr>
    <w:rPr>
      <w:rFonts w:ascii="Times New Roman" w:hAnsi="Times New Roman" w:eastAsia="宋体" w:cs="Times New Roman"/>
      <w:szCs w:val="20"/>
    </w:rPr>
  </w:style>
  <w:style w:type="paragraph" w:customStyle="1" w:styleId="253">
    <w:name w:val="Table Paragraph"/>
    <w:basedOn w:val="1"/>
    <w:qFormat/>
    <w:uiPriority w:val="1"/>
    <w:pPr>
      <w:spacing w:line="360" w:lineRule="auto"/>
      <w:ind w:firstLine="922"/>
      <w:jc w:val="left"/>
    </w:pPr>
    <w:rPr>
      <w:rFonts w:ascii="Times New Roman" w:hAnsi="Times New Roman" w:eastAsia="宋体" w:cs="Times New Roman"/>
      <w:sz w:val="24"/>
      <w:szCs w:val="24"/>
    </w:rPr>
  </w:style>
  <w:style w:type="paragraph" w:customStyle="1" w:styleId="254">
    <w:name w:val="p0"/>
    <w:basedOn w:val="1"/>
    <w:qFormat/>
    <w:uiPriority w:val="0"/>
    <w:pPr>
      <w:widowControl/>
      <w:spacing w:before="100" w:beforeAutospacing="1" w:after="100" w:afterAutospacing="1" w:line="360" w:lineRule="auto"/>
      <w:ind w:firstLine="922"/>
      <w:jc w:val="left"/>
    </w:pPr>
    <w:rPr>
      <w:rFonts w:ascii="宋体" w:hAnsi="宋体" w:eastAsia="宋体" w:cs="宋体"/>
      <w:sz w:val="24"/>
      <w:szCs w:val="24"/>
    </w:rPr>
  </w:style>
  <w:style w:type="paragraph" w:customStyle="1" w:styleId="255">
    <w:name w:val="Char"/>
    <w:basedOn w:val="1"/>
    <w:qFormat/>
    <w:uiPriority w:val="0"/>
    <w:pPr>
      <w:widowControl/>
      <w:spacing w:after="160" w:line="240" w:lineRule="exact"/>
      <w:ind w:firstLine="922"/>
      <w:jc w:val="left"/>
    </w:pPr>
    <w:rPr>
      <w:rFonts w:ascii="Arial" w:hAnsi="Arial" w:eastAsia="Times New Roman" w:cs="Verdana"/>
      <w:b/>
      <w:sz w:val="24"/>
      <w:szCs w:val="20"/>
      <w:lang w:eastAsia="en-US"/>
    </w:rPr>
  </w:style>
  <w:style w:type="paragraph" w:customStyle="1" w:styleId="25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22"/>
      <w:jc w:val="left"/>
    </w:pPr>
    <w:rPr>
      <w:rFonts w:ascii="宋体" w:hAnsi="宋体" w:eastAsia="宋体" w:cs="宋体"/>
      <w:sz w:val="24"/>
      <w:szCs w:val="24"/>
    </w:rPr>
  </w:style>
  <w:style w:type="paragraph" w:customStyle="1" w:styleId="257">
    <w:name w:val="p15"/>
    <w:basedOn w:val="1"/>
    <w:qFormat/>
    <w:uiPriority w:val="0"/>
    <w:pPr>
      <w:widowControl/>
      <w:spacing w:line="360" w:lineRule="auto"/>
      <w:ind w:firstLine="922"/>
    </w:pPr>
    <w:rPr>
      <w:rFonts w:ascii="Calibri" w:hAnsi="Calibri" w:eastAsia="宋体" w:cs="宋体"/>
      <w:szCs w:val="21"/>
    </w:rPr>
  </w:style>
  <w:style w:type="paragraph" w:customStyle="1" w:styleId="258">
    <w:name w:val="TOC 标题11"/>
    <w:basedOn w:val="4"/>
    <w:next w:val="1"/>
    <w:qFormat/>
    <w:uiPriority w:val="39"/>
    <w:pPr>
      <w:widowControl/>
      <w:numPr>
        <w:numId w:val="0"/>
      </w:numPr>
      <w:spacing w:before="480" w:line="276" w:lineRule="auto"/>
      <w:jc w:val="left"/>
      <w:outlineLvl w:val="9"/>
    </w:pPr>
    <w:rPr>
      <w:rFonts w:ascii="Cambria" w:hAnsi="Cambria" w:eastAsia="宋体"/>
      <w:bCs/>
      <w:color w:val="365F91"/>
      <w:szCs w:val="28"/>
    </w:rPr>
  </w:style>
  <w:style w:type="paragraph" w:customStyle="1" w:styleId="259">
    <w:name w:val="pa-5"/>
    <w:basedOn w:val="1"/>
    <w:qFormat/>
    <w:uiPriority w:val="0"/>
    <w:pPr>
      <w:widowControl/>
      <w:spacing w:before="100" w:beforeAutospacing="1" w:after="100" w:afterAutospacing="1" w:line="360" w:lineRule="auto"/>
      <w:ind w:firstLine="922"/>
      <w:jc w:val="left"/>
    </w:pPr>
    <w:rPr>
      <w:rFonts w:ascii="宋体" w:hAnsi="宋体" w:eastAsia="宋体" w:cs="宋体"/>
      <w:sz w:val="24"/>
      <w:szCs w:val="24"/>
    </w:rPr>
  </w:style>
  <w:style w:type="paragraph" w:styleId="260">
    <w:name w:val="List Paragraph"/>
    <w:basedOn w:val="1"/>
    <w:qFormat/>
    <w:uiPriority w:val="0"/>
    <w:pPr>
      <w:spacing w:line="360" w:lineRule="auto"/>
      <w:ind w:firstLine="420"/>
    </w:pPr>
    <w:rPr>
      <w:rFonts w:ascii="Times New Roman" w:hAnsi="Times New Roman" w:eastAsia="宋体" w:cs="Times New Roman"/>
      <w:szCs w:val="24"/>
    </w:rPr>
  </w:style>
  <w:style w:type="paragraph" w:customStyle="1" w:styleId="261">
    <w:name w:val="g3"/>
    <w:basedOn w:val="1"/>
    <w:qFormat/>
    <w:uiPriority w:val="0"/>
    <w:pPr>
      <w:widowControl/>
      <w:spacing w:before="100" w:beforeAutospacing="1" w:after="100" w:afterAutospacing="1" w:line="675" w:lineRule="atLeast"/>
      <w:ind w:firstLine="922"/>
      <w:jc w:val="left"/>
    </w:pPr>
    <w:rPr>
      <w:rFonts w:hint="eastAsia" w:ascii="华文中宋" w:hAnsi="华文中宋" w:eastAsia="华文中宋" w:cs="Times New Roman"/>
      <w:sz w:val="42"/>
      <w:szCs w:val="42"/>
    </w:rPr>
  </w:style>
  <w:style w:type="paragraph" w:customStyle="1" w:styleId="262">
    <w:name w:val="Char Char Char Char1 Char Char Char"/>
    <w:basedOn w:val="1"/>
    <w:qFormat/>
    <w:uiPriority w:val="0"/>
    <w:pPr>
      <w:spacing w:line="360" w:lineRule="auto"/>
      <w:ind w:firstLine="922"/>
    </w:pPr>
    <w:rPr>
      <w:rFonts w:ascii="Tahoma" w:hAnsi="Tahoma" w:eastAsia="宋体" w:cs="Times New Roman"/>
      <w:sz w:val="24"/>
      <w:szCs w:val="20"/>
    </w:rPr>
  </w:style>
  <w:style w:type="paragraph" w:customStyle="1" w:styleId="263">
    <w:name w:val="para"/>
    <w:basedOn w:val="1"/>
    <w:qFormat/>
    <w:uiPriority w:val="0"/>
    <w:pPr>
      <w:widowControl/>
      <w:spacing w:before="160" w:line="360" w:lineRule="auto"/>
      <w:ind w:firstLine="425"/>
    </w:pPr>
    <w:rPr>
      <w:rFonts w:ascii="Times New Roman" w:hAnsi="Times New Roman" w:eastAsia="宋体" w:cs="Times New Roman"/>
      <w:sz w:val="24"/>
      <w:szCs w:val="20"/>
      <w:lang w:eastAsia="en-US"/>
    </w:rPr>
  </w:style>
  <w:style w:type="paragraph" w:customStyle="1" w:styleId="264">
    <w:name w:val="Char Char Char Char1"/>
    <w:basedOn w:val="1"/>
    <w:qFormat/>
    <w:uiPriority w:val="0"/>
    <w:pPr>
      <w:spacing w:line="360" w:lineRule="auto"/>
      <w:ind w:firstLine="922"/>
    </w:pPr>
    <w:rPr>
      <w:rFonts w:ascii="Tahoma" w:hAnsi="Tahoma" w:eastAsia="宋体" w:cs="Times New Roman"/>
      <w:sz w:val="24"/>
      <w:szCs w:val="20"/>
    </w:rPr>
  </w:style>
  <w:style w:type="paragraph" w:customStyle="1" w:styleId="265">
    <w:name w:val="列出段落1"/>
    <w:basedOn w:val="1"/>
    <w:qFormat/>
    <w:uiPriority w:val="0"/>
    <w:pPr>
      <w:spacing w:line="360" w:lineRule="auto"/>
      <w:ind w:firstLine="420"/>
    </w:pPr>
    <w:rPr>
      <w:rFonts w:ascii="Calibri" w:hAnsi="Calibri" w:eastAsia="宋体" w:cs="Times New Roman"/>
    </w:rPr>
  </w:style>
  <w:style w:type="paragraph" w:customStyle="1" w:styleId="266">
    <w:name w:val="ecxmsonormal"/>
    <w:basedOn w:val="1"/>
    <w:qFormat/>
    <w:uiPriority w:val="0"/>
    <w:pPr>
      <w:widowControl/>
      <w:spacing w:after="324" w:line="360" w:lineRule="auto"/>
      <w:ind w:firstLine="922"/>
      <w:jc w:val="left"/>
    </w:pPr>
    <w:rPr>
      <w:rFonts w:ascii="宋体" w:hAnsi="宋体" w:eastAsia="宋体" w:cs="宋体"/>
      <w:sz w:val="24"/>
      <w:szCs w:val="24"/>
    </w:rPr>
  </w:style>
  <w:style w:type="paragraph" w:customStyle="1" w:styleId="267">
    <w:name w:val="纯文本1"/>
    <w:basedOn w:val="1"/>
    <w:qFormat/>
    <w:uiPriority w:val="0"/>
    <w:pPr>
      <w:spacing w:line="360" w:lineRule="auto"/>
      <w:ind w:firstLine="922"/>
    </w:pPr>
    <w:rPr>
      <w:rFonts w:ascii="宋体" w:hAnsi="Courier New" w:eastAsia="宋体" w:cs="Times New Roman"/>
      <w:szCs w:val="24"/>
    </w:rPr>
  </w:style>
  <w:style w:type="paragraph" w:customStyle="1" w:styleId="268">
    <w:name w:val="table_1stline"/>
    <w:basedOn w:val="1"/>
    <w:qFormat/>
    <w:uiPriority w:val="0"/>
    <w:pPr>
      <w:widowControl/>
      <w:spacing w:before="120" w:line="360" w:lineRule="auto"/>
      <w:ind w:firstLine="922"/>
      <w:jc w:val="left"/>
    </w:pPr>
    <w:rPr>
      <w:rFonts w:ascii="Times New Roman" w:hAnsi="Times New Roman" w:eastAsia="MS Mincho" w:cs="Times New Roman"/>
      <w:bCs/>
      <w:sz w:val="20"/>
      <w:szCs w:val="20"/>
      <w:lang w:val="de-DE" w:eastAsia="de-DE"/>
    </w:rPr>
  </w:style>
  <w:style w:type="paragraph" w:customStyle="1" w:styleId="269">
    <w:name w:val="正文_13"/>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70">
    <w:name w:val="font41"/>
    <w:basedOn w:val="50"/>
    <w:qFormat/>
    <w:uiPriority w:val="0"/>
    <w:rPr>
      <w:rFonts w:hint="default" w:ascii="Calibri" w:hAnsi="Calibri" w:cs="Calibri"/>
      <w:color w:val="000000"/>
      <w:sz w:val="24"/>
      <w:szCs w:val="24"/>
      <w:u w:val="none"/>
    </w:rPr>
  </w:style>
  <w:style w:type="character" w:customStyle="1" w:styleId="271">
    <w:name w:val="font31"/>
    <w:qFormat/>
    <w:uiPriority w:val="0"/>
    <w:rPr>
      <w:rFonts w:hint="eastAsia" w:ascii="宋体" w:hAnsi="宋体" w:eastAsia="宋体" w:cs="宋体"/>
      <w:color w:val="000000"/>
      <w:sz w:val="24"/>
      <w:szCs w:val="24"/>
      <w:u w:val="none"/>
    </w:rPr>
  </w:style>
  <w:style w:type="paragraph" w:customStyle="1" w:styleId="272">
    <w:name w:val="修订1"/>
    <w:unhideWhenUsed/>
    <w:qFormat/>
    <w:uiPriority w:val="99"/>
    <w:rPr>
      <w:rFonts w:ascii="Times New Roman" w:hAnsi="Times New Roman" w:eastAsia="宋体" w:cs="Times New Roman"/>
      <w:sz w:val="21"/>
      <w:szCs w:val="24"/>
      <w:lang w:val="en-US" w:eastAsia="zh-CN" w:bidi="ar-SA"/>
    </w:rPr>
  </w:style>
  <w:style w:type="paragraph" w:customStyle="1" w:styleId="273">
    <w:name w:val="Description des variantes - option (p)"/>
    <w:qFormat/>
    <w:uiPriority w:val="0"/>
    <w:pPr>
      <w:shd w:val="clear" w:color="auto" w:fill="FFFFFF"/>
      <w:spacing w:line="0" w:lineRule="atLeast"/>
    </w:pPr>
    <w:rPr>
      <w:rFonts w:ascii="Arial" w:hAnsi="Arial" w:cs="Arial" w:eastAsiaTheme="minorEastAsia"/>
      <w:i/>
      <w:color w:val="0000FF"/>
      <w:sz w:val="18"/>
      <w:lang w:val="en-US" w:eastAsia="zh-CN" w:bidi="ar-SA"/>
    </w:rPr>
  </w:style>
  <w:style w:type="paragraph" w:customStyle="1" w:styleId="274">
    <w:name w:val="Description des variantes - série (p)"/>
    <w:qFormat/>
    <w:uiPriority w:val="0"/>
    <w:pPr>
      <w:shd w:val="clear" w:color="auto" w:fill="FFFFFF"/>
      <w:spacing w:line="0" w:lineRule="atLeast"/>
    </w:pPr>
    <w:rPr>
      <w:rFonts w:ascii="Arial" w:hAnsi="Arial" w:cs="Arial" w:eastAsiaTheme="minorEastAsia"/>
      <w:color w:val="000000"/>
      <w:sz w:val="18"/>
      <w:lang w:val="en-US" w:eastAsia="zh-CN" w:bidi="ar-SA"/>
    </w:rPr>
  </w:style>
  <w:style w:type="paragraph" w:customStyle="1" w:styleId="275">
    <w:name w:val="粗字体子题目"/>
    <w:qFormat/>
    <w:uiPriority w:val="0"/>
    <w:pPr>
      <w:shd w:val="clear" w:color="auto" w:fill="FEFFFF"/>
      <w:spacing w:line="0" w:lineRule="atLeast"/>
      <w:jc w:val="both"/>
    </w:pPr>
    <w:rPr>
      <w:rFonts w:ascii="Arial" w:hAnsi="Arial" w:cs="Arial" w:eastAsiaTheme="minorEastAsia"/>
      <w:b/>
      <w:color w:val="010000"/>
      <w:sz w:val="24"/>
      <w:lang w:val="en-US" w:eastAsia="zh-CN" w:bidi="ar-SA"/>
    </w:rPr>
  </w:style>
  <w:style w:type="paragraph" w:customStyle="1" w:styleId="276">
    <w:name w:val="内容样式"/>
    <w:basedOn w:val="1"/>
    <w:qFormat/>
    <w:uiPriority w:val="0"/>
    <w:pPr>
      <w:spacing w:line="460" w:lineRule="exact"/>
      <w:ind w:firstLine="560"/>
      <w:jc w:val="left"/>
    </w:pPr>
    <w:rPr>
      <w:rFonts w:ascii="仿宋_GB2312" w:hAnsi="仿宋_GB2312" w:eastAsia="仿宋_GB2312" w:cs="宋体"/>
      <w:sz w:val="28"/>
      <w:szCs w:val="20"/>
    </w:rPr>
  </w:style>
  <w:style w:type="table" w:customStyle="1" w:styleId="277">
    <w:name w:val="网格型1"/>
    <w:basedOn w:val="48"/>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78">
    <w:name w:val="font81"/>
    <w:basedOn w:val="50"/>
    <w:qFormat/>
    <w:uiPriority w:val="0"/>
    <w:rPr>
      <w:rFonts w:hint="eastAsia" w:ascii="宋体" w:hAnsi="宋体" w:eastAsia="宋体" w:cs="宋体"/>
      <w:b/>
      <w:bCs/>
      <w:color w:val="000000"/>
      <w:sz w:val="24"/>
      <w:szCs w:val="24"/>
      <w:u w:val="none"/>
    </w:rPr>
  </w:style>
  <w:style w:type="character" w:customStyle="1" w:styleId="279">
    <w:name w:val="font11"/>
    <w:basedOn w:val="50"/>
    <w:qFormat/>
    <w:uiPriority w:val="0"/>
    <w:rPr>
      <w:rFonts w:hint="eastAsia" w:ascii="宋体" w:hAnsi="宋体" w:eastAsia="宋体" w:cs="宋体"/>
      <w:color w:val="000000"/>
      <w:sz w:val="20"/>
      <w:szCs w:val="20"/>
      <w:u w:val="none"/>
    </w:rPr>
  </w:style>
  <w:style w:type="character" w:customStyle="1" w:styleId="280">
    <w:name w:val="font91"/>
    <w:basedOn w:val="50"/>
    <w:qFormat/>
    <w:uiPriority w:val="0"/>
    <w:rPr>
      <w:rFonts w:hint="eastAsia" w:ascii="宋体" w:hAnsi="宋体" w:eastAsia="宋体" w:cs="宋体"/>
      <w:color w:val="FF0000"/>
      <w:sz w:val="20"/>
      <w:szCs w:val="20"/>
      <w:u w:val="none"/>
    </w:rPr>
  </w:style>
  <w:style w:type="character" w:customStyle="1" w:styleId="281">
    <w:name w:val="font101"/>
    <w:basedOn w:val="50"/>
    <w:qFormat/>
    <w:uiPriority w:val="0"/>
    <w:rPr>
      <w:rFonts w:hint="eastAsia" w:ascii="宋体" w:hAnsi="宋体" w:eastAsia="宋体" w:cs="宋体"/>
      <w:color w:val="4874CB"/>
      <w:sz w:val="20"/>
      <w:szCs w:val="20"/>
      <w:u w:val="none"/>
    </w:rPr>
  </w:style>
  <w:style w:type="character" w:customStyle="1" w:styleId="282">
    <w:name w:val="font71"/>
    <w:basedOn w:val="50"/>
    <w:qFormat/>
    <w:uiPriority w:val="0"/>
    <w:rPr>
      <w:rFonts w:hint="default" w:ascii="Times New Roman" w:hAnsi="Times New Roman" w:cs="Times New Roman"/>
      <w:color w:val="000000"/>
      <w:sz w:val="20"/>
      <w:szCs w:val="20"/>
      <w:u w:val="none"/>
    </w:rPr>
  </w:style>
  <w:style w:type="character" w:customStyle="1" w:styleId="283">
    <w:name w:val="font61"/>
    <w:basedOn w:val="50"/>
    <w:qFormat/>
    <w:uiPriority w:val="0"/>
    <w:rPr>
      <w:rFonts w:hint="eastAsia" w:ascii="宋体" w:hAnsi="宋体" w:eastAsia="宋体" w:cs="宋体"/>
      <w:color w:val="000000"/>
      <w:sz w:val="20"/>
      <w:szCs w:val="20"/>
      <w:u w:val="none"/>
    </w:rPr>
  </w:style>
  <w:style w:type="character" w:customStyle="1" w:styleId="284">
    <w:name w:val="font21"/>
    <w:basedOn w:val="50"/>
    <w:qFormat/>
    <w:uiPriority w:val="0"/>
    <w:rPr>
      <w:rFonts w:ascii="方正黑体_GBK" w:hAnsi="方正黑体_GBK" w:eastAsia="方正黑体_GBK" w:cs="方正黑体_GBK"/>
      <w:b/>
      <w:bCs/>
      <w:color w:val="000000"/>
      <w:sz w:val="24"/>
      <w:szCs w:val="24"/>
      <w:u w:val="none"/>
    </w:rPr>
  </w:style>
  <w:style w:type="character" w:customStyle="1" w:styleId="285">
    <w:name w:val="font51"/>
    <w:basedOn w:val="5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6BCE7-A704-43A1-81B8-EE50D3D55CA2}">
  <ds:schemaRefs/>
</ds:datastoreItem>
</file>

<file path=docProps/app.xml><?xml version="1.0" encoding="utf-8"?>
<Properties xmlns="http://schemas.openxmlformats.org/officeDocument/2006/extended-properties" xmlns:vt="http://schemas.openxmlformats.org/officeDocument/2006/docPropsVTypes">
  <Template>Normal</Template>
  <Company>t</Company>
  <Pages>50</Pages>
  <Words>5902</Words>
  <Characters>6383</Characters>
  <Lines>1057</Lines>
  <Paragraphs>1060</Paragraphs>
  <TotalTime>79</TotalTime>
  <ScaleCrop>false</ScaleCrop>
  <LinksUpToDate>false</LinksUpToDate>
  <CharactersWithSpaces>6560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2024-10-18T01:12:00Z</dcterms:created>
  <dc:creator>CH</dc:creator>
  <cp:lastModifiedBy>李政璋</cp:lastModifiedBy>
  <dcterms:modified xsi:type="dcterms:W3CDTF">2025-07-17T01:03:41Z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A985043B2A204B74BABDF56DF3BA0BC9_13</vt:lpwstr>
  </property>
  <property fmtid="{D5CDD505-2E9C-101B-9397-08002B2CF9AE}" pid="4" name="KSOTemplateDocerSaveRecord">
    <vt:lpwstr>eyJoZGlkIjoiMmMyZjlhZTk2NTkyZmNlNzA3ZmUxM2M0Yjc2ZDY1YTYiLCJ1c2VySWQiOiI0NTUzMDkyNjAifQ==</vt:lpwstr>
  </property>
</Properties>
</file>