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16BA5">
      <w:pPr>
        <w:spacing w:line="360" w:lineRule="auto"/>
        <w:jc w:val="center"/>
        <w:outlineLvl w:val="0"/>
        <w:rPr>
          <w:b/>
          <w:color w:val="auto"/>
          <w:sz w:val="36"/>
          <w:szCs w:val="36"/>
          <w:highlight w:val="none"/>
        </w:rPr>
      </w:pPr>
    </w:p>
    <w:p w14:paraId="5C34AFB0">
      <w:pPr>
        <w:rPr>
          <w:rFonts w:ascii="Times New Roman" w:hAnsi="Times New Roman"/>
          <w:color w:val="auto"/>
          <w:szCs w:val="24"/>
          <w:highlight w:val="none"/>
        </w:rPr>
      </w:pPr>
    </w:p>
    <w:p w14:paraId="5C62FA63">
      <w:pPr>
        <w:pStyle w:val="11"/>
        <w:spacing w:line="360" w:lineRule="auto"/>
        <w:jc w:val="both"/>
        <w:rPr>
          <w:rFonts w:eastAsia="华文中宋"/>
          <w:b/>
          <w:color w:val="auto"/>
          <w:sz w:val="52"/>
          <w:szCs w:val="52"/>
          <w:highlight w:val="none"/>
        </w:rPr>
      </w:pPr>
    </w:p>
    <w:p w14:paraId="65FBCF39">
      <w:pPr>
        <w:jc w:val="left"/>
        <w:rPr>
          <w:rFonts w:ascii="Times New Roman" w:hAnsi="Times New Roman" w:eastAsia="仿宋_GB2312"/>
          <w:bCs/>
          <w:color w:val="auto"/>
          <w:szCs w:val="21"/>
          <w:highlight w:val="none"/>
        </w:rPr>
      </w:pPr>
      <w:r>
        <w:rPr>
          <w:rFonts w:ascii="Times New Roman" w:hAnsi="Times New Roman" w:eastAsia="仿宋_GB2312"/>
          <w:bCs/>
          <w:color w:val="auto"/>
          <w:szCs w:val="21"/>
          <w:highlight w:val="none"/>
        </w:rPr>
        <w:t>（GF—201</w:t>
      </w:r>
      <w:r>
        <w:rPr>
          <w:rFonts w:hint="eastAsia" w:ascii="Times New Roman" w:hAnsi="Times New Roman" w:eastAsia="仿宋_GB2312"/>
          <w:bCs/>
          <w:color w:val="auto"/>
          <w:szCs w:val="21"/>
          <w:highlight w:val="none"/>
        </w:rPr>
        <w:t>7</w:t>
      </w:r>
      <w:r>
        <w:rPr>
          <w:rFonts w:ascii="Times New Roman" w:hAnsi="Times New Roman" w:eastAsia="仿宋_GB2312"/>
          <w:bCs/>
          <w:color w:val="auto"/>
          <w:szCs w:val="21"/>
          <w:highlight w:val="none"/>
        </w:rPr>
        <w:t>—</w:t>
      </w:r>
      <w:r>
        <w:rPr>
          <w:rFonts w:hint="eastAsia" w:ascii="Times New Roman" w:hAnsi="Times New Roman" w:eastAsia="仿宋_GB2312"/>
          <w:bCs/>
          <w:color w:val="auto"/>
          <w:szCs w:val="21"/>
          <w:highlight w:val="none"/>
        </w:rPr>
        <w:t>0201）</w:t>
      </w:r>
    </w:p>
    <w:p w14:paraId="4C97A332">
      <w:pPr>
        <w:jc w:val="center"/>
        <w:rPr>
          <w:rFonts w:ascii="Times New Roman" w:hAnsi="Times New Roman" w:eastAsia="华文中宋"/>
          <w:b/>
          <w:color w:val="auto"/>
          <w:szCs w:val="21"/>
          <w:highlight w:val="none"/>
        </w:rPr>
      </w:pPr>
    </w:p>
    <w:p w14:paraId="498F7A59">
      <w:pPr>
        <w:jc w:val="center"/>
        <w:rPr>
          <w:rFonts w:ascii="Times New Roman" w:hAnsi="Times New Roman" w:eastAsia="华文中宋"/>
          <w:b/>
          <w:color w:val="auto"/>
          <w:szCs w:val="21"/>
          <w:highlight w:val="none"/>
        </w:rPr>
      </w:pPr>
    </w:p>
    <w:p w14:paraId="544AC7E3">
      <w:pPr>
        <w:jc w:val="center"/>
        <w:rPr>
          <w:rFonts w:ascii="Times New Roman" w:hAnsi="Times New Roman" w:eastAsia="华文中宋"/>
          <w:b/>
          <w:color w:val="auto"/>
          <w:szCs w:val="21"/>
          <w:highlight w:val="none"/>
        </w:rPr>
      </w:pPr>
    </w:p>
    <w:p w14:paraId="342ADEE7">
      <w:pPr>
        <w:jc w:val="center"/>
        <w:rPr>
          <w:rFonts w:ascii="Times New Roman" w:hAnsi="Times New Roman" w:eastAsia="华文中宋"/>
          <w:b/>
          <w:color w:val="auto"/>
          <w:sz w:val="72"/>
          <w:szCs w:val="72"/>
          <w:highlight w:val="none"/>
        </w:rPr>
      </w:pPr>
    </w:p>
    <w:p w14:paraId="3C8792DF">
      <w:pPr>
        <w:jc w:val="center"/>
        <w:rPr>
          <w:rFonts w:hint="eastAsia" w:ascii="Times New Roman" w:hAnsi="Times New Roman" w:eastAsia="华文中宋"/>
          <w:b/>
          <w:color w:val="auto"/>
          <w:sz w:val="72"/>
          <w:szCs w:val="72"/>
          <w:highlight w:val="none"/>
        </w:rPr>
      </w:pPr>
      <w:r>
        <w:rPr>
          <w:rFonts w:ascii="Times New Roman" w:hAnsi="Times New Roman" w:eastAsia="华文中宋"/>
          <w:b/>
          <w:color w:val="auto"/>
          <w:sz w:val="72"/>
          <w:szCs w:val="72"/>
          <w:highlight w:val="none"/>
        </w:rPr>
        <w:t>建设工程施工合同</w:t>
      </w:r>
    </w:p>
    <w:p w14:paraId="259D5719">
      <w:pPr>
        <w:pStyle w:val="12"/>
        <w:rPr>
          <w:rFonts w:hint="eastAsia"/>
          <w:color w:val="auto"/>
          <w:highlight w:val="none"/>
        </w:rPr>
      </w:pPr>
    </w:p>
    <w:p w14:paraId="6823697C">
      <w:pPr>
        <w:jc w:val="center"/>
        <w:rPr>
          <w:rFonts w:ascii="Times New Roman" w:hAnsi="Times New Roman" w:eastAsia="华文中宋"/>
          <w:b/>
          <w:color w:val="auto"/>
          <w:szCs w:val="21"/>
          <w:highlight w:val="none"/>
        </w:rPr>
      </w:pPr>
    </w:p>
    <w:p w14:paraId="09F7AF02">
      <w:pPr>
        <w:jc w:val="center"/>
        <w:rPr>
          <w:rFonts w:ascii="Times New Roman" w:hAnsi="Times New Roman" w:eastAsia="华文中宋"/>
          <w:b/>
          <w:color w:val="auto"/>
          <w:szCs w:val="21"/>
          <w:highlight w:val="none"/>
        </w:rPr>
      </w:pPr>
    </w:p>
    <w:p w14:paraId="5B7BE1D0">
      <w:pPr>
        <w:jc w:val="center"/>
        <w:rPr>
          <w:rFonts w:ascii="Times New Roman" w:hAnsi="Times New Roman" w:eastAsia="华文中宋"/>
          <w:b/>
          <w:color w:val="auto"/>
          <w:szCs w:val="21"/>
          <w:highlight w:val="none"/>
        </w:rPr>
      </w:pPr>
    </w:p>
    <w:p w14:paraId="38A027A5">
      <w:pPr>
        <w:jc w:val="center"/>
        <w:rPr>
          <w:rFonts w:ascii="Times New Roman" w:hAnsi="Times New Roman" w:eastAsia="黑体"/>
          <w:b/>
          <w:color w:val="auto"/>
          <w:szCs w:val="21"/>
          <w:highlight w:val="none"/>
        </w:rPr>
      </w:pPr>
    </w:p>
    <w:p w14:paraId="5683A4B3">
      <w:pPr>
        <w:jc w:val="center"/>
        <w:rPr>
          <w:rFonts w:ascii="Times New Roman" w:hAnsi="Times New Roman" w:eastAsia="楷体_GB2312"/>
          <w:b/>
          <w:color w:val="auto"/>
          <w:szCs w:val="21"/>
          <w:highlight w:val="none"/>
        </w:rPr>
      </w:pPr>
    </w:p>
    <w:p w14:paraId="34CD0436">
      <w:pPr>
        <w:jc w:val="center"/>
        <w:rPr>
          <w:rFonts w:ascii="Times New Roman" w:hAnsi="Times New Roman" w:eastAsia="黑体"/>
          <w:b/>
          <w:color w:val="auto"/>
          <w:szCs w:val="21"/>
          <w:highlight w:val="none"/>
        </w:rPr>
      </w:pPr>
    </w:p>
    <w:p w14:paraId="7E992D6A">
      <w:pPr>
        <w:rPr>
          <w:rFonts w:ascii="Times New Roman" w:hAnsi="Times New Roman"/>
          <w:b/>
          <w:color w:val="auto"/>
          <w:szCs w:val="21"/>
          <w:highlight w:val="none"/>
        </w:rPr>
      </w:pPr>
    </w:p>
    <w:p w14:paraId="5E73EF6E">
      <w:pPr>
        <w:rPr>
          <w:rFonts w:ascii="Times New Roman" w:hAnsi="Times New Roman"/>
          <w:b/>
          <w:color w:val="auto"/>
          <w:szCs w:val="21"/>
          <w:highlight w:val="none"/>
        </w:rPr>
      </w:pPr>
    </w:p>
    <w:p w14:paraId="24111C54">
      <w:pPr>
        <w:rPr>
          <w:rFonts w:ascii="Times New Roman" w:hAnsi="Times New Roman"/>
          <w:b/>
          <w:color w:val="auto"/>
          <w:szCs w:val="21"/>
          <w:highlight w:val="none"/>
        </w:rPr>
      </w:pPr>
    </w:p>
    <w:p w14:paraId="56D5A0B6">
      <w:pPr>
        <w:rPr>
          <w:rFonts w:ascii="Times New Roman" w:hAnsi="Times New Roman"/>
          <w:b/>
          <w:color w:val="auto"/>
          <w:szCs w:val="21"/>
          <w:highlight w:val="none"/>
        </w:rPr>
      </w:pPr>
    </w:p>
    <w:p w14:paraId="4324C475">
      <w:pPr>
        <w:rPr>
          <w:rFonts w:ascii="Times New Roman" w:hAnsi="Times New Roman"/>
          <w:b/>
          <w:color w:val="auto"/>
          <w:szCs w:val="21"/>
          <w:highlight w:val="none"/>
        </w:rPr>
      </w:pPr>
    </w:p>
    <w:p w14:paraId="3D04E041">
      <w:pPr>
        <w:rPr>
          <w:rFonts w:ascii="Times New Roman" w:hAnsi="Times New Roman"/>
          <w:b/>
          <w:color w:val="auto"/>
          <w:szCs w:val="21"/>
          <w:highlight w:val="none"/>
        </w:rPr>
      </w:pPr>
    </w:p>
    <w:p w14:paraId="7B0B6616">
      <w:pPr>
        <w:rPr>
          <w:rFonts w:ascii="Times New Roman" w:hAnsi="Times New Roman"/>
          <w:b/>
          <w:color w:val="auto"/>
          <w:szCs w:val="21"/>
          <w:highlight w:val="none"/>
        </w:rPr>
      </w:pPr>
    </w:p>
    <w:p w14:paraId="5F59D323">
      <w:pPr>
        <w:rPr>
          <w:rFonts w:ascii="Times New Roman" w:hAnsi="Times New Roman"/>
          <w:b/>
          <w:color w:val="auto"/>
          <w:szCs w:val="21"/>
          <w:highlight w:val="none"/>
        </w:rPr>
      </w:pPr>
    </w:p>
    <w:p w14:paraId="1D911490">
      <w:pPr>
        <w:rPr>
          <w:rFonts w:ascii="Times New Roman" w:hAnsi="Times New Roman"/>
          <w:b/>
          <w:color w:val="auto"/>
          <w:szCs w:val="21"/>
          <w:highlight w:val="none"/>
        </w:rPr>
      </w:pPr>
    </w:p>
    <w:p w14:paraId="52EE6463">
      <w:pPr>
        <w:rPr>
          <w:rFonts w:ascii="Times New Roman" w:hAnsi="Times New Roman"/>
          <w:b/>
          <w:color w:val="auto"/>
          <w:szCs w:val="21"/>
          <w:highlight w:val="none"/>
        </w:rPr>
      </w:pPr>
    </w:p>
    <w:p w14:paraId="3EC7ADAD">
      <w:pPr>
        <w:rPr>
          <w:rFonts w:ascii="Times New Roman" w:hAnsi="Times New Roman"/>
          <w:b/>
          <w:color w:val="auto"/>
          <w:szCs w:val="21"/>
          <w:highlight w:val="none"/>
        </w:rPr>
      </w:pPr>
    </w:p>
    <w:p w14:paraId="66E6F67D">
      <w:pPr>
        <w:rPr>
          <w:rFonts w:ascii="Times New Roman" w:hAnsi="Times New Roman"/>
          <w:b/>
          <w:color w:val="auto"/>
          <w:szCs w:val="21"/>
          <w:highlight w:val="none"/>
        </w:rPr>
      </w:pPr>
    </w:p>
    <w:p w14:paraId="0D740D1F">
      <w:pPr>
        <w:rPr>
          <w:rFonts w:ascii="Times New Roman" w:hAnsi="Times New Roman"/>
          <w:b/>
          <w:color w:val="auto"/>
          <w:szCs w:val="21"/>
          <w:highlight w:val="none"/>
        </w:rPr>
      </w:pPr>
    </w:p>
    <w:p w14:paraId="743D7252">
      <w:pPr>
        <w:pStyle w:val="7"/>
        <w:rPr>
          <w:color w:val="auto"/>
          <w:highlight w:val="none"/>
        </w:rPr>
      </w:pPr>
    </w:p>
    <w:p w14:paraId="41D5077C">
      <w:pPr>
        <w:pStyle w:val="7"/>
        <w:rPr>
          <w:rFonts w:hint="eastAsia"/>
          <w:color w:val="auto"/>
          <w:highlight w:val="none"/>
        </w:rPr>
      </w:pPr>
    </w:p>
    <w:p w14:paraId="05CD5EA9">
      <w:pPr>
        <w:rPr>
          <w:rFonts w:ascii="Times New Roman" w:hAnsi="Times New Roman"/>
          <w:b/>
          <w:color w:val="auto"/>
          <w:szCs w:val="21"/>
          <w:highlight w:val="none"/>
        </w:rPr>
      </w:pPr>
    </w:p>
    <w:p w14:paraId="396A1C87">
      <w:pPr>
        <w:rPr>
          <w:rFonts w:ascii="Times New Roman" w:hAnsi="Times New Roman"/>
          <w:b/>
          <w:color w:val="auto"/>
          <w:sz w:val="28"/>
          <w:szCs w:val="28"/>
          <w:highlight w:val="none"/>
        </w:rPr>
      </w:pPr>
    </w:p>
    <w:p w14:paraId="2EF1AC8B">
      <w:pPr>
        <w:ind w:right="2719" w:rightChars="1295" w:firstLine="2730" w:firstLineChars="1300"/>
        <w:rPr>
          <w:rFonts w:ascii="Times New Roman" w:hAnsi="Times New Roman"/>
          <w:b/>
          <w:color w:val="auto"/>
          <w:sz w:val="32"/>
          <w:szCs w:val="32"/>
          <w:highlight w:val="non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3970020</wp:posOffset>
                </wp:positionH>
                <wp:positionV relativeFrom="paragraph">
                  <wp:posOffset>120015</wp:posOffset>
                </wp:positionV>
                <wp:extent cx="723900" cy="457200"/>
                <wp:effectExtent l="4445" t="4445" r="5715" b="13335"/>
                <wp:wrapNone/>
                <wp:docPr id="1" name="文本框 1"/>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4DA18353">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028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O0earoEAgAADAQAAA4AAAAAAAAAAQAgAAAAJwEA&#10;AGRycy9lMm9Eb2MueG1sUEsFBgAAAAAGAAYAWQEAAJ0FAAAAAA==&#10;">
                <v:fill on="f" focussize="0,0"/>
                <v:stroke color="#FFFFFF" joinstyle="miter"/>
                <v:imagedata o:title=""/>
                <o:lock v:ext="edit" aspectratio="f"/>
                <v:textbox>
                  <w:txbxContent>
                    <w:p w14:paraId="4DA18353">
                      <w:pPr>
                        <w:rPr>
                          <w:b/>
                          <w:bCs/>
                          <w:sz w:val="32"/>
                        </w:rPr>
                      </w:pPr>
                      <w:r>
                        <w:rPr>
                          <w:rFonts w:hint="eastAsia"/>
                          <w:b/>
                          <w:bCs/>
                          <w:sz w:val="32"/>
                        </w:rPr>
                        <w:t>制定</w:t>
                      </w:r>
                    </w:p>
                  </w:txbxContent>
                </v:textbox>
              </v:shape>
            </w:pict>
          </mc:Fallback>
        </mc:AlternateContent>
      </w:r>
      <w:r>
        <w:rPr>
          <w:rFonts w:ascii="Times New Roman" w:hAnsi="Times New Roman"/>
          <w:b/>
          <w:color w:val="auto"/>
          <w:sz w:val="32"/>
          <w:szCs w:val="32"/>
          <w:highlight w:val="none"/>
        </w:rPr>
        <w:t>住房城乡建设部</w:t>
      </w:r>
    </w:p>
    <w:p w14:paraId="4994033F">
      <w:pPr>
        <w:ind w:right="2719" w:rightChars="1295" w:firstLine="2249" w:firstLineChars="700"/>
        <w:rPr>
          <w:rFonts w:ascii="Times New Roman" w:hAnsi="Times New Roman"/>
          <w:b/>
          <w:color w:val="auto"/>
          <w:sz w:val="32"/>
          <w:szCs w:val="32"/>
          <w:highlight w:val="none"/>
        </w:rPr>
      </w:pPr>
      <w:r>
        <w:rPr>
          <w:rFonts w:ascii="Times New Roman" w:hAnsi="Times New Roman"/>
          <w:b/>
          <w:color w:val="auto"/>
          <w:sz w:val="32"/>
          <w:szCs w:val="32"/>
          <w:highlight w:val="none"/>
        </w:rPr>
        <w:t>国家工商行政管理总局</w:t>
      </w:r>
    </w:p>
    <w:p w14:paraId="4E967143">
      <w:pPr>
        <w:rPr>
          <w:rFonts w:ascii="Times New Roman" w:hAnsi="Times New Roman"/>
          <w:b/>
          <w:color w:val="auto"/>
          <w:sz w:val="28"/>
          <w:szCs w:val="28"/>
          <w:highlight w:val="none"/>
        </w:rPr>
      </w:pPr>
    </w:p>
    <w:p w14:paraId="1E4E61DC">
      <w:pPr>
        <w:pStyle w:val="13"/>
        <w:spacing w:before="0" w:after="0" w:line="520" w:lineRule="exact"/>
        <w:jc w:val="center"/>
        <w:outlineLvl w:val="0"/>
        <w:rPr>
          <w:rFonts w:ascii="宋体" w:hAnsi="宋体" w:cs="宋体"/>
          <w:b w:val="0"/>
          <w:color w:val="auto"/>
          <w:sz w:val="21"/>
          <w:szCs w:val="21"/>
          <w:highlight w:val="none"/>
        </w:rPr>
      </w:pPr>
      <w:r>
        <w:rPr>
          <w:b w:val="0"/>
          <w:color w:val="auto"/>
          <w:sz w:val="28"/>
          <w:szCs w:val="28"/>
          <w:highlight w:val="none"/>
        </w:rPr>
        <w:br w:type="page"/>
      </w:r>
      <w:bookmarkStart w:id="0" w:name="_Toc514750056"/>
      <w:bookmarkStart w:id="1" w:name="_Toc25984"/>
      <w:bookmarkStart w:id="2" w:name="_Toc296890982"/>
      <w:bookmarkStart w:id="3" w:name="_Toc296503025"/>
      <w:r>
        <w:rPr>
          <w:rFonts w:hint="eastAsia" w:ascii="宋体" w:hAnsi="宋体" w:cs="宋体"/>
          <w:color w:val="auto"/>
          <w:sz w:val="28"/>
          <w:szCs w:val="28"/>
          <w:highlight w:val="none"/>
        </w:rPr>
        <w:t>第一部分 合同协议书</w:t>
      </w:r>
      <w:bookmarkEnd w:id="0"/>
      <w:bookmarkEnd w:id="1"/>
      <w:bookmarkEnd w:id="2"/>
      <w:bookmarkEnd w:id="3"/>
    </w:p>
    <w:p w14:paraId="18CC7F18">
      <w:pPr>
        <w:spacing w:line="240" w:lineRule="auto"/>
        <w:rPr>
          <w:rFonts w:hint="eastAsia" w:ascii="宋体" w:hAnsi="宋体" w:cs="宋体"/>
          <w:b/>
          <w:color w:val="auto"/>
          <w:szCs w:val="21"/>
          <w:highlight w:val="none"/>
        </w:rPr>
      </w:pPr>
    </w:p>
    <w:p w14:paraId="02C3803C">
      <w:pPr>
        <w:spacing w:line="460" w:lineRule="exact"/>
        <w:rPr>
          <w:rFonts w:ascii="宋体" w:hAnsi="宋体" w:cs="宋体"/>
          <w:b/>
          <w:color w:val="auto"/>
          <w:szCs w:val="21"/>
          <w:highlight w:val="none"/>
          <w:u w:val="single"/>
        </w:rPr>
      </w:pPr>
      <w:r>
        <w:rPr>
          <w:rFonts w:hint="eastAsia" w:ascii="宋体" w:hAnsi="宋体" w:cs="宋体"/>
          <w:b/>
          <w:color w:val="auto"/>
          <w:szCs w:val="21"/>
          <w:highlight w:val="none"/>
        </w:rPr>
        <w:t>发包人（全称）：</w:t>
      </w:r>
      <w:r>
        <w:rPr>
          <w:rFonts w:hint="eastAsia" w:ascii="宋体" w:hAnsi="宋体" w:cs="宋体"/>
          <w:b/>
          <w:bCs/>
          <w:color w:val="auto"/>
          <w:kern w:val="0"/>
          <w:szCs w:val="21"/>
          <w:highlight w:val="none"/>
          <w:u w:val="single"/>
        </w:rPr>
        <w:t>常州市武进区市政公用事业管理处</w:t>
      </w:r>
    </w:p>
    <w:p w14:paraId="2AC30F55">
      <w:pPr>
        <w:spacing w:line="460" w:lineRule="exact"/>
        <w:rPr>
          <w:rFonts w:hint="default" w:ascii="宋体" w:hAnsi="宋体" w:eastAsia="宋体" w:cs="宋体"/>
          <w:b/>
          <w:color w:val="auto"/>
          <w:szCs w:val="21"/>
          <w:highlight w:val="none"/>
          <w:u w:val="single"/>
          <w:lang w:val="en-US" w:eastAsia="zh-CN"/>
        </w:rPr>
      </w:pPr>
      <w:r>
        <w:rPr>
          <w:rFonts w:hint="eastAsia" w:ascii="宋体" w:hAnsi="宋体" w:cs="宋体"/>
          <w:b/>
          <w:color w:val="auto"/>
          <w:szCs w:val="21"/>
          <w:highlight w:val="none"/>
        </w:rPr>
        <w:t>承包人（全称）：</w:t>
      </w:r>
      <w:r>
        <w:rPr>
          <w:rFonts w:hint="eastAsia" w:ascii="宋体" w:hAnsi="宋体" w:eastAsia="宋体" w:cs="宋体"/>
          <w:b/>
          <w:bCs/>
          <w:color w:val="auto"/>
          <w:kern w:val="0"/>
          <w:szCs w:val="21"/>
          <w:highlight w:val="none"/>
          <w:u w:val="single"/>
        </w:rPr>
        <w:t>江苏移动信息系统集成有限公司</w:t>
      </w:r>
    </w:p>
    <w:p w14:paraId="6DA85A3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根据《中华人民共和国民法典》</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《中华人民共和国建筑法》及有关法律规定，遵循平等、自愿、公平和诚实信用的原则，双方就</w:t>
      </w:r>
      <w:r>
        <w:rPr>
          <w:rFonts w:hint="eastAsia" w:ascii="宋体" w:hAnsi="宋体" w:cs="宋体"/>
          <w:b/>
          <w:bCs/>
          <w:color w:val="auto"/>
          <w:kern w:val="0"/>
          <w:szCs w:val="21"/>
          <w:highlight w:val="none"/>
          <w:u w:val="single"/>
        </w:rPr>
        <w:t>古方路（龙舫路-湖滨路）新建工程智能交通设备采购及安装项目</w:t>
      </w:r>
      <w:r>
        <w:rPr>
          <w:rFonts w:hint="eastAsia" w:ascii="宋体" w:hAnsi="宋体" w:cs="宋体"/>
          <w:color w:val="auto"/>
          <w:szCs w:val="21"/>
          <w:highlight w:val="none"/>
        </w:rPr>
        <w:t>工程施工及有关事项协商一致，共同达成如下协议：</w:t>
      </w:r>
    </w:p>
    <w:p w14:paraId="66463BAD">
      <w:pPr>
        <w:pStyle w:val="4"/>
        <w:spacing w:before="120" w:after="120" w:line="460" w:lineRule="exact"/>
        <w:rPr>
          <w:rFonts w:ascii="宋体" w:hAnsi="宋体" w:cs="宋体"/>
          <w:bCs w:val="0"/>
          <w:color w:val="auto"/>
          <w:szCs w:val="21"/>
          <w:highlight w:val="none"/>
        </w:rPr>
      </w:pPr>
      <w:r>
        <w:rPr>
          <w:rFonts w:hint="eastAsia" w:ascii="宋体" w:hAnsi="宋体" w:cs="宋体"/>
          <w:bCs w:val="0"/>
          <w:color w:val="auto"/>
          <w:szCs w:val="21"/>
          <w:highlight w:val="none"/>
        </w:rPr>
        <w:t xml:space="preserve">   </w:t>
      </w:r>
      <w:bookmarkStart w:id="4" w:name="_Toc514750057"/>
      <w:r>
        <w:rPr>
          <w:rFonts w:hint="eastAsia" w:ascii="宋体" w:hAnsi="宋体" w:cs="宋体"/>
          <w:b w:val="0"/>
          <w:color w:val="auto"/>
          <w:szCs w:val="21"/>
          <w:highlight w:val="none"/>
        </w:rPr>
        <w:t>一、工程概况</w:t>
      </w:r>
      <w:bookmarkEnd w:id="4"/>
    </w:p>
    <w:p w14:paraId="7BD50E5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bCs/>
          <w:color w:val="auto"/>
          <w:kern w:val="0"/>
          <w:szCs w:val="21"/>
          <w:highlight w:val="none"/>
          <w:u w:val="single"/>
          <w:lang w:val="en-US" w:eastAsia="zh-CN"/>
        </w:rPr>
      </w:pPr>
      <w:r>
        <w:rPr>
          <w:rFonts w:hint="eastAsia" w:ascii="宋体" w:hAnsi="宋体" w:cs="宋体"/>
          <w:bCs/>
          <w:color w:val="auto"/>
          <w:szCs w:val="21"/>
          <w:highlight w:val="none"/>
        </w:rPr>
        <w:t>1.工程名称</w:t>
      </w:r>
      <w:r>
        <w:rPr>
          <w:rFonts w:hint="eastAsia" w:ascii="宋体" w:hAnsi="宋体" w:cs="宋体"/>
          <w:color w:val="auto"/>
          <w:szCs w:val="21"/>
          <w:highlight w:val="none"/>
        </w:rPr>
        <w:t>：</w:t>
      </w:r>
      <w:r>
        <w:rPr>
          <w:rFonts w:hint="eastAsia" w:ascii="宋体" w:hAnsi="宋体" w:eastAsia="宋体" w:cs="宋体"/>
          <w:b/>
          <w:bCs/>
          <w:color w:val="auto"/>
          <w:kern w:val="0"/>
          <w:szCs w:val="21"/>
          <w:highlight w:val="none"/>
          <w:u w:val="single"/>
        </w:rPr>
        <w:t>古方路（龙舫路-湖滨路）新建工程智能交通设备采购及安装项目</w:t>
      </w:r>
    </w:p>
    <w:p w14:paraId="2062715E">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b/>
          <w:bCs/>
          <w:color w:val="auto"/>
          <w:kern w:val="0"/>
          <w:szCs w:val="21"/>
          <w:highlight w:val="none"/>
          <w:u w:val="single"/>
          <w:lang w:val="en-US"/>
        </w:rPr>
      </w:pPr>
      <w:r>
        <w:rPr>
          <w:rFonts w:hint="eastAsia" w:ascii="宋体" w:hAnsi="宋体" w:eastAsia="宋体" w:cs="宋体"/>
          <w:b w:val="0"/>
          <w:bCs/>
          <w:color w:val="auto"/>
          <w:kern w:val="2"/>
          <w:sz w:val="21"/>
          <w:szCs w:val="21"/>
          <w:highlight w:val="none"/>
          <w:lang w:val="en-US" w:eastAsia="zh-CN" w:bidi="ar-SA"/>
        </w:rPr>
        <w:t>2.工程地址：</w:t>
      </w:r>
      <w:r>
        <w:rPr>
          <w:rFonts w:hint="eastAsia" w:cs="宋体"/>
          <w:b/>
          <w:bCs/>
          <w:color w:val="auto"/>
          <w:kern w:val="0"/>
          <w:sz w:val="21"/>
          <w:szCs w:val="21"/>
          <w:highlight w:val="none"/>
          <w:u w:val="single"/>
          <w:lang w:val="en-US" w:eastAsia="zh-CN" w:bidi="ar-SA"/>
        </w:rPr>
        <w:t>常州市武进区</w:t>
      </w:r>
    </w:p>
    <w:p w14:paraId="1232D11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3.工程立项批准文号：</w:t>
      </w:r>
      <w:r>
        <w:rPr>
          <w:rFonts w:hint="eastAsia" w:ascii="宋体" w:hAnsi="宋体" w:cs="宋体"/>
          <w:b/>
          <w:bCs/>
          <w:color w:val="auto"/>
          <w:kern w:val="0"/>
          <w:szCs w:val="21"/>
          <w:highlight w:val="none"/>
          <w:u w:val="single"/>
          <w:lang w:val="en-US" w:eastAsia="zh-CN"/>
        </w:rPr>
        <w:t>/</w:t>
      </w:r>
    </w:p>
    <w:p w14:paraId="7E32C2F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4.资金来源：</w:t>
      </w:r>
      <w:r>
        <w:rPr>
          <w:rFonts w:hint="eastAsia" w:ascii="宋体" w:hAnsi="宋体" w:cs="宋体"/>
          <w:b/>
          <w:bCs/>
          <w:color w:val="auto"/>
          <w:kern w:val="0"/>
          <w:szCs w:val="21"/>
          <w:highlight w:val="none"/>
          <w:u w:val="single"/>
        </w:rPr>
        <w:t>区财政资金</w:t>
      </w:r>
      <w:r>
        <w:rPr>
          <w:rFonts w:hint="eastAsia" w:ascii="宋体" w:hAnsi="宋体" w:cs="宋体"/>
          <w:bCs/>
          <w:color w:val="auto"/>
          <w:szCs w:val="21"/>
          <w:highlight w:val="none"/>
        </w:rPr>
        <w:t>。</w:t>
      </w:r>
    </w:p>
    <w:p w14:paraId="12D37BA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5.工程内容：</w:t>
      </w:r>
      <w:r>
        <w:rPr>
          <w:rFonts w:hint="eastAsia" w:ascii="宋体" w:hAnsi="宋体" w:cs="宋体"/>
          <w:b/>
          <w:bCs/>
          <w:color w:val="auto"/>
          <w:kern w:val="0"/>
          <w:szCs w:val="21"/>
          <w:highlight w:val="none"/>
          <w:u w:val="single"/>
        </w:rPr>
        <w:t>图纸及工程量清单（含编制说明）范围内的全部工程</w:t>
      </w:r>
      <w:r>
        <w:rPr>
          <w:rFonts w:hint="eastAsia" w:ascii="宋体" w:hAnsi="宋体" w:cs="宋体"/>
          <w:bCs/>
          <w:color w:val="auto"/>
          <w:szCs w:val="21"/>
          <w:highlight w:val="none"/>
        </w:rPr>
        <w:t>。</w:t>
      </w:r>
    </w:p>
    <w:p w14:paraId="0CB14A1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bCs/>
          <w:color w:val="auto"/>
          <w:szCs w:val="21"/>
          <w:highlight w:val="none"/>
        </w:rPr>
      </w:pPr>
      <w:r>
        <w:rPr>
          <w:rFonts w:hint="eastAsia" w:ascii="宋体" w:hAnsi="宋体" w:cs="宋体"/>
          <w:color w:val="auto"/>
          <w:szCs w:val="21"/>
          <w:highlight w:val="none"/>
        </w:rPr>
        <w:t>群体工程应附《承包人承揽工程项目一览表》（附件1）。</w:t>
      </w:r>
    </w:p>
    <w:p w14:paraId="1E93574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bCs/>
          <w:color w:val="auto"/>
          <w:szCs w:val="21"/>
          <w:highlight w:val="none"/>
        </w:rPr>
        <w:t>6.工程承包范围：</w:t>
      </w:r>
      <w:r>
        <w:rPr>
          <w:rFonts w:hint="eastAsia" w:ascii="宋体" w:hAnsi="宋体" w:cs="宋体"/>
          <w:b/>
          <w:bCs/>
          <w:color w:val="auto"/>
          <w:kern w:val="0"/>
          <w:szCs w:val="21"/>
          <w:highlight w:val="none"/>
          <w:u w:val="single"/>
        </w:rPr>
        <w:t>图纸及工程量清单（含编制说明）范围内的全部工程。</w:t>
      </w:r>
    </w:p>
    <w:p w14:paraId="7F7EBDCF">
      <w:pPr>
        <w:pStyle w:val="4"/>
        <w:spacing w:before="120" w:after="120" w:line="46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rPr>
        <w:t xml:space="preserve">   </w:t>
      </w:r>
      <w:bookmarkStart w:id="5" w:name="_Toc514750058"/>
      <w:r>
        <w:rPr>
          <w:rFonts w:hint="eastAsia" w:ascii="宋体" w:hAnsi="宋体" w:cs="宋体"/>
          <w:b/>
          <w:bCs w:val="0"/>
          <w:color w:val="auto"/>
          <w:szCs w:val="21"/>
          <w:highlight w:val="none"/>
        </w:rPr>
        <w:t>二、合同工期</w:t>
      </w:r>
      <w:bookmarkEnd w:id="5"/>
    </w:p>
    <w:p w14:paraId="1C2692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计划开工日期：</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日。</w:t>
      </w:r>
    </w:p>
    <w:p w14:paraId="0A412C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计划竣工日期：</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日。</w:t>
      </w:r>
    </w:p>
    <w:p w14:paraId="5DF87F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kern w:val="0"/>
          <w:szCs w:val="21"/>
          <w:highlight w:val="none"/>
          <w:u w:val="single"/>
        </w:rPr>
      </w:pPr>
      <w:r>
        <w:rPr>
          <w:rFonts w:hint="eastAsia" w:ascii="宋体" w:hAnsi="宋体" w:cs="宋体"/>
          <w:color w:val="auto"/>
          <w:szCs w:val="21"/>
          <w:highlight w:val="none"/>
        </w:rPr>
        <w:t>工期总日历天数：</w:t>
      </w:r>
      <w:r>
        <w:rPr>
          <w:rFonts w:hint="eastAsia" w:ascii="宋体" w:hAnsi="宋体" w:cs="宋体"/>
          <w:color w:val="auto"/>
          <w:kern w:val="0"/>
          <w:szCs w:val="21"/>
          <w:highlight w:val="none"/>
          <w:u w:val="single"/>
          <w:lang w:val="en-US" w:eastAsia="zh-CN"/>
        </w:rPr>
        <w:t>60</w:t>
      </w:r>
      <w:r>
        <w:rPr>
          <w:rFonts w:hint="eastAsia" w:ascii="宋体" w:hAnsi="宋体" w:cs="宋体"/>
          <w:color w:val="auto"/>
          <w:kern w:val="0"/>
          <w:szCs w:val="21"/>
          <w:highlight w:val="none"/>
          <w:u w:val="single"/>
        </w:rPr>
        <w:t>日历天。</w:t>
      </w:r>
      <w:r>
        <w:rPr>
          <w:rFonts w:hint="eastAsia" w:ascii="宋体" w:hAnsi="宋体" w:cs="宋体"/>
          <w:color w:val="auto"/>
          <w:szCs w:val="21"/>
          <w:highlight w:val="none"/>
        </w:rPr>
        <w:t>工期总日历天数与根据前述计划开竣工日期计算的工期天数不一致的，以工期总日历天数为准。</w:t>
      </w:r>
    </w:p>
    <w:p w14:paraId="28CE87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除上述总工期外，发包人还要求以下节点工期（如有）：</w:t>
      </w:r>
    </w:p>
    <w:p w14:paraId="609F4EEC">
      <w:pPr>
        <w:pStyle w:val="4"/>
        <w:spacing w:before="120" w:after="120" w:line="460" w:lineRule="exact"/>
        <w:rPr>
          <w:rFonts w:ascii="宋体" w:hAnsi="宋体" w:cs="宋体"/>
          <w:bCs w:val="0"/>
          <w:color w:val="auto"/>
          <w:szCs w:val="21"/>
          <w:highlight w:val="none"/>
        </w:rPr>
      </w:pPr>
      <w:r>
        <w:rPr>
          <w:rFonts w:hint="eastAsia" w:ascii="宋体" w:hAnsi="宋体" w:cs="宋体"/>
          <w:bCs w:val="0"/>
          <w:color w:val="auto"/>
          <w:szCs w:val="21"/>
          <w:highlight w:val="none"/>
        </w:rPr>
        <w:t xml:space="preserve">  </w:t>
      </w:r>
      <w:r>
        <w:rPr>
          <w:rFonts w:hint="eastAsia" w:ascii="宋体" w:hAnsi="宋体" w:cs="宋体"/>
          <w:b/>
          <w:bCs w:val="0"/>
          <w:color w:val="auto"/>
          <w:szCs w:val="21"/>
          <w:highlight w:val="none"/>
        </w:rPr>
        <w:t xml:space="preserve">  </w:t>
      </w:r>
      <w:bookmarkStart w:id="6" w:name="_Toc514750059"/>
      <w:r>
        <w:rPr>
          <w:rFonts w:hint="eastAsia" w:ascii="宋体" w:hAnsi="宋体" w:cs="宋体"/>
          <w:b/>
          <w:bCs w:val="0"/>
          <w:color w:val="auto"/>
          <w:szCs w:val="21"/>
          <w:highlight w:val="none"/>
        </w:rPr>
        <w:t>三、质量标准</w:t>
      </w:r>
      <w:bookmarkEnd w:id="6"/>
    </w:p>
    <w:p w14:paraId="59EBDE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工程质量</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合格</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rPr>
        <w:t>。</w:t>
      </w:r>
    </w:p>
    <w:p w14:paraId="4C6618D7">
      <w:pPr>
        <w:pStyle w:val="4"/>
        <w:spacing w:before="120" w:after="120" w:line="460" w:lineRule="exact"/>
        <w:rPr>
          <w:rFonts w:ascii="宋体" w:hAnsi="宋体" w:cs="宋体"/>
          <w:bCs w:val="0"/>
          <w:color w:val="auto"/>
          <w:szCs w:val="21"/>
          <w:highlight w:val="none"/>
        </w:rPr>
      </w:pPr>
      <w:r>
        <w:rPr>
          <w:rFonts w:hint="eastAsia" w:ascii="宋体" w:hAnsi="宋体" w:cs="宋体"/>
          <w:bCs w:val="0"/>
          <w:color w:val="auto"/>
          <w:szCs w:val="21"/>
          <w:highlight w:val="none"/>
        </w:rPr>
        <w:t xml:space="preserve"> </w:t>
      </w:r>
      <w:r>
        <w:rPr>
          <w:rFonts w:hint="eastAsia" w:ascii="宋体" w:hAnsi="宋体" w:cs="宋体"/>
          <w:b/>
          <w:bCs w:val="0"/>
          <w:color w:val="auto"/>
          <w:szCs w:val="21"/>
          <w:highlight w:val="none"/>
        </w:rPr>
        <w:t xml:space="preserve">   </w:t>
      </w:r>
      <w:bookmarkStart w:id="7" w:name="_Toc514750060"/>
      <w:r>
        <w:rPr>
          <w:rFonts w:hint="eastAsia" w:ascii="宋体" w:hAnsi="宋体" w:cs="宋体"/>
          <w:b/>
          <w:bCs w:val="0"/>
          <w:color w:val="auto"/>
          <w:szCs w:val="21"/>
          <w:highlight w:val="none"/>
        </w:rPr>
        <w:t>四、签约合同价与合同价格形式</w:t>
      </w:r>
      <w:bookmarkEnd w:id="7"/>
      <w:r>
        <w:rPr>
          <w:rFonts w:hint="eastAsia" w:ascii="宋体" w:hAnsi="宋体" w:cs="宋体"/>
          <w:b/>
          <w:bCs w:val="0"/>
          <w:color w:val="auto"/>
          <w:szCs w:val="21"/>
          <w:highlight w:val="none"/>
        </w:rPr>
        <w:tab/>
      </w:r>
    </w:p>
    <w:p w14:paraId="792C939D">
      <w:pPr>
        <w:keepNext w:val="0"/>
        <w:keepLines w:val="0"/>
        <w:pageBreakBefore w:val="0"/>
        <w:kinsoku/>
        <w:wordWrap/>
        <w:overflowPunct/>
        <w:topLinePunct w:val="0"/>
        <w:autoSpaceDE/>
        <w:autoSpaceDN/>
        <w:bidi w:val="0"/>
        <w:adjustRightInd/>
        <w:snapToGrid/>
        <w:spacing w:line="360" w:lineRule="auto"/>
        <w:ind w:left="0" w:leftChars="0"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1.签约合同价为：</w:t>
      </w:r>
    </w:p>
    <w:p w14:paraId="63F2922F">
      <w:pPr>
        <w:keepNext w:val="0"/>
        <w:keepLines w:val="0"/>
        <w:pageBreakBefore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lang w:val="en-US" w:eastAsia="zh-CN"/>
        </w:rPr>
        <w:t>壹佰壹拾叁万陆仟元整</w:t>
      </w:r>
      <w:r>
        <w:rPr>
          <w:rFonts w:hint="eastAsia" w:ascii="宋体" w:hAnsi="宋体" w:cs="宋体"/>
          <w:color w:val="auto"/>
          <w:szCs w:val="21"/>
          <w:highlight w:val="none"/>
        </w:rPr>
        <w:t>(¥</w:t>
      </w:r>
      <w:r>
        <w:rPr>
          <w:rFonts w:hint="eastAsia" w:ascii="宋体" w:hAnsi="宋体" w:cs="宋体"/>
          <w:color w:val="auto"/>
          <w:szCs w:val="21"/>
          <w:highlight w:val="none"/>
          <w:u w:val="single"/>
          <w:lang w:val="en-US" w:eastAsia="zh-CN"/>
        </w:rPr>
        <w:t>1136000.00</w:t>
      </w:r>
      <w:r>
        <w:rPr>
          <w:rFonts w:hint="eastAsia" w:ascii="宋体" w:hAnsi="宋体" w:cs="宋体"/>
          <w:color w:val="auto"/>
          <w:szCs w:val="21"/>
          <w:highlight w:val="none"/>
        </w:rPr>
        <w:t>元)，税率</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rPr>
        <w:t>%，不含税价（大写）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lang w:val="en-US" w:eastAsia="zh-CN"/>
        </w:rPr>
        <w:t>1042201.83</w:t>
      </w:r>
      <w:r>
        <w:rPr>
          <w:rFonts w:hint="eastAsia" w:ascii="宋体" w:hAnsi="宋体" w:cs="宋体"/>
          <w:color w:val="auto"/>
          <w:szCs w:val="21"/>
          <w:highlight w:val="none"/>
        </w:rPr>
        <w:t>元)</w:t>
      </w:r>
      <w:r>
        <w:rPr>
          <w:rFonts w:hint="eastAsia" w:ascii="宋体" w:hAnsi="宋体" w:cs="宋体"/>
          <w:color w:val="auto"/>
          <w:szCs w:val="21"/>
          <w:highlight w:val="none"/>
          <w:lang w:val="en-US" w:eastAsia="zh-CN"/>
        </w:rPr>
        <w:t>。</w:t>
      </w:r>
    </w:p>
    <w:p w14:paraId="6F7F0C2F">
      <w:pPr>
        <w:keepNext w:val="0"/>
        <w:keepLines w:val="0"/>
        <w:pageBreakBefore w:val="0"/>
        <w:kinsoku/>
        <w:wordWrap/>
        <w:overflowPunct/>
        <w:topLinePunct w:val="0"/>
        <w:autoSpaceDE/>
        <w:autoSpaceDN/>
        <w:bidi w:val="0"/>
        <w:adjustRightInd/>
        <w:snapToGrid/>
        <w:spacing w:line="360" w:lineRule="auto"/>
        <w:ind w:left="0" w:leftChars="0"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其中：</w:t>
      </w:r>
    </w:p>
    <w:p w14:paraId="04D2804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（1）安全文明施工费：</w:t>
      </w:r>
    </w:p>
    <w:p w14:paraId="07F01868">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w:t>
      </w:r>
      <w:r>
        <w:rPr>
          <w:rFonts w:hint="eastAsia" w:ascii="宋体" w:hAnsi="宋体" w:cs="宋体"/>
          <w:color w:val="auto"/>
          <w:szCs w:val="21"/>
          <w:highlight w:val="none"/>
        </w:rPr>
        <w:t>元)；</w:t>
      </w:r>
    </w:p>
    <w:p w14:paraId="539026A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（2）材料和工程设备暂估价金额：</w:t>
      </w:r>
    </w:p>
    <w:p w14:paraId="7DE02E8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w:t>
      </w:r>
      <w:r>
        <w:rPr>
          <w:rFonts w:hint="eastAsia" w:ascii="宋体" w:hAnsi="宋体" w:cs="宋体"/>
          <w:color w:val="auto"/>
          <w:szCs w:val="21"/>
          <w:highlight w:val="none"/>
        </w:rPr>
        <w:t>元)；</w:t>
      </w:r>
    </w:p>
    <w:p w14:paraId="664375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（3）专业工程暂估价金额：</w:t>
      </w:r>
    </w:p>
    <w:p w14:paraId="3DDE23D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w:t>
      </w:r>
      <w:r>
        <w:rPr>
          <w:rFonts w:hint="eastAsia" w:ascii="宋体" w:hAnsi="宋体" w:cs="宋体"/>
          <w:color w:val="auto"/>
          <w:szCs w:val="21"/>
          <w:highlight w:val="none"/>
        </w:rPr>
        <w:t>元)；</w:t>
      </w:r>
    </w:p>
    <w:p w14:paraId="65609E90">
      <w:pPr>
        <w:keepNext w:val="0"/>
        <w:keepLines w:val="0"/>
        <w:pageBreakBefore w:val="0"/>
        <w:kinsoku/>
        <w:wordWrap/>
        <w:overflowPunct/>
        <w:topLinePunct w:val="0"/>
        <w:autoSpaceDE/>
        <w:autoSpaceDN/>
        <w:bidi w:val="0"/>
        <w:adjustRightInd/>
        <w:snapToGrid/>
        <w:spacing w:line="360" w:lineRule="auto"/>
        <w:ind w:left="0" w:leftChars="0"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（4）暂列金额：</w:t>
      </w:r>
    </w:p>
    <w:p w14:paraId="161C18DE">
      <w:pPr>
        <w:keepNext w:val="0"/>
        <w:keepLines w:val="0"/>
        <w:pageBreakBefore w:val="0"/>
        <w:kinsoku/>
        <w:wordWrap/>
        <w:overflowPunct/>
        <w:topLinePunct w:val="0"/>
        <w:autoSpaceDE/>
        <w:autoSpaceDN/>
        <w:bidi w:val="0"/>
        <w:adjustRightInd/>
        <w:snapToGrid/>
        <w:spacing w:line="360" w:lineRule="auto"/>
        <w:ind w:left="0" w:leftChars="0"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lang w:val="en-US" w:eastAsia="zh-CN"/>
        </w:rPr>
        <w:t>壹拾万元整</w:t>
      </w:r>
      <w:r>
        <w:rPr>
          <w:rFonts w:hint="eastAsia" w:ascii="宋体" w:hAnsi="宋体" w:cs="宋体"/>
          <w:color w:val="auto"/>
          <w:szCs w:val="21"/>
          <w:highlight w:val="none"/>
        </w:rPr>
        <w:t>(¥</w:t>
      </w:r>
      <w:r>
        <w:rPr>
          <w:rFonts w:hint="eastAsia" w:ascii="宋体" w:hAnsi="宋体" w:cs="宋体"/>
          <w:color w:val="auto"/>
          <w:szCs w:val="21"/>
          <w:highlight w:val="none"/>
          <w:u w:val="single"/>
          <w:lang w:val="en-US" w:eastAsia="zh-CN"/>
        </w:rPr>
        <w:t>100000.00</w:t>
      </w:r>
      <w:r>
        <w:rPr>
          <w:rFonts w:hint="eastAsia" w:ascii="宋体" w:hAnsi="宋体" w:cs="宋体"/>
          <w:color w:val="auto"/>
          <w:szCs w:val="21"/>
          <w:highlight w:val="none"/>
        </w:rPr>
        <w:t>元)。</w:t>
      </w:r>
    </w:p>
    <w:p w14:paraId="06873228">
      <w:pPr>
        <w:keepNext w:val="0"/>
        <w:keepLines w:val="0"/>
        <w:pageBreakBefore w:val="0"/>
        <w:kinsoku/>
        <w:wordWrap/>
        <w:overflowPunct/>
        <w:topLinePunct w:val="0"/>
        <w:autoSpaceDE/>
        <w:autoSpaceDN/>
        <w:bidi w:val="0"/>
        <w:adjustRightInd/>
        <w:snapToGrid/>
        <w:spacing w:line="360" w:lineRule="auto"/>
        <w:ind w:left="0" w:leftChars="0"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2.合同价格形式：</w:t>
      </w:r>
      <w:r>
        <w:rPr>
          <w:rFonts w:hint="eastAsia" w:ascii="宋体" w:hAnsi="宋体" w:cs="宋体"/>
          <w:color w:val="auto"/>
          <w:kern w:val="0"/>
          <w:szCs w:val="21"/>
          <w:highlight w:val="none"/>
          <w:u w:val="single"/>
        </w:rPr>
        <w:t>固定单价合同</w:t>
      </w:r>
      <w:r>
        <w:rPr>
          <w:rFonts w:hint="eastAsia" w:ascii="宋体" w:hAnsi="宋体" w:cs="宋体"/>
          <w:color w:val="auto"/>
          <w:szCs w:val="21"/>
          <w:highlight w:val="none"/>
        </w:rPr>
        <w:t>。</w:t>
      </w:r>
    </w:p>
    <w:p w14:paraId="4E47164F">
      <w:pPr>
        <w:pStyle w:val="4"/>
        <w:spacing w:before="120" w:after="120" w:line="460" w:lineRule="exact"/>
        <w:rPr>
          <w:rFonts w:ascii="宋体" w:hAnsi="宋体" w:cs="宋体"/>
          <w:b w:val="0"/>
          <w:color w:val="auto"/>
          <w:szCs w:val="21"/>
          <w:highlight w:val="none"/>
        </w:rPr>
      </w:pPr>
      <w:r>
        <w:rPr>
          <w:rFonts w:hint="eastAsia" w:ascii="宋体" w:hAnsi="宋体" w:cs="宋体"/>
          <w:bCs w:val="0"/>
          <w:color w:val="auto"/>
          <w:szCs w:val="21"/>
          <w:highlight w:val="none"/>
        </w:rPr>
        <w:t xml:space="preserve">   </w:t>
      </w:r>
      <w:r>
        <w:rPr>
          <w:rFonts w:hint="eastAsia" w:ascii="宋体" w:hAnsi="宋体" w:cs="宋体"/>
          <w:b/>
          <w:bCs w:val="0"/>
          <w:color w:val="auto"/>
          <w:szCs w:val="21"/>
          <w:highlight w:val="none"/>
        </w:rPr>
        <w:t xml:space="preserve"> </w:t>
      </w:r>
      <w:bookmarkStart w:id="8" w:name="_Toc514750061"/>
      <w:r>
        <w:rPr>
          <w:rFonts w:hint="eastAsia" w:ascii="宋体" w:hAnsi="宋体" w:cs="宋体"/>
          <w:b/>
          <w:bCs w:val="0"/>
          <w:color w:val="auto"/>
          <w:szCs w:val="21"/>
          <w:highlight w:val="none"/>
        </w:rPr>
        <w:t>五、项目经理</w:t>
      </w:r>
      <w:bookmarkEnd w:id="8"/>
    </w:p>
    <w:p w14:paraId="4DE02FD3">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承包人项目经理：</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黄骥</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w:t>
      </w:r>
    </w:p>
    <w:p w14:paraId="539E88CC">
      <w:pPr>
        <w:pStyle w:val="4"/>
        <w:spacing w:before="120" w:after="120" w:line="460" w:lineRule="exact"/>
        <w:rPr>
          <w:rFonts w:ascii="宋体" w:hAnsi="宋体" w:cs="宋体"/>
          <w:bCs w:val="0"/>
          <w:color w:val="auto"/>
          <w:szCs w:val="21"/>
          <w:highlight w:val="none"/>
        </w:rPr>
      </w:pPr>
      <w:r>
        <w:rPr>
          <w:rFonts w:hint="eastAsia" w:ascii="宋体" w:hAnsi="宋体" w:cs="宋体"/>
          <w:bCs w:val="0"/>
          <w:color w:val="auto"/>
          <w:szCs w:val="21"/>
          <w:highlight w:val="none"/>
        </w:rPr>
        <w:t xml:space="preserve">  </w:t>
      </w:r>
      <w:r>
        <w:rPr>
          <w:rFonts w:hint="eastAsia" w:ascii="宋体" w:hAnsi="宋体" w:cs="宋体"/>
          <w:b/>
          <w:bCs w:val="0"/>
          <w:color w:val="auto"/>
          <w:szCs w:val="21"/>
          <w:highlight w:val="none"/>
        </w:rPr>
        <w:t xml:space="preserve">  </w:t>
      </w:r>
      <w:bookmarkStart w:id="9" w:name="_Toc514750062"/>
      <w:r>
        <w:rPr>
          <w:rFonts w:hint="eastAsia" w:ascii="宋体" w:hAnsi="宋体" w:cs="宋体"/>
          <w:b/>
          <w:bCs w:val="0"/>
          <w:color w:val="auto"/>
          <w:szCs w:val="21"/>
          <w:highlight w:val="none"/>
        </w:rPr>
        <w:t>六、合同文件构成</w:t>
      </w:r>
      <w:bookmarkEnd w:id="9"/>
    </w:p>
    <w:p w14:paraId="01849F2D">
      <w:pPr>
        <w:keepNext w:val="0"/>
        <w:keepLines w:val="0"/>
        <w:pageBreakBefore w:val="0"/>
        <w:widowControl w:val="0"/>
        <w:kinsoku/>
        <w:wordWrap/>
        <w:overflowPunct/>
        <w:topLinePunct w:val="0"/>
        <w:bidi w:val="0"/>
        <w:snapToGrid/>
        <w:spacing w:line="360" w:lineRule="auto"/>
        <w:ind w:firstLine="420" w:firstLineChars="200"/>
        <w:jc w:val="both"/>
        <w:textAlignment w:val="auto"/>
        <w:rPr>
          <w:rFonts w:ascii="宋体" w:hAnsi="宋体" w:cs="宋体"/>
          <w:bCs/>
          <w:color w:val="auto"/>
          <w:szCs w:val="21"/>
          <w:highlight w:val="none"/>
        </w:rPr>
      </w:pPr>
      <w:r>
        <w:rPr>
          <w:rFonts w:hint="eastAsia" w:ascii="宋体" w:hAnsi="宋体" w:cs="宋体"/>
          <w:bCs/>
          <w:color w:val="auto"/>
          <w:szCs w:val="21"/>
          <w:highlight w:val="none"/>
        </w:rPr>
        <w:t>本协议书与下列文件一起构成合同文件：</w:t>
      </w:r>
    </w:p>
    <w:p w14:paraId="419C7669">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（1）中标通知书（如果有）；</w:t>
      </w:r>
    </w:p>
    <w:p w14:paraId="39E4C460">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 xml:space="preserve">（2）投标函及其附录（如果有）； </w:t>
      </w:r>
    </w:p>
    <w:p w14:paraId="0F0A24F4">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（3）专用合同条款及其附件；</w:t>
      </w:r>
    </w:p>
    <w:p w14:paraId="165493E5">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（4）通用合同条款；</w:t>
      </w:r>
    </w:p>
    <w:p w14:paraId="0B86598F">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（5）技术标准和要求；</w:t>
      </w:r>
    </w:p>
    <w:p w14:paraId="1DBBB442">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（6）图纸；</w:t>
      </w:r>
    </w:p>
    <w:p w14:paraId="5D151A87">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（7）已标价工程量清单或预算书；</w:t>
      </w:r>
    </w:p>
    <w:p w14:paraId="5E538719">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（8）其他合同文件。</w:t>
      </w:r>
    </w:p>
    <w:p w14:paraId="604B324E">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w:t>
      </w:r>
    </w:p>
    <w:p w14:paraId="3444FEB4">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1F03025F">
      <w:pPr>
        <w:pStyle w:val="4"/>
        <w:spacing w:before="120" w:after="120" w:line="46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rPr>
        <w:t xml:space="preserve">    </w:t>
      </w:r>
      <w:bookmarkStart w:id="10" w:name="_Toc514750063"/>
      <w:r>
        <w:rPr>
          <w:rFonts w:hint="eastAsia" w:ascii="宋体" w:hAnsi="宋体" w:cs="宋体"/>
          <w:b/>
          <w:bCs w:val="0"/>
          <w:color w:val="auto"/>
          <w:szCs w:val="21"/>
          <w:highlight w:val="none"/>
        </w:rPr>
        <w:t>七、承诺</w:t>
      </w:r>
      <w:bookmarkEnd w:id="10"/>
    </w:p>
    <w:p w14:paraId="423AE6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1.发包人承诺按照法律规定履行项目审批手续、筹集工程建设资金并按照合同约定的期限和方式支付合同价款。</w:t>
      </w:r>
    </w:p>
    <w:p w14:paraId="488B34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2.承包人承诺按照法律规定及合同约定组织完成工程施工，确保工程质量和安全，不进行转包及违法分包，并在缺陷责任期及保修期内承担相应的工程维修责任。</w:t>
      </w:r>
    </w:p>
    <w:p w14:paraId="5A566D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3.发包人和承包人通过招投标形式签订合同的，双方理解并承诺不再就同一工程另行签订与合同实质性内容相背离的协议。</w:t>
      </w:r>
    </w:p>
    <w:p w14:paraId="547E6FD5">
      <w:pPr>
        <w:spacing w:line="460" w:lineRule="exact"/>
        <w:rPr>
          <w:rFonts w:hint="eastAsia" w:ascii="宋体" w:hAnsi="宋体" w:eastAsia="黑体" w:cs="宋体"/>
          <w:b w:val="0"/>
          <w:bCs w:val="0"/>
          <w:color w:val="auto"/>
          <w:kern w:val="0"/>
          <w:sz w:val="28"/>
          <w:szCs w:val="21"/>
          <w:highlight w:val="none"/>
          <w:lang w:val="en-US" w:eastAsia="zh-CN" w:bidi="ar-SA"/>
        </w:rPr>
      </w:pPr>
      <w:r>
        <w:rPr>
          <w:rFonts w:hint="eastAsia" w:ascii="宋体" w:hAnsi="宋体" w:eastAsia="黑体" w:cs="宋体"/>
          <w:b w:val="0"/>
          <w:bCs w:val="0"/>
          <w:color w:val="auto"/>
          <w:kern w:val="0"/>
          <w:sz w:val="28"/>
          <w:szCs w:val="21"/>
          <w:highlight w:val="none"/>
          <w:lang w:val="en-US" w:eastAsia="zh-CN" w:bidi="ar-SA"/>
        </w:rPr>
        <w:t xml:space="preserve">   </w:t>
      </w:r>
      <w:r>
        <w:rPr>
          <w:rFonts w:hint="eastAsia" w:ascii="宋体" w:hAnsi="宋体" w:eastAsia="黑体" w:cs="宋体"/>
          <w:b/>
          <w:bCs w:val="0"/>
          <w:color w:val="auto"/>
          <w:kern w:val="0"/>
          <w:sz w:val="28"/>
          <w:szCs w:val="21"/>
          <w:highlight w:val="none"/>
          <w:lang w:val="en-US" w:eastAsia="zh-CN" w:bidi="ar-SA"/>
        </w:rPr>
        <w:t xml:space="preserve"> 八、词语含义</w:t>
      </w:r>
    </w:p>
    <w:p w14:paraId="3181EE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本协议书中词语含义与第二部分通用合同条款中赋予的含义相同。</w:t>
      </w:r>
    </w:p>
    <w:p w14:paraId="4FCBD4E6">
      <w:pPr>
        <w:pStyle w:val="4"/>
        <w:spacing w:before="120" w:after="120" w:line="460" w:lineRule="exact"/>
        <w:rPr>
          <w:rFonts w:ascii="宋体" w:hAnsi="宋体" w:cs="宋体"/>
          <w:bCs w:val="0"/>
          <w:color w:val="auto"/>
          <w:szCs w:val="21"/>
          <w:highlight w:val="none"/>
        </w:rPr>
      </w:pPr>
      <w:r>
        <w:rPr>
          <w:rFonts w:hint="eastAsia" w:ascii="宋体" w:hAnsi="宋体" w:cs="宋体"/>
          <w:bCs w:val="0"/>
          <w:color w:val="auto"/>
          <w:szCs w:val="21"/>
          <w:highlight w:val="none"/>
        </w:rPr>
        <w:t xml:space="preserve">  </w:t>
      </w:r>
      <w:r>
        <w:rPr>
          <w:rFonts w:hint="eastAsia" w:ascii="宋体" w:hAnsi="宋体" w:cs="宋体"/>
          <w:b w:val="0"/>
          <w:color w:val="auto"/>
          <w:szCs w:val="21"/>
          <w:highlight w:val="none"/>
        </w:rPr>
        <w:t xml:space="preserve"> </w:t>
      </w:r>
      <w:r>
        <w:rPr>
          <w:rFonts w:hint="eastAsia" w:ascii="宋体" w:hAnsi="宋体" w:eastAsia="黑体" w:cs="宋体"/>
          <w:b/>
          <w:bCs w:val="0"/>
          <w:color w:val="auto"/>
          <w:kern w:val="0"/>
          <w:sz w:val="28"/>
          <w:szCs w:val="21"/>
          <w:highlight w:val="none"/>
          <w:lang w:val="en-US" w:eastAsia="zh-CN" w:bidi="ar-SA"/>
        </w:rPr>
        <w:t xml:space="preserve"> </w:t>
      </w:r>
      <w:bookmarkStart w:id="11" w:name="_Toc514750064"/>
      <w:r>
        <w:rPr>
          <w:rFonts w:hint="eastAsia" w:ascii="宋体" w:hAnsi="宋体" w:eastAsia="黑体" w:cs="宋体"/>
          <w:b/>
          <w:bCs w:val="0"/>
          <w:color w:val="auto"/>
          <w:kern w:val="0"/>
          <w:sz w:val="28"/>
          <w:szCs w:val="21"/>
          <w:highlight w:val="none"/>
          <w:lang w:val="en-US" w:eastAsia="zh-CN" w:bidi="ar-SA"/>
        </w:rPr>
        <w:t>九、签订时间</w:t>
      </w:r>
      <w:bookmarkEnd w:id="11"/>
    </w:p>
    <w:p w14:paraId="457B13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本合同于</w:t>
      </w:r>
      <w:r>
        <w:rPr>
          <w:rFonts w:hint="eastAsia" w:ascii="宋体" w:hAnsi="宋体" w:cs="宋体"/>
          <w:bCs/>
          <w:color w:val="auto"/>
          <w:szCs w:val="21"/>
          <w:highlight w:val="none"/>
          <w:u w:val="single"/>
          <w:lang w:val="en-US" w:eastAsia="zh-CN"/>
        </w:rPr>
        <w:t xml:space="preserve">  2025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ascii="宋体" w:hAnsi="宋体" w:cs="宋体"/>
          <w:bCs/>
          <w:color w:val="auto"/>
          <w:szCs w:val="21"/>
          <w:highlight w:val="none"/>
          <w:u w:val="single"/>
        </w:rPr>
        <w:t xml:space="preserve"> </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ascii="宋体" w:hAnsi="宋体" w:cs="宋体"/>
          <w:bCs/>
          <w:color w:val="auto"/>
          <w:szCs w:val="21"/>
          <w:highlight w:val="none"/>
          <w:u w:val="single"/>
        </w:rPr>
        <w:t xml:space="preserve">   </w:t>
      </w:r>
      <w:r>
        <w:rPr>
          <w:rFonts w:hint="eastAsia" w:ascii="宋体" w:hAnsi="宋体" w:cs="宋体"/>
          <w:bCs/>
          <w:color w:val="auto"/>
          <w:szCs w:val="21"/>
          <w:highlight w:val="none"/>
        </w:rPr>
        <w:t>日签订。</w:t>
      </w:r>
    </w:p>
    <w:p w14:paraId="02C1147E">
      <w:pPr>
        <w:pStyle w:val="4"/>
        <w:spacing w:before="120" w:after="120" w:line="460" w:lineRule="exact"/>
        <w:rPr>
          <w:rFonts w:hint="eastAsia" w:ascii="宋体" w:hAnsi="宋体" w:eastAsia="黑体" w:cs="宋体"/>
          <w:b/>
          <w:bCs w:val="0"/>
          <w:color w:val="auto"/>
          <w:kern w:val="0"/>
          <w:sz w:val="28"/>
          <w:szCs w:val="21"/>
          <w:highlight w:val="none"/>
          <w:lang w:val="en-US" w:eastAsia="zh-CN" w:bidi="ar-SA"/>
        </w:rPr>
      </w:pPr>
      <w:r>
        <w:rPr>
          <w:rFonts w:hint="eastAsia" w:ascii="宋体" w:hAnsi="宋体" w:eastAsia="黑体" w:cs="宋体"/>
          <w:b/>
          <w:bCs w:val="0"/>
          <w:color w:val="auto"/>
          <w:kern w:val="0"/>
          <w:sz w:val="28"/>
          <w:szCs w:val="21"/>
          <w:highlight w:val="none"/>
          <w:lang w:val="en-US" w:eastAsia="zh-CN" w:bidi="ar-SA"/>
        </w:rPr>
        <w:t xml:space="preserve">    </w:t>
      </w:r>
      <w:bookmarkStart w:id="12" w:name="_Toc514750065"/>
      <w:r>
        <w:rPr>
          <w:rFonts w:hint="eastAsia" w:ascii="宋体" w:hAnsi="宋体" w:eastAsia="黑体" w:cs="宋体"/>
          <w:b/>
          <w:bCs w:val="0"/>
          <w:color w:val="auto"/>
          <w:kern w:val="0"/>
          <w:sz w:val="28"/>
          <w:szCs w:val="21"/>
          <w:highlight w:val="none"/>
          <w:lang w:val="en-US" w:eastAsia="zh-CN" w:bidi="ar-SA"/>
        </w:rPr>
        <w:t>十、签订地点</w:t>
      </w:r>
      <w:bookmarkEnd w:id="12"/>
    </w:p>
    <w:p w14:paraId="4918DE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本合同在</w:t>
      </w:r>
      <w:r>
        <w:rPr>
          <w:rFonts w:hint="eastAsia" w:ascii="宋体" w:hAnsi="宋体" w:cs="宋体"/>
          <w:bCs/>
          <w:color w:val="auto"/>
          <w:szCs w:val="21"/>
          <w:highlight w:val="none"/>
          <w:u w:val="single"/>
        </w:rPr>
        <w:t xml:space="preserve">  常州市武进区市政公用事业管理处 </w:t>
      </w:r>
      <w:r>
        <w:rPr>
          <w:rFonts w:hint="eastAsia" w:ascii="宋体" w:hAnsi="宋体" w:cs="宋体"/>
          <w:bCs/>
          <w:color w:val="auto"/>
          <w:szCs w:val="21"/>
          <w:highlight w:val="none"/>
        </w:rPr>
        <w:t>签订。</w:t>
      </w:r>
    </w:p>
    <w:p w14:paraId="3E3FB43E">
      <w:pPr>
        <w:pStyle w:val="4"/>
        <w:spacing w:before="120" w:after="120" w:line="460" w:lineRule="exact"/>
        <w:rPr>
          <w:rFonts w:ascii="宋体" w:hAnsi="宋体" w:cs="宋体"/>
          <w:bCs w:val="0"/>
          <w:color w:val="auto"/>
          <w:szCs w:val="21"/>
          <w:highlight w:val="none"/>
        </w:rPr>
      </w:pPr>
      <w:r>
        <w:rPr>
          <w:rFonts w:hint="eastAsia" w:ascii="宋体" w:hAnsi="宋体" w:cs="宋体"/>
          <w:bCs w:val="0"/>
          <w:color w:val="auto"/>
          <w:szCs w:val="21"/>
          <w:highlight w:val="none"/>
        </w:rPr>
        <w:t xml:space="preserve"> </w:t>
      </w:r>
      <w:r>
        <w:rPr>
          <w:rFonts w:hint="eastAsia" w:ascii="宋体" w:hAnsi="宋体" w:eastAsia="黑体" w:cs="宋体"/>
          <w:b/>
          <w:bCs w:val="0"/>
          <w:color w:val="auto"/>
          <w:kern w:val="0"/>
          <w:sz w:val="28"/>
          <w:szCs w:val="21"/>
          <w:highlight w:val="none"/>
          <w:lang w:val="en-US" w:eastAsia="zh-CN" w:bidi="ar-SA"/>
        </w:rPr>
        <w:t xml:space="preserve">   </w:t>
      </w:r>
      <w:bookmarkStart w:id="13" w:name="_Toc514750066"/>
      <w:r>
        <w:rPr>
          <w:rFonts w:hint="eastAsia" w:ascii="宋体" w:hAnsi="宋体" w:eastAsia="黑体" w:cs="宋体"/>
          <w:b/>
          <w:bCs w:val="0"/>
          <w:color w:val="auto"/>
          <w:kern w:val="0"/>
          <w:sz w:val="28"/>
          <w:szCs w:val="21"/>
          <w:highlight w:val="none"/>
          <w:lang w:val="en-US" w:eastAsia="zh-CN" w:bidi="ar-SA"/>
        </w:rPr>
        <w:t>十一、补充协议</w:t>
      </w:r>
      <w:bookmarkEnd w:id="13"/>
    </w:p>
    <w:p w14:paraId="0D526471">
      <w:pPr>
        <w:spacing w:line="460" w:lineRule="exact"/>
        <w:ind w:firstLine="420" w:firstLineChars="200"/>
        <w:rPr>
          <w:rFonts w:ascii="宋体" w:hAnsi="宋体" w:cs="宋体"/>
          <w:b/>
          <w:bCs/>
          <w:color w:val="auto"/>
          <w:szCs w:val="21"/>
          <w:highlight w:val="none"/>
        </w:rPr>
      </w:pPr>
      <w:r>
        <w:rPr>
          <w:rFonts w:hint="eastAsia" w:ascii="宋体" w:hAnsi="宋体" w:cs="宋体"/>
          <w:bCs/>
          <w:color w:val="auto"/>
          <w:szCs w:val="21"/>
          <w:highlight w:val="none"/>
        </w:rPr>
        <w:t>合同未尽事宜，合同当事人另行签订补充协议，补充协议是合同的组成部分。</w:t>
      </w:r>
    </w:p>
    <w:p w14:paraId="468F870C">
      <w:pPr>
        <w:pStyle w:val="4"/>
        <w:spacing w:before="120" w:after="120" w:line="460" w:lineRule="exact"/>
        <w:rPr>
          <w:rFonts w:hint="eastAsia" w:ascii="宋体" w:hAnsi="宋体" w:eastAsia="黑体" w:cs="宋体"/>
          <w:b/>
          <w:bCs w:val="0"/>
          <w:color w:val="auto"/>
          <w:kern w:val="0"/>
          <w:sz w:val="28"/>
          <w:szCs w:val="21"/>
          <w:highlight w:val="none"/>
          <w:lang w:val="en-US" w:eastAsia="zh-CN" w:bidi="ar-SA"/>
        </w:rPr>
      </w:pPr>
      <w:r>
        <w:rPr>
          <w:rFonts w:hint="eastAsia" w:ascii="宋体" w:hAnsi="宋体" w:eastAsia="黑体" w:cs="宋体"/>
          <w:b/>
          <w:bCs w:val="0"/>
          <w:color w:val="auto"/>
          <w:kern w:val="0"/>
          <w:sz w:val="28"/>
          <w:szCs w:val="21"/>
          <w:highlight w:val="none"/>
          <w:lang w:val="en-US" w:eastAsia="zh-CN" w:bidi="ar-SA"/>
        </w:rPr>
        <w:t xml:space="preserve">    </w:t>
      </w:r>
      <w:bookmarkStart w:id="14" w:name="_Toc514750067"/>
      <w:r>
        <w:rPr>
          <w:rFonts w:hint="eastAsia" w:ascii="宋体" w:hAnsi="宋体" w:eastAsia="黑体" w:cs="宋体"/>
          <w:b/>
          <w:bCs w:val="0"/>
          <w:color w:val="auto"/>
          <w:kern w:val="0"/>
          <w:sz w:val="28"/>
          <w:szCs w:val="21"/>
          <w:highlight w:val="none"/>
          <w:lang w:val="en-US" w:eastAsia="zh-CN" w:bidi="ar-SA"/>
        </w:rPr>
        <w:t>十二、合同生效</w:t>
      </w:r>
      <w:bookmarkEnd w:id="14"/>
    </w:p>
    <w:p w14:paraId="31384D06">
      <w:pPr>
        <w:spacing w:line="46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本合同自</w:t>
      </w:r>
      <w:r>
        <w:rPr>
          <w:rFonts w:hint="eastAsia" w:ascii="宋体" w:hAnsi="宋体" w:cs="宋体"/>
          <w:bCs/>
          <w:color w:val="auto"/>
          <w:szCs w:val="21"/>
          <w:highlight w:val="none"/>
          <w:u w:val="single"/>
        </w:rPr>
        <w:t xml:space="preserve">  </w:t>
      </w:r>
      <w:r>
        <w:rPr>
          <w:rFonts w:hint="eastAsia" w:ascii="宋体" w:hAnsi="宋体" w:cs="宋体"/>
          <w:color w:val="auto"/>
          <w:kern w:val="0"/>
          <w:szCs w:val="21"/>
          <w:highlight w:val="none"/>
          <w:u w:val="single"/>
        </w:rPr>
        <w:t xml:space="preserve">双方盖章后 </w:t>
      </w:r>
      <w:r>
        <w:rPr>
          <w:rFonts w:ascii="宋体" w:hAnsi="宋体" w:cs="宋体"/>
          <w:color w:val="auto"/>
          <w:kern w:val="0"/>
          <w:szCs w:val="21"/>
          <w:highlight w:val="none"/>
          <w:u w:val="single"/>
        </w:rPr>
        <w:t xml:space="preserve"> </w:t>
      </w:r>
      <w:r>
        <w:rPr>
          <w:rFonts w:hint="eastAsia" w:ascii="宋体" w:hAnsi="宋体" w:cs="宋体"/>
          <w:bCs/>
          <w:color w:val="auto"/>
          <w:szCs w:val="21"/>
          <w:highlight w:val="none"/>
        </w:rPr>
        <w:t>生效。</w:t>
      </w:r>
    </w:p>
    <w:p w14:paraId="27056D99">
      <w:pPr>
        <w:pStyle w:val="4"/>
        <w:tabs>
          <w:tab w:val="left" w:pos="3299"/>
        </w:tabs>
        <w:spacing w:before="120" w:after="120" w:line="460" w:lineRule="exact"/>
        <w:rPr>
          <w:rFonts w:ascii="宋体" w:hAnsi="宋体" w:cs="宋体"/>
          <w:bCs w:val="0"/>
          <w:color w:val="auto"/>
          <w:szCs w:val="21"/>
          <w:highlight w:val="none"/>
        </w:rPr>
      </w:pPr>
      <w:r>
        <w:rPr>
          <w:rFonts w:hint="eastAsia" w:ascii="宋体" w:hAnsi="宋体" w:cs="宋体"/>
          <w:bCs w:val="0"/>
          <w:color w:val="auto"/>
          <w:szCs w:val="21"/>
          <w:highlight w:val="none"/>
        </w:rPr>
        <w:t xml:space="preserve">  </w:t>
      </w:r>
      <w:r>
        <w:rPr>
          <w:rFonts w:hint="eastAsia" w:ascii="宋体" w:hAnsi="宋体" w:eastAsia="黑体" w:cs="宋体"/>
          <w:b/>
          <w:bCs w:val="0"/>
          <w:color w:val="auto"/>
          <w:kern w:val="0"/>
          <w:sz w:val="28"/>
          <w:szCs w:val="21"/>
          <w:highlight w:val="none"/>
          <w:lang w:val="en-US" w:eastAsia="zh-CN" w:bidi="ar-SA"/>
        </w:rPr>
        <w:t xml:space="preserve">  </w:t>
      </w:r>
      <w:bookmarkStart w:id="15" w:name="_Toc514750068"/>
      <w:r>
        <w:rPr>
          <w:rFonts w:hint="eastAsia" w:ascii="宋体" w:hAnsi="宋体" w:eastAsia="黑体" w:cs="宋体"/>
          <w:b/>
          <w:bCs w:val="0"/>
          <w:color w:val="auto"/>
          <w:kern w:val="0"/>
          <w:sz w:val="28"/>
          <w:szCs w:val="21"/>
          <w:highlight w:val="none"/>
          <w:lang w:val="en-US" w:eastAsia="zh-CN" w:bidi="ar-SA"/>
        </w:rPr>
        <w:t>十三、合同份数</w:t>
      </w:r>
      <w:bookmarkEnd w:id="15"/>
    </w:p>
    <w:p w14:paraId="7234395C">
      <w:pPr>
        <w:spacing w:line="46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本合同一式</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玖</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份，均具有同等法律效力，发包人执</w:t>
      </w:r>
      <w:r>
        <w:rPr>
          <w:rFonts w:hint="eastAsia" w:ascii="宋体" w:hAnsi="宋体" w:cs="宋体"/>
          <w:bCs/>
          <w:color w:val="auto"/>
          <w:szCs w:val="21"/>
          <w:highlight w:val="none"/>
          <w:u w:val="single"/>
        </w:rPr>
        <w:t xml:space="preserve"> 肆 </w:t>
      </w:r>
      <w:r>
        <w:rPr>
          <w:rFonts w:hint="eastAsia" w:ascii="宋体" w:hAnsi="宋体" w:cs="宋体"/>
          <w:bCs/>
          <w:color w:val="auto"/>
          <w:szCs w:val="21"/>
          <w:highlight w:val="none"/>
        </w:rPr>
        <w:t>份，承包人执</w:t>
      </w:r>
      <w:r>
        <w:rPr>
          <w:rFonts w:hint="eastAsia" w:ascii="宋体" w:hAnsi="宋体" w:cs="宋体"/>
          <w:bCs/>
          <w:color w:val="auto"/>
          <w:szCs w:val="21"/>
          <w:highlight w:val="none"/>
          <w:u w:val="single"/>
        </w:rPr>
        <w:t xml:space="preserve"> 肆 </w:t>
      </w:r>
      <w:r>
        <w:rPr>
          <w:rFonts w:hint="eastAsia" w:ascii="宋体" w:hAnsi="宋体" w:cs="宋体"/>
          <w:bCs/>
          <w:color w:val="auto"/>
          <w:szCs w:val="21"/>
          <w:highlight w:val="none"/>
        </w:rPr>
        <w:t>份</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代理公司</w:t>
      </w:r>
      <w:r>
        <w:rPr>
          <w:rFonts w:hint="eastAsia" w:ascii="宋体" w:hAnsi="宋体" w:cs="宋体"/>
          <w:bCs/>
          <w:color w:val="auto"/>
          <w:szCs w:val="21"/>
          <w:highlight w:val="none"/>
        </w:rPr>
        <w:t>执</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壹</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w:t>
      </w:r>
    </w:p>
    <w:p w14:paraId="5444EC08">
      <w:pPr>
        <w:spacing w:line="460" w:lineRule="exact"/>
        <w:rPr>
          <w:rFonts w:hint="eastAsia" w:ascii="宋体" w:hAnsi="宋体" w:cs="宋体"/>
          <w:color w:val="auto"/>
          <w:szCs w:val="21"/>
          <w:highlight w:val="none"/>
        </w:rPr>
      </w:pPr>
    </w:p>
    <w:p w14:paraId="793E25DB">
      <w:pPr>
        <w:spacing w:line="460" w:lineRule="exact"/>
        <w:rPr>
          <w:rFonts w:hint="eastAsia" w:ascii="宋体" w:hAnsi="宋体" w:cs="宋体"/>
          <w:color w:val="auto"/>
          <w:szCs w:val="21"/>
          <w:highlight w:val="none"/>
        </w:rPr>
      </w:pPr>
    </w:p>
    <w:tbl>
      <w:tblPr>
        <w:tblStyle w:val="9"/>
        <w:tblW w:w="9428" w:type="dxa"/>
        <w:tblInd w:w="-2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020"/>
        <w:gridCol w:w="1665"/>
        <w:gridCol w:w="3157"/>
      </w:tblGrid>
      <w:tr w14:paraId="40A2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1" w:hRule="atLeast"/>
        </w:trPr>
        <w:tc>
          <w:tcPr>
            <w:tcW w:w="4606" w:type="dxa"/>
            <w:gridSpan w:val="2"/>
            <w:tcBorders>
              <w:top w:val="nil"/>
              <w:left w:val="nil"/>
              <w:bottom w:val="nil"/>
              <w:right w:val="nil"/>
            </w:tcBorders>
          </w:tcPr>
          <w:p w14:paraId="124744F6">
            <w:pPr>
              <w:spacing w:line="460" w:lineRule="exact"/>
              <w:rPr>
                <w:rFonts w:ascii="宋体" w:hAnsi="宋体" w:cs="宋体"/>
                <w:color w:val="auto"/>
                <w:szCs w:val="21"/>
                <w:highlight w:val="none"/>
              </w:rPr>
            </w:pPr>
            <w:r>
              <w:rPr>
                <w:rFonts w:hint="eastAsia" w:ascii="宋体" w:hAnsi="宋体" w:cs="宋体"/>
                <w:color w:val="auto"/>
                <w:szCs w:val="21"/>
                <w:highlight w:val="none"/>
                <w:lang w:eastAsia="zh-CN"/>
              </w:rPr>
              <w:t>甲方</w:t>
            </w:r>
            <w:r>
              <w:rPr>
                <w:rFonts w:hint="eastAsia" w:ascii="宋体" w:hAnsi="宋体" w:cs="宋体"/>
                <w:color w:val="auto"/>
                <w:szCs w:val="21"/>
                <w:highlight w:val="none"/>
              </w:rPr>
              <w:t>：  (公章)</w:t>
            </w:r>
          </w:p>
        </w:tc>
        <w:tc>
          <w:tcPr>
            <w:tcW w:w="4822" w:type="dxa"/>
            <w:gridSpan w:val="2"/>
            <w:tcBorders>
              <w:top w:val="nil"/>
              <w:left w:val="nil"/>
              <w:bottom w:val="nil"/>
              <w:right w:val="nil"/>
            </w:tcBorders>
          </w:tcPr>
          <w:p w14:paraId="58ED43C1">
            <w:pPr>
              <w:spacing w:line="460" w:lineRule="exact"/>
              <w:rPr>
                <w:rFonts w:ascii="宋体" w:hAnsi="宋体" w:cs="宋体"/>
                <w:color w:val="auto"/>
                <w:szCs w:val="21"/>
                <w:highlight w:val="none"/>
              </w:rPr>
            </w:pPr>
            <w:r>
              <w:rPr>
                <w:rFonts w:hint="eastAsia" w:ascii="宋体" w:hAnsi="宋体" w:cs="宋体"/>
                <w:color w:val="auto"/>
                <w:szCs w:val="21"/>
                <w:highlight w:val="none"/>
                <w:lang w:eastAsia="zh-CN"/>
              </w:rPr>
              <w:t>乙方</w:t>
            </w:r>
            <w:r>
              <w:rPr>
                <w:rFonts w:hint="eastAsia" w:ascii="宋体" w:hAnsi="宋体" w:cs="宋体"/>
                <w:color w:val="auto"/>
                <w:szCs w:val="21"/>
                <w:highlight w:val="none"/>
              </w:rPr>
              <w:t xml:space="preserve">：  (公章)    </w:t>
            </w:r>
          </w:p>
        </w:tc>
      </w:tr>
      <w:tr w14:paraId="0DA9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4606" w:type="dxa"/>
            <w:gridSpan w:val="2"/>
            <w:tcBorders>
              <w:top w:val="nil"/>
              <w:left w:val="nil"/>
              <w:bottom w:val="nil"/>
              <w:right w:val="nil"/>
            </w:tcBorders>
          </w:tcPr>
          <w:p w14:paraId="20C6BE76">
            <w:pPr>
              <w:spacing w:line="460" w:lineRule="exact"/>
              <w:rPr>
                <w:rFonts w:ascii="宋体" w:hAnsi="宋体" w:cs="宋体"/>
                <w:color w:val="auto"/>
                <w:szCs w:val="21"/>
                <w:highlight w:val="none"/>
              </w:rPr>
            </w:pPr>
            <w:r>
              <w:rPr>
                <w:rFonts w:hint="eastAsia" w:ascii="宋体" w:hAnsi="宋体" w:cs="宋体"/>
                <w:color w:val="auto"/>
                <w:szCs w:val="21"/>
                <w:highlight w:val="none"/>
              </w:rPr>
              <w:t>法定代表人或其委托代理人：（签字）</w:t>
            </w:r>
          </w:p>
        </w:tc>
        <w:tc>
          <w:tcPr>
            <w:tcW w:w="4822" w:type="dxa"/>
            <w:gridSpan w:val="2"/>
            <w:tcBorders>
              <w:top w:val="nil"/>
              <w:left w:val="nil"/>
              <w:bottom w:val="nil"/>
              <w:right w:val="nil"/>
            </w:tcBorders>
          </w:tcPr>
          <w:p w14:paraId="5DC86D2A">
            <w:pPr>
              <w:spacing w:line="460" w:lineRule="exact"/>
              <w:rPr>
                <w:rFonts w:ascii="宋体" w:hAnsi="宋体" w:cs="宋体"/>
                <w:color w:val="auto"/>
                <w:szCs w:val="21"/>
                <w:highlight w:val="none"/>
              </w:rPr>
            </w:pPr>
            <w:r>
              <w:rPr>
                <w:rFonts w:hint="eastAsia" w:ascii="宋体" w:hAnsi="宋体" w:cs="宋体"/>
                <w:color w:val="auto"/>
                <w:szCs w:val="21"/>
                <w:highlight w:val="none"/>
              </w:rPr>
              <w:t>法定代表人或其委托代理人：（签字）</w:t>
            </w:r>
          </w:p>
        </w:tc>
      </w:tr>
      <w:tr w14:paraId="05CA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481D2983">
            <w:pPr>
              <w:spacing w:line="460" w:lineRule="exact"/>
              <w:rPr>
                <w:rFonts w:ascii="宋体" w:hAnsi="宋体" w:cs="宋体"/>
                <w:color w:val="auto"/>
                <w:szCs w:val="21"/>
                <w:highlight w:val="none"/>
              </w:rPr>
            </w:pPr>
            <w:r>
              <w:rPr>
                <w:rFonts w:hint="eastAsia" w:ascii="宋体" w:hAnsi="宋体" w:cs="宋体"/>
                <w:color w:val="auto"/>
                <w:szCs w:val="21"/>
                <w:highlight w:val="none"/>
              </w:rPr>
              <w:t>组织机构代码：</w:t>
            </w:r>
          </w:p>
        </w:tc>
        <w:tc>
          <w:tcPr>
            <w:tcW w:w="3020" w:type="dxa"/>
            <w:tcBorders>
              <w:top w:val="nil"/>
              <w:left w:val="nil"/>
              <w:bottom w:val="nil"/>
              <w:right w:val="nil"/>
            </w:tcBorders>
            <w:vAlign w:val="center"/>
          </w:tcPr>
          <w:p w14:paraId="23AA088D">
            <w:pPr>
              <w:spacing w:line="460" w:lineRule="exact"/>
              <w:rPr>
                <w:rFonts w:ascii="宋体" w:hAnsi="宋体" w:cs="宋体"/>
                <w:color w:val="auto"/>
                <w:szCs w:val="21"/>
                <w:highlight w:val="none"/>
              </w:rPr>
            </w:pPr>
            <w:r>
              <w:rPr>
                <w:rFonts w:hint="eastAsia" w:ascii="宋体" w:hAnsi="宋体" w:cs="宋体"/>
                <w:color w:val="auto"/>
                <w:szCs w:val="21"/>
                <w:highlight w:val="none"/>
              </w:rPr>
              <w:t>12320483467334514U</w:t>
            </w:r>
          </w:p>
        </w:tc>
        <w:tc>
          <w:tcPr>
            <w:tcW w:w="1665" w:type="dxa"/>
            <w:tcBorders>
              <w:top w:val="nil"/>
              <w:left w:val="nil"/>
              <w:bottom w:val="nil"/>
              <w:right w:val="nil"/>
            </w:tcBorders>
            <w:vAlign w:val="center"/>
          </w:tcPr>
          <w:p w14:paraId="4342E5B6">
            <w:pPr>
              <w:spacing w:line="460" w:lineRule="exact"/>
              <w:rPr>
                <w:rFonts w:ascii="宋体" w:hAnsi="宋体" w:cs="宋体"/>
                <w:color w:val="auto"/>
                <w:szCs w:val="21"/>
                <w:highlight w:val="none"/>
              </w:rPr>
            </w:pPr>
            <w:r>
              <w:rPr>
                <w:rFonts w:hint="eastAsia" w:ascii="宋体" w:hAnsi="宋体" w:cs="宋体"/>
                <w:color w:val="auto"/>
                <w:szCs w:val="21"/>
                <w:highlight w:val="none"/>
              </w:rPr>
              <w:t>组织机构代码：</w:t>
            </w:r>
          </w:p>
        </w:tc>
        <w:tc>
          <w:tcPr>
            <w:tcW w:w="3157" w:type="dxa"/>
            <w:tcBorders>
              <w:top w:val="nil"/>
              <w:left w:val="nil"/>
              <w:bottom w:val="nil"/>
              <w:right w:val="nil"/>
            </w:tcBorders>
          </w:tcPr>
          <w:p w14:paraId="273EC816">
            <w:pPr>
              <w:spacing w:line="460" w:lineRule="exact"/>
              <w:rPr>
                <w:rFonts w:ascii="宋体" w:hAnsi="宋体" w:cs="宋体"/>
                <w:color w:val="auto"/>
                <w:szCs w:val="21"/>
                <w:highlight w:val="none"/>
              </w:rPr>
            </w:pPr>
            <w:r>
              <w:rPr>
                <w:rFonts w:hint="eastAsia" w:ascii="宋体" w:hAnsi="宋体" w:cs="宋体"/>
                <w:color w:val="auto"/>
                <w:szCs w:val="21"/>
                <w:highlight w:val="none"/>
              </w:rPr>
              <w:t>91320000551171586G</w:t>
            </w:r>
          </w:p>
        </w:tc>
      </w:tr>
      <w:tr w14:paraId="1E13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586" w:type="dxa"/>
            <w:tcBorders>
              <w:top w:val="nil"/>
              <w:left w:val="nil"/>
              <w:bottom w:val="nil"/>
              <w:right w:val="nil"/>
            </w:tcBorders>
            <w:vAlign w:val="center"/>
          </w:tcPr>
          <w:p w14:paraId="718B6549">
            <w:pPr>
              <w:spacing w:line="460" w:lineRule="exact"/>
              <w:rPr>
                <w:rFonts w:ascii="宋体" w:hAnsi="宋体" w:cs="宋体"/>
                <w:color w:val="auto"/>
                <w:szCs w:val="21"/>
                <w:highlight w:val="none"/>
              </w:rPr>
            </w:pPr>
            <w:r>
              <w:rPr>
                <w:rFonts w:hint="eastAsia" w:ascii="宋体" w:hAnsi="宋体" w:cs="宋体"/>
                <w:color w:val="auto"/>
                <w:szCs w:val="21"/>
                <w:highlight w:val="none"/>
              </w:rPr>
              <w:t>地  址：</w:t>
            </w:r>
          </w:p>
        </w:tc>
        <w:tc>
          <w:tcPr>
            <w:tcW w:w="3020" w:type="dxa"/>
            <w:tcBorders>
              <w:top w:val="nil"/>
              <w:left w:val="nil"/>
              <w:bottom w:val="nil"/>
              <w:right w:val="nil"/>
            </w:tcBorders>
            <w:vAlign w:val="center"/>
          </w:tcPr>
          <w:p w14:paraId="4B9B08CC">
            <w:pPr>
              <w:rPr>
                <w:rFonts w:ascii="宋体" w:hAnsi="宋体" w:cs="宋体"/>
                <w:color w:val="auto"/>
                <w:szCs w:val="21"/>
                <w:highlight w:val="none"/>
              </w:rPr>
            </w:pPr>
            <w:r>
              <w:rPr>
                <w:rFonts w:hint="eastAsia" w:ascii="宋体" w:hAnsi="宋体" w:cs="宋体"/>
                <w:color w:val="auto"/>
                <w:szCs w:val="21"/>
                <w:highlight w:val="none"/>
              </w:rPr>
              <w:t>常州市武进区湖塘镇广电西路178号</w:t>
            </w:r>
          </w:p>
        </w:tc>
        <w:tc>
          <w:tcPr>
            <w:tcW w:w="1665" w:type="dxa"/>
            <w:tcBorders>
              <w:top w:val="nil"/>
              <w:left w:val="nil"/>
              <w:bottom w:val="nil"/>
              <w:right w:val="nil"/>
            </w:tcBorders>
            <w:vAlign w:val="center"/>
          </w:tcPr>
          <w:p w14:paraId="0B30BC71">
            <w:pPr>
              <w:spacing w:line="460" w:lineRule="exact"/>
              <w:rPr>
                <w:rFonts w:ascii="宋体" w:hAnsi="宋体" w:cs="宋体"/>
                <w:color w:val="auto"/>
                <w:szCs w:val="21"/>
                <w:highlight w:val="none"/>
              </w:rPr>
            </w:pPr>
            <w:r>
              <w:rPr>
                <w:rFonts w:hint="eastAsia" w:ascii="宋体" w:hAnsi="宋体" w:cs="宋体"/>
                <w:color w:val="auto"/>
                <w:szCs w:val="21"/>
                <w:highlight w:val="none"/>
              </w:rPr>
              <w:t>地  址：</w:t>
            </w:r>
          </w:p>
        </w:tc>
        <w:tc>
          <w:tcPr>
            <w:tcW w:w="3157" w:type="dxa"/>
            <w:tcBorders>
              <w:top w:val="nil"/>
              <w:left w:val="nil"/>
              <w:bottom w:val="nil"/>
              <w:right w:val="nil"/>
            </w:tcBorders>
            <w:vAlign w:val="center"/>
          </w:tcPr>
          <w:p w14:paraId="2A72D578">
            <w:pPr>
              <w:rPr>
                <w:rFonts w:ascii="宋体" w:hAnsi="宋体" w:cs="宋体"/>
                <w:color w:val="auto"/>
                <w:szCs w:val="21"/>
                <w:highlight w:val="none"/>
              </w:rPr>
            </w:pPr>
            <w:r>
              <w:rPr>
                <w:rFonts w:hint="eastAsia" w:ascii="宋体" w:hAnsi="宋体" w:cs="宋体"/>
                <w:color w:val="auto"/>
                <w:szCs w:val="21"/>
                <w:highlight w:val="none"/>
              </w:rPr>
              <w:t>南京市虎踞路59号</w:t>
            </w:r>
          </w:p>
        </w:tc>
      </w:tr>
      <w:tr w14:paraId="3386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2130AC91">
            <w:pPr>
              <w:spacing w:line="460" w:lineRule="exact"/>
              <w:rPr>
                <w:rFonts w:ascii="宋体" w:hAnsi="宋体" w:cs="宋体"/>
                <w:color w:val="auto"/>
                <w:szCs w:val="21"/>
                <w:highlight w:val="none"/>
              </w:rPr>
            </w:pPr>
            <w:r>
              <w:rPr>
                <w:rFonts w:hint="eastAsia" w:ascii="宋体" w:hAnsi="宋体" w:cs="宋体"/>
                <w:color w:val="auto"/>
                <w:szCs w:val="21"/>
                <w:highlight w:val="none"/>
              </w:rPr>
              <w:t>邮政编码：</w:t>
            </w:r>
          </w:p>
        </w:tc>
        <w:tc>
          <w:tcPr>
            <w:tcW w:w="3020" w:type="dxa"/>
            <w:tcBorders>
              <w:top w:val="nil"/>
              <w:left w:val="nil"/>
              <w:bottom w:val="nil"/>
              <w:right w:val="nil"/>
            </w:tcBorders>
            <w:vAlign w:val="center"/>
          </w:tcPr>
          <w:p w14:paraId="3A7ECE7D">
            <w:pPr>
              <w:spacing w:line="460" w:lineRule="exact"/>
              <w:rPr>
                <w:rFonts w:ascii="宋体" w:hAnsi="宋体" w:cs="宋体"/>
                <w:color w:val="auto"/>
                <w:szCs w:val="21"/>
                <w:highlight w:val="none"/>
              </w:rPr>
            </w:pPr>
            <w:r>
              <w:rPr>
                <w:rFonts w:hint="eastAsia" w:ascii="宋体" w:hAnsi="宋体" w:cs="宋体"/>
                <w:color w:val="auto"/>
                <w:szCs w:val="21"/>
                <w:highlight w:val="none"/>
              </w:rPr>
              <w:t>213100</w:t>
            </w:r>
          </w:p>
        </w:tc>
        <w:tc>
          <w:tcPr>
            <w:tcW w:w="1665" w:type="dxa"/>
            <w:tcBorders>
              <w:top w:val="nil"/>
              <w:left w:val="nil"/>
              <w:bottom w:val="nil"/>
              <w:right w:val="nil"/>
            </w:tcBorders>
            <w:vAlign w:val="center"/>
          </w:tcPr>
          <w:p w14:paraId="08E8B3C1">
            <w:pPr>
              <w:spacing w:line="460" w:lineRule="exact"/>
              <w:rPr>
                <w:rFonts w:ascii="宋体" w:hAnsi="宋体" w:cs="宋体"/>
                <w:color w:val="auto"/>
                <w:szCs w:val="21"/>
                <w:highlight w:val="none"/>
              </w:rPr>
            </w:pPr>
            <w:r>
              <w:rPr>
                <w:rFonts w:hint="eastAsia" w:ascii="宋体" w:hAnsi="宋体" w:cs="宋体"/>
                <w:color w:val="auto"/>
                <w:szCs w:val="21"/>
                <w:highlight w:val="none"/>
              </w:rPr>
              <w:t>邮政编码：</w:t>
            </w:r>
          </w:p>
        </w:tc>
        <w:tc>
          <w:tcPr>
            <w:tcW w:w="3157" w:type="dxa"/>
            <w:tcBorders>
              <w:top w:val="nil"/>
              <w:left w:val="nil"/>
              <w:bottom w:val="nil"/>
              <w:right w:val="nil"/>
            </w:tcBorders>
          </w:tcPr>
          <w:p w14:paraId="2FA82B2D">
            <w:pPr>
              <w:spacing w:line="460" w:lineRule="exact"/>
              <w:rPr>
                <w:rFonts w:ascii="宋体" w:hAnsi="宋体" w:cs="宋体"/>
                <w:color w:val="auto"/>
                <w:szCs w:val="21"/>
                <w:highlight w:val="none"/>
              </w:rPr>
            </w:pPr>
            <w:r>
              <w:rPr>
                <w:rFonts w:hint="eastAsia" w:ascii="宋体" w:hAnsi="宋体" w:cs="宋体"/>
                <w:color w:val="auto"/>
                <w:szCs w:val="21"/>
                <w:highlight w:val="none"/>
              </w:rPr>
              <w:t>210013</w:t>
            </w:r>
          </w:p>
        </w:tc>
      </w:tr>
      <w:tr w14:paraId="62B2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6238A3FA">
            <w:pPr>
              <w:spacing w:line="460" w:lineRule="exact"/>
              <w:rPr>
                <w:rFonts w:ascii="宋体" w:hAnsi="宋体" w:cs="宋体"/>
                <w:color w:val="auto"/>
                <w:szCs w:val="21"/>
                <w:highlight w:val="none"/>
              </w:rPr>
            </w:pPr>
            <w:r>
              <w:rPr>
                <w:rFonts w:hint="eastAsia" w:ascii="宋体" w:hAnsi="宋体" w:cs="宋体"/>
                <w:color w:val="auto"/>
                <w:szCs w:val="21"/>
                <w:highlight w:val="none"/>
              </w:rPr>
              <w:t>法定代表人：</w:t>
            </w:r>
          </w:p>
        </w:tc>
        <w:tc>
          <w:tcPr>
            <w:tcW w:w="3020" w:type="dxa"/>
            <w:tcBorders>
              <w:top w:val="nil"/>
              <w:left w:val="nil"/>
              <w:bottom w:val="nil"/>
              <w:right w:val="nil"/>
            </w:tcBorders>
            <w:vAlign w:val="center"/>
          </w:tcPr>
          <w:p w14:paraId="03EE77D1">
            <w:pPr>
              <w:spacing w:line="460" w:lineRule="exact"/>
              <w:rPr>
                <w:rFonts w:ascii="宋体" w:hAnsi="宋体" w:cs="宋体"/>
                <w:color w:val="auto"/>
                <w:szCs w:val="21"/>
                <w:highlight w:val="none"/>
              </w:rPr>
            </w:pPr>
          </w:p>
        </w:tc>
        <w:tc>
          <w:tcPr>
            <w:tcW w:w="1665" w:type="dxa"/>
            <w:tcBorders>
              <w:top w:val="nil"/>
              <w:left w:val="nil"/>
              <w:bottom w:val="nil"/>
              <w:right w:val="nil"/>
            </w:tcBorders>
            <w:vAlign w:val="center"/>
          </w:tcPr>
          <w:p w14:paraId="03C5E27E">
            <w:pPr>
              <w:spacing w:line="460" w:lineRule="exact"/>
              <w:rPr>
                <w:rFonts w:ascii="宋体" w:hAnsi="宋体" w:cs="宋体"/>
                <w:color w:val="auto"/>
                <w:szCs w:val="21"/>
                <w:highlight w:val="none"/>
              </w:rPr>
            </w:pPr>
            <w:r>
              <w:rPr>
                <w:rFonts w:hint="eastAsia" w:ascii="宋体" w:hAnsi="宋体" w:cs="宋体"/>
                <w:color w:val="auto"/>
                <w:szCs w:val="21"/>
                <w:highlight w:val="none"/>
              </w:rPr>
              <w:t>法定代表人：</w:t>
            </w:r>
          </w:p>
        </w:tc>
        <w:tc>
          <w:tcPr>
            <w:tcW w:w="3157" w:type="dxa"/>
            <w:tcBorders>
              <w:top w:val="nil"/>
              <w:left w:val="nil"/>
              <w:bottom w:val="nil"/>
              <w:right w:val="nil"/>
            </w:tcBorders>
          </w:tcPr>
          <w:p w14:paraId="183E50D8">
            <w:pPr>
              <w:spacing w:line="460" w:lineRule="exact"/>
              <w:rPr>
                <w:rFonts w:ascii="宋体" w:hAnsi="宋体" w:cs="宋体"/>
                <w:color w:val="auto"/>
                <w:szCs w:val="21"/>
                <w:highlight w:val="none"/>
              </w:rPr>
            </w:pPr>
          </w:p>
        </w:tc>
      </w:tr>
      <w:tr w14:paraId="2AA3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5AC46948">
            <w:pPr>
              <w:spacing w:line="460" w:lineRule="exact"/>
              <w:rPr>
                <w:rFonts w:ascii="宋体" w:hAnsi="宋体" w:cs="宋体"/>
                <w:color w:val="auto"/>
                <w:szCs w:val="21"/>
                <w:highlight w:val="none"/>
              </w:rPr>
            </w:pPr>
            <w:r>
              <w:rPr>
                <w:rFonts w:hint="eastAsia" w:ascii="宋体" w:hAnsi="宋体" w:cs="宋体"/>
                <w:color w:val="auto"/>
                <w:szCs w:val="21"/>
                <w:highlight w:val="none"/>
              </w:rPr>
              <w:t>委托代理人：</w:t>
            </w:r>
          </w:p>
        </w:tc>
        <w:tc>
          <w:tcPr>
            <w:tcW w:w="3020" w:type="dxa"/>
            <w:tcBorders>
              <w:top w:val="nil"/>
              <w:left w:val="nil"/>
              <w:bottom w:val="nil"/>
              <w:right w:val="nil"/>
            </w:tcBorders>
            <w:vAlign w:val="center"/>
          </w:tcPr>
          <w:p w14:paraId="15F48E94">
            <w:pPr>
              <w:spacing w:line="460" w:lineRule="exact"/>
              <w:rPr>
                <w:rFonts w:ascii="宋体" w:hAnsi="宋体" w:cs="宋体"/>
                <w:color w:val="auto"/>
                <w:szCs w:val="21"/>
                <w:highlight w:val="none"/>
              </w:rPr>
            </w:pPr>
          </w:p>
        </w:tc>
        <w:tc>
          <w:tcPr>
            <w:tcW w:w="1665" w:type="dxa"/>
            <w:tcBorders>
              <w:top w:val="nil"/>
              <w:left w:val="nil"/>
              <w:bottom w:val="nil"/>
              <w:right w:val="nil"/>
            </w:tcBorders>
            <w:vAlign w:val="center"/>
          </w:tcPr>
          <w:p w14:paraId="5A0B0408">
            <w:pPr>
              <w:spacing w:line="460" w:lineRule="exact"/>
              <w:rPr>
                <w:rFonts w:ascii="宋体" w:hAnsi="宋体" w:cs="宋体"/>
                <w:color w:val="auto"/>
                <w:szCs w:val="21"/>
                <w:highlight w:val="none"/>
              </w:rPr>
            </w:pPr>
            <w:r>
              <w:rPr>
                <w:rFonts w:hint="eastAsia" w:ascii="宋体" w:hAnsi="宋体" w:cs="宋体"/>
                <w:color w:val="auto"/>
                <w:szCs w:val="21"/>
                <w:highlight w:val="none"/>
              </w:rPr>
              <w:t>委托代理人：</w:t>
            </w:r>
          </w:p>
        </w:tc>
        <w:tc>
          <w:tcPr>
            <w:tcW w:w="3157" w:type="dxa"/>
            <w:tcBorders>
              <w:top w:val="nil"/>
              <w:left w:val="nil"/>
              <w:bottom w:val="nil"/>
              <w:right w:val="nil"/>
            </w:tcBorders>
          </w:tcPr>
          <w:p w14:paraId="032370A1">
            <w:pPr>
              <w:spacing w:line="460" w:lineRule="exact"/>
              <w:rPr>
                <w:rFonts w:ascii="宋体" w:hAnsi="宋体" w:cs="宋体"/>
                <w:color w:val="auto"/>
                <w:szCs w:val="21"/>
                <w:highlight w:val="none"/>
              </w:rPr>
            </w:pPr>
          </w:p>
        </w:tc>
      </w:tr>
      <w:tr w14:paraId="39FE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86" w:type="dxa"/>
            <w:tcBorders>
              <w:top w:val="nil"/>
              <w:left w:val="nil"/>
              <w:bottom w:val="nil"/>
              <w:right w:val="nil"/>
            </w:tcBorders>
            <w:vAlign w:val="center"/>
          </w:tcPr>
          <w:p w14:paraId="0C97FD3C">
            <w:pPr>
              <w:spacing w:line="460" w:lineRule="exact"/>
              <w:rPr>
                <w:rFonts w:ascii="宋体" w:hAnsi="宋体" w:cs="宋体"/>
                <w:color w:val="auto"/>
                <w:szCs w:val="21"/>
                <w:highlight w:val="none"/>
              </w:rPr>
            </w:pPr>
            <w:r>
              <w:rPr>
                <w:rFonts w:hint="eastAsia" w:ascii="宋体" w:hAnsi="宋体" w:cs="宋体"/>
                <w:color w:val="auto"/>
                <w:szCs w:val="21"/>
                <w:highlight w:val="none"/>
              </w:rPr>
              <w:t>电  话：</w:t>
            </w:r>
          </w:p>
        </w:tc>
        <w:tc>
          <w:tcPr>
            <w:tcW w:w="3020" w:type="dxa"/>
            <w:tcBorders>
              <w:top w:val="nil"/>
              <w:left w:val="nil"/>
              <w:bottom w:val="nil"/>
              <w:right w:val="nil"/>
            </w:tcBorders>
            <w:vAlign w:val="center"/>
          </w:tcPr>
          <w:p w14:paraId="35F0DC5C">
            <w:pPr>
              <w:spacing w:line="46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0519-86596805</w:t>
            </w:r>
          </w:p>
        </w:tc>
        <w:tc>
          <w:tcPr>
            <w:tcW w:w="1665" w:type="dxa"/>
            <w:tcBorders>
              <w:top w:val="nil"/>
              <w:left w:val="nil"/>
              <w:bottom w:val="nil"/>
              <w:right w:val="nil"/>
            </w:tcBorders>
            <w:vAlign w:val="center"/>
          </w:tcPr>
          <w:p w14:paraId="258721C0">
            <w:pPr>
              <w:spacing w:line="460" w:lineRule="exact"/>
              <w:rPr>
                <w:rFonts w:ascii="宋体" w:hAnsi="宋体" w:cs="宋体"/>
                <w:color w:val="auto"/>
                <w:szCs w:val="21"/>
                <w:highlight w:val="none"/>
              </w:rPr>
            </w:pPr>
            <w:r>
              <w:rPr>
                <w:rFonts w:hint="eastAsia" w:ascii="宋体" w:hAnsi="宋体" w:cs="宋体"/>
                <w:color w:val="auto"/>
                <w:szCs w:val="21"/>
                <w:highlight w:val="none"/>
              </w:rPr>
              <w:t>电  话：</w:t>
            </w:r>
          </w:p>
        </w:tc>
        <w:tc>
          <w:tcPr>
            <w:tcW w:w="3157" w:type="dxa"/>
            <w:tcBorders>
              <w:top w:val="nil"/>
              <w:left w:val="nil"/>
              <w:bottom w:val="nil"/>
              <w:right w:val="nil"/>
            </w:tcBorders>
          </w:tcPr>
          <w:p w14:paraId="104E73D4">
            <w:pPr>
              <w:spacing w:line="460" w:lineRule="exact"/>
              <w:rPr>
                <w:rFonts w:ascii="宋体" w:hAnsi="宋体" w:cs="宋体"/>
                <w:color w:val="auto"/>
                <w:szCs w:val="21"/>
                <w:highlight w:val="none"/>
              </w:rPr>
            </w:pPr>
            <w:r>
              <w:rPr>
                <w:rFonts w:hint="eastAsia" w:ascii="宋体" w:hAnsi="宋体" w:cs="宋体"/>
                <w:color w:val="auto"/>
                <w:szCs w:val="21"/>
                <w:highlight w:val="none"/>
              </w:rPr>
              <w:t>13800250222</w:t>
            </w:r>
          </w:p>
        </w:tc>
      </w:tr>
      <w:tr w14:paraId="5A71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50C7DC19">
            <w:pPr>
              <w:spacing w:line="460" w:lineRule="exact"/>
              <w:rPr>
                <w:rFonts w:ascii="宋体" w:hAnsi="宋体" w:cs="宋体"/>
                <w:color w:val="auto"/>
                <w:szCs w:val="21"/>
                <w:highlight w:val="none"/>
              </w:rPr>
            </w:pPr>
            <w:r>
              <w:rPr>
                <w:rFonts w:hint="eastAsia" w:ascii="宋体" w:hAnsi="宋体" w:cs="宋体"/>
                <w:color w:val="auto"/>
                <w:szCs w:val="21"/>
                <w:highlight w:val="none"/>
              </w:rPr>
              <w:t>传  真：</w:t>
            </w:r>
          </w:p>
        </w:tc>
        <w:tc>
          <w:tcPr>
            <w:tcW w:w="3020" w:type="dxa"/>
            <w:tcBorders>
              <w:top w:val="nil"/>
              <w:left w:val="nil"/>
              <w:bottom w:val="nil"/>
              <w:right w:val="nil"/>
            </w:tcBorders>
            <w:vAlign w:val="center"/>
          </w:tcPr>
          <w:p w14:paraId="1D17CE21">
            <w:pPr>
              <w:spacing w:line="46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1665" w:type="dxa"/>
            <w:tcBorders>
              <w:top w:val="nil"/>
              <w:left w:val="nil"/>
              <w:bottom w:val="nil"/>
              <w:right w:val="nil"/>
            </w:tcBorders>
            <w:vAlign w:val="center"/>
          </w:tcPr>
          <w:p w14:paraId="5886E8AB">
            <w:pPr>
              <w:spacing w:line="460" w:lineRule="exact"/>
              <w:rPr>
                <w:rFonts w:ascii="宋体" w:hAnsi="宋体" w:cs="宋体"/>
                <w:color w:val="auto"/>
                <w:szCs w:val="21"/>
                <w:highlight w:val="none"/>
              </w:rPr>
            </w:pPr>
            <w:r>
              <w:rPr>
                <w:rFonts w:hint="eastAsia" w:ascii="宋体" w:hAnsi="宋体" w:cs="宋体"/>
                <w:color w:val="auto"/>
                <w:szCs w:val="21"/>
                <w:highlight w:val="none"/>
              </w:rPr>
              <w:t>传  真：</w:t>
            </w:r>
          </w:p>
        </w:tc>
        <w:tc>
          <w:tcPr>
            <w:tcW w:w="3157" w:type="dxa"/>
            <w:tcBorders>
              <w:top w:val="nil"/>
              <w:left w:val="nil"/>
              <w:bottom w:val="nil"/>
              <w:right w:val="nil"/>
            </w:tcBorders>
          </w:tcPr>
          <w:p w14:paraId="0BA704B5">
            <w:pPr>
              <w:spacing w:line="460" w:lineRule="exact"/>
              <w:rPr>
                <w:rFonts w:ascii="宋体" w:hAnsi="宋体" w:cs="宋体"/>
                <w:color w:val="auto"/>
                <w:szCs w:val="30"/>
                <w:highlight w:val="none"/>
              </w:rPr>
            </w:pPr>
            <w:r>
              <w:rPr>
                <w:rFonts w:hint="eastAsia" w:ascii="宋体" w:hAnsi="宋体" w:cs="宋体"/>
                <w:color w:val="auto"/>
                <w:szCs w:val="30"/>
                <w:highlight w:val="none"/>
              </w:rPr>
              <w:t>025-68906606</w:t>
            </w:r>
          </w:p>
        </w:tc>
      </w:tr>
      <w:tr w14:paraId="548B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59F956D8">
            <w:pPr>
              <w:spacing w:line="460" w:lineRule="exact"/>
              <w:rPr>
                <w:rFonts w:ascii="宋体" w:hAnsi="宋体" w:cs="宋体"/>
                <w:color w:val="auto"/>
                <w:szCs w:val="21"/>
                <w:highlight w:val="none"/>
              </w:rPr>
            </w:pPr>
            <w:r>
              <w:rPr>
                <w:rFonts w:hint="eastAsia" w:ascii="宋体" w:hAnsi="宋体" w:cs="宋体"/>
                <w:color w:val="auto"/>
                <w:szCs w:val="21"/>
                <w:highlight w:val="none"/>
              </w:rPr>
              <w:t>电子信箱：</w:t>
            </w:r>
          </w:p>
        </w:tc>
        <w:tc>
          <w:tcPr>
            <w:tcW w:w="3020" w:type="dxa"/>
            <w:tcBorders>
              <w:top w:val="nil"/>
              <w:left w:val="nil"/>
              <w:bottom w:val="nil"/>
              <w:right w:val="nil"/>
            </w:tcBorders>
            <w:vAlign w:val="center"/>
          </w:tcPr>
          <w:p w14:paraId="14524C73">
            <w:pPr>
              <w:spacing w:line="46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1665" w:type="dxa"/>
            <w:tcBorders>
              <w:top w:val="nil"/>
              <w:left w:val="nil"/>
              <w:bottom w:val="nil"/>
              <w:right w:val="nil"/>
            </w:tcBorders>
            <w:vAlign w:val="center"/>
          </w:tcPr>
          <w:p w14:paraId="7BE88459">
            <w:pPr>
              <w:spacing w:line="460" w:lineRule="exact"/>
              <w:rPr>
                <w:rFonts w:ascii="宋体" w:hAnsi="宋体" w:cs="宋体"/>
                <w:color w:val="auto"/>
                <w:szCs w:val="21"/>
                <w:highlight w:val="none"/>
              </w:rPr>
            </w:pPr>
            <w:r>
              <w:rPr>
                <w:rFonts w:hint="eastAsia" w:ascii="宋体" w:hAnsi="宋体" w:cs="宋体"/>
                <w:color w:val="auto"/>
                <w:szCs w:val="21"/>
                <w:highlight w:val="none"/>
              </w:rPr>
              <w:t>电子信箱：</w:t>
            </w:r>
          </w:p>
        </w:tc>
        <w:tc>
          <w:tcPr>
            <w:tcW w:w="3157" w:type="dxa"/>
            <w:tcBorders>
              <w:top w:val="nil"/>
              <w:left w:val="nil"/>
              <w:bottom w:val="nil"/>
              <w:right w:val="nil"/>
            </w:tcBorders>
          </w:tcPr>
          <w:p w14:paraId="0ACEE885">
            <w:pPr>
              <w:spacing w:line="460" w:lineRule="exact"/>
              <w:rPr>
                <w:rFonts w:hint="eastAsia" w:ascii="宋体" w:hAnsi="宋体" w:eastAsia="宋体" w:cs="宋体"/>
                <w:color w:val="auto"/>
                <w:szCs w:val="30"/>
                <w:highlight w:val="none"/>
                <w:lang w:val="en-US" w:eastAsia="zh-CN"/>
              </w:rPr>
            </w:pPr>
            <w:r>
              <w:rPr>
                <w:rFonts w:hint="eastAsia" w:ascii="宋体" w:hAnsi="宋体" w:cs="宋体"/>
                <w:color w:val="auto"/>
                <w:szCs w:val="30"/>
                <w:highlight w:val="none"/>
                <w:lang w:val="en-US" w:eastAsia="zh-CN"/>
              </w:rPr>
              <w:t>/</w:t>
            </w:r>
          </w:p>
        </w:tc>
      </w:tr>
      <w:tr w14:paraId="2688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86" w:type="dxa"/>
            <w:tcBorders>
              <w:top w:val="nil"/>
              <w:left w:val="nil"/>
              <w:bottom w:val="nil"/>
              <w:right w:val="nil"/>
            </w:tcBorders>
            <w:vAlign w:val="center"/>
          </w:tcPr>
          <w:p w14:paraId="4A5124D7">
            <w:pPr>
              <w:spacing w:line="460" w:lineRule="exact"/>
              <w:rPr>
                <w:rFonts w:ascii="宋体" w:hAnsi="宋体" w:cs="宋体"/>
                <w:color w:val="auto"/>
                <w:szCs w:val="21"/>
                <w:highlight w:val="none"/>
              </w:rPr>
            </w:pPr>
            <w:r>
              <w:rPr>
                <w:rFonts w:hint="eastAsia" w:ascii="宋体" w:hAnsi="宋体" w:cs="宋体"/>
                <w:color w:val="auto"/>
                <w:szCs w:val="21"/>
                <w:highlight w:val="none"/>
              </w:rPr>
              <w:t>开户银行：</w:t>
            </w:r>
          </w:p>
        </w:tc>
        <w:tc>
          <w:tcPr>
            <w:tcW w:w="3020" w:type="dxa"/>
            <w:tcBorders>
              <w:top w:val="nil"/>
              <w:left w:val="nil"/>
              <w:bottom w:val="nil"/>
              <w:right w:val="nil"/>
            </w:tcBorders>
            <w:vAlign w:val="center"/>
          </w:tcPr>
          <w:p w14:paraId="217D8019">
            <w:pPr>
              <w:spacing w:line="46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1665" w:type="dxa"/>
            <w:tcBorders>
              <w:top w:val="nil"/>
              <w:left w:val="nil"/>
              <w:bottom w:val="nil"/>
              <w:right w:val="nil"/>
            </w:tcBorders>
            <w:vAlign w:val="center"/>
          </w:tcPr>
          <w:p w14:paraId="60A45B8F">
            <w:pPr>
              <w:spacing w:line="460" w:lineRule="exact"/>
              <w:rPr>
                <w:rFonts w:ascii="宋体" w:hAnsi="宋体" w:cs="宋体"/>
                <w:color w:val="auto"/>
                <w:szCs w:val="21"/>
                <w:highlight w:val="none"/>
              </w:rPr>
            </w:pPr>
            <w:r>
              <w:rPr>
                <w:rFonts w:hint="eastAsia" w:ascii="宋体" w:hAnsi="宋体" w:cs="宋体"/>
                <w:color w:val="auto"/>
                <w:szCs w:val="21"/>
                <w:highlight w:val="none"/>
              </w:rPr>
              <w:t>开户银行：</w:t>
            </w:r>
          </w:p>
        </w:tc>
        <w:tc>
          <w:tcPr>
            <w:tcW w:w="3157" w:type="dxa"/>
            <w:tcBorders>
              <w:top w:val="nil"/>
              <w:left w:val="nil"/>
              <w:bottom w:val="nil"/>
              <w:right w:val="nil"/>
            </w:tcBorders>
            <w:vAlign w:val="center"/>
          </w:tcPr>
          <w:p w14:paraId="72597123">
            <w:pPr>
              <w:rPr>
                <w:rFonts w:ascii="宋体" w:hAnsi="宋体" w:cs="宋体"/>
                <w:color w:val="auto"/>
                <w:szCs w:val="30"/>
                <w:highlight w:val="none"/>
              </w:rPr>
            </w:pPr>
            <w:r>
              <w:rPr>
                <w:rFonts w:hint="eastAsia" w:ascii="宋体" w:hAnsi="宋体" w:cs="宋体"/>
                <w:color w:val="auto"/>
                <w:szCs w:val="30"/>
                <w:highlight w:val="none"/>
              </w:rPr>
              <w:t>中国银行股份有限公司南京云锦路支行</w:t>
            </w:r>
          </w:p>
        </w:tc>
      </w:tr>
      <w:tr w14:paraId="6086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7FE54C55">
            <w:pPr>
              <w:spacing w:line="460" w:lineRule="exact"/>
              <w:rPr>
                <w:rFonts w:ascii="宋体" w:hAnsi="宋体" w:cs="宋体"/>
                <w:color w:val="auto"/>
                <w:szCs w:val="21"/>
                <w:highlight w:val="none"/>
              </w:rPr>
            </w:pPr>
            <w:r>
              <w:rPr>
                <w:rFonts w:hint="eastAsia" w:ascii="宋体" w:hAnsi="宋体" w:cs="宋体"/>
                <w:color w:val="auto"/>
                <w:szCs w:val="21"/>
                <w:highlight w:val="none"/>
              </w:rPr>
              <w:t>账  号：</w:t>
            </w:r>
          </w:p>
        </w:tc>
        <w:tc>
          <w:tcPr>
            <w:tcW w:w="3020" w:type="dxa"/>
            <w:tcBorders>
              <w:top w:val="nil"/>
              <w:left w:val="nil"/>
              <w:bottom w:val="nil"/>
              <w:right w:val="nil"/>
            </w:tcBorders>
            <w:vAlign w:val="center"/>
          </w:tcPr>
          <w:p w14:paraId="29CB5EEC">
            <w:pPr>
              <w:spacing w:line="46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1665" w:type="dxa"/>
            <w:tcBorders>
              <w:top w:val="nil"/>
              <w:left w:val="nil"/>
              <w:bottom w:val="nil"/>
              <w:right w:val="nil"/>
            </w:tcBorders>
            <w:vAlign w:val="center"/>
          </w:tcPr>
          <w:p w14:paraId="04BF75EF">
            <w:pPr>
              <w:spacing w:line="460" w:lineRule="exact"/>
              <w:rPr>
                <w:rFonts w:ascii="宋体" w:hAnsi="宋体" w:cs="宋体"/>
                <w:color w:val="auto"/>
                <w:szCs w:val="21"/>
                <w:highlight w:val="none"/>
              </w:rPr>
            </w:pPr>
            <w:r>
              <w:rPr>
                <w:rFonts w:hint="eastAsia" w:ascii="宋体" w:hAnsi="宋体" w:cs="宋体"/>
                <w:color w:val="auto"/>
                <w:szCs w:val="21"/>
                <w:highlight w:val="none"/>
              </w:rPr>
              <w:t>账  号：</w:t>
            </w:r>
          </w:p>
        </w:tc>
        <w:tc>
          <w:tcPr>
            <w:tcW w:w="3157" w:type="dxa"/>
            <w:tcBorders>
              <w:top w:val="nil"/>
              <w:left w:val="nil"/>
              <w:bottom w:val="nil"/>
              <w:right w:val="nil"/>
            </w:tcBorders>
          </w:tcPr>
          <w:p w14:paraId="1C45DE28">
            <w:pPr>
              <w:spacing w:line="460" w:lineRule="exact"/>
              <w:rPr>
                <w:rFonts w:ascii="宋体" w:hAnsi="宋体" w:cs="宋体"/>
                <w:color w:val="auto"/>
                <w:szCs w:val="30"/>
                <w:highlight w:val="none"/>
              </w:rPr>
            </w:pPr>
            <w:r>
              <w:rPr>
                <w:rFonts w:hint="eastAsia" w:ascii="宋体" w:hAnsi="宋体" w:cs="宋体"/>
                <w:color w:val="auto"/>
                <w:szCs w:val="30"/>
                <w:highlight w:val="none"/>
              </w:rPr>
              <w:t>479361758530</w:t>
            </w:r>
          </w:p>
        </w:tc>
      </w:tr>
    </w:tbl>
    <w:p w14:paraId="6347B26A">
      <w:pPr>
        <w:keepNext/>
        <w:keepLines/>
        <w:spacing w:before="240" w:after="60" w:line="360" w:lineRule="auto"/>
        <w:jc w:val="center"/>
        <w:outlineLvl w:val="2"/>
        <w:rPr>
          <w:rFonts w:hint="eastAsia" w:ascii="宋体" w:hAnsi="宋体" w:eastAsia="宋体" w:cs="宋体"/>
          <w:color w:val="auto"/>
          <w:szCs w:val="21"/>
          <w:highlight w:val="none"/>
        </w:rPr>
      </w:pPr>
      <w:r>
        <w:rPr>
          <w:rFonts w:hint="eastAsia" w:ascii="宋体" w:hAnsi="宋体" w:cs="宋体"/>
          <w:color w:val="auto"/>
          <w:szCs w:val="21"/>
          <w:highlight w:val="none"/>
        </w:rPr>
        <w:br w:type="page"/>
      </w:r>
      <w:bookmarkStart w:id="16" w:name="_Toc256000079"/>
      <w:bookmarkStart w:id="17" w:name="_Toc256000081"/>
      <w:bookmarkStart w:id="18" w:name="_Toc514750212"/>
      <w:bookmarkStart w:id="19" w:name="_Toc256000072"/>
      <w:bookmarkStart w:id="20" w:name="_Toc256000103"/>
      <w:r>
        <w:rPr>
          <w:rFonts w:hint="eastAsia" w:ascii="宋体" w:hAnsi="宋体" w:eastAsia="宋体" w:cs="宋体"/>
          <w:b/>
          <w:color w:val="auto"/>
          <w:kern w:val="44"/>
          <w:sz w:val="28"/>
          <w:szCs w:val="28"/>
          <w:highlight w:val="none"/>
          <w:lang w:val="en-US" w:eastAsia="zh-CN" w:bidi="ar-SA"/>
        </w:rPr>
        <w:t>第二部分 通用合同条款</w:t>
      </w:r>
    </w:p>
    <w:p w14:paraId="7D4F73E1">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采用《建设工程施工合同（示范文本）》（GF—2017—0201）。</w:t>
      </w:r>
    </w:p>
    <w:p w14:paraId="061FB27A">
      <w:pPr>
        <w:pStyle w:val="3"/>
        <w:spacing w:line="240" w:lineRule="auto"/>
        <w:rPr>
          <w:rFonts w:hint="eastAsia" w:ascii="宋体" w:hAnsi="宋体" w:cs="宋体"/>
          <w:color w:val="auto"/>
          <w:szCs w:val="21"/>
          <w:highlight w:val="none"/>
        </w:rPr>
      </w:pPr>
    </w:p>
    <w:p w14:paraId="149AFFD5">
      <w:pPr>
        <w:pStyle w:val="3"/>
        <w:spacing w:line="240" w:lineRule="auto"/>
        <w:rPr>
          <w:rFonts w:hint="eastAsia" w:ascii="宋体" w:hAnsi="宋体" w:cs="宋体"/>
          <w:color w:val="auto"/>
          <w:szCs w:val="21"/>
          <w:highlight w:val="none"/>
        </w:rPr>
      </w:pPr>
    </w:p>
    <w:p w14:paraId="03C46B06">
      <w:pPr>
        <w:pStyle w:val="3"/>
        <w:spacing w:line="520" w:lineRule="exact"/>
        <w:jc w:val="center"/>
        <w:rPr>
          <w:rFonts w:ascii="宋体" w:hAnsi="宋体" w:cs="宋体"/>
          <w:color w:val="auto"/>
          <w:szCs w:val="21"/>
          <w:highlight w:val="none"/>
        </w:rPr>
      </w:pPr>
      <w:r>
        <w:rPr>
          <w:rFonts w:hint="eastAsia" w:ascii="宋体" w:hAnsi="宋体" w:cs="宋体"/>
          <w:color w:val="auto"/>
          <w:szCs w:val="21"/>
          <w:highlight w:val="none"/>
        </w:rPr>
        <w:br w:type="page"/>
      </w:r>
      <w:r>
        <w:rPr>
          <w:rFonts w:hint="eastAsia" w:ascii="宋体" w:hAnsi="宋体" w:eastAsia="宋体" w:cs="宋体"/>
          <w:b/>
          <w:color w:val="auto"/>
          <w:kern w:val="44"/>
          <w:sz w:val="28"/>
          <w:szCs w:val="28"/>
          <w:highlight w:val="none"/>
          <w:u w:val="none"/>
          <w:lang w:val="en-US" w:eastAsia="zh-CN" w:bidi="ar-SA"/>
        </w:rPr>
        <w:t>第三部分 专用合同条款</w:t>
      </w:r>
      <w:bookmarkEnd w:id="16"/>
      <w:bookmarkEnd w:id="17"/>
      <w:bookmarkEnd w:id="18"/>
      <w:bookmarkEnd w:id="19"/>
      <w:bookmarkEnd w:id="20"/>
    </w:p>
    <w:p w14:paraId="2ED2BD6F">
      <w:pPr>
        <w:pStyle w:val="4"/>
        <w:spacing w:before="120" w:after="120" w:line="520" w:lineRule="exact"/>
        <w:rPr>
          <w:rFonts w:ascii="宋体" w:hAnsi="宋体" w:cs="宋体"/>
          <w:b w:val="0"/>
          <w:color w:val="auto"/>
          <w:szCs w:val="21"/>
          <w:highlight w:val="none"/>
        </w:rPr>
      </w:pPr>
      <w:bookmarkStart w:id="21" w:name="_Toc514750213"/>
      <w:r>
        <w:rPr>
          <w:rFonts w:hint="eastAsia" w:ascii="宋体" w:hAnsi="宋体" w:cs="宋体"/>
          <w:b w:val="0"/>
          <w:color w:val="auto"/>
          <w:szCs w:val="21"/>
          <w:highlight w:val="none"/>
        </w:rPr>
        <w:t>1</w:t>
      </w:r>
      <w:bookmarkStart w:id="22" w:name="_Toc296347155"/>
      <w:bookmarkStart w:id="23" w:name="_Toc297120456"/>
      <w:bookmarkStart w:id="24" w:name="_Toc296346657"/>
      <w:bookmarkStart w:id="25" w:name="_Toc296890984"/>
      <w:bookmarkStart w:id="26" w:name="_Toc296503156"/>
      <w:bookmarkStart w:id="27" w:name="_Toc292559866"/>
      <w:bookmarkStart w:id="28" w:name="_Toc296891196"/>
      <w:bookmarkStart w:id="29" w:name="_Toc297048342"/>
      <w:bookmarkStart w:id="30" w:name="_Toc296944495"/>
      <w:bookmarkStart w:id="31" w:name="_Toc292559361"/>
      <w:r>
        <w:rPr>
          <w:rFonts w:hint="eastAsia" w:ascii="宋体" w:hAnsi="宋体" w:cs="宋体"/>
          <w:b w:val="0"/>
          <w:color w:val="auto"/>
          <w:szCs w:val="21"/>
          <w:highlight w:val="none"/>
        </w:rPr>
        <w:t>. 一般约定</w:t>
      </w:r>
      <w:bookmarkEnd w:id="21"/>
    </w:p>
    <w:bookmarkEnd w:id="22"/>
    <w:bookmarkEnd w:id="23"/>
    <w:bookmarkEnd w:id="24"/>
    <w:bookmarkEnd w:id="25"/>
    <w:bookmarkEnd w:id="26"/>
    <w:bookmarkEnd w:id="27"/>
    <w:bookmarkEnd w:id="28"/>
    <w:bookmarkEnd w:id="29"/>
    <w:bookmarkEnd w:id="30"/>
    <w:bookmarkEnd w:id="31"/>
    <w:p w14:paraId="22713A6B">
      <w:pPr>
        <w:spacing w:after="120" w:line="520" w:lineRule="exact"/>
        <w:ind w:firstLine="420" w:firstLineChars="200"/>
        <w:outlineLvl w:val="0"/>
        <w:rPr>
          <w:rFonts w:ascii="宋体" w:hAnsi="宋体" w:cs="宋体"/>
          <w:color w:val="auto"/>
          <w:szCs w:val="21"/>
          <w:highlight w:val="none"/>
        </w:rPr>
      </w:pPr>
      <w:bookmarkStart w:id="32" w:name="_Toc19671"/>
      <w:bookmarkStart w:id="33" w:name="_Toc514750214"/>
      <w:r>
        <w:rPr>
          <w:rFonts w:hint="eastAsia" w:ascii="宋体" w:hAnsi="宋体" w:cs="宋体"/>
          <w:color w:val="auto"/>
          <w:szCs w:val="21"/>
          <w:highlight w:val="none"/>
        </w:rPr>
        <w:t>1.1 词语定义</w:t>
      </w:r>
      <w:bookmarkEnd w:id="32"/>
      <w:bookmarkEnd w:id="33"/>
    </w:p>
    <w:p w14:paraId="37C596A2">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1.1.1合同</w:t>
      </w:r>
    </w:p>
    <w:p w14:paraId="23C2FA26">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1.1.1.10其他合同文件包括：</w:t>
      </w:r>
      <w:r>
        <w:rPr>
          <w:rFonts w:hint="eastAsia" w:ascii="宋体" w:hAnsi="宋体" w:cs="宋体"/>
          <w:color w:val="auto"/>
          <w:szCs w:val="21"/>
          <w:highlight w:val="none"/>
          <w:u w:val="single"/>
          <w:lang w:val="en-US" w:eastAsia="zh-CN"/>
        </w:rPr>
        <w:t>竞争性磋商</w:t>
      </w:r>
      <w:r>
        <w:rPr>
          <w:rFonts w:hint="eastAsia" w:ascii="宋体" w:hAnsi="宋体" w:cs="宋体"/>
          <w:color w:val="auto"/>
          <w:szCs w:val="21"/>
          <w:highlight w:val="none"/>
          <w:u w:val="single"/>
        </w:rPr>
        <w:t>文件、答疑纪要、工程量清单及编制说明、</w:t>
      </w:r>
      <w:r>
        <w:rPr>
          <w:rFonts w:hint="eastAsia" w:ascii="宋体" w:hAnsi="宋体" w:cs="宋体"/>
          <w:color w:val="auto"/>
          <w:szCs w:val="21"/>
          <w:highlight w:val="none"/>
          <w:u w:val="single"/>
          <w:lang w:val="en-US" w:eastAsia="zh-CN"/>
        </w:rPr>
        <w:t>响应</w:t>
      </w:r>
      <w:r>
        <w:rPr>
          <w:rFonts w:hint="eastAsia" w:ascii="宋体" w:hAnsi="宋体" w:cs="宋体"/>
          <w:color w:val="auto"/>
          <w:szCs w:val="21"/>
          <w:highlight w:val="none"/>
          <w:u w:val="single"/>
        </w:rPr>
        <w:t>文件及双方其他书面约定。</w:t>
      </w:r>
    </w:p>
    <w:p w14:paraId="757DEA87">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1.1.2 合同当事人及其他相关方</w:t>
      </w:r>
    </w:p>
    <w:p w14:paraId="2B2F53DE">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1.1.2.4监理人：</w:t>
      </w:r>
    </w:p>
    <w:p w14:paraId="72B5ACDE">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eastAsia="宋体" w:cs="宋体"/>
          <w:color w:val="auto"/>
          <w:szCs w:val="21"/>
          <w:highlight w:val="none"/>
          <w:u w:val="single"/>
        </w:rPr>
        <w:t>江苏宝基建设项目管理有限公司</w:t>
      </w:r>
      <w:r>
        <w:rPr>
          <w:rFonts w:hint="eastAsia" w:ascii="宋体" w:hAnsi="宋体" w:cs="宋体"/>
          <w:color w:val="auto"/>
          <w:szCs w:val="21"/>
          <w:highlight w:val="none"/>
        </w:rPr>
        <w:t>；</w:t>
      </w:r>
    </w:p>
    <w:p w14:paraId="715A7E0D">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eastAsia="宋体" w:cs="宋体"/>
          <w:color w:val="auto"/>
          <w:szCs w:val="21"/>
          <w:highlight w:val="none"/>
          <w:u w:val="single"/>
          <w:lang w:val="en-US" w:eastAsia="zh-CN"/>
        </w:rPr>
        <w:t>市政公用工程监理甲级</w:t>
      </w:r>
      <w:r>
        <w:rPr>
          <w:rFonts w:hint="eastAsia" w:ascii="宋体" w:hAnsi="宋体" w:cs="宋体"/>
          <w:color w:val="auto"/>
          <w:szCs w:val="21"/>
          <w:highlight w:val="none"/>
        </w:rPr>
        <w:t>；</w:t>
      </w:r>
    </w:p>
    <w:p w14:paraId="6F5EAB13">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13815057998 </w:t>
      </w:r>
      <w:r>
        <w:rPr>
          <w:rFonts w:hint="eastAsia" w:ascii="宋体" w:hAnsi="宋体" w:cs="宋体"/>
          <w:color w:val="auto"/>
          <w:szCs w:val="21"/>
          <w:highlight w:val="none"/>
        </w:rPr>
        <w:t>；</w:t>
      </w:r>
    </w:p>
    <w:p w14:paraId="5C2C04A9">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武进区降子北路55-66号</w:t>
      </w:r>
      <w:r>
        <w:rPr>
          <w:rFonts w:hint="eastAsia" w:ascii="宋体" w:hAnsi="宋体" w:cs="宋体"/>
          <w:color w:val="auto"/>
          <w:szCs w:val="21"/>
          <w:highlight w:val="none"/>
        </w:rPr>
        <w:t>；</w:t>
      </w:r>
    </w:p>
    <w:p w14:paraId="6366051F">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eastAsia="宋体" w:cs="宋体"/>
          <w:color w:val="auto"/>
          <w:szCs w:val="21"/>
          <w:highlight w:val="none"/>
          <w:u w:val="single"/>
          <w:lang w:val="en-US" w:eastAsia="zh-CN"/>
        </w:rPr>
        <w:t>常州市武进区湖塘镇降子北路55-66号</w:t>
      </w:r>
      <w:r>
        <w:rPr>
          <w:rFonts w:hint="eastAsia" w:ascii="宋体" w:hAnsi="宋体" w:cs="宋体"/>
          <w:color w:val="auto"/>
          <w:szCs w:val="21"/>
          <w:highlight w:val="none"/>
        </w:rPr>
        <w:t>。</w:t>
      </w:r>
    </w:p>
    <w:p w14:paraId="02D74A11">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1.1.2.5 设计人：</w:t>
      </w:r>
    </w:p>
    <w:p w14:paraId="2F7C34EC">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lang w:val="en-US" w:eastAsia="zh-CN"/>
        </w:rPr>
        <w:t>江苏浩森建筑设计有限公司</w:t>
      </w:r>
      <w:r>
        <w:rPr>
          <w:rFonts w:hint="eastAsia" w:ascii="宋体" w:hAnsi="宋体" w:cs="宋体"/>
          <w:color w:val="auto"/>
          <w:szCs w:val="21"/>
          <w:highlight w:val="none"/>
        </w:rPr>
        <w:t>；</w:t>
      </w:r>
    </w:p>
    <w:p w14:paraId="28EC5DBB">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lang w:val="en-US" w:eastAsia="zh-CN"/>
        </w:rPr>
        <w:t>市政公用乙级</w:t>
      </w:r>
      <w:r>
        <w:rPr>
          <w:rFonts w:hint="eastAsia" w:ascii="宋体" w:hAnsi="宋体" w:cs="宋体"/>
          <w:color w:val="auto"/>
          <w:szCs w:val="21"/>
          <w:highlight w:val="none"/>
        </w:rPr>
        <w:t>；</w:t>
      </w:r>
    </w:p>
    <w:p w14:paraId="407876B4">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0519-68951168</w:t>
      </w:r>
      <w:r>
        <w:rPr>
          <w:rFonts w:hint="eastAsia" w:ascii="宋体" w:hAnsi="宋体" w:cs="宋体"/>
          <w:color w:val="auto"/>
          <w:szCs w:val="21"/>
          <w:highlight w:val="none"/>
        </w:rPr>
        <w:t>；</w:t>
      </w:r>
    </w:p>
    <w:p w14:paraId="5F37A5D2">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MD@jshsjz.com.cn</w:t>
      </w:r>
      <w:r>
        <w:rPr>
          <w:rFonts w:hint="eastAsia" w:ascii="宋体" w:hAnsi="宋体" w:cs="宋体"/>
          <w:color w:val="auto"/>
          <w:szCs w:val="21"/>
          <w:highlight w:val="none"/>
        </w:rPr>
        <w:t>；</w:t>
      </w:r>
    </w:p>
    <w:p w14:paraId="30EC442D">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常州市新北区创意产业基地C楼1101-1106号</w:t>
      </w:r>
      <w:r>
        <w:rPr>
          <w:rFonts w:hint="eastAsia" w:ascii="宋体" w:hAnsi="宋体" w:cs="宋体"/>
          <w:color w:val="auto"/>
          <w:szCs w:val="21"/>
          <w:highlight w:val="none"/>
        </w:rPr>
        <w:t>。</w:t>
      </w:r>
    </w:p>
    <w:p w14:paraId="5578132B">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1.1.3 工程和设备</w:t>
      </w:r>
    </w:p>
    <w:p w14:paraId="3A95D556">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1.1.3.7 作为施工现场组成部分的其他场所包括：</w:t>
      </w:r>
      <w:r>
        <w:rPr>
          <w:rFonts w:hint="eastAsia" w:ascii="宋体" w:hAnsi="宋体" w:cs="宋体"/>
          <w:color w:val="auto"/>
          <w:szCs w:val="21"/>
          <w:highlight w:val="none"/>
          <w:u w:val="single"/>
        </w:rPr>
        <w:t xml:space="preserve"> 现场临时办公及施工场地 </w:t>
      </w:r>
      <w:r>
        <w:rPr>
          <w:rFonts w:hint="eastAsia" w:ascii="宋体" w:hAnsi="宋体" w:cs="宋体"/>
          <w:color w:val="auto"/>
          <w:szCs w:val="21"/>
          <w:highlight w:val="none"/>
        </w:rPr>
        <w:t>。</w:t>
      </w:r>
    </w:p>
    <w:p w14:paraId="26012F21">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1.1.3.9 永久占地包括：</w:t>
      </w:r>
      <w:r>
        <w:rPr>
          <w:rFonts w:hint="eastAsia" w:ascii="宋体" w:hAnsi="宋体" w:cs="宋体"/>
          <w:color w:val="auto"/>
          <w:szCs w:val="21"/>
          <w:highlight w:val="none"/>
          <w:u w:val="single"/>
        </w:rPr>
        <w:t xml:space="preserve">           /      </w:t>
      </w:r>
      <w:r>
        <w:rPr>
          <w:rFonts w:hint="eastAsia" w:ascii="宋体" w:hAnsi="宋体" w:cs="宋体"/>
          <w:color w:val="auto"/>
          <w:kern w:val="0"/>
          <w:szCs w:val="21"/>
          <w:highlight w:val="none"/>
        </w:rPr>
        <w:t>。</w:t>
      </w:r>
    </w:p>
    <w:p w14:paraId="31C99E7A">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1.1.3.10 临时占地包括：</w:t>
      </w:r>
      <w:r>
        <w:rPr>
          <w:rFonts w:hint="eastAsia" w:ascii="宋体" w:hAnsi="宋体" w:cs="宋体"/>
          <w:color w:val="auto"/>
          <w:szCs w:val="21"/>
          <w:highlight w:val="none"/>
          <w:u w:val="single"/>
        </w:rPr>
        <w:t xml:space="preserve">         /          </w:t>
      </w:r>
      <w:r>
        <w:rPr>
          <w:rFonts w:hint="eastAsia" w:ascii="宋体" w:hAnsi="宋体" w:cs="宋体"/>
          <w:color w:val="auto"/>
          <w:kern w:val="0"/>
          <w:szCs w:val="21"/>
          <w:highlight w:val="none"/>
        </w:rPr>
        <w:t>。</w:t>
      </w:r>
    </w:p>
    <w:p w14:paraId="39636512">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1.3法律 </w:t>
      </w:r>
    </w:p>
    <w:p w14:paraId="2FF90AF2">
      <w:pPr>
        <w:autoSpaceDE w:val="0"/>
        <w:autoSpaceDN w:val="0"/>
        <w:adjustRightInd w:val="0"/>
        <w:spacing w:line="520" w:lineRule="exact"/>
        <w:ind w:left="596" w:leftChars="284"/>
        <w:jc w:val="left"/>
        <w:rPr>
          <w:rFonts w:ascii="宋体" w:hAnsi="宋体" w:cs="宋体"/>
          <w:color w:val="auto"/>
          <w:szCs w:val="21"/>
          <w:highlight w:val="none"/>
        </w:rPr>
      </w:pPr>
      <w:r>
        <w:rPr>
          <w:rFonts w:hint="eastAsia" w:ascii="宋体" w:hAnsi="宋体" w:cs="宋体"/>
          <w:color w:val="auto"/>
          <w:szCs w:val="21"/>
          <w:highlight w:val="none"/>
        </w:rPr>
        <w:t>适用于合同的其他规范性文件：</w:t>
      </w:r>
      <w:r>
        <w:rPr>
          <w:rFonts w:hint="eastAsia" w:ascii="宋体" w:hAnsi="宋体" w:cs="宋体"/>
          <w:color w:val="auto"/>
          <w:szCs w:val="21"/>
          <w:highlight w:val="none"/>
          <w:u w:val="single"/>
        </w:rPr>
        <w:t>现行国家、省、市有关文件</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w:t>
      </w:r>
    </w:p>
    <w:p w14:paraId="13F68339">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1.4标准和规范</w:t>
      </w:r>
    </w:p>
    <w:p w14:paraId="50E7323F">
      <w:pPr>
        <w:spacing w:line="520" w:lineRule="exact"/>
        <w:ind w:left="596" w:leftChars="284"/>
        <w:rPr>
          <w:rFonts w:ascii="宋体" w:hAnsi="宋体" w:cs="宋体"/>
          <w:color w:val="auto"/>
          <w:szCs w:val="21"/>
          <w:highlight w:val="none"/>
        </w:rPr>
      </w:pPr>
      <w:r>
        <w:rPr>
          <w:rFonts w:hint="eastAsia" w:ascii="宋体" w:hAnsi="宋体" w:cs="宋体"/>
          <w:color w:val="auto"/>
          <w:szCs w:val="21"/>
          <w:highlight w:val="none"/>
        </w:rPr>
        <w:t>1.4.1适用于工程的标准规范包括：</w:t>
      </w:r>
      <w:r>
        <w:rPr>
          <w:rFonts w:hint="eastAsia" w:ascii="宋体" w:hAnsi="宋体" w:cs="宋体"/>
          <w:color w:val="auto"/>
          <w:szCs w:val="21"/>
          <w:highlight w:val="none"/>
          <w:u w:val="single"/>
        </w:rPr>
        <w:t>中华人民共和国建设部颁发的有关标准、规范及省、市有关规定，施工图纸以及设计文件所载明的标准、规范、规程</w:t>
      </w:r>
      <w:r>
        <w:rPr>
          <w:rFonts w:hint="eastAsia" w:ascii="宋体" w:hAnsi="宋体" w:cs="宋体"/>
          <w:color w:val="auto"/>
          <w:szCs w:val="21"/>
          <w:highlight w:val="none"/>
        </w:rPr>
        <w:t>。</w:t>
      </w:r>
    </w:p>
    <w:p w14:paraId="1DF00384">
      <w:pPr>
        <w:spacing w:line="520" w:lineRule="exact"/>
        <w:ind w:firstLine="420" w:firstLineChars="200"/>
        <w:outlineLvl w:val="0"/>
        <w:rPr>
          <w:rFonts w:ascii="宋体" w:hAnsi="宋体" w:cs="宋体"/>
          <w:color w:val="auto"/>
          <w:kern w:val="0"/>
          <w:szCs w:val="21"/>
          <w:highlight w:val="none"/>
        </w:rPr>
      </w:pPr>
      <w:bookmarkStart w:id="34" w:name="_Toc514750215"/>
      <w:bookmarkStart w:id="35" w:name="_Toc22937"/>
      <w:r>
        <w:rPr>
          <w:rFonts w:hint="eastAsia" w:ascii="宋体" w:hAnsi="宋体" w:cs="宋体"/>
          <w:color w:val="auto"/>
          <w:kern w:val="0"/>
          <w:szCs w:val="21"/>
          <w:highlight w:val="none"/>
        </w:rPr>
        <w:t>1.4.2发包人提供国外标准、规范的名称：</w:t>
      </w:r>
      <w:bookmarkEnd w:id="34"/>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bookmarkEnd w:id="35"/>
    </w:p>
    <w:p w14:paraId="45C94622">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发包人提供国外标准、规范的份数：</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6D70AB88">
      <w:pPr>
        <w:spacing w:line="52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发包人提供国外标准、规范的名称：</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4DAD49C8">
      <w:pPr>
        <w:spacing w:line="520" w:lineRule="exact"/>
        <w:ind w:left="596" w:leftChars="284"/>
        <w:rPr>
          <w:rFonts w:ascii="宋体" w:hAnsi="宋体" w:cs="宋体"/>
          <w:color w:val="auto"/>
          <w:szCs w:val="21"/>
          <w:highlight w:val="none"/>
        </w:rPr>
      </w:pPr>
      <w:r>
        <w:rPr>
          <w:rFonts w:hint="eastAsia" w:ascii="宋体" w:hAnsi="宋体" w:cs="宋体"/>
          <w:color w:val="auto"/>
          <w:szCs w:val="21"/>
          <w:highlight w:val="none"/>
        </w:rPr>
        <w:t>1.4.3发包人对工程的技术标准和功能要求的特殊要求：</w:t>
      </w:r>
      <w:r>
        <w:rPr>
          <w:rFonts w:hint="eastAsia" w:ascii="宋体" w:hAnsi="宋体" w:cs="宋体"/>
          <w:color w:val="auto"/>
          <w:szCs w:val="21"/>
          <w:highlight w:val="none"/>
          <w:u w:val="single"/>
        </w:rPr>
        <w:t>见设计文件的各类技术要求</w:t>
      </w:r>
      <w:r>
        <w:rPr>
          <w:rFonts w:hint="eastAsia" w:ascii="宋体" w:hAnsi="宋体" w:cs="宋体"/>
          <w:color w:val="auto"/>
          <w:szCs w:val="21"/>
          <w:highlight w:val="none"/>
        </w:rPr>
        <w:t>。</w:t>
      </w:r>
    </w:p>
    <w:p w14:paraId="594BC6AD">
      <w:pPr>
        <w:spacing w:after="120" w:line="520" w:lineRule="exact"/>
        <w:ind w:firstLine="420" w:firstLineChars="200"/>
        <w:outlineLvl w:val="0"/>
        <w:rPr>
          <w:rFonts w:ascii="宋体" w:hAnsi="宋体" w:cs="宋体"/>
          <w:color w:val="auto"/>
          <w:szCs w:val="21"/>
          <w:highlight w:val="none"/>
        </w:rPr>
      </w:pPr>
      <w:bookmarkStart w:id="36" w:name="_Toc514750216"/>
      <w:bookmarkStart w:id="37" w:name="_Toc28851"/>
      <w:r>
        <w:rPr>
          <w:rFonts w:hint="eastAsia" w:ascii="宋体" w:hAnsi="宋体" w:cs="宋体"/>
          <w:color w:val="auto"/>
          <w:szCs w:val="21"/>
          <w:highlight w:val="none"/>
        </w:rPr>
        <w:t>1.5合同文件的优先顺序</w:t>
      </w:r>
      <w:bookmarkEnd w:id="36"/>
      <w:bookmarkEnd w:id="37"/>
    </w:p>
    <w:p w14:paraId="7288ABEC">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合同文件组成及优先顺序为：</w:t>
      </w:r>
      <w:r>
        <w:rPr>
          <w:rFonts w:hint="eastAsia" w:ascii="宋体" w:hAnsi="宋体" w:cs="宋体"/>
          <w:color w:val="auto"/>
          <w:szCs w:val="21"/>
          <w:highlight w:val="none"/>
          <w:u w:val="single"/>
        </w:rPr>
        <w:t>（1）合同协议书；（2）中标</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成交</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通知书；（3）</w:t>
      </w:r>
      <w:r>
        <w:rPr>
          <w:rFonts w:hint="eastAsia" w:ascii="宋体" w:hAnsi="宋体" w:cs="宋体"/>
          <w:color w:val="auto"/>
          <w:szCs w:val="21"/>
          <w:highlight w:val="none"/>
          <w:u w:val="single"/>
          <w:lang w:val="en-US" w:eastAsia="zh-CN"/>
        </w:rPr>
        <w:t>响应函</w:t>
      </w:r>
      <w:r>
        <w:rPr>
          <w:rFonts w:hint="eastAsia" w:ascii="宋体" w:hAnsi="宋体" w:cs="宋体"/>
          <w:color w:val="auto"/>
          <w:szCs w:val="21"/>
          <w:highlight w:val="none"/>
          <w:u w:val="single"/>
        </w:rPr>
        <w:t>；（4）专用合同条款及其附件；（5）通用合同条款；（6）技术标准和要求；（7）图纸；（8）已标价工程量清单；（9）其他合同文件</w:t>
      </w:r>
      <w:r>
        <w:rPr>
          <w:rFonts w:hint="eastAsia" w:ascii="宋体" w:hAnsi="宋体" w:cs="宋体"/>
          <w:color w:val="auto"/>
          <w:szCs w:val="21"/>
          <w:highlight w:val="none"/>
        </w:rPr>
        <w:t>。</w:t>
      </w:r>
    </w:p>
    <w:p w14:paraId="37F9EC6B">
      <w:pPr>
        <w:spacing w:after="120" w:line="520" w:lineRule="exact"/>
        <w:ind w:firstLine="420" w:firstLineChars="200"/>
        <w:outlineLvl w:val="0"/>
        <w:rPr>
          <w:rFonts w:ascii="宋体" w:hAnsi="宋体" w:cs="宋体"/>
          <w:color w:val="auto"/>
          <w:szCs w:val="21"/>
          <w:highlight w:val="none"/>
        </w:rPr>
      </w:pPr>
      <w:bookmarkStart w:id="38" w:name="_Toc514750217"/>
      <w:bookmarkStart w:id="39" w:name="_Toc8758"/>
      <w:r>
        <w:rPr>
          <w:rFonts w:hint="eastAsia" w:ascii="宋体" w:hAnsi="宋体" w:cs="宋体"/>
          <w:color w:val="auto"/>
          <w:szCs w:val="21"/>
          <w:highlight w:val="none"/>
        </w:rPr>
        <w:t>1.6图纸和承包人文件</w:t>
      </w:r>
      <w:bookmarkEnd w:id="38"/>
      <w:bookmarkEnd w:id="39"/>
      <w:r>
        <w:rPr>
          <w:rFonts w:hint="eastAsia" w:ascii="宋体" w:hAnsi="宋体" w:cs="宋体"/>
          <w:color w:val="auto"/>
          <w:szCs w:val="21"/>
          <w:highlight w:val="none"/>
        </w:rPr>
        <w:tab/>
      </w:r>
    </w:p>
    <w:p w14:paraId="68BFBA0F">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1.6.1图纸的提供</w:t>
      </w:r>
    </w:p>
    <w:p w14:paraId="278ADB0B">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发包人向承包人提供图纸的期限：</w:t>
      </w:r>
      <w:r>
        <w:rPr>
          <w:rFonts w:hint="eastAsia" w:ascii="宋体" w:hAnsi="宋体" w:cs="宋体"/>
          <w:color w:val="auto"/>
          <w:szCs w:val="21"/>
          <w:highlight w:val="none"/>
          <w:u w:val="single"/>
        </w:rPr>
        <w:t>本合同签订之后</w:t>
      </w:r>
      <w:r>
        <w:rPr>
          <w:rFonts w:hint="eastAsia" w:ascii="宋体" w:hAnsi="宋体" w:cs="宋体"/>
          <w:color w:val="auto"/>
          <w:szCs w:val="21"/>
          <w:highlight w:val="none"/>
        </w:rPr>
        <w:t>；</w:t>
      </w:r>
    </w:p>
    <w:p w14:paraId="5E08572C">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发包人向承包人提供图纸的数量：</w:t>
      </w:r>
      <w:r>
        <w:rPr>
          <w:rFonts w:hint="eastAsia" w:ascii="宋体" w:hAnsi="宋体" w:cs="宋体"/>
          <w:color w:val="auto"/>
          <w:szCs w:val="21"/>
          <w:highlight w:val="none"/>
          <w:u w:val="single"/>
        </w:rPr>
        <w:t>一式伍份</w:t>
      </w:r>
      <w:r>
        <w:rPr>
          <w:rFonts w:hint="eastAsia" w:ascii="宋体" w:hAnsi="宋体" w:cs="宋体"/>
          <w:color w:val="auto"/>
          <w:szCs w:val="21"/>
          <w:highlight w:val="none"/>
        </w:rPr>
        <w:t>；</w:t>
      </w:r>
    </w:p>
    <w:p w14:paraId="0820ADA8">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发包人向承包人提供图纸的内容：</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384281EA">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1.6.4承包人文件</w:t>
      </w:r>
    </w:p>
    <w:p w14:paraId="7F536DFE">
      <w:pPr>
        <w:spacing w:line="520" w:lineRule="exact"/>
        <w:ind w:left="596" w:leftChars="284"/>
        <w:jc w:val="left"/>
        <w:rPr>
          <w:rFonts w:ascii="宋体" w:hAnsi="宋体" w:cs="宋体"/>
          <w:color w:val="auto"/>
          <w:szCs w:val="21"/>
          <w:highlight w:val="none"/>
        </w:rPr>
      </w:pPr>
      <w:r>
        <w:rPr>
          <w:rFonts w:hint="eastAsia" w:ascii="宋体" w:hAnsi="宋体" w:cs="宋体"/>
          <w:color w:val="auto"/>
          <w:szCs w:val="21"/>
          <w:highlight w:val="none"/>
        </w:rPr>
        <w:t>需要由承包人提供的文件，包括：</w:t>
      </w:r>
      <w:r>
        <w:rPr>
          <w:rFonts w:hint="eastAsia" w:ascii="宋体" w:hAnsi="宋体" w:cs="宋体"/>
          <w:color w:val="auto"/>
          <w:szCs w:val="21"/>
          <w:highlight w:val="none"/>
          <w:u w:val="single"/>
        </w:rPr>
        <w:t>按发包人及监理人要求提供相关资料、竣工图纸，并满足规范要求</w:t>
      </w:r>
      <w:r>
        <w:rPr>
          <w:rFonts w:hint="eastAsia" w:ascii="宋体" w:hAnsi="宋体" w:cs="宋体"/>
          <w:color w:val="auto"/>
          <w:szCs w:val="21"/>
          <w:highlight w:val="none"/>
        </w:rPr>
        <w:t>；</w:t>
      </w:r>
    </w:p>
    <w:p w14:paraId="55CA8F03">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承包人提供的文件的期限为：</w:t>
      </w:r>
      <w:r>
        <w:rPr>
          <w:rFonts w:hint="eastAsia" w:ascii="宋体" w:hAnsi="宋体" w:cs="宋体"/>
          <w:color w:val="auto"/>
          <w:szCs w:val="21"/>
          <w:highlight w:val="none"/>
          <w:u w:val="single"/>
        </w:rPr>
        <w:t>按发包人及监理人要求</w:t>
      </w:r>
      <w:r>
        <w:rPr>
          <w:rFonts w:hint="eastAsia" w:ascii="宋体" w:hAnsi="宋体" w:cs="宋体"/>
          <w:color w:val="auto"/>
          <w:szCs w:val="21"/>
          <w:highlight w:val="none"/>
        </w:rPr>
        <w:t>；</w:t>
      </w:r>
    </w:p>
    <w:p w14:paraId="0E324154">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承包人提供的文件的数量为：</w:t>
      </w:r>
      <w:r>
        <w:rPr>
          <w:rFonts w:hint="eastAsia" w:ascii="宋体" w:hAnsi="宋体" w:cs="宋体"/>
          <w:color w:val="auto"/>
          <w:szCs w:val="21"/>
          <w:highlight w:val="none"/>
          <w:u w:val="single"/>
        </w:rPr>
        <w:t>一式伍份</w:t>
      </w:r>
      <w:r>
        <w:rPr>
          <w:rFonts w:hint="eastAsia" w:ascii="宋体" w:hAnsi="宋体" w:cs="宋体"/>
          <w:color w:val="auto"/>
          <w:szCs w:val="21"/>
          <w:highlight w:val="none"/>
        </w:rPr>
        <w:t>；</w:t>
      </w:r>
    </w:p>
    <w:p w14:paraId="3CD4E2E5">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承包人提供的文件的形式为：</w:t>
      </w:r>
      <w:r>
        <w:rPr>
          <w:rFonts w:hint="eastAsia" w:ascii="宋体" w:hAnsi="宋体" w:cs="宋体"/>
          <w:color w:val="auto"/>
          <w:szCs w:val="21"/>
          <w:highlight w:val="none"/>
          <w:u w:val="single"/>
        </w:rPr>
        <w:t>纸质和全套电子文件(档案馆归档要求的扫描文件)</w:t>
      </w:r>
      <w:r>
        <w:rPr>
          <w:rFonts w:hint="eastAsia" w:ascii="宋体" w:hAnsi="宋体" w:cs="宋体"/>
          <w:color w:val="auto"/>
          <w:szCs w:val="21"/>
          <w:highlight w:val="none"/>
        </w:rPr>
        <w:t>；</w:t>
      </w:r>
    </w:p>
    <w:p w14:paraId="791599A2">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发包人审批承包人文件的期限：</w:t>
      </w:r>
      <w:r>
        <w:rPr>
          <w:rFonts w:hint="eastAsia" w:ascii="宋体" w:hAnsi="宋体" w:cs="宋体"/>
          <w:color w:val="auto"/>
          <w:szCs w:val="21"/>
          <w:highlight w:val="none"/>
          <w:u w:val="single"/>
        </w:rPr>
        <w:t>承包人提交相应文件后的一周内</w:t>
      </w:r>
      <w:r>
        <w:rPr>
          <w:rFonts w:hint="eastAsia" w:ascii="宋体" w:hAnsi="宋体" w:cs="宋体"/>
          <w:color w:val="auto"/>
          <w:szCs w:val="21"/>
          <w:highlight w:val="none"/>
        </w:rPr>
        <w:t>。</w:t>
      </w:r>
    </w:p>
    <w:p w14:paraId="5EBCD7D3">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1.6.5现场图纸准备</w:t>
      </w:r>
    </w:p>
    <w:p w14:paraId="3B56622B">
      <w:pPr>
        <w:spacing w:line="52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关于现场图纸准备的约定：</w:t>
      </w:r>
      <w:r>
        <w:rPr>
          <w:rFonts w:hint="eastAsia" w:ascii="宋体" w:hAnsi="宋体" w:cs="宋体"/>
          <w:color w:val="auto"/>
          <w:szCs w:val="21"/>
          <w:highlight w:val="none"/>
          <w:u w:val="single"/>
        </w:rPr>
        <w:t>1)在本合同工程竣工验收之前，承包人须按国家颁发的竣工验收相关规定、技术档案管理条例、有关部门先行要求编制整理竣工资料（含电子档案）和竣工图一式肆份（其中应有贰套盖有审图章的竣工图），移交给发包人和有关部门。竣工图的整理、装订、移交等费用由承包人承担。</w:t>
      </w:r>
    </w:p>
    <w:p w14:paraId="5C987B3B">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u w:val="single"/>
        </w:rPr>
        <w:t>2）发包人对图纸资料的保密要求：除严格用于合同目的除外，图纸、规范和其他文件未经发包人许可，承包人不得用于或泄露给第三方。如果对公开有关信息的必要性产生争执，则以发包人的决定为准。</w:t>
      </w:r>
      <w:r>
        <w:rPr>
          <w:rFonts w:hint="eastAsia" w:ascii="宋体" w:hAnsi="宋体" w:cs="宋体"/>
          <w:color w:val="auto"/>
          <w:szCs w:val="21"/>
          <w:highlight w:val="none"/>
        </w:rPr>
        <w:t></w:t>
      </w:r>
    </w:p>
    <w:p w14:paraId="436FBAA0">
      <w:pPr>
        <w:spacing w:after="120" w:line="520" w:lineRule="exact"/>
        <w:ind w:firstLine="420" w:firstLineChars="200"/>
        <w:outlineLvl w:val="0"/>
        <w:rPr>
          <w:rFonts w:ascii="宋体" w:hAnsi="宋体" w:cs="宋体"/>
          <w:color w:val="auto"/>
          <w:szCs w:val="21"/>
          <w:highlight w:val="none"/>
        </w:rPr>
      </w:pPr>
      <w:bookmarkStart w:id="40" w:name="_Toc514750218"/>
      <w:bookmarkStart w:id="41" w:name="_Toc23652"/>
      <w:r>
        <w:rPr>
          <w:rFonts w:hint="eastAsia" w:ascii="宋体" w:hAnsi="宋体" w:cs="宋体"/>
          <w:color w:val="auto"/>
          <w:szCs w:val="21"/>
          <w:highlight w:val="none"/>
        </w:rPr>
        <w:t>1.7联络</w:t>
      </w:r>
      <w:bookmarkEnd w:id="40"/>
      <w:bookmarkEnd w:id="41"/>
    </w:p>
    <w:p w14:paraId="3321EC48">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1.7.1发包人和承包人应当在</w:t>
      </w:r>
      <w:r>
        <w:rPr>
          <w:rFonts w:hint="eastAsia" w:ascii="宋体" w:hAnsi="宋体" w:cs="宋体"/>
          <w:color w:val="auto"/>
          <w:szCs w:val="21"/>
          <w:highlight w:val="none"/>
          <w:u w:val="single"/>
        </w:rPr>
        <w:t>7</w:t>
      </w:r>
      <w:r>
        <w:rPr>
          <w:rFonts w:hint="eastAsia" w:ascii="宋体" w:hAnsi="宋体" w:cs="宋体"/>
          <w:color w:val="auto"/>
          <w:kern w:val="0"/>
          <w:szCs w:val="21"/>
          <w:highlight w:val="none"/>
        </w:rPr>
        <w:t>天内将与合同有关的通知、批准、证明、证书、指示、指令、要求、请求、同意、意见、确定和决定等书面函件送达对方当事人。</w:t>
      </w:r>
    </w:p>
    <w:p w14:paraId="29D5AE07">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1.7.2发包人接收文件的地点：</w:t>
      </w:r>
      <w:r>
        <w:rPr>
          <w:rFonts w:hint="eastAsia" w:ascii="宋体" w:hAnsi="宋体" w:cs="宋体"/>
          <w:color w:val="auto"/>
          <w:szCs w:val="21"/>
          <w:highlight w:val="none"/>
          <w:u w:val="single"/>
        </w:rPr>
        <w:t>发包人派驻现场管理人员办公室</w:t>
      </w:r>
      <w:r>
        <w:rPr>
          <w:rFonts w:hint="eastAsia" w:ascii="宋体" w:hAnsi="宋体" w:cs="宋体"/>
          <w:color w:val="auto"/>
          <w:kern w:val="0"/>
          <w:szCs w:val="21"/>
          <w:highlight w:val="none"/>
        </w:rPr>
        <w:t>；</w:t>
      </w:r>
    </w:p>
    <w:p w14:paraId="2A13A5CC">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发包人指定的接收人为：</w:t>
      </w:r>
      <w:r>
        <w:rPr>
          <w:rFonts w:hint="eastAsia" w:ascii="宋体" w:hAnsi="宋体" w:cs="宋体"/>
          <w:color w:val="auto"/>
          <w:szCs w:val="21"/>
          <w:highlight w:val="none"/>
          <w:u w:val="single"/>
        </w:rPr>
        <w:t>发包人代表或其授权代表</w:t>
      </w:r>
      <w:r>
        <w:rPr>
          <w:rFonts w:hint="eastAsia" w:ascii="宋体" w:hAnsi="宋体" w:cs="宋体"/>
          <w:color w:val="auto"/>
          <w:kern w:val="0"/>
          <w:szCs w:val="21"/>
          <w:highlight w:val="none"/>
        </w:rPr>
        <w:t>。</w:t>
      </w:r>
    </w:p>
    <w:p w14:paraId="04D0D0E8">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承包人接收文件的地点：</w:t>
      </w:r>
      <w:r>
        <w:rPr>
          <w:rFonts w:hint="eastAsia" w:ascii="宋体" w:hAnsi="宋体" w:cs="宋体"/>
          <w:color w:val="auto"/>
          <w:szCs w:val="21"/>
          <w:highlight w:val="none"/>
          <w:u w:val="single"/>
        </w:rPr>
        <w:t>发包人派驻现场管理人员办公室</w:t>
      </w:r>
      <w:r>
        <w:rPr>
          <w:rFonts w:hint="eastAsia" w:ascii="宋体" w:hAnsi="宋体" w:cs="宋体"/>
          <w:color w:val="auto"/>
          <w:kern w:val="0"/>
          <w:szCs w:val="21"/>
          <w:highlight w:val="none"/>
        </w:rPr>
        <w:t>；</w:t>
      </w:r>
    </w:p>
    <w:p w14:paraId="2F26BA1A">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承包人指定的接收人为：</w:t>
      </w:r>
      <w:r>
        <w:rPr>
          <w:rFonts w:hint="eastAsia" w:ascii="宋体" w:hAnsi="宋体" w:cs="宋体"/>
          <w:color w:val="auto"/>
          <w:szCs w:val="21"/>
          <w:highlight w:val="none"/>
          <w:u w:val="single"/>
        </w:rPr>
        <w:t>项目经理或其授权代表</w:t>
      </w:r>
      <w:r>
        <w:rPr>
          <w:rFonts w:hint="eastAsia" w:ascii="宋体" w:hAnsi="宋体" w:cs="宋体"/>
          <w:color w:val="auto"/>
          <w:kern w:val="0"/>
          <w:szCs w:val="21"/>
          <w:highlight w:val="none"/>
        </w:rPr>
        <w:t>。</w:t>
      </w:r>
    </w:p>
    <w:p w14:paraId="0C2D5331">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监理人接收文件的地点：</w:t>
      </w:r>
      <w:r>
        <w:rPr>
          <w:rFonts w:hint="eastAsia" w:ascii="宋体" w:hAnsi="宋体" w:cs="宋体"/>
          <w:color w:val="auto"/>
          <w:szCs w:val="21"/>
          <w:highlight w:val="none"/>
          <w:u w:val="single"/>
        </w:rPr>
        <w:t>施工现场监理办公室</w:t>
      </w:r>
      <w:r>
        <w:rPr>
          <w:rFonts w:hint="eastAsia" w:ascii="宋体" w:hAnsi="宋体" w:cs="宋体"/>
          <w:color w:val="auto"/>
          <w:kern w:val="0"/>
          <w:szCs w:val="21"/>
          <w:highlight w:val="none"/>
        </w:rPr>
        <w:t>；</w:t>
      </w:r>
    </w:p>
    <w:p w14:paraId="48ED8B05">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监理人指定的接收人为：</w:t>
      </w:r>
      <w:r>
        <w:rPr>
          <w:rFonts w:hint="eastAsia" w:ascii="宋体" w:hAnsi="宋体" w:cs="宋体"/>
          <w:color w:val="auto"/>
          <w:szCs w:val="21"/>
          <w:highlight w:val="none"/>
          <w:u w:val="single"/>
        </w:rPr>
        <w:t>总监理工程师或其授权代表</w:t>
      </w:r>
      <w:r>
        <w:rPr>
          <w:rFonts w:hint="eastAsia" w:ascii="宋体" w:hAnsi="宋体" w:cs="宋体"/>
          <w:color w:val="auto"/>
          <w:kern w:val="0"/>
          <w:szCs w:val="21"/>
          <w:highlight w:val="none"/>
        </w:rPr>
        <w:t>。</w:t>
      </w:r>
    </w:p>
    <w:p w14:paraId="446AE41E">
      <w:pPr>
        <w:spacing w:after="120" w:line="520" w:lineRule="exact"/>
        <w:ind w:firstLine="420" w:firstLineChars="200"/>
        <w:outlineLvl w:val="0"/>
        <w:rPr>
          <w:rFonts w:ascii="宋体" w:hAnsi="宋体" w:cs="宋体"/>
          <w:color w:val="auto"/>
          <w:szCs w:val="21"/>
          <w:highlight w:val="none"/>
        </w:rPr>
      </w:pPr>
      <w:bookmarkStart w:id="42" w:name="_Toc26663"/>
      <w:bookmarkStart w:id="43" w:name="_Toc514750219"/>
      <w:r>
        <w:rPr>
          <w:rFonts w:hint="eastAsia" w:ascii="宋体" w:hAnsi="宋体" w:cs="宋体"/>
          <w:color w:val="auto"/>
          <w:szCs w:val="21"/>
          <w:highlight w:val="none"/>
        </w:rPr>
        <w:t>1.10交通运输</w:t>
      </w:r>
      <w:bookmarkEnd w:id="42"/>
      <w:bookmarkEnd w:id="43"/>
    </w:p>
    <w:p w14:paraId="6D7891B2">
      <w:pPr>
        <w:spacing w:line="520" w:lineRule="exact"/>
        <w:ind w:firstLine="420" w:firstLineChars="200"/>
        <w:outlineLvl w:val="0"/>
        <w:rPr>
          <w:rFonts w:ascii="宋体" w:hAnsi="宋体" w:cs="宋体"/>
          <w:color w:val="auto"/>
          <w:szCs w:val="21"/>
          <w:highlight w:val="none"/>
        </w:rPr>
      </w:pPr>
      <w:bookmarkStart w:id="44" w:name="_Toc25259"/>
      <w:bookmarkStart w:id="45" w:name="_Toc514750220"/>
      <w:r>
        <w:rPr>
          <w:rFonts w:hint="eastAsia" w:ascii="宋体" w:hAnsi="宋体" w:cs="宋体"/>
          <w:color w:val="auto"/>
          <w:szCs w:val="21"/>
          <w:highlight w:val="none"/>
        </w:rPr>
        <w:t>1</w:t>
      </w:r>
      <w:bookmarkStart w:id="46" w:name="_Toc303539100"/>
      <w:bookmarkStart w:id="47" w:name="_Toc318581155"/>
      <w:bookmarkStart w:id="48" w:name="_Toc304295521"/>
      <w:bookmarkStart w:id="49" w:name="_Toc312677986"/>
      <w:bookmarkStart w:id="50" w:name="_Toc300934943"/>
      <w:r>
        <w:rPr>
          <w:rFonts w:hint="eastAsia" w:ascii="宋体" w:hAnsi="宋体" w:cs="宋体"/>
          <w:color w:val="auto"/>
          <w:szCs w:val="21"/>
          <w:highlight w:val="none"/>
        </w:rPr>
        <w:t>.10.1出入现场的权利</w:t>
      </w:r>
      <w:bookmarkEnd w:id="44"/>
      <w:bookmarkEnd w:id="45"/>
    </w:p>
    <w:p w14:paraId="26097501">
      <w:pPr>
        <w:spacing w:line="520" w:lineRule="exact"/>
        <w:ind w:left="596" w:leftChars="284"/>
        <w:rPr>
          <w:rFonts w:ascii="宋体" w:hAnsi="宋体" w:cs="宋体"/>
          <w:color w:val="auto"/>
          <w:szCs w:val="21"/>
          <w:highlight w:val="none"/>
        </w:rPr>
      </w:pPr>
      <w:r>
        <w:rPr>
          <w:rFonts w:hint="eastAsia" w:ascii="宋体" w:hAnsi="宋体" w:cs="宋体"/>
          <w:color w:val="auto"/>
          <w:szCs w:val="21"/>
          <w:highlight w:val="none"/>
        </w:rPr>
        <w:t>关于出入现场的权利的约定：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bookmarkEnd w:id="46"/>
    <w:bookmarkEnd w:id="47"/>
    <w:bookmarkEnd w:id="48"/>
    <w:bookmarkEnd w:id="49"/>
    <w:bookmarkEnd w:id="50"/>
    <w:p w14:paraId="2F814D64">
      <w:pPr>
        <w:spacing w:line="520" w:lineRule="exact"/>
        <w:ind w:firstLine="420" w:firstLineChars="200"/>
        <w:jc w:val="left"/>
        <w:outlineLvl w:val="0"/>
        <w:rPr>
          <w:rFonts w:ascii="宋体" w:hAnsi="宋体" w:cs="宋体"/>
          <w:color w:val="auto"/>
          <w:szCs w:val="21"/>
          <w:highlight w:val="none"/>
        </w:rPr>
      </w:pPr>
      <w:bookmarkStart w:id="51" w:name="_Toc514750221"/>
      <w:bookmarkStart w:id="52" w:name="_Toc29606"/>
      <w:r>
        <w:rPr>
          <w:rFonts w:hint="eastAsia" w:ascii="宋体" w:hAnsi="宋体" w:cs="宋体"/>
          <w:color w:val="auto"/>
          <w:szCs w:val="21"/>
          <w:highlight w:val="none"/>
        </w:rPr>
        <w:t>1</w:t>
      </w:r>
      <w:bookmarkStart w:id="53" w:name="_Toc304295522"/>
      <w:bookmarkStart w:id="54" w:name="_Toc312677987"/>
      <w:bookmarkStart w:id="55" w:name="_Toc318581156"/>
      <w:bookmarkStart w:id="56" w:name="_Toc303539101"/>
      <w:bookmarkStart w:id="57" w:name="_Toc300934944"/>
      <w:r>
        <w:rPr>
          <w:rFonts w:hint="eastAsia" w:ascii="宋体" w:hAnsi="宋体" w:cs="宋体"/>
          <w:color w:val="auto"/>
          <w:szCs w:val="21"/>
          <w:highlight w:val="none"/>
        </w:rPr>
        <w:t>.10.3场内交通</w:t>
      </w:r>
      <w:bookmarkEnd w:id="51"/>
      <w:bookmarkEnd w:id="52"/>
    </w:p>
    <w:p w14:paraId="76ABD133">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关于场外交通和场内交通的边界的约定：</w:t>
      </w:r>
      <w:r>
        <w:rPr>
          <w:rFonts w:hint="eastAsia" w:ascii="宋体" w:hAnsi="宋体" w:cs="宋体"/>
          <w:color w:val="auto"/>
          <w:szCs w:val="21"/>
          <w:highlight w:val="none"/>
          <w:u w:val="single"/>
        </w:rPr>
        <w:t>施工所需的场内临时道路和交通设施的修建、维护、养护和管理由承包人管理，相关费用由承包人承担。发包人和监理人有权无偿使用承包人修建的临时道路和交通设施，不需要交纳任何费用</w:t>
      </w:r>
      <w:r>
        <w:rPr>
          <w:rFonts w:hint="eastAsia" w:ascii="宋体" w:hAnsi="宋体" w:cs="宋体"/>
          <w:color w:val="auto"/>
          <w:szCs w:val="21"/>
          <w:highlight w:val="none"/>
        </w:rPr>
        <w:t>。</w:t>
      </w:r>
    </w:p>
    <w:p w14:paraId="283706BC">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关于发包人向承包人免费提供满足工程施工需要的场内道路和交通设施的约定：</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bookmarkEnd w:id="53"/>
      <w:bookmarkEnd w:id="54"/>
      <w:bookmarkEnd w:id="55"/>
      <w:bookmarkEnd w:id="56"/>
      <w:bookmarkEnd w:id="57"/>
      <w:bookmarkStart w:id="58" w:name="_Toc318581157"/>
    </w:p>
    <w:p w14:paraId="2B6C981E">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1.10.4超大件和超重件的运输</w:t>
      </w:r>
    </w:p>
    <w:p w14:paraId="247F216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运输超大件或超重件所需的道路和桥梁临时加固改造费用和其他有关费用由</w:t>
      </w:r>
      <w:r>
        <w:rPr>
          <w:rFonts w:hint="eastAsia" w:ascii="宋体" w:hAnsi="宋体" w:cs="宋体"/>
          <w:color w:val="auto"/>
          <w:szCs w:val="21"/>
          <w:highlight w:val="none"/>
          <w:u w:val="single"/>
        </w:rPr>
        <w:t>承包人</w:t>
      </w:r>
      <w:r>
        <w:rPr>
          <w:rFonts w:hint="eastAsia" w:ascii="宋体" w:hAnsi="宋体" w:cs="宋体"/>
          <w:color w:val="auto"/>
          <w:szCs w:val="21"/>
          <w:highlight w:val="none"/>
        </w:rPr>
        <w:t>承担。</w:t>
      </w:r>
    </w:p>
    <w:bookmarkEnd w:id="58"/>
    <w:p w14:paraId="017C957F">
      <w:pPr>
        <w:spacing w:after="120" w:line="520" w:lineRule="exact"/>
        <w:ind w:firstLine="420" w:firstLineChars="200"/>
        <w:outlineLvl w:val="0"/>
        <w:rPr>
          <w:rFonts w:ascii="宋体" w:hAnsi="宋体" w:cs="宋体"/>
          <w:color w:val="auto"/>
          <w:szCs w:val="21"/>
          <w:highlight w:val="none"/>
        </w:rPr>
      </w:pPr>
      <w:bookmarkStart w:id="59" w:name="_Toc29009"/>
      <w:bookmarkStart w:id="60" w:name="_Toc514750222"/>
      <w:r>
        <w:rPr>
          <w:rFonts w:hint="eastAsia" w:ascii="宋体" w:hAnsi="宋体" w:cs="宋体"/>
          <w:color w:val="auto"/>
          <w:szCs w:val="21"/>
          <w:highlight w:val="none"/>
        </w:rPr>
        <w:t>1.11知识产权</w:t>
      </w:r>
      <w:bookmarkEnd w:id="59"/>
      <w:bookmarkEnd w:id="60"/>
    </w:p>
    <w:p w14:paraId="37781DCB">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586A52BF">
      <w:pPr>
        <w:spacing w:line="520" w:lineRule="exact"/>
        <w:ind w:left="596" w:leftChars="284"/>
        <w:rPr>
          <w:rFonts w:ascii="宋体" w:hAnsi="宋体" w:cs="宋体"/>
          <w:color w:val="auto"/>
          <w:szCs w:val="21"/>
          <w:highlight w:val="none"/>
        </w:rPr>
      </w:pPr>
      <w:r>
        <w:rPr>
          <w:rFonts w:hint="eastAsia" w:ascii="宋体" w:hAnsi="宋体" w:cs="宋体"/>
          <w:color w:val="auto"/>
          <w:szCs w:val="21"/>
          <w:highlight w:val="none"/>
        </w:rPr>
        <w:t>关于发包人提供的上述文件的使用限制的要求：</w:t>
      </w:r>
      <w:r>
        <w:rPr>
          <w:rFonts w:hint="eastAsia" w:ascii="宋体" w:hAnsi="宋体" w:cs="宋体"/>
          <w:color w:val="auto"/>
          <w:szCs w:val="21"/>
          <w:highlight w:val="none"/>
          <w:u w:val="single"/>
        </w:rPr>
        <w:t>由发包人和监理人提供的图纸和其他文件未经发包人许可，承包人不得用于或转让给第三方，为此承包人自愿按国家有关法律法规和政策及本合同约定履行保密义务</w:t>
      </w:r>
      <w:r>
        <w:rPr>
          <w:rFonts w:hint="eastAsia" w:ascii="宋体" w:hAnsi="宋体" w:cs="宋体"/>
          <w:color w:val="auto"/>
          <w:szCs w:val="21"/>
          <w:highlight w:val="none"/>
        </w:rPr>
        <w:t>。</w:t>
      </w:r>
    </w:p>
    <w:p w14:paraId="27EBB85D">
      <w:pPr>
        <w:spacing w:line="520" w:lineRule="exact"/>
        <w:ind w:left="596" w:leftChars="284"/>
        <w:outlineLvl w:val="0"/>
        <w:rPr>
          <w:rFonts w:ascii="宋体" w:hAnsi="宋体" w:cs="宋体"/>
          <w:color w:val="auto"/>
          <w:szCs w:val="21"/>
          <w:highlight w:val="none"/>
        </w:rPr>
      </w:pPr>
      <w:bookmarkStart w:id="61" w:name="_Toc514750223"/>
      <w:bookmarkStart w:id="62" w:name="_Toc4077"/>
      <w:r>
        <w:rPr>
          <w:rFonts w:hint="eastAsia" w:ascii="宋体" w:hAnsi="宋体" w:cs="宋体"/>
          <w:color w:val="auto"/>
          <w:szCs w:val="21"/>
          <w:highlight w:val="none"/>
        </w:rPr>
        <w:t>1.11.2关于承包人为实施工程所编制文件的著作权的归属：</w:t>
      </w:r>
      <w:bookmarkEnd w:id="61"/>
      <w:r>
        <w:rPr>
          <w:rFonts w:hint="eastAsia" w:ascii="宋体" w:hAnsi="宋体" w:cs="宋体"/>
          <w:color w:val="auto"/>
          <w:szCs w:val="21"/>
          <w:highlight w:val="none"/>
          <w:u w:val="single"/>
        </w:rPr>
        <w:t>/</w:t>
      </w:r>
      <w:r>
        <w:rPr>
          <w:rFonts w:hint="eastAsia" w:ascii="宋体" w:hAnsi="宋体" w:cs="宋体"/>
          <w:color w:val="auto"/>
          <w:szCs w:val="21"/>
          <w:highlight w:val="none"/>
        </w:rPr>
        <w:t>。</w:t>
      </w:r>
      <w:bookmarkEnd w:id="62"/>
    </w:p>
    <w:p w14:paraId="1C19D015">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关于承包人提供的上述文件的使用限制的要求：</w:t>
      </w:r>
      <w:r>
        <w:rPr>
          <w:rFonts w:hint="eastAsia" w:ascii="宋体" w:hAnsi="宋体" w:cs="宋体"/>
          <w:color w:val="auto"/>
          <w:szCs w:val="21"/>
          <w:highlight w:val="none"/>
          <w:u w:val="single"/>
        </w:rPr>
        <w:t>仅限于此工程项目</w:t>
      </w:r>
      <w:r>
        <w:rPr>
          <w:rFonts w:hint="eastAsia" w:ascii="宋体" w:hAnsi="宋体" w:cs="宋体"/>
          <w:color w:val="auto"/>
          <w:szCs w:val="21"/>
          <w:highlight w:val="none"/>
        </w:rPr>
        <w:t>。</w:t>
      </w:r>
    </w:p>
    <w:p w14:paraId="008EDF9C">
      <w:pPr>
        <w:spacing w:line="520" w:lineRule="exact"/>
        <w:ind w:firstLine="420" w:firstLineChars="200"/>
        <w:outlineLvl w:val="0"/>
        <w:rPr>
          <w:rFonts w:ascii="宋体" w:hAnsi="宋体" w:cs="宋体"/>
          <w:color w:val="auto"/>
          <w:kern w:val="0"/>
          <w:szCs w:val="21"/>
          <w:highlight w:val="none"/>
        </w:rPr>
      </w:pPr>
      <w:bookmarkStart w:id="63" w:name="_Toc514750224"/>
      <w:bookmarkStart w:id="64" w:name="_Toc12529"/>
      <w:r>
        <w:rPr>
          <w:rFonts w:hint="eastAsia" w:ascii="宋体" w:hAnsi="宋体" w:cs="宋体"/>
          <w:color w:val="auto"/>
          <w:szCs w:val="21"/>
          <w:highlight w:val="none"/>
        </w:rPr>
        <w:t>1.11.4承包人在施工过程中所采用的专利、专有技术、技术秘密的使用费的承担方式：</w:t>
      </w:r>
      <w:r>
        <w:rPr>
          <w:rFonts w:hint="eastAsia" w:ascii="宋体" w:hAnsi="宋体" w:cs="宋体"/>
          <w:color w:val="auto"/>
          <w:szCs w:val="21"/>
          <w:highlight w:val="none"/>
          <w:u w:val="single"/>
        </w:rPr>
        <w:t>执行通用条款</w:t>
      </w:r>
      <w:r>
        <w:rPr>
          <w:rFonts w:hint="eastAsia" w:ascii="宋体" w:hAnsi="宋体" w:cs="宋体"/>
          <w:color w:val="auto"/>
          <w:kern w:val="0"/>
          <w:szCs w:val="21"/>
          <w:highlight w:val="none"/>
        </w:rPr>
        <w:t>。</w:t>
      </w:r>
      <w:bookmarkEnd w:id="63"/>
      <w:bookmarkEnd w:id="64"/>
    </w:p>
    <w:p w14:paraId="43EA5651">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1.13工程量清单错误的修正</w:t>
      </w:r>
    </w:p>
    <w:p w14:paraId="229FC437">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出现工程量清单错误时，是否调整合同价格：</w:t>
      </w:r>
      <w:r>
        <w:rPr>
          <w:rFonts w:hint="eastAsia" w:ascii="宋体" w:hAnsi="宋体" w:cs="宋体"/>
          <w:color w:val="auto"/>
          <w:szCs w:val="21"/>
          <w:highlight w:val="none"/>
          <w:u w:val="single"/>
        </w:rPr>
        <w:t>/</w:t>
      </w:r>
      <w:r>
        <w:rPr>
          <w:rFonts w:hint="eastAsia" w:ascii="宋体" w:hAnsi="宋体" w:cs="宋体"/>
          <w:color w:val="auto"/>
          <w:kern w:val="0"/>
          <w:szCs w:val="21"/>
          <w:highlight w:val="none"/>
        </w:rPr>
        <w:t>。</w:t>
      </w:r>
    </w:p>
    <w:p w14:paraId="58D73E99">
      <w:pPr>
        <w:pStyle w:val="4"/>
        <w:spacing w:before="120" w:after="120" w:line="520" w:lineRule="exact"/>
        <w:rPr>
          <w:rFonts w:ascii="宋体" w:hAnsi="宋体" w:cs="宋体"/>
          <w:b w:val="0"/>
          <w:color w:val="auto"/>
          <w:szCs w:val="21"/>
          <w:highlight w:val="none"/>
        </w:rPr>
      </w:pPr>
      <w:bookmarkStart w:id="65" w:name="_Toc514750225"/>
      <w:r>
        <w:rPr>
          <w:rFonts w:hint="eastAsia" w:ascii="宋体" w:hAnsi="宋体" w:cs="宋体"/>
          <w:b w:val="0"/>
          <w:color w:val="auto"/>
          <w:szCs w:val="21"/>
          <w:highlight w:val="none"/>
        </w:rPr>
        <w:t>2</w:t>
      </w:r>
      <w:bookmarkStart w:id="66" w:name="_Toc292559362"/>
      <w:bookmarkStart w:id="67" w:name="_Toc296346658"/>
      <w:bookmarkStart w:id="68" w:name="_Toc296503157"/>
      <w:bookmarkStart w:id="69" w:name="_Toc296944496"/>
      <w:bookmarkStart w:id="70" w:name="_Toc296890985"/>
      <w:bookmarkStart w:id="71" w:name="_Toc296347156"/>
      <w:bookmarkStart w:id="72" w:name="_Toc297120457"/>
      <w:bookmarkStart w:id="73" w:name="_Toc296891197"/>
      <w:bookmarkStart w:id="74" w:name="_Toc297048343"/>
      <w:bookmarkStart w:id="75" w:name="_Toc292559867"/>
      <w:r>
        <w:rPr>
          <w:rFonts w:hint="eastAsia" w:ascii="宋体" w:hAnsi="宋体" w:cs="宋体"/>
          <w:b w:val="0"/>
          <w:color w:val="auto"/>
          <w:szCs w:val="21"/>
          <w:highlight w:val="none"/>
        </w:rPr>
        <w:t>.发包人</w:t>
      </w:r>
      <w:bookmarkEnd w:id="65"/>
    </w:p>
    <w:bookmarkEnd w:id="66"/>
    <w:bookmarkEnd w:id="67"/>
    <w:bookmarkEnd w:id="68"/>
    <w:bookmarkEnd w:id="69"/>
    <w:bookmarkEnd w:id="70"/>
    <w:bookmarkEnd w:id="71"/>
    <w:bookmarkEnd w:id="72"/>
    <w:bookmarkEnd w:id="73"/>
    <w:bookmarkEnd w:id="74"/>
    <w:bookmarkEnd w:id="75"/>
    <w:p w14:paraId="71C6503D">
      <w:pPr>
        <w:spacing w:after="120" w:line="520" w:lineRule="exact"/>
        <w:ind w:firstLine="420" w:firstLineChars="200"/>
        <w:outlineLvl w:val="0"/>
        <w:rPr>
          <w:rFonts w:ascii="宋体" w:hAnsi="宋体" w:cs="宋体"/>
          <w:color w:val="auto"/>
          <w:szCs w:val="21"/>
          <w:highlight w:val="none"/>
        </w:rPr>
      </w:pPr>
      <w:bookmarkStart w:id="76" w:name="_Toc19531"/>
      <w:bookmarkStart w:id="77" w:name="_Toc514750226"/>
      <w:r>
        <w:rPr>
          <w:rFonts w:hint="eastAsia" w:ascii="宋体" w:hAnsi="宋体" w:cs="宋体"/>
          <w:color w:val="auto"/>
          <w:szCs w:val="21"/>
          <w:highlight w:val="none"/>
        </w:rPr>
        <w:t>2.2发包人代表</w:t>
      </w:r>
      <w:bookmarkEnd w:id="76"/>
      <w:bookmarkEnd w:id="77"/>
    </w:p>
    <w:p w14:paraId="05290279">
      <w:pPr>
        <w:spacing w:line="520" w:lineRule="exact"/>
        <w:ind w:firstLine="420" w:firstLineChars="200"/>
        <w:rPr>
          <w:rFonts w:ascii="宋体" w:hAnsi="宋体" w:cs="宋体"/>
          <w:color w:val="auto"/>
          <w:szCs w:val="21"/>
          <w:highlight w:val="none"/>
        </w:rPr>
      </w:pPr>
      <w:bookmarkStart w:id="78" w:name="_Toc514750227"/>
      <w:bookmarkStart w:id="79" w:name="_Toc24635"/>
      <w:r>
        <w:rPr>
          <w:rFonts w:hint="eastAsia" w:ascii="宋体" w:hAnsi="宋体" w:cs="宋体"/>
          <w:color w:val="auto"/>
          <w:szCs w:val="21"/>
          <w:highlight w:val="none"/>
        </w:rPr>
        <w:t>发包人</w:t>
      </w:r>
      <w:r>
        <w:rPr>
          <w:rFonts w:hint="eastAsia" w:ascii="宋体" w:hAnsi="宋体" w:cs="宋体"/>
          <w:color w:val="auto"/>
          <w:szCs w:val="21"/>
          <w:highlight w:val="none"/>
        </w:rPr>
        <w:t>代表：</w:t>
      </w:r>
    </w:p>
    <w:p w14:paraId="6BA4EE9C">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lang w:val="en-US" w:eastAsia="zh-CN"/>
        </w:rPr>
        <w:t xml:space="preserve"> 宋旭强 </w:t>
      </w:r>
      <w:r>
        <w:rPr>
          <w:rFonts w:hint="eastAsia" w:ascii="宋体" w:hAnsi="宋体" w:cs="宋体"/>
          <w:color w:val="auto"/>
          <w:szCs w:val="21"/>
          <w:highlight w:val="none"/>
        </w:rPr>
        <w:t>；</w:t>
      </w:r>
    </w:p>
    <w:p w14:paraId="73D1801C">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320282198808235870</w:t>
      </w:r>
      <w:r>
        <w:rPr>
          <w:rFonts w:hint="eastAsia" w:ascii="宋体" w:hAnsi="宋体" w:cs="宋体"/>
          <w:color w:val="auto"/>
          <w:szCs w:val="21"/>
          <w:highlight w:val="none"/>
        </w:rPr>
        <w:t>；</w:t>
      </w:r>
    </w:p>
    <w:p w14:paraId="608A331B">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lang w:val="en-US" w:eastAsia="zh-CN"/>
        </w:rPr>
        <w:t>市政</w:t>
      </w:r>
      <w:r>
        <w:rPr>
          <w:rFonts w:hint="eastAsia" w:ascii="宋体" w:hAnsi="宋体" w:cs="宋体"/>
          <w:color w:val="auto"/>
          <w:szCs w:val="21"/>
          <w:highlight w:val="none"/>
          <w:u w:val="single"/>
        </w:rPr>
        <w:t>科科长</w:t>
      </w:r>
      <w:r>
        <w:rPr>
          <w:rFonts w:hint="eastAsia" w:ascii="宋体" w:hAnsi="宋体" w:cs="宋体"/>
          <w:color w:val="auto"/>
          <w:szCs w:val="21"/>
          <w:highlight w:val="none"/>
        </w:rPr>
        <w:t>；</w:t>
      </w:r>
    </w:p>
    <w:p w14:paraId="6409CBF8">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lang w:val="en-US" w:eastAsia="zh-CN"/>
        </w:rPr>
        <w:t xml:space="preserve"> 0519-86596807 </w:t>
      </w:r>
      <w:r>
        <w:rPr>
          <w:rFonts w:hint="eastAsia" w:ascii="宋体" w:hAnsi="宋体" w:cs="宋体"/>
          <w:color w:val="auto"/>
          <w:szCs w:val="21"/>
          <w:highlight w:val="none"/>
        </w:rPr>
        <w:t>；</w:t>
      </w:r>
    </w:p>
    <w:p w14:paraId="507323D4">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13775120889</w:t>
      </w:r>
      <w:r>
        <w:rPr>
          <w:rFonts w:hint="eastAsia" w:ascii="宋体" w:hAnsi="宋体" w:cs="宋体"/>
          <w:color w:val="auto"/>
          <w:szCs w:val="21"/>
          <w:highlight w:val="none"/>
          <w:u w:val="single"/>
          <w:lang w:val="en-US" w:eastAsia="zh-CN"/>
        </w:rPr>
        <w:t>@139.com</w:t>
      </w:r>
      <w:r>
        <w:rPr>
          <w:rFonts w:hint="eastAsia" w:ascii="宋体" w:hAnsi="宋体" w:cs="宋体"/>
          <w:color w:val="auto"/>
          <w:szCs w:val="21"/>
          <w:highlight w:val="none"/>
        </w:rPr>
        <w:t>；</w:t>
      </w:r>
    </w:p>
    <w:p w14:paraId="64720E2D">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常州市武进区湖塘镇广电西路178号</w:t>
      </w:r>
      <w:r>
        <w:rPr>
          <w:rFonts w:hint="eastAsia" w:ascii="宋体" w:hAnsi="宋体" w:cs="宋体"/>
          <w:color w:val="auto"/>
          <w:szCs w:val="21"/>
          <w:highlight w:val="none"/>
        </w:rPr>
        <w:t>。</w:t>
      </w:r>
    </w:p>
    <w:p w14:paraId="7DA304EC">
      <w:pPr>
        <w:spacing w:line="520" w:lineRule="exact"/>
        <w:ind w:firstLine="420" w:firstLineChars="200"/>
        <w:rPr>
          <w:rFonts w:ascii="宋体" w:hAnsi="宋体" w:cs="宋体"/>
          <w:b/>
          <w:color w:val="auto"/>
          <w:szCs w:val="21"/>
          <w:highlight w:val="none"/>
        </w:rPr>
      </w:pPr>
      <w:r>
        <w:rPr>
          <w:rFonts w:hint="eastAsia" w:ascii="宋体" w:hAnsi="宋体" w:cs="宋体"/>
          <w:color w:val="auto"/>
          <w:szCs w:val="21"/>
          <w:highlight w:val="none"/>
          <w:lang w:val="en-US" w:eastAsia="zh-CN"/>
        </w:rPr>
        <w:t>发包人</w:t>
      </w:r>
      <w:r>
        <w:rPr>
          <w:rFonts w:hint="eastAsia" w:ascii="宋体" w:hAnsi="宋体" w:cs="宋体"/>
          <w:color w:val="auto"/>
          <w:szCs w:val="21"/>
          <w:highlight w:val="none"/>
        </w:rPr>
        <w:t>对</w:t>
      </w:r>
      <w:r>
        <w:rPr>
          <w:rFonts w:hint="eastAsia" w:ascii="宋体" w:hAnsi="宋体" w:cs="宋体"/>
          <w:color w:val="auto"/>
          <w:szCs w:val="21"/>
          <w:highlight w:val="none"/>
          <w:lang w:val="en-US" w:eastAsia="zh-CN"/>
        </w:rPr>
        <w:t>发包人</w:t>
      </w:r>
      <w:r>
        <w:rPr>
          <w:rFonts w:hint="eastAsia" w:ascii="宋体" w:hAnsi="宋体" w:cs="宋体"/>
          <w:color w:val="auto"/>
          <w:szCs w:val="21"/>
          <w:highlight w:val="none"/>
        </w:rPr>
        <w:t>代表的授权范围如下：</w:t>
      </w:r>
      <w:r>
        <w:rPr>
          <w:rFonts w:hint="eastAsia" w:ascii="宋体" w:hAnsi="宋体" w:cs="宋体"/>
          <w:color w:val="auto"/>
          <w:szCs w:val="21"/>
          <w:highlight w:val="none"/>
          <w:u w:val="single"/>
        </w:rPr>
        <w:t>按</w:t>
      </w:r>
      <w:r>
        <w:rPr>
          <w:rFonts w:hint="eastAsia" w:ascii="宋体" w:hAnsi="宋体" w:cs="宋体"/>
          <w:color w:val="auto"/>
          <w:szCs w:val="21"/>
          <w:highlight w:val="none"/>
          <w:lang w:val="en-US" w:eastAsia="zh-CN"/>
        </w:rPr>
        <w:t>发包人</w:t>
      </w:r>
      <w:r>
        <w:rPr>
          <w:rFonts w:hint="eastAsia" w:ascii="宋体" w:hAnsi="宋体" w:cs="宋体"/>
          <w:color w:val="auto"/>
          <w:szCs w:val="21"/>
          <w:highlight w:val="none"/>
          <w:u w:val="single"/>
        </w:rPr>
        <w:t>要求执行</w:t>
      </w:r>
      <w:r>
        <w:rPr>
          <w:rFonts w:hint="eastAsia" w:ascii="宋体" w:hAnsi="宋体" w:cs="宋体"/>
          <w:color w:val="auto"/>
          <w:szCs w:val="21"/>
          <w:highlight w:val="none"/>
        </w:rPr>
        <w:t>。</w:t>
      </w:r>
    </w:p>
    <w:p w14:paraId="77FECBD6">
      <w:pPr>
        <w:spacing w:after="120" w:line="520" w:lineRule="exact"/>
        <w:ind w:firstLine="420" w:firstLineChars="200"/>
        <w:outlineLvl w:val="0"/>
        <w:rPr>
          <w:rFonts w:ascii="宋体" w:hAnsi="宋体" w:cs="宋体"/>
          <w:color w:val="auto"/>
          <w:szCs w:val="21"/>
          <w:highlight w:val="none"/>
        </w:rPr>
      </w:pPr>
      <w:r>
        <w:rPr>
          <w:rFonts w:hint="eastAsia" w:ascii="宋体" w:hAnsi="宋体" w:cs="宋体"/>
          <w:color w:val="auto"/>
          <w:szCs w:val="21"/>
          <w:highlight w:val="none"/>
        </w:rPr>
        <w:t>2.4施工现场、施工条件和基础资料的提供</w:t>
      </w:r>
      <w:bookmarkEnd w:id="78"/>
      <w:bookmarkEnd w:id="79"/>
    </w:p>
    <w:p w14:paraId="5861D4A2">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2.4.1提供施工现场</w:t>
      </w:r>
    </w:p>
    <w:p w14:paraId="41EA7155">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关于发包人移交施工现场的期限要求：</w:t>
      </w:r>
      <w:r>
        <w:rPr>
          <w:rFonts w:hint="eastAsia" w:ascii="宋体" w:hAnsi="宋体" w:cs="宋体"/>
          <w:color w:val="auto"/>
          <w:szCs w:val="21"/>
          <w:highlight w:val="none"/>
          <w:u w:val="single"/>
        </w:rPr>
        <w:t>开工前提供，施工现场具备开工条件</w:t>
      </w:r>
      <w:r>
        <w:rPr>
          <w:rFonts w:hint="eastAsia" w:ascii="宋体" w:hAnsi="宋体" w:cs="宋体"/>
          <w:color w:val="auto"/>
          <w:szCs w:val="21"/>
          <w:highlight w:val="none"/>
        </w:rPr>
        <w:t>。</w:t>
      </w:r>
    </w:p>
    <w:p w14:paraId="2562C315">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2.4.2提供施工条件</w:t>
      </w:r>
    </w:p>
    <w:p w14:paraId="7977D75C">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关于发包人应负责提供施工所需要的条件，包括：</w:t>
      </w:r>
      <w:r>
        <w:rPr>
          <w:rFonts w:hint="eastAsia" w:ascii="宋体" w:hAnsi="宋体" w:cs="宋体"/>
          <w:color w:val="auto"/>
          <w:szCs w:val="21"/>
          <w:highlight w:val="none"/>
          <w:u w:val="single"/>
        </w:rPr>
        <w:t>①施工现场提供施工用水源处，施工用水由承包人在水源接口后装表计量。</w:t>
      </w:r>
      <w:bookmarkStart w:id="650" w:name="_GoBack"/>
      <w:bookmarkEnd w:id="650"/>
    </w:p>
    <w:p w14:paraId="41E1BC03">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②施工用电源由承包人自发包人指定电源点自行引入施工现场,并在发包人指定的位置装表计量，引入电源所发生的电线电缆敷设、沟槽开挖等费用由承包人根据踏勘现场情况自行测算并综合考虑在投标报价内。</w:t>
      </w:r>
    </w:p>
    <w:p w14:paraId="2D1EAC2B">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③施工现场施工用水、电管线布置由中标人根据施工方案自行敷设并承担相应的敷设费用。</w:t>
      </w:r>
    </w:p>
    <w:p w14:paraId="4BE74D9C">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④承包人现场产生的水电费自行缴纳。合同价中已包含水、电费用，结算时按投标的单价及含量计算，不另行调整单价及含量。</w:t>
      </w:r>
    </w:p>
    <w:p w14:paraId="12608201">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⑤如有涉及工程地质资料和地下管线资料、隐蔽工程资料，则发包人于合同签订后5日内提供。</w:t>
      </w:r>
    </w:p>
    <w:p w14:paraId="4E5E9184">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⑥发包人根据工程进度要求办理需发包人办理的各项施工许可手续。</w:t>
      </w:r>
    </w:p>
    <w:p w14:paraId="1D5DB442">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⑦施工场地周围地下管线和邻近建筑物、构筑物、道路、市政管线、绿化的保护要求开工前发包人以书面形式通知承包人，承包人采取措施进行保护，费用由发包人承担。如发现地下管线、隐蔽工程管线等，承包人不得擅自处理，否则必须无条件及时修复，并承担由此发生的费用。</w:t>
      </w:r>
    </w:p>
    <w:p w14:paraId="41677729">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⑧承包单位根据发包人的要求，无条件配合发包人对周边的管线，接口，标高进行相应的检查摸底工作。</w:t>
      </w:r>
    </w:p>
    <w:p w14:paraId="2CD6EF3E">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⑨承包人在开工后，根据现场的实际情况报进度计划给发包人与监理等管理单位，现场的计划要符合发包人的总体计划安排。</w:t>
      </w:r>
    </w:p>
    <w:p w14:paraId="507116D6">
      <w:pPr>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⑩承包人在进场后，根据招标文件与清单要求，涉及相关材料、设备等，须经发包人确认后，才能允许使用在现场，否则造成的返工损失由承包人自行承担。</w:t>
      </w:r>
    </w:p>
    <w:p w14:paraId="5289D88B">
      <w:pPr>
        <w:spacing w:after="120" w:line="520" w:lineRule="exact"/>
        <w:ind w:firstLine="420" w:firstLineChars="200"/>
        <w:outlineLvl w:val="0"/>
        <w:rPr>
          <w:rFonts w:ascii="宋体" w:hAnsi="宋体" w:cs="宋体"/>
          <w:color w:val="auto"/>
          <w:szCs w:val="21"/>
          <w:highlight w:val="none"/>
        </w:rPr>
      </w:pPr>
      <w:bookmarkStart w:id="80" w:name="_Toc514750228"/>
      <w:bookmarkStart w:id="81" w:name="_Toc3812"/>
      <w:r>
        <w:rPr>
          <w:rFonts w:hint="eastAsia" w:ascii="宋体" w:hAnsi="宋体" w:cs="宋体"/>
          <w:color w:val="auto"/>
          <w:szCs w:val="21"/>
          <w:highlight w:val="none"/>
        </w:rPr>
        <w:t>2.5资金来源证明及支付担保</w:t>
      </w:r>
      <w:bookmarkEnd w:id="80"/>
      <w:bookmarkEnd w:id="81"/>
    </w:p>
    <w:p w14:paraId="42388AEA">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发包人提供资金来源证明的期限要求：</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101E03E6">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发包人是否提供支付担保：</w:t>
      </w:r>
      <w:r>
        <w:rPr>
          <w:rFonts w:hint="eastAsia" w:ascii="宋体" w:hAnsi="宋体" w:cs="宋体"/>
          <w:color w:val="auto"/>
          <w:szCs w:val="21"/>
          <w:highlight w:val="none"/>
          <w:u w:val="single"/>
        </w:rPr>
        <w:t>是</w:t>
      </w:r>
      <w:r>
        <w:rPr>
          <w:rFonts w:hint="eastAsia" w:ascii="宋体" w:hAnsi="宋体" w:cs="宋体"/>
          <w:color w:val="auto"/>
          <w:szCs w:val="21"/>
          <w:highlight w:val="none"/>
        </w:rPr>
        <w:t>。</w:t>
      </w:r>
    </w:p>
    <w:p w14:paraId="0A1F40AC">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发包人提供支付担保的形式：</w:t>
      </w:r>
      <w:r>
        <w:rPr>
          <w:rFonts w:hint="eastAsia" w:ascii="宋体" w:hAnsi="宋体" w:cs="宋体"/>
          <w:color w:val="auto"/>
          <w:szCs w:val="21"/>
          <w:highlight w:val="none"/>
          <w:u w:val="single"/>
        </w:rPr>
        <w:t>现金或银行保函或担保公司担保</w:t>
      </w:r>
      <w:r>
        <w:rPr>
          <w:rFonts w:hint="eastAsia" w:ascii="宋体" w:hAnsi="宋体" w:cs="宋体"/>
          <w:color w:val="auto"/>
          <w:szCs w:val="21"/>
          <w:highlight w:val="none"/>
        </w:rPr>
        <w:t>。</w:t>
      </w:r>
    </w:p>
    <w:p w14:paraId="03A70C41">
      <w:pPr>
        <w:spacing w:line="52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u w:val="single"/>
        </w:rPr>
        <w:t>担保的金额：合同价（不含暂列金额）的10%</w:t>
      </w:r>
      <w:r>
        <w:rPr>
          <w:rFonts w:hint="eastAsia" w:ascii="宋体" w:hAnsi="宋体" w:cs="宋体"/>
          <w:color w:val="auto"/>
          <w:szCs w:val="21"/>
          <w:highlight w:val="none"/>
          <w:u w:val="single"/>
        </w:rPr>
        <w:t>。</w:t>
      </w:r>
    </w:p>
    <w:p w14:paraId="2459A801">
      <w:pPr>
        <w:pStyle w:val="4"/>
        <w:spacing w:before="120" w:after="120" w:line="520" w:lineRule="exact"/>
        <w:rPr>
          <w:rFonts w:ascii="宋体" w:hAnsi="宋体" w:cs="宋体"/>
          <w:b w:val="0"/>
          <w:color w:val="auto"/>
          <w:szCs w:val="21"/>
          <w:highlight w:val="none"/>
        </w:rPr>
      </w:pPr>
      <w:bookmarkStart w:id="82" w:name="_Toc514750229"/>
      <w:r>
        <w:rPr>
          <w:rFonts w:hint="eastAsia" w:ascii="宋体" w:hAnsi="宋体" w:cs="宋体"/>
          <w:b w:val="0"/>
          <w:color w:val="auto"/>
          <w:szCs w:val="21"/>
          <w:highlight w:val="none"/>
        </w:rPr>
        <w:t>3</w:t>
      </w:r>
      <w:bookmarkStart w:id="83" w:name="_Toc296944497"/>
      <w:bookmarkStart w:id="84" w:name="_Toc292559868"/>
      <w:bookmarkStart w:id="85" w:name="_Toc296346659"/>
      <w:bookmarkStart w:id="86" w:name="_Toc296890986"/>
      <w:bookmarkStart w:id="87" w:name="_Toc296503158"/>
      <w:bookmarkStart w:id="88" w:name="_Toc296347157"/>
      <w:bookmarkStart w:id="89" w:name="_Toc297048344"/>
      <w:bookmarkStart w:id="90" w:name="_Toc297120458"/>
      <w:bookmarkStart w:id="91" w:name="_Toc296891198"/>
      <w:bookmarkStart w:id="92" w:name="_Toc292559363"/>
      <w:r>
        <w:rPr>
          <w:rFonts w:hint="eastAsia" w:ascii="宋体" w:hAnsi="宋体" w:cs="宋体"/>
          <w:b w:val="0"/>
          <w:color w:val="auto"/>
          <w:szCs w:val="21"/>
          <w:highlight w:val="none"/>
        </w:rPr>
        <w:t>.承包人</w:t>
      </w:r>
      <w:bookmarkEnd w:id="82"/>
    </w:p>
    <w:bookmarkEnd w:id="83"/>
    <w:bookmarkEnd w:id="84"/>
    <w:bookmarkEnd w:id="85"/>
    <w:bookmarkEnd w:id="86"/>
    <w:bookmarkEnd w:id="87"/>
    <w:bookmarkEnd w:id="88"/>
    <w:bookmarkEnd w:id="89"/>
    <w:bookmarkEnd w:id="90"/>
    <w:bookmarkEnd w:id="91"/>
    <w:bookmarkEnd w:id="92"/>
    <w:p w14:paraId="59F6A3CA">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3.1承包人的一般义务</w:t>
      </w:r>
    </w:p>
    <w:p w14:paraId="4EC98F5D">
      <w:pPr>
        <w:spacing w:line="52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（9）</w:t>
      </w:r>
      <w:r>
        <w:rPr>
          <w:rFonts w:hint="eastAsia" w:ascii="宋体" w:hAnsi="宋体" w:cs="宋体"/>
          <w:color w:val="auto"/>
          <w:szCs w:val="21"/>
          <w:highlight w:val="none"/>
        </w:rPr>
        <w:t>承包人提交的竣工资料的内容：</w:t>
      </w:r>
      <w:r>
        <w:rPr>
          <w:rFonts w:hint="eastAsia" w:ascii="宋体" w:hAnsi="宋体" w:cs="宋体"/>
          <w:color w:val="auto"/>
          <w:szCs w:val="21"/>
          <w:highlight w:val="none"/>
          <w:u w:val="single"/>
        </w:rPr>
        <w:t>根据政府相关部门颁发的竣工验收相关规定及技术档案管理条例编制整理的竣工资料和竣工图，在竣工质量验收（俗称竣前验收）之前经监理及发包人认可后移交给发包人，若承包人未能及时移交，竣工质量验收延后，直至承包人完整移交竣工图及竣工资料为止，由此造成的工期延误或其他一切损失由承包人承担。</w:t>
      </w:r>
    </w:p>
    <w:p w14:paraId="0DA4ACEA">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承包人需要提交的竣工资料套数：</w:t>
      </w:r>
      <w:r>
        <w:rPr>
          <w:rFonts w:hint="eastAsia" w:ascii="宋体" w:hAnsi="宋体" w:cs="宋体"/>
          <w:color w:val="auto"/>
          <w:szCs w:val="21"/>
          <w:highlight w:val="none"/>
          <w:u w:val="single"/>
        </w:rPr>
        <w:t>一式五份</w:t>
      </w:r>
      <w:r>
        <w:rPr>
          <w:rFonts w:hint="eastAsia" w:ascii="宋体" w:hAnsi="宋体" w:cs="宋体"/>
          <w:color w:val="auto"/>
          <w:szCs w:val="21"/>
          <w:highlight w:val="none"/>
        </w:rPr>
        <w:t>。</w:t>
      </w:r>
    </w:p>
    <w:p w14:paraId="0C2A40A8">
      <w:pPr>
        <w:spacing w:line="520" w:lineRule="exact"/>
        <w:ind w:left="638" w:leftChars="304"/>
        <w:jc w:val="left"/>
        <w:rPr>
          <w:rFonts w:ascii="宋体" w:hAnsi="宋体" w:cs="宋体"/>
          <w:color w:val="auto"/>
          <w:szCs w:val="21"/>
          <w:highlight w:val="none"/>
        </w:rPr>
      </w:pPr>
      <w:r>
        <w:rPr>
          <w:rFonts w:hint="eastAsia" w:ascii="宋体" w:hAnsi="宋体" w:cs="宋体"/>
          <w:color w:val="auto"/>
          <w:szCs w:val="21"/>
          <w:highlight w:val="none"/>
        </w:rPr>
        <w:t>承包人提交的竣工资料的费用承担：</w:t>
      </w:r>
      <w:r>
        <w:rPr>
          <w:rFonts w:hint="eastAsia" w:ascii="宋体" w:hAnsi="宋体" w:cs="宋体"/>
          <w:color w:val="auto"/>
          <w:szCs w:val="21"/>
          <w:highlight w:val="none"/>
          <w:u w:val="single"/>
        </w:rPr>
        <w:t>承包人承担</w:t>
      </w:r>
      <w:r>
        <w:rPr>
          <w:rFonts w:hint="eastAsia" w:ascii="宋体" w:hAnsi="宋体" w:cs="宋体"/>
          <w:color w:val="auto"/>
          <w:szCs w:val="21"/>
          <w:highlight w:val="none"/>
        </w:rPr>
        <w:t>。</w:t>
      </w:r>
    </w:p>
    <w:p w14:paraId="12418EA0">
      <w:pPr>
        <w:spacing w:line="520" w:lineRule="exact"/>
        <w:ind w:left="638" w:leftChars="304"/>
        <w:jc w:val="left"/>
        <w:rPr>
          <w:rFonts w:ascii="宋体" w:hAnsi="宋体" w:cs="宋体"/>
          <w:color w:val="auto"/>
          <w:szCs w:val="21"/>
          <w:highlight w:val="none"/>
        </w:rPr>
      </w:pPr>
      <w:r>
        <w:rPr>
          <w:rFonts w:hint="eastAsia" w:ascii="宋体" w:hAnsi="宋体" w:cs="宋体"/>
          <w:color w:val="auto"/>
          <w:szCs w:val="21"/>
          <w:highlight w:val="none"/>
        </w:rPr>
        <w:t>承包人提交的竣工资料移交时间：</w:t>
      </w:r>
      <w:r>
        <w:rPr>
          <w:rFonts w:hint="eastAsia" w:ascii="宋体" w:hAnsi="宋体" w:cs="宋体"/>
          <w:color w:val="auto"/>
          <w:szCs w:val="21"/>
          <w:highlight w:val="none"/>
          <w:u w:val="single"/>
        </w:rPr>
        <w:t>竣工验收前 7 天。</w:t>
      </w:r>
    </w:p>
    <w:p w14:paraId="2772C2B4">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承包人提交的竣工资料形式要求：</w:t>
      </w:r>
      <w:r>
        <w:rPr>
          <w:rFonts w:hint="eastAsia" w:ascii="宋体" w:hAnsi="宋体" w:cs="宋体"/>
          <w:color w:val="auto"/>
          <w:szCs w:val="21"/>
          <w:highlight w:val="none"/>
          <w:u w:val="single"/>
        </w:rPr>
        <w:t>符合工程所在地建设行政主管部门或城建档案管理机构有关竣工资料的要求,包括全套电子档案（档案馆归档的扫描要求）资料，费用由承包人承担。</w:t>
      </w:r>
    </w:p>
    <w:p w14:paraId="5DA3E46F">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（10）承包人应履行的其他义务</w:t>
      </w:r>
      <w:r>
        <w:rPr>
          <w:rFonts w:hint="eastAsia" w:ascii="宋体" w:hAnsi="宋体" w:cs="宋体"/>
          <w:color w:val="auto"/>
          <w:szCs w:val="21"/>
          <w:highlight w:val="none"/>
          <w:u w:val="single"/>
        </w:rPr>
        <w:t>：</w:t>
      </w:r>
      <w:r>
        <w:rPr>
          <w:rFonts w:hint="eastAsia" w:ascii="宋体" w:hAnsi="宋体" w:cs="宋体"/>
          <w:color w:val="auto"/>
          <w:szCs w:val="21"/>
          <w:highlight w:val="none"/>
          <w:u w:val="single"/>
        </w:rPr>
        <w:t>1）开工前提供施工总进度计划，施工中提供月进度计划及其他报表。2）需承包人办理的有关施工场地交通、环卫和施工噪音管理等手续，费用由承包人负责。承包人自行办理夜间施工许可手续，费用由承包人负责；施工噪声引起的纠纷由承包人自行解决；3)垃圾清运：承包人自行办理市建筑垃圾处理手续，费用由承包人负责；4)重大活动期间以及发包人需要的时间段内，可能对施工作出某些限制和配合要求，承包人应予服从，并按照要求作出必要的配合。5）承包人要加强工程施工车辆的管理，施工车辆不得无故堵塞道路交通，不得沿途抛洒弃土。承包人负责与交警部门联系解决在交通线路上布设限速、禁停等标志、标牌，并根据交通主管部门要求，安排人员在主要路口疏解汽车、行人交通，其相应手续及费用由承包人承担。6）已完工程成品保护的特殊要求及费用承担：由承包人负责及承担相关费用。7）施工场地周围地下管线和邻近建筑物、构筑物（含文物保护建筑）、古树名木的保护要求及费用承担：承包人按照发包人要求提出保护措施和方案，经发包人、监理人及跟踪审计单位书面同意后实施，费用由发包人承担，承包人承担自己原因造成的损失。8）施工场地清洁卫生的要求：按有关规定，做好文明施工，保持场地整洁卫生。9）本项目土方调配及外运方案必须征得发包人同意后实施。10）承担施工安全保卫工作及夜间施工照明的责任和要求：承包人应采取必要的安全防护措施，并承担因承包人因该项工作不力而造成的相应损失。11）双方约定承包人的总承包管理及配合的内容：承包人为本工程的总承包单位，承担总承包管理和配合的责任，发包人发包的专业分包工程均纳入总承包管理，总承包应对各专业承包单位的施工作业予以配合和管理，保证发包人发包的专业承包工程的正常施工，并对发包人发包的各专业承包工程承担其相应的总承包管理责任。发包人不予支付总承包管理费。</w:t>
      </w:r>
    </w:p>
    <w:p w14:paraId="2D867AE9">
      <w:pPr>
        <w:pStyle w:val="12"/>
        <w:spacing w:line="520" w:lineRule="exact"/>
        <w:ind w:firstLine="480" w:firstLineChars="200"/>
        <w:rPr>
          <w:rFonts w:ascii="宋体" w:hAnsi="宋体" w:cs="宋体"/>
          <w:color w:val="auto"/>
          <w:szCs w:val="21"/>
          <w:highlight w:val="none"/>
        </w:rPr>
      </w:pPr>
      <w:r>
        <w:rPr>
          <w:rFonts w:hint="eastAsia" w:ascii="宋体" w:hAnsi="宋体" w:cs="宋体"/>
          <w:color w:val="auto"/>
          <w:szCs w:val="21"/>
          <w:highlight w:val="none"/>
        </w:rPr>
        <w:t>3.2项目经理</w:t>
      </w:r>
    </w:p>
    <w:p w14:paraId="3339E798">
      <w:pPr>
        <w:spacing w:line="52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3.2.1</w:t>
      </w:r>
      <w:r>
        <w:rPr>
          <w:rFonts w:hint="eastAsia" w:ascii="宋体" w:hAnsi="宋体" w:cs="宋体"/>
          <w:color w:val="auto"/>
          <w:szCs w:val="21"/>
          <w:highlight w:val="none"/>
        </w:rPr>
        <w:t>项目经理：</w:t>
      </w:r>
    </w:p>
    <w:p w14:paraId="345D1554">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黄骥 </w:t>
      </w:r>
      <w:r>
        <w:rPr>
          <w:rFonts w:hint="eastAsia" w:ascii="宋体" w:hAnsi="宋体" w:cs="宋体"/>
          <w:color w:val="auto"/>
          <w:szCs w:val="21"/>
          <w:highlight w:val="none"/>
        </w:rPr>
        <w:t>；</w:t>
      </w:r>
    </w:p>
    <w:p w14:paraId="1B1DFAF3">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430202197908151016</w:t>
      </w:r>
      <w:r>
        <w:rPr>
          <w:rFonts w:hint="eastAsia" w:ascii="宋体" w:hAnsi="宋体" w:cs="宋体"/>
          <w:color w:val="auto"/>
          <w:szCs w:val="21"/>
          <w:highlight w:val="none"/>
        </w:rPr>
        <w:t>；</w:t>
      </w:r>
    </w:p>
    <w:p w14:paraId="60B212CD">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建造师执业资格等级：</w:t>
      </w:r>
      <w:r>
        <w:rPr>
          <w:rFonts w:hint="eastAsia" w:ascii="宋体" w:hAnsi="宋体" w:cs="宋体"/>
          <w:color w:val="auto"/>
          <w:szCs w:val="21"/>
          <w:highlight w:val="none"/>
          <w:u w:val="single"/>
        </w:rPr>
        <w:t>机电工程一级</w:t>
      </w:r>
      <w:r>
        <w:rPr>
          <w:rFonts w:hint="eastAsia" w:ascii="宋体" w:hAnsi="宋体" w:cs="宋体"/>
          <w:color w:val="auto"/>
          <w:szCs w:val="21"/>
          <w:highlight w:val="none"/>
        </w:rPr>
        <w:t>；</w:t>
      </w:r>
    </w:p>
    <w:p w14:paraId="5D8C93AF">
      <w:pPr>
        <w:spacing w:line="520" w:lineRule="exact"/>
        <w:ind w:firstLine="420" w:firstLineChars="200"/>
        <w:rPr>
          <w:rFonts w:ascii="宋体" w:hAnsi="宋体" w:cs="宋体"/>
          <w:b/>
          <w:bCs/>
          <w:color w:val="auto"/>
          <w:szCs w:val="21"/>
          <w:highlight w:val="none"/>
        </w:rPr>
      </w:pPr>
      <w:r>
        <w:rPr>
          <w:rFonts w:hint="eastAsia" w:ascii="宋体" w:hAnsi="宋体" w:cs="宋体"/>
          <w:color w:val="auto"/>
          <w:szCs w:val="21"/>
          <w:highlight w:val="none"/>
        </w:rPr>
        <w:t>建造师注册证书号：</w:t>
      </w:r>
      <w:r>
        <w:rPr>
          <w:rFonts w:hint="eastAsia" w:ascii="宋体" w:hAnsi="宋体" w:cs="宋体"/>
          <w:color w:val="auto"/>
          <w:szCs w:val="21"/>
          <w:highlight w:val="none"/>
          <w:u w:val="single"/>
        </w:rPr>
        <w:t>苏1372014201503737</w:t>
      </w:r>
      <w:r>
        <w:rPr>
          <w:rFonts w:hint="eastAsia" w:ascii="宋体" w:hAnsi="宋体" w:cs="宋体"/>
          <w:color w:val="auto"/>
          <w:szCs w:val="21"/>
          <w:highlight w:val="none"/>
        </w:rPr>
        <w:t>；</w:t>
      </w:r>
    </w:p>
    <w:p w14:paraId="554C1587">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建造师执业印章号：</w:t>
      </w:r>
      <w:r>
        <w:rPr>
          <w:rFonts w:hint="eastAsia" w:ascii="宋体" w:hAnsi="宋体" w:cs="宋体"/>
          <w:color w:val="auto"/>
          <w:szCs w:val="21"/>
          <w:highlight w:val="none"/>
          <w:u w:val="single"/>
        </w:rPr>
        <w:t>苏1372014201503737</w:t>
      </w:r>
      <w:r>
        <w:rPr>
          <w:rFonts w:hint="eastAsia" w:ascii="宋体" w:hAnsi="宋体" w:cs="宋体"/>
          <w:color w:val="auto"/>
          <w:szCs w:val="21"/>
          <w:highlight w:val="none"/>
        </w:rPr>
        <w:t>；</w:t>
      </w:r>
    </w:p>
    <w:p w14:paraId="6BB2421D">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安全生产考核合格证书号：</w:t>
      </w:r>
      <w:r>
        <w:rPr>
          <w:rFonts w:hint="eastAsia" w:ascii="宋体" w:hAnsi="宋体" w:cs="宋体"/>
          <w:color w:val="auto"/>
          <w:szCs w:val="21"/>
          <w:highlight w:val="none"/>
          <w:u w:val="single"/>
        </w:rPr>
        <w:t>苏建安B（2020）1011549</w:t>
      </w:r>
      <w:r>
        <w:rPr>
          <w:rFonts w:hint="eastAsia" w:ascii="宋体" w:hAnsi="宋体" w:cs="宋体"/>
          <w:color w:val="auto"/>
          <w:szCs w:val="21"/>
          <w:highlight w:val="none"/>
        </w:rPr>
        <w:t>；</w:t>
      </w:r>
    </w:p>
    <w:p w14:paraId="1F6AEEF0">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default" w:ascii="宋体" w:hAnsi="宋体" w:cs="宋体"/>
          <w:color w:val="auto"/>
          <w:szCs w:val="21"/>
          <w:highlight w:val="none"/>
          <w:u w:val="single"/>
          <w:lang w:val="en-US"/>
        </w:rPr>
        <w:t>13775150465</w:t>
      </w:r>
      <w:r>
        <w:rPr>
          <w:rFonts w:hint="eastAsia" w:ascii="宋体" w:hAnsi="宋体" w:cs="宋体"/>
          <w:color w:val="auto"/>
          <w:szCs w:val="21"/>
          <w:highlight w:val="none"/>
        </w:rPr>
        <w:t>；</w:t>
      </w:r>
    </w:p>
    <w:p w14:paraId="14B3753C">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default" w:ascii="宋体" w:hAnsi="宋体" w:cs="宋体"/>
          <w:color w:val="auto"/>
          <w:szCs w:val="21"/>
          <w:highlight w:val="none"/>
          <w:lang w:val="en-US"/>
        </w:rPr>
        <w:t xml:space="preserve"> </w:t>
      </w:r>
      <w:r>
        <w:rPr>
          <w:rFonts w:hint="default" w:ascii="宋体" w:hAnsi="宋体" w:cs="宋体"/>
          <w:color w:val="auto"/>
          <w:szCs w:val="21"/>
          <w:highlight w:val="none"/>
          <w:u w:val="single"/>
          <w:lang w:val="en-US"/>
        </w:rPr>
        <w:t>13775150465@139.com</w:t>
      </w:r>
      <w:r>
        <w:rPr>
          <w:rFonts w:hint="eastAsia" w:ascii="宋体" w:hAnsi="宋体" w:cs="宋体"/>
          <w:color w:val="auto"/>
          <w:szCs w:val="21"/>
          <w:highlight w:val="none"/>
        </w:rPr>
        <w:t>；</w:t>
      </w:r>
    </w:p>
    <w:p w14:paraId="5D392176">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南京市虎踞路</w:t>
      </w:r>
      <w:r>
        <w:rPr>
          <w:rFonts w:hint="default" w:ascii="宋体" w:hAnsi="宋体" w:cs="宋体"/>
          <w:color w:val="auto"/>
          <w:szCs w:val="21"/>
          <w:highlight w:val="none"/>
          <w:u w:val="single"/>
          <w:lang w:val="en-US" w:eastAsia="zh-CN"/>
        </w:rPr>
        <w:t>59</w:t>
      </w:r>
      <w:r>
        <w:rPr>
          <w:rFonts w:hint="eastAsia" w:ascii="宋体" w:hAnsi="宋体" w:cs="宋体"/>
          <w:color w:val="auto"/>
          <w:szCs w:val="21"/>
          <w:highlight w:val="none"/>
          <w:u w:val="single"/>
          <w:lang w:val="en-US" w:eastAsia="zh-CN"/>
        </w:rPr>
        <w:t>号</w:t>
      </w:r>
      <w:r>
        <w:rPr>
          <w:rFonts w:hint="eastAsia" w:ascii="宋体" w:hAnsi="宋体" w:cs="宋体"/>
          <w:color w:val="auto"/>
          <w:szCs w:val="21"/>
          <w:highlight w:val="none"/>
        </w:rPr>
        <w:t>；</w:t>
      </w:r>
    </w:p>
    <w:p w14:paraId="435B19C6">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承包人对项目经理的授权范围如下：</w:t>
      </w:r>
      <w:r>
        <w:rPr>
          <w:rFonts w:hint="eastAsia" w:ascii="宋体" w:hAnsi="宋体" w:cs="宋体"/>
          <w:color w:val="auto"/>
          <w:szCs w:val="21"/>
          <w:highlight w:val="none"/>
          <w:u w:val="single"/>
        </w:rPr>
        <w:t>负责现场工程管理、协调关系、听从发包人、监理的指挥</w:t>
      </w:r>
      <w:r>
        <w:rPr>
          <w:rFonts w:hint="eastAsia" w:ascii="宋体" w:hAnsi="宋体" w:cs="宋体"/>
          <w:color w:val="auto"/>
          <w:szCs w:val="21"/>
          <w:highlight w:val="none"/>
        </w:rPr>
        <w:t>。</w:t>
      </w:r>
    </w:p>
    <w:p w14:paraId="339E85C1">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关于项目经理每月在施工现场的时间要求：</w:t>
      </w:r>
      <w:r>
        <w:rPr>
          <w:rFonts w:hint="eastAsia" w:ascii="宋体" w:hAnsi="宋体" w:cs="宋体"/>
          <w:color w:val="auto"/>
          <w:szCs w:val="21"/>
          <w:highlight w:val="none"/>
          <w:u w:val="single"/>
        </w:rPr>
        <w:t>承包人在投标书中所列建造师在合同履行期间必须常驻现场，从工程开工至工程竣工承包人不得擅自更换投标时的注册建造师，注册建造师必须每周在工地不少于五天（每天不少于8小时）</w:t>
      </w:r>
      <w:r>
        <w:rPr>
          <w:rFonts w:hint="eastAsia" w:ascii="宋体" w:hAnsi="宋体" w:cs="宋体"/>
          <w:color w:val="auto"/>
          <w:szCs w:val="21"/>
          <w:highlight w:val="none"/>
        </w:rPr>
        <w:t>。</w:t>
      </w:r>
    </w:p>
    <w:p w14:paraId="338CB226">
      <w:pPr>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承包人未提交劳动合同，以及没有为项目经理缴纳社会保险证明的违约责任：</w:t>
      </w:r>
      <w:r>
        <w:rPr>
          <w:rFonts w:hint="eastAsia" w:ascii="宋体" w:hAnsi="宋体" w:cs="宋体"/>
          <w:color w:val="auto"/>
          <w:szCs w:val="21"/>
          <w:highlight w:val="none"/>
          <w:u w:val="single"/>
        </w:rPr>
        <w:t>由承包人承担</w:t>
      </w:r>
      <w:r>
        <w:rPr>
          <w:rFonts w:hint="eastAsia" w:ascii="宋体" w:hAnsi="宋体" w:cs="宋体"/>
          <w:color w:val="auto"/>
          <w:szCs w:val="21"/>
          <w:highlight w:val="none"/>
        </w:rPr>
        <w:t>。</w:t>
      </w:r>
    </w:p>
    <w:p w14:paraId="1CA703B9">
      <w:pPr>
        <w:spacing w:line="520" w:lineRule="exact"/>
        <w:ind w:firstLine="420" w:firstLineChars="200"/>
        <w:rPr>
          <w:rFonts w:ascii="宋体" w:hAnsi="宋体" w:cs="宋体"/>
          <w:color w:val="auto"/>
          <w:szCs w:val="21"/>
          <w:highlight w:val="none"/>
          <w:u w:val="single"/>
        </w:rPr>
      </w:pPr>
      <w:r>
        <w:rPr>
          <w:rFonts w:hint="eastAsia" w:ascii="宋体" w:hAnsi="宋体" w:cs="宋体"/>
          <w:color w:val="auto"/>
          <w:kern w:val="0"/>
          <w:szCs w:val="21"/>
          <w:highlight w:val="none"/>
        </w:rPr>
        <w:t>项目经理未经批准，擅自离开施工现场的违约责任：</w:t>
      </w:r>
      <w:r>
        <w:rPr>
          <w:rFonts w:hint="eastAsia" w:ascii="宋体" w:hAnsi="宋体" w:cs="宋体"/>
          <w:color w:val="auto"/>
          <w:szCs w:val="21"/>
          <w:highlight w:val="none"/>
          <w:u w:val="single"/>
        </w:rPr>
        <w:t>未经发包人许可，承包人不得更换项目经理，缺勤一天，按2000 元/次支付违约金，连续 5 天或累计 10 天不在现场，发包人有权解除合同，追究违约责任，并报市、区招标办备案（特殊情况先例行请假手续，并征得发包人同意）。</w:t>
      </w:r>
    </w:p>
    <w:p w14:paraId="221A9ABA">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3.2.3承包人擅自更换项目经理的违约责任：</w:t>
      </w:r>
      <w:r>
        <w:rPr>
          <w:rFonts w:hint="eastAsia" w:ascii="宋体" w:hAnsi="宋体" w:cs="宋体"/>
          <w:color w:val="auto"/>
          <w:szCs w:val="21"/>
          <w:highlight w:val="none"/>
          <w:u w:val="single"/>
        </w:rPr>
        <w:t>若有建造师变更，未经发包人同意，发包人有权解除合同，并追究由此带来的发包人的一切损失。扣款将在同期工程款中扣除</w:t>
      </w:r>
      <w:r>
        <w:rPr>
          <w:rFonts w:hint="eastAsia" w:ascii="宋体" w:hAnsi="宋体" w:cs="宋体"/>
          <w:color w:val="auto"/>
          <w:szCs w:val="21"/>
          <w:highlight w:val="none"/>
        </w:rPr>
        <w:t>。</w:t>
      </w:r>
    </w:p>
    <w:p w14:paraId="4BDD166D">
      <w:pPr>
        <w:spacing w:line="520" w:lineRule="exact"/>
        <w:outlineLvl w:val="0"/>
        <w:rPr>
          <w:rFonts w:ascii="宋体" w:hAnsi="宋体" w:cs="宋体"/>
          <w:color w:val="auto"/>
          <w:szCs w:val="21"/>
          <w:highlight w:val="none"/>
        </w:rPr>
      </w:pPr>
      <w:bookmarkStart w:id="93" w:name="_Toc11817"/>
      <w:bookmarkStart w:id="94" w:name="_Toc514750230"/>
      <w:r>
        <w:rPr>
          <w:rFonts w:hint="eastAsia" w:ascii="宋体" w:hAnsi="宋体" w:cs="宋体"/>
          <w:color w:val="auto"/>
          <w:szCs w:val="21"/>
          <w:highlight w:val="none"/>
        </w:rPr>
        <w:t>3.2.4承包人无正当理由拒绝更换项目经理的违约责任：</w:t>
      </w:r>
      <w:r>
        <w:rPr>
          <w:rFonts w:hint="eastAsia" w:ascii="宋体" w:hAnsi="宋体" w:cs="宋体"/>
          <w:color w:val="auto"/>
          <w:szCs w:val="21"/>
          <w:highlight w:val="none"/>
          <w:u w:val="single"/>
        </w:rPr>
        <w:t>按违约处理</w:t>
      </w:r>
      <w:r>
        <w:rPr>
          <w:rFonts w:hint="eastAsia" w:ascii="宋体" w:hAnsi="宋体" w:cs="宋体"/>
          <w:color w:val="auto"/>
          <w:szCs w:val="21"/>
          <w:highlight w:val="none"/>
        </w:rPr>
        <w:t>。</w:t>
      </w:r>
      <w:bookmarkEnd w:id="93"/>
      <w:bookmarkEnd w:id="94"/>
    </w:p>
    <w:p w14:paraId="1D46D4D9">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3.3承包人人员</w:t>
      </w:r>
    </w:p>
    <w:p w14:paraId="777CF1C8">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3.3.1承包人提交项目管理机构及施工现场管理人员安排报告的期限：</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49139D93">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3.3.3承包人无正当理由拒绝撤换主要施工管理人员的违约责任：</w:t>
      </w:r>
      <w:r>
        <w:rPr>
          <w:rFonts w:hint="eastAsia" w:ascii="宋体" w:hAnsi="宋体" w:cs="宋体"/>
          <w:color w:val="auto"/>
          <w:szCs w:val="21"/>
          <w:highlight w:val="none"/>
          <w:u w:val="single"/>
        </w:rPr>
        <w:t>双方另行协商</w:t>
      </w:r>
      <w:r>
        <w:rPr>
          <w:rFonts w:hint="eastAsia" w:ascii="宋体" w:hAnsi="宋体" w:cs="宋体"/>
          <w:color w:val="auto"/>
          <w:szCs w:val="21"/>
          <w:highlight w:val="none"/>
        </w:rPr>
        <w:t>。</w:t>
      </w:r>
    </w:p>
    <w:p w14:paraId="0C2F880F">
      <w:pPr>
        <w:spacing w:line="52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3.3.4承包人主要施工管理人员离开施工现场的批准要求：</w:t>
      </w:r>
      <w:r>
        <w:rPr>
          <w:rFonts w:hint="eastAsia" w:ascii="宋体" w:hAnsi="宋体" w:cs="宋体"/>
          <w:color w:val="auto"/>
          <w:szCs w:val="21"/>
          <w:highlight w:val="none"/>
          <w:u w:val="single"/>
        </w:rPr>
        <w:t>项目经理确需离开施工现场时，应事先通知监理人，并取得发包人的书面同意</w:t>
      </w:r>
      <w:r>
        <w:rPr>
          <w:rFonts w:hint="eastAsia" w:ascii="宋体" w:hAnsi="宋体" w:cs="宋体"/>
          <w:color w:val="auto"/>
          <w:szCs w:val="21"/>
          <w:highlight w:val="none"/>
        </w:rPr>
        <w:t>。</w:t>
      </w:r>
    </w:p>
    <w:p w14:paraId="0E43E62D">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3.3.5承包人擅自更换主要施工管理人员的违约责任：</w:t>
      </w:r>
      <w:r>
        <w:rPr>
          <w:rFonts w:hint="eastAsia" w:ascii="宋体" w:hAnsi="宋体" w:cs="宋体"/>
          <w:color w:val="auto"/>
          <w:szCs w:val="21"/>
          <w:highlight w:val="none"/>
          <w:u w:val="single"/>
        </w:rPr>
        <w:t>双方另行协商</w:t>
      </w:r>
      <w:r>
        <w:rPr>
          <w:rFonts w:hint="eastAsia" w:ascii="宋体" w:hAnsi="宋体" w:cs="宋体"/>
          <w:color w:val="auto"/>
          <w:szCs w:val="21"/>
          <w:highlight w:val="none"/>
        </w:rPr>
        <w:t>。</w:t>
      </w:r>
    </w:p>
    <w:p w14:paraId="5D6FB230">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承包人主要施工管理人员擅自离开施工现场的违约责任：</w:t>
      </w:r>
      <w:r>
        <w:rPr>
          <w:rFonts w:hint="eastAsia" w:ascii="宋体" w:hAnsi="宋体" w:cs="宋体"/>
          <w:color w:val="auto"/>
          <w:szCs w:val="21"/>
          <w:highlight w:val="none"/>
          <w:u w:val="single"/>
        </w:rPr>
        <w:t>承包人现场配套的各专业人员应按投标承诺配备应到位，并持证上岗，不得无故调动，确实需要更换的须经发包人及监理工程师批准。无故更换按每员</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000元处罚，各专业人员应按时到岗，做好考勤工作，如无故缺勤，每人每次按人民币1000元处罚</w:t>
      </w:r>
      <w:r>
        <w:rPr>
          <w:rFonts w:hint="eastAsia" w:ascii="宋体" w:hAnsi="宋体" w:cs="宋体"/>
          <w:color w:val="auto"/>
          <w:szCs w:val="21"/>
          <w:highlight w:val="none"/>
        </w:rPr>
        <w:t>。</w:t>
      </w:r>
    </w:p>
    <w:p w14:paraId="14393D35">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w:t>
      </w:r>
      <w:bookmarkStart w:id="95" w:name="_Toc296503159"/>
      <w:bookmarkStart w:id="96" w:name="_Toc300934945"/>
      <w:bookmarkStart w:id="97" w:name="_Toc296944498"/>
      <w:bookmarkStart w:id="98" w:name="_Toc296890987"/>
      <w:bookmarkStart w:id="99" w:name="_Toc304295523"/>
      <w:bookmarkStart w:id="100" w:name="_Toc296891199"/>
      <w:bookmarkStart w:id="101" w:name="_Toc303539102"/>
      <w:bookmarkStart w:id="102" w:name="_Toc292559869"/>
      <w:bookmarkStart w:id="103" w:name="_Toc312677988"/>
      <w:bookmarkStart w:id="104" w:name="_Toc296347158"/>
      <w:bookmarkStart w:id="105" w:name="_Toc292559364"/>
      <w:bookmarkStart w:id="106" w:name="_Toc297123492"/>
      <w:bookmarkStart w:id="107" w:name="_Toc297048345"/>
      <w:bookmarkStart w:id="108" w:name="_Toc296346660"/>
      <w:bookmarkStart w:id="109" w:name="_Toc297120459"/>
      <w:bookmarkStart w:id="110" w:name="_Toc297216151"/>
      <w:r>
        <w:rPr>
          <w:rFonts w:hint="eastAsia" w:ascii="宋体" w:hAnsi="宋体" w:cs="宋体"/>
          <w:color w:val="auto"/>
          <w:szCs w:val="21"/>
          <w:highlight w:val="none"/>
        </w:rPr>
        <w:t>.5分包</w:t>
      </w:r>
    </w:p>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14:paraId="761635BA">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w:t>
      </w:r>
      <w:bookmarkStart w:id="111" w:name="_Toc296891200"/>
      <w:bookmarkStart w:id="112" w:name="_Toc297048346"/>
      <w:bookmarkStart w:id="113" w:name="_Toc304295524"/>
      <w:bookmarkStart w:id="114" w:name="_Toc300934946"/>
      <w:bookmarkStart w:id="115" w:name="_Toc296503160"/>
      <w:bookmarkStart w:id="116" w:name="_Toc296346661"/>
      <w:bookmarkStart w:id="117" w:name="_Toc297123493"/>
      <w:bookmarkStart w:id="118" w:name="_Toc297216152"/>
      <w:bookmarkStart w:id="119" w:name="_Toc303539103"/>
      <w:bookmarkStart w:id="120" w:name="_Toc296944499"/>
      <w:bookmarkStart w:id="121" w:name="_Toc296347159"/>
      <w:bookmarkStart w:id="122" w:name="_Toc292559870"/>
      <w:bookmarkStart w:id="123" w:name="_Toc297120460"/>
      <w:bookmarkStart w:id="124" w:name="_Toc296890988"/>
      <w:bookmarkStart w:id="125" w:name="_Toc292559365"/>
      <w:bookmarkStart w:id="126" w:name="_Toc318581158"/>
      <w:bookmarkStart w:id="127" w:name="_Toc312677989"/>
      <w:r>
        <w:rPr>
          <w:rFonts w:hint="eastAsia" w:ascii="宋体" w:hAnsi="宋体" w:cs="宋体"/>
          <w:color w:val="auto"/>
          <w:szCs w:val="21"/>
          <w:highlight w:val="none"/>
        </w:rPr>
        <w:t>.5.1分包的一般约定</w:t>
      </w:r>
    </w:p>
    <w:p w14:paraId="6B5185A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禁止分包的工程包括：</w:t>
      </w:r>
      <w:r>
        <w:rPr>
          <w:rFonts w:hint="eastAsia" w:ascii="宋体" w:hAnsi="宋体" w:cs="宋体"/>
          <w:color w:val="auto"/>
          <w:szCs w:val="21"/>
          <w:highlight w:val="none"/>
          <w:u w:val="single"/>
        </w:rPr>
        <w:t>主体工程、关键性工作</w:t>
      </w:r>
      <w:r>
        <w:rPr>
          <w:rFonts w:hint="eastAsia" w:ascii="宋体" w:hAnsi="宋体" w:cs="宋体"/>
          <w:color w:val="auto"/>
          <w:szCs w:val="21"/>
          <w:highlight w:val="none"/>
        </w:rPr>
        <w:t>。</w:t>
      </w:r>
    </w:p>
    <w:p w14:paraId="1DB7F608">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主体结构、关键性工作的范围：</w:t>
      </w:r>
      <w:r>
        <w:rPr>
          <w:rFonts w:hint="eastAsia" w:ascii="宋体" w:hAnsi="宋体" w:cs="宋体"/>
          <w:color w:val="auto"/>
          <w:szCs w:val="21"/>
          <w:highlight w:val="none"/>
          <w:u w:val="single"/>
        </w:rPr>
        <w:t>/</w:t>
      </w:r>
      <w:r>
        <w:rPr>
          <w:rFonts w:hint="eastAsia" w:ascii="宋体" w:hAnsi="宋体" w:cs="宋体"/>
          <w:color w:val="auto"/>
          <w:szCs w:val="21"/>
          <w:highlight w:val="none"/>
        </w:rPr>
        <w:t>。</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Start w:id="128" w:name="_Toc297216153"/>
      <w:bookmarkStart w:id="129" w:name="_Toc297120461"/>
      <w:bookmarkStart w:id="130" w:name="_Toc297048347"/>
      <w:bookmarkStart w:id="131" w:name="_Toc296891201"/>
      <w:bookmarkStart w:id="132" w:name="_Toc297123494"/>
      <w:bookmarkStart w:id="133" w:name="_Toc296346662"/>
      <w:bookmarkStart w:id="134" w:name="_Toc296503161"/>
      <w:bookmarkStart w:id="135" w:name="_Toc304295525"/>
      <w:bookmarkStart w:id="136" w:name="_Toc296944500"/>
      <w:bookmarkStart w:id="137" w:name="_Toc303539104"/>
      <w:bookmarkStart w:id="138" w:name="_Toc296347160"/>
      <w:bookmarkStart w:id="139" w:name="_Toc300934947"/>
      <w:bookmarkStart w:id="140" w:name="_Toc296890989"/>
    </w:p>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14:paraId="7E8C8FEC">
      <w:pPr>
        <w:spacing w:line="520" w:lineRule="exact"/>
        <w:rPr>
          <w:rFonts w:ascii="宋体" w:hAnsi="宋体" w:cs="宋体"/>
          <w:color w:val="auto"/>
          <w:szCs w:val="21"/>
          <w:highlight w:val="none"/>
        </w:rPr>
      </w:pPr>
      <w:r>
        <w:rPr>
          <w:rFonts w:hint="eastAsia" w:ascii="宋体" w:hAnsi="宋体" w:cs="宋体"/>
          <w:color w:val="auto"/>
          <w:szCs w:val="21"/>
          <w:highlight w:val="none"/>
        </w:rPr>
        <w:t>3</w:t>
      </w:r>
      <w:bookmarkStart w:id="141" w:name="_Toc318581159"/>
      <w:bookmarkStart w:id="142" w:name="_Toc312677990"/>
      <w:r>
        <w:rPr>
          <w:rFonts w:hint="eastAsia" w:ascii="宋体" w:hAnsi="宋体" w:cs="宋体"/>
          <w:color w:val="auto"/>
          <w:szCs w:val="21"/>
          <w:highlight w:val="none"/>
        </w:rPr>
        <w:t>.5.2分包的确定</w:t>
      </w:r>
    </w:p>
    <w:p w14:paraId="33DC6B5E">
      <w:pPr>
        <w:spacing w:line="52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允许分包的专业工程包括：</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306B9402">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其他关于分包的约定：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681A6D40">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3.5.4分包合同价款</w:t>
      </w:r>
    </w:p>
    <w:p w14:paraId="421A3889">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关于分包合同价款支付的约定：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bookmarkEnd w:id="141"/>
    <w:bookmarkEnd w:id="142"/>
    <w:p w14:paraId="1376D4E5">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3.6工程照管与成品、半成品保护</w:t>
      </w:r>
    </w:p>
    <w:p w14:paraId="05B50DD3">
      <w:pPr>
        <w:spacing w:before="120" w:after="120" w:line="520" w:lineRule="exact"/>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rPr>
        <w:t>承包人负责照管工程及工程相关的材料、工程设备的起始时间：</w:t>
      </w:r>
      <w:r>
        <w:rPr>
          <w:rFonts w:hint="eastAsia" w:ascii="宋体" w:hAnsi="宋体" w:cs="宋体"/>
          <w:color w:val="auto"/>
          <w:kern w:val="0"/>
          <w:szCs w:val="21"/>
          <w:highlight w:val="none"/>
          <w:u w:val="single"/>
        </w:rPr>
        <w:t>已竣工工程未交付发包人之前，承包人应负责已完工程的保护工作，保护期间发生损坏，承包人自费予以修复。</w:t>
      </w:r>
    </w:p>
    <w:p w14:paraId="6237E33F">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3.7履约担保</w:t>
      </w:r>
    </w:p>
    <w:p w14:paraId="14669327">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承包人是否提供履约担保：</w:t>
      </w:r>
      <w:r>
        <w:rPr>
          <w:rFonts w:hint="eastAsia" w:ascii="宋体" w:hAnsi="宋体" w:cs="宋体"/>
          <w:color w:val="auto"/>
          <w:szCs w:val="21"/>
          <w:highlight w:val="none"/>
          <w:u w:val="single"/>
        </w:rPr>
        <w:t>是</w:t>
      </w:r>
      <w:r>
        <w:rPr>
          <w:rFonts w:hint="eastAsia" w:ascii="宋体" w:hAnsi="宋体" w:cs="宋体"/>
          <w:color w:val="auto"/>
          <w:szCs w:val="21"/>
          <w:highlight w:val="none"/>
        </w:rPr>
        <w:t>。</w:t>
      </w:r>
    </w:p>
    <w:p w14:paraId="2C9BAAF7">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承包人提供履约担保的形式：</w:t>
      </w:r>
      <w:r>
        <w:rPr>
          <w:rFonts w:hint="eastAsia" w:ascii="宋体" w:hAnsi="宋体" w:cs="宋体"/>
          <w:color w:val="auto"/>
          <w:szCs w:val="21"/>
          <w:highlight w:val="none"/>
          <w:u w:val="single"/>
        </w:rPr>
        <w:t>现金或银行保函或担保公司担保。</w:t>
      </w:r>
    </w:p>
    <w:p w14:paraId="494CAE2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担保的金额：</w:t>
      </w:r>
      <w:r>
        <w:rPr>
          <w:rFonts w:hint="eastAsia" w:ascii="宋体" w:hAnsi="宋体" w:cs="宋体"/>
          <w:color w:val="auto"/>
          <w:szCs w:val="21"/>
          <w:highlight w:val="none"/>
          <w:u w:val="single"/>
        </w:rPr>
        <w:t>合同价（不含暂列金额）的10%。</w:t>
      </w:r>
    </w:p>
    <w:p w14:paraId="0C7B0A2C">
      <w:pPr>
        <w:pStyle w:val="4"/>
        <w:spacing w:before="120" w:after="120" w:line="520" w:lineRule="exact"/>
        <w:rPr>
          <w:rFonts w:ascii="宋体" w:hAnsi="宋体" w:cs="宋体"/>
          <w:b w:val="0"/>
          <w:color w:val="auto"/>
          <w:szCs w:val="21"/>
          <w:highlight w:val="none"/>
        </w:rPr>
      </w:pPr>
      <w:bookmarkStart w:id="143" w:name="_Toc514750231"/>
      <w:r>
        <w:rPr>
          <w:rFonts w:hint="eastAsia" w:ascii="宋体" w:hAnsi="宋体" w:cs="宋体"/>
          <w:b w:val="0"/>
          <w:color w:val="auto"/>
          <w:szCs w:val="21"/>
          <w:highlight w:val="none"/>
        </w:rPr>
        <w:t>4</w:t>
      </w:r>
      <w:bookmarkStart w:id="144" w:name="_Toc296503162"/>
      <w:bookmarkStart w:id="145" w:name="_Toc296346663"/>
      <w:bookmarkStart w:id="146" w:name="_Toc297048348"/>
      <w:bookmarkStart w:id="147" w:name="_Toc296347161"/>
      <w:bookmarkStart w:id="148" w:name="_Toc296890990"/>
      <w:bookmarkStart w:id="149" w:name="_Toc296891202"/>
      <w:bookmarkStart w:id="150" w:name="_Toc267251413"/>
      <w:bookmarkStart w:id="151" w:name="_Toc297120462"/>
      <w:bookmarkStart w:id="152" w:name="_Toc292559366"/>
      <w:bookmarkStart w:id="153" w:name="_Toc296944501"/>
      <w:bookmarkStart w:id="154" w:name="_Toc292559871"/>
      <w:r>
        <w:rPr>
          <w:rFonts w:hint="eastAsia" w:ascii="宋体" w:hAnsi="宋体" w:cs="宋体"/>
          <w:b w:val="0"/>
          <w:color w:val="auto"/>
          <w:szCs w:val="21"/>
          <w:highlight w:val="none"/>
        </w:rPr>
        <w:t>.监</w:t>
      </w:r>
      <w:bookmarkEnd w:id="144"/>
      <w:bookmarkEnd w:id="145"/>
      <w:bookmarkEnd w:id="146"/>
      <w:bookmarkEnd w:id="147"/>
      <w:bookmarkEnd w:id="148"/>
      <w:bookmarkEnd w:id="149"/>
      <w:bookmarkEnd w:id="150"/>
      <w:bookmarkEnd w:id="151"/>
      <w:bookmarkEnd w:id="152"/>
      <w:bookmarkEnd w:id="153"/>
      <w:bookmarkEnd w:id="154"/>
      <w:r>
        <w:rPr>
          <w:rFonts w:hint="eastAsia" w:ascii="宋体" w:hAnsi="宋体" w:cs="宋体"/>
          <w:b w:val="0"/>
          <w:color w:val="auto"/>
          <w:szCs w:val="21"/>
          <w:highlight w:val="none"/>
        </w:rPr>
        <w:t>理人</w:t>
      </w:r>
      <w:bookmarkEnd w:id="143"/>
    </w:p>
    <w:p w14:paraId="793D3A5E">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4.1监理人的一般规定</w:t>
      </w:r>
    </w:p>
    <w:p w14:paraId="2C431851">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关于监理人的监理内容：</w:t>
      </w:r>
      <w:r>
        <w:rPr>
          <w:rFonts w:hint="eastAsia" w:ascii="宋体" w:hAnsi="宋体" w:cs="宋体"/>
          <w:color w:val="auto"/>
          <w:szCs w:val="21"/>
          <w:highlight w:val="none"/>
          <w:u w:val="single"/>
        </w:rPr>
        <w:t>见监理合同</w:t>
      </w:r>
      <w:r>
        <w:rPr>
          <w:rFonts w:hint="eastAsia" w:ascii="宋体" w:hAnsi="宋体" w:cs="宋体"/>
          <w:color w:val="auto"/>
          <w:szCs w:val="21"/>
          <w:highlight w:val="none"/>
        </w:rPr>
        <w:t>。</w:t>
      </w:r>
    </w:p>
    <w:p w14:paraId="64A708B6">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关于监理人的监理权限：</w:t>
      </w:r>
      <w:r>
        <w:rPr>
          <w:rFonts w:hint="eastAsia" w:ascii="宋体" w:hAnsi="宋体" w:cs="宋体"/>
          <w:color w:val="auto"/>
          <w:szCs w:val="21"/>
          <w:highlight w:val="none"/>
          <w:u w:val="single"/>
        </w:rPr>
        <w:t>涉及工程造价的签证、施工方案、施工中和图纸中的建议、开工令、停工令、复工令等</w:t>
      </w:r>
      <w:r>
        <w:rPr>
          <w:rFonts w:hint="eastAsia" w:ascii="宋体" w:hAnsi="宋体" w:cs="宋体"/>
          <w:color w:val="auto"/>
          <w:szCs w:val="21"/>
          <w:highlight w:val="none"/>
        </w:rPr>
        <w:t>。</w:t>
      </w:r>
    </w:p>
    <w:p w14:paraId="7611E6E1">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关于监理人在施工现场的办公场所、生活场所的提供和费用承担的约定：</w:t>
      </w:r>
      <w:r>
        <w:rPr>
          <w:rFonts w:hint="eastAsia" w:ascii="宋体" w:hAnsi="宋体" w:cs="宋体"/>
          <w:color w:val="auto"/>
          <w:szCs w:val="21"/>
          <w:highlight w:val="none"/>
          <w:u w:val="single"/>
        </w:rPr>
        <w:t>见监理合同</w:t>
      </w:r>
      <w:r>
        <w:rPr>
          <w:rFonts w:hint="eastAsia" w:ascii="宋体" w:hAnsi="宋体" w:cs="宋体"/>
          <w:color w:val="auto"/>
          <w:szCs w:val="21"/>
          <w:highlight w:val="none"/>
        </w:rPr>
        <w:t>。</w:t>
      </w:r>
    </w:p>
    <w:p w14:paraId="2B7953FB">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4.2监理人员</w:t>
      </w:r>
    </w:p>
    <w:p w14:paraId="2C7B13D3">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总监理工程师：</w:t>
      </w:r>
    </w:p>
    <w:p w14:paraId="57C4EB01">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lang w:val="en-US" w:eastAsia="zh-CN"/>
        </w:rPr>
        <w:t xml:space="preserve">王俊杰 </w:t>
      </w:r>
      <w:r>
        <w:rPr>
          <w:rFonts w:hint="eastAsia" w:ascii="宋体" w:hAnsi="宋体" w:cs="宋体"/>
          <w:color w:val="auto"/>
          <w:szCs w:val="21"/>
          <w:highlight w:val="none"/>
        </w:rPr>
        <w:t>；</w:t>
      </w:r>
    </w:p>
    <w:p w14:paraId="30664B93">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lang w:val="en-US" w:eastAsia="zh-CN"/>
        </w:rPr>
        <w:t>总监理工程师</w:t>
      </w:r>
      <w:r>
        <w:rPr>
          <w:rFonts w:hint="eastAsia" w:ascii="宋体" w:hAnsi="宋体" w:cs="宋体"/>
          <w:color w:val="auto"/>
          <w:szCs w:val="21"/>
          <w:highlight w:val="none"/>
        </w:rPr>
        <w:t>；</w:t>
      </w:r>
    </w:p>
    <w:p w14:paraId="17F5D636">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监理工程师执业资格证书号：</w:t>
      </w:r>
      <w:r>
        <w:rPr>
          <w:rFonts w:hint="eastAsia" w:ascii="宋体" w:hAnsi="宋体" w:cs="宋体"/>
          <w:color w:val="auto"/>
          <w:szCs w:val="21"/>
          <w:highlight w:val="none"/>
          <w:u w:val="single"/>
          <w:lang w:val="en-US" w:eastAsia="zh-CN"/>
        </w:rPr>
        <w:t>32016324</w:t>
      </w:r>
      <w:r>
        <w:rPr>
          <w:rFonts w:hint="eastAsia" w:ascii="宋体" w:hAnsi="宋体" w:cs="宋体"/>
          <w:color w:val="auto"/>
          <w:szCs w:val="21"/>
          <w:highlight w:val="none"/>
        </w:rPr>
        <w:t>；</w:t>
      </w:r>
    </w:p>
    <w:p w14:paraId="14C68F1B">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lang w:val="en-US" w:eastAsia="zh-CN"/>
        </w:rPr>
        <w:t>13815057998</w:t>
      </w:r>
      <w:r>
        <w:rPr>
          <w:rFonts w:hint="eastAsia" w:ascii="宋体" w:hAnsi="宋体" w:cs="宋体"/>
          <w:color w:val="auto"/>
          <w:szCs w:val="21"/>
          <w:highlight w:val="none"/>
        </w:rPr>
        <w:t>；</w:t>
      </w:r>
    </w:p>
    <w:p w14:paraId="23BD9699">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lang w:val="en-US" w:eastAsia="zh-CN"/>
        </w:rPr>
        <w:t>baojizixun@163.com</w:t>
      </w:r>
      <w:r>
        <w:rPr>
          <w:rFonts w:hint="eastAsia" w:ascii="宋体" w:hAnsi="宋体" w:cs="宋体"/>
          <w:color w:val="auto"/>
          <w:szCs w:val="21"/>
          <w:highlight w:val="none"/>
        </w:rPr>
        <w:t>；</w:t>
      </w:r>
    </w:p>
    <w:p w14:paraId="6D6977BE">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lang w:val="en-US" w:eastAsia="zh-CN"/>
        </w:rPr>
        <w:t>武进区降子北路55-66号</w:t>
      </w:r>
      <w:r>
        <w:rPr>
          <w:rFonts w:hint="eastAsia" w:ascii="宋体" w:hAnsi="宋体" w:cs="宋体"/>
          <w:color w:val="auto"/>
          <w:szCs w:val="21"/>
          <w:highlight w:val="none"/>
        </w:rPr>
        <w:t>；</w:t>
      </w:r>
    </w:p>
    <w:p w14:paraId="46830A85">
      <w:pPr>
        <w:spacing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关于监理人的其他约定：</w:t>
      </w:r>
      <w:r>
        <w:rPr>
          <w:rFonts w:hint="eastAsia" w:ascii="宋体" w:hAnsi="宋体" w:cs="宋体"/>
          <w:color w:val="auto"/>
          <w:szCs w:val="21"/>
          <w:highlight w:val="none"/>
          <w:u w:val="single"/>
          <w:lang w:val="en-US" w:eastAsia="zh-CN"/>
        </w:rPr>
        <w:t>按监理合同执行</w:t>
      </w:r>
      <w:r>
        <w:rPr>
          <w:rFonts w:hint="eastAsia" w:ascii="宋体" w:hAnsi="宋体" w:cs="宋体"/>
          <w:color w:val="auto"/>
          <w:szCs w:val="21"/>
          <w:highlight w:val="none"/>
        </w:rPr>
        <w:t>。</w:t>
      </w:r>
    </w:p>
    <w:p w14:paraId="305EACA7">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4.4商定或确定</w:t>
      </w:r>
    </w:p>
    <w:p w14:paraId="61B139A2">
      <w:pPr>
        <w:spacing w:line="520" w:lineRule="exact"/>
        <w:ind w:firstLine="420" w:firstLineChars="200"/>
        <w:rPr>
          <w:rFonts w:ascii="宋体" w:hAnsi="宋体" w:cs="宋体"/>
          <w:color w:val="auto"/>
          <w:szCs w:val="21"/>
          <w:highlight w:val="none"/>
        </w:rPr>
      </w:pPr>
      <w:bookmarkStart w:id="155" w:name="_Toc267251418"/>
      <w:r>
        <w:rPr>
          <w:rFonts w:hint="eastAsia" w:ascii="宋体" w:hAnsi="宋体" w:cs="宋体"/>
          <w:color w:val="auto"/>
          <w:szCs w:val="21"/>
          <w:highlight w:val="none"/>
        </w:rPr>
        <w:t>在发包人和承包人不能通过协商达成一致意见时，发包人授权监理人对以下事项进行确定：</w:t>
      </w:r>
    </w:p>
    <w:p w14:paraId="4C75FE3D">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u w:val="single"/>
        </w:rPr>
        <w:t>详见监理合同</w:t>
      </w:r>
      <w:r>
        <w:rPr>
          <w:rFonts w:hint="eastAsia" w:ascii="宋体" w:hAnsi="宋体" w:cs="宋体"/>
          <w:color w:val="auto"/>
          <w:szCs w:val="21"/>
          <w:highlight w:val="none"/>
        </w:rPr>
        <w:t>；</w:t>
      </w:r>
    </w:p>
    <w:p w14:paraId="79C13814">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0F1EA1C8">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06BC7274">
      <w:pPr>
        <w:pStyle w:val="4"/>
        <w:spacing w:before="120" w:after="120" w:line="520" w:lineRule="exact"/>
        <w:rPr>
          <w:rFonts w:ascii="宋体" w:hAnsi="宋体" w:cs="宋体"/>
          <w:b w:val="0"/>
          <w:color w:val="auto"/>
          <w:szCs w:val="21"/>
          <w:highlight w:val="none"/>
        </w:rPr>
      </w:pPr>
      <w:bookmarkStart w:id="156" w:name="_Toc514750232"/>
      <w:r>
        <w:rPr>
          <w:rFonts w:hint="eastAsia" w:ascii="宋体" w:hAnsi="宋体" w:cs="宋体"/>
          <w:b w:val="0"/>
          <w:color w:val="auto"/>
          <w:szCs w:val="21"/>
          <w:highlight w:val="none"/>
        </w:rPr>
        <w:t>5</w:t>
      </w:r>
      <w:bookmarkEnd w:id="155"/>
      <w:bookmarkStart w:id="157" w:name="_Toc297120463"/>
      <w:bookmarkStart w:id="158" w:name="_Toc292559367"/>
      <w:bookmarkStart w:id="159" w:name="_Toc296503163"/>
      <w:bookmarkStart w:id="160" w:name="_Toc296346664"/>
      <w:bookmarkStart w:id="161" w:name="_Toc292559872"/>
      <w:bookmarkStart w:id="162" w:name="_Toc296944502"/>
      <w:bookmarkStart w:id="163" w:name="_Toc296891203"/>
      <w:bookmarkStart w:id="164" w:name="_Toc296890991"/>
      <w:bookmarkStart w:id="165" w:name="_Toc297048349"/>
      <w:bookmarkStart w:id="166" w:name="_Toc296347162"/>
      <w:r>
        <w:rPr>
          <w:rFonts w:hint="eastAsia" w:ascii="宋体" w:hAnsi="宋体" w:cs="宋体"/>
          <w:b w:val="0"/>
          <w:color w:val="auto"/>
          <w:szCs w:val="21"/>
          <w:highlight w:val="none"/>
        </w:rPr>
        <w:t>.工程质量</w:t>
      </w:r>
      <w:bookmarkEnd w:id="156"/>
    </w:p>
    <w:p w14:paraId="5D803603">
      <w:pPr>
        <w:spacing w:after="120" w:line="520" w:lineRule="exact"/>
        <w:ind w:firstLine="420" w:firstLineChars="200"/>
        <w:outlineLvl w:val="0"/>
        <w:rPr>
          <w:rFonts w:ascii="宋体" w:hAnsi="宋体" w:cs="宋体"/>
          <w:color w:val="auto"/>
          <w:szCs w:val="21"/>
          <w:highlight w:val="none"/>
        </w:rPr>
      </w:pPr>
      <w:bookmarkStart w:id="167" w:name="_Toc20110"/>
      <w:bookmarkStart w:id="168" w:name="_Toc514750233"/>
      <w:r>
        <w:rPr>
          <w:rFonts w:hint="eastAsia" w:ascii="宋体" w:hAnsi="宋体" w:cs="宋体"/>
          <w:color w:val="auto"/>
          <w:szCs w:val="21"/>
          <w:highlight w:val="none"/>
        </w:rPr>
        <w:t>5.1质量要求</w:t>
      </w:r>
      <w:bookmarkEnd w:id="167"/>
      <w:bookmarkEnd w:id="168"/>
    </w:p>
    <w:p w14:paraId="2DBE79B5">
      <w:pPr>
        <w:keepNext w:val="0"/>
        <w:keepLines w:val="0"/>
        <w:pageBreakBefore w:val="0"/>
        <w:widowControl w:val="0"/>
        <w:kinsoku/>
        <w:wordWrap/>
        <w:overflowPunct/>
        <w:topLinePunct w:val="0"/>
        <w:autoSpaceDE/>
        <w:autoSpaceDN/>
        <w:bidi w:val="0"/>
        <w:adjustRightInd/>
        <w:spacing w:line="52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w:t>
      </w:r>
      <w:bookmarkStart w:id="169" w:name="_Toc318581164"/>
      <w:bookmarkStart w:id="170" w:name="_Toc297123496"/>
      <w:bookmarkStart w:id="171" w:name="_Toc304295527"/>
      <w:bookmarkStart w:id="172" w:name="_Toc303539106"/>
      <w:bookmarkStart w:id="173" w:name="_Toc297216155"/>
      <w:bookmarkStart w:id="174" w:name="_Toc300934949"/>
      <w:bookmarkStart w:id="175" w:name="_Toc312677997"/>
      <w:r>
        <w:rPr>
          <w:rFonts w:hint="eastAsia" w:ascii="宋体" w:hAnsi="宋体" w:cs="宋体"/>
          <w:color w:val="auto"/>
          <w:szCs w:val="21"/>
          <w:highlight w:val="none"/>
        </w:rPr>
        <w:t>.1.1特殊质量标准和要求：</w:t>
      </w:r>
    </w:p>
    <w:p w14:paraId="4464B31C">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outlineLvl w:val="2"/>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、项目预验收和竣工验收</w:t>
      </w:r>
    </w:p>
    <w:p w14:paraId="3AAE9654">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1）本项目完成竣工验收需进行预验收和竣工验收。本项目预验收前，项目清单内各项软件必须由国家认证认可监督管理委员会授权的国家产品质量监督检验中心（授权范围应为软件产品、电子政务系统）进行第三方软件检测，并确保第三方检测中发现的所有软件问功能、性能、业务流程、兼容性、安全性、可靠性等全部问题得到解决后方可进行预验收。竣工验收前，软件系统应通过第三方专业机构软件检测并获得合格结论。</w:t>
      </w:r>
    </w:p>
    <w:p w14:paraId="038C2330">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预验收：乙方负责实施的项目安装调试合格后达到系统正常使用后，乙方必须进行自检，乙方自检（该自检情况需在乙方提交甲方的申请竣工验收文件中注明及附含）合格后，乙方才可向甲方提交竣工验收申请报告及相关文件，甲方在收到竣工验收申请报告和相关资料起28日内完成预验收，预验收不合格由乙方进行整改，整改结束后需提交整改记录，整改期限为15日。如预验收不合格则相应增加次数，直至预验收合格。</w:t>
      </w:r>
    </w:p>
    <w:p w14:paraId="0AB0F318">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）竣工验收：如通过预验收考评后，设备正常运行不少于30天后，提交</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组织的竣工验收专家组进行竣工验收</w:t>
      </w:r>
      <w:r>
        <w:rPr>
          <w:rFonts w:hint="eastAsia" w:ascii="宋体" w:hAnsi="宋体" w:eastAsia="宋体" w:cs="宋体"/>
          <w:color w:val="auto"/>
          <w:sz w:val="21"/>
          <w:szCs w:val="21"/>
          <w:highlight w:val="none"/>
          <w:u w:val="single"/>
          <w:lang w:val="en-US" w:eastAsia="zh-CN"/>
        </w:rPr>
        <w:t>同时进行履约验收</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履约验收内容为：验收小组制定验收工作实施方案，按照方案开展验收，出具验收意见。</w:t>
      </w:r>
      <w:r>
        <w:rPr>
          <w:rFonts w:hint="eastAsia" w:ascii="宋体" w:hAnsi="宋体" w:eastAsia="宋体" w:cs="宋体"/>
          <w:color w:val="auto"/>
          <w:sz w:val="21"/>
          <w:szCs w:val="21"/>
          <w:highlight w:val="none"/>
          <w:u w:val="single"/>
        </w:rPr>
        <w:t>如</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组织的竣工验收专家组认定竣工验收</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履约验收</w:t>
      </w:r>
      <w:r>
        <w:rPr>
          <w:rFonts w:hint="eastAsia" w:ascii="宋体" w:hAnsi="宋体" w:eastAsia="宋体" w:cs="宋体"/>
          <w:color w:val="auto"/>
          <w:sz w:val="21"/>
          <w:szCs w:val="21"/>
          <w:highlight w:val="none"/>
          <w:u w:val="single"/>
        </w:rPr>
        <w:t>不合格，对于</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组织的竣工验收专家组在验收过程中提出的问题，乙方必须认真整改，整改期为15天，在乙方整改到位并自检合格的基础上，</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组织的竣工验收专家组进行第二次竣工验收</w:t>
      </w:r>
      <w:r>
        <w:rPr>
          <w:rFonts w:hint="eastAsia" w:ascii="宋体" w:hAnsi="宋体" w:eastAsia="宋体" w:cs="宋体"/>
          <w:color w:val="auto"/>
          <w:sz w:val="21"/>
          <w:szCs w:val="21"/>
          <w:highlight w:val="none"/>
          <w:u w:val="single"/>
          <w:lang w:val="en-US" w:eastAsia="zh-CN"/>
        </w:rPr>
        <w:t>及履约验收</w:t>
      </w:r>
      <w:r>
        <w:rPr>
          <w:rFonts w:hint="eastAsia" w:ascii="宋体" w:hAnsi="宋体" w:eastAsia="宋体" w:cs="宋体"/>
          <w:color w:val="auto"/>
          <w:sz w:val="21"/>
          <w:szCs w:val="21"/>
          <w:highlight w:val="none"/>
          <w:u w:val="single"/>
        </w:rPr>
        <w:t>，依次类推。</w:t>
      </w:r>
    </w:p>
    <w:p w14:paraId="022316C5">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）项目只有通过</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组织的竣工验收专家组竣工验收</w:t>
      </w:r>
      <w:r>
        <w:rPr>
          <w:rFonts w:hint="eastAsia" w:ascii="宋体" w:hAnsi="宋体" w:eastAsia="宋体" w:cs="宋体"/>
          <w:color w:val="auto"/>
          <w:sz w:val="21"/>
          <w:szCs w:val="21"/>
          <w:highlight w:val="none"/>
          <w:u w:val="single"/>
          <w:lang w:val="en-US" w:eastAsia="zh-CN"/>
        </w:rPr>
        <w:t>及履约验收</w:t>
      </w:r>
      <w:r>
        <w:rPr>
          <w:rFonts w:hint="eastAsia" w:ascii="宋体" w:hAnsi="宋体" w:eastAsia="宋体" w:cs="宋体"/>
          <w:color w:val="auto"/>
          <w:sz w:val="21"/>
          <w:szCs w:val="21"/>
          <w:highlight w:val="none"/>
          <w:u w:val="single"/>
        </w:rPr>
        <w:t>合格后，才视为项目竣工验收合格。各方共同签署竣工验收合格的文件，该日为项目竣工验收日。如乙方提交竣工验收申请报告后28日内，甲方未组织验收也不提出验收意见，则视为竣工验收合格，第28日视为竣工验收日。</w:t>
      </w:r>
    </w:p>
    <w:p w14:paraId="080168E4">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）验收标准：</w:t>
      </w:r>
      <w:r>
        <w:rPr>
          <w:rFonts w:hint="eastAsia" w:ascii="宋体" w:hAnsi="宋体" w:eastAsia="宋体" w:cs="宋体"/>
          <w:color w:val="auto"/>
          <w:sz w:val="21"/>
          <w:szCs w:val="21"/>
          <w:highlight w:val="none"/>
          <w:u w:val="single"/>
          <w:lang w:val="en-US" w:eastAsia="zh-CN"/>
        </w:rPr>
        <w:t>履约验收：应当符合采购合同约定、乙方投标（响应）文件的承诺、法律法规以及国家强制性标准等。竣工验收：</w:t>
      </w:r>
      <w:r>
        <w:rPr>
          <w:rFonts w:hint="eastAsia" w:ascii="宋体" w:hAnsi="宋体" w:eastAsia="宋体" w:cs="宋体"/>
          <w:color w:val="auto"/>
          <w:sz w:val="21"/>
          <w:szCs w:val="21"/>
          <w:highlight w:val="none"/>
          <w:u w:val="single"/>
        </w:rPr>
        <w:t>项目实施过程资料齐全完整；硬件、软件平台运行良好，设备</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年免费质保、运维服务期全部达到采购文件所要求的各项功能、达过常州市公安局、常州市公安局武进分局相关建设标准要求且必须通过</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组织的竣工验收专家组验收。</w:t>
      </w:r>
    </w:p>
    <w:p w14:paraId="4683A232">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）竣工验收方法：由</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邀请的专业人员验收。</w:t>
      </w:r>
    </w:p>
    <w:p w14:paraId="4DB412D4">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预验收前，乙方须向甲方提交项目的全部有关产品说明书、原厂家安装手册、技术资料及文档，安装、测试、检验、检疫、检定报告等文档并汇集成册，同时还应包括但不限于项目总体设计、概要设计说明、功能设计说明、用户操作手册、软件设计说明书、数据库设计说明等开发设计文档和测试计划、记录、用例、文档等，以及系统硬件配置文档、软件配置文档、日常维护手册等。</w:t>
      </w:r>
    </w:p>
    <w:p w14:paraId="1DC4C98A">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rPr>
        <w:t>）项目建设中乙方必须对实际供货、建设的项目，在本企业、公司财务资料中对参与的每个项目分别单独核算，显示明晰的经济活动过程，并提供相关单独核算管理项目的财务资料，作为预验收及竣工验收资料的必要组成部分。乙方拒绝、阻挠的，将不予预验收及竣工验收和项目结算。</w:t>
      </w:r>
    </w:p>
    <w:p w14:paraId="372A8E18">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outlineLvl w:val="2"/>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rPr>
        <w:t>、竣工资料</w:t>
      </w:r>
    </w:p>
    <w:p w14:paraId="45AF0D9E">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乙方应在项目完工后分别按照国家有关部门的相关规定及甲方的有关要求编制竣工资料。项目的竣工图须在项目竣工验收通过后在国家规定的时间内提交甲方审查，全部项目完工后，乙方须向甲方提交2整套甲方认为完整、合格的纸质竣工文件及2套竣工文件光盘（内容与纸质文件内容一致）。</w:t>
      </w:r>
    </w:p>
    <w:p w14:paraId="4CD34F11">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outlineLvl w:val="2"/>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、产品</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设备</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的到货验收标准、方法及时间</w:t>
      </w:r>
    </w:p>
    <w:p w14:paraId="62C04562">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（1）验收标准：所有建设成果、设备和产品名称、数量、技术文档及配置符合清单和</w:t>
      </w:r>
      <w:r>
        <w:rPr>
          <w:rFonts w:hint="eastAsia" w:ascii="宋体" w:hAnsi="宋体" w:eastAsia="宋体" w:cs="宋体"/>
          <w:color w:val="auto"/>
          <w:sz w:val="21"/>
          <w:szCs w:val="21"/>
          <w:highlight w:val="none"/>
          <w:u w:val="single"/>
          <w:lang w:val="en-US" w:eastAsia="zh-CN"/>
        </w:rPr>
        <w:t>设计图纸</w:t>
      </w:r>
      <w:r>
        <w:rPr>
          <w:rFonts w:hint="eastAsia" w:ascii="宋体" w:hAnsi="宋体" w:eastAsia="宋体" w:cs="宋体"/>
          <w:color w:val="auto"/>
          <w:sz w:val="21"/>
          <w:szCs w:val="21"/>
          <w:highlight w:val="none"/>
          <w:u w:val="single"/>
        </w:rPr>
        <w:t>要求，包装完好。</w:t>
      </w:r>
    </w:p>
    <w:p w14:paraId="695DE67E">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2）验收方法：由甲方、乙方、监理单位三方到场验收，对不满足前述①验收标准的货物，甲方有权拒绝通过验收。验收时乙方必须出具货物符合国家规定的合格证书及产品说明书，但不能解除乙方在货物质量保证期的责任。</w:t>
      </w:r>
    </w:p>
    <w:p w14:paraId="52D02050">
      <w:pPr>
        <w:keepNext w:val="0"/>
        <w:keepLines w:val="0"/>
        <w:pageBreakBefore w:val="0"/>
        <w:widowControl w:val="0"/>
        <w:kinsoku/>
        <w:wordWrap/>
        <w:overflowPunct/>
        <w:topLinePunct w:val="0"/>
        <w:autoSpaceDE/>
        <w:autoSpaceDN/>
        <w:bidi w:val="0"/>
        <w:adjustRightInd/>
        <w:snapToGrid w:val="0"/>
        <w:spacing w:line="520" w:lineRule="exact"/>
        <w:ind w:firstLine="422" w:firstLineChars="200"/>
        <w:textAlignment w:val="auto"/>
        <w:rPr>
          <w:rFonts w:hint="eastAsia" w:ascii="宋体" w:hAnsi="宋体" w:eastAsia="宋体" w:cs="宋体"/>
          <w:b/>
          <w:bCs/>
          <w:color w:val="auto"/>
          <w:sz w:val="21"/>
          <w:szCs w:val="21"/>
          <w:highlight w:val="none"/>
          <w:u w:val="single"/>
        </w:rPr>
      </w:pPr>
      <w:r>
        <w:rPr>
          <w:rFonts w:hint="eastAsia" w:ascii="宋体" w:hAnsi="宋体" w:eastAsia="宋体" w:cs="宋体"/>
          <w:b/>
          <w:bCs/>
          <w:color w:val="auto"/>
          <w:sz w:val="21"/>
          <w:szCs w:val="21"/>
          <w:highlight w:val="none"/>
          <w:u w:val="single"/>
        </w:rPr>
        <w:t>（3）验收申报材料：出厂合格证、随带技术文件和出厂试验记录或运行记录，实行安全认证制度的产品应有安全认证标志。</w:t>
      </w:r>
    </w:p>
    <w:p w14:paraId="7B73179F">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4）外观检查：产品有铭牌、附件齐全、电气接线完好、设备器件无缺损、涂层完整符合要求，无明显碰撞凹陷。导线包装完好，表面无明显划痕，不松股、扭折和断股导线，测量线径符合制造标准。导管无压扁、内壁光滑，管径厚度符合制造厂标。</w:t>
      </w:r>
    </w:p>
    <w:p w14:paraId="3601ACEA">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（5）乙方到货后五个工作日内向甲方申报到货验收，甲方在乙方申报材料齐全后进行到货验收。</w:t>
      </w:r>
    </w:p>
    <w:p w14:paraId="66B7D16C">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（6）施工材料在项目竣工验收日前发生的风险均由乙方负责。</w:t>
      </w:r>
    </w:p>
    <w:p w14:paraId="04087847">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7）乙方在项目中使用未申报到货验收或到货验收未合格的材料，甲方有权要求乙方整改，具体为限期申报到货验收、拆除相关材料重新安装到货验收合格的材料、并可处以不超过乙方在项目中使用相关材料价格50%的罚款及其它整改措施，相关整改措施产生的费用及其他损失由乙方自行承担。</w:t>
      </w:r>
    </w:p>
    <w:p w14:paraId="176C414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u w:val="single"/>
        </w:rPr>
        <w:t>承包人必须严格按照施工图纸、工程技术要求及有关工程施工规范、规格和标准施工。如因承包人自身原因引起的验收不合格，除返工整改合格外，承包人还应另按</w:t>
      </w:r>
      <w:r>
        <w:rPr>
          <w:rFonts w:hint="eastAsia" w:ascii="宋体" w:hAnsi="宋体" w:cs="宋体"/>
          <w:color w:val="auto"/>
          <w:szCs w:val="21"/>
          <w:highlight w:val="none"/>
          <w:u w:val="single"/>
          <w:lang w:val="en-US" w:eastAsia="zh-CN"/>
        </w:rPr>
        <w:t>合同价</w:t>
      </w:r>
      <w:r>
        <w:rPr>
          <w:rFonts w:hint="eastAsia" w:ascii="宋体" w:hAnsi="宋体" w:cs="宋体"/>
          <w:color w:val="auto"/>
          <w:szCs w:val="21"/>
          <w:highlight w:val="none"/>
          <w:u w:val="single"/>
        </w:rPr>
        <w:t>的1%向发包人支付违约金，并承担由此造成的一切损失</w:t>
      </w:r>
      <w:r>
        <w:rPr>
          <w:rFonts w:hint="eastAsia" w:ascii="宋体" w:hAnsi="宋体" w:cs="宋体"/>
          <w:color w:val="auto"/>
          <w:szCs w:val="21"/>
          <w:highlight w:val="none"/>
        </w:rPr>
        <w:t>。</w:t>
      </w:r>
    </w:p>
    <w:p w14:paraId="108EE4EE">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关于工程奖项的约定：</w:t>
      </w:r>
      <w:r>
        <w:rPr>
          <w:rFonts w:hint="eastAsia" w:ascii="宋体" w:hAnsi="宋体" w:cs="宋体"/>
          <w:color w:val="auto"/>
          <w:szCs w:val="21"/>
          <w:highlight w:val="none"/>
          <w:u w:val="single"/>
        </w:rPr>
        <w:t>承包人要求创优的，发包人应予以配合，优质优价费用不予计取</w:t>
      </w:r>
      <w:r>
        <w:rPr>
          <w:rFonts w:hint="eastAsia" w:ascii="宋体" w:hAnsi="宋体" w:cs="宋体"/>
          <w:color w:val="auto"/>
          <w:szCs w:val="21"/>
          <w:highlight w:val="none"/>
        </w:rPr>
        <w:t>。</w:t>
      </w:r>
    </w:p>
    <w:p w14:paraId="773923E4">
      <w:pPr>
        <w:spacing w:after="120" w:line="520" w:lineRule="exact"/>
        <w:ind w:firstLine="420" w:firstLineChars="200"/>
        <w:outlineLvl w:val="0"/>
        <w:rPr>
          <w:rFonts w:ascii="宋体" w:hAnsi="宋体" w:cs="宋体"/>
          <w:color w:val="auto"/>
          <w:szCs w:val="21"/>
          <w:highlight w:val="none"/>
        </w:rPr>
      </w:pPr>
      <w:bookmarkStart w:id="176" w:name="_Toc13048"/>
      <w:bookmarkStart w:id="177" w:name="_Toc514750234"/>
      <w:r>
        <w:rPr>
          <w:rFonts w:hint="eastAsia" w:ascii="宋体" w:hAnsi="宋体" w:cs="宋体"/>
          <w:color w:val="auto"/>
          <w:szCs w:val="21"/>
          <w:highlight w:val="none"/>
        </w:rPr>
        <w:t>5.3隐蔽工程检查</w:t>
      </w:r>
      <w:bookmarkEnd w:id="176"/>
      <w:bookmarkEnd w:id="177"/>
    </w:p>
    <w:p w14:paraId="5169B474">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5.3.2承包人提前通知监理人隐蔽工程检查的期限的约定：</w:t>
      </w:r>
      <w:r>
        <w:rPr>
          <w:rFonts w:hint="eastAsia" w:ascii="宋体" w:hAnsi="宋体" w:cs="宋体"/>
          <w:color w:val="auto"/>
          <w:szCs w:val="21"/>
          <w:highlight w:val="none"/>
          <w:u w:val="single"/>
        </w:rPr>
        <w:t>书面申报材料后24小时内。监理人不能按时进行检查时，应提前 12 小时提交书面延期要求</w:t>
      </w:r>
      <w:r>
        <w:rPr>
          <w:rFonts w:hint="eastAsia" w:ascii="宋体" w:hAnsi="宋体" w:cs="宋体"/>
          <w:color w:val="auto"/>
          <w:szCs w:val="21"/>
          <w:highlight w:val="none"/>
        </w:rPr>
        <w:t>。</w:t>
      </w:r>
    </w:p>
    <w:p w14:paraId="4483AC6A">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监理人不能按时进行检查时，应提前</w:t>
      </w:r>
      <w:r>
        <w:rPr>
          <w:rFonts w:hint="eastAsia" w:ascii="宋体" w:hAnsi="宋体" w:cs="宋体"/>
          <w:color w:val="auto"/>
          <w:szCs w:val="21"/>
          <w:highlight w:val="none"/>
          <w:u w:val="single"/>
        </w:rPr>
        <w:t>24</w:t>
      </w:r>
      <w:r>
        <w:rPr>
          <w:rFonts w:hint="eastAsia" w:ascii="宋体" w:hAnsi="宋体" w:cs="宋体"/>
          <w:color w:val="auto"/>
          <w:szCs w:val="21"/>
          <w:highlight w:val="none"/>
        </w:rPr>
        <w:t>小时提交书面延期要求。</w:t>
      </w:r>
    </w:p>
    <w:p w14:paraId="70FED19E">
      <w:pPr>
        <w:spacing w:line="5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48</w:t>
      </w:r>
      <w:r>
        <w:rPr>
          <w:rFonts w:hint="eastAsia" w:ascii="宋体" w:hAnsi="宋体" w:cs="宋体"/>
          <w:color w:val="auto"/>
          <w:szCs w:val="21"/>
          <w:highlight w:val="none"/>
        </w:rPr>
        <w:t>小时。</w:t>
      </w:r>
    </w:p>
    <w:p w14:paraId="32B4440B">
      <w:pPr>
        <w:pStyle w:val="4"/>
        <w:spacing w:before="120" w:after="120" w:line="520" w:lineRule="exact"/>
        <w:rPr>
          <w:rFonts w:ascii="宋体" w:hAnsi="宋体" w:cs="宋体"/>
          <w:b w:val="0"/>
          <w:color w:val="auto"/>
          <w:szCs w:val="21"/>
          <w:highlight w:val="none"/>
        </w:rPr>
      </w:pPr>
      <w:bookmarkStart w:id="178" w:name="_Toc514750235"/>
      <w:r>
        <w:rPr>
          <w:rFonts w:hint="eastAsia" w:ascii="宋体" w:hAnsi="宋体" w:cs="宋体"/>
          <w:b w:val="0"/>
          <w:color w:val="auto"/>
          <w:szCs w:val="21"/>
          <w:highlight w:val="none"/>
        </w:rPr>
        <w:t>6.安全文明施工与环境保护</w:t>
      </w:r>
      <w:bookmarkEnd w:id="178"/>
    </w:p>
    <w:p w14:paraId="360D48AC">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6.1安全文明施工</w:t>
      </w:r>
    </w:p>
    <w:p w14:paraId="2147A4E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6.1.1项目安全生产的达标目标及相应事项的约定：</w:t>
      </w:r>
      <w:r>
        <w:rPr>
          <w:rFonts w:hint="eastAsia" w:ascii="宋体" w:hAnsi="宋体" w:cs="宋体"/>
          <w:color w:val="auto"/>
          <w:szCs w:val="21"/>
          <w:highlight w:val="none"/>
          <w:u w:val="single"/>
        </w:rPr>
        <w:t>合格工地，承包人须做好文明施工、安全生产，符合当地行政主管部门管理要求，安全事故发生率为零，在施工过程中应完善文明施工措施，在施工过程中造成的安全事故由承包人承担</w:t>
      </w:r>
      <w:r>
        <w:rPr>
          <w:rFonts w:hint="eastAsia" w:ascii="宋体" w:hAnsi="宋体" w:cs="宋体"/>
          <w:color w:val="auto"/>
          <w:szCs w:val="21"/>
          <w:highlight w:val="none"/>
        </w:rPr>
        <w:t>。</w:t>
      </w:r>
    </w:p>
    <w:p w14:paraId="3F557772">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6.1.4关于治安保卫的特别约定：</w:t>
      </w:r>
      <w:r>
        <w:rPr>
          <w:rFonts w:hint="eastAsia" w:ascii="宋体" w:hAnsi="宋体" w:cs="宋体"/>
          <w:color w:val="auto"/>
          <w:szCs w:val="21"/>
          <w:highlight w:val="none"/>
          <w:u w:val="single"/>
        </w:rPr>
        <w:t>承包人应当负责统一管理施工场地的治安保卫事项，履行合同工程的治安保卫职责</w:t>
      </w:r>
      <w:r>
        <w:rPr>
          <w:rFonts w:hint="eastAsia" w:ascii="宋体" w:hAnsi="宋体" w:cs="宋体"/>
          <w:color w:val="auto"/>
          <w:szCs w:val="21"/>
          <w:highlight w:val="none"/>
        </w:rPr>
        <w:t>。</w:t>
      </w:r>
    </w:p>
    <w:p w14:paraId="04241FC0">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关于编制施工场地治安管理计划的约定：</w:t>
      </w:r>
      <w:r>
        <w:rPr>
          <w:rFonts w:hint="eastAsia" w:ascii="宋体" w:hAnsi="宋体" w:cs="宋体"/>
          <w:color w:val="auto"/>
          <w:szCs w:val="21"/>
          <w:highlight w:val="none"/>
          <w:u w:val="single"/>
        </w:rPr>
        <w:t>工程开工后承包人应编制施工场地治安管理计划，并制定应对突发治安事件的紧急预案。在工程施工过程中，发生暴乱、爆炸等恐怖事件，以及群殴、械斗等群体性突发治安事件的，承包人应立即向当地政府报告。承包人应积极协助当地有关部门采取措施平息事态，防止事态扩大，尽量减少财产损失和避免人员伤亡。</w:t>
      </w:r>
    </w:p>
    <w:p w14:paraId="5436C19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6.1.5文明施工</w:t>
      </w:r>
    </w:p>
    <w:p w14:paraId="3EEA3E04">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合同当事人对文明施工的要求：</w:t>
      </w:r>
      <w:r>
        <w:rPr>
          <w:rFonts w:hint="eastAsia" w:ascii="宋体" w:hAnsi="宋体" w:cs="宋体"/>
          <w:color w:val="auto"/>
          <w:szCs w:val="21"/>
          <w:highlight w:val="none"/>
          <w:u w:val="single"/>
        </w:rPr>
        <w:t>合格工地，符合当地行政主管部门管理要求</w:t>
      </w:r>
      <w:r>
        <w:rPr>
          <w:rFonts w:hint="eastAsia" w:ascii="宋体" w:hAnsi="宋体" w:cs="宋体"/>
          <w:color w:val="auto"/>
          <w:szCs w:val="21"/>
          <w:highlight w:val="none"/>
        </w:rPr>
        <w:t>。</w:t>
      </w:r>
    </w:p>
    <w:p w14:paraId="56980DC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6.1.6关于安全文明施工费支付比例和支付期限的约定：</w:t>
      </w:r>
      <w:r>
        <w:rPr>
          <w:rFonts w:hint="eastAsia" w:ascii="宋体" w:hAnsi="宋体" w:cs="宋体"/>
          <w:color w:val="auto"/>
          <w:szCs w:val="21"/>
          <w:highlight w:val="none"/>
          <w:u w:val="single"/>
        </w:rPr>
        <w:t>另行协商</w:t>
      </w:r>
      <w:r>
        <w:rPr>
          <w:rFonts w:hint="eastAsia" w:ascii="宋体" w:hAnsi="宋体" w:cs="宋体"/>
          <w:color w:val="auto"/>
          <w:szCs w:val="21"/>
          <w:highlight w:val="none"/>
        </w:rPr>
        <w:t>。</w:t>
      </w:r>
    </w:p>
    <w:bookmarkEnd w:id="169"/>
    <w:bookmarkEnd w:id="170"/>
    <w:bookmarkEnd w:id="171"/>
    <w:bookmarkEnd w:id="172"/>
    <w:bookmarkEnd w:id="173"/>
    <w:bookmarkEnd w:id="174"/>
    <w:bookmarkEnd w:id="175"/>
    <w:p w14:paraId="26ED5DCE">
      <w:pPr>
        <w:pStyle w:val="4"/>
        <w:spacing w:before="120" w:after="120" w:line="520" w:lineRule="exact"/>
        <w:rPr>
          <w:rFonts w:ascii="宋体" w:hAnsi="宋体" w:cs="宋体"/>
          <w:b w:val="0"/>
          <w:color w:val="auto"/>
          <w:szCs w:val="21"/>
          <w:highlight w:val="none"/>
        </w:rPr>
      </w:pPr>
      <w:bookmarkStart w:id="179" w:name="_Toc514750236"/>
      <w:r>
        <w:rPr>
          <w:rFonts w:hint="eastAsia" w:ascii="宋体" w:hAnsi="宋体" w:cs="宋体"/>
          <w:b w:val="0"/>
          <w:color w:val="auto"/>
          <w:szCs w:val="21"/>
          <w:highlight w:val="none"/>
        </w:rPr>
        <w:t>7.工期和进度</w:t>
      </w:r>
      <w:bookmarkEnd w:id="179"/>
    </w:p>
    <w:p w14:paraId="21B07527">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7.1施工组织设计</w:t>
      </w:r>
    </w:p>
    <w:p w14:paraId="1ABA0104">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7.1.1合</w:t>
      </w:r>
      <w:r>
        <w:rPr>
          <w:rFonts w:hint="eastAsia" w:ascii="宋体" w:hAnsi="宋体" w:cs="宋体"/>
          <w:color w:val="auto"/>
          <w:kern w:val="0"/>
          <w:szCs w:val="21"/>
          <w:highlight w:val="none"/>
        </w:rPr>
        <w:t>同当事人约定的施工组织设计应包括的其他内容：</w:t>
      </w:r>
      <w:r>
        <w:rPr>
          <w:rFonts w:hint="eastAsia" w:ascii="宋体" w:hAnsi="宋体" w:cs="宋体"/>
          <w:color w:val="auto"/>
          <w:szCs w:val="21"/>
          <w:highlight w:val="none"/>
          <w:u w:val="single"/>
        </w:rPr>
        <w:t>开工前7日内提供施工进度总计划和有针对性的施工组织设计</w:t>
      </w:r>
      <w:r>
        <w:rPr>
          <w:rFonts w:hint="eastAsia" w:ascii="宋体" w:hAnsi="宋体" w:cs="宋体"/>
          <w:color w:val="auto"/>
          <w:szCs w:val="21"/>
          <w:highlight w:val="none"/>
        </w:rPr>
        <w:t>。</w:t>
      </w:r>
    </w:p>
    <w:p w14:paraId="1902B1B9">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7.1.2</w:t>
      </w:r>
      <w:r>
        <w:rPr>
          <w:rFonts w:hint="eastAsia" w:ascii="宋体" w:hAnsi="宋体" w:cs="宋体"/>
          <w:color w:val="auto"/>
          <w:kern w:val="0"/>
          <w:szCs w:val="21"/>
          <w:highlight w:val="none"/>
        </w:rPr>
        <w:t>施工组织设计的提交和修改</w:t>
      </w:r>
    </w:p>
    <w:p w14:paraId="5D670D67">
      <w:pPr>
        <w:autoSpaceDE w:val="0"/>
        <w:autoSpaceDN w:val="0"/>
        <w:adjustRightInd w:val="0"/>
        <w:spacing w:line="5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承包人提交详细施工组织设计的期限的约定：</w:t>
      </w:r>
      <w:r>
        <w:rPr>
          <w:rFonts w:hint="eastAsia" w:ascii="宋体" w:hAnsi="宋体" w:cs="宋体"/>
          <w:color w:val="auto"/>
          <w:szCs w:val="21"/>
          <w:highlight w:val="none"/>
          <w:u w:val="single"/>
        </w:rPr>
        <w:t>按发包人及监理人要求</w:t>
      </w:r>
      <w:r>
        <w:rPr>
          <w:rFonts w:hint="eastAsia" w:ascii="宋体" w:hAnsi="宋体" w:cs="宋体"/>
          <w:color w:val="auto"/>
          <w:szCs w:val="21"/>
          <w:highlight w:val="none"/>
        </w:rPr>
        <w:t>。</w:t>
      </w:r>
    </w:p>
    <w:p w14:paraId="59984065">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发包人和监理人在收到详细的施工组织设计后确认或提出修改意见的期限：</w:t>
      </w:r>
      <w:bookmarkStart w:id="180" w:name="EB5534a68665764e60a671cd5b215eafef"/>
      <w:r>
        <w:rPr>
          <w:rFonts w:hint="eastAsia" w:ascii="宋体" w:hAnsi="宋体" w:cs="宋体"/>
          <w:color w:val="auto"/>
          <w:szCs w:val="21"/>
          <w:highlight w:val="none"/>
          <w:u w:val="single"/>
        </w:rPr>
        <w:t>承包人提交相应文件后的二周内</w:t>
      </w:r>
      <w:bookmarkEnd w:id="180"/>
      <w:r>
        <w:rPr>
          <w:rFonts w:hint="eastAsia" w:ascii="宋体" w:hAnsi="宋体" w:cs="宋体"/>
          <w:color w:val="auto"/>
          <w:szCs w:val="21"/>
          <w:highlight w:val="none"/>
        </w:rPr>
        <w:t>。</w:t>
      </w:r>
    </w:p>
    <w:p w14:paraId="613AD7F5">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w:t>
      </w:r>
      <w:bookmarkStart w:id="181" w:name="_Toc297216173"/>
      <w:bookmarkStart w:id="182" w:name="_Toc297123514"/>
      <w:bookmarkStart w:id="183" w:name="_Toc312678005"/>
      <w:bookmarkStart w:id="184" w:name="_Toc300934966"/>
      <w:bookmarkStart w:id="185" w:name="_Toc312677479"/>
      <w:bookmarkStart w:id="186" w:name="_Toc304295541"/>
      <w:bookmarkStart w:id="187" w:name="_Toc303539123"/>
      <w:r>
        <w:rPr>
          <w:rFonts w:hint="eastAsia" w:ascii="宋体" w:hAnsi="宋体" w:cs="宋体"/>
          <w:color w:val="auto"/>
          <w:szCs w:val="21"/>
          <w:highlight w:val="none"/>
        </w:rPr>
        <w:t>.2施工进度计划</w:t>
      </w:r>
    </w:p>
    <w:p w14:paraId="2EAA6DC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7.2.2施工进度计划的修订</w:t>
      </w:r>
    </w:p>
    <w:p w14:paraId="5D7B8146">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发包人和监理人在收到修订的施工进度计划后确认或提出修改意见的期限：</w:t>
      </w:r>
      <w:r>
        <w:rPr>
          <w:rFonts w:hint="eastAsia" w:ascii="宋体" w:hAnsi="宋体" w:cs="宋体"/>
          <w:color w:val="auto"/>
          <w:szCs w:val="21"/>
          <w:highlight w:val="none"/>
          <w:u w:val="single"/>
        </w:rPr>
        <w:t>收到承包人报送的相关进度计划和施工方案说明后的</w:t>
      </w:r>
      <w:r>
        <w:rPr>
          <w:rFonts w:ascii="宋体" w:hAnsi="宋体" w:cs="宋体"/>
          <w:color w:val="auto"/>
          <w:szCs w:val="21"/>
          <w:highlight w:val="none"/>
          <w:u w:val="single"/>
        </w:rPr>
        <w:t>14</w:t>
      </w:r>
      <w:r>
        <w:rPr>
          <w:rFonts w:hint="eastAsia" w:ascii="宋体" w:hAnsi="宋体" w:cs="宋体"/>
          <w:color w:val="auto"/>
          <w:szCs w:val="21"/>
          <w:highlight w:val="none"/>
          <w:u w:val="single"/>
        </w:rPr>
        <w:t>天内</w:t>
      </w:r>
      <w:r>
        <w:rPr>
          <w:rFonts w:hint="eastAsia" w:ascii="宋体" w:hAnsi="宋体" w:cs="宋体"/>
          <w:color w:val="auto"/>
          <w:szCs w:val="21"/>
          <w:highlight w:val="none"/>
        </w:rPr>
        <w:t>。</w:t>
      </w:r>
    </w:p>
    <w:p w14:paraId="3D364A2A">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7.3开工</w:t>
      </w:r>
    </w:p>
    <w:p w14:paraId="51353D0C">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7.3.1开工准备</w:t>
      </w:r>
    </w:p>
    <w:p w14:paraId="76A62BAD">
      <w:pPr>
        <w:spacing w:line="520" w:lineRule="exact"/>
        <w:ind w:firstLine="645"/>
        <w:jc w:val="left"/>
        <w:rPr>
          <w:rFonts w:ascii="宋体" w:hAnsi="宋体" w:cs="宋体"/>
          <w:color w:val="auto"/>
          <w:szCs w:val="21"/>
          <w:highlight w:val="none"/>
          <w:u w:val="single"/>
        </w:rPr>
      </w:pPr>
      <w:r>
        <w:rPr>
          <w:rFonts w:hint="eastAsia" w:ascii="宋体" w:hAnsi="宋体" w:cs="宋体"/>
          <w:color w:val="auto"/>
          <w:szCs w:val="21"/>
          <w:highlight w:val="none"/>
        </w:rPr>
        <w:t>关于承包人提交</w:t>
      </w:r>
      <w:r>
        <w:rPr>
          <w:rFonts w:hint="eastAsia" w:ascii="宋体" w:hAnsi="宋体" w:cs="宋体"/>
          <w:color w:val="auto"/>
          <w:kern w:val="0"/>
          <w:szCs w:val="21"/>
          <w:highlight w:val="none"/>
        </w:rPr>
        <w:t>工程开工报审表的期限：</w:t>
      </w:r>
      <w:r>
        <w:rPr>
          <w:rFonts w:hint="eastAsia" w:ascii="宋体" w:hAnsi="宋体" w:cs="宋体"/>
          <w:color w:val="auto"/>
          <w:szCs w:val="21"/>
          <w:highlight w:val="none"/>
          <w:u w:val="single"/>
        </w:rPr>
        <w:t>7天</w:t>
      </w:r>
      <w:r>
        <w:rPr>
          <w:rFonts w:hint="eastAsia" w:ascii="宋体" w:hAnsi="宋体" w:cs="宋体"/>
          <w:color w:val="auto"/>
          <w:szCs w:val="21"/>
          <w:highlight w:val="none"/>
        </w:rPr>
        <w:t>。</w:t>
      </w:r>
    </w:p>
    <w:p w14:paraId="012E8A37">
      <w:pPr>
        <w:spacing w:line="520" w:lineRule="exact"/>
        <w:ind w:firstLine="645"/>
        <w:jc w:val="left"/>
        <w:rPr>
          <w:rFonts w:ascii="宋体" w:hAnsi="宋体" w:cs="宋体"/>
          <w:color w:val="auto"/>
          <w:szCs w:val="21"/>
          <w:highlight w:val="none"/>
        </w:rPr>
      </w:pPr>
      <w:r>
        <w:rPr>
          <w:rFonts w:hint="eastAsia" w:ascii="宋体" w:hAnsi="宋体" w:cs="宋体"/>
          <w:color w:val="auto"/>
          <w:szCs w:val="21"/>
          <w:highlight w:val="none"/>
        </w:rPr>
        <w:t>关于发包人应完成的其他开工准备工作及期限：</w:t>
      </w:r>
      <w:r>
        <w:rPr>
          <w:rFonts w:hint="eastAsia" w:ascii="宋体" w:hAnsi="宋体" w:cs="宋体"/>
          <w:color w:val="auto"/>
          <w:szCs w:val="21"/>
          <w:highlight w:val="none"/>
          <w:u w:val="single"/>
        </w:rPr>
        <w:t>开工前</w:t>
      </w:r>
      <w:r>
        <w:rPr>
          <w:rFonts w:hint="eastAsia" w:ascii="宋体" w:hAnsi="宋体" w:cs="宋体"/>
          <w:color w:val="auto"/>
          <w:szCs w:val="21"/>
          <w:highlight w:val="none"/>
        </w:rPr>
        <w:t>。</w:t>
      </w:r>
    </w:p>
    <w:p w14:paraId="3D0AC00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关于承包人应完成的其他开工准备工作及期限：</w:t>
      </w:r>
      <w:r>
        <w:rPr>
          <w:rFonts w:hint="eastAsia" w:ascii="宋体" w:hAnsi="宋体" w:cs="宋体"/>
          <w:color w:val="auto"/>
          <w:szCs w:val="21"/>
          <w:highlight w:val="none"/>
          <w:u w:val="single"/>
        </w:rPr>
        <w:t>在工程准备工作完成后，计划开工日期前7天提交开工报审表</w:t>
      </w:r>
      <w:r>
        <w:rPr>
          <w:rFonts w:hint="eastAsia" w:ascii="宋体" w:hAnsi="宋体" w:cs="宋体"/>
          <w:color w:val="auto"/>
          <w:szCs w:val="21"/>
          <w:highlight w:val="none"/>
        </w:rPr>
        <w:t>。</w:t>
      </w:r>
    </w:p>
    <w:p w14:paraId="229342E5">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7.3.2开工通知</w:t>
      </w:r>
    </w:p>
    <w:p w14:paraId="335B0792">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因发包人原因造成监理人未能在计划开工日期之日起</w:t>
      </w:r>
      <w:r>
        <w:rPr>
          <w:rFonts w:ascii="宋体" w:hAnsi="宋体" w:cs="宋体"/>
          <w:color w:val="auto"/>
          <w:szCs w:val="21"/>
          <w:highlight w:val="none"/>
          <w:u w:val="single"/>
        </w:rPr>
        <w:t>180</w:t>
      </w:r>
      <w:r>
        <w:rPr>
          <w:rFonts w:hint="eastAsia" w:ascii="宋体" w:hAnsi="宋体" w:cs="宋体"/>
          <w:color w:val="auto"/>
          <w:szCs w:val="21"/>
          <w:highlight w:val="none"/>
        </w:rPr>
        <w:t>天内发出开工通知的，承包人有权提出价格调整要求，或者解除合同。</w:t>
      </w:r>
    </w:p>
    <w:bookmarkEnd w:id="181"/>
    <w:bookmarkEnd w:id="182"/>
    <w:bookmarkEnd w:id="183"/>
    <w:bookmarkEnd w:id="184"/>
    <w:bookmarkEnd w:id="185"/>
    <w:bookmarkEnd w:id="186"/>
    <w:bookmarkEnd w:id="187"/>
    <w:p w14:paraId="12C19CFE">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7.4测量放线</w:t>
      </w:r>
    </w:p>
    <w:p w14:paraId="6327EF58">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7.4.1发包人通过监理人向承包人提供测量基准点、基准线和水准点及其书面资料的期限：</w:t>
      </w:r>
      <w:r>
        <w:rPr>
          <w:rFonts w:hint="eastAsia" w:ascii="宋体" w:hAnsi="宋体" w:cs="宋体"/>
          <w:color w:val="auto"/>
          <w:szCs w:val="21"/>
          <w:highlight w:val="none"/>
          <w:u w:val="single"/>
        </w:rPr>
        <w:t>开工后另定</w:t>
      </w:r>
      <w:r>
        <w:rPr>
          <w:rFonts w:hint="eastAsia" w:ascii="宋体" w:hAnsi="宋体" w:cs="宋体"/>
          <w:color w:val="auto"/>
          <w:szCs w:val="21"/>
          <w:highlight w:val="none"/>
        </w:rPr>
        <w:t>。</w:t>
      </w:r>
    </w:p>
    <w:p w14:paraId="0628D1F2">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w:t>
      </w:r>
      <w:bookmarkStart w:id="188" w:name="_Toc312677484"/>
      <w:bookmarkStart w:id="189" w:name="_Toc303539125"/>
      <w:bookmarkStart w:id="190" w:name="_Toc304295546"/>
      <w:bookmarkStart w:id="191" w:name="_Toc297216175"/>
      <w:bookmarkStart w:id="192" w:name="_Toc297123516"/>
      <w:bookmarkStart w:id="193" w:name="_Toc300934968"/>
      <w:bookmarkStart w:id="194" w:name="_Toc312678010"/>
      <w:r>
        <w:rPr>
          <w:rFonts w:hint="eastAsia" w:ascii="宋体" w:hAnsi="宋体" w:cs="宋体"/>
          <w:color w:val="auto"/>
          <w:szCs w:val="21"/>
          <w:highlight w:val="none"/>
        </w:rPr>
        <w:t>.5工期延误</w:t>
      </w:r>
    </w:p>
    <w:bookmarkEnd w:id="188"/>
    <w:bookmarkEnd w:id="189"/>
    <w:bookmarkEnd w:id="190"/>
    <w:bookmarkEnd w:id="191"/>
    <w:bookmarkEnd w:id="192"/>
    <w:bookmarkEnd w:id="193"/>
    <w:bookmarkEnd w:id="194"/>
    <w:p w14:paraId="6157833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7.5.1因发包人原因导致工期延误</w:t>
      </w:r>
    </w:p>
    <w:p w14:paraId="1B7780FA">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（7）因发包人原因导致工期延误的其他情形：</w:t>
      </w:r>
      <w:r>
        <w:rPr>
          <w:rFonts w:hint="eastAsia" w:ascii="宋体" w:hAnsi="宋体" w:cs="宋体"/>
          <w:color w:val="auto"/>
          <w:szCs w:val="21"/>
          <w:highlight w:val="none"/>
          <w:u w:val="single"/>
        </w:rPr>
        <w:t>由于发包人原因和国家行政相关要求的停工（非承包方的责任），经发包人同意，工期可顺延</w:t>
      </w:r>
      <w:r>
        <w:rPr>
          <w:rFonts w:hint="eastAsia" w:ascii="宋体" w:hAnsi="宋体" w:cs="宋体"/>
          <w:color w:val="auto"/>
          <w:szCs w:val="21"/>
          <w:highlight w:val="none"/>
        </w:rPr>
        <w:t>。</w:t>
      </w:r>
    </w:p>
    <w:p w14:paraId="6CCCDF86">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w:t>
      </w:r>
      <w:bookmarkStart w:id="195" w:name="_Toc312677486"/>
      <w:bookmarkStart w:id="196" w:name="_Toc318581169"/>
      <w:bookmarkStart w:id="197" w:name="_Toc312678012"/>
      <w:bookmarkStart w:id="198" w:name="_Toc303539127"/>
      <w:bookmarkStart w:id="199" w:name="_Toc297216177"/>
      <w:bookmarkStart w:id="200" w:name="_Toc304295548"/>
      <w:bookmarkStart w:id="201" w:name="_Toc300934970"/>
      <w:bookmarkStart w:id="202" w:name="_Toc297123518"/>
      <w:r>
        <w:rPr>
          <w:rFonts w:hint="eastAsia" w:ascii="宋体" w:hAnsi="宋体" w:cs="宋体"/>
          <w:color w:val="auto"/>
          <w:szCs w:val="21"/>
          <w:highlight w:val="none"/>
        </w:rPr>
        <w:t>.5.2因承包人原因导致工期延误</w:t>
      </w:r>
    </w:p>
    <w:bookmarkEnd w:id="195"/>
    <w:bookmarkEnd w:id="196"/>
    <w:bookmarkEnd w:id="197"/>
    <w:p w14:paraId="4D04E066">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因</w:t>
      </w:r>
      <w:bookmarkStart w:id="203" w:name="_Toc312677487"/>
      <w:bookmarkStart w:id="204" w:name="_Toc312678013"/>
      <w:bookmarkStart w:id="205" w:name="_Toc318581170"/>
      <w:r>
        <w:rPr>
          <w:rFonts w:hint="eastAsia" w:ascii="宋体" w:hAnsi="宋体" w:cs="宋体"/>
          <w:color w:val="auto"/>
          <w:szCs w:val="21"/>
          <w:highlight w:val="none"/>
        </w:rPr>
        <w:t>承包人原因造成工期延误，逾期竣工违约金的计算方法为：</w:t>
      </w:r>
      <w:r>
        <w:rPr>
          <w:rFonts w:hint="eastAsia" w:ascii="宋体" w:hAnsi="宋体" w:cs="宋体"/>
          <w:color w:val="auto"/>
          <w:szCs w:val="21"/>
          <w:highlight w:val="none"/>
          <w:u w:val="single"/>
        </w:rPr>
        <w:t>如因承包人自身原因造成工期延误的，承包人应按</w:t>
      </w:r>
      <w:r>
        <w:rPr>
          <w:rFonts w:hint="eastAsia" w:ascii="宋体" w:hAnsi="宋体" w:cs="宋体"/>
          <w:color w:val="auto"/>
          <w:szCs w:val="21"/>
          <w:highlight w:val="none"/>
          <w:u w:val="single"/>
          <w:lang w:val="en-US" w:eastAsia="zh-CN"/>
        </w:rPr>
        <w:t>合同价的</w:t>
      </w:r>
      <w:r>
        <w:rPr>
          <w:rFonts w:hint="eastAsia" w:ascii="宋体" w:hAnsi="宋体" w:cs="宋体"/>
          <w:color w:val="auto"/>
          <w:szCs w:val="21"/>
          <w:highlight w:val="none"/>
          <w:u w:val="single"/>
        </w:rPr>
        <w:t>的0.2‰/天向发包人支付逾期竣工违约金，并承担由此造成的一切损失。</w:t>
      </w:r>
      <w:bookmarkEnd w:id="198"/>
      <w:bookmarkEnd w:id="199"/>
      <w:bookmarkEnd w:id="200"/>
      <w:bookmarkEnd w:id="201"/>
      <w:bookmarkEnd w:id="202"/>
      <w:bookmarkEnd w:id="203"/>
      <w:bookmarkEnd w:id="204"/>
    </w:p>
    <w:bookmarkEnd w:id="205"/>
    <w:p w14:paraId="2FFA2D1E">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因承包人原因造成工期延误，逾</w:t>
      </w:r>
      <w:bookmarkStart w:id="206" w:name="_Toc312678014"/>
      <w:bookmarkStart w:id="207" w:name="_Toc318581171"/>
      <w:r>
        <w:rPr>
          <w:rFonts w:hint="eastAsia" w:ascii="宋体" w:hAnsi="宋体" w:cs="宋体"/>
          <w:color w:val="auto"/>
          <w:szCs w:val="21"/>
          <w:highlight w:val="none"/>
        </w:rPr>
        <w:t>期竣工违约金的上限：</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bookmarkEnd w:id="206"/>
    <w:bookmarkEnd w:id="207"/>
    <w:p w14:paraId="209C382D">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w:t>
      </w:r>
      <w:bookmarkStart w:id="208" w:name="_Toc304295549"/>
      <w:bookmarkStart w:id="209" w:name="_Toc303539128"/>
      <w:bookmarkStart w:id="210" w:name="_Toc312678015"/>
      <w:bookmarkStart w:id="211" w:name="_Toc297216178"/>
      <w:bookmarkStart w:id="212" w:name="_Toc300934971"/>
      <w:bookmarkStart w:id="213" w:name="_Toc297123519"/>
      <w:r>
        <w:rPr>
          <w:rFonts w:hint="eastAsia" w:ascii="宋体" w:hAnsi="宋体" w:cs="宋体"/>
          <w:color w:val="auto"/>
          <w:szCs w:val="21"/>
          <w:highlight w:val="none"/>
        </w:rPr>
        <w:t>.6不</w:t>
      </w:r>
      <w:bookmarkEnd w:id="208"/>
      <w:bookmarkEnd w:id="209"/>
      <w:bookmarkEnd w:id="210"/>
      <w:bookmarkEnd w:id="211"/>
      <w:bookmarkEnd w:id="212"/>
      <w:bookmarkEnd w:id="213"/>
      <w:r>
        <w:rPr>
          <w:rFonts w:hint="eastAsia" w:ascii="宋体" w:hAnsi="宋体" w:cs="宋体"/>
          <w:color w:val="auto"/>
          <w:szCs w:val="21"/>
          <w:highlight w:val="none"/>
        </w:rPr>
        <w:t>利物质条件</w:t>
      </w:r>
    </w:p>
    <w:p w14:paraId="0E602D8B">
      <w:pPr>
        <w:spacing w:line="520" w:lineRule="exact"/>
        <w:ind w:firstLine="420" w:firstLineChars="200"/>
        <w:jc w:val="left"/>
        <w:rPr>
          <w:rFonts w:ascii="宋体" w:hAnsi="宋体" w:cs="宋体"/>
          <w:color w:val="auto"/>
          <w:szCs w:val="21"/>
          <w:highlight w:val="none"/>
        </w:rPr>
      </w:pPr>
      <w:bookmarkStart w:id="214" w:name="_Toc318581172"/>
      <w:bookmarkStart w:id="215" w:name="_Toc304295550"/>
      <w:bookmarkStart w:id="216" w:name="_Toc300934972"/>
      <w:bookmarkStart w:id="217" w:name="_Toc312678016"/>
      <w:bookmarkStart w:id="218" w:name="_Toc297216179"/>
      <w:bookmarkStart w:id="219" w:name="_Toc303539129"/>
      <w:bookmarkStart w:id="220" w:name="_Toc297123520"/>
      <w:r>
        <w:rPr>
          <w:rFonts w:hint="eastAsia" w:ascii="宋体" w:hAnsi="宋体" w:cs="宋体"/>
          <w:color w:val="auto"/>
          <w:szCs w:val="21"/>
          <w:highlight w:val="none"/>
        </w:rPr>
        <w:t>不利物质条件的其他情形和有关约定：</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bookmarkEnd w:id="214"/>
    <w:bookmarkEnd w:id="215"/>
    <w:bookmarkEnd w:id="216"/>
    <w:bookmarkEnd w:id="217"/>
    <w:bookmarkEnd w:id="218"/>
    <w:bookmarkEnd w:id="219"/>
    <w:bookmarkEnd w:id="220"/>
    <w:p w14:paraId="579081A2">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w:t>
      </w:r>
      <w:bookmarkStart w:id="221" w:name="_Toc303539130"/>
      <w:bookmarkStart w:id="222" w:name="_Toc297216180"/>
      <w:bookmarkStart w:id="223" w:name="_Toc300934973"/>
      <w:bookmarkStart w:id="224" w:name="_Toc304295551"/>
      <w:bookmarkStart w:id="225" w:name="_Toc312678017"/>
      <w:bookmarkStart w:id="226" w:name="_Toc297123521"/>
      <w:r>
        <w:rPr>
          <w:rFonts w:hint="eastAsia" w:ascii="宋体" w:hAnsi="宋体" w:cs="宋体"/>
          <w:color w:val="auto"/>
          <w:szCs w:val="21"/>
          <w:highlight w:val="none"/>
        </w:rPr>
        <w:t>.7异常恶劣的气候条件</w:t>
      </w:r>
    </w:p>
    <w:bookmarkEnd w:id="221"/>
    <w:bookmarkEnd w:id="222"/>
    <w:bookmarkEnd w:id="223"/>
    <w:bookmarkEnd w:id="224"/>
    <w:bookmarkEnd w:id="225"/>
    <w:bookmarkEnd w:id="226"/>
    <w:p w14:paraId="7A9B6807">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发包人和承包人同意以下情形视为异常恶劣的气候条件：</w:t>
      </w:r>
    </w:p>
    <w:p w14:paraId="39BB7E1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072E3A83">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2A8103E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055C7113">
      <w:pPr>
        <w:spacing w:after="120" w:line="520" w:lineRule="exact"/>
        <w:ind w:firstLine="420" w:firstLineChars="200"/>
        <w:outlineLvl w:val="0"/>
        <w:rPr>
          <w:rFonts w:ascii="宋体" w:hAnsi="宋体" w:cs="宋体"/>
          <w:color w:val="auto"/>
          <w:szCs w:val="21"/>
          <w:highlight w:val="none"/>
        </w:rPr>
      </w:pPr>
      <w:bookmarkStart w:id="227" w:name="_Toc13406"/>
      <w:bookmarkStart w:id="228" w:name="_Toc514750237"/>
      <w:r>
        <w:rPr>
          <w:rFonts w:hint="eastAsia" w:ascii="宋体" w:hAnsi="宋体" w:cs="宋体"/>
          <w:color w:val="auto"/>
          <w:szCs w:val="21"/>
          <w:highlight w:val="none"/>
        </w:rPr>
        <w:t>7.9提前竣工的奖励</w:t>
      </w:r>
      <w:bookmarkEnd w:id="227"/>
      <w:bookmarkEnd w:id="228"/>
    </w:p>
    <w:p w14:paraId="1FAFF95E">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7.9.2提前竣工的奖励：</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w:t>
      </w:r>
    </w:p>
    <w:p w14:paraId="12BB91B1">
      <w:pPr>
        <w:pStyle w:val="4"/>
        <w:spacing w:before="120" w:after="120" w:line="520" w:lineRule="exact"/>
        <w:rPr>
          <w:rFonts w:ascii="宋体" w:hAnsi="宋体" w:cs="宋体"/>
          <w:b w:val="0"/>
          <w:color w:val="auto"/>
          <w:szCs w:val="21"/>
          <w:highlight w:val="none"/>
        </w:rPr>
      </w:pPr>
      <w:bookmarkStart w:id="229" w:name="_Toc514750238"/>
      <w:r>
        <w:rPr>
          <w:rFonts w:hint="eastAsia" w:ascii="宋体" w:hAnsi="宋体" w:cs="宋体"/>
          <w:b w:val="0"/>
          <w:color w:val="auto"/>
          <w:szCs w:val="21"/>
          <w:highlight w:val="none"/>
        </w:rPr>
        <w:t>8.材料与设备</w:t>
      </w:r>
      <w:bookmarkEnd w:id="229"/>
    </w:p>
    <w:bookmarkEnd w:id="157"/>
    <w:bookmarkEnd w:id="158"/>
    <w:bookmarkEnd w:id="159"/>
    <w:bookmarkEnd w:id="160"/>
    <w:bookmarkEnd w:id="161"/>
    <w:bookmarkEnd w:id="162"/>
    <w:bookmarkEnd w:id="163"/>
    <w:bookmarkEnd w:id="164"/>
    <w:bookmarkEnd w:id="165"/>
    <w:bookmarkEnd w:id="166"/>
    <w:p w14:paraId="5CE143C8">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w:t>
      </w:r>
      <w:bookmarkStart w:id="230" w:name="_Toc300934979"/>
      <w:bookmarkStart w:id="231" w:name="_Toc297216186"/>
      <w:bookmarkStart w:id="232" w:name="_Toc296944506"/>
      <w:bookmarkStart w:id="233" w:name="_Toc297123527"/>
      <w:bookmarkStart w:id="234" w:name="_Toc303539136"/>
      <w:bookmarkStart w:id="235" w:name="_Toc312678019"/>
      <w:bookmarkStart w:id="236" w:name="_Toc292559372"/>
      <w:bookmarkStart w:id="237" w:name="_Toc280868654"/>
      <w:bookmarkStart w:id="238" w:name="_Toc297048353"/>
      <w:bookmarkStart w:id="239" w:name="_Toc296890995"/>
      <w:bookmarkStart w:id="240" w:name="_Toc296347166"/>
      <w:bookmarkStart w:id="241" w:name="_Toc296503167"/>
      <w:bookmarkStart w:id="242" w:name="_Toc304295556"/>
      <w:bookmarkStart w:id="243" w:name="_Toc292559877"/>
      <w:bookmarkStart w:id="244" w:name="_Toc312677493"/>
      <w:bookmarkStart w:id="245" w:name="_Toc296346668"/>
      <w:bookmarkStart w:id="246" w:name="_Toc297120467"/>
      <w:bookmarkStart w:id="247" w:name="_Toc296891207"/>
      <w:bookmarkStart w:id="248" w:name="_Toc267251424"/>
      <w:bookmarkStart w:id="249" w:name="_Toc280868656"/>
      <w:bookmarkStart w:id="250" w:name="_Toc280868655"/>
      <w:r>
        <w:rPr>
          <w:rFonts w:hint="eastAsia" w:ascii="宋体" w:hAnsi="宋体" w:cs="宋体"/>
          <w:color w:val="auto"/>
          <w:szCs w:val="21"/>
          <w:highlight w:val="none"/>
        </w:rPr>
        <w:t>.4材料与工程设备的保管与使用</w:t>
      </w:r>
    </w:p>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14:paraId="510FFA3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w:t>
      </w:r>
      <w:bookmarkStart w:id="251" w:name="_Toc292559878"/>
      <w:bookmarkStart w:id="252" w:name="_Toc292559373"/>
      <w:bookmarkStart w:id="253" w:name="_Toc296503168"/>
      <w:bookmarkStart w:id="254" w:name="_Toc296890996"/>
      <w:bookmarkStart w:id="255" w:name="_Toc297123528"/>
      <w:bookmarkStart w:id="256" w:name="_Toc297120468"/>
      <w:bookmarkStart w:id="257" w:name="_Toc304295557"/>
      <w:bookmarkStart w:id="258" w:name="_Toc312678020"/>
      <w:bookmarkStart w:id="259" w:name="_Toc312677494"/>
      <w:bookmarkStart w:id="260" w:name="_Toc296347167"/>
      <w:bookmarkStart w:id="261" w:name="_Toc318581173"/>
      <w:bookmarkStart w:id="262" w:name="_Toc297216187"/>
      <w:bookmarkStart w:id="263" w:name="_Toc296891208"/>
      <w:bookmarkStart w:id="264" w:name="_Toc296944507"/>
      <w:bookmarkStart w:id="265" w:name="_Toc300934980"/>
      <w:bookmarkStart w:id="266" w:name="_Toc303539137"/>
      <w:bookmarkStart w:id="267" w:name="_Toc297048354"/>
      <w:bookmarkStart w:id="268" w:name="_Toc296346669"/>
      <w:r>
        <w:rPr>
          <w:rFonts w:hint="eastAsia" w:ascii="宋体" w:hAnsi="宋体" w:cs="宋体"/>
          <w:color w:val="auto"/>
          <w:szCs w:val="21"/>
          <w:highlight w:val="none"/>
        </w:rPr>
        <w:t>.4.1发包人供应的材料设备的保管费用的承担：</w:t>
      </w:r>
      <w:r>
        <w:rPr>
          <w:rFonts w:hint="eastAsia" w:ascii="宋体" w:hAnsi="宋体" w:cs="宋体"/>
          <w:color w:val="auto"/>
          <w:szCs w:val="21"/>
          <w:highlight w:val="none"/>
          <w:u w:val="single"/>
        </w:rPr>
        <w:t>由承包人承担</w:t>
      </w:r>
      <w:r>
        <w:rPr>
          <w:rFonts w:hint="eastAsia" w:ascii="宋体" w:hAnsi="宋体" w:cs="宋体"/>
          <w:color w:val="auto"/>
          <w:szCs w:val="21"/>
          <w:highlight w:val="none"/>
        </w:rPr>
        <w:t>。</w:t>
      </w:r>
      <w:bookmarkEnd w:id="251"/>
      <w:bookmarkEnd w:id="252"/>
    </w:p>
    <w:p w14:paraId="4E26994A">
      <w:pPr>
        <w:spacing w:after="120" w:line="520" w:lineRule="exact"/>
        <w:ind w:firstLine="420" w:firstLineChars="200"/>
        <w:outlineLvl w:val="0"/>
        <w:rPr>
          <w:rFonts w:ascii="宋体" w:hAnsi="宋体" w:cs="宋体"/>
          <w:color w:val="auto"/>
          <w:szCs w:val="21"/>
          <w:highlight w:val="none"/>
        </w:rPr>
      </w:pPr>
      <w:bookmarkStart w:id="269" w:name="_Toc514750239"/>
      <w:bookmarkStart w:id="270" w:name="_Toc26093"/>
      <w:r>
        <w:rPr>
          <w:rFonts w:hint="eastAsia" w:ascii="宋体" w:hAnsi="宋体" w:cs="宋体"/>
          <w:color w:val="auto"/>
          <w:szCs w:val="21"/>
          <w:highlight w:val="none"/>
        </w:rPr>
        <w:t>8.6样品</w:t>
      </w:r>
      <w:bookmarkEnd w:id="269"/>
      <w:bookmarkEnd w:id="270"/>
    </w:p>
    <w:p w14:paraId="5EE01303">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8.6.1</w:t>
      </w:r>
      <w:r>
        <w:rPr>
          <w:rFonts w:hint="eastAsia" w:ascii="宋体" w:hAnsi="宋体" w:cs="宋体"/>
          <w:color w:val="auto"/>
          <w:kern w:val="0"/>
          <w:szCs w:val="21"/>
          <w:highlight w:val="none"/>
        </w:rPr>
        <w:tab/>
      </w:r>
      <w:r>
        <w:rPr>
          <w:rFonts w:hint="eastAsia" w:ascii="宋体" w:hAnsi="宋体" w:cs="宋体"/>
          <w:color w:val="auto"/>
          <w:kern w:val="0"/>
          <w:szCs w:val="21"/>
          <w:highlight w:val="none"/>
        </w:rPr>
        <w:t>样品的报送与封存</w:t>
      </w:r>
    </w:p>
    <w:p w14:paraId="45804B38">
      <w:pPr>
        <w:autoSpaceDE w:val="0"/>
        <w:autoSpaceDN w:val="0"/>
        <w:adjustRightInd w:val="0"/>
        <w:spacing w:line="5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需要承包人报送样品的材料或工程设备，样品的种类、名称、规格、数量要求：</w:t>
      </w:r>
      <w:r>
        <w:rPr>
          <w:rFonts w:hint="eastAsia" w:ascii="宋体" w:hAnsi="宋体"/>
          <w:color w:val="auto"/>
          <w:szCs w:val="21"/>
          <w:highlight w:val="none"/>
          <w:u w:val="single"/>
        </w:rPr>
        <w:t>按发包人及监理人要求</w:t>
      </w:r>
      <w:r>
        <w:rPr>
          <w:rFonts w:hint="eastAsia" w:ascii="宋体" w:hAnsi="宋体" w:cs="宋体"/>
          <w:color w:val="auto"/>
          <w:szCs w:val="21"/>
          <w:highlight w:val="none"/>
        </w:rPr>
        <w:t>。</w:t>
      </w:r>
    </w:p>
    <w:p w14:paraId="16D2A439">
      <w:pPr>
        <w:spacing w:after="120" w:line="520" w:lineRule="exact"/>
        <w:ind w:firstLine="420" w:firstLineChars="200"/>
        <w:outlineLvl w:val="0"/>
        <w:rPr>
          <w:rFonts w:ascii="宋体" w:hAnsi="宋体" w:cs="宋体"/>
          <w:color w:val="auto"/>
          <w:szCs w:val="21"/>
          <w:highlight w:val="none"/>
        </w:rPr>
      </w:pPr>
      <w:bookmarkStart w:id="271" w:name="_Toc10985"/>
      <w:bookmarkStart w:id="272" w:name="_Toc514750240"/>
      <w:r>
        <w:rPr>
          <w:rFonts w:hint="eastAsia" w:ascii="宋体" w:hAnsi="宋体" w:cs="宋体"/>
          <w:color w:val="auto"/>
          <w:szCs w:val="21"/>
          <w:highlight w:val="none"/>
        </w:rPr>
        <w:t>8.8施工设备和临时设施</w:t>
      </w:r>
      <w:bookmarkEnd w:id="271"/>
      <w:bookmarkEnd w:id="272"/>
    </w:p>
    <w:p w14:paraId="4DEFF47A">
      <w:pPr>
        <w:autoSpaceDE w:val="0"/>
        <w:autoSpaceDN w:val="0"/>
        <w:adjustRightInd w:val="0"/>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8.8.1承包人提供的施工设备和临时设施</w:t>
      </w:r>
    </w:p>
    <w:p w14:paraId="1B128186">
      <w:pPr>
        <w:autoSpaceDE w:val="0"/>
        <w:autoSpaceDN w:val="0"/>
        <w:adjustRightInd w:val="0"/>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关于修建临时设施费用承担的约定：</w:t>
      </w:r>
      <w:r>
        <w:rPr>
          <w:rFonts w:hint="eastAsia" w:ascii="宋体" w:hAnsi="宋体" w:cs="宋体"/>
          <w:color w:val="auto"/>
          <w:szCs w:val="21"/>
          <w:highlight w:val="none"/>
          <w:u w:val="single"/>
        </w:rPr>
        <w:t>包含施工围墙在内的所有临时设施均由承包人负责，已包含在投标报价的临时设施费用中</w:t>
      </w:r>
      <w:r>
        <w:rPr>
          <w:rFonts w:hint="eastAsia" w:ascii="宋体" w:hAnsi="宋体" w:cs="宋体"/>
          <w:color w:val="auto"/>
          <w:szCs w:val="21"/>
          <w:highlight w:val="none"/>
        </w:rPr>
        <w:t>。</w:t>
      </w:r>
    </w:p>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14:paraId="6E7C2BB2">
      <w:pPr>
        <w:pStyle w:val="4"/>
        <w:spacing w:before="120" w:after="120" w:line="520" w:lineRule="exact"/>
        <w:rPr>
          <w:rFonts w:ascii="宋体" w:hAnsi="宋体" w:cs="宋体"/>
          <w:b w:val="0"/>
          <w:color w:val="auto"/>
          <w:szCs w:val="21"/>
          <w:highlight w:val="none"/>
        </w:rPr>
      </w:pPr>
      <w:bookmarkStart w:id="273" w:name="_Toc514750241"/>
      <w:r>
        <w:rPr>
          <w:rFonts w:hint="eastAsia" w:ascii="宋体" w:hAnsi="宋体" w:cs="宋体"/>
          <w:b w:val="0"/>
          <w:color w:val="auto"/>
          <w:szCs w:val="21"/>
          <w:highlight w:val="none"/>
        </w:rPr>
        <w:t>9</w:t>
      </w:r>
      <w:bookmarkEnd w:id="248"/>
      <w:bookmarkEnd w:id="249"/>
      <w:bookmarkEnd w:id="250"/>
      <w:bookmarkStart w:id="274" w:name="_Toc303539139"/>
      <w:bookmarkStart w:id="275" w:name="_Toc304295559"/>
      <w:bookmarkStart w:id="276" w:name="_Toc312677495"/>
      <w:bookmarkStart w:id="277" w:name="_Toc297216192"/>
      <w:bookmarkStart w:id="278" w:name="_Toc300934982"/>
      <w:bookmarkStart w:id="279" w:name="_Toc297123533"/>
      <w:bookmarkStart w:id="280" w:name="_Toc312678021"/>
      <w:bookmarkStart w:id="281" w:name="_Toc296503173"/>
      <w:bookmarkStart w:id="282" w:name="_Toc297048359"/>
      <w:bookmarkStart w:id="283" w:name="_Toc297120473"/>
      <w:bookmarkStart w:id="284" w:name="_Toc292559883"/>
      <w:bookmarkStart w:id="285" w:name="_Toc296346674"/>
      <w:bookmarkStart w:id="286" w:name="_Toc296891001"/>
      <w:bookmarkStart w:id="287" w:name="_Toc267251428"/>
      <w:bookmarkStart w:id="288" w:name="_Toc292559378"/>
      <w:bookmarkStart w:id="289" w:name="_Toc267251427"/>
      <w:bookmarkStart w:id="290" w:name="_Toc296891213"/>
      <w:bookmarkStart w:id="291" w:name="_Toc296944512"/>
      <w:bookmarkStart w:id="292" w:name="_Toc296347172"/>
      <w:r>
        <w:rPr>
          <w:rFonts w:hint="eastAsia" w:ascii="宋体" w:hAnsi="宋体" w:cs="宋体"/>
          <w:b w:val="0"/>
          <w:color w:val="auto"/>
          <w:szCs w:val="21"/>
          <w:highlight w:val="none"/>
        </w:rPr>
        <w:t>.试验与检验</w:t>
      </w:r>
      <w:bookmarkEnd w:id="273"/>
    </w:p>
    <w:bookmarkEnd w:id="274"/>
    <w:bookmarkEnd w:id="275"/>
    <w:bookmarkEnd w:id="276"/>
    <w:bookmarkEnd w:id="277"/>
    <w:bookmarkEnd w:id="278"/>
    <w:bookmarkEnd w:id="279"/>
    <w:bookmarkEnd w:id="280"/>
    <w:p w14:paraId="622C50A8">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9</w:t>
      </w:r>
      <w:bookmarkStart w:id="293" w:name="_Toc300934983"/>
      <w:bookmarkStart w:id="294" w:name="_Toc304295560"/>
      <w:bookmarkStart w:id="295" w:name="_Toc303539140"/>
      <w:bookmarkStart w:id="296" w:name="_Toc297123534"/>
      <w:bookmarkStart w:id="297" w:name="_Toc297216193"/>
      <w:bookmarkStart w:id="298" w:name="_Toc312678022"/>
      <w:bookmarkStart w:id="299" w:name="_Toc312677496"/>
      <w:r>
        <w:rPr>
          <w:rFonts w:hint="eastAsia" w:ascii="宋体" w:hAnsi="宋体" w:cs="宋体"/>
          <w:color w:val="auto"/>
          <w:szCs w:val="21"/>
          <w:highlight w:val="none"/>
        </w:rPr>
        <w:t>.1试验设备与试验人员</w:t>
      </w:r>
    </w:p>
    <w:bookmarkEnd w:id="293"/>
    <w:bookmarkEnd w:id="294"/>
    <w:bookmarkEnd w:id="295"/>
    <w:bookmarkEnd w:id="296"/>
    <w:bookmarkEnd w:id="297"/>
    <w:bookmarkEnd w:id="298"/>
    <w:bookmarkEnd w:id="299"/>
    <w:p w14:paraId="33DE068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9</w:t>
      </w:r>
      <w:bookmarkStart w:id="300" w:name="_Toc312677497"/>
      <w:bookmarkStart w:id="301" w:name="_Toc303539141"/>
      <w:bookmarkStart w:id="302" w:name="_Toc312678023"/>
      <w:bookmarkStart w:id="303" w:name="_Toc297216194"/>
      <w:bookmarkStart w:id="304" w:name="_Toc300934984"/>
      <w:bookmarkStart w:id="305" w:name="_Toc297123535"/>
      <w:bookmarkStart w:id="306" w:name="_Toc304295561"/>
      <w:bookmarkStart w:id="307" w:name="_Toc318581174"/>
      <w:r>
        <w:rPr>
          <w:rFonts w:hint="eastAsia" w:ascii="宋体" w:hAnsi="宋体" w:cs="宋体"/>
          <w:color w:val="auto"/>
          <w:szCs w:val="21"/>
          <w:highlight w:val="none"/>
        </w:rPr>
        <w:t>.1.2试验设备</w:t>
      </w:r>
    </w:p>
    <w:p w14:paraId="4D3CE6E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施工现场需要配置的试验场所：</w:t>
      </w:r>
      <w:bookmarkEnd w:id="300"/>
      <w:bookmarkEnd w:id="301"/>
      <w:bookmarkEnd w:id="302"/>
      <w:bookmarkEnd w:id="303"/>
      <w:bookmarkEnd w:id="304"/>
      <w:bookmarkEnd w:id="305"/>
      <w:bookmarkEnd w:id="306"/>
      <w:bookmarkStart w:id="308" w:name="_Toc303539142"/>
      <w:bookmarkStart w:id="309" w:name="_Toc297216195"/>
      <w:bookmarkStart w:id="310" w:name="_Toc312678024"/>
      <w:bookmarkStart w:id="311" w:name="_Toc297123536"/>
      <w:bookmarkStart w:id="312" w:name="_Toc300934985"/>
      <w:bookmarkStart w:id="313" w:name="_Toc304295562"/>
      <w:bookmarkStart w:id="314" w:name="_Toc312677498"/>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341A57C6">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施工现场需要配备的试验设备：</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7BEC8E3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施工现场需要具备的其他试验条件：</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47EEF94C">
      <w:pPr>
        <w:spacing w:after="120" w:line="520" w:lineRule="exact"/>
        <w:ind w:firstLine="420" w:firstLineChars="200"/>
        <w:outlineLvl w:val="0"/>
        <w:rPr>
          <w:rFonts w:ascii="宋体" w:hAnsi="宋体" w:cs="宋体"/>
          <w:color w:val="auto"/>
          <w:szCs w:val="21"/>
          <w:highlight w:val="none"/>
        </w:rPr>
      </w:pPr>
      <w:bookmarkStart w:id="315" w:name="_Toc7720"/>
      <w:bookmarkStart w:id="316" w:name="_Toc514750242"/>
      <w:r>
        <w:rPr>
          <w:rFonts w:hint="eastAsia" w:ascii="宋体" w:hAnsi="宋体" w:cs="宋体"/>
          <w:color w:val="auto"/>
          <w:szCs w:val="21"/>
          <w:highlight w:val="none"/>
        </w:rPr>
        <w:t>9.4现场工艺试验</w:t>
      </w:r>
      <w:bookmarkEnd w:id="315"/>
      <w:bookmarkEnd w:id="316"/>
    </w:p>
    <w:p w14:paraId="0533A2AA">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现场工艺试验的有关约定：</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bookmarkEnd w:id="307"/>
    <w:bookmarkEnd w:id="308"/>
    <w:bookmarkEnd w:id="309"/>
    <w:bookmarkEnd w:id="310"/>
    <w:bookmarkEnd w:id="311"/>
    <w:bookmarkEnd w:id="312"/>
    <w:bookmarkEnd w:id="313"/>
    <w:bookmarkEnd w:id="314"/>
    <w:p w14:paraId="45B22718">
      <w:pPr>
        <w:pStyle w:val="4"/>
        <w:spacing w:before="120" w:after="120" w:line="520" w:lineRule="exact"/>
        <w:rPr>
          <w:rFonts w:ascii="宋体" w:hAnsi="宋体" w:cs="宋体"/>
          <w:b w:val="0"/>
          <w:color w:val="auto"/>
          <w:szCs w:val="21"/>
          <w:highlight w:val="none"/>
        </w:rPr>
      </w:pPr>
      <w:bookmarkStart w:id="317" w:name="_Toc514750243"/>
      <w:r>
        <w:rPr>
          <w:rFonts w:hint="eastAsia" w:ascii="宋体" w:hAnsi="宋体" w:cs="宋体"/>
          <w:b w:val="0"/>
          <w:color w:val="auto"/>
          <w:szCs w:val="21"/>
          <w:highlight w:val="none"/>
        </w:rPr>
        <w:t>1</w:t>
      </w:r>
      <w:bookmarkEnd w:id="281"/>
      <w:bookmarkEnd w:id="282"/>
      <w:bookmarkEnd w:id="283"/>
      <w:bookmarkEnd w:id="284"/>
      <w:bookmarkEnd w:id="285"/>
      <w:bookmarkEnd w:id="286"/>
      <w:bookmarkEnd w:id="287"/>
      <w:bookmarkEnd w:id="288"/>
      <w:bookmarkEnd w:id="289"/>
      <w:bookmarkEnd w:id="290"/>
      <w:bookmarkEnd w:id="291"/>
      <w:bookmarkEnd w:id="292"/>
      <w:bookmarkStart w:id="318" w:name="_Toc304295566"/>
      <w:bookmarkStart w:id="319" w:name="_Toc296891233"/>
      <w:bookmarkStart w:id="320" w:name="_Toc296944532"/>
      <w:bookmarkStart w:id="321" w:name="_Toc297216199"/>
      <w:bookmarkStart w:id="322" w:name="_Toc292559903"/>
      <w:bookmarkStart w:id="323" w:name="_Toc303539146"/>
      <w:bookmarkStart w:id="324" w:name="_Toc297123540"/>
      <w:bookmarkStart w:id="325" w:name="_Toc296503193"/>
      <w:bookmarkStart w:id="326" w:name="_Toc292559398"/>
      <w:bookmarkStart w:id="327" w:name="_Toc297048379"/>
      <w:bookmarkStart w:id="328" w:name="_Toc296346694"/>
      <w:bookmarkStart w:id="329" w:name="_Toc300934989"/>
      <w:bookmarkStart w:id="330" w:name="_Toc296347192"/>
      <w:bookmarkStart w:id="331" w:name="_Toc297120493"/>
      <w:bookmarkStart w:id="332" w:name="_Toc296891021"/>
      <w:bookmarkStart w:id="333" w:name="_Toc312677499"/>
      <w:bookmarkStart w:id="334" w:name="_Toc312678025"/>
      <w:bookmarkStart w:id="335" w:name="_Toc267251437"/>
      <w:bookmarkStart w:id="336" w:name="_Toc267251439"/>
      <w:bookmarkStart w:id="337" w:name="_Toc267251440"/>
      <w:bookmarkStart w:id="338" w:name="_Toc267251435"/>
      <w:bookmarkStart w:id="339" w:name="_Toc267251441"/>
      <w:bookmarkStart w:id="340" w:name="_Toc267251433"/>
      <w:bookmarkStart w:id="341" w:name="_Toc267251442"/>
      <w:r>
        <w:rPr>
          <w:rFonts w:hint="eastAsia" w:ascii="宋体" w:hAnsi="宋体" w:cs="宋体"/>
          <w:b w:val="0"/>
          <w:color w:val="auto"/>
          <w:szCs w:val="21"/>
          <w:highlight w:val="none"/>
        </w:rPr>
        <w:t>0.变更</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bookmarkEnd w:id="333"/>
    <w:bookmarkEnd w:id="334"/>
    <w:p w14:paraId="35AA1203">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bookmarkStart w:id="342" w:name="_Toc297048380"/>
      <w:bookmarkStart w:id="343" w:name="_Toc292559904"/>
      <w:bookmarkStart w:id="344" w:name="_Toc297123541"/>
      <w:bookmarkStart w:id="345" w:name="_Toc296944533"/>
      <w:bookmarkStart w:id="346" w:name="_Toc296347193"/>
      <w:bookmarkStart w:id="347" w:name="_Toc296346695"/>
      <w:bookmarkStart w:id="348" w:name="_Toc297120494"/>
      <w:bookmarkStart w:id="349" w:name="_Toc296891234"/>
      <w:bookmarkStart w:id="350" w:name="_Toc296891022"/>
      <w:bookmarkStart w:id="351" w:name="_Toc312678026"/>
      <w:bookmarkStart w:id="352" w:name="_Toc292559399"/>
      <w:bookmarkStart w:id="353" w:name="_Toc303539147"/>
      <w:bookmarkStart w:id="354" w:name="_Toc312677500"/>
      <w:bookmarkStart w:id="355" w:name="_Toc297216200"/>
      <w:bookmarkStart w:id="356" w:name="_Toc300934990"/>
      <w:bookmarkStart w:id="357" w:name="_Toc304295567"/>
      <w:bookmarkStart w:id="358" w:name="_Toc296503194"/>
      <w:r>
        <w:rPr>
          <w:rFonts w:hint="eastAsia" w:ascii="宋体" w:hAnsi="宋体" w:cs="宋体"/>
          <w:color w:val="auto"/>
          <w:szCs w:val="21"/>
          <w:highlight w:val="none"/>
        </w:rPr>
        <w:t>0.1变更的范围</w:t>
      </w:r>
    </w:p>
    <w:p w14:paraId="1F5BECCE">
      <w:pPr>
        <w:spacing w:line="520" w:lineRule="exact"/>
        <w:ind w:firstLine="600"/>
        <w:jc w:val="left"/>
        <w:rPr>
          <w:rFonts w:ascii="宋体" w:hAnsi="宋体" w:cs="宋体"/>
          <w:color w:val="auto"/>
          <w:szCs w:val="21"/>
          <w:highlight w:val="none"/>
          <w:u w:val="single"/>
        </w:rPr>
      </w:pPr>
      <w:r>
        <w:rPr>
          <w:rFonts w:hint="eastAsia" w:ascii="宋体" w:hAnsi="宋体" w:cs="宋体"/>
          <w:color w:val="auto"/>
          <w:szCs w:val="21"/>
          <w:highlight w:val="none"/>
        </w:rPr>
        <w:t>关于变更的范围的约定：</w:t>
      </w:r>
      <w:r>
        <w:rPr>
          <w:rFonts w:hint="eastAsia" w:ascii="宋体" w:hAnsi="宋体" w:cs="宋体"/>
          <w:color w:val="auto"/>
          <w:szCs w:val="21"/>
          <w:highlight w:val="none"/>
          <w:u w:val="single"/>
        </w:rPr>
        <w:t>1）除发包人提出的变更外，均不得擅自变更，否则承包人承担一切责任，结算时发包人有权拒绝支付。2）承包人在施工中提出的合理化建议涉及到对设计图纸或施工组织设计的更改及对材料、设备的换用，须经监理工程师审查，并以书面形式报请发包人办理相关变更手续。未经批准擅自更改或换用时，承包人承担由此发生的费用，并赔偿发包人的有关损失，延误的工期不予顺延。3）在合同履行中，若发包人要求对工程标的进行实质性的变更，由双方协商解决。4）承包人应加强对变更设计文件的管理，明确管理部门和管理职责，应认真及时做好变更设计文件更换和被替代、作废图纸的处理，防止错用图纸造成事故。</w:t>
      </w:r>
    </w:p>
    <w:p w14:paraId="586DB1BC">
      <w:pPr>
        <w:spacing w:after="120" w:line="520" w:lineRule="exact"/>
        <w:ind w:firstLine="420" w:firstLineChars="200"/>
        <w:outlineLvl w:val="0"/>
        <w:rPr>
          <w:rFonts w:ascii="宋体" w:hAnsi="宋体" w:cs="宋体"/>
          <w:color w:val="auto"/>
          <w:szCs w:val="21"/>
          <w:highlight w:val="none"/>
        </w:rPr>
      </w:pPr>
      <w:bookmarkStart w:id="359" w:name="_Toc514750244"/>
      <w:bookmarkStart w:id="360" w:name="_Toc20551"/>
      <w:r>
        <w:rPr>
          <w:rFonts w:hint="eastAsia" w:ascii="宋体" w:hAnsi="宋体" w:cs="宋体"/>
          <w:color w:val="auto"/>
          <w:szCs w:val="21"/>
          <w:highlight w:val="none"/>
        </w:rPr>
        <w:t>10.4变更估价</w:t>
      </w:r>
      <w:bookmarkEnd w:id="359"/>
      <w:bookmarkEnd w:id="360"/>
    </w:p>
    <w:p w14:paraId="305DC59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10.4.1变更估价原则</w:t>
      </w:r>
    </w:p>
    <w:p w14:paraId="57CF0409">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关于变更估价的约定: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变更项目清单计价工程量结算方法：</w:t>
      </w:r>
    </w:p>
    <w:p w14:paraId="3E6A0850">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由承包人提出，经监理人、发包人和跟踪审计审定后的数量进行结算。</w:t>
      </w:r>
    </w:p>
    <w:p w14:paraId="26CF47E6">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1）变更项目清单计价综合单价的结算方法：投标报价中已有适用于变更工程价格，按已有的价格计价；投标报价中只有类似于变更工程的价格，可参照类似价格计价；投标报价中无适用或类似于变更工程的价格，由承包商提出适当的变更价格，并按投标时的优惠条件同比例优惠</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以上经发包人、监理人及跟踪审计单位共同确认后执行。</w:t>
      </w:r>
    </w:p>
    <w:p w14:paraId="436A1854">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所有涉及工程签证的事由需先向发包人申报具体材料，并经监理、审计审核，经发包人审批通过，承包人取得发包人签发的指令单方可实施签证事由。承包人未取得指令单自行实施的，不得办理工程签证手续并不予结算相关工程款项。突发事件和应急工程需紧急处理的，承包人必须经监理总工程师和发包人项目负责人同意后，方可组织实施，并在办理签证前取得相应的指令文件。</w:t>
      </w:r>
    </w:p>
    <w:p w14:paraId="79938D4B">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承包人填写工程签证单时，填写内容应真实、准确，避免出现较大偏差。所有涉及工程结算的签证单上必须有承包人、监理人、跟踪审计单位、发包人的签字和盖章，方可作为竣工结算的依据，签证单上必须明确签证的原因、位置、尺寸、数量、材料、人工、机械台班、价格和签证时间等内容，并附有签证费用计算书及综合单价分析。</w:t>
      </w:r>
    </w:p>
    <w:p w14:paraId="3B8CB608">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承包人须在完成签证施工内容后 7 日内提交工程签证资料，逾期不予办理。隐蔽工程的工程签证，承包人须在隐蔽工程施工前 2 日通知发包人项目负责人并组织发包人项目负责人、监理人、跟踪审计单位等对工程量进行现场确认，做好原始记录并签字确认。未提前通知的，发包人不予办理签证手续。</w:t>
      </w:r>
    </w:p>
    <w:p w14:paraId="1DC210E3">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（3）工程变更增加内容必须在变更图纸或变更通知书发出后 14 天内提交相关资料，逾期未提供的则视为包含在其他清单项目中，发包人不予签认。变更工作内容完成后，变更签证单必须在 30 天内完成所有签证手续，逾期不予办理。</w:t>
      </w:r>
    </w:p>
    <w:p w14:paraId="3C026C58">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（4）设计变更增加工程款的约定：由于设计变更原因引起的增加工程款，在进度款中暂不支付，归入竣工结算中待结算审定后支付。</w:t>
      </w:r>
    </w:p>
    <w:p w14:paraId="2164A69B">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Start w:id="361" w:name="_Toc292559907"/>
      <w:bookmarkStart w:id="362" w:name="_Toc296944536"/>
      <w:bookmarkStart w:id="363" w:name="_Toc296503197"/>
      <w:bookmarkStart w:id="364" w:name="_Toc296891025"/>
      <w:bookmarkStart w:id="365" w:name="_Toc296346698"/>
      <w:bookmarkStart w:id="366" w:name="_Toc296347196"/>
      <w:bookmarkStart w:id="367" w:name="_Toc300934993"/>
      <w:bookmarkStart w:id="368" w:name="_Toc297048383"/>
      <w:bookmarkStart w:id="369" w:name="_Toc292559402"/>
      <w:bookmarkStart w:id="370" w:name="_Toc296891237"/>
      <w:bookmarkStart w:id="371" w:name="_Toc297216203"/>
      <w:bookmarkStart w:id="372" w:name="_Toc297123544"/>
      <w:bookmarkStart w:id="373" w:name="_Toc303539150"/>
      <w:bookmarkStart w:id="374" w:name="_Toc297120497"/>
      <w:bookmarkStart w:id="375" w:name="_Toc304295570"/>
      <w:bookmarkStart w:id="376" w:name="_Toc312677503"/>
      <w:bookmarkStart w:id="377" w:name="_Toc312678029"/>
      <w:r>
        <w:rPr>
          <w:rFonts w:hint="eastAsia" w:ascii="宋体" w:hAnsi="宋体" w:cs="宋体"/>
          <w:color w:val="auto"/>
          <w:szCs w:val="21"/>
          <w:highlight w:val="none"/>
        </w:rPr>
        <w:t>0.5承</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Start w:id="378" w:name="_Toc296347202"/>
      <w:bookmarkStart w:id="379" w:name="_Toc296891243"/>
      <w:bookmarkStart w:id="380" w:name="_Toc296346704"/>
      <w:bookmarkStart w:id="381" w:name="_Toc297120503"/>
      <w:bookmarkStart w:id="382" w:name="_Toc300934994"/>
      <w:bookmarkStart w:id="383" w:name="_Toc296891031"/>
      <w:bookmarkStart w:id="384" w:name="_Toc292559913"/>
      <w:bookmarkStart w:id="385" w:name="_Toc292559408"/>
      <w:bookmarkStart w:id="386" w:name="_Toc296944542"/>
      <w:bookmarkStart w:id="387" w:name="_Toc297048389"/>
      <w:bookmarkStart w:id="388" w:name="_Toc296503203"/>
      <w:bookmarkStart w:id="389" w:name="_Toc297216204"/>
      <w:bookmarkStart w:id="390" w:name="_Toc297123545"/>
      <w:bookmarkStart w:id="391" w:name="_Toc303539151"/>
      <w:r>
        <w:rPr>
          <w:rFonts w:hint="eastAsia" w:ascii="宋体" w:hAnsi="宋体" w:cs="宋体"/>
          <w:color w:val="auto"/>
          <w:szCs w:val="21"/>
          <w:highlight w:val="none"/>
        </w:rPr>
        <w:t>包人的合理化建议</w:t>
      </w:r>
    </w:p>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14:paraId="173ABE17">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监理人审查承包人合理化建议的期限：</w:t>
      </w:r>
      <w:r>
        <w:rPr>
          <w:rFonts w:hint="eastAsia" w:ascii="宋体" w:hAnsi="宋体" w:cs="宋体"/>
          <w:color w:val="auto"/>
          <w:szCs w:val="21"/>
          <w:highlight w:val="none"/>
          <w:u w:val="single"/>
        </w:rPr>
        <w:t>另行商定。</w:t>
      </w:r>
    </w:p>
    <w:p w14:paraId="0C622A31">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发包人审批承包人合理化建议的期限：</w:t>
      </w:r>
      <w:r>
        <w:rPr>
          <w:rFonts w:hint="eastAsia" w:ascii="宋体" w:hAnsi="宋体" w:cs="宋体"/>
          <w:color w:val="auto"/>
          <w:szCs w:val="21"/>
          <w:highlight w:val="none"/>
          <w:u w:val="single"/>
        </w:rPr>
        <w:t>另行商定。</w:t>
      </w:r>
    </w:p>
    <w:p w14:paraId="03F6C819">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w:t>
      </w:r>
      <w:bookmarkStart w:id="392" w:name="_Toc303539152"/>
      <w:bookmarkStart w:id="393" w:name="_Toc296944543"/>
      <w:bookmarkStart w:id="394" w:name="_Toc304295571"/>
      <w:bookmarkStart w:id="395" w:name="_Toc312677504"/>
      <w:bookmarkStart w:id="396" w:name="_Toc296503204"/>
      <w:bookmarkStart w:id="397" w:name="_Toc297216205"/>
      <w:bookmarkStart w:id="398" w:name="_Toc318581175"/>
      <w:bookmarkStart w:id="399" w:name="_Toc297123546"/>
      <w:bookmarkStart w:id="400" w:name="_Toc297120504"/>
      <w:bookmarkStart w:id="401" w:name="_Toc292559409"/>
      <w:bookmarkStart w:id="402" w:name="_Toc300934995"/>
      <w:bookmarkStart w:id="403" w:name="_Toc296347203"/>
      <w:bookmarkStart w:id="404" w:name="_Toc292559914"/>
      <w:bookmarkStart w:id="405" w:name="_Toc296891244"/>
      <w:bookmarkStart w:id="406" w:name="_Toc312678030"/>
      <w:bookmarkStart w:id="407" w:name="_Toc296346705"/>
      <w:bookmarkStart w:id="408" w:name="_Toc297048390"/>
      <w:bookmarkStart w:id="409" w:name="_Toc296891032"/>
      <w:r>
        <w:rPr>
          <w:rFonts w:hint="eastAsia" w:ascii="宋体" w:hAnsi="宋体" w:cs="宋体"/>
          <w:color w:val="auto"/>
          <w:szCs w:val="21"/>
          <w:highlight w:val="none"/>
        </w:rPr>
        <w:t>包人提出的合理化建议降低了合同价格或者提高了工程经济效益的奖励的方法和金额为：</w:t>
      </w:r>
      <w:r>
        <w:rPr>
          <w:rFonts w:hint="eastAsia" w:ascii="宋体" w:hAnsi="宋体" w:cs="宋体"/>
          <w:color w:val="auto"/>
          <w:szCs w:val="21"/>
          <w:highlight w:val="none"/>
          <w:u w:val="single"/>
        </w:rPr>
        <w:t>另行商定。</w:t>
      </w:r>
    </w:p>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14:paraId="02EAF520">
      <w:pPr>
        <w:spacing w:after="120" w:line="520" w:lineRule="exact"/>
        <w:ind w:firstLine="420" w:firstLineChars="200"/>
        <w:outlineLvl w:val="0"/>
        <w:rPr>
          <w:rFonts w:ascii="宋体" w:hAnsi="宋体" w:cs="宋体"/>
          <w:color w:val="auto"/>
          <w:szCs w:val="21"/>
          <w:highlight w:val="none"/>
        </w:rPr>
      </w:pPr>
      <w:bookmarkStart w:id="410" w:name="_Toc24330"/>
      <w:bookmarkStart w:id="411" w:name="_Toc514750245"/>
      <w:r>
        <w:rPr>
          <w:rFonts w:hint="eastAsia" w:ascii="宋体" w:hAnsi="宋体" w:cs="宋体"/>
          <w:color w:val="auto"/>
          <w:szCs w:val="21"/>
          <w:highlight w:val="none"/>
        </w:rPr>
        <w:t>1</w:t>
      </w:r>
      <w:bookmarkStart w:id="412" w:name="_Toc296891239"/>
      <w:bookmarkStart w:id="413" w:name="_Toc292559909"/>
      <w:bookmarkStart w:id="414" w:name="_Toc297123548"/>
      <w:bookmarkStart w:id="415" w:name="_Toc296347198"/>
      <w:bookmarkStart w:id="416" w:name="_Toc296346700"/>
      <w:bookmarkStart w:id="417" w:name="_Toc297120499"/>
      <w:bookmarkStart w:id="418" w:name="_Toc304295574"/>
      <w:bookmarkStart w:id="419" w:name="_Toc292559404"/>
      <w:bookmarkStart w:id="420" w:name="_Toc300934997"/>
      <w:bookmarkStart w:id="421" w:name="_Toc303539154"/>
      <w:bookmarkStart w:id="422" w:name="_Toc296891027"/>
      <w:bookmarkStart w:id="423" w:name="_Toc296503199"/>
      <w:bookmarkStart w:id="424" w:name="_Toc297216207"/>
      <w:bookmarkStart w:id="425" w:name="_Toc296944538"/>
      <w:bookmarkStart w:id="426" w:name="_Toc297048385"/>
      <w:bookmarkStart w:id="427" w:name="_Toc312678033"/>
      <w:bookmarkStart w:id="428" w:name="_Toc312677507"/>
      <w:r>
        <w:rPr>
          <w:rFonts w:hint="eastAsia" w:ascii="宋体" w:hAnsi="宋体" w:cs="宋体"/>
          <w:color w:val="auto"/>
          <w:szCs w:val="21"/>
          <w:highlight w:val="none"/>
        </w:rPr>
        <w:t>0.7暂估价</w:t>
      </w:r>
      <w:bookmarkEnd w:id="410"/>
      <w:bookmarkEnd w:id="411"/>
    </w:p>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14:paraId="0934CFC3">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暂</w:t>
      </w:r>
      <w:bookmarkStart w:id="429" w:name="_Toc318581176"/>
      <w:bookmarkStart w:id="430" w:name="_Toc312677508"/>
      <w:bookmarkStart w:id="431" w:name="_Toc312678034"/>
      <w:r>
        <w:rPr>
          <w:rFonts w:hint="eastAsia" w:ascii="宋体" w:hAnsi="宋体" w:cs="宋体"/>
          <w:color w:val="auto"/>
          <w:kern w:val="0"/>
          <w:szCs w:val="21"/>
          <w:highlight w:val="none"/>
        </w:rPr>
        <w:t>估价材料和工程设备的明细详见附件11：《</w:t>
      </w:r>
      <w:r>
        <w:rPr>
          <w:rFonts w:hint="eastAsia" w:ascii="宋体" w:hAnsi="宋体" w:cs="宋体"/>
          <w:color w:val="auto"/>
          <w:szCs w:val="21"/>
          <w:highlight w:val="none"/>
        </w:rPr>
        <w:t>暂估价一览表》</w:t>
      </w:r>
      <w:r>
        <w:rPr>
          <w:rFonts w:hint="eastAsia" w:ascii="宋体" w:hAnsi="宋体" w:cs="宋体"/>
          <w:color w:val="auto"/>
          <w:kern w:val="0"/>
          <w:szCs w:val="21"/>
          <w:highlight w:val="none"/>
        </w:rPr>
        <w:t>。</w:t>
      </w:r>
    </w:p>
    <w:bookmarkEnd w:id="429"/>
    <w:bookmarkEnd w:id="430"/>
    <w:bookmarkEnd w:id="431"/>
    <w:p w14:paraId="336E2253">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bookmarkStart w:id="432" w:name="_Toc318581177"/>
      <w:bookmarkStart w:id="433" w:name="_Toc312677509"/>
      <w:bookmarkStart w:id="434" w:name="_Toc312678035"/>
      <w:r>
        <w:rPr>
          <w:rFonts w:hint="eastAsia" w:ascii="宋体" w:hAnsi="宋体" w:cs="宋体"/>
          <w:color w:val="auto"/>
          <w:szCs w:val="21"/>
          <w:highlight w:val="none"/>
        </w:rPr>
        <w:t>0.7.1依法必须招标的暂估价项目</w:t>
      </w:r>
    </w:p>
    <w:bookmarkEnd w:id="432"/>
    <w:bookmarkEnd w:id="433"/>
    <w:bookmarkEnd w:id="434"/>
    <w:p w14:paraId="092109DA">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对于依法必须招标的暂估价项目的确认和批准采取第</w:t>
      </w:r>
      <w:r>
        <w:rPr>
          <w:rFonts w:hint="eastAsia" w:ascii="宋体" w:hAnsi="宋体" w:cs="宋体"/>
          <w:color w:val="auto"/>
          <w:szCs w:val="21"/>
          <w:highlight w:val="none"/>
          <w:u w:val="single"/>
        </w:rPr>
        <w:t>1</w:t>
      </w:r>
      <w:r>
        <w:rPr>
          <w:rFonts w:hint="eastAsia" w:ascii="宋体" w:hAnsi="宋体" w:cs="宋体"/>
          <w:color w:val="auto"/>
          <w:szCs w:val="21"/>
          <w:highlight w:val="none"/>
        </w:rPr>
        <w:t>种方式确定。</w:t>
      </w:r>
    </w:p>
    <w:p w14:paraId="02A94C5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10.7.2不属于依法必须招标的暂估价项目</w:t>
      </w:r>
    </w:p>
    <w:p w14:paraId="7CC2AC4E">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对于不属于依法必须招标的暂估价项目的确认和批准采取第</w:t>
      </w:r>
      <w:r>
        <w:rPr>
          <w:rFonts w:hint="eastAsia" w:ascii="宋体" w:hAnsi="宋体" w:cs="宋体"/>
          <w:color w:val="auto"/>
          <w:szCs w:val="21"/>
          <w:highlight w:val="none"/>
          <w:u w:val="single"/>
        </w:rPr>
        <w:t>/</w:t>
      </w:r>
      <w:r>
        <w:rPr>
          <w:rFonts w:hint="eastAsia" w:ascii="宋体" w:hAnsi="宋体" w:cs="宋体"/>
          <w:color w:val="auto"/>
          <w:szCs w:val="21"/>
          <w:highlight w:val="none"/>
        </w:rPr>
        <w:t>种方式确定。</w:t>
      </w:r>
    </w:p>
    <w:p w14:paraId="4ECD4302">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第3种方式：</w:t>
      </w:r>
      <w:r>
        <w:rPr>
          <w:rFonts w:hint="eastAsia" w:ascii="宋体" w:hAnsi="宋体" w:cs="宋体"/>
          <w:color w:val="auto"/>
          <w:kern w:val="0"/>
          <w:szCs w:val="21"/>
          <w:highlight w:val="none"/>
        </w:rPr>
        <w:t>承包人直接实施的暂估价项目</w:t>
      </w:r>
    </w:p>
    <w:p w14:paraId="3D43DB4A">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承包人直接实施的暂估价项目的约定：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444412EA">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10.8暂列金额</w:t>
      </w:r>
    </w:p>
    <w:p w14:paraId="455E644E">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合同当事人关于暂列金额使用的约定：</w:t>
      </w:r>
      <w:r>
        <w:rPr>
          <w:rFonts w:hint="eastAsia" w:ascii="宋体" w:hAnsi="宋体" w:cs="宋体"/>
          <w:color w:val="auto"/>
          <w:szCs w:val="21"/>
          <w:highlight w:val="none"/>
          <w:u w:val="single"/>
        </w:rPr>
        <w:t>由承包人申报，经监理人，跟踪审计单位及发包人书面确认。</w:t>
      </w:r>
    </w:p>
    <w:p w14:paraId="6F4884D2">
      <w:pPr>
        <w:pStyle w:val="4"/>
        <w:spacing w:before="120" w:after="120" w:line="520" w:lineRule="exact"/>
        <w:rPr>
          <w:rFonts w:ascii="宋体" w:hAnsi="宋体" w:cs="宋体"/>
          <w:b w:val="0"/>
          <w:color w:val="auto"/>
          <w:szCs w:val="21"/>
          <w:highlight w:val="none"/>
        </w:rPr>
      </w:pPr>
      <w:bookmarkStart w:id="435" w:name="_Toc514750246"/>
      <w:r>
        <w:rPr>
          <w:rFonts w:hint="eastAsia" w:ascii="宋体" w:hAnsi="宋体" w:cs="宋体"/>
          <w:b w:val="0"/>
          <w:color w:val="auto"/>
          <w:szCs w:val="21"/>
          <w:highlight w:val="none"/>
        </w:rPr>
        <w:t>11.价格调整</w:t>
      </w:r>
      <w:bookmarkEnd w:id="435"/>
    </w:p>
    <w:p w14:paraId="19FAD40C">
      <w:pPr>
        <w:spacing w:after="120" w:line="520" w:lineRule="exact"/>
        <w:ind w:firstLine="420" w:firstLineChars="200"/>
        <w:rPr>
          <w:rFonts w:ascii="宋体" w:hAnsi="宋体" w:cs="宋体"/>
          <w:color w:val="auto"/>
          <w:szCs w:val="21"/>
          <w:highlight w:val="none"/>
        </w:rPr>
      </w:pPr>
      <w:bookmarkStart w:id="436" w:name="_Toc292559911"/>
      <w:bookmarkStart w:id="437" w:name="_Toc297216209"/>
      <w:bookmarkStart w:id="438" w:name="_Toc296891241"/>
      <w:bookmarkStart w:id="439" w:name="_Toc296347200"/>
      <w:bookmarkStart w:id="440" w:name="_Toc292559406"/>
      <w:bookmarkStart w:id="441" w:name="_Toc296346702"/>
      <w:bookmarkStart w:id="442" w:name="_Toc296944540"/>
      <w:bookmarkStart w:id="443" w:name="_Toc297123550"/>
      <w:bookmarkStart w:id="444" w:name="_Toc297048387"/>
      <w:bookmarkStart w:id="445" w:name="_Toc296503201"/>
      <w:bookmarkStart w:id="446" w:name="_Toc303539157"/>
      <w:bookmarkStart w:id="447" w:name="_Toc297120501"/>
      <w:bookmarkStart w:id="448" w:name="_Toc296891029"/>
      <w:bookmarkStart w:id="449" w:name="_Toc312678039"/>
      <w:bookmarkStart w:id="450" w:name="_Toc304295577"/>
      <w:bookmarkStart w:id="451" w:name="_Toc300935000"/>
      <w:r>
        <w:rPr>
          <w:rFonts w:hint="eastAsia" w:ascii="宋体" w:hAnsi="宋体" w:cs="宋体"/>
          <w:color w:val="auto"/>
          <w:szCs w:val="21"/>
          <w:highlight w:val="none"/>
        </w:rPr>
        <w:t>11.1市场价格波动引起的调整</w:t>
      </w:r>
    </w:p>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14:paraId="6CD6F059">
      <w:pPr>
        <w:spacing w:line="5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市场价格波动是否调整合同价格的约定：</w:t>
      </w:r>
    </w:p>
    <w:p w14:paraId="78D899C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因市场价格波动调整合同价格，采用以下第</w:t>
      </w:r>
      <w:r>
        <w:rPr>
          <w:rFonts w:hint="eastAsia" w:ascii="宋体" w:hAnsi="宋体" w:cs="宋体"/>
          <w:color w:val="auto"/>
          <w:szCs w:val="21"/>
          <w:highlight w:val="none"/>
          <w:u w:val="single"/>
        </w:rPr>
        <w:t>3</w:t>
      </w:r>
      <w:r>
        <w:rPr>
          <w:rFonts w:hint="eastAsia" w:ascii="宋体" w:hAnsi="宋体" w:cs="宋体"/>
          <w:color w:val="auto"/>
          <w:szCs w:val="21"/>
          <w:highlight w:val="none"/>
        </w:rPr>
        <w:t>种方式对合同价格进行调整：</w:t>
      </w:r>
    </w:p>
    <w:p w14:paraId="2544E5D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第1种方式：采用价格指数进行价格调整。</w:t>
      </w:r>
    </w:p>
    <w:p w14:paraId="698F7D52">
      <w:pPr>
        <w:tabs>
          <w:tab w:val="left" w:pos="7938"/>
        </w:tabs>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关于各可调因子、定值和变值权重，以及基本价格指数及其来源的约定：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471C0CA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第2种方式：采用造价信息进行价格调整。</w:t>
      </w:r>
    </w:p>
    <w:p w14:paraId="684ABFD3">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（2）关于基准价格的约定：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13E8ACA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专用合同条款①承包人在已标价工程量清单或预算书中载明的材料单价低于基准价格的：专用合同条款合同履行期间材料单价涨幅以基准价格为基础超过</w:t>
      </w:r>
      <w:r>
        <w:rPr>
          <w:rFonts w:hint="eastAsia" w:ascii="宋体" w:hAnsi="宋体" w:cs="宋体"/>
          <w:color w:val="auto"/>
          <w:szCs w:val="21"/>
          <w:highlight w:val="none"/>
          <w:u w:val="single"/>
        </w:rPr>
        <w:t>/</w:t>
      </w:r>
      <w:r>
        <w:rPr>
          <w:rFonts w:hint="eastAsia" w:ascii="宋体" w:hAnsi="宋体" w:cs="宋体"/>
          <w:color w:val="auto"/>
          <w:szCs w:val="21"/>
          <w:highlight w:val="none"/>
        </w:rPr>
        <w:t>%时，或材料单价跌幅以已标价工程量清单或预算书中载明材料单价为基础超过</w:t>
      </w:r>
      <w:r>
        <w:rPr>
          <w:rFonts w:hint="eastAsia" w:ascii="宋体" w:hAnsi="宋体" w:cs="宋体"/>
          <w:color w:val="auto"/>
          <w:szCs w:val="21"/>
          <w:highlight w:val="none"/>
          <w:u w:val="single"/>
        </w:rPr>
        <w:t>/</w:t>
      </w:r>
      <w:r>
        <w:rPr>
          <w:rFonts w:hint="eastAsia" w:ascii="宋体" w:hAnsi="宋体" w:cs="宋体"/>
          <w:color w:val="auto"/>
          <w:szCs w:val="21"/>
          <w:highlight w:val="none"/>
        </w:rPr>
        <w:t>%时，其超过部分据实调整。</w:t>
      </w:r>
    </w:p>
    <w:p w14:paraId="0ED35EC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②承包人在已标价工程量清单或预算书中载明的材料单价高于基准价格的：专用合同条款合同履行期间材料单价跌幅以基准价格为基础超过</w:t>
      </w:r>
      <w:r>
        <w:rPr>
          <w:rFonts w:hint="eastAsia" w:ascii="宋体" w:hAnsi="宋体" w:cs="宋体"/>
          <w:color w:val="auto"/>
          <w:szCs w:val="21"/>
          <w:highlight w:val="none"/>
          <w:u w:val="single"/>
        </w:rPr>
        <w:t>/</w:t>
      </w:r>
      <w:r>
        <w:rPr>
          <w:rFonts w:hint="eastAsia" w:ascii="宋体" w:hAnsi="宋体" w:cs="宋体"/>
          <w:color w:val="auto"/>
          <w:szCs w:val="21"/>
          <w:highlight w:val="none"/>
        </w:rPr>
        <w:t>%时，材料单价涨幅以已标价工程量清单或预算书中载明材料单价为基础超过</w:t>
      </w:r>
      <w:r>
        <w:rPr>
          <w:rFonts w:hint="eastAsia" w:ascii="宋体" w:hAnsi="宋体" w:cs="宋体"/>
          <w:color w:val="auto"/>
          <w:szCs w:val="21"/>
          <w:highlight w:val="none"/>
          <w:u w:val="single"/>
        </w:rPr>
        <w:t>/</w:t>
      </w:r>
      <w:r>
        <w:rPr>
          <w:rFonts w:hint="eastAsia" w:ascii="宋体" w:hAnsi="宋体" w:cs="宋体"/>
          <w:color w:val="auto"/>
          <w:szCs w:val="21"/>
          <w:highlight w:val="none"/>
        </w:rPr>
        <w:t>%时，其超过部分据实调整。</w:t>
      </w:r>
    </w:p>
    <w:p w14:paraId="5BC1A530">
      <w:pPr>
        <w:spacing w:line="520" w:lineRule="exact"/>
        <w:ind w:firstLine="645"/>
        <w:jc w:val="left"/>
        <w:rPr>
          <w:rFonts w:ascii="宋体" w:hAnsi="宋体" w:cs="宋体"/>
          <w:color w:val="auto"/>
          <w:szCs w:val="21"/>
          <w:highlight w:val="none"/>
        </w:rPr>
      </w:pPr>
      <w:r>
        <w:rPr>
          <w:rFonts w:hint="eastAsia" w:ascii="宋体" w:hAnsi="宋体" w:cs="宋体"/>
          <w:color w:val="auto"/>
          <w:szCs w:val="21"/>
          <w:highlight w:val="none"/>
        </w:rPr>
        <w:t>③承包人在已标价工程量清单或预算书中载明的材料单价等于基准单价的：专用合同条款合同履行期间材料单价涨跌幅以基准单价为基础超过±</w:t>
      </w:r>
      <w:r>
        <w:rPr>
          <w:rFonts w:hint="eastAsia" w:ascii="宋体" w:hAnsi="宋体" w:cs="宋体"/>
          <w:color w:val="auto"/>
          <w:szCs w:val="21"/>
          <w:highlight w:val="none"/>
          <w:u w:val="single"/>
        </w:rPr>
        <w:t>/</w:t>
      </w:r>
      <w:r>
        <w:rPr>
          <w:rFonts w:hint="eastAsia" w:ascii="宋体" w:hAnsi="宋体" w:cs="宋体"/>
          <w:color w:val="auto"/>
          <w:szCs w:val="21"/>
          <w:highlight w:val="none"/>
        </w:rPr>
        <w:t>%时，其超过部分据实调整。</w:t>
      </w:r>
    </w:p>
    <w:p w14:paraId="064EE2B2">
      <w:pPr>
        <w:spacing w:line="520" w:lineRule="exact"/>
        <w:ind w:firstLine="645"/>
        <w:jc w:val="left"/>
        <w:rPr>
          <w:rFonts w:ascii="宋体" w:hAnsi="宋体" w:cs="宋体"/>
          <w:color w:val="auto"/>
          <w:szCs w:val="21"/>
          <w:highlight w:val="none"/>
        </w:rPr>
      </w:pPr>
      <w:r>
        <w:rPr>
          <w:rFonts w:hint="eastAsia" w:ascii="宋体" w:hAnsi="宋体" w:cs="宋体"/>
          <w:color w:val="auto"/>
          <w:szCs w:val="21"/>
          <w:highlight w:val="none"/>
        </w:rPr>
        <w:t>第3种方式：其他价格调整方式：</w:t>
      </w:r>
      <w:r>
        <w:rPr>
          <w:rFonts w:hint="eastAsia" w:ascii="宋体" w:hAnsi="宋体" w:cs="宋体"/>
          <w:color w:val="auto"/>
          <w:szCs w:val="21"/>
          <w:highlight w:val="none"/>
          <w:u w:val="single"/>
        </w:rPr>
        <w:t>详见 12.1</w:t>
      </w:r>
      <w:r>
        <w:rPr>
          <w:rFonts w:hint="eastAsia" w:ascii="宋体" w:hAnsi="宋体" w:cs="宋体"/>
          <w:color w:val="auto"/>
          <w:szCs w:val="21"/>
          <w:highlight w:val="none"/>
        </w:rPr>
        <w:t>。</w:t>
      </w:r>
    </w:p>
    <w:bookmarkEnd w:id="335"/>
    <w:bookmarkEnd w:id="336"/>
    <w:bookmarkEnd w:id="337"/>
    <w:bookmarkEnd w:id="338"/>
    <w:bookmarkEnd w:id="339"/>
    <w:bookmarkEnd w:id="340"/>
    <w:p w14:paraId="1CF5A50B">
      <w:pPr>
        <w:pStyle w:val="4"/>
        <w:spacing w:before="120" w:after="120" w:line="520" w:lineRule="exact"/>
        <w:rPr>
          <w:rFonts w:ascii="宋体" w:hAnsi="宋体" w:cs="宋体"/>
          <w:b w:val="0"/>
          <w:color w:val="auto"/>
          <w:szCs w:val="21"/>
          <w:highlight w:val="none"/>
        </w:rPr>
      </w:pPr>
      <w:bookmarkStart w:id="452" w:name="_Toc296347204"/>
      <w:bookmarkStart w:id="453" w:name="_Toc292559410"/>
      <w:bookmarkStart w:id="454" w:name="_Toc296346706"/>
      <w:bookmarkStart w:id="455" w:name="_Toc296891245"/>
      <w:bookmarkStart w:id="456" w:name="_Toc292559915"/>
      <w:bookmarkStart w:id="457" w:name="_Toc296503205"/>
      <w:bookmarkStart w:id="458" w:name="_Toc296944544"/>
      <w:bookmarkStart w:id="459" w:name="_Toc297048391"/>
      <w:bookmarkStart w:id="460" w:name="_Toc296891033"/>
      <w:bookmarkStart w:id="461" w:name="_Toc297120505"/>
      <w:bookmarkStart w:id="462" w:name="_Toc514750247"/>
      <w:bookmarkStart w:id="463" w:name="_Toc303539159"/>
      <w:bookmarkStart w:id="464" w:name="_Toc312678040"/>
      <w:bookmarkStart w:id="465" w:name="_Toc304295579"/>
      <w:bookmarkStart w:id="466" w:name="_Toc300935002"/>
      <w:bookmarkStart w:id="467" w:name="_Toc297216211"/>
      <w:bookmarkStart w:id="468" w:name="_Toc297123552"/>
      <w:r>
        <w:rPr>
          <w:rFonts w:hint="eastAsia" w:ascii="宋体" w:hAnsi="宋体" w:cs="宋体"/>
          <w:b w:val="0"/>
          <w:color w:val="auto"/>
          <w:szCs w:val="21"/>
          <w:highlight w:val="none"/>
        </w:rPr>
        <w:t>12.</w:t>
      </w:r>
      <w:bookmarkEnd w:id="452"/>
      <w:bookmarkEnd w:id="453"/>
      <w:bookmarkEnd w:id="454"/>
      <w:bookmarkEnd w:id="455"/>
      <w:bookmarkEnd w:id="456"/>
      <w:bookmarkEnd w:id="457"/>
      <w:bookmarkEnd w:id="458"/>
      <w:bookmarkEnd w:id="459"/>
      <w:bookmarkEnd w:id="460"/>
      <w:bookmarkEnd w:id="461"/>
      <w:r>
        <w:rPr>
          <w:rFonts w:hint="eastAsia" w:ascii="宋体" w:hAnsi="宋体" w:cs="宋体"/>
          <w:b w:val="0"/>
          <w:color w:val="auto"/>
          <w:szCs w:val="21"/>
          <w:highlight w:val="none"/>
        </w:rPr>
        <w:t>合同价格、计量与支付</w:t>
      </w:r>
      <w:bookmarkEnd w:id="462"/>
    </w:p>
    <w:bookmarkEnd w:id="463"/>
    <w:bookmarkEnd w:id="464"/>
    <w:bookmarkEnd w:id="465"/>
    <w:bookmarkEnd w:id="466"/>
    <w:bookmarkEnd w:id="467"/>
    <w:bookmarkEnd w:id="468"/>
    <w:p w14:paraId="246DC72A">
      <w:pPr>
        <w:spacing w:after="120" w:line="520" w:lineRule="exact"/>
        <w:ind w:firstLine="420" w:firstLineChars="200"/>
        <w:rPr>
          <w:rFonts w:ascii="宋体" w:hAnsi="宋体" w:cs="宋体"/>
          <w:color w:val="auto"/>
          <w:szCs w:val="21"/>
          <w:highlight w:val="none"/>
        </w:rPr>
      </w:pPr>
      <w:bookmarkStart w:id="469" w:name="_Toc292559411"/>
      <w:bookmarkStart w:id="470" w:name="_Toc267251461"/>
      <w:bookmarkStart w:id="471" w:name="_Toc292559916"/>
      <w:bookmarkStart w:id="472" w:name="_Toc296503206"/>
      <w:bookmarkStart w:id="473" w:name="_Toc296891246"/>
      <w:bookmarkStart w:id="474" w:name="_Toc296347205"/>
      <w:bookmarkStart w:id="475" w:name="_Toc296944545"/>
      <w:bookmarkStart w:id="476" w:name="_Toc297048392"/>
      <w:bookmarkStart w:id="477" w:name="_Toc296891034"/>
      <w:bookmarkStart w:id="478" w:name="_Toc297120506"/>
      <w:bookmarkStart w:id="479" w:name="_Toc296346707"/>
      <w:bookmarkStart w:id="480" w:name="_Toc312678041"/>
      <w:bookmarkStart w:id="481" w:name="_Toc304295580"/>
      <w:bookmarkStart w:id="482" w:name="_Toc300935003"/>
      <w:bookmarkStart w:id="483" w:name="_Toc297123553"/>
      <w:bookmarkStart w:id="484" w:name="_Toc303539160"/>
      <w:bookmarkStart w:id="485" w:name="_Toc297216212"/>
      <w:r>
        <w:rPr>
          <w:rFonts w:hint="eastAsia" w:ascii="宋体" w:hAnsi="宋体" w:cs="宋体"/>
          <w:color w:val="auto"/>
          <w:szCs w:val="21"/>
          <w:highlight w:val="none"/>
        </w:rPr>
        <w:t>12.1合</w:t>
      </w:r>
      <w:bookmarkEnd w:id="469"/>
      <w:bookmarkEnd w:id="470"/>
      <w:bookmarkEnd w:id="471"/>
      <w:r>
        <w:rPr>
          <w:rFonts w:hint="eastAsia" w:ascii="宋体" w:hAnsi="宋体" w:cs="宋体"/>
          <w:color w:val="auto"/>
          <w:szCs w:val="21"/>
          <w:highlight w:val="none"/>
        </w:rPr>
        <w:t>同价</w:t>
      </w:r>
      <w:bookmarkEnd w:id="472"/>
      <w:bookmarkEnd w:id="473"/>
      <w:bookmarkEnd w:id="474"/>
      <w:bookmarkEnd w:id="475"/>
      <w:bookmarkEnd w:id="476"/>
      <w:bookmarkEnd w:id="477"/>
      <w:bookmarkEnd w:id="478"/>
      <w:bookmarkEnd w:id="479"/>
      <w:r>
        <w:rPr>
          <w:rFonts w:hint="eastAsia" w:ascii="宋体" w:hAnsi="宋体" w:cs="宋体"/>
          <w:color w:val="auto"/>
          <w:szCs w:val="21"/>
          <w:highlight w:val="none"/>
        </w:rPr>
        <w:t>格形式</w:t>
      </w:r>
    </w:p>
    <w:bookmarkEnd w:id="480"/>
    <w:bookmarkEnd w:id="481"/>
    <w:bookmarkEnd w:id="482"/>
    <w:bookmarkEnd w:id="483"/>
    <w:bookmarkEnd w:id="484"/>
    <w:bookmarkEnd w:id="485"/>
    <w:p w14:paraId="3345AA30">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1、单价合同。</w:t>
      </w:r>
    </w:p>
    <w:p w14:paraId="6CC888C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综合单价包含的风险范围：</w:t>
      </w:r>
      <w:r>
        <w:rPr>
          <w:rFonts w:hint="eastAsia" w:ascii="宋体" w:hAnsi="宋体" w:cs="宋体"/>
          <w:color w:val="auto"/>
          <w:szCs w:val="21"/>
          <w:highlight w:val="none"/>
          <w:u w:val="single"/>
        </w:rPr>
        <w:t>除下列条款中风险范围以外的内容可调整外，其余不可调整，其余详见本工程工程量清单（含清单编制说明）的要求</w:t>
      </w:r>
      <w:r>
        <w:rPr>
          <w:rFonts w:hint="eastAsia" w:ascii="宋体" w:hAnsi="宋体" w:cs="宋体"/>
          <w:color w:val="auto"/>
          <w:szCs w:val="21"/>
          <w:highlight w:val="none"/>
        </w:rPr>
        <w:t>。</w:t>
      </w:r>
    </w:p>
    <w:p w14:paraId="770FB212">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风险费用的计算方法：</w:t>
      </w:r>
      <w:r>
        <w:rPr>
          <w:rFonts w:hint="eastAsia" w:ascii="宋体" w:hAnsi="宋体" w:cs="宋体"/>
          <w:color w:val="auto"/>
          <w:szCs w:val="21"/>
          <w:highlight w:val="none"/>
          <w:u w:val="single"/>
        </w:rPr>
        <w:t>综合考虑在投标综合单价内，在合同约定风险范围内不作调整</w:t>
      </w:r>
      <w:r>
        <w:rPr>
          <w:rFonts w:hint="eastAsia" w:ascii="宋体" w:hAnsi="宋体" w:cs="宋体"/>
          <w:color w:val="auto"/>
          <w:szCs w:val="21"/>
          <w:highlight w:val="none"/>
        </w:rPr>
        <w:t>。</w:t>
      </w:r>
    </w:p>
    <w:p w14:paraId="427ACC1A">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2、风险范围以外的内容：</w:t>
      </w:r>
    </w:p>
    <w:p w14:paraId="6C305FF9">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（1）工程量；</w:t>
      </w:r>
    </w:p>
    <w:p w14:paraId="10D848C3">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（2）设计变更引起的工程量变化或直接造成的费用增加；</w:t>
      </w:r>
    </w:p>
    <w:p w14:paraId="79D68134">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①指更改有关部分的标高、基线、位置和尺寸；</w:t>
      </w:r>
    </w:p>
    <w:p w14:paraId="0BB4136B">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②增减合同中的约定的工程量；</w:t>
      </w:r>
    </w:p>
    <w:p w14:paraId="2F4A5F50">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③改变有关工程的施工时间和顺序；</w:t>
      </w:r>
    </w:p>
    <w:p w14:paraId="6D7BE40D">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④其它有关工程变更需要的附加工作。</w:t>
      </w:r>
    </w:p>
    <w:p w14:paraId="056DBE15">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（3）发包人要求的承包范围以外的附加工程量；</w:t>
      </w:r>
    </w:p>
    <w:p w14:paraId="0F113FF3">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（4）甲方提出对乙供部分材料进行</w:t>
      </w:r>
      <w:r>
        <w:rPr>
          <w:rFonts w:hint="eastAsia" w:ascii="宋体" w:hAnsi="宋体" w:cs="宋体"/>
          <w:color w:val="auto"/>
          <w:szCs w:val="21"/>
          <w:highlight w:val="none"/>
          <w:u w:val="single"/>
        </w:rPr>
        <w:t>更改</w:t>
      </w:r>
      <w:r>
        <w:rPr>
          <w:rFonts w:ascii="宋体" w:hAnsi="宋体" w:cs="宋体"/>
          <w:color w:val="auto"/>
          <w:szCs w:val="21"/>
          <w:highlight w:val="none"/>
          <w:u w:val="single"/>
        </w:rPr>
        <w:t>（</w:t>
      </w:r>
      <w:r>
        <w:rPr>
          <w:rFonts w:hint="eastAsia" w:ascii="宋体" w:hAnsi="宋体" w:cs="宋体"/>
          <w:color w:val="auto"/>
          <w:szCs w:val="21"/>
          <w:highlight w:val="none"/>
          <w:u w:val="single"/>
          <w:lang w:eastAsia="zh-Hans"/>
        </w:rPr>
        <w:t>乙供材料不符合合同约定除外</w:t>
      </w:r>
      <w:r>
        <w:rPr>
          <w:rFonts w:ascii="宋体" w:hAnsi="宋体" w:cs="宋体"/>
          <w:color w:val="auto"/>
          <w:szCs w:val="21"/>
          <w:highlight w:val="none"/>
          <w:u w:val="single"/>
          <w:lang w:eastAsia="zh-Hans"/>
        </w:rPr>
        <w:t>）</w:t>
      </w:r>
      <w:r>
        <w:rPr>
          <w:rFonts w:hint="eastAsia" w:ascii="宋体" w:hAnsi="宋体" w:cs="宋体"/>
          <w:color w:val="auto"/>
          <w:szCs w:val="21"/>
          <w:highlight w:val="none"/>
          <w:u w:val="single"/>
        </w:rPr>
        <w:t>，引</w:t>
      </w:r>
      <w:r>
        <w:rPr>
          <w:rFonts w:hint="eastAsia" w:ascii="宋体" w:hAnsi="宋体" w:cs="宋体"/>
          <w:color w:val="auto"/>
          <w:szCs w:val="21"/>
          <w:highlight w:val="none"/>
          <w:u w:val="single"/>
        </w:rPr>
        <w:t>起的价差；</w:t>
      </w:r>
    </w:p>
    <w:p w14:paraId="39E17382">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（5）暂列金额及暂估价；</w:t>
      </w:r>
    </w:p>
    <w:p w14:paraId="7416807B">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）发包人确认的其它费用。</w:t>
      </w:r>
    </w:p>
    <w:p w14:paraId="4F1850D1">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3、风险范围以外合同价格的调整方法：</w:t>
      </w:r>
      <w:r>
        <w:rPr>
          <w:rFonts w:hint="eastAsia" w:ascii="宋体" w:hAnsi="宋体" w:cs="宋体"/>
          <w:color w:val="auto"/>
          <w:szCs w:val="21"/>
          <w:highlight w:val="none"/>
          <w:u w:val="single"/>
        </w:rPr>
        <w:t>（1）工程量由监理工程师及业主代表现场按实计量，并经过程审计部门审核的数量为结算依据。</w:t>
      </w:r>
    </w:p>
    <w:p w14:paraId="5D51F409">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（2）政策性调整费用按：实际施工期间与投标时的政策规定调整差额</w:t>
      </w:r>
      <w:r>
        <w:rPr>
          <w:rFonts w:hint="eastAsia"/>
          <w:color w:val="auto"/>
          <w:szCs w:val="21"/>
          <w:highlight w:val="none"/>
          <w:u w:val="single"/>
        </w:rPr>
        <w:t>（人工工资指导价调整差额按承包人报价同口径优惠）；</w:t>
      </w:r>
    </w:p>
    <w:p w14:paraId="7EF6328D">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（3）其他涉及设计变更及发包人要求的承包范围以外的附加工程量按以下办法结算：</w:t>
      </w:r>
    </w:p>
    <w:p w14:paraId="1AFE2870">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①工程量由监理工程师及业主代表现场按实计量，并经过程审计部门审核的数量为结算依据。</w:t>
      </w:r>
    </w:p>
    <w:p w14:paraId="2CD609F0">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②价格：投标报价中已有适用于变更工程价格，按已有的价格计价；投标报价中只有类似于变更工程的价格，可参照类似价格计价；投标报价中无适用或类似于变更工程的价格或无适用的综合单价，</w:t>
      </w:r>
      <w:r>
        <w:rPr>
          <w:rFonts w:hint="eastAsia" w:ascii="宋体" w:hAnsi="宋体" w:cs="宋体"/>
          <w:color w:val="auto"/>
          <w:szCs w:val="21"/>
          <w:highlight w:val="none"/>
          <w:u w:val="single"/>
        </w:rPr>
        <w:t>由承包商提出适当的变更价格，并按投标时的优惠条件同比例优惠</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经发包人和监理工程师及过程审计部门共同确认后执行。</w:t>
      </w:r>
    </w:p>
    <w:p w14:paraId="6513F108">
      <w:pPr>
        <w:spacing w:line="520" w:lineRule="exact"/>
        <w:jc w:val="left"/>
        <w:rPr>
          <w:rFonts w:ascii="宋体" w:hAnsi="宋体" w:cs="宋体"/>
          <w:color w:val="auto"/>
          <w:szCs w:val="21"/>
          <w:highlight w:val="none"/>
          <w:u w:val="single"/>
        </w:rPr>
      </w:pPr>
      <w:r>
        <w:rPr>
          <w:rFonts w:hint="eastAsia" w:ascii="宋体" w:hAnsi="宋体" w:cs="宋体"/>
          <w:color w:val="auto"/>
          <w:szCs w:val="21"/>
          <w:highlight w:val="none"/>
          <w:u w:val="single"/>
        </w:rPr>
        <w:t>4、其它工程价款调整方法：</w:t>
      </w:r>
    </w:p>
    <w:p w14:paraId="4BE86DC3">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（1）采用工程量清单方式计价，竣工结算的工程量按发承包双方在合同中约定应予计量且实际完成的工程量确定，完成发包人要求的合同以外的零星工作或发生非承包人责任事件的工程量按现场签证确认。</w:t>
      </w:r>
    </w:p>
    <w:p w14:paraId="134CDC29">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（2）工程施工过程中所有需要在合同价外另行增加费用的内容均须事先征得发包人书面同意并提供预算书待发包人、监理、业主委托咨询单位确认后方可实施，否则一概不予结算。</w:t>
      </w:r>
    </w:p>
    <w:p w14:paraId="40853DA4">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3）所有涉及工程结算的签证单上必须有发包人、监理工程师、业主委托咨询单位、承包人四方的签字和盖章，方可作为竣工结算的依据，签证单上必须明确签证的原因、位置、尺寸、数量、材料、人工、机械台班、价格和签证时间，如有必要，还需附有相应的综合单价分析。</w:t>
      </w:r>
    </w:p>
    <w:p w14:paraId="415AE003">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（4）工程变更涉及到的报价出现严重不平衡报价时，当变更增加的工程数量在合同数量 10%（含 10%）以内的，单价不调整；增加的工程数量超过 10%的部分，且单价高于市场价的应重新确认变更单价，低于市场价的不予调整（合同已有规定的除外）。</w:t>
      </w:r>
    </w:p>
    <w:p w14:paraId="23F7C031">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5）工程计量时，若发现工程量清单中出现漏项、工程量计算偏差，以及工程变更引起工程量的增减，应由承包人按在履行合同义务过程中按发包人要求实际完成的合格工程量计算后向发包人提出，经审计后按审定数量结算。</w:t>
      </w:r>
    </w:p>
    <w:p w14:paraId="53572E60">
      <w:pPr>
        <w:spacing w:line="52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6）如施工期间建设行政主管部门又颁布新的人工工资单价调整文件，则属政策性调整，人工单价按照施工期间对应的人工工资指导价进行调整，按原投标报价中人工单价相对于基准日人工工资指导价的优惠幅度同比例优惠。</w:t>
      </w:r>
    </w:p>
    <w:p w14:paraId="69F5056D">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（7）</w:t>
      </w:r>
      <w:r>
        <w:rPr>
          <w:rFonts w:ascii="宋体" w:hAnsi="宋体" w:cs="宋体"/>
          <w:color w:val="auto"/>
          <w:szCs w:val="21"/>
          <w:highlight w:val="none"/>
          <w:u w:val="single"/>
        </w:rPr>
        <w:t>承包人采购的主要材料的的价格调整方法：</w:t>
      </w:r>
      <w:r>
        <w:rPr>
          <w:rFonts w:hint="eastAsia" w:ascii="宋体" w:hAnsi="宋体" w:cs="宋体"/>
          <w:color w:val="auto"/>
          <w:szCs w:val="21"/>
          <w:highlight w:val="none"/>
          <w:u w:val="single"/>
          <w:lang w:val="en-US" w:eastAsia="zh-CN"/>
        </w:rPr>
        <w:t>不作调整</w:t>
      </w:r>
      <w:r>
        <w:rPr>
          <w:rFonts w:ascii="宋体" w:hAnsi="宋体" w:cs="宋体"/>
          <w:color w:val="auto"/>
          <w:szCs w:val="21"/>
          <w:highlight w:val="none"/>
          <w:u w:val="single"/>
        </w:rPr>
        <w:t>。</w:t>
      </w:r>
    </w:p>
    <w:p w14:paraId="16AB0F66">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2、总价合同。</w:t>
      </w:r>
    </w:p>
    <w:p w14:paraId="0101B4C4">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总价包含的风险范围：</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2795E3AE">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风险费用的计算方法：</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6B1EA6FA">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704F786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3、其他价格方式：</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5A67104B">
      <w:pPr>
        <w:spacing w:after="120" w:line="520" w:lineRule="exact"/>
        <w:ind w:firstLine="420" w:firstLineChars="200"/>
        <w:rPr>
          <w:rFonts w:ascii="宋体" w:hAnsi="宋体" w:cs="宋体"/>
          <w:color w:val="auto"/>
          <w:szCs w:val="21"/>
          <w:highlight w:val="none"/>
        </w:rPr>
      </w:pPr>
      <w:bookmarkStart w:id="486" w:name="_Toc303539161"/>
      <w:bookmarkStart w:id="487" w:name="_Toc300935004"/>
      <w:bookmarkStart w:id="488" w:name="_Toc304295581"/>
      <w:bookmarkStart w:id="489" w:name="_Toc297123554"/>
      <w:bookmarkStart w:id="490" w:name="_Toc297216213"/>
      <w:bookmarkStart w:id="491" w:name="_Toc312678042"/>
      <w:bookmarkStart w:id="492" w:name="_Toc292559917"/>
      <w:bookmarkStart w:id="493" w:name="_Toc292559412"/>
      <w:bookmarkStart w:id="494" w:name="_Toc296346708"/>
      <w:bookmarkStart w:id="495" w:name="_Toc296944546"/>
      <w:bookmarkStart w:id="496" w:name="_Toc296891247"/>
      <w:bookmarkStart w:id="497" w:name="_Toc296891035"/>
      <w:bookmarkStart w:id="498" w:name="_Toc297048393"/>
      <w:bookmarkStart w:id="499" w:name="_Toc296347206"/>
      <w:bookmarkStart w:id="500" w:name="_Toc296503207"/>
      <w:bookmarkStart w:id="501" w:name="_Toc297120507"/>
      <w:r>
        <w:rPr>
          <w:rFonts w:hint="eastAsia" w:ascii="宋体" w:hAnsi="宋体" w:cs="宋体"/>
          <w:color w:val="auto"/>
          <w:szCs w:val="21"/>
          <w:highlight w:val="none"/>
        </w:rPr>
        <w:t>12.2预付款</w:t>
      </w:r>
    </w:p>
    <w:bookmarkEnd w:id="486"/>
    <w:bookmarkEnd w:id="487"/>
    <w:bookmarkEnd w:id="488"/>
    <w:bookmarkEnd w:id="489"/>
    <w:bookmarkEnd w:id="490"/>
    <w:bookmarkEnd w:id="491"/>
    <w:p w14:paraId="214633B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12.2.1预付款的支付</w:t>
      </w:r>
    </w:p>
    <w:p w14:paraId="6518354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预付款支付比例或金额：</w:t>
      </w:r>
      <w:r>
        <w:rPr>
          <w:rFonts w:hint="eastAsia" w:ascii="宋体" w:hAnsi="宋体" w:cs="宋体"/>
          <w:color w:val="auto"/>
          <w:szCs w:val="21"/>
          <w:highlight w:val="none"/>
          <w:u w:val="single"/>
        </w:rPr>
        <w:t>详见 12.4.1</w:t>
      </w:r>
      <w:r>
        <w:rPr>
          <w:rFonts w:hint="eastAsia" w:ascii="宋体" w:hAnsi="宋体" w:cs="宋体"/>
          <w:color w:val="auto"/>
          <w:szCs w:val="21"/>
          <w:highlight w:val="none"/>
        </w:rPr>
        <w:t>。</w:t>
      </w:r>
    </w:p>
    <w:p w14:paraId="44D84E1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预付款支付期限：</w:t>
      </w:r>
      <w:r>
        <w:rPr>
          <w:rFonts w:hint="eastAsia" w:ascii="宋体" w:hAnsi="宋体" w:cs="宋体"/>
          <w:color w:val="auto"/>
          <w:szCs w:val="21"/>
          <w:highlight w:val="none"/>
          <w:u w:val="single"/>
        </w:rPr>
        <w:t>详见 12.4.1</w:t>
      </w:r>
      <w:r>
        <w:rPr>
          <w:rFonts w:hint="eastAsia" w:ascii="宋体" w:hAnsi="宋体" w:cs="宋体"/>
          <w:color w:val="auto"/>
          <w:szCs w:val="21"/>
          <w:highlight w:val="none"/>
        </w:rPr>
        <w:t>。</w:t>
      </w:r>
    </w:p>
    <w:p w14:paraId="0371540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预付款扣回的方式：</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0146DC90">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12.2.2预付款担保</w:t>
      </w:r>
    </w:p>
    <w:p w14:paraId="0FF4BCF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承包人提交预付款担保的期限：</w:t>
      </w:r>
      <w:r>
        <w:rPr>
          <w:rFonts w:hint="eastAsia" w:ascii="宋体" w:hAnsi="宋体" w:cs="宋体"/>
          <w:color w:val="auto"/>
          <w:szCs w:val="21"/>
          <w:highlight w:val="none"/>
          <w:u w:val="single"/>
        </w:rPr>
        <w:t>合同签订后 7 天内提供</w:t>
      </w:r>
      <w:r>
        <w:rPr>
          <w:rFonts w:hint="eastAsia" w:ascii="宋体" w:hAnsi="宋体" w:cs="宋体"/>
          <w:color w:val="auto"/>
          <w:szCs w:val="21"/>
          <w:highlight w:val="none"/>
        </w:rPr>
        <w:t>。</w:t>
      </w:r>
    </w:p>
    <w:p w14:paraId="4F0A3561">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预付款担保的形式为：</w:t>
      </w:r>
      <w:r>
        <w:rPr>
          <w:rFonts w:hint="eastAsia" w:ascii="宋体" w:hAnsi="宋体" w:cs="宋体"/>
          <w:color w:val="auto"/>
          <w:szCs w:val="21"/>
          <w:highlight w:val="none"/>
          <w:u w:val="single"/>
        </w:rPr>
        <w:t>现金或银行保函或担保公司担保，金额为合同金额（扣除暂估价、暂列金额）的 10%</w:t>
      </w:r>
      <w:r>
        <w:rPr>
          <w:rFonts w:hint="eastAsia" w:ascii="宋体" w:hAnsi="宋体" w:cs="宋体"/>
          <w:color w:val="auto"/>
          <w:szCs w:val="21"/>
          <w:highlight w:val="none"/>
        </w:rPr>
        <w:t>。</w:t>
      </w:r>
    </w:p>
    <w:p w14:paraId="606C215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预付款扣回的方式：详见 12.4.1 付款周期</w:t>
      </w:r>
    </w:p>
    <w:bookmarkEnd w:id="492"/>
    <w:bookmarkEnd w:id="493"/>
    <w:bookmarkEnd w:id="494"/>
    <w:bookmarkEnd w:id="495"/>
    <w:bookmarkEnd w:id="496"/>
    <w:bookmarkEnd w:id="497"/>
    <w:bookmarkEnd w:id="498"/>
    <w:bookmarkEnd w:id="499"/>
    <w:bookmarkEnd w:id="500"/>
    <w:bookmarkEnd w:id="501"/>
    <w:p w14:paraId="39684F48">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12.3计量</w:t>
      </w:r>
    </w:p>
    <w:p w14:paraId="021563F4">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12.3.1计量原则</w:t>
      </w:r>
    </w:p>
    <w:p w14:paraId="3DA47E2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工程量计算规则：</w:t>
      </w:r>
      <w:r>
        <w:rPr>
          <w:rFonts w:hint="eastAsia" w:ascii="宋体" w:hAnsi="宋体" w:cs="宋体"/>
          <w:color w:val="auto"/>
          <w:szCs w:val="21"/>
          <w:highlight w:val="none"/>
          <w:u w:val="single"/>
        </w:rPr>
        <w:t>工程量计算规则执行国家标准《建设工程工程量清单计价规范》(GB50500—2013)或其适用的修订版本。除合同另有约定外，承包人实际完成的工程量按约定的工程量计算规则和有合同约束力的图纸进行计量</w:t>
      </w:r>
      <w:r>
        <w:rPr>
          <w:rFonts w:hint="eastAsia" w:ascii="宋体" w:hAnsi="宋体" w:cs="宋体"/>
          <w:color w:val="auto"/>
          <w:szCs w:val="21"/>
          <w:highlight w:val="none"/>
        </w:rPr>
        <w:t>。</w:t>
      </w:r>
    </w:p>
    <w:p w14:paraId="3962CD61">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12.3.2计量周期</w:t>
      </w:r>
    </w:p>
    <w:p w14:paraId="6AD86DF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关于计量周期的约定：</w:t>
      </w:r>
      <w:r>
        <w:rPr>
          <w:rFonts w:hint="eastAsia" w:ascii="宋体" w:hAnsi="宋体" w:cs="宋体"/>
          <w:color w:val="auto"/>
          <w:szCs w:val="21"/>
          <w:highlight w:val="none"/>
          <w:u w:val="single"/>
        </w:rPr>
        <w:t>本合同的计量周期为月，每月25日为当月计量截止日期(不含当日)和下月计量起始日期(含当日)</w:t>
      </w:r>
      <w:r>
        <w:rPr>
          <w:rFonts w:hint="eastAsia" w:ascii="宋体" w:hAnsi="宋体" w:cs="宋体"/>
          <w:color w:val="auto"/>
          <w:szCs w:val="21"/>
          <w:highlight w:val="none"/>
        </w:rPr>
        <w:t>。</w:t>
      </w:r>
    </w:p>
    <w:p w14:paraId="4A205562">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12.3.3单价合同的计量</w:t>
      </w:r>
    </w:p>
    <w:p w14:paraId="250F353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关于单价合同计量的约定：</w:t>
      </w:r>
      <w:r>
        <w:rPr>
          <w:rFonts w:hint="eastAsia" w:ascii="宋体" w:hAnsi="宋体" w:cs="宋体"/>
          <w:color w:val="auto"/>
          <w:szCs w:val="21"/>
          <w:highlight w:val="none"/>
          <w:u w:val="single"/>
        </w:rPr>
        <w:t>本合同采用单价合同形式通用合同条款本项约定的单价子目计量</w:t>
      </w:r>
      <w:r>
        <w:rPr>
          <w:rFonts w:hint="eastAsia" w:ascii="宋体" w:hAnsi="宋体" w:cs="宋体"/>
          <w:color w:val="auto"/>
          <w:szCs w:val="21"/>
          <w:highlight w:val="none"/>
        </w:rPr>
        <w:t>。</w:t>
      </w:r>
    </w:p>
    <w:p w14:paraId="09B40D21">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12.3.4总价合同的计量</w:t>
      </w:r>
    </w:p>
    <w:p w14:paraId="53D8A8F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关于总价合同计量的约定：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40E8922B">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12.3.5总价合同采用支付分解表计量支付的，是否适用第</w:t>
      </w:r>
      <w:r>
        <w:rPr>
          <w:rFonts w:hint="eastAsia" w:ascii="宋体" w:hAnsi="宋体" w:cs="宋体"/>
          <w:color w:val="auto"/>
          <w:kern w:val="0"/>
          <w:szCs w:val="21"/>
          <w:highlight w:val="none"/>
        </w:rPr>
        <w:t>12.3.4</w:t>
      </w:r>
      <w:r>
        <w:rPr>
          <w:rFonts w:hint="eastAsia" w:ascii="宋体" w:hAnsi="宋体" w:cs="宋体"/>
          <w:color w:val="auto"/>
          <w:szCs w:val="21"/>
          <w:highlight w:val="none"/>
        </w:rPr>
        <w:t>项</w:t>
      </w:r>
      <w:r>
        <w:rPr>
          <w:rFonts w:hint="eastAsia" w:ascii="宋体" w:hAnsi="宋体" w:cs="宋体"/>
          <w:color w:val="auto"/>
          <w:kern w:val="0"/>
          <w:szCs w:val="21"/>
          <w:highlight w:val="none"/>
        </w:rPr>
        <w:t>〔总价合同的计量〕</w:t>
      </w:r>
      <w:r>
        <w:rPr>
          <w:rFonts w:hint="eastAsia" w:ascii="宋体" w:hAnsi="宋体" w:cs="宋体"/>
          <w:color w:val="auto"/>
          <w:szCs w:val="21"/>
          <w:highlight w:val="none"/>
        </w:rPr>
        <w:t>约定进行计量：</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56FD67D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12.3.6其他价格形式合同的计量</w:t>
      </w:r>
    </w:p>
    <w:p w14:paraId="32E7A2CC">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其他价格形式的计量方式和程序：</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5C41B4C6">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12.4工程进度款支付</w:t>
      </w:r>
    </w:p>
    <w:p w14:paraId="5E8B260C">
      <w:pPr>
        <w:spacing w:line="520" w:lineRule="exact"/>
        <w:ind w:firstLine="420" w:firstLineChars="200"/>
        <w:jc w:val="left"/>
        <w:rPr>
          <w:rFonts w:ascii="宋体" w:hAnsi="宋体" w:cs="宋体"/>
          <w:color w:val="auto"/>
          <w:szCs w:val="21"/>
          <w:highlight w:val="none"/>
        </w:rPr>
      </w:pPr>
      <w:bookmarkStart w:id="502" w:name="_Toc292559921"/>
      <w:bookmarkStart w:id="503" w:name="_Toc297216215"/>
      <w:bookmarkStart w:id="504" w:name="_Toc303539163"/>
      <w:bookmarkStart w:id="505" w:name="_Toc297120511"/>
      <w:bookmarkStart w:id="506" w:name="_Toc297123556"/>
      <w:bookmarkStart w:id="507" w:name="_Toc296891251"/>
      <w:bookmarkStart w:id="508" w:name="_Toc296503211"/>
      <w:bookmarkStart w:id="509" w:name="_Toc296347210"/>
      <w:bookmarkStart w:id="510" w:name="_Toc292559416"/>
      <w:bookmarkStart w:id="511" w:name="_Toc296346712"/>
      <w:bookmarkStart w:id="512" w:name="_Toc297048397"/>
      <w:bookmarkStart w:id="513" w:name="_Toc296944550"/>
      <w:bookmarkStart w:id="514" w:name="_Toc296891039"/>
      <w:bookmarkStart w:id="515" w:name="_Toc300935006"/>
      <w:r>
        <w:rPr>
          <w:rFonts w:hint="eastAsia" w:ascii="宋体" w:hAnsi="宋体" w:cs="宋体"/>
          <w:color w:val="auto"/>
          <w:szCs w:val="21"/>
          <w:highlight w:val="none"/>
        </w:rPr>
        <w:t>12.4.1付款周期</w:t>
      </w:r>
    </w:p>
    <w:p w14:paraId="1E488EF3">
      <w:pPr>
        <w:spacing w:line="520" w:lineRule="exact"/>
        <w:ind w:firstLine="420" w:firstLineChars="200"/>
        <w:jc w:val="left"/>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rPr>
        <w:t>关于付款周期的约定：</w:t>
      </w:r>
    </w:p>
    <w:p w14:paraId="79882A34">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Cs w:val="21"/>
          <w:highlight w:val="none"/>
          <w:lang w:eastAsia="zh-CN"/>
        </w:rPr>
      </w:pPr>
      <w:r>
        <w:rPr>
          <w:rFonts w:hint="default" w:ascii="宋体" w:hAnsi="宋体" w:eastAsia="宋体" w:cs="宋体"/>
          <w:color w:val="auto"/>
          <w:szCs w:val="21"/>
          <w:highlight w:val="none"/>
          <w:lang w:eastAsia="zh-CN"/>
        </w:rPr>
        <w:t>自合同签订</w:t>
      </w:r>
      <w:r>
        <w:rPr>
          <w:rFonts w:hint="default" w:ascii="宋体" w:hAnsi="宋体" w:eastAsia="宋体" w:cs="宋体"/>
          <w:color w:val="auto"/>
          <w:szCs w:val="21"/>
          <w:highlight w:val="none"/>
          <w:lang w:val="en-US" w:eastAsia="zh-CN"/>
        </w:rPr>
        <w:t>三十日</w:t>
      </w:r>
      <w:r>
        <w:rPr>
          <w:rFonts w:hint="default" w:ascii="宋体" w:hAnsi="宋体" w:eastAsia="宋体" w:cs="宋体"/>
          <w:color w:val="auto"/>
          <w:szCs w:val="21"/>
          <w:highlight w:val="none"/>
          <w:lang w:eastAsia="zh-CN"/>
        </w:rPr>
        <w:t>内支付合同</w:t>
      </w:r>
      <w:r>
        <w:rPr>
          <w:rFonts w:hint="eastAsia" w:ascii="宋体" w:hAnsi="宋体" w:eastAsia="宋体" w:cs="宋体"/>
          <w:color w:val="auto"/>
          <w:szCs w:val="21"/>
          <w:highlight w:val="none"/>
          <w:lang w:val="en-US" w:eastAsia="zh-CN"/>
        </w:rPr>
        <w:t>金额</w:t>
      </w:r>
      <w:r>
        <w:rPr>
          <w:rFonts w:hint="default" w:ascii="宋体" w:hAnsi="宋体" w:eastAsia="宋体" w:cs="宋体"/>
          <w:color w:val="auto"/>
          <w:szCs w:val="21"/>
          <w:highlight w:val="none"/>
          <w:lang w:eastAsia="zh-CN"/>
        </w:rPr>
        <w:t>10%的预付款</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不含暂列金</w:t>
      </w:r>
      <w:r>
        <w:rPr>
          <w:rFonts w:hint="eastAsia" w:ascii="Times New Roman" w:hAnsi="Times New Roman" w:eastAsia="宋体" w:cs="Times New Roman"/>
          <w:color w:val="auto"/>
          <w:sz w:val="24"/>
          <w:szCs w:val="24"/>
          <w:highlight w:val="none"/>
          <w:lang w:eastAsia="zh-CN"/>
        </w:rPr>
        <w:t>）</w:t>
      </w:r>
      <w:r>
        <w:rPr>
          <w:rFonts w:hint="default" w:ascii="宋体" w:hAnsi="宋体" w:eastAsia="宋体" w:cs="宋体"/>
          <w:color w:val="auto"/>
          <w:szCs w:val="21"/>
          <w:highlight w:val="none"/>
          <w:lang w:eastAsia="zh-CN"/>
        </w:rPr>
        <w:t>；工程完工接入系统并经交</w:t>
      </w:r>
      <w:r>
        <w:rPr>
          <w:rFonts w:hint="default" w:ascii="宋体" w:hAnsi="宋体" w:eastAsia="宋体" w:cs="宋体"/>
          <w:color w:val="auto"/>
          <w:szCs w:val="21"/>
          <w:highlight w:val="none"/>
          <w:lang w:val="en-US" w:eastAsia="zh-CN"/>
        </w:rPr>
        <w:t>履约验收合格</w:t>
      </w:r>
      <w:r>
        <w:rPr>
          <w:rFonts w:hint="default" w:ascii="宋体" w:hAnsi="宋体" w:eastAsia="宋体" w:cs="宋体"/>
          <w:color w:val="auto"/>
          <w:szCs w:val="21"/>
          <w:highlight w:val="none"/>
          <w:lang w:eastAsia="zh-CN"/>
        </w:rPr>
        <w:t>后付至工程款部分签约合同金额的</w:t>
      </w:r>
      <w:r>
        <w:rPr>
          <w:rFonts w:hint="default" w:ascii="宋体" w:hAnsi="宋体" w:eastAsia="宋体" w:cs="宋体"/>
          <w:color w:val="auto"/>
          <w:szCs w:val="21"/>
          <w:highlight w:val="none"/>
          <w:lang w:val="en-US" w:eastAsia="zh-CN"/>
        </w:rPr>
        <w:t>7</w:t>
      </w:r>
      <w:r>
        <w:rPr>
          <w:rFonts w:hint="default" w:ascii="宋体" w:hAnsi="宋体" w:eastAsia="宋体" w:cs="宋体"/>
          <w:color w:val="auto"/>
          <w:szCs w:val="21"/>
          <w:highlight w:val="none"/>
          <w:lang w:eastAsia="zh-CN"/>
        </w:rPr>
        <w:t>0%</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不含暂列金</w:t>
      </w:r>
      <w:r>
        <w:rPr>
          <w:rFonts w:hint="eastAsia" w:ascii="Times New Roman" w:hAnsi="Times New Roman" w:eastAsia="宋体" w:cs="Times New Roman"/>
          <w:color w:val="auto"/>
          <w:sz w:val="24"/>
          <w:szCs w:val="24"/>
          <w:highlight w:val="none"/>
          <w:lang w:eastAsia="zh-CN"/>
        </w:rPr>
        <w:t>）</w:t>
      </w:r>
      <w:r>
        <w:rPr>
          <w:rFonts w:hint="default" w:ascii="宋体" w:hAnsi="宋体" w:eastAsia="宋体" w:cs="宋体"/>
          <w:color w:val="auto"/>
          <w:szCs w:val="21"/>
          <w:highlight w:val="none"/>
          <w:lang w:eastAsia="zh-CN"/>
        </w:rPr>
        <w:t>；工程审计结束后付至审定</w:t>
      </w:r>
      <w:r>
        <w:rPr>
          <w:rFonts w:hint="eastAsia" w:ascii="宋体" w:hAnsi="宋体" w:eastAsia="宋体" w:cs="宋体"/>
          <w:color w:val="auto"/>
          <w:szCs w:val="21"/>
          <w:highlight w:val="none"/>
          <w:lang w:val="en-US" w:eastAsia="zh-CN"/>
        </w:rPr>
        <w:t>金额</w:t>
      </w:r>
      <w:r>
        <w:rPr>
          <w:rFonts w:hint="default" w:ascii="宋体" w:hAnsi="宋体" w:eastAsia="宋体" w:cs="宋体"/>
          <w:color w:val="auto"/>
          <w:szCs w:val="21"/>
          <w:highlight w:val="none"/>
          <w:lang w:eastAsia="zh-CN"/>
        </w:rPr>
        <w:t>的9</w:t>
      </w:r>
      <w:r>
        <w:rPr>
          <w:rFonts w:hint="eastAsia" w:ascii="宋体" w:hAnsi="宋体" w:eastAsia="宋体" w:cs="宋体"/>
          <w:color w:val="auto"/>
          <w:szCs w:val="21"/>
          <w:highlight w:val="none"/>
          <w:lang w:val="en-US" w:eastAsia="zh-CN"/>
        </w:rPr>
        <w:t>7</w:t>
      </w:r>
      <w:r>
        <w:rPr>
          <w:rFonts w:hint="default" w:ascii="宋体" w:hAnsi="宋体" w:eastAsia="宋体" w:cs="宋体"/>
          <w:color w:val="auto"/>
          <w:szCs w:val="21"/>
          <w:highlight w:val="none"/>
          <w:lang w:eastAsia="zh-CN"/>
        </w:rPr>
        <w:t>%；工程竣工验收满</w:t>
      </w:r>
      <w:r>
        <w:rPr>
          <w:rFonts w:hint="default" w:ascii="宋体" w:hAnsi="宋体" w:eastAsia="宋体" w:cs="宋体"/>
          <w:color w:val="auto"/>
          <w:szCs w:val="21"/>
          <w:highlight w:val="none"/>
          <w:lang w:val="en-US" w:eastAsia="zh-CN"/>
        </w:rPr>
        <w:t>5</w:t>
      </w:r>
      <w:r>
        <w:rPr>
          <w:rFonts w:hint="default" w:ascii="宋体" w:hAnsi="宋体" w:eastAsia="宋体" w:cs="宋体"/>
          <w:color w:val="auto"/>
          <w:szCs w:val="21"/>
          <w:highlight w:val="none"/>
          <w:lang w:eastAsia="zh-CN"/>
        </w:rPr>
        <w:t>年</w:t>
      </w:r>
      <w:r>
        <w:rPr>
          <w:rFonts w:hint="default" w:ascii="宋体" w:hAnsi="宋体" w:eastAsia="宋体" w:cs="宋体"/>
          <w:color w:val="auto"/>
          <w:szCs w:val="21"/>
          <w:highlight w:val="none"/>
          <w:lang w:val="en-US" w:eastAsia="zh-CN"/>
        </w:rPr>
        <w:t>一次性</w:t>
      </w:r>
      <w:r>
        <w:rPr>
          <w:rFonts w:hint="default" w:ascii="宋体" w:hAnsi="宋体" w:eastAsia="宋体" w:cs="宋体"/>
          <w:color w:val="auto"/>
          <w:szCs w:val="21"/>
          <w:highlight w:val="none"/>
          <w:lang w:eastAsia="zh-CN"/>
        </w:rPr>
        <w:t>付清余款，期间不计息。在申报工程款时应提供合规的发票。</w:t>
      </w:r>
    </w:p>
    <w:p w14:paraId="47E7C88F">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Cs w:val="21"/>
          <w:highlight w:val="none"/>
          <w:lang w:eastAsia="zh-CN"/>
        </w:rPr>
        <w:t>注：根据《</w:t>
      </w:r>
      <w:r>
        <w:rPr>
          <w:rFonts w:hint="eastAsia" w:ascii="宋体" w:hAnsi="宋体" w:eastAsia="宋体" w:cs="宋体"/>
          <w:b/>
          <w:bCs/>
          <w:color w:val="auto"/>
          <w:szCs w:val="21"/>
          <w:highlight w:val="none"/>
        </w:rPr>
        <w:t>苏财购〔2020〕52号</w:t>
      </w:r>
      <w:r>
        <w:rPr>
          <w:rFonts w:hint="eastAsia" w:ascii="宋体" w:hAnsi="宋体" w:eastAsia="宋体" w:cs="宋体"/>
          <w:b/>
          <w:bCs/>
          <w:color w:val="auto"/>
          <w:szCs w:val="21"/>
          <w:highlight w:val="none"/>
          <w:lang w:eastAsia="zh-CN"/>
        </w:rPr>
        <w:t>》文的相关约定，乙方明确表示无需预付款或者主动要求降低预付款比例的，甲方可不适用关于预付款的规定，签订合同时，乙方需附上明确表示无需预付款或者主动要求降低预付款比例的书面声明。</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b/>
          <w:bCs/>
          <w:color w:val="auto"/>
          <w:sz w:val="24"/>
          <w:highlight w:val="none"/>
          <w:lang w:val="en-US" w:eastAsia="zh-CN"/>
        </w:rPr>
        <w:t xml:space="preserve"> </w:t>
      </w:r>
    </w:p>
    <w:p w14:paraId="186D54F6">
      <w:pPr>
        <w:spacing w:line="520" w:lineRule="exact"/>
        <w:ind w:firstLine="420" w:firstLineChars="200"/>
        <w:jc w:val="left"/>
        <w:rPr>
          <w:rFonts w:ascii="宋体" w:hAnsi="宋体" w:cs="宋体"/>
          <w:color w:val="auto"/>
          <w:szCs w:val="21"/>
          <w:highlight w:val="none"/>
        </w:rPr>
      </w:pPr>
      <w:r>
        <w:rPr>
          <w:rFonts w:hint="eastAsia" w:ascii="宋体" w:hAnsi="宋体" w:eastAsia="宋体" w:cs="宋体"/>
          <w:color w:val="auto"/>
          <w:szCs w:val="21"/>
          <w:highlight w:val="none"/>
        </w:rPr>
        <w:t>12.4.2进度付款申请单的编制</w:t>
      </w:r>
    </w:p>
    <w:p w14:paraId="668CA2A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关于进度付款申请单编制的约定：</w:t>
      </w:r>
      <w:r>
        <w:rPr>
          <w:rFonts w:hint="eastAsia" w:ascii="宋体" w:hAnsi="宋体" w:cs="宋体"/>
          <w:color w:val="auto"/>
          <w:szCs w:val="21"/>
          <w:highlight w:val="none"/>
          <w:u w:val="single"/>
        </w:rPr>
        <w:t>每月 25 日前承包人申报上月工程施工月报</w:t>
      </w:r>
      <w:r>
        <w:rPr>
          <w:rFonts w:hint="eastAsia" w:ascii="宋体" w:hAnsi="宋体" w:cs="宋体"/>
          <w:color w:val="auto"/>
          <w:szCs w:val="21"/>
          <w:highlight w:val="none"/>
        </w:rPr>
        <w:t>。</w:t>
      </w:r>
    </w:p>
    <w:p w14:paraId="53AD4690">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Fonts w:hint="eastAsia" w:ascii="宋体" w:hAnsi="宋体" w:cs="宋体"/>
          <w:color w:val="auto"/>
          <w:szCs w:val="21"/>
          <w:highlight w:val="none"/>
        </w:rPr>
        <w:t>2.4.3进度付款申请单的提交</w:t>
      </w:r>
    </w:p>
    <w:p w14:paraId="2BD7787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（1）单价合同进度付款申请单提交的约定：</w:t>
      </w:r>
      <w:r>
        <w:rPr>
          <w:rFonts w:hint="eastAsia" w:ascii="宋体" w:hAnsi="宋体" w:cs="宋体"/>
          <w:color w:val="auto"/>
          <w:szCs w:val="21"/>
          <w:highlight w:val="none"/>
          <w:u w:val="single"/>
        </w:rPr>
        <w:t>按 12.4.1 执行</w:t>
      </w:r>
      <w:r>
        <w:rPr>
          <w:rFonts w:hint="eastAsia" w:ascii="宋体" w:hAnsi="宋体" w:cs="宋体"/>
          <w:color w:val="auto"/>
          <w:szCs w:val="21"/>
          <w:highlight w:val="none"/>
        </w:rPr>
        <w:t>。</w:t>
      </w:r>
    </w:p>
    <w:p w14:paraId="21E0EAAA">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（2）总价合同进度付款申请单提交的约定：</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3E3D691E">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（3）其他价格形式合同进度付款申请单提交的约定：</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67DB3FC7">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12.4.4进度款审核和支付</w:t>
      </w:r>
    </w:p>
    <w:p w14:paraId="458771C8">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（1）监理人审查并报送发包人的期限：</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563D6A60">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发包人完成审批并签发进度款支付证书的期限：</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3C4E0252">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（2）发包人支付进度款的期限：</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4B68EE47">
      <w:pPr>
        <w:spacing w:line="520" w:lineRule="exact"/>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发包人逾期支付进度款的违约金的计算方式：</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6CC1B462">
      <w:pPr>
        <w:spacing w:line="520" w:lineRule="exact"/>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12.4.6支付分解表的编制</w:t>
      </w:r>
    </w:p>
    <w:p w14:paraId="3574D94E">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2、总价合同支付分解表的编制与审批：</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059363E3">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3、单价合同的总价项目支付分解表的编制与审批：</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bookmarkEnd w:id="341"/>
    <w:p w14:paraId="0BA7E0CB">
      <w:pPr>
        <w:pStyle w:val="4"/>
        <w:spacing w:before="120" w:after="120" w:line="520" w:lineRule="exact"/>
        <w:rPr>
          <w:rFonts w:ascii="宋体" w:hAnsi="宋体" w:cs="宋体"/>
          <w:b w:val="0"/>
          <w:color w:val="auto"/>
          <w:szCs w:val="21"/>
          <w:highlight w:val="none"/>
        </w:rPr>
      </w:pPr>
      <w:bookmarkStart w:id="516" w:name="_Toc514750248"/>
      <w:bookmarkStart w:id="517" w:name="_Toc312678053"/>
      <w:bookmarkStart w:id="518" w:name="_Toc296347218"/>
      <w:bookmarkStart w:id="519" w:name="_Toc303539172"/>
      <w:bookmarkStart w:id="520" w:name="_Toc292559929"/>
      <w:bookmarkStart w:id="521" w:name="_Toc296944558"/>
      <w:bookmarkStart w:id="522" w:name="_Toc296346720"/>
      <w:bookmarkStart w:id="523" w:name="_Toc304295593"/>
      <w:bookmarkStart w:id="524" w:name="_Toc297048405"/>
      <w:bookmarkStart w:id="525" w:name="_Toc297216223"/>
      <w:bookmarkStart w:id="526" w:name="_Toc300935015"/>
      <w:bookmarkStart w:id="527" w:name="_Toc296891259"/>
      <w:bookmarkStart w:id="528" w:name="_Toc292559424"/>
      <w:bookmarkStart w:id="529" w:name="_Toc297120519"/>
      <w:bookmarkStart w:id="530" w:name="_Toc297123564"/>
      <w:bookmarkStart w:id="531" w:name="_Toc296503219"/>
      <w:bookmarkStart w:id="532" w:name="_Toc296891047"/>
      <w:r>
        <w:rPr>
          <w:rFonts w:hint="eastAsia" w:ascii="宋体" w:hAnsi="宋体" w:cs="宋体"/>
          <w:b w:val="0"/>
          <w:color w:val="auto"/>
          <w:szCs w:val="21"/>
          <w:highlight w:val="none"/>
        </w:rPr>
        <w:t>13.验收和工程试车</w:t>
      </w:r>
      <w:bookmarkEnd w:id="516"/>
    </w:p>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14:paraId="79DA125B">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13.1分部分项工程验收</w:t>
      </w:r>
    </w:p>
    <w:p w14:paraId="49F7C57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13.1.2监理人不能按时进行验收时，应提前</w:t>
      </w:r>
      <w:r>
        <w:rPr>
          <w:rFonts w:hint="eastAsia" w:ascii="宋体" w:hAnsi="宋体" w:cs="宋体"/>
          <w:color w:val="auto"/>
          <w:szCs w:val="21"/>
          <w:highlight w:val="none"/>
          <w:u w:val="single"/>
        </w:rPr>
        <w:t>24</w:t>
      </w:r>
      <w:r>
        <w:rPr>
          <w:rFonts w:hint="eastAsia" w:ascii="宋体" w:hAnsi="宋体" w:cs="宋体"/>
          <w:color w:val="auto"/>
          <w:szCs w:val="21"/>
          <w:highlight w:val="none"/>
        </w:rPr>
        <w:t>小时提交书面延期要求。</w:t>
      </w:r>
    </w:p>
    <w:p w14:paraId="33DAD9B9">
      <w:pPr>
        <w:spacing w:line="520" w:lineRule="exact"/>
        <w:ind w:firstLine="420" w:firstLineChars="200"/>
        <w:jc w:val="left"/>
        <w:rPr>
          <w:rFonts w:ascii="宋体" w:hAnsi="宋体" w:cs="宋体"/>
          <w:b/>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48</w:t>
      </w:r>
      <w:r>
        <w:rPr>
          <w:rFonts w:hint="eastAsia" w:ascii="宋体" w:hAnsi="宋体" w:cs="宋体"/>
          <w:color w:val="auto"/>
          <w:szCs w:val="21"/>
          <w:highlight w:val="none"/>
        </w:rPr>
        <w:t>小时。</w:t>
      </w:r>
    </w:p>
    <w:p w14:paraId="6FBAADD3">
      <w:pPr>
        <w:spacing w:after="120" w:line="520" w:lineRule="exact"/>
        <w:ind w:firstLine="420" w:firstLineChars="200"/>
        <w:rPr>
          <w:rFonts w:ascii="宋体" w:hAnsi="宋体" w:cs="宋体"/>
          <w:color w:val="auto"/>
          <w:szCs w:val="21"/>
          <w:highlight w:val="none"/>
        </w:rPr>
      </w:pPr>
      <w:bookmarkStart w:id="533" w:name="_Toc296346724"/>
      <w:bookmarkStart w:id="534" w:name="_Toc296891051"/>
      <w:bookmarkStart w:id="535" w:name="_Toc292559933"/>
      <w:bookmarkStart w:id="536" w:name="_Toc296891263"/>
      <w:bookmarkStart w:id="537" w:name="_Toc303539173"/>
      <w:bookmarkStart w:id="538" w:name="_Toc297123565"/>
      <w:bookmarkStart w:id="539" w:name="_Toc296347222"/>
      <w:bookmarkStart w:id="540" w:name="_Toc300935016"/>
      <w:bookmarkStart w:id="541" w:name="_Toc312678056"/>
      <w:bookmarkStart w:id="542" w:name="_Toc296944562"/>
      <w:bookmarkStart w:id="543" w:name="_Toc297048409"/>
      <w:bookmarkStart w:id="544" w:name="_Toc297216224"/>
      <w:bookmarkStart w:id="545" w:name="_Toc304295596"/>
      <w:bookmarkStart w:id="546" w:name="_Toc297120523"/>
      <w:bookmarkStart w:id="547" w:name="_Toc296503223"/>
      <w:bookmarkStart w:id="548" w:name="_Toc292559428"/>
      <w:bookmarkStart w:id="549" w:name="_Toc267251476"/>
      <w:bookmarkStart w:id="550" w:name="_Toc267251475"/>
      <w:bookmarkStart w:id="551" w:name="_Toc267251471"/>
      <w:bookmarkStart w:id="552" w:name="_Toc267251470"/>
      <w:bookmarkStart w:id="553" w:name="_Toc267251473"/>
      <w:bookmarkStart w:id="554" w:name="_Toc267251472"/>
      <w:bookmarkStart w:id="555" w:name="_Toc267251474"/>
      <w:r>
        <w:rPr>
          <w:rFonts w:hint="eastAsia" w:ascii="宋体" w:hAnsi="宋体" w:cs="宋体"/>
          <w:color w:val="auto"/>
          <w:szCs w:val="21"/>
          <w:highlight w:val="none"/>
        </w:rPr>
        <w:t>13.2竣工验收</w:t>
      </w:r>
    </w:p>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14:paraId="48E3E676">
      <w:pPr>
        <w:spacing w:line="520" w:lineRule="exact"/>
        <w:ind w:firstLine="420" w:firstLineChars="200"/>
        <w:jc w:val="left"/>
        <w:rPr>
          <w:rFonts w:ascii="宋体" w:hAnsi="宋体" w:cs="宋体"/>
          <w:color w:val="auto"/>
          <w:szCs w:val="21"/>
          <w:highlight w:val="none"/>
        </w:rPr>
      </w:pPr>
      <w:bookmarkStart w:id="556" w:name="_Toc280868704"/>
      <w:bookmarkStart w:id="557" w:name="_Toc280868705"/>
      <w:bookmarkStart w:id="558" w:name="_Toc280868706"/>
      <w:bookmarkStart w:id="559" w:name="_Toc280868707"/>
      <w:bookmarkStart w:id="560" w:name="_Toc280868708"/>
      <w:bookmarkStart w:id="561" w:name="_Toc280868709"/>
      <w:r>
        <w:rPr>
          <w:rFonts w:hint="eastAsia" w:ascii="宋体" w:hAnsi="宋体" w:cs="宋体"/>
          <w:color w:val="auto"/>
          <w:szCs w:val="21"/>
          <w:highlight w:val="none"/>
        </w:rPr>
        <w:t>13.2.2竣工验收程序</w:t>
      </w:r>
    </w:p>
    <w:bookmarkEnd w:id="556"/>
    <w:p w14:paraId="47FDAFF1">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关于竣工验收程序的约定：</w:t>
      </w:r>
      <w:r>
        <w:rPr>
          <w:rFonts w:hint="eastAsia" w:ascii="宋体" w:hAnsi="宋体" w:cs="宋体"/>
          <w:color w:val="auto"/>
          <w:kern w:val="0"/>
          <w:szCs w:val="21"/>
          <w:highlight w:val="none"/>
          <w:u w:val="single"/>
        </w:rPr>
        <w:t>发包人颁发的竣工验收相关规定及技术档案管理条例编制整理的竣工资料和竣工图（含电子档竣工图），在竣工质量验收之前监理人及发包人认可后移交给发包人，若承包人未能及时移交，竣工质量验收延后，直至承包人完整移交竣工图及竣工资料为止，由此造成的工期延误或其他相应损失由承包人承担。竣工验收资料的份数：一式伍份。竣工验收资料的费用支付方式：承包人承担</w:t>
      </w:r>
      <w:r>
        <w:rPr>
          <w:rFonts w:hint="eastAsia" w:ascii="宋体" w:hAnsi="宋体" w:cs="宋体"/>
          <w:color w:val="auto"/>
          <w:szCs w:val="21"/>
          <w:highlight w:val="none"/>
        </w:rPr>
        <w:t>。</w:t>
      </w:r>
    </w:p>
    <w:p w14:paraId="1E9685B0">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发包人不按照本项约定组织竣工验收、颁发工程接收证书的违约金的计算方法：</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bookmarkEnd w:id="557"/>
    <w:p w14:paraId="2AB394A4">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13.2.5移交、接收全部与部分工程</w:t>
      </w:r>
    </w:p>
    <w:bookmarkEnd w:id="558"/>
    <w:p w14:paraId="3569EB07">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承包人向发包人移交工程的期限：</w:t>
      </w:r>
      <w:r>
        <w:rPr>
          <w:rFonts w:hint="eastAsia" w:ascii="宋体" w:hAnsi="宋体" w:cs="宋体"/>
          <w:color w:val="auto"/>
          <w:szCs w:val="21"/>
          <w:highlight w:val="none"/>
          <w:u w:val="single"/>
        </w:rPr>
        <w:t>根据发包人要求执行</w:t>
      </w:r>
      <w:r>
        <w:rPr>
          <w:rFonts w:hint="eastAsia" w:ascii="宋体" w:hAnsi="宋体" w:cs="宋体"/>
          <w:color w:val="auto"/>
          <w:szCs w:val="21"/>
          <w:highlight w:val="none"/>
        </w:rPr>
        <w:t>。</w:t>
      </w:r>
    </w:p>
    <w:p w14:paraId="43805975">
      <w:pPr>
        <w:tabs>
          <w:tab w:val="left" w:pos="8789"/>
        </w:tabs>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发包人未按本合同约定接收全部或部分工程的，违约金的计算方法为：</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bookmarkEnd w:id="559"/>
    <w:p w14:paraId="1E068ADB">
      <w:pPr>
        <w:spacing w:line="52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承包人未按时移交工程的，违约金的计算方法为：</w:t>
      </w:r>
      <w:r>
        <w:rPr>
          <w:rFonts w:hint="eastAsia" w:ascii="宋体" w:hAnsi="宋体" w:cs="宋体"/>
          <w:color w:val="auto"/>
          <w:kern w:val="0"/>
          <w:szCs w:val="21"/>
          <w:highlight w:val="none"/>
          <w:u w:val="single"/>
        </w:rPr>
        <w:t>承包人按延误工期的天数每天向发包人支付</w:t>
      </w:r>
      <w:r>
        <w:rPr>
          <w:rFonts w:hint="eastAsia" w:ascii="宋体" w:hAnsi="宋体" w:cs="宋体"/>
          <w:color w:val="auto"/>
          <w:kern w:val="0"/>
          <w:szCs w:val="21"/>
          <w:highlight w:val="none"/>
          <w:u w:val="single"/>
          <w:lang w:val="en-US" w:eastAsia="zh-CN"/>
        </w:rPr>
        <w:t>合同价</w:t>
      </w:r>
      <w:r>
        <w:rPr>
          <w:rFonts w:hint="eastAsia" w:ascii="宋体" w:hAnsi="宋体" w:cs="宋体"/>
          <w:color w:val="auto"/>
          <w:kern w:val="0"/>
          <w:szCs w:val="21"/>
          <w:highlight w:val="none"/>
          <w:u w:val="single"/>
        </w:rPr>
        <w:t>的 0.2‰的逾期竣工违约金。如果因承包人原因，引起的发包人（包括其他专业承包单位）的实际相应损失由承包人承担。</w:t>
      </w:r>
    </w:p>
    <w:p w14:paraId="55AEB527">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13.3工程试车</w:t>
      </w:r>
    </w:p>
    <w:bookmarkEnd w:id="560"/>
    <w:p w14:paraId="4F5A0987">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13.3.1试车程序</w:t>
      </w:r>
    </w:p>
    <w:p w14:paraId="23B3A810">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工程试车内容：</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3C4A1683">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（1）单机无负荷试车费用由</w:t>
      </w:r>
      <w:r>
        <w:rPr>
          <w:rFonts w:hint="eastAsia" w:ascii="宋体" w:hAnsi="宋体" w:cs="宋体"/>
          <w:color w:val="auto"/>
          <w:szCs w:val="21"/>
          <w:highlight w:val="none"/>
          <w:u w:val="single"/>
        </w:rPr>
        <w:t>承包人</w:t>
      </w:r>
      <w:r>
        <w:rPr>
          <w:rFonts w:hint="eastAsia" w:ascii="宋体" w:hAnsi="宋体" w:cs="宋体"/>
          <w:color w:val="auto"/>
          <w:kern w:val="0"/>
          <w:szCs w:val="21"/>
          <w:highlight w:val="none"/>
        </w:rPr>
        <w:t>承担；</w:t>
      </w:r>
    </w:p>
    <w:p w14:paraId="1BABC1C4">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（2）无负荷联动试车费用由</w:t>
      </w:r>
      <w:r>
        <w:rPr>
          <w:rFonts w:hint="eastAsia" w:ascii="宋体" w:hAnsi="宋体" w:cs="宋体"/>
          <w:color w:val="auto"/>
          <w:szCs w:val="21"/>
          <w:highlight w:val="none"/>
          <w:u w:val="single"/>
        </w:rPr>
        <w:t>发包人</w:t>
      </w:r>
      <w:r>
        <w:rPr>
          <w:rFonts w:hint="eastAsia" w:ascii="宋体" w:hAnsi="宋体" w:cs="宋体"/>
          <w:color w:val="auto"/>
          <w:kern w:val="0"/>
          <w:szCs w:val="21"/>
          <w:highlight w:val="none"/>
        </w:rPr>
        <w:t>承担。</w:t>
      </w:r>
    </w:p>
    <w:p w14:paraId="799DF35D">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13.3.3投料试车</w:t>
      </w:r>
    </w:p>
    <w:p w14:paraId="36CA4CE6">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关于投料试车相关事项的约定：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41ADB440">
      <w:pPr>
        <w:spacing w:after="120" w:line="520" w:lineRule="exact"/>
        <w:ind w:firstLine="420" w:firstLineChars="200"/>
        <w:outlineLvl w:val="0"/>
        <w:rPr>
          <w:rFonts w:ascii="宋体" w:hAnsi="宋体" w:cs="宋体"/>
          <w:color w:val="auto"/>
          <w:szCs w:val="21"/>
          <w:highlight w:val="none"/>
        </w:rPr>
      </w:pPr>
      <w:bookmarkStart w:id="562" w:name="_Toc10573"/>
      <w:bookmarkStart w:id="563" w:name="_Toc514750249"/>
      <w:r>
        <w:rPr>
          <w:rFonts w:hint="eastAsia" w:ascii="宋体" w:hAnsi="宋体" w:cs="宋体"/>
          <w:color w:val="auto"/>
          <w:szCs w:val="21"/>
          <w:highlight w:val="none"/>
        </w:rPr>
        <w:t>13.6竣工退场</w:t>
      </w:r>
      <w:bookmarkEnd w:id="562"/>
      <w:bookmarkEnd w:id="563"/>
    </w:p>
    <w:p w14:paraId="5F4AB0DD">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13.6.1竣工退场</w:t>
      </w:r>
    </w:p>
    <w:p w14:paraId="7AB50FB4">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承包人完成竣工退场的期限：</w:t>
      </w:r>
      <w:r>
        <w:rPr>
          <w:rFonts w:hint="eastAsia" w:ascii="宋体" w:hAnsi="宋体" w:cs="宋体"/>
          <w:color w:val="auto"/>
          <w:szCs w:val="21"/>
          <w:highlight w:val="none"/>
          <w:u w:val="single"/>
        </w:rPr>
        <w:t>发包人发出书面通知后7日内</w:t>
      </w:r>
      <w:r>
        <w:rPr>
          <w:rFonts w:hint="eastAsia" w:ascii="宋体" w:hAnsi="宋体" w:cs="宋体"/>
          <w:color w:val="auto"/>
          <w:kern w:val="0"/>
          <w:szCs w:val="21"/>
          <w:highlight w:val="none"/>
        </w:rPr>
        <w:t>。</w:t>
      </w:r>
    </w:p>
    <w:p w14:paraId="6795F407">
      <w:pPr>
        <w:pStyle w:val="4"/>
        <w:spacing w:before="120" w:after="120" w:line="520" w:lineRule="exact"/>
        <w:rPr>
          <w:rFonts w:ascii="宋体" w:hAnsi="宋体" w:cs="宋体"/>
          <w:b w:val="0"/>
          <w:color w:val="auto"/>
          <w:szCs w:val="21"/>
          <w:highlight w:val="none"/>
        </w:rPr>
      </w:pPr>
      <w:bookmarkStart w:id="564" w:name="_Toc514750250"/>
      <w:r>
        <w:rPr>
          <w:rFonts w:hint="eastAsia" w:ascii="宋体" w:hAnsi="宋体" w:cs="宋体"/>
          <w:b w:val="0"/>
          <w:color w:val="auto"/>
          <w:szCs w:val="21"/>
          <w:highlight w:val="none"/>
        </w:rPr>
        <w:t>14.竣工结算</w:t>
      </w:r>
      <w:bookmarkEnd w:id="564"/>
    </w:p>
    <w:p w14:paraId="567998F5">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14.1竣工结算申请</w:t>
      </w:r>
    </w:p>
    <w:p w14:paraId="4EDF4367">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承包人提交竣工结算申请单的期限：</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09DB6B00">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竣工结算申请单应包括的内容：</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17C2498B">
      <w:pPr>
        <w:spacing w:after="120" w:line="520" w:lineRule="exact"/>
        <w:ind w:firstLine="420" w:firstLineChars="200"/>
        <w:outlineLvl w:val="0"/>
        <w:rPr>
          <w:rFonts w:ascii="宋体" w:hAnsi="宋体" w:cs="宋体"/>
          <w:color w:val="auto"/>
          <w:szCs w:val="21"/>
          <w:highlight w:val="none"/>
        </w:rPr>
      </w:pPr>
      <w:bookmarkStart w:id="565" w:name="_Toc514750251"/>
      <w:bookmarkStart w:id="566" w:name="_Toc29964"/>
      <w:r>
        <w:rPr>
          <w:rFonts w:hint="eastAsia" w:ascii="宋体" w:hAnsi="宋体" w:cs="宋体"/>
          <w:color w:val="auto"/>
          <w:szCs w:val="21"/>
          <w:highlight w:val="none"/>
        </w:rPr>
        <w:t>14.2竣工结算审核</w:t>
      </w:r>
      <w:bookmarkEnd w:id="565"/>
      <w:bookmarkEnd w:id="566"/>
    </w:p>
    <w:p w14:paraId="3E327E17">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发包人审批竣工付款申请单的期限：</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7E23E9A4">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发包人完成竣工付款的期限：</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55C5E1BC">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关于竣工付款证书异议部分复核的方式和程序：</w:t>
      </w:r>
      <w:r>
        <w:rPr>
          <w:rFonts w:hint="eastAsia" w:ascii="宋体" w:hAnsi="宋体" w:cs="宋体"/>
          <w:color w:val="auto"/>
          <w:szCs w:val="21"/>
          <w:highlight w:val="none"/>
          <w:u w:val="single"/>
        </w:rPr>
        <w:t>发包人和承包人应当在监理人颁发(出具)工程接收证书后56天内办清竣工结算</w:t>
      </w:r>
      <w:r>
        <w:rPr>
          <w:rFonts w:hint="eastAsia" w:ascii="宋体" w:hAnsi="宋体" w:cs="宋体"/>
          <w:color w:val="auto"/>
          <w:szCs w:val="21"/>
          <w:highlight w:val="none"/>
        </w:rPr>
        <w:t>。</w:t>
      </w:r>
    </w:p>
    <w:p w14:paraId="04C2B43F">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14.4最终结清</w:t>
      </w:r>
    </w:p>
    <w:p w14:paraId="63F9652A">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14.4.1最终结清申请单</w:t>
      </w:r>
    </w:p>
    <w:p w14:paraId="14C837A7">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承包人提交最终结清申请单的份数：</w:t>
      </w:r>
      <w:r>
        <w:rPr>
          <w:rFonts w:hint="eastAsia" w:ascii="宋体" w:hAnsi="宋体" w:cs="宋体"/>
          <w:color w:val="auto"/>
          <w:szCs w:val="21"/>
          <w:highlight w:val="none"/>
          <w:u w:val="single"/>
        </w:rPr>
        <w:t>按发包人要求</w:t>
      </w:r>
      <w:r>
        <w:rPr>
          <w:rFonts w:hint="eastAsia" w:ascii="宋体" w:hAnsi="宋体" w:cs="宋体"/>
          <w:color w:val="auto"/>
          <w:szCs w:val="21"/>
          <w:highlight w:val="none"/>
        </w:rPr>
        <w:t>。</w:t>
      </w:r>
    </w:p>
    <w:p w14:paraId="5A38000E">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承包人提交最终结算申请单的期限：</w:t>
      </w:r>
      <w:r>
        <w:rPr>
          <w:rFonts w:hint="eastAsia" w:ascii="宋体" w:hAnsi="宋体" w:cs="宋体"/>
          <w:color w:val="auto"/>
          <w:szCs w:val="21"/>
          <w:highlight w:val="none"/>
          <w:u w:val="single"/>
        </w:rPr>
        <w:t>按发包人要求</w:t>
      </w:r>
      <w:r>
        <w:rPr>
          <w:rFonts w:hint="eastAsia" w:ascii="宋体" w:hAnsi="宋体" w:cs="宋体"/>
          <w:color w:val="auto"/>
          <w:szCs w:val="21"/>
          <w:highlight w:val="none"/>
        </w:rPr>
        <w:t>。</w:t>
      </w:r>
    </w:p>
    <w:p w14:paraId="16AD5AFC">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14.4.2最终结清证书和支付</w:t>
      </w:r>
    </w:p>
    <w:p w14:paraId="510FC58C">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（1）发包人完成最终结清申请单的审批并颁发最终结清证书的期限：</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14:paraId="1C2BF0C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（2）发包人完成支付的期限：</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bookmarkEnd w:id="549"/>
    <w:bookmarkEnd w:id="550"/>
    <w:bookmarkEnd w:id="551"/>
    <w:bookmarkEnd w:id="552"/>
    <w:bookmarkEnd w:id="553"/>
    <w:bookmarkEnd w:id="554"/>
    <w:bookmarkEnd w:id="555"/>
    <w:bookmarkEnd w:id="561"/>
    <w:p w14:paraId="184A1FCA">
      <w:pPr>
        <w:pStyle w:val="4"/>
        <w:spacing w:before="120" w:after="120" w:line="520" w:lineRule="exact"/>
        <w:rPr>
          <w:rFonts w:ascii="宋体" w:hAnsi="宋体" w:cs="宋体"/>
          <w:b w:val="0"/>
          <w:color w:val="auto"/>
          <w:szCs w:val="21"/>
          <w:highlight w:val="none"/>
        </w:rPr>
      </w:pPr>
      <w:bookmarkStart w:id="567" w:name="_Toc514750252"/>
      <w:bookmarkStart w:id="568" w:name="_Toc267251483"/>
      <w:bookmarkStart w:id="569" w:name="_Toc267251484"/>
      <w:bookmarkStart w:id="570" w:name="_Toc267251482"/>
      <w:bookmarkStart w:id="571" w:name="_Toc267251485"/>
      <w:bookmarkStart w:id="572" w:name="_Toc267251490"/>
      <w:bookmarkStart w:id="573" w:name="_Toc267251489"/>
      <w:bookmarkStart w:id="574" w:name="_Toc267251488"/>
      <w:bookmarkStart w:id="575" w:name="_Toc267251486"/>
      <w:bookmarkStart w:id="576" w:name="_Toc267251494"/>
      <w:bookmarkStart w:id="577" w:name="_Toc267251493"/>
      <w:bookmarkStart w:id="578" w:name="_Toc267251501"/>
      <w:bookmarkStart w:id="579" w:name="_Toc267251492"/>
      <w:bookmarkStart w:id="580" w:name="_Toc267251503"/>
      <w:bookmarkStart w:id="581" w:name="_Toc267251491"/>
      <w:bookmarkStart w:id="582" w:name="_Toc267251499"/>
      <w:bookmarkStart w:id="583" w:name="_Toc267251498"/>
      <w:bookmarkStart w:id="584" w:name="_Toc267251497"/>
      <w:bookmarkStart w:id="585" w:name="_Toc267251496"/>
      <w:bookmarkStart w:id="586" w:name="_Toc267251502"/>
      <w:bookmarkStart w:id="587" w:name="_Toc267251495"/>
      <w:bookmarkStart w:id="588" w:name="_Toc267251506"/>
      <w:bookmarkStart w:id="589" w:name="_Toc267251504"/>
      <w:bookmarkStart w:id="590" w:name="_Toc267251507"/>
      <w:bookmarkStart w:id="591" w:name="_Toc267251508"/>
      <w:bookmarkStart w:id="592" w:name="_Toc267251510"/>
      <w:bookmarkStart w:id="593" w:name="_Toc267251514"/>
      <w:bookmarkStart w:id="594" w:name="_Toc267251513"/>
      <w:bookmarkStart w:id="595" w:name="_Toc267251515"/>
      <w:bookmarkStart w:id="596" w:name="_Toc267251511"/>
      <w:bookmarkStart w:id="597" w:name="_Toc267251509"/>
      <w:r>
        <w:rPr>
          <w:rFonts w:hint="eastAsia" w:ascii="宋体" w:hAnsi="宋体" w:cs="宋体"/>
          <w:b w:val="0"/>
          <w:color w:val="auto"/>
          <w:szCs w:val="21"/>
          <w:highlight w:val="none"/>
        </w:rPr>
        <w:t>15.缺陷责任期与保修</w:t>
      </w:r>
      <w:bookmarkEnd w:id="567"/>
    </w:p>
    <w:p w14:paraId="67755A77">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15.2缺陷责任期</w:t>
      </w:r>
      <w:bookmarkEnd w:id="568"/>
    </w:p>
    <w:p w14:paraId="24BC34DE">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缺陷责任期的具体期限</w:t>
      </w:r>
      <w:r>
        <w:rPr>
          <w:rFonts w:hint="eastAsia" w:ascii="宋体" w:hAnsi="宋体" w:cs="宋体"/>
          <w:color w:val="auto"/>
          <w:szCs w:val="21"/>
          <w:highlight w:val="none"/>
          <w:u w:val="single"/>
        </w:rPr>
        <w:t>：按附件“质量保修书”规定</w:t>
      </w:r>
      <w:r>
        <w:rPr>
          <w:rFonts w:hint="eastAsia" w:ascii="宋体" w:hAnsi="宋体" w:cs="宋体"/>
          <w:color w:val="auto"/>
          <w:szCs w:val="21"/>
          <w:highlight w:val="none"/>
        </w:rPr>
        <w:t>。</w:t>
      </w:r>
    </w:p>
    <w:p w14:paraId="44A3B702">
      <w:pPr>
        <w:spacing w:after="120" w:line="520" w:lineRule="exact"/>
        <w:ind w:firstLine="420" w:firstLineChars="200"/>
        <w:outlineLvl w:val="0"/>
        <w:rPr>
          <w:rFonts w:ascii="宋体" w:hAnsi="宋体" w:cs="宋体"/>
          <w:color w:val="auto"/>
          <w:szCs w:val="21"/>
          <w:highlight w:val="none"/>
        </w:rPr>
      </w:pPr>
      <w:bookmarkStart w:id="598" w:name="_Toc514750253"/>
      <w:bookmarkStart w:id="599" w:name="_Toc10154"/>
      <w:r>
        <w:rPr>
          <w:rFonts w:hint="eastAsia" w:ascii="宋体" w:hAnsi="宋体" w:cs="宋体"/>
          <w:color w:val="auto"/>
          <w:szCs w:val="21"/>
          <w:highlight w:val="none"/>
        </w:rPr>
        <w:t>15.3质量保证金</w:t>
      </w:r>
      <w:bookmarkEnd w:id="598"/>
      <w:bookmarkEnd w:id="599"/>
    </w:p>
    <w:p w14:paraId="76FC009C">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关于是否扣留质量保证金的约定：</w:t>
      </w:r>
      <w:bookmarkStart w:id="600" w:name="EB8c7f9339519a4c6eba8a44130373a330"/>
      <w:r>
        <w:rPr>
          <w:rFonts w:hint="eastAsia" w:ascii="宋体" w:hAnsi="宋体" w:cs="宋体"/>
          <w:color w:val="auto"/>
          <w:szCs w:val="21"/>
          <w:highlight w:val="none"/>
          <w:u w:val="single"/>
        </w:rPr>
        <w:t>详见质量保修书</w:t>
      </w:r>
      <w:bookmarkEnd w:id="600"/>
      <w:r>
        <w:rPr>
          <w:rFonts w:hint="eastAsia" w:ascii="宋体" w:hAnsi="宋体" w:cs="宋体"/>
          <w:color w:val="auto"/>
          <w:szCs w:val="21"/>
          <w:highlight w:val="none"/>
        </w:rPr>
        <w:t>。在工程项目竣工前，承包人按专用合同条款第3.7条提供履约担保的，发包人不得同时预留工程质量保证金。</w:t>
      </w:r>
    </w:p>
    <w:p w14:paraId="605708A5">
      <w:pPr>
        <w:spacing w:line="520" w:lineRule="exact"/>
        <w:ind w:firstLine="420" w:firstLineChars="200"/>
        <w:jc w:val="left"/>
        <w:rPr>
          <w:rFonts w:ascii="宋体" w:hAnsi="宋体" w:cs="宋体"/>
          <w:color w:val="auto"/>
          <w:szCs w:val="21"/>
          <w:highlight w:val="none"/>
        </w:rPr>
      </w:pPr>
    </w:p>
    <w:p w14:paraId="54700CA0">
      <w:pPr>
        <w:spacing w:line="520" w:lineRule="exact"/>
        <w:ind w:firstLine="420" w:firstLineChars="200"/>
        <w:jc w:val="left"/>
        <w:outlineLvl w:val="0"/>
        <w:rPr>
          <w:rFonts w:ascii="宋体" w:hAnsi="宋体" w:cs="宋体"/>
          <w:color w:val="auto"/>
          <w:szCs w:val="21"/>
          <w:highlight w:val="none"/>
        </w:rPr>
      </w:pPr>
      <w:bookmarkStart w:id="601" w:name="_Toc19949"/>
      <w:bookmarkStart w:id="602" w:name="_Toc514750254"/>
      <w:r>
        <w:rPr>
          <w:rFonts w:hint="eastAsia" w:ascii="宋体" w:hAnsi="宋体" w:cs="宋体"/>
          <w:color w:val="auto"/>
          <w:szCs w:val="21"/>
          <w:highlight w:val="none"/>
        </w:rPr>
        <w:t>15.3.1承包人提供质量保证金的方式</w:t>
      </w:r>
      <w:bookmarkEnd w:id="601"/>
      <w:bookmarkEnd w:id="602"/>
    </w:p>
    <w:p w14:paraId="70CF101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color w:val="auto"/>
          <w:szCs w:val="21"/>
          <w:highlight w:val="none"/>
          <w:u w:val="single"/>
        </w:rPr>
        <w:t>3</w:t>
      </w:r>
      <w:r>
        <w:rPr>
          <w:rFonts w:hint="eastAsia" w:ascii="宋体" w:hAnsi="宋体" w:cs="宋体"/>
          <w:color w:val="auto"/>
          <w:szCs w:val="21"/>
          <w:highlight w:val="none"/>
        </w:rPr>
        <w:t>种方式：</w:t>
      </w:r>
    </w:p>
    <w:p w14:paraId="075B7ACE">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（1）质量保证金保函，保证金额为：</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11D57FD5">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u w:val="single"/>
          <w:lang w:val="en-US" w:eastAsia="zh-CN"/>
        </w:rPr>
        <w:t>3</w:t>
      </w:r>
      <w:r>
        <w:rPr>
          <w:rFonts w:hint="eastAsia" w:ascii="宋体" w:hAnsi="宋体" w:cs="宋体"/>
          <w:color w:val="auto"/>
          <w:kern w:val="0"/>
          <w:szCs w:val="21"/>
          <w:highlight w:val="none"/>
        </w:rPr>
        <w:t>%的工程款；</w:t>
      </w:r>
    </w:p>
    <w:p w14:paraId="20BD4C1A">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（3）其他方式</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u w:val="single"/>
        </w:rPr>
        <w:t>审定价的</w:t>
      </w:r>
      <w:r>
        <w:rPr>
          <w:rFonts w:hint="eastAsia" w:ascii="宋体" w:hAnsi="宋体" w:cs="宋体"/>
          <w:color w:val="auto"/>
          <w:kern w:val="0"/>
          <w:szCs w:val="21"/>
          <w:highlight w:val="none"/>
          <w:u w:val="single"/>
          <w:lang w:val="en-US" w:eastAsia="zh-CN"/>
        </w:rPr>
        <w:t>3</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5EA9A8A7">
      <w:pPr>
        <w:spacing w:line="520" w:lineRule="exact"/>
        <w:ind w:firstLine="420" w:firstLineChars="200"/>
        <w:jc w:val="left"/>
        <w:outlineLvl w:val="0"/>
        <w:rPr>
          <w:rFonts w:ascii="宋体" w:hAnsi="宋体" w:cs="宋体"/>
          <w:color w:val="auto"/>
          <w:szCs w:val="21"/>
          <w:highlight w:val="none"/>
        </w:rPr>
      </w:pPr>
      <w:bookmarkStart w:id="603" w:name="_Toc514750255"/>
      <w:bookmarkStart w:id="604" w:name="_Toc25025"/>
      <w:r>
        <w:rPr>
          <w:rFonts w:hint="eastAsia" w:ascii="宋体" w:hAnsi="宋体" w:cs="宋体"/>
          <w:color w:val="auto"/>
          <w:szCs w:val="21"/>
          <w:highlight w:val="none"/>
        </w:rPr>
        <w:t>15.3.2质量保证金的扣留</w:t>
      </w:r>
      <w:bookmarkEnd w:id="603"/>
      <w:bookmarkEnd w:id="604"/>
    </w:p>
    <w:p w14:paraId="356B08A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质量保证金的扣留采取以下第</w:t>
      </w:r>
      <w:r>
        <w:rPr>
          <w:rFonts w:hint="eastAsia" w:ascii="宋体" w:hAnsi="宋体" w:cs="宋体"/>
          <w:color w:val="auto"/>
          <w:szCs w:val="21"/>
          <w:highlight w:val="none"/>
          <w:u w:val="single"/>
        </w:rPr>
        <w:t>2</w:t>
      </w:r>
      <w:r>
        <w:rPr>
          <w:rFonts w:hint="eastAsia" w:ascii="宋体" w:hAnsi="宋体" w:cs="宋体"/>
          <w:color w:val="auto"/>
          <w:szCs w:val="21"/>
          <w:highlight w:val="none"/>
        </w:rPr>
        <w:t>种方式：</w:t>
      </w:r>
    </w:p>
    <w:p w14:paraId="076C887A">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（1）在支付工程进度款时逐次扣留，在此情形下，质量保证金的计算基数不包括预付款的支付、扣回以及价格调整的金额；</w:t>
      </w:r>
    </w:p>
    <w:p w14:paraId="5CC3459B">
      <w:pPr>
        <w:autoSpaceDE w:val="0"/>
        <w:autoSpaceDN w:val="0"/>
        <w:adjustRightInd w:val="0"/>
        <w:spacing w:line="520" w:lineRule="exact"/>
        <w:ind w:firstLine="420" w:firstLineChars="200"/>
        <w:jc w:val="left"/>
        <w:outlineLvl w:val="0"/>
        <w:rPr>
          <w:rFonts w:ascii="宋体" w:hAnsi="宋体" w:cs="宋体"/>
          <w:color w:val="auto"/>
          <w:kern w:val="0"/>
          <w:szCs w:val="21"/>
          <w:highlight w:val="none"/>
        </w:rPr>
      </w:pPr>
      <w:bookmarkStart w:id="605" w:name="_Toc3996"/>
      <w:bookmarkStart w:id="606" w:name="_Toc514750256"/>
      <w:r>
        <w:rPr>
          <w:rFonts w:hint="eastAsia" w:ascii="宋体" w:hAnsi="宋体" w:cs="宋体"/>
          <w:color w:val="auto"/>
          <w:kern w:val="0"/>
          <w:szCs w:val="21"/>
          <w:highlight w:val="none"/>
        </w:rPr>
        <w:t>（2）工程竣工结算时一次性扣留质量保证金；</w:t>
      </w:r>
      <w:bookmarkEnd w:id="605"/>
      <w:bookmarkEnd w:id="606"/>
    </w:p>
    <w:p w14:paraId="03D98C3D">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（3）其他扣留方式:</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3B1032D1">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关于质量保证金的补充约定：</w:t>
      </w:r>
      <w:r>
        <w:rPr>
          <w:rFonts w:hint="eastAsia" w:ascii="宋体" w:hAnsi="宋体" w:cs="宋体"/>
          <w:color w:val="auto"/>
          <w:kern w:val="0"/>
          <w:szCs w:val="21"/>
          <w:highlight w:val="none"/>
          <w:u w:val="single"/>
        </w:rPr>
        <w:t>在工程项目竣工前，已经缴纳履约保证金的，发包人不得同时预留工程质量保证金。采用工程质量保证担保、工程质量保险等其他保证方式的，发包人不得再预留保证金。发包人应按照合同约定方式预留保证金，保证金总预留比例不得高于工程价款结算总额的</w:t>
      </w:r>
      <w:r>
        <w:rPr>
          <w:rFonts w:hint="eastAsia" w:ascii="宋体" w:hAnsi="宋体" w:cs="宋体"/>
          <w:color w:val="auto"/>
          <w:kern w:val="0"/>
          <w:szCs w:val="21"/>
          <w:highlight w:val="none"/>
          <w:u w:val="single"/>
          <w:lang w:val="en-US" w:eastAsia="zh-CN"/>
        </w:rPr>
        <w:t>3</w:t>
      </w:r>
      <w:r>
        <w:rPr>
          <w:rFonts w:hint="eastAsia" w:ascii="宋体" w:hAnsi="宋体" w:cs="宋体"/>
          <w:color w:val="auto"/>
          <w:kern w:val="0"/>
          <w:szCs w:val="21"/>
          <w:highlight w:val="none"/>
          <w:u w:val="single"/>
        </w:rPr>
        <w:t>%。合同约定由承包人以银行保函替代预留保证金的，保函金额不得高于工程价款结算总额的</w:t>
      </w:r>
      <w:r>
        <w:rPr>
          <w:rFonts w:hint="eastAsia" w:ascii="宋体" w:hAnsi="宋体" w:cs="宋体"/>
          <w:color w:val="auto"/>
          <w:kern w:val="0"/>
          <w:szCs w:val="21"/>
          <w:highlight w:val="none"/>
          <w:u w:val="single"/>
          <w:lang w:val="en-US" w:eastAsia="zh-CN"/>
        </w:rPr>
        <w:t>3</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bookmarkEnd w:id="569"/>
    <w:bookmarkEnd w:id="570"/>
    <w:p w14:paraId="44B1A935">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15.4保修</w:t>
      </w:r>
    </w:p>
    <w:bookmarkEnd w:id="571"/>
    <w:p w14:paraId="6345D7F0">
      <w:pPr>
        <w:spacing w:line="520" w:lineRule="exact"/>
        <w:ind w:firstLine="409" w:firstLineChars="195"/>
        <w:jc w:val="left"/>
        <w:rPr>
          <w:rFonts w:ascii="宋体" w:hAnsi="宋体" w:cs="宋体"/>
          <w:color w:val="auto"/>
          <w:szCs w:val="21"/>
          <w:highlight w:val="none"/>
        </w:rPr>
      </w:pPr>
      <w:r>
        <w:rPr>
          <w:rFonts w:hint="eastAsia" w:ascii="宋体" w:hAnsi="宋体" w:cs="宋体"/>
          <w:color w:val="auto"/>
          <w:szCs w:val="21"/>
          <w:highlight w:val="none"/>
        </w:rPr>
        <w:t>15.4.1保修责任</w:t>
      </w:r>
    </w:p>
    <w:p w14:paraId="24D202E0">
      <w:pPr>
        <w:spacing w:line="520" w:lineRule="exact"/>
        <w:ind w:firstLine="409" w:firstLineChars="195"/>
        <w:jc w:val="left"/>
        <w:rPr>
          <w:rFonts w:ascii="宋体" w:hAnsi="宋体" w:cs="宋体"/>
          <w:color w:val="auto"/>
          <w:kern w:val="0"/>
          <w:szCs w:val="21"/>
          <w:highlight w:val="none"/>
        </w:rPr>
      </w:pPr>
      <w:r>
        <w:rPr>
          <w:rFonts w:hint="eastAsia" w:ascii="宋体" w:hAnsi="宋体" w:cs="宋体"/>
          <w:color w:val="auto"/>
          <w:szCs w:val="21"/>
          <w:highlight w:val="none"/>
        </w:rPr>
        <w:t>工程保修期为：</w:t>
      </w:r>
      <w:r>
        <w:rPr>
          <w:rFonts w:hint="eastAsia" w:ascii="宋体" w:hAnsi="宋体" w:cs="宋体"/>
          <w:color w:val="auto"/>
          <w:kern w:val="0"/>
          <w:szCs w:val="21"/>
          <w:highlight w:val="none"/>
          <w:u w:val="single"/>
        </w:rPr>
        <w:t>详见工程质量保修书</w:t>
      </w:r>
      <w:r>
        <w:rPr>
          <w:rFonts w:hint="eastAsia" w:ascii="宋体" w:hAnsi="宋体" w:cs="宋体"/>
          <w:color w:val="auto"/>
          <w:kern w:val="0"/>
          <w:szCs w:val="21"/>
          <w:highlight w:val="none"/>
        </w:rPr>
        <w:t>。</w:t>
      </w:r>
    </w:p>
    <w:p w14:paraId="733CA18C">
      <w:pPr>
        <w:spacing w:line="520" w:lineRule="exact"/>
        <w:ind w:firstLine="409" w:firstLineChars="195"/>
        <w:jc w:val="left"/>
        <w:rPr>
          <w:rFonts w:ascii="宋体" w:hAnsi="宋体" w:cs="宋体"/>
          <w:color w:val="auto"/>
          <w:szCs w:val="21"/>
          <w:highlight w:val="none"/>
        </w:rPr>
      </w:pPr>
      <w:r>
        <w:rPr>
          <w:rFonts w:hint="eastAsia" w:ascii="宋体" w:hAnsi="宋体" w:cs="宋体"/>
          <w:color w:val="auto"/>
          <w:szCs w:val="21"/>
          <w:highlight w:val="none"/>
        </w:rPr>
        <w:t>15.4.3修复通知</w:t>
      </w:r>
    </w:p>
    <w:p w14:paraId="13E994C2">
      <w:pPr>
        <w:spacing w:line="520" w:lineRule="exact"/>
        <w:ind w:firstLine="409" w:firstLineChars="195"/>
        <w:jc w:val="left"/>
        <w:rPr>
          <w:rFonts w:ascii="宋体" w:hAnsi="宋体" w:cs="宋体"/>
          <w:color w:val="auto"/>
          <w:kern w:val="0"/>
          <w:szCs w:val="21"/>
          <w:highlight w:val="none"/>
        </w:rPr>
      </w:pPr>
      <w:r>
        <w:rPr>
          <w:rFonts w:hint="eastAsia" w:ascii="宋体" w:hAnsi="宋体" w:cs="宋体"/>
          <w:color w:val="auto"/>
          <w:kern w:val="0"/>
          <w:szCs w:val="21"/>
          <w:highlight w:val="none"/>
        </w:rPr>
        <w:t>承包人收到保修通知并到达工程现场的合理时间：</w:t>
      </w:r>
      <w:r>
        <w:rPr>
          <w:rFonts w:hint="eastAsia" w:ascii="宋体" w:hAnsi="宋体" w:cs="宋体"/>
          <w:color w:val="auto"/>
          <w:kern w:val="0"/>
          <w:szCs w:val="21"/>
          <w:highlight w:val="none"/>
          <w:u w:val="single"/>
        </w:rPr>
        <w:t>承包人收到保修通知后 24 小时内到达工程现场</w:t>
      </w:r>
      <w:r>
        <w:rPr>
          <w:rFonts w:hint="eastAsia" w:ascii="宋体" w:hAnsi="宋体" w:cs="宋体"/>
          <w:color w:val="auto"/>
          <w:kern w:val="0"/>
          <w:szCs w:val="21"/>
          <w:highlight w:val="none"/>
        </w:rPr>
        <w:t>。</w:t>
      </w:r>
    </w:p>
    <w:bookmarkEnd w:id="572"/>
    <w:bookmarkEnd w:id="573"/>
    <w:bookmarkEnd w:id="574"/>
    <w:bookmarkEnd w:id="575"/>
    <w:p w14:paraId="06A76C9C">
      <w:pPr>
        <w:pStyle w:val="4"/>
        <w:spacing w:before="120" w:after="120" w:line="520" w:lineRule="exact"/>
        <w:rPr>
          <w:rFonts w:ascii="宋体" w:hAnsi="宋体" w:cs="宋体"/>
          <w:b w:val="0"/>
          <w:color w:val="auto"/>
          <w:szCs w:val="21"/>
          <w:highlight w:val="none"/>
        </w:rPr>
      </w:pPr>
      <w:bookmarkStart w:id="607" w:name="_Toc514750257"/>
      <w:bookmarkStart w:id="608" w:name="_Toc280868717"/>
      <w:bookmarkStart w:id="609" w:name="_Toc280868718"/>
      <w:r>
        <w:rPr>
          <w:rFonts w:hint="eastAsia" w:ascii="宋体" w:hAnsi="宋体" w:cs="宋体"/>
          <w:b w:val="0"/>
          <w:color w:val="auto"/>
          <w:szCs w:val="21"/>
          <w:highlight w:val="none"/>
        </w:rPr>
        <w:t>16.违约</w:t>
      </w:r>
      <w:bookmarkEnd w:id="607"/>
    </w:p>
    <w:p w14:paraId="3536094B">
      <w:pPr>
        <w:spacing w:after="120" w:line="520" w:lineRule="exact"/>
        <w:ind w:firstLine="420" w:firstLineChars="200"/>
        <w:outlineLvl w:val="0"/>
        <w:rPr>
          <w:rFonts w:ascii="宋体" w:hAnsi="宋体" w:cs="宋体"/>
          <w:color w:val="auto"/>
          <w:szCs w:val="21"/>
          <w:highlight w:val="none"/>
        </w:rPr>
      </w:pPr>
      <w:bookmarkStart w:id="610" w:name="_Toc514750258"/>
      <w:bookmarkStart w:id="611" w:name="_Toc4726"/>
      <w:r>
        <w:rPr>
          <w:rFonts w:hint="eastAsia" w:ascii="宋体" w:hAnsi="宋体" w:cs="宋体"/>
          <w:color w:val="auto"/>
          <w:szCs w:val="21"/>
          <w:highlight w:val="none"/>
        </w:rPr>
        <w:t>16.1发包人违约</w:t>
      </w:r>
      <w:bookmarkEnd w:id="610"/>
      <w:bookmarkEnd w:id="611"/>
    </w:p>
    <w:p w14:paraId="63483A5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16.1.1发包人违约的情形</w:t>
      </w:r>
    </w:p>
    <w:p w14:paraId="51D674F4">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发包人违约的其他情形：</w:t>
      </w:r>
      <w:r>
        <w:rPr>
          <w:rFonts w:hint="eastAsia" w:ascii="宋体" w:hAnsi="宋体" w:cs="宋体"/>
          <w:color w:val="auto"/>
          <w:kern w:val="0"/>
          <w:szCs w:val="21"/>
          <w:highlight w:val="none"/>
          <w:u w:val="single"/>
        </w:rPr>
        <w:t>若因发包人上级主管部门政策性变化等特殊原因，造成本工程停建或缓建时，发包人只对已发生的合格工程量负责，根据已发生的合格工程量与承包人办理结算，不承担其它违约责任。</w:t>
      </w:r>
    </w:p>
    <w:p w14:paraId="78487B4B">
      <w:pPr>
        <w:spacing w:line="520" w:lineRule="exact"/>
        <w:ind w:left="1050" w:hanging="1050" w:hangingChars="500"/>
        <w:jc w:val="left"/>
        <w:rPr>
          <w:rFonts w:ascii="宋体" w:hAnsi="宋体" w:cs="宋体"/>
          <w:color w:val="auto"/>
          <w:kern w:val="0"/>
          <w:szCs w:val="21"/>
          <w:highlight w:val="none"/>
        </w:rPr>
      </w:pPr>
      <w:r>
        <w:rPr>
          <w:rFonts w:hint="eastAsia" w:ascii="宋体" w:hAnsi="宋体" w:cs="宋体"/>
          <w:color w:val="auto"/>
          <w:kern w:val="0"/>
          <w:szCs w:val="21"/>
          <w:highlight w:val="none"/>
        </w:rPr>
        <w:t>16.1.2发包人违约的责任</w:t>
      </w:r>
    </w:p>
    <w:p w14:paraId="5B568A81">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发包人违约责任的承担方式和计算方法：</w:t>
      </w:r>
    </w:p>
    <w:p w14:paraId="6E16E6D5">
      <w:pPr>
        <w:spacing w:line="520" w:lineRule="exact"/>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（1）因发包人原因未能在计划开工日期前/天内下达开工通知的违约责任：</w:t>
      </w:r>
      <w:r>
        <w:rPr>
          <w:rFonts w:hint="eastAsia" w:ascii="宋体" w:hAnsi="宋体" w:cs="宋体"/>
          <w:color w:val="auto"/>
          <w:kern w:val="0"/>
          <w:szCs w:val="21"/>
          <w:highlight w:val="none"/>
          <w:u w:val="single"/>
        </w:rPr>
        <w:t>另行协商</w:t>
      </w:r>
      <w:r>
        <w:rPr>
          <w:rFonts w:hint="eastAsia" w:ascii="宋体" w:hAnsi="宋体" w:cs="宋体"/>
          <w:color w:val="auto"/>
          <w:kern w:val="0"/>
          <w:szCs w:val="21"/>
          <w:highlight w:val="none"/>
        </w:rPr>
        <w:t>。</w:t>
      </w:r>
    </w:p>
    <w:p w14:paraId="5DF023A9">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（2）因发包人原因未能按合同约定支付合同价款的违约责任：</w:t>
      </w:r>
      <w:r>
        <w:rPr>
          <w:rFonts w:hint="eastAsia" w:ascii="宋体" w:hAnsi="宋体" w:cs="宋体"/>
          <w:color w:val="auto"/>
          <w:kern w:val="0"/>
          <w:szCs w:val="21"/>
          <w:highlight w:val="none"/>
          <w:u w:val="single"/>
        </w:rPr>
        <w:t>另行协商</w:t>
      </w:r>
      <w:r>
        <w:rPr>
          <w:rFonts w:hint="eastAsia" w:ascii="宋体" w:hAnsi="宋体" w:cs="宋体"/>
          <w:color w:val="auto"/>
          <w:kern w:val="0"/>
          <w:szCs w:val="21"/>
          <w:highlight w:val="none"/>
        </w:rPr>
        <w:t>。</w:t>
      </w:r>
    </w:p>
    <w:p w14:paraId="3D0A5C08">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（3）发包人违反第10.1款〔变更的范围〕第（2）项约定，自行实施被取消的工作或转由他人实施的违约责任：</w:t>
      </w:r>
      <w:r>
        <w:rPr>
          <w:rFonts w:hint="eastAsia" w:ascii="宋体" w:hAnsi="宋体" w:cs="宋体"/>
          <w:color w:val="auto"/>
          <w:kern w:val="0"/>
          <w:szCs w:val="21"/>
          <w:highlight w:val="none"/>
          <w:u w:val="single"/>
        </w:rPr>
        <w:t>另行协商</w:t>
      </w:r>
      <w:r>
        <w:rPr>
          <w:rFonts w:hint="eastAsia" w:ascii="宋体" w:hAnsi="宋体" w:cs="宋体"/>
          <w:color w:val="auto"/>
          <w:kern w:val="0"/>
          <w:szCs w:val="21"/>
          <w:highlight w:val="none"/>
        </w:rPr>
        <w:t>。</w:t>
      </w:r>
    </w:p>
    <w:p w14:paraId="67879E41">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kern w:val="0"/>
          <w:szCs w:val="21"/>
          <w:highlight w:val="none"/>
          <w:u w:val="single"/>
        </w:rPr>
        <w:t>另行协商</w:t>
      </w:r>
      <w:r>
        <w:rPr>
          <w:rFonts w:hint="eastAsia" w:ascii="宋体" w:hAnsi="宋体" w:cs="宋体"/>
          <w:color w:val="auto"/>
          <w:kern w:val="0"/>
          <w:szCs w:val="21"/>
          <w:highlight w:val="none"/>
        </w:rPr>
        <w:t>。</w:t>
      </w:r>
    </w:p>
    <w:p w14:paraId="13A99AC2">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（5）因发包人违反合同约定造成暂停施工的违约责任：</w:t>
      </w:r>
      <w:r>
        <w:rPr>
          <w:rFonts w:hint="eastAsia" w:ascii="宋体" w:hAnsi="宋体" w:cs="宋体"/>
          <w:color w:val="auto"/>
          <w:kern w:val="0"/>
          <w:szCs w:val="21"/>
          <w:highlight w:val="none"/>
          <w:u w:val="single"/>
        </w:rPr>
        <w:t>另行协商</w:t>
      </w:r>
      <w:r>
        <w:rPr>
          <w:rFonts w:hint="eastAsia" w:ascii="宋体" w:hAnsi="宋体" w:cs="宋体"/>
          <w:color w:val="auto"/>
          <w:kern w:val="0"/>
          <w:szCs w:val="21"/>
          <w:highlight w:val="none"/>
        </w:rPr>
        <w:t>。</w:t>
      </w:r>
    </w:p>
    <w:p w14:paraId="4D42F614">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（6）发包人无正当理由没有在约定期限内发出复工指示，导致承包人无法复工的违约责任：</w:t>
      </w:r>
      <w:r>
        <w:rPr>
          <w:rFonts w:hint="eastAsia" w:ascii="宋体" w:hAnsi="宋体" w:cs="宋体"/>
          <w:color w:val="auto"/>
          <w:kern w:val="0"/>
          <w:szCs w:val="21"/>
          <w:highlight w:val="none"/>
          <w:u w:val="single"/>
        </w:rPr>
        <w:t>另行协商</w:t>
      </w:r>
      <w:r>
        <w:rPr>
          <w:rFonts w:hint="eastAsia" w:ascii="宋体" w:hAnsi="宋体" w:cs="宋体"/>
          <w:color w:val="auto"/>
          <w:kern w:val="0"/>
          <w:szCs w:val="21"/>
          <w:highlight w:val="none"/>
        </w:rPr>
        <w:t>。</w:t>
      </w:r>
    </w:p>
    <w:p w14:paraId="7A292397">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（7）其他：</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7AADD71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16.1.3因发包人违约解除合同</w:t>
      </w:r>
    </w:p>
    <w:p w14:paraId="7295060A">
      <w:pPr>
        <w:autoSpaceDE w:val="0"/>
        <w:autoSpaceDN w:val="0"/>
        <w:adjustRightInd w:val="0"/>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承包人按16.1.1项〔发包人违约的情形〕约定暂停施工满</w:t>
      </w:r>
      <w:r>
        <w:rPr>
          <w:rFonts w:ascii="宋体" w:hAnsi="宋体" w:cs="宋体"/>
          <w:color w:val="auto"/>
          <w:kern w:val="0"/>
          <w:szCs w:val="21"/>
          <w:highlight w:val="none"/>
          <w:u w:val="single"/>
        </w:rPr>
        <w:t>180</w:t>
      </w:r>
      <w:r>
        <w:rPr>
          <w:rFonts w:hint="eastAsia" w:ascii="宋体" w:hAnsi="宋体" w:cs="宋体"/>
          <w:color w:val="auto"/>
          <w:kern w:val="0"/>
          <w:szCs w:val="21"/>
          <w:highlight w:val="none"/>
        </w:rPr>
        <w:t>天后发包人仍不纠正其违约行为并致使合同目的不能实现的，承包人有权解除合同。</w:t>
      </w:r>
    </w:p>
    <w:p w14:paraId="351E21A8">
      <w:pPr>
        <w:spacing w:after="120" w:line="520" w:lineRule="exact"/>
        <w:ind w:firstLine="420" w:firstLineChars="200"/>
        <w:outlineLvl w:val="0"/>
        <w:rPr>
          <w:rFonts w:ascii="宋体" w:hAnsi="宋体" w:cs="宋体"/>
          <w:color w:val="auto"/>
          <w:szCs w:val="21"/>
          <w:highlight w:val="none"/>
        </w:rPr>
      </w:pPr>
      <w:bookmarkStart w:id="612" w:name="_Toc514750259"/>
      <w:bookmarkStart w:id="613" w:name="_Toc19288"/>
      <w:r>
        <w:rPr>
          <w:rFonts w:hint="eastAsia" w:ascii="宋体" w:hAnsi="宋体" w:cs="宋体"/>
          <w:color w:val="auto"/>
          <w:szCs w:val="21"/>
          <w:highlight w:val="none"/>
        </w:rPr>
        <w:t>16.2承包人违约</w:t>
      </w:r>
      <w:bookmarkEnd w:id="612"/>
      <w:bookmarkEnd w:id="613"/>
    </w:p>
    <w:p w14:paraId="79E76BA7">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16.2.1承包人违约的情形</w:t>
      </w:r>
    </w:p>
    <w:p w14:paraId="6532D2F1">
      <w:pPr>
        <w:spacing w:line="520" w:lineRule="exact"/>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承包人违约的其他情形</w:t>
      </w:r>
      <w:r>
        <w:rPr>
          <w:rFonts w:hint="eastAsia" w:ascii="宋体" w:hAnsi="宋体" w:cs="宋体"/>
          <w:color w:val="auto"/>
          <w:kern w:val="0"/>
          <w:sz w:val="20"/>
          <w:szCs w:val="20"/>
          <w:highlight w:val="none"/>
          <w:u w:val="single"/>
        </w:rPr>
        <w:t>：</w:t>
      </w:r>
      <w:r>
        <w:rPr>
          <w:rFonts w:hint="eastAsia" w:ascii="宋体" w:hAnsi="宋体" w:cs="宋体"/>
          <w:color w:val="auto"/>
          <w:kern w:val="0"/>
          <w:szCs w:val="21"/>
          <w:highlight w:val="none"/>
          <w:u w:val="single"/>
        </w:rPr>
        <w:t>（1）承包人必须遵守发包人发布的工程变更签证管理制度及各项管理规定。包括发包人委托的监理人签发的各类文件（包括但不仅限于管理规定、会议纪要、通知单、工作安排及联系函），上述各类文件为本合同协议书的组成部分。承包人如不执行上述各类文件，视为违约，并且发包人将向承包人追溯由于不执行上述各类文件造成进度延误而产生的法律责任。</w:t>
      </w:r>
    </w:p>
    <w:p w14:paraId="06DFE9D3">
      <w:pPr>
        <w:spacing w:line="520" w:lineRule="exact"/>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（2）承包人不得以任何理由拒绝发包人提出的关于工程设计变更及其他零星工作施工的要求，否则将按相应工作内容造价的5%（并不少于2千元/次）向发包人支付违约金。</w:t>
      </w:r>
    </w:p>
    <w:p w14:paraId="1AD9AA8F">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16.2.2承包人违约的责任</w:t>
      </w:r>
    </w:p>
    <w:p w14:paraId="4018FDC9">
      <w:pPr>
        <w:spacing w:line="52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承包人违约责任的承担方式和计算方法：</w:t>
      </w:r>
      <w:r>
        <w:rPr>
          <w:rFonts w:hint="eastAsia" w:ascii="宋体" w:hAnsi="宋体" w:cs="宋体"/>
          <w:color w:val="auto"/>
          <w:kern w:val="0"/>
          <w:szCs w:val="21"/>
          <w:highlight w:val="none"/>
          <w:u w:val="single"/>
        </w:rPr>
        <w:t>（1）承包人违反合同约定进行转包或违法分包的，发包人可以与承包人解除合同，并扣除承包人全部履约保证金，造成发包人其他损失的，承包人仍应足额赔偿。</w:t>
      </w:r>
    </w:p>
    <w:p w14:paraId="59F21741">
      <w:pPr>
        <w:spacing w:line="52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（2）承包人违反合同约定采购和使用不合格的材料和工程设备的，承包人应重新采购并重新施工，并支付不合格的材料和工程设备价值的 10%作为违约金；</w:t>
      </w:r>
    </w:p>
    <w:p w14:paraId="074C5D8C">
      <w:pPr>
        <w:spacing w:line="52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（3）因承包人原因导致工程质量不符合合同要求的，承包人应重新施工或修复,如重新施工或修复 2 次仍未达到合格工程，发包人将委托第三方进行重新施工或修复，所发生的一切费用由承包人承担。</w:t>
      </w:r>
    </w:p>
    <w:p w14:paraId="5AF0C0B6">
      <w:pPr>
        <w:spacing w:line="52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（4）承包人违反材料与设备专用要求的约定，未经发包人批准，擅自将已按照合同约定进入施工现场的材料或设备撤离施工现场的，支付擅自撤离材料或设备价值的 5%作为违约金。</w:t>
      </w:r>
    </w:p>
    <w:p w14:paraId="37C9CD36">
      <w:pPr>
        <w:spacing w:line="520" w:lineRule="exact"/>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（5）承包人在缺陷责任期及保修期内，未能在合理期限内对工程缺陷进行修复，或拒绝按发包人要求进行修复的，发包人可以使用质量保证金由第三方修复。</w:t>
      </w:r>
    </w:p>
    <w:p w14:paraId="70941FD7">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16.2.3因承包人违约解除合同</w:t>
      </w:r>
    </w:p>
    <w:p w14:paraId="3DD1B1B0">
      <w:pPr>
        <w:spacing w:before="120" w:after="120"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关于承包人违约解除合同的特别约定：</w:t>
      </w:r>
      <w:r>
        <w:rPr>
          <w:rFonts w:hint="eastAsia" w:ascii="宋体" w:hAnsi="宋体" w:cs="宋体"/>
          <w:color w:val="auto"/>
          <w:kern w:val="0"/>
          <w:szCs w:val="21"/>
          <w:highlight w:val="none"/>
          <w:u w:val="single"/>
        </w:rPr>
        <w:t>承包人出现违约情况时，或由发包人代表发出整改通知后，承包人在指定的合理期限内仍不纠正违约行为并致使合同目的不能实现的，发包人有权解除合同，因此造成各种经济损失（包括工期的延误），发包人有权对承包人进行追究、索赔经济损失</w:t>
      </w:r>
      <w:r>
        <w:rPr>
          <w:rFonts w:hint="eastAsia" w:ascii="宋体" w:hAnsi="宋体" w:cs="宋体"/>
          <w:color w:val="auto"/>
          <w:kern w:val="0"/>
          <w:szCs w:val="21"/>
          <w:highlight w:val="none"/>
        </w:rPr>
        <w:t>。</w:t>
      </w:r>
    </w:p>
    <w:p w14:paraId="14D158D3">
      <w:pPr>
        <w:spacing w:before="120" w:after="120"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发包人继续使用承包人在施工现场的材料、设备、临时工程、承包人文件和由承包人或以其名义编制的其他文件的费用承担方式：</w:t>
      </w:r>
      <w:r>
        <w:rPr>
          <w:rFonts w:hint="eastAsia" w:ascii="宋体" w:hAnsi="宋体" w:cs="宋体"/>
          <w:color w:val="auto"/>
          <w:kern w:val="0"/>
          <w:szCs w:val="21"/>
          <w:highlight w:val="none"/>
          <w:u w:val="single"/>
        </w:rPr>
        <w:t>另行协商</w:t>
      </w:r>
      <w:r>
        <w:rPr>
          <w:rFonts w:hint="eastAsia" w:ascii="宋体" w:hAnsi="宋体" w:cs="宋体"/>
          <w:color w:val="auto"/>
          <w:kern w:val="0"/>
          <w:szCs w:val="21"/>
          <w:highlight w:val="none"/>
        </w:rPr>
        <w:t>。</w:t>
      </w:r>
    </w:p>
    <w:p w14:paraId="7D722A90">
      <w:pPr>
        <w:pStyle w:val="4"/>
        <w:spacing w:before="120" w:after="120" w:line="520" w:lineRule="exact"/>
        <w:rPr>
          <w:rFonts w:ascii="宋体" w:hAnsi="宋体" w:cs="宋体"/>
          <w:b w:val="0"/>
          <w:color w:val="auto"/>
          <w:szCs w:val="21"/>
          <w:highlight w:val="none"/>
        </w:rPr>
      </w:pPr>
      <w:bookmarkStart w:id="614" w:name="_Toc514750260"/>
      <w:r>
        <w:rPr>
          <w:rFonts w:hint="eastAsia" w:ascii="宋体" w:hAnsi="宋体" w:cs="宋体"/>
          <w:b w:val="0"/>
          <w:color w:val="auto"/>
          <w:szCs w:val="21"/>
          <w:highlight w:val="none"/>
        </w:rPr>
        <w:t>17.不可抗力</w:t>
      </w:r>
      <w:bookmarkEnd w:id="608"/>
      <w:bookmarkEnd w:id="614"/>
    </w:p>
    <w:p w14:paraId="1149BB9F">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17.1不可抗力的确认</w:t>
      </w:r>
    </w:p>
    <w:p w14:paraId="2CD38049">
      <w:pPr>
        <w:spacing w:line="520" w:lineRule="exact"/>
        <w:ind w:firstLine="420" w:firstLineChars="200"/>
        <w:jc w:val="left"/>
        <w:rPr>
          <w:rFonts w:ascii="宋体" w:hAnsi="宋体" w:cs="宋体"/>
          <w:color w:val="auto"/>
          <w:kern w:val="0"/>
          <w:szCs w:val="21"/>
          <w:highlight w:val="none"/>
          <w:u w:val="single"/>
        </w:rPr>
      </w:pPr>
      <w:r>
        <w:rPr>
          <w:rFonts w:hint="eastAsia" w:ascii="宋体" w:hAnsi="宋体" w:cs="宋体"/>
          <w:color w:val="auto"/>
          <w:szCs w:val="21"/>
          <w:highlight w:val="none"/>
        </w:rPr>
        <w:t>除通用合同条款约定的不可抗力事件之外，视为不可抗力的其他情形：</w:t>
      </w:r>
      <w:r>
        <w:rPr>
          <w:rFonts w:hint="eastAsia" w:ascii="宋体" w:hAnsi="宋体" w:cs="宋体"/>
          <w:color w:val="auto"/>
          <w:kern w:val="0"/>
          <w:szCs w:val="21"/>
          <w:highlight w:val="none"/>
          <w:u w:val="single"/>
        </w:rPr>
        <w:t>由市级以上有关部门正式发布和认定的自然灾害</w:t>
      </w:r>
      <w:r>
        <w:rPr>
          <w:rFonts w:hint="eastAsia" w:ascii="宋体" w:hAnsi="宋体" w:cs="宋体"/>
          <w:color w:val="auto"/>
          <w:kern w:val="0"/>
          <w:szCs w:val="21"/>
          <w:highlight w:val="none"/>
        </w:rPr>
        <w:t>。</w:t>
      </w:r>
    </w:p>
    <w:p w14:paraId="5B2D4A9F">
      <w:pPr>
        <w:spacing w:after="120" w:line="520" w:lineRule="exact"/>
        <w:ind w:firstLine="420" w:firstLineChars="200"/>
        <w:outlineLvl w:val="0"/>
        <w:rPr>
          <w:rFonts w:ascii="宋体" w:hAnsi="宋体" w:cs="宋体"/>
          <w:color w:val="auto"/>
          <w:szCs w:val="21"/>
          <w:highlight w:val="none"/>
        </w:rPr>
      </w:pPr>
      <w:bookmarkStart w:id="615" w:name="_Toc26701"/>
      <w:bookmarkStart w:id="616" w:name="_Toc514750261"/>
      <w:r>
        <w:rPr>
          <w:rFonts w:hint="eastAsia" w:ascii="宋体" w:hAnsi="宋体" w:cs="宋体"/>
          <w:color w:val="auto"/>
          <w:szCs w:val="21"/>
          <w:highlight w:val="none"/>
        </w:rPr>
        <w:t>17.4因不可抗力解除合同</w:t>
      </w:r>
      <w:bookmarkEnd w:id="615"/>
      <w:bookmarkEnd w:id="616"/>
    </w:p>
    <w:p w14:paraId="535C094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合同解除后，发包人应在商定或确定发包人应支付款项后</w:t>
      </w:r>
      <w:r>
        <w:rPr>
          <w:rFonts w:hint="eastAsia" w:ascii="宋体" w:hAnsi="宋体" w:cs="宋体"/>
          <w:color w:val="auto"/>
          <w:szCs w:val="21"/>
          <w:highlight w:val="none"/>
          <w:u w:val="single"/>
        </w:rPr>
        <w:t>28</w:t>
      </w:r>
      <w:r>
        <w:rPr>
          <w:rFonts w:hint="eastAsia" w:ascii="宋体" w:hAnsi="宋体" w:cs="宋体"/>
          <w:color w:val="auto"/>
          <w:szCs w:val="21"/>
          <w:highlight w:val="none"/>
        </w:rPr>
        <w:t>天内完成款项的支付。</w:t>
      </w:r>
    </w:p>
    <w:p w14:paraId="023B5087">
      <w:pPr>
        <w:pStyle w:val="4"/>
        <w:spacing w:before="120" w:after="120" w:line="520" w:lineRule="exact"/>
        <w:rPr>
          <w:rFonts w:ascii="宋体" w:hAnsi="宋体" w:cs="宋体"/>
          <w:b w:val="0"/>
          <w:color w:val="auto"/>
          <w:szCs w:val="21"/>
          <w:highlight w:val="none"/>
        </w:rPr>
      </w:pPr>
      <w:bookmarkStart w:id="617" w:name="_Toc514750262"/>
      <w:r>
        <w:rPr>
          <w:rFonts w:hint="eastAsia" w:ascii="宋体" w:hAnsi="宋体" w:cs="宋体"/>
          <w:b w:val="0"/>
          <w:color w:val="auto"/>
          <w:szCs w:val="21"/>
          <w:highlight w:val="none"/>
        </w:rPr>
        <w:t>18.保险</w:t>
      </w:r>
      <w:bookmarkEnd w:id="617"/>
    </w:p>
    <w:bookmarkEnd w:id="609"/>
    <w:p w14:paraId="30D2C74B">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18.1工程保险</w:t>
      </w:r>
    </w:p>
    <w:p w14:paraId="29F1903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关于工程保险的特别约定：</w:t>
      </w:r>
      <w:r>
        <w:rPr>
          <w:rFonts w:hint="eastAsia" w:ascii="宋体" w:hAnsi="宋体" w:cs="宋体"/>
          <w:color w:val="auto"/>
          <w:kern w:val="0"/>
          <w:szCs w:val="21"/>
          <w:highlight w:val="none"/>
          <w:u w:val="single"/>
        </w:rPr>
        <w:t>承包人必须按国家相关规定为从事危险作业的职工办理意外伤害保险、第三方人身以及其它依据国家、江苏省、常州市有关法律、法规、规章、规范性文件应当办理的人身、财产保险，否则发包人有权从工程款中代扣</w:t>
      </w:r>
      <w:r>
        <w:rPr>
          <w:rFonts w:hint="eastAsia" w:ascii="宋体" w:hAnsi="宋体" w:cs="宋体"/>
          <w:color w:val="auto"/>
          <w:kern w:val="0"/>
          <w:szCs w:val="21"/>
          <w:highlight w:val="none"/>
        </w:rPr>
        <w:t>。</w:t>
      </w:r>
    </w:p>
    <w:p w14:paraId="52D0810D">
      <w:pPr>
        <w:spacing w:after="120" w:line="520" w:lineRule="exact"/>
        <w:ind w:firstLine="420" w:firstLineChars="200"/>
        <w:outlineLvl w:val="0"/>
        <w:rPr>
          <w:rFonts w:ascii="宋体" w:hAnsi="宋体" w:cs="宋体"/>
          <w:color w:val="auto"/>
          <w:szCs w:val="21"/>
          <w:highlight w:val="none"/>
        </w:rPr>
      </w:pPr>
      <w:bookmarkStart w:id="618" w:name="_Toc514750263"/>
      <w:bookmarkStart w:id="619" w:name="_Toc22227"/>
      <w:r>
        <w:rPr>
          <w:rFonts w:hint="eastAsia" w:ascii="宋体" w:hAnsi="宋体" w:cs="宋体"/>
          <w:color w:val="auto"/>
          <w:szCs w:val="21"/>
          <w:highlight w:val="none"/>
        </w:rPr>
        <w:t>18.3其他保险</w:t>
      </w:r>
      <w:bookmarkEnd w:id="618"/>
      <w:bookmarkEnd w:id="619"/>
    </w:p>
    <w:p w14:paraId="52330FD6">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关于其他保险的约</w:t>
      </w:r>
      <w:r>
        <w:rPr>
          <w:rFonts w:hint="eastAsia" w:ascii="宋体" w:hAnsi="宋体" w:cs="宋体"/>
          <w:color w:val="auto"/>
          <w:kern w:val="0"/>
          <w:szCs w:val="21"/>
          <w:highlight w:val="none"/>
          <w:u w:val="single"/>
        </w:rPr>
        <w:t>定：按现行规定执行</w:t>
      </w:r>
      <w:r>
        <w:rPr>
          <w:rFonts w:hint="eastAsia" w:ascii="宋体" w:hAnsi="宋体" w:cs="宋体"/>
          <w:color w:val="auto"/>
          <w:kern w:val="0"/>
          <w:szCs w:val="21"/>
          <w:highlight w:val="none"/>
        </w:rPr>
        <w:t>。</w:t>
      </w:r>
    </w:p>
    <w:p w14:paraId="3B5B898D">
      <w:pPr>
        <w:spacing w:line="520" w:lineRule="exact"/>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承包人是否应为其施工设备等办理财产保险：</w:t>
      </w:r>
      <w:r>
        <w:rPr>
          <w:rFonts w:hint="eastAsia" w:ascii="宋体" w:hAnsi="宋体" w:cs="宋体"/>
          <w:color w:val="auto"/>
          <w:szCs w:val="21"/>
          <w:highlight w:val="none"/>
          <w:u w:val="single"/>
        </w:rPr>
        <w:t>承包人自理</w:t>
      </w:r>
      <w:r>
        <w:rPr>
          <w:rFonts w:hint="eastAsia" w:ascii="宋体" w:hAnsi="宋体" w:cs="宋体"/>
          <w:color w:val="auto"/>
          <w:szCs w:val="21"/>
          <w:highlight w:val="none"/>
        </w:rPr>
        <w:t>。</w:t>
      </w:r>
    </w:p>
    <w:p w14:paraId="140346AE">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18.7通知义务</w:t>
      </w:r>
    </w:p>
    <w:p w14:paraId="3D3D79C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关于变更保险合同时的通知义务的约定：</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bookmarkEnd w:id="576"/>
    <w:bookmarkEnd w:id="577"/>
    <w:bookmarkEnd w:id="578"/>
    <w:bookmarkEnd w:id="579"/>
    <w:bookmarkEnd w:id="580"/>
    <w:bookmarkEnd w:id="581"/>
    <w:bookmarkEnd w:id="582"/>
    <w:bookmarkEnd w:id="583"/>
    <w:bookmarkEnd w:id="584"/>
    <w:bookmarkEnd w:id="585"/>
    <w:bookmarkEnd w:id="586"/>
    <w:bookmarkEnd w:id="587"/>
    <w:p w14:paraId="6E11A723">
      <w:pPr>
        <w:pStyle w:val="4"/>
        <w:spacing w:before="120" w:after="120" w:line="520" w:lineRule="exact"/>
        <w:rPr>
          <w:rFonts w:ascii="宋体" w:hAnsi="宋体" w:cs="宋体"/>
          <w:b w:val="0"/>
          <w:color w:val="auto"/>
          <w:szCs w:val="21"/>
          <w:highlight w:val="none"/>
        </w:rPr>
      </w:pPr>
      <w:bookmarkStart w:id="620" w:name="_Toc514750264"/>
      <w:r>
        <w:rPr>
          <w:rFonts w:hint="eastAsia" w:ascii="宋体" w:hAnsi="宋体" w:cs="宋体"/>
          <w:b w:val="0"/>
          <w:color w:val="auto"/>
          <w:szCs w:val="21"/>
          <w:highlight w:val="none"/>
        </w:rPr>
        <w:t>20.争议解决</w:t>
      </w:r>
      <w:bookmarkEnd w:id="620"/>
    </w:p>
    <w:bookmarkEnd w:id="588"/>
    <w:bookmarkEnd w:id="589"/>
    <w:p w14:paraId="5E2AF3D9">
      <w:pPr>
        <w:spacing w:after="120" w:line="520" w:lineRule="exact"/>
        <w:ind w:firstLine="420" w:firstLineChars="200"/>
        <w:outlineLvl w:val="0"/>
        <w:rPr>
          <w:rFonts w:ascii="宋体" w:hAnsi="宋体" w:cs="宋体"/>
          <w:color w:val="auto"/>
          <w:szCs w:val="21"/>
          <w:highlight w:val="none"/>
        </w:rPr>
      </w:pPr>
      <w:bookmarkStart w:id="621" w:name="_Toc9859"/>
      <w:bookmarkStart w:id="622" w:name="_Toc514750265"/>
      <w:r>
        <w:rPr>
          <w:rFonts w:hint="eastAsia" w:ascii="宋体" w:hAnsi="宋体" w:cs="宋体"/>
          <w:color w:val="auto"/>
          <w:szCs w:val="21"/>
          <w:highlight w:val="none"/>
        </w:rPr>
        <w:t>20.3争</w:t>
      </w:r>
      <w:bookmarkEnd w:id="590"/>
      <w:r>
        <w:rPr>
          <w:rFonts w:hint="eastAsia" w:ascii="宋体" w:hAnsi="宋体" w:cs="宋体"/>
          <w:color w:val="auto"/>
          <w:szCs w:val="21"/>
          <w:highlight w:val="none"/>
        </w:rPr>
        <w:t>议评审</w:t>
      </w:r>
      <w:bookmarkEnd w:id="621"/>
      <w:bookmarkEnd w:id="622"/>
    </w:p>
    <w:p w14:paraId="409DE6BD">
      <w:pPr>
        <w:spacing w:line="520" w:lineRule="exact"/>
        <w:ind w:left="149" w:leftChars="71" w:firstLine="315" w:firstLineChars="150"/>
        <w:jc w:val="left"/>
        <w:rPr>
          <w:rFonts w:ascii="宋体" w:hAnsi="宋体" w:cs="宋体"/>
          <w:color w:val="auto"/>
          <w:szCs w:val="21"/>
          <w:highlight w:val="non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不同意</w:t>
      </w:r>
      <w:r>
        <w:rPr>
          <w:rFonts w:hint="eastAsia" w:ascii="宋体" w:hAnsi="宋体" w:cs="宋体"/>
          <w:color w:val="auto"/>
          <w:szCs w:val="21"/>
          <w:highlight w:val="none"/>
        </w:rPr>
        <w:t>。</w:t>
      </w:r>
    </w:p>
    <w:p w14:paraId="0FC3EA38">
      <w:pPr>
        <w:spacing w:line="520" w:lineRule="exact"/>
        <w:ind w:firstLine="420" w:firstLineChars="200"/>
        <w:jc w:val="left"/>
        <w:outlineLvl w:val="0"/>
        <w:rPr>
          <w:rFonts w:ascii="宋体" w:hAnsi="宋体" w:cs="宋体"/>
          <w:color w:val="auto"/>
          <w:szCs w:val="21"/>
          <w:highlight w:val="none"/>
        </w:rPr>
      </w:pPr>
      <w:bookmarkStart w:id="623" w:name="_Toc514750266"/>
      <w:bookmarkStart w:id="624" w:name="_Toc25434"/>
      <w:r>
        <w:rPr>
          <w:rFonts w:hint="eastAsia" w:ascii="宋体" w:hAnsi="宋体" w:cs="宋体"/>
          <w:color w:val="auto"/>
          <w:szCs w:val="21"/>
          <w:highlight w:val="none"/>
        </w:rPr>
        <w:t>20.3.1争议评审小组的确定</w:t>
      </w:r>
      <w:bookmarkEnd w:id="623"/>
      <w:bookmarkEnd w:id="624"/>
    </w:p>
    <w:p w14:paraId="61CA5C03">
      <w:pPr>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14B42121">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490B0318">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争议评审小组成员的报酬承担方式：</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47B004E9">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19A24D00">
      <w:pPr>
        <w:autoSpaceDE w:val="0"/>
        <w:autoSpaceDN w:val="0"/>
        <w:adjustRightInd w:val="0"/>
        <w:spacing w:line="520" w:lineRule="exact"/>
        <w:ind w:firstLine="420" w:firstLineChars="200"/>
        <w:jc w:val="left"/>
        <w:outlineLvl w:val="0"/>
        <w:rPr>
          <w:rFonts w:ascii="宋体" w:hAnsi="宋体" w:cs="宋体"/>
          <w:color w:val="auto"/>
          <w:kern w:val="0"/>
          <w:szCs w:val="21"/>
          <w:highlight w:val="none"/>
        </w:rPr>
      </w:pPr>
      <w:bookmarkStart w:id="625" w:name="_Toc514750267"/>
      <w:bookmarkStart w:id="626" w:name="_Toc28694"/>
      <w:r>
        <w:rPr>
          <w:rFonts w:hint="eastAsia" w:ascii="宋体" w:hAnsi="宋体" w:cs="宋体"/>
          <w:color w:val="auto"/>
          <w:kern w:val="0"/>
          <w:szCs w:val="21"/>
          <w:highlight w:val="none"/>
        </w:rPr>
        <w:t>20.3.2争议评审小组的决定</w:t>
      </w:r>
      <w:bookmarkEnd w:id="625"/>
      <w:bookmarkEnd w:id="626"/>
    </w:p>
    <w:p w14:paraId="3D1A5424">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合同当事人关于本项的约定：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2AB72E5F">
      <w:pPr>
        <w:spacing w:after="120" w:line="520" w:lineRule="exact"/>
        <w:ind w:firstLine="420" w:firstLineChars="200"/>
        <w:outlineLvl w:val="0"/>
        <w:rPr>
          <w:rFonts w:ascii="宋体" w:hAnsi="宋体" w:cs="宋体"/>
          <w:color w:val="auto"/>
          <w:szCs w:val="21"/>
          <w:highlight w:val="none"/>
        </w:rPr>
      </w:pPr>
      <w:bookmarkStart w:id="627" w:name="_Toc27470"/>
      <w:bookmarkStart w:id="628" w:name="_Toc514750268"/>
      <w:r>
        <w:rPr>
          <w:rFonts w:hint="eastAsia" w:ascii="宋体" w:hAnsi="宋体" w:cs="宋体"/>
          <w:color w:val="auto"/>
          <w:szCs w:val="21"/>
          <w:highlight w:val="none"/>
        </w:rPr>
        <w:t>20.4仲裁或诉讼</w:t>
      </w:r>
      <w:bookmarkEnd w:id="591"/>
      <w:bookmarkEnd w:id="627"/>
      <w:bookmarkEnd w:id="628"/>
    </w:p>
    <w:p w14:paraId="737C0CA9">
      <w:pPr>
        <w:spacing w:after="120" w:line="5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（2）</w:t>
      </w:r>
      <w:r>
        <w:rPr>
          <w:rFonts w:hint="eastAsia" w:ascii="宋体" w:hAnsi="宋体" w:cs="宋体"/>
          <w:color w:val="auto"/>
          <w:szCs w:val="21"/>
          <w:highlight w:val="none"/>
        </w:rPr>
        <w:t>种方式解决：</w:t>
      </w:r>
    </w:p>
    <w:p w14:paraId="2F15EA7F">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（1）向</w:t>
      </w:r>
      <w:bookmarkStart w:id="629" w:name="EBcc328513f766475084ee61d1b4249651"/>
      <w:r>
        <w:rPr>
          <w:rFonts w:hint="eastAsia" w:ascii="宋体" w:hAnsi="宋体" w:cs="宋体"/>
          <w:color w:val="auto"/>
          <w:szCs w:val="21"/>
          <w:highlight w:val="none"/>
          <w:u w:val="single"/>
        </w:rPr>
        <w:t>常州</w:t>
      </w:r>
      <w:bookmarkEnd w:id="629"/>
      <w:r>
        <w:rPr>
          <w:rFonts w:hint="eastAsia" w:ascii="宋体" w:hAnsi="宋体" w:cs="宋体"/>
          <w:color w:val="auto"/>
          <w:szCs w:val="21"/>
          <w:highlight w:val="none"/>
        </w:rPr>
        <w:t>仲裁委员会申请仲裁；</w:t>
      </w:r>
    </w:p>
    <w:p w14:paraId="7FBA378D">
      <w:pPr>
        <w:spacing w:line="5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有管辖权的</w:t>
      </w:r>
      <w:r>
        <w:rPr>
          <w:rFonts w:hint="eastAsia" w:ascii="宋体" w:hAnsi="宋体" w:cs="宋体"/>
          <w:color w:val="auto"/>
          <w:szCs w:val="21"/>
          <w:highlight w:val="none"/>
        </w:rPr>
        <w:t>人民法院起诉。</w:t>
      </w:r>
      <w:bookmarkEnd w:id="592"/>
      <w:bookmarkEnd w:id="593"/>
      <w:bookmarkEnd w:id="594"/>
      <w:bookmarkEnd w:id="595"/>
      <w:bookmarkEnd w:id="596"/>
      <w:bookmarkEnd w:id="597"/>
    </w:p>
    <w:p w14:paraId="16095B45">
      <w:pPr>
        <w:spacing w:line="520" w:lineRule="exact"/>
        <w:jc w:val="left"/>
        <w:rPr>
          <w:rFonts w:ascii="宋体" w:hAnsi="宋体" w:cs="宋体"/>
          <w:color w:val="auto"/>
          <w:szCs w:val="21"/>
          <w:highlight w:val="none"/>
        </w:rPr>
      </w:pPr>
      <w:r>
        <w:rPr>
          <w:rFonts w:hint="eastAsia" w:ascii="宋体" w:hAnsi="宋体" w:cs="宋体"/>
          <w:color w:val="auto"/>
          <w:szCs w:val="21"/>
          <w:highlight w:val="none"/>
        </w:rPr>
        <w:t>其他：</w:t>
      </w:r>
    </w:p>
    <w:p w14:paraId="2AD507CE">
      <w:pPr>
        <w:pStyle w:val="14"/>
        <w:spacing w:line="5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补充条款：</w:t>
      </w:r>
    </w:p>
    <w:p w14:paraId="5983239E">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 招标文件、答疑纪要、工程量清单及编制说明、</w:t>
      </w:r>
      <w:r>
        <w:rPr>
          <w:rFonts w:hint="eastAsia" w:ascii="宋体" w:hAnsi="宋体"/>
          <w:color w:val="auto"/>
          <w:szCs w:val="30"/>
          <w:highlight w:val="none"/>
          <w:u w:val="single"/>
          <w:lang w:val="en-US" w:eastAsia="zh-CN"/>
        </w:rPr>
        <w:t>响应</w:t>
      </w:r>
      <w:r>
        <w:rPr>
          <w:rFonts w:hint="eastAsia" w:ascii="宋体" w:hAnsi="宋体"/>
          <w:color w:val="auto"/>
          <w:szCs w:val="30"/>
          <w:highlight w:val="none"/>
          <w:u w:val="single"/>
        </w:rPr>
        <w:t>文件及双方其他书面约定作为本合同附件，等同合同的法律效力。</w:t>
      </w:r>
    </w:p>
    <w:p w14:paraId="53EE71F5">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21.2 临时设施按发包人的现场情况搭设，临时设施的搭设需经监理人、发包人批准，并按标准化、文明现场的要求设立标语、标牌，保证施工场地清洁卫生，并承担相关费用。遵守环境卫生管理的有关规定，承担因自身原因违反有关规定造成的损失和罚款；按发包人要求及时将建筑垃圾、剩余建筑材料清除、运走或运至指定地点堆放，将所有施工机械和设备从施工场地运走。承包人临时设施的搭拆必须服从发包人现场的统一管理和协调，做到文明施工。树立企业形象，主动接受社会监督和有关部门的管理。</w:t>
      </w:r>
    </w:p>
    <w:p w14:paraId="406C9790">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21.3 如因特殊原因，政府管理部门及发包人可能对施工作业作出某些限制和配合要求，承包人应予无条件服从，并按照有关要求作出必要的配合，这可能造成承包人的损失，但发包人将不承担承包人因此产生的任何损失。</w:t>
      </w:r>
    </w:p>
    <w:p w14:paraId="538E7F5D">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21.4 现场挖掘土方工作过程中，发现电线、水管管道，或者其他公共设施，承包人应立即停止挖掘工作，并及时报告发包人或专门机构，承包人应根据有关指示，负责修理那些破坏的公共设施，并恢复原状，费用由承包人承担；合同（包括会议纪要约定内容以及设计变更等）规定由承包人完成并给专业承包人提供配合的工作，如承包人拒绝完成或不能按合同要求完成，发包人即可安排第三方完成，按实际发生费用从承包人工程款中直接扣除，影响工期的责任由承包人负责；在施工过程中做到工完场清，工程竣工时清理现场，若因工程现场施工进度及要求需拆除现场临时设施，包括机械设备、材料等设施，费用由承包人承担，并满足发包人的现场管理要求和时间节点要求。工程竣工时清理现场，拆除现场所有临时设施，包括所有的机械设备、材料、建筑垃圾全部清运出现场，费用由承包人承担。如承包人拒绝完成或不能按合同要求完成，发包人即可安排第三方完成，按实际发生费用从承包人工程款中直接扣除，影响工期的责任由承包人负责；临时停水、停电、排水、二次搬运、成品保护等所需措施的一切费用和工期，承包人均已在投标报价时充分考虑，并已考虑了各种可能因素影响施工所增加的费用，因此，发生上述情况，发包人不另行增加费用；在施工过程中承包人不得因发包人前期手续问题而索赔或消极施工，需</w:t>
      </w:r>
    </w:p>
    <w:p w14:paraId="24A70FEA">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 xml:space="preserve">积极服从，保证工程按计划进行，若未按发包人要求，违反上述约定，每次由承包人向发包人支付 </w:t>
      </w:r>
      <w:r>
        <w:rPr>
          <w:rFonts w:hint="eastAsia" w:ascii="宋体" w:hAnsi="宋体"/>
          <w:color w:val="auto"/>
          <w:szCs w:val="30"/>
          <w:highlight w:val="none"/>
          <w:u w:val="single"/>
          <w:lang w:val="en-US" w:eastAsia="zh-CN"/>
        </w:rPr>
        <w:t>3</w:t>
      </w:r>
      <w:r>
        <w:rPr>
          <w:rFonts w:hint="eastAsia" w:ascii="宋体" w:hAnsi="宋体"/>
          <w:color w:val="auto"/>
          <w:szCs w:val="30"/>
          <w:highlight w:val="none"/>
          <w:u w:val="single"/>
        </w:rPr>
        <w:t xml:space="preserve"> 万元违约金，从承包人工程款中直接扣除。在工程施工过程中以及工程竣工后的保修期内，由于承包人责任出现质量问题、安全事故或者因其他原因受到报纸、电视等媒体的曝光或被政府有关主管部门的通报批评，给本工程的社会形象带来负面影响的，每次由承包人向发包人支付 </w:t>
      </w:r>
      <w:r>
        <w:rPr>
          <w:rFonts w:hint="eastAsia" w:ascii="宋体" w:hAnsi="宋体"/>
          <w:color w:val="auto"/>
          <w:szCs w:val="30"/>
          <w:highlight w:val="none"/>
          <w:u w:val="single"/>
          <w:lang w:val="en-US" w:eastAsia="zh-CN"/>
        </w:rPr>
        <w:t>3</w:t>
      </w:r>
      <w:r>
        <w:rPr>
          <w:rFonts w:hint="eastAsia" w:ascii="宋体" w:hAnsi="宋体"/>
          <w:color w:val="auto"/>
          <w:szCs w:val="30"/>
          <w:highlight w:val="none"/>
          <w:u w:val="single"/>
        </w:rPr>
        <w:t>万元违约金，从承包人工程款或质保金中直接扣除。</w:t>
      </w:r>
    </w:p>
    <w:p w14:paraId="7E68B4CF">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21.5 对于承包人采购的材料，主要材料设备供应商必须由发包人、监理工程师和承包人共同考察决定；混凝土的供应商需为符合扬尘控制要求、料仓全封闭的混凝土企业；其它材料供应商除清单推荐品牌外，由承包人自行选择，但须得到发包人和监理工程师的认可。未经发包人和监理工程师的决定或认可，承包人不得私自将材料运进现场，更不得将材料用于本工程。材料设备的供应以保障工程施工顺利进行为原则，由承包人自行安排。具体事宜由承包人与材料设备供应商在签订的供应合同中明确，供应合同中明确具体品种、数量、标准、规格、型号、尺寸、供应办法、供货地点、供货时间等。</w:t>
      </w:r>
    </w:p>
    <w:p w14:paraId="51E06573">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21.6 发包人和监理工程师对材料设备供应商的认可并不免除承包人应负的质量、工期的责任，也不免除承包人对材料、设备应负的责任，承包人采购的材料设备与设计或规范要求不符时，承包人应按监理工程师要求的时间运出施工场地，重新采购符合要求的产品，承担由此发生的费用，由此延误的工期不予顺延。</w:t>
      </w:r>
    </w:p>
    <w:p w14:paraId="69086327">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21.7 承包人采购的材料在使用前应按监理工程师的要求进行检验或试验，如监理工程师对检验过的材料设备表示怀疑时，有权随机抽样检验。不合格的不得使用，检验或试验费用由承包人承担。</w:t>
      </w:r>
    </w:p>
    <w:p w14:paraId="65CD4414">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21.8 因发现承包人采购并使用不符合设计或标准要求的材料，致使工程不符合合同规定的质量要求，承包人应按监理工程师的要求进行修复、拆除或重新采购，并支付不合格的材料和工程设备价值的 10%作为违约金（在当期的工程款中扣除），并承担由此发生的一切费用，延误的工期不予顺延。</w:t>
      </w:r>
    </w:p>
    <w:p w14:paraId="220F0D01">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21.9 材料进场前应接受监理组织的验收，不合格材料及与封样不符的材料由监理标识后，三天内运出场外。场内严禁堆放不合格材料和不符材料，过期不处理的不合格材料和不符材料，发包人有权自行处理。</w:t>
      </w:r>
    </w:p>
    <w:p w14:paraId="54F4AB85">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21.10 承包人必须承诺农民工权益受到保障，保证不发生因农民工工资纠纷矛盾对发包人造成负面影响。如发生侵害农民工权益的，承包人承诺按</w:t>
      </w:r>
      <w:r>
        <w:rPr>
          <w:rFonts w:hint="eastAsia" w:ascii="宋体" w:hAnsi="宋体"/>
          <w:color w:val="auto"/>
          <w:szCs w:val="30"/>
          <w:highlight w:val="none"/>
          <w:u w:val="single"/>
          <w:lang w:val="en-US" w:eastAsia="zh-CN"/>
        </w:rPr>
        <w:t>10</w:t>
      </w:r>
      <w:r>
        <w:rPr>
          <w:rFonts w:hint="eastAsia" w:ascii="宋体" w:hAnsi="宋体"/>
          <w:color w:val="auto"/>
          <w:szCs w:val="30"/>
          <w:highlight w:val="none"/>
          <w:u w:val="single"/>
        </w:rPr>
        <w:t>万元人民币/次的标准支付违约金，发包人并有权追偿其它经济损失。关于农民工工资的约定：</w:t>
      </w:r>
    </w:p>
    <w:p w14:paraId="0F26716A">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（1）发包人根据国家、省、市最新的相关文件要求优先将农民工工资支付至承包人按规定设立的农民工工资专用账户，农民工工资由银行代发。</w:t>
      </w:r>
    </w:p>
    <w:p w14:paraId="54577A26">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（2）工程竣工验收前，发包人应向工资专户拨付不低于工程合同总价（同上）的 10%的资金，对于应付工资总额高于合同总价10%的，应按照实际工资数额存入专用账户，否则建设单位不得组织工程竣工验收。</w:t>
      </w:r>
    </w:p>
    <w:p w14:paraId="13B84143">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21.11 项目组人员管理：</w:t>
      </w:r>
    </w:p>
    <w:p w14:paraId="2629BFBC">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（1）承包人对其承包的工程应当设立项目管理机构，负责施工活动组织协调管理，并配备具有与承包工程类别、</w:t>
      </w:r>
      <w:r>
        <w:rPr>
          <w:rFonts w:hint="eastAsia" w:ascii="宋体" w:hAnsi="宋体" w:eastAsia="宋体"/>
          <w:color w:val="auto"/>
          <w:szCs w:val="30"/>
          <w:highlight w:val="none"/>
          <w:u w:val="single"/>
        </w:rPr>
        <w:t>规模相适应的技术、经济管理人员，且必须为本单位人员。承包人项目管理班子：项目负责人：黄骥（联系电话：</w:t>
      </w:r>
      <w:r>
        <w:rPr>
          <w:rFonts w:hint="default" w:ascii="宋体" w:hAnsi="宋体" w:eastAsia="宋体"/>
          <w:color w:val="auto"/>
          <w:szCs w:val="30"/>
          <w:highlight w:val="none"/>
          <w:u w:val="single"/>
          <w:lang w:val="en-US"/>
        </w:rPr>
        <w:t>13775150465</w:t>
      </w:r>
      <w:r>
        <w:rPr>
          <w:rFonts w:hint="eastAsia" w:ascii="宋体" w:hAnsi="宋体" w:eastAsia="宋体"/>
          <w:color w:val="auto"/>
          <w:szCs w:val="30"/>
          <w:highlight w:val="none"/>
          <w:u w:val="single"/>
        </w:rPr>
        <w:t xml:space="preserve"> ）、技术负责人：/（联系电话：/）、造价负责人：/（联系电话：/）：质量员：/（联系电话：/）、安全员： /（联系电话：/）、施工员：/（联系电话：/）。</w:t>
      </w:r>
    </w:p>
    <w:p w14:paraId="32FD5188">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承包人须按照《建筑施工项目经理质量安全责任十项规定（实行》（建质〔2014〕123号）文件精神，全面认真落实施工项目经理责任。现场实际负责施工管理的项目经理需与中标项目经理一致，并对从业人员进行实名制考核，确保到岗履责。</w:t>
      </w:r>
    </w:p>
    <w:p w14:paraId="560B066F">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（3）每周的工地例会及其他临时会议，项目经理、施工员、安全员、质检员等人员要按时参加，项目经理迟到一次罚款</w:t>
      </w:r>
      <w:r>
        <w:rPr>
          <w:rFonts w:hint="eastAsia" w:ascii="宋体" w:hAnsi="宋体"/>
          <w:color w:val="auto"/>
          <w:szCs w:val="30"/>
          <w:highlight w:val="none"/>
          <w:u w:val="single"/>
          <w:lang w:val="en-US" w:eastAsia="zh-CN"/>
        </w:rPr>
        <w:t>3</w:t>
      </w:r>
      <w:r>
        <w:rPr>
          <w:rFonts w:hint="eastAsia" w:ascii="宋体" w:hAnsi="宋体"/>
          <w:color w:val="auto"/>
          <w:szCs w:val="30"/>
          <w:highlight w:val="none"/>
          <w:u w:val="single"/>
        </w:rPr>
        <w:t>00元，缺席一次罚款</w:t>
      </w:r>
      <w:r>
        <w:rPr>
          <w:rFonts w:hint="eastAsia" w:ascii="宋体" w:hAnsi="宋体"/>
          <w:color w:val="auto"/>
          <w:szCs w:val="30"/>
          <w:highlight w:val="none"/>
          <w:u w:val="single"/>
          <w:lang w:val="en-US" w:eastAsia="zh-CN"/>
        </w:rPr>
        <w:t>1</w:t>
      </w:r>
      <w:r>
        <w:rPr>
          <w:rFonts w:hint="eastAsia" w:ascii="宋体" w:hAnsi="宋体"/>
          <w:color w:val="auto"/>
          <w:szCs w:val="30"/>
          <w:highlight w:val="none"/>
          <w:u w:val="single"/>
        </w:rPr>
        <w:t>000 元，向发包人、监理部请假被允许的除外。</w:t>
      </w:r>
    </w:p>
    <w:p w14:paraId="5A3DC947">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（4）项目经理、施工员、技术员、安全员、质检员、资料员等相关人员要保持通讯畅通，对联系不上（特殊原因除外）无故不接或掐断发包人、监理人员的电话的，对施工项目部罚款 200元∕次。</w:t>
      </w:r>
    </w:p>
    <w:p w14:paraId="3D845590">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 xml:space="preserve">（5）各施工单位必须服从监理人、发包人工程部的质量、安全、进度管理，积极落实发包人、监理人的现场管理指令和各项整改通知单；不能在期限内完成，但能作出合理解释的，不予处罚；对拒收、消极、无合理原因、不服从现场管理的按 </w:t>
      </w:r>
      <w:r>
        <w:rPr>
          <w:rFonts w:hint="eastAsia" w:ascii="宋体" w:hAnsi="宋体"/>
          <w:color w:val="auto"/>
          <w:szCs w:val="30"/>
          <w:highlight w:val="none"/>
          <w:u w:val="single"/>
          <w:lang w:val="en-US" w:eastAsia="zh-CN"/>
        </w:rPr>
        <w:t>1</w:t>
      </w:r>
      <w:r>
        <w:rPr>
          <w:rFonts w:hint="eastAsia" w:ascii="宋体" w:hAnsi="宋体"/>
          <w:color w:val="auto"/>
          <w:szCs w:val="30"/>
          <w:highlight w:val="none"/>
          <w:u w:val="single"/>
        </w:rPr>
        <w:t xml:space="preserve">000 元/次予以处罚；罚金按次数翻倍（即第二次为 </w:t>
      </w:r>
      <w:r>
        <w:rPr>
          <w:rFonts w:hint="eastAsia" w:ascii="宋体" w:hAnsi="宋体"/>
          <w:color w:val="auto"/>
          <w:szCs w:val="30"/>
          <w:highlight w:val="none"/>
          <w:u w:val="single"/>
          <w:lang w:val="en-US" w:eastAsia="zh-CN"/>
        </w:rPr>
        <w:t>2</w:t>
      </w:r>
      <w:r>
        <w:rPr>
          <w:rFonts w:hint="eastAsia" w:ascii="宋体" w:hAnsi="宋体"/>
          <w:color w:val="auto"/>
          <w:szCs w:val="30"/>
          <w:highlight w:val="none"/>
          <w:u w:val="single"/>
        </w:rPr>
        <w:t xml:space="preserve">000 元、第三次为 </w:t>
      </w:r>
      <w:r>
        <w:rPr>
          <w:rFonts w:hint="eastAsia" w:ascii="宋体" w:hAnsi="宋体"/>
          <w:color w:val="auto"/>
          <w:szCs w:val="30"/>
          <w:highlight w:val="none"/>
          <w:u w:val="single"/>
          <w:lang w:val="en-US" w:eastAsia="zh-CN"/>
        </w:rPr>
        <w:t>4</w:t>
      </w:r>
      <w:r>
        <w:rPr>
          <w:rFonts w:hint="eastAsia" w:ascii="宋体" w:hAnsi="宋体"/>
          <w:color w:val="auto"/>
          <w:szCs w:val="30"/>
          <w:highlight w:val="none"/>
          <w:u w:val="single"/>
        </w:rPr>
        <w:t>000 元）。</w:t>
      </w:r>
    </w:p>
    <w:p w14:paraId="3844B729">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21.12 质量管理要求</w:t>
      </w:r>
    </w:p>
    <w:p w14:paraId="637B82AF">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1）承包人不按合同条款及有关规范、标准、规程等要求或违反正常施工程序、施工工艺野蛮施工，或施工质量、安全、环保达不到要求，或施工用材料设备不符合设计及相应产品合格标准，甲方、监理部有权勒令施工方暂停施工，承包人必须立即停工整改，并按以</w:t>
      </w:r>
      <w:r>
        <w:rPr>
          <w:rFonts w:hint="eastAsia" w:ascii="宋体" w:hAnsi="宋体"/>
          <w:color w:val="auto"/>
          <w:szCs w:val="30"/>
          <w:highlight w:val="none"/>
          <w:u w:val="single"/>
          <w:lang w:val="en-US" w:eastAsia="zh-CN"/>
        </w:rPr>
        <w:t>5</w:t>
      </w:r>
      <w:r>
        <w:rPr>
          <w:rFonts w:hint="eastAsia" w:ascii="宋体" w:hAnsi="宋体"/>
          <w:color w:val="auto"/>
          <w:szCs w:val="30"/>
          <w:highlight w:val="none"/>
          <w:u w:val="single"/>
        </w:rPr>
        <w:t>00元∕次支付违约金。</w:t>
      </w:r>
    </w:p>
    <w:p w14:paraId="0C651858">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（2）材料应先报验并检验合格再使用，严禁未报验或报验不合格材料的使用、严禁出现不符要 求和非投标品牌的材料进场与使用。</w:t>
      </w:r>
    </w:p>
    <w:p w14:paraId="79929C43">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3）施工项目部要严格遵守施工程序，分项、分部（子分部）、单位（子单位）工程施工项目部在自检合格后必须在监理部指定的时间的基础上提前3小时通知监理进行复验，在验收合格监理人签字认可后方可进行后续施工，验收时无工程资料，监理人将拒绝验收并对施工项目部处以</w:t>
      </w:r>
      <w:r>
        <w:rPr>
          <w:rFonts w:hint="eastAsia" w:ascii="宋体" w:hAnsi="宋体"/>
          <w:color w:val="auto"/>
          <w:szCs w:val="30"/>
          <w:highlight w:val="none"/>
          <w:u w:val="single"/>
          <w:lang w:val="en-US" w:eastAsia="zh-CN"/>
        </w:rPr>
        <w:t>3</w:t>
      </w:r>
      <w:r>
        <w:rPr>
          <w:rFonts w:hint="eastAsia" w:ascii="宋体" w:hAnsi="宋体"/>
          <w:color w:val="auto"/>
          <w:szCs w:val="30"/>
          <w:highlight w:val="none"/>
          <w:u w:val="single"/>
        </w:rPr>
        <w:t>00元∕次支付违约金。</w:t>
      </w:r>
    </w:p>
    <w:p w14:paraId="105AA3A7">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（4）工序、分项等工程施工项目部自检合格后通知监理人验收，监理工程师将按照相关规范进行验收，无法满足相关规范要求或无法通过验收的，将对施工项目部处以</w:t>
      </w:r>
      <w:r>
        <w:rPr>
          <w:rFonts w:hint="eastAsia" w:ascii="宋体" w:hAnsi="宋体"/>
          <w:color w:val="auto"/>
          <w:szCs w:val="30"/>
          <w:highlight w:val="none"/>
          <w:u w:val="single"/>
          <w:lang w:val="en-US" w:eastAsia="zh-CN"/>
        </w:rPr>
        <w:t>3</w:t>
      </w:r>
      <w:r>
        <w:rPr>
          <w:rFonts w:hint="eastAsia" w:ascii="宋体" w:hAnsi="宋体"/>
          <w:color w:val="auto"/>
          <w:szCs w:val="30"/>
          <w:highlight w:val="none"/>
          <w:u w:val="single"/>
        </w:rPr>
        <w:t>00元∕次支付违约金。</w:t>
      </w:r>
    </w:p>
    <w:p w14:paraId="4B7E9A5E">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（5）监理工程师通知单项目部超过回复日期不回复的对施工项目部罚款 100 元∕次，监理工程师通知单中要求施工单位在规定日期内整改，施工单位未整改或整改不及时或整改后仍无法通过监理部验收的视造成工程质量、进度、安全等的严重程度罚款500~</w:t>
      </w:r>
      <w:r>
        <w:rPr>
          <w:rFonts w:hint="eastAsia" w:ascii="宋体" w:hAnsi="宋体"/>
          <w:color w:val="auto"/>
          <w:szCs w:val="30"/>
          <w:highlight w:val="none"/>
          <w:u w:val="single"/>
          <w:lang w:val="en-US" w:eastAsia="zh-CN"/>
        </w:rPr>
        <w:t>1</w:t>
      </w:r>
      <w:r>
        <w:rPr>
          <w:rFonts w:hint="eastAsia" w:ascii="宋体" w:hAnsi="宋体"/>
          <w:color w:val="auto"/>
          <w:szCs w:val="30"/>
          <w:highlight w:val="none"/>
          <w:u w:val="single"/>
        </w:rPr>
        <w:t>000元∕次。</w:t>
      </w:r>
    </w:p>
    <w:p w14:paraId="1D0E824F">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21.13 安全文明管理要求</w:t>
      </w:r>
    </w:p>
    <w:p w14:paraId="69728C6F">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1）施工现场不戴安全帽者，按每人次对施工项目部罚款50元，管理人员及施工班长不戴安全帽按每人次对施工项目部罚100元，佩戴不符合安全要求的每人次对施工项目部罚款20元。高空作业未系好安全带者罚款100元/人。酒后作业者罚款500元/人。</w:t>
      </w:r>
    </w:p>
    <w:p w14:paraId="372A87DC">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（2）施工现场上班穿拖鞋、高跟鞋及赤膊者，每人次对施工项目部罚款50 元。</w:t>
      </w:r>
    </w:p>
    <w:p w14:paraId="17506FB0">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（3）施工现场私自拉接电线者，每次对施工项目部罚款50元。</w:t>
      </w:r>
    </w:p>
    <w:p w14:paraId="63E07920">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（4）对违反操作规程，不遵守安全管理规定的每次对施工项目部罚款50元。</w:t>
      </w:r>
    </w:p>
    <w:p w14:paraId="7FFF9B73">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以上（1）～（4）条罚则为能立即改正者，对拒不纠正者，可追加3至5倍罚款。</w:t>
      </w:r>
    </w:p>
    <w:p w14:paraId="1FFA2C72">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21.14 扬尘控制要求：</w:t>
      </w:r>
    </w:p>
    <w:p w14:paraId="5C8021CC">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承包人必须严格按照《大气污染防治法》、《江苏省大气污染防治条例》、《建筑工地扬尘防治标准》（DGJ32/J203-2016）、《常州市建筑施工扬尘防治实施细则》（常建〔2018〕113号）、《关于加强全市建筑领域非道路移动工程机械污染防治工作的通知》（常建〔2018〕132 号）及本合同的要求，履行职责，将防治措施落实到位。如发生投诉并经查实或主管部门巡查发现扬尘污染问题，造成发包人被处罚或超额缴纳环保税，发包人由此缴纳的罚款或超额环保税由承包人承担，承包人同时向发包人支付因扬尘管控不到位5万/次的违约金，从承包人工程款中直接扣除。承包人作为本工程施工现场保洁车辆的清洗及工地外道路清理扬尘控制的责任单位，必须负责施工现场的工地的清洁保洁，工地内各专业施工单位由承包人统一管理，如发现各专业施工单位未按合同要求进行扬尘管理，产生不良后果后，承包人也须承担连带责任和相同金额罚款；施工单位在施工中必须严格按要求进行全过程扬尘控制，特别在工程开工、收尾、拆围、绿化等施工阶段，不得降低扬尘控制的标准；施工现场出入所有进出车辆严禁带泥上路，未按要求执行的，按每次1000元罚款；建筑垃圾集中堆放，未按要求执行的，按每次1000元罚款；建筑垃圾必须在48小时内及时清运，不能及时清运的，应当在施工场地内实施覆盖，或者采取其他有效防尘措施，未按要求执行的，按每次</w:t>
      </w:r>
      <w:r>
        <w:rPr>
          <w:rFonts w:hint="eastAsia" w:ascii="宋体" w:hAnsi="宋体"/>
          <w:color w:val="auto"/>
          <w:szCs w:val="30"/>
          <w:highlight w:val="none"/>
          <w:u w:val="single"/>
          <w:lang w:val="en-US" w:eastAsia="zh-CN"/>
        </w:rPr>
        <w:t>3</w:t>
      </w:r>
      <w:r>
        <w:rPr>
          <w:rFonts w:hint="eastAsia" w:ascii="宋体" w:hAnsi="宋体"/>
          <w:color w:val="auto"/>
          <w:szCs w:val="30"/>
          <w:highlight w:val="none"/>
          <w:u w:val="single"/>
        </w:rPr>
        <w:t xml:space="preserve">000 元罚款；所有渣土运输车辆上路一律采取密闭运输措施，严格按照规定时间、规定线路行驶，凡出现抛锚撒漏现象的，未按要求执行的，按每次 </w:t>
      </w:r>
      <w:r>
        <w:rPr>
          <w:rFonts w:hint="eastAsia" w:ascii="宋体" w:hAnsi="宋体"/>
          <w:color w:val="auto"/>
          <w:szCs w:val="30"/>
          <w:highlight w:val="none"/>
          <w:u w:val="single"/>
          <w:lang w:val="en-US" w:eastAsia="zh-CN"/>
        </w:rPr>
        <w:t>3</w:t>
      </w:r>
      <w:r>
        <w:rPr>
          <w:rFonts w:hint="eastAsia" w:ascii="宋体" w:hAnsi="宋体"/>
          <w:color w:val="auto"/>
          <w:szCs w:val="30"/>
          <w:highlight w:val="none"/>
          <w:u w:val="single"/>
        </w:rPr>
        <w:t>000元罚款；施工场地中易产生扬尘的加工区必须用彩钢板进行围挡，未按要求执行的，按每次 1000元罚款；施工场地内堆积的容易产生扬尘的物料，必须进行覆盖，未按要求执行的，按每次1000元罚款。</w:t>
      </w:r>
    </w:p>
    <w:p w14:paraId="03FB6B4F">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21.15 进度管理要求：施工项目部要在监理工程师签署开工令后7个工作日内向监理部报施工总进度计划，每月25日前向监理部报下月进度计划，每周星期四下午施工项目部要向监理部报周进度计划，逾期对施工项目部处以1000元∕天罚款。</w:t>
      </w:r>
    </w:p>
    <w:p w14:paraId="2AA8D941">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21.16 关于跟踪及结算审计的约定：审计要求和竣工结算审计超额核减费用承担方式按以下方式执行。其中承包人须按以下标准承担超额核减费用并在应付承包人项目款项中扣除：</w:t>
      </w:r>
    </w:p>
    <w:p w14:paraId="769A1E21">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（1）审计核减率</w:t>
      </w:r>
      <w:r>
        <w:rPr>
          <w:rFonts w:ascii="宋体" w:hAnsi="宋体"/>
          <w:color w:val="auto"/>
          <w:szCs w:val="30"/>
          <w:highlight w:val="none"/>
          <w:u w:val="single"/>
        </w:rPr>
        <w:t>10</w:t>
      </w:r>
      <w:r>
        <w:rPr>
          <w:rFonts w:hint="eastAsia" w:ascii="宋体" w:hAnsi="宋体"/>
          <w:color w:val="auto"/>
          <w:szCs w:val="30"/>
          <w:highlight w:val="none"/>
          <w:u w:val="single"/>
        </w:rPr>
        <w:t>%以下，承包人不承担超额核减费用。</w:t>
      </w:r>
    </w:p>
    <w:p w14:paraId="3BBF8EFF">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（2）审计核减率</w:t>
      </w:r>
      <w:r>
        <w:rPr>
          <w:rFonts w:ascii="宋体" w:hAnsi="宋体"/>
          <w:color w:val="auto"/>
          <w:szCs w:val="30"/>
          <w:highlight w:val="none"/>
          <w:u w:val="single"/>
        </w:rPr>
        <w:t>10</w:t>
      </w:r>
      <w:r>
        <w:rPr>
          <w:rFonts w:hint="eastAsia" w:ascii="宋体" w:hAnsi="宋体"/>
          <w:color w:val="auto"/>
          <w:szCs w:val="30"/>
          <w:highlight w:val="none"/>
          <w:u w:val="single"/>
        </w:rPr>
        <w:t>%-20%的，超过10%部分由施工单位承担。</w:t>
      </w:r>
    </w:p>
    <w:p w14:paraId="59C573F3">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（3）审计核减率达20%以上，超过10%部分由施工单位承担，并按同等额度扣除工程款，并由建设主管部门进行通报；若施工合同未做相关约定，则应在施工单位送审时提前告知施工单位并签订相关承诺函。</w:t>
      </w:r>
    </w:p>
    <w:p w14:paraId="3F69C43C">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21.17 在整个施工过程中，所产生的争议按合同约定的争议解决原则在项目竣工验收后解决，承包人不得以中途变更、签证、索赔等未达成一致意见为由来停止施工，否则承包人将按</w:t>
      </w:r>
      <w:r>
        <w:rPr>
          <w:rFonts w:hint="eastAsia" w:ascii="宋体" w:hAnsi="宋体"/>
          <w:color w:val="auto"/>
          <w:szCs w:val="30"/>
          <w:highlight w:val="none"/>
          <w:u w:val="single"/>
          <w:lang w:val="en-US" w:eastAsia="zh-CN"/>
        </w:rPr>
        <w:t>1</w:t>
      </w:r>
      <w:r>
        <w:rPr>
          <w:rFonts w:hint="eastAsia" w:ascii="宋体" w:hAnsi="宋体"/>
          <w:color w:val="auto"/>
          <w:szCs w:val="30"/>
          <w:highlight w:val="none"/>
          <w:u w:val="single"/>
        </w:rPr>
        <w:t>0万元人民币/次的标准承担违约金，并追究相关责任。</w:t>
      </w:r>
    </w:p>
    <w:p w14:paraId="248AAE4B">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21.18 参照关于上级监管单位对项目的复审：如因本项目被审计局等上级监管单位要求复审，造成审定金额被核减，无论工程款是否已结清，承包人均予以认可并退还相应款项。</w:t>
      </w:r>
    </w:p>
    <w:p w14:paraId="00C325E2">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21.19 承包人自行解决各项地方外部矛盾，并承担相应的费用和责任。</w:t>
      </w:r>
    </w:p>
    <w:p w14:paraId="456BB73B">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21.20 在合同履行期间承包人应遵守廉政制度。如承包人的工作人员丧失职业道德、利用职权徇私舞弊，牟取私利，收受、索取贿赂的，经纪检监察等职能部门查实，承包人应支付</w:t>
      </w:r>
      <w:r>
        <w:rPr>
          <w:rFonts w:hint="eastAsia" w:ascii="宋体" w:hAnsi="宋体"/>
          <w:color w:val="auto"/>
          <w:szCs w:val="30"/>
          <w:highlight w:val="none"/>
          <w:u w:val="single"/>
          <w:lang w:val="en-US" w:eastAsia="zh-CN"/>
        </w:rPr>
        <w:t>5</w:t>
      </w:r>
      <w:r>
        <w:rPr>
          <w:rFonts w:hint="eastAsia" w:ascii="宋体" w:hAnsi="宋体"/>
          <w:color w:val="auto"/>
          <w:szCs w:val="30"/>
          <w:highlight w:val="none"/>
          <w:u w:val="single"/>
        </w:rPr>
        <w:t>0万元人民币的违约金；如承包人向本工程相关方行贿的，经纪检监察等职能部门查实，承包人应向发包人支付行贿额10倍的违约金。</w:t>
      </w:r>
    </w:p>
    <w:p w14:paraId="7203C134">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21.21 如承包人未能按上述要求实施，视作承包人违约，发包人有权扣除履约保证金，直至解除合同，并承担由此给发包人带来的所有损失。（已有量化违约金的条款除外）</w:t>
      </w:r>
    </w:p>
    <w:p w14:paraId="170EC33E">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21.22 承包人在保修期满前，负责将本工程的相关工程资料移交至各相关的接受管理单位，并办理移交手续。</w:t>
      </w:r>
    </w:p>
    <w:p w14:paraId="48D17A3E">
      <w:pPr>
        <w:keepNext w:val="0"/>
        <w:keepLines w:val="0"/>
        <w:pageBreakBefore w:val="0"/>
        <w:widowControl w:val="0"/>
        <w:kinsoku/>
        <w:wordWrap/>
        <w:overflowPunct/>
        <w:topLinePunct w:val="0"/>
        <w:bidi w:val="0"/>
        <w:snapToGrid w:val="0"/>
        <w:spacing w:line="520" w:lineRule="exact"/>
        <w:ind w:firstLine="480" w:firstLineChars="200"/>
        <w:textAlignment w:val="auto"/>
        <w:rPr>
          <w:rFonts w:hint="eastAsia" w:ascii="宋体" w:hAnsi="宋体" w:eastAsia="宋体" w:cs="Symbol"/>
          <w:color w:val="auto"/>
          <w:kern w:val="0"/>
          <w:sz w:val="24"/>
          <w:szCs w:val="30"/>
          <w:highlight w:val="none"/>
          <w:u w:val="single"/>
          <w:lang w:val="en-US" w:eastAsia="zh-CN" w:bidi="ar-SA"/>
        </w:rPr>
      </w:pPr>
      <w:r>
        <w:rPr>
          <w:rFonts w:hint="eastAsia" w:ascii="宋体" w:hAnsi="宋体" w:eastAsia="宋体" w:cs="Symbol"/>
          <w:color w:val="auto"/>
          <w:kern w:val="0"/>
          <w:sz w:val="24"/>
          <w:szCs w:val="30"/>
          <w:highlight w:val="none"/>
          <w:u w:val="single"/>
          <w:lang w:val="en-US" w:eastAsia="zh-CN" w:bidi="ar-SA"/>
        </w:rPr>
        <w:t>21.23乙方责任补充条款：</w:t>
      </w:r>
    </w:p>
    <w:p w14:paraId="6E503645">
      <w:pPr>
        <w:keepNext w:val="0"/>
        <w:keepLines w:val="0"/>
        <w:pageBreakBefore w:val="0"/>
        <w:widowControl w:val="0"/>
        <w:kinsoku/>
        <w:wordWrap/>
        <w:overflowPunct/>
        <w:topLinePunct w:val="0"/>
        <w:bidi w:val="0"/>
        <w:snapToGrid w:val="0"/>
        <w:spacing w:line="520" w:lineRule="exact"/>
        <w:ind w:firstLine="480" w:firstLineChars="200"/>
        <w:textAlignment w:val="auto"/>
        <w:rPr>
          <w:rFonts w:hint="eastAsia" w:ascii="宋体" w:hAnsi="宋体" w:eastAsia="宋体" w:cs="Symbol"/>
          <w:color w:val="auto"/>
          <w:kern w:val="0"/>
          <w:sz w:val="24"/>
          <w:szCs w:val="30"/>
          <w:highlight w:val="none"/>
          <w:u w:val="single"/>
          <w:lang w:val="en-US" w:eastAsia="zh-CN" w:bidi="ar-SA"/>
        </w:rPr>
      </w:pPr>
      <w:r>
        <w:rPr>
          <w:rFonts w:hint="eastAsia" w:ascii="宋体" w:hAnsi="宋体" w:eastAsia="宋体" w:cs="Symbol"/>
          <w:color w:val="auto"/>
          <w:kern w:val="0"/>
          <w:sz w:val="24"/>
          <w:szCs w:val="30"/>
          <w:highlight w:val="none"/>
          <w:u w:val="single"/>
          <w:lang w:val="en-US" w:eastAsia="zh-CN" w:bidi="ar-SA"/>
        </w:rPr>
        <w:t>（1）乙方保证所提供设备符合报价文件内容并达到整套系统的运行质量要求，达到采购文件要求。</w:t>
      </w:r>
    </w:p>
    <w:p w14:paraId="1A32F0CB">
      <w:pPr>
        <w:keepNext w:val="0"/>
        <w:keepLines w:val="0"/>
        <w:pageBreakBefore w:val="0"/>
        <w:widowControl w:val="0"/>
        <w:kinsoku/>
        <w:wordWrap/>
        <w:overflowPunct/>
        <w:topLinePunct w:val="0"/>
        <w:bidi w:val="0"/>
        <w:snapToGrid w:val="0"/>
        <w:spacing w:line="520" w:lineRule="exact"/>
        <w:ind w:firstLine="480" w:firstLineChars="200"/>
        <w:textAlignment w:val="auto"/>
        <w:rPr>
          <w:rFonts w:hint="eastAsia" w:ascii="宋体" w:hAnsi="宋体" w:eastAsia="宋体" w:cs="Symbol"/>
          <w:color w:val="auto"/>
          <w:kern w:val="0"/>
          <w:sz w:val="24"/>
          <w:szCs w:val="30"/>
          <w:highlight w:val="none"/>
          <w:u w:val="single"/>
          <w:lang w:val="en-US" w:eastAsia="zh-CN" w:bidi="ar-SA"/>
        </w:rPr>
      </w:pPr>
      <w:r>
        <w:rPr>
          <w:rFonts w:hint="eastAsia" w:ascii="宋体" w:hAnsi="宋体" w:eastAsia="宋体" w:cs="Symbol"/>
          <w:color w:val="auto"/>
          <w:kern w:val="0"/>
          <w:sz w:val="24"/>
          <w:szCs w:val="30"/>
          <w:highlight w:val="none"/>
          <w:u w:val="single"/>
          <w:lang w:val="en-US" w:eastAsia="zh-CN" w:bidi="ar-SA"/>
        </w:rPr>
        <w:t>（2）乙方所提供的设备质量应符合国家主管部门的质量标准和技术要求，满足甲方采购文件技术要求所规定的参数需求。</w:t>
      </w:r>
    </w:p>
    <w:p w14:paraId="204E9232">
      <w:pPr>
        <w:keepNext w:val="0"/>
        <w:keepLines w:val="0"/>
        <w:pageBreakBefore w:val="0"/>
        <w:widowControl w:val="0"/>
        <w:kinsoku/>
        <w:wordWrap/>
        <w:overflowPunct/>
        <w:topLinePunct w:val="0"/>
        <w:bidi w:val="0"/>
        <w:snapToGrid w:val="0"/>
        <w:spacing w:line="520" w:lineRule="exact"/>
        <w:ind w:firstLine="480" w:firstLineChars="200"/>
        <w:textAlignment w:val="auto"/>
        <w:rPr>
          <w:rFonts w:hint="eastAsia" w:ascii="宋体" w:hAnsi="宋体" w:eastAsia="宋体" w:cs="Symbol"/>
          <w:color w:val="auto"/>
          <w:kern w:val="0"/>
          <w:sz w:val="24"/>
          <w:szCs w:val="30"/>
          <w:highlight w:val="none"/>
          <w:u w:val="single"/>
          <w:lang w:val="en-US" w:eastAsia="zh-CN" w:bidi="ar-SA"/>
        </w:rPr>
      </w:pPr>
      <w:r>
        <w:rPr>
          <w:rFonts w:hint="eastAsia" w:ascii="宋体" w:hAnsi="宋体" w:eastAsia="宋体" w:cs="Symbol"/>
          <w:color w:val="auto"/>
          <w:kern w:val="0"/>
          <w:sz w:val="24"/>
          <w:szCs w:val="30"/>
          <w:highlight w:val="none"/>
          <w:u w:val="single"/>
          <w:lang w:val="en-US" w:eastAsia="zh-CN" w:bidi="ar-SA"/>
        </w:rPr>
        <w:t>（3）乙方负责系统整体项目实施，以及合同范围内项目的保护与5年免费质保、运维服务期，项目竣工验收日前乙方承担照管与维护责任，若发生人为或非人为损坏及被盗、被抢、意外撞击、火灾、水灾、台风、地震等自然灾害及其他一切的损害，由乙方自行予以修复。在合同约定的5年免费质保、运维服务期内，对设备质量、项目实施质量、乙方设计选型失误及其他由于乙方原因造成的损坏、故障，乙方应免费修复。</w:t>
      </w:r>
    </w:p>
    <w:p w14:paraId="17410E6C">
      <w:pPr>
        <w:keepNext w:val="0"/>
        <w:keepLines w:val="0"/>
        <w:pageBreakBefore w:val="0"/>
        <w:widowControl w:val="0"/>
        <w:kinsoku/>
        <w:wordWrap/>
        <w:overflowPunct/>
        <w:topLinePunct w:val="0"/>
        <w:bidi w:val="0"/>
        <w:snapToGrid w:val="0"/>
        <w:spacing w:line="520" w:lineRule="exact"/>
        <w:ind w:firstLine="480" w:firstLineChars="200"/>
        <w:textAlignment w:val="auto"/>
        <w:rPr>
          <w:rFonts w:hint="eastAsia" w:ascii="宋体" w:hAnsi="宋体" w:eastAsia="宋体" w:cs="Symbol"/>
          <w:color w:val="auto"/>
          <w:kern w:val="0"/>
          <w:sz w:val="24"/>
          <w:szCs w:val="30"/>
          <w:highlight w:val="none"/>
          <w:u w:val="single"/>
          <w:lang w:val="en-US" w:eastAsia="zh-CN" w:bidi="ar-SA"/>
        </w:rPr>
      </w:pPr>
      <w:r>
        <w:rPr>
          <w:rFonts w:hint="eastAsia" w:ascii="宋体" w:hAnsi="宋体" w:eastAsia="宋体" w:cs="Symbol"/>
          <w:color w:val="auto"/>
          <w:kern w:val="0"/>
          <w:sz w:val="24"/>
          <w:szCs w:val="30"/>
          <w:highlight w:val="none"/>
          <w:u w:val="single"/>
          <w:lang w:val="en-US" w:eastAsia="zh-CN" w:bidi="ar-SA"/>
        </w:rPr>
        <w:t>（4）乙方应遵守项目建设安全生产有关管理规定，严格按安全管理规定项目实施，负责对项目实施人员进行安全教育，在项目实施过程中遵守安全操作规程。现场人员高空作业应穿防滑鞋、系好安全带，配带齐有效安全防护用器。并随时接受行业安全人员依法监督检查，采取必要安全防护措施，消除事故隐患。在项目建设维护过程，如因乙方自身原因造成事故，责任由乙方承担。</w:t>
      </w:r>
    </w:p>
    <w:p w14:paraId="780BAD3A">
      <w:pPr>
        <w:keepNext w:val="0"/>
        <w:keepLines w:val="0"/>
        <w:pageBreakBefore w:val="0"/>
        <w:widowControl w:val="0"/>
        <w:kinsoku/>
        <w:wordWrap/>
        <w:overflowPunct/>
        <w:topLinePunct w:val="0"/>
        <w:bidi w:val="0"/>
        <w:snapToGrid w:val="0"/>
        <w:spacing w:line="520" w:lineRule="exact"/>
        <w:ind w:firstLine="480" w:firstLineChars="200"/>
        <w:textAlignment w:val="auto"/>
        <w:rPr>
          <w:rFonts w:hint="eastAsia" w:ascii="宋体" w:hAnsi="宋体" w:eastAsia="宋体" w:cs="Symbol"/>
          <w:color w:val="auto"/>
          <w:kern w:val="0"/>
          <w:sz w:val="24"/>
          <w:szCs w:val="30"/>
          <w:highlight w:val="none"/>
          <w:u w:val="single"/>
          <w:lang w:val="en-US" w:eastAsia="zh-CN" w:bidi="ar-SA"/>
        </w:rPr>
      </w:pPr>
      <w:r>
        <w:rPr>
          <w:rFonts w:hint="eastAsia" w:ascii="宋体" w:hAnsi="宋体" w:eastAsia="宋体" w:cs="Symbol"/>
          <w:color w:val="auto"/>
          <w:kern w:val="0"/>
          <w:sz w:val="24"/>
          <w:szCs w:val="30"/>
          <w:highlight w:val="none"/>
          <w:u w:val="single"/>
          <w:lang w:val="en-US" w:eastAsia="zh-CN" w:bidi="ar-SA"/>
        </w:rPr>
        <w:t>（5）乙方在项目实施过程中必须遵守甲方制定的项目管理制度。</w:t>
      </w:r>
    </w:p>
    <w:p w14:paraId="1BF02DF5">
      <w:pPr>
        <w:keepNext w:val="0"/>
        <w:keepLines w:val="0"/>
        <w:pageBreakBefore w:val="0"/>
        <w:widowControl w:val="0"/>
        <w:kinsoku/>
        <w:wordWrap/>
        <w:overflowPunct/>
        <w:topLinePunct w:val="0"/>
        <w:bidi w:val="0"/>
        <w:snapToGrid w:val="0"/>
        <w:spacing w:line="520" w:lineRule="exact"/>
        <w:ind w:firstLine="480" w:firstLineChars="200"/>
        <w:textAlignment w:val="auto"/>
        <w:rPr>
          <w:rFonts w:hint="eastAsia" w:ascii="宋体" w:hAnsi="宋体" w:eastAsia="宋体" w:cs="Symbol"/>
          <w:color w:val="auto"/>
          <w:kern w:val="0"/>
          <w:sz w:val="24"/>
          <w:szCs w:val="30"/>
          <w:highlight w:val="none"/>
          <w:u w:val="single"/>
          <w:lang w:val="en-US" w:eastAsia="zh-CN" w:bidi="ar-SA"/>
        </w:rPr>
      </w:pPr>
      <w:r>
        <w:rPr>
          <w:rFonts w:hint="eastAsia" w:ascii="宋体" w:hAnsi="宋体" w:eastAsia="宋体" w:cs="Symbol"/>
          <w:color w:val="auto"/>
          <w:kern w:val="0"/>
          <w:sz w:val="24"/>
          <w:szCs w:val="30"/>
          <w:highlight w:val="none"/>
          <w:u w:val="single"/>
          <w:lang w:val="en-US" w:eastAsia="zh-CN" w:bidi="ar-SA"/>
        </w:rPr>
        <w:t>（6）乙方应对项目实施现场工作人员进行安全教育，并对其安全负责，甲方不得要求乙方违反安全管理的规范进行项目实施。</w:t>
      </w:r>
    </w:p>
    <w:p w14:paraId="67EF9015">
      <w:pPr>
        <w:keepNext w:val="0"/>
        <w:keepLines w:val="0"/>
        <w:pageBreakBefore w:val="0"/>
        <w:widowControl w:val="0"/>
        <w:kinsoku/>
        <w:wordWrap/>
        <w:overflowPunct/>
        <w:topLinePunct w:val="0"/>
        <w:bidi w:val="0"/>
        <w:snapToGrid w:val="0"/>
        <w:spacing w:line="520" w:lineRule="exact"/>
        <w:ind w:firstLine="480" w:firstLineChars="200"/>
        <w:textAlignment w:val="auto"/>
        <w:rPr>
          <w:rFonts w:hint="default" w:ascii="宋体" w:hAnsi="宋体" w:eastAsia="宋体"/>
          <w:color w:val="auto"/>
          <w:szCs w:val="30"/>
          <w:highlight w:val="none"/>
          <w:u w:val="single"/>
          <w:lang w:val="en-US" w:eastAsia="zh-CN"/>
        </w:rPr>
      </w:pPr>
      <w:r>
        <w:rPr>
          <w:rFonts w:hint="eastAsia" w:ascii="宋体" w:hAnsi="宋体" w:eastAsia="宋体" w:cs="Symbol"/>
          <w:color w:val="auto"/>
          <w:kern w:val="0"/>
          <w:sz w:val="24"/>
          <w:szCs w:val="30"/>
          <w:highlight w:val="none"/>
          <w:u w:val="single"/>
          <w:lang w:val="en-US" w:eastAsia="zh-CN" w:bidi="ar-SA"/>
        </w:rPr>
        <w:t>（7）合同期满后，甲方根据需要使用、调整、变更系统设备等，乙方应予积极配合，按成本价优惠计收变更项目的项目实施、新增设备、材料费。</w:t>
      </w:r>
    </w:p>
    <w:p w14:paraId="332B9E73">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21.2</w:t>
      </w:r>
      <w:r>
        <w:rPr>
          <w:rFonts w:hint="eastAsia" w:ascii="宋体" w:hAnsi="宋体"/>
          <w:color w:val="auto"/>
          <w:szCs w:val="30"/>
          <w:highlight w:val="none"/>
          <w:u w:val="single"/>
          <w:lang w:val="en-US" w:eastAsia="zh-CN"/>
        </w:rPr>
        <w:t>4</w:t>
      </w:r>
      <w:r>
        <w:rPr>
          <w:rFonts w:hint="eastAsia" w:ascii="宋体" w:hAnsi="宋体"/>
          <w:color w:val="auto"/>
          <w:szCs w:val="30"/>
          <w:highlight w:val="none"/>
          <w:u w:val="single"/>
        </w:rPr>
        <w:t xml:space="preserve"> 其他</w:t>
      </w:r>
    </w:p>
    <w:p w14:paraId="4CBD78B3">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（1）本条款之规定，若与现行法律法规和各施工单位签订的工程承包合同有冲突的，以现行法律法规和工程承包合同为准。</w:t>
      </w:r>
    </w:p>
    <w:p w14:paraId="6A9BDE0B">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default" w:ascii="宋体" w:hAnsi="宋体" w:eastAsia="宋体"/>
          <w:color w:val="auto"/>
          <w:szCs w:val="30"/>
          <w:highlight w:val="none"/>
          <w:u w:val="single"/>
          <w:lang w:val="en-US" w:eastAsia="zh-CN"/>
        </w:rPr>
      </w:pPr>
      <w:r>
        <w:rPr>
          <w:rFonts w:hint="eastAsia" w:ascii="宋体" w:hAnsi="宋体"/>
          <w:color w:val="auto"/>
          <w:szCs w:val="30"/>
          <w:highlight w:val="none"/>
          <w:u w:val="single"/>
          <w:lang w:eastAsia="zh-CN"/>
        </w:rPr>
        <w:t>（</w:t>
      </w:r>
      <w:r>
        <w:rPr>
          <w:rFonts w:hint="eastAsia" w:ascii="宋体" w:hAnsi="宋体"/>
          <w:color w:val="auto"/>
          <w:szCs w:val="30"/>
          <w:highlight w:val="none"/>
          <w:u w:val="single"/>
          <w:lang w:val="en-US" w:eastAsia="zh-CN"/>
        </w:rPr>
        <w:t>2</w:t>
      </w:r>
      <w:r>
        <w:rPr>
          <w:rFonts w:hint="eastAsia" w:ascii="宋体" w:hAnsi="宋体"/>
          <w:color w:val="auto"/>
          <w:szCs w:val="30"/>
          <w:highlight w:val="none"/>
          <w:u w:val="single"/>
          <w:lang w:eastAsia="zh-CN"/>
        </w:rPr>
        <w:t>）</w:t>
      </w:r>
      <w:r>
        <w:rPr>
          <w:rFonts w:hint="eastAsia" w:ascii="宋体" w:hAnsi="宋体"/>
          <w:color w:val="auto"/>
          <w:szCs w:val="30"/>
          <w:highlight w:val="none"/>
          <w:u w:val="single"/>
          <w:lang w:val="en-US" w:eastAsia="zh-CN"/>
        </w:rPr>
        <w:t>运维服务期间的要求、罚则详见采购文件《第三章  采购需求》，该内容作为本合同的附件。</w:t>
      </w:r>
    </w:p>
    <w:p w14:paraId="05A2F07C">
      <w:pPr>
        <w:pStyle w:val="12"/>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宋体" w:hAnsi="宋体"/>
          <w:color w:val="auto"/>
          <w:szCs w:val="30"/>
          <w:highlight w:val="none"/>
          <w:u w:val="single"/>
        </w:rPr>
      </w:pPr>
      <w:r>
        <w:rPr>
          <w:rFonts w:hint="eastAsia" w:ascii="宋体" w:hAnsi="宋体"/>
          <w:color w:val="auto"/>
          <w:szCs w:val="30"/>
          <w:highlight w:val="none"/>
          <w:u w:val="single"/>
        </w:rPr>
        <w:t>（</w:t>
      </w:r>
      <w:r>
        <w:rPr>
          <w:rFonts w:hint="eastAsia" w:ascii="宋体" w:hAnsi="宋体"/>
          <w:color w:val="auto"/>
          <w:szCs w:val="30"/>
          <w:highlight w:val="none"/>
          <w:u w:val="single"/>
          <w:lang w:val="en-US" w:eastAsia="zh-CN"/>
        </w:rPr>
        <w:t>3</w:t>
      </w:r>
      <w:r>
        <w:rPr>
          <w:rFonts w:hint="eastAsia" w:ascii="宋体" w:hAnsi="宋体"/>
          <w:color w:val="auto"/>
          <w:szCs w:val="30"/>
          <w:highlight w:val="none"/>
          <w:u w:val="single"/>
        </w:rPr>
        <w:t>）其他未尽事宜双方协商解决。</w:t>
      </w:r>
    </w:p>
    <w:p w14:paraId="2CF37922">
      <w:pPr>
        <w:pStyle w:val="12"/>
        <w:keepNext w:val="0"/>
        <w:keepLines w:val="0"/>
        <w:pageBreakBefore w:val="0"/>
        <w:widowControl w:val="0"/>
        <w:kinsoku/>
        <w:wordWrap/>
        <w:overflowPunct/>
        <w:topLinePunct w:val="0"/>
        <w:bidi w:val="0"/>
        <w:spacing w:line="360" w:lineRule="auto"/>
        <w:textAlignment w:val="auto"/>
        <w:rPr>
          <w:rFonts w:hint="eastAsia" w:ascii="宋体" w:hAnsi="宋体"/>
          <w:color w:val="auto"/>
          <w:szCs w:val="30"/>
          <w:highlight w:val="none"/>
          <w:u w:val="single"/>
        </w:rPr>
      </w:pPr>
    </w:p>
    <w:p w14:paraId="114619CD">
      <w:pPr>
        <w:pStyle w:val="12"/>
        <w:keepNext w:val="0"/>
        <w:keepLines w:val="0"/>
        <w:pageBreakBefore w:val="0"/>
        <w:widowControl w:val="0"/>
        <w:kinsoku/>
        <w:wordWrap/>
        <w:overflowPunct/>
        <w:topLinePunct w:val="0"/>
        <w:bidi w:val="0"/>
        <w:spacing w:line="360" w:lineRule="auto"/>
        <w:textAlignment w:val="auto"/>
        <w:rPr>
          <w:rFonts w:hint="eastAsia" w:ascii="宋体" w:hAnsi="宋体"/>
          <w:color w:val="auto"/>
          <w:szCs w:val="30"/>
          <w:highlight w:val="none"/>
          <w:u w:val="single"/>
        </w:rPr>
      </w:pPr>
    </w:p>
    <w:p w14:paraId="192AE7D0">
      <w:pPr>
        <w:kinsoku w:val="0"/>
        <w:overflowPunct w:val="0"/>
        <w:autoSpaceDE w:val="0"/>
        <w:autoSpaceDN w:val="0"/>
        <w:adjustRightInd w:val="0"/>
        <w:spacing w:line="440" w:lineRule="exact"/>
        <w:rPr>
          <w:rFonts w:hint="eastAsia" w:ascii="宋体" w:hAnsi="宋体" w:eastAsia="宋体" w:cs="宋体"/>
          <w:b/>
          <w:bCs/>
          <w:color w:val="auto"/>
          <w:spacing w:val="-4"/>
          <w:sz w:val="24"/>
          <w:highlight w:val="none"/>
        </w:rPr>
        <w:sectPr>
          <w:footerReference r:id="rId3" w:type="default"/>
          <w:pgSz w:w="11905" w:h="16838"/>
          <w:pgMar w:top="1417" w:right="1701" w:bottom="1417" w:left="1797" w:header="851" w:footer="850" w:gutter="0"/>
          <w:pgBorders>
            <w:top w:val="none" w:sz="0" w:space="0"/>
            <w:left w:val="none" w:sz="0" w:space="0"/>
            <w:bottom w:val="none" w:sz="0" w:space="0"/>
            <w:right w:val="none" w:sz="0" w:space="0"/>
          </w:pgBorders>
          <w:pgNumType w:fmt="decimal"/>
          <w:cols w:space="720" w:num="1"/>
          <w:rtlGutter w:val="0"/>
          <w:docGrid w:linePitch="0" w:charSpace="0"/>
        </w:sectPr>
      </w:pPr>
    </w:p>
    <w:p w14:paraId="27622D47">
      <w:pPr>
        <w:kinsoku w:val="0"/>
        <w:overflowPunct w:val="0"/>
        <w:autoSpaceDE w:val="0"/>
        <w:autoSpaceDN w:val="0"/>
        <w:adjustRightInd w:val="0"/>
        <w:spacing w:line="440" w:lineRule="exact"/>
        <w:rPr>
          <w:rFonts w:hint="eastAsia" w:ascii="宋体" w:hAnsi="宋体" w:eastAsia="宋体" w:cs="宋体"/>
          <w:b/>
          <w:bCs/>
          <w:color w:val="auto"/>
          <w:spacing w:val="-4"/>
          <w:sz w:val="24"/>
          <w:highlight w:val="none"/>
        </w:rPr>
      </w:pPr>
      <w:r>
        <w:rPr>
          <w:rFonts w:hint="eastAsia" w:ascii="宋体" w:hAnsi="宋体" w:eastAsia="宋体" w:cs="宋体"/>
          <w:b/>
          <w:bCs/>
          <w:color w:val="auto"/>
          <w:spacing w:val="-4"/>
          <w:sz w:val="24"/>
          <w:highlight w:val="none"/>
        </w:rPr>
        <w:t>附</w:t>
      </w:r>
      <w:bookmarkStart w:id="630" w:name="_Toc296891054"/>
      <w:bookmarkStart w:id="631" w:name="_Toc296503226"/>
      <w:bookmarkStart w:id="632" w:name="_Toc296891266"/>
      <w:bookmarkStart w:id="633" w:name="_Toc267261693"/>
      <w:bookmarkStart w:id="634" w:name="_Toc296347225"/>
      <w:bookmarkStart w:id="635" w:name="_Toc296346727"/>
      <w:bookmarkStart w:id="636" w:name="_Toc296944565"/>
      <w:r>
        <w:rPr>
          <w:rFonts w:hint="eastAsia" w:ascii="宋体" w:hAnsi="宋体" w:eastAsia="宋体" w:cs="宋体"/>
          <w:b/>
          <w:bCs/>
          <w:color w:val="auto"/>
          <w:spacing w:val="-4"/>
          <w:sz w:val="24"/>
          <w:highlight w:val="none"/>
        </w:rPr>
        <w:t>件</w:t>
      </w:r>
      <w:r>
        <w:rPr>
          <w:rFonts w:hint="eastAsia" w:ascii="宋体" w:hAnsi="宋体" w:eastAsia="宋体" w:cs="宋体"/>
          <w:b/>
          <w:bCs/>
          <w:color w:val="auto"/>
          <w:spacing w:val="-4"/>
          <w:sz w:val="24"/>
          <w:highlight w:val="none"/>
          <w:lang w:val="en-US" w:eastAsia="zh-CN"/>
        </w:rPr>
        <w:t>1</w:t>
      </w:r>
      <w:r>
        <w:rPr>
          <w:rFonts w:hint="eastAsia" w:ascii="宋体" w:hAnsi="宋体" w:eastAsia="宋体" w:cs="宋体"/>
          <w:b/>
          <w:bCs/>
          <w:color w:val="auto"/>
          <w:spacing w:val="-4"/>
          <w:sz w:val="24"/>
          <w:highlight w:val="none"/>
        </w:rPr>
        <w:t>：</w:t>
      </w:r>
      <w:bookmarkEnd w:id="630"/>
      <w:bookmarkEnd w:id="631"/>
      <w:bookmarkEnd w:id="632"/>
      <w:bookmarkEnd w:id="633"/>
      <w:bookmarkEnd w:id="634"/>
      <w:bookmarkEnd w:id="635"/>
      <w:bookmarkEnd w:id="636"/>
    </w:p>
    <w:p w14:paraId="46357FB3">
      <w:pPr>
        <w:spacing w:before="120" w:beforeLines="50" w:after="120" w:afterLines="50"/>
        <w:jc w:val="center"/>
        <w:rPr>
          <w:rFonts w:ascii="宋体" w:hAnsi="宋体" w:cs="宋体"/>
          <w:color w:val="auto"/>
          <w:szCs w:val="21"/>
          <w:highlight w:val="none"/>
        </w:rPr>
      </w:pPr>
      <w:r>
        <w:rPr>
          <w:rFonts w:hint="eastAsia" w:ascii="宋体" w:hAnsi="宋体" w:cs="宋体"/>
          <w:color w:val="auto"/>
          <w:szCs w:val="21"/>
          <w:highlight w:val="none"/>
        </w:rPr>
        <w:t>工程质量保修书</w:t>
      </w:r>
    </w:p>
    <w:p w14:paraId="345EBFF8">
      <w:pPr>
        <w:ind w:firstLine="420" w:firstLineChars="200"/>
        <w:rPr>
          <w:rFonts w:hint="eastAsia" w:ascii="宋体" w:hAnsi="宋体" w:cs="宋体"/>
          <w:color w:val="auto"/>
          <w:szCs w:val="21"/>
          <w:highlight w:val="none"/>
        </w:rPr>
      </w:pPr>
    </w:p>
    <w:p w14:paraId="5F6556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发包人（全称）：</w:t>
      </w:r>
      <w:r>
        <w:rPr>
          <w:rFonts w:hint="eastAsia" w:ascii="宋体" w:hAnsi="宋体" w:cs="宋体"/>
          <w:color w:val="auto"/>
          <w:sz w:val="24"/>
          <w:szCs w:val="24"/>
          <w:highlight w:val="none"/>
          <w:u w:val="single"/>
        </w:rPr>
        <w:t>常州市武进区市政公用事业管理处</w:t>
      </w:r>
    </w:p>
    <w:p w14:paraId="34A65DF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承包人（全称）：</w:t>
      </w:r>
      <w:r>
        <w:rPr>
          <w:rFonts w:hint="eastAsia" w:ascii="宋体" w:hAnsi="宋体" w:eastAsia="宋体" w:cs="宋体"/>
          <w:color w:val="auto"/>
          <w:sz w:val="24"/>
          <w:szCs w:val="24"/>
          <w:highlight w:val="none"/>
          <w:u w:val="single"/>
        </w:rPr>
        <w:t>江苏移动信息系统集成有限公司</w:t>
      </w:r>
    </w:p>
    <w:p w14:paraId="4FB009E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发包人和承包人根据《中华人民共和国建筑法》和《建设工程质量管理条例》，经协商一致就</w:t>
      </w:r>
      <w:r>
        <w:rPr>
          <w:rFonts w:hint="eastAsia" w:ascii="宋体" w:hAnsi="宋体" w:eastAsia="宋体" w:cs="宋体"/>
          <w:color w:val="auto"/>
          <w:sz w:val="24"/>
          <w:szCs w:val="24"/>
          <w:highlight w:val="none"/>
          <w:u w:val="single"/>
        </w:rPr>
        <w:t>古方路（龙舫路-湖滨路）新建工程智能交通设备采购及安装项目</w:t>
      </w:r>
      <w:r>
        <w:rPr>
          <w:rFonts w:hint="eastAsia" w:ascii="宋体" w:hAnsi="宋体" w:eastAsia="宋体" w:cs="宋体"/>
          <w:color w:val="auto"/>
          <w:sz w:val="24"/>
          <w:szCs w:val="24"/>
          <w:highlight w:val="none"/>
        </w:rPr>
        <w:t>（工程全称）签订工程质量保修书。</w:t>
      </w:r>
    </w:p>
    <w:p w14:paraId="196D420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auto"/>
          <w:sz w:val="24"/>
          <w:szCs w:val="24"/>
          <w:highlight w:val="none"/>
        </w:rPr>
      </w:pPr>
      <w:bookmarkStart w:id="637" w:name="_Toc5072"/>
      <w:bookmarkStart w:id="638" w:name="_Toc514750269"/>
      <w:r>
        <w:rPr>
          <w:rFonts w:hint="eastAsia" w:ascii="宋体" w:hAnsi="宋体" w:eastAsia="宋体" w:cs="宋体"/>
          <w:color w:val="auto"/>
          <w:sz w:val="24"/>
          <w:szCs w:val="24"/>
          <w:highlight w:val="none"/>
        </w:rPr>
        <w:t>一、工程质量保修范围和内容</w:t>
      </w:r>
      <w:bookmarkEnd w:id="637"/>
      <w:bookmarkEnd w:id="638"/>
    </w:p>
    <w:p w14:paraId="0743E3C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承包人在质量保修期内，按照有关法律规定和合同约定，承担工程质量保修责任。</w:t>
      </w:r>
    </w:p>
    <w:p w14:paraId="10A187F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0A22550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按合同承包范围内容</w:t>
      </w:r>
      <w:r>
        <w:rPr>
          <w:rFonts w:hint="eastAsia" w:ascii="宋体" w:hAnsi="宋体" w:eastAsia="宋体" w:cs="宋体"/>
          <w:color w:val="auto"/>
          <w:sz w:val="24"/>
          <w:szCs w:val="24"/>
          <w:highlight w:val="none"/>
        </w:rPr>
        <w:t>。</w:t>
      </w:r>
    </w:p>
    <w:p w14:paraId="63A0A98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auto"/>
          <w:sz w:val="24"/>
          <w:szCs w:val="24"/>
          <w:highlight w:val="none"/>
        </w:rPr>
      </w:pPr>
      <w:bookmarkStart w:id="639" w:name="_Toc4221"/>
      <w:bookmarkStart w:id="640" w:name="_Toc514750270"/>
      <w:r>
        <w:rPr>
          <w:rFonts w:hint="eastAsia" w:ascii="宋体" w:hAnsi="宋体" w:eastAsia="宋体" w:cs="宋体"/>
          <w:color w:val="auto"/>
          <w:sz w:val="24"/>
          <w:szCs w:val="24"/>
          <w:highlight w:val="none"/>
        </w:rPr>
        <w:t>二、质量保修期</w:t>
      </w:r>
      <w:bookmarkEnd w:id="639"/>
      <w:bookmarkEnd w:id="640"/>
    </w:p>
    <w:p w14:paraId="5580D45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根据《建设工程质量管理条例》及有关规定，工程的质量保修期如下：</w:t>
      </w:r>
    </w:p>
    <w:p w14:paraId="2D1F3D7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地基基础工程和主体结构工程为设计文件规定的工程合理使用年限；</w:t>
      </w:r>
    </w:p>
    <w:p w14:paraId="2C5501C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屋面防水工程、有防水要求的卫生间、房间和外墙面的防渗为</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年；</w:t>
      </w:r>
    </w:p>
    <w:p w14:paraId="35AF142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装修工程为</w:t>
      </w:r>
      <w:r>
        <w:rPr>
          <w:rFonts w:hint="eastAsia" w:ascii="宋体" w:hAnsi="宋体" w:eastAsia="宋体" w:cs="宋体"/>
          <w:color w:val="auto"/>
          <w:sz w:val="24"/>
          <w:szCs w:val="24"/>
          <w:highlight w:val="none"/>
          <w:u w:val="single"/>
        </w:rPr>
        <w:t>2</w:t>
      </w:r>
      <w:r>
        <w:rPr>
          <w:rFonts w:hint="eastAsia" w:ascii="宋体" w:hAnsi="宋体" w:eastAsia="宋体" w:cs="宋体"/>
          <w:color w:val="auto"/>
          <w:sz w:val="24"/>
          <w:szCs w:val="24"/>
          <w:highlight w:val="none"/>
        </w:rPr>
        <w:t>年；</w:t>
      </w:r>
    </w:p>
    <w:p w14:paraId="31B394F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电气管线、给排水管道、设备安装工程为</w:t>
      </w:r>
      <w:r>
        <w:rPr>
          <w:rFonts w:hint="eastAsia" w:ascii="宋体" w:hAnsi="宋体" w:eastAsia="宋体" w:cs="宋体"/>
          <w:color w:val="auto"/>
          <w:sz w:val="24"/>
          <w:szCs w:val="24"/>
          <w:highlight w:val="none"/>
          <w:u w:val="single"/>
        </w:rPr>
        <w:t>2</w:t>
      </w:r>
      <w:r>
        <w:rPr>
          <w:rFonts w:hint="eastAsia" w:ascii="宋体" w:hAnsi="宋体" w:eastAsia="宋体" w:cs="宋体"/>
          <w:color w:val="auto"/>
          <w:sz w:val="24"/>
          <w:szCs w:val="24"/>
          <w:highlight w:val="none"/>
        </w:rPr>
        <w:t>年；</w:t>
      </w:r>
    </w:p>
    <w:p w14:paraId="523ACFC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供热与供冷系统为</w:t>
      </w:r>
      <w:r>
        <w:rPr>
          <w:rFonts w:hint="eastAsia" w:ascii="宋体" w:hAnsi="宋体" w:eastAsia="宋体" w:cs="宋体"/>
          <w:color w:val="auto"/>
          <w:sz w:val="24"/>
          <w:szCs w:val="24"/>
          <w:highlight w:val="none"/>
          <w:u w:val="single"/>
        </w:rPr>
        <w:t>2</w:t>
      </w:r>
      <w:r>
        <w:rPr>
          <w:rFonts w:hint="eastAsia" w:ascii="宋体" w:hAnsi="宋体" w:eastAsia="宋体" w:cs="宋体"/>
          <w:color w:val="auto"/>
          <w:sz w:val="24"/>
          <w:szCs w:val="24"/>
          <w:highlight w:val="none"/>
        </w:rPr>
        <w:t>个采暖期、供冷期；</w:t>
      </w:r>
    </w:p>
    <w:p w14:paraId="52F1599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给排水设施、道路等配套工程为</w:t>
      </w:r>
      <w:r>
        <w:rPr>
          <w:rFonts w:hint="eastAsia" w:ascii="宋体" w:hAnsi="宋体" w:eastAsia="宋体" w:cs="宋体"/>
          <w:color w:val="auto"/>
          <w:sz w:val="24"/>
          <w:szCs w:val="24"/>
          <w:highlight w:val="none"/>
          <w:u w:val="single"/>
        </w:rPr>
        <w:t>2</w:t>
      </w:r>
      <w:r>
        <w:rPr>
          <w:rFonts w:hint="eastAsia" w:ascii="宋体" w:hAnsi="宋体" w:eastAsia="宋体" w:cs="宋体"/>
          <w:color w:val="auto"/>
          <w:sz w:val="24"/>
          <w:szCs w:val="24"/>
          <w:highlight w:val="none"/>
        </w:rPr>
        <w:t>年；</w:t>
      </w:r>
    </w:p>
    <w:p w14:paraId="5843D58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其他项目保修期限约定如下：</w:t>
      </w:r>
      <w:r>
        <w:rPr>
          <w:rFonts w:hint="default" w:ascii="Times New Roman" w:hAnsi="Times New Roman" w:eastAsia="宋体" w:cs="Times New Roman"/>
          <w:color w:val="auto"/>
          <w:sz w:val="24"/>
          <w:szCs w:val="24"/>
          <w:highlight w:val="none"/>
          <w:u w:val="single"/>
          <w:lang w:val="en-US" w:eastAsia="zh-CN"/>
        </w:rPr>
        <w:t>5</w:t>
      </w:r>
      <w:r>
        <w:rPr>
          <w:rFonts w:hint="default" w:ascii="Times New Roman" w:hAnsi="Times New Roman" w:eastAsia="宋体" w:cs="Times New Roman"/>
          <w:color w:val="auto"/>
          <w:sz w:val="24"/>
          <w:szCs w:val="24"/>
          <w:highlight w:val="none"/>
          <w:u w:val="single"/>
        </w:rPr>
        <w:t>年</w:t>
      </w:r>
      <w:r>
        <w:rPr>
          <w:rFonts w:hint="default" w:ascii="Times New Roman" w:hAnsi="Times New Roman" w:eastAsia="宋体" w:cs="Times New Roman"/>
          <w:color w:val="auto"/>
          <w:sz w:val="24"/>
          <w:szCs w:val="24"/>
          <w:highlight w:val="none"/>
          <w:u w:val="single"/>
          <w:lang w:eastAsia="zh-CN"/>
        </w:rPr>
        <w:t>，</w:t>
      </w:r>
      <w:r>
        <w:rPr>
          <w:rFonts w:hint="default" w:ascii="Times New Roman" w:hAnsi="Times New Roman" w:cs="Times New Roman"/>
          <w:bCs/>
          <w:color w:val="auto"/>
          <w:sz w:val="24"/>
          <w:highlight w:val="none"/>
          <w:u w:val="single"/>
        </w:rPr>
        <w:t>运维</w:t>
      </w:r>
      <w:r>
        <w:rPr>
          <w:rFonts w:hint="default" w:ascii="Times New Roman" w:hAnsi="Times New Roman" w:cs="Times New Roman"/>
          <w:bCs/>
          <w:color w:val="auto"/>
          <w:sz w:val="24"/>
          <w:highlight w:val="none"/>
          <w:u w:val="single"/>
          <w:lang w:val="en-US" w:eastAsia="zh-CN"/>
        </w:rPr>
        <w:t>5</w:t>
      </w:r>
      <w:r>
        <w:rPr>
          <w:rFonts w:hint="default" w:ascii="Times New Roman" w:hAnsi="Times New Roman" w:cs="Times New Roman"/>
          <w:bCs/>
          <w:color w:val="auto"/>
          <w:sz w:val="24"/>
          <w:highlight w:val="none"/>
          <w:u w:val="single"/>
        </w:rPr>
        <w:t>年，满足维保服务要求</w:t>
      </w:r>
      <w:r>
        <w:rPr>
          <w:rFonts w:hint="eastAsia" w:ascii="Times New Roman" w:hAnsi="Times New Roman" w:cs="Times New Roman"/>
          <w:bCs/>
          <w:color w:val="auto"/>
          <w:sz w:val="24"/>
          <w:highlight w:val="none"/>
          <w:u w:val="single"/>
          <w:lang w:eastAsia="zh-CN"/>
        </w:rPr>
        <w:t>（</w:t>
      </w:r>
      <w:r>
        <w:rPr>
          <w:rFonts w:hint="eastAsia" w:ascii="Times New Roman" w:hAnsi="Times New Roman" w:cs="Times New Roman"/>
          <w:bCs/>
          <w:color w:val="auto"/>
          <w:sz w:val="24"/>
          <w:highlight w:val="none"/>
          <w:u w:val="single"/>
          <w:lang w:val="en-US" w:eastAsia="zh-CN"/>
        </w:rPr>
        <w:t>采购文件第三章  采购需求</w:t>
      </w:r>
      <w:r>
        <w:rPr>
          <w:rFonts w:hint="eastAsia" w:ascii="Times New Roman" w:hAnsi="Times New Roman" w:cs="Times New Roman"/>
          <w:bCs/>
          <w:color w:val="auto"/>
          <w:sz w:val="24"/>
          <w:highlight w:val="none"/>
          <w:u w:val="single"/>
          <w:lang w:eastAsia="zh-CN"/>
        </w:rPr>
        <w:t>）</w:t>
      </w:r>
      <w:r>
        <w:rPr>
          <w:rFonts w:hint="eastAsia" w:ascii="宋体" w:hAnsi="宋体" w:eastAsia="宋体" w:cs="宋体"/>
          <w:color w:val="auto"/>
          <w:sz w:val="24"/>
          <w:szCs w:val="24"/>
          <w:highlight w:val="none"/>
        </w:rPr>
        <w:t>。</w:t>
      </w:r>
    </w:p>
    <w:p w14:paraId="267518F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质量保修期自工程竣工验收合格之日起计算。</w:t>
      </w:r>
    </w:p>
    <w:p w14:paraId="6299EEE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auto"/>
          <w:sz w:val="24"/>
          <w:szCs w:val="24"/>
          <w:highlight w:val="none"/>
        </w:rPr>
      </w:pPr>
      <w:bookmarkStart w:id="641" w:name="_Toc10698"/>
      <w:bookmarkStart w:id="642" w:name="_Toc514750271"/>
      <w:r>
        <w:rPr>
          <w:rFonts w:hint="eastAsia" w:ascii="宋体" w:hAnsi="宋体" w:eastAsia="宋体" w:cs="宋体"/>
          <w:color w:val="auto"/>
          <w:sz w:val="24"/>
          <w:szCs w:val="24"/>
          <w:highlight w:val="none"/>
        </w:rPr>
        <w:t>三、缺陷责任期</w:t>
      </w:r>
      <w:bookmarkEnd w:id="641"/>
      <w:bookmarkEnd w:id="642"/>
    </w:p>
    <w:p w14:paraId="55A5201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工程缺陷责任期为</w:t>
      </w:r>
      <w:r>
        <w:rPr>
          <w:rFonts w:hint="eastAsia" w:ascii="宋体" w:hAnsi="宋体" w:eastAsia="宋体" w:cs="宋体"/>
          <w:color w:val="auto"/>
          <w:sz w:val="24"/>
          <w:szCs w:val="24"/>
          <w:highlight w:val="none"/>
          <w:u w:val="single"/>
        </w:rPr>
        <w:t>24</w:t>
      </w:r>
      <w:r>
        <w:rPr>
          <w:rFonts w:hint="eastAsia" w:ascii="宋体" w:hAnsi="宋体" w:eastAsia="宋体" w:cs="宋体"/>
          <w:color w:val="auto"/>
          <w:sz w:val="24"/>
          <w:szCs w:val="24"/>
          <w:highlight w:val="none"/>
        </w:rPr>
        <w:t>个月，缺陷责任期自工程通过竣工验收之日起计算。单位工程先于全部工程进行验收，单位工程缺陷责任期自单位工程验收合格之日起算。</w:t>
      </w:r>
    </w:p>
    <w:p w14:paraId="36AB963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缺陷责任期终止后，发包人应退还剩余的质量保证金。</w:t>
      </w:r>
    </w:p>
    <w:p w14:paraId="7E79E29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auto"/>
          <w:sz w:val="24"/>
          <w:szCs w:val="24"/>
          <w:highlight w:val="none"/>
        </w:rPr>
      </w:pPr>
      <w:bookmarkStart w:id="643" w:name="_Toc514750272"/>
      <w:bookmarkStart w:id="644" w:name="_Toc6677"/>
      <w:r>
        <w:rPr>
          <w:rFonts w:hint="eastAsia" w:ascii="宋体" w:hAnsi="宋体" w:eastAsia="宋体" w:cs="宋体"/>
          <w:color w:val="auto"/>
          <w:sz w:val="24"/>
          <w:szCs w:val="24"/>
          <w:highlight w:val="none"/>
        </w:rPr>
        <w:t>四、质量保修责任</w:t>
      </w:r>
      <w:bookmarkEnd w:id="643"/>
      <w:bookmarkEnd w:id="644"/>
    </w:p>
    <w:p w14:paraId="2A4F98E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属于保修范围、内容的项目，承包人应当在接到保修通知之日起7天内派人保修。承包人不在约定期限内派人保修的，发包人可以委托他人修理。</w:t>
      </w:r>
    </w:p>
    <w:p w14:paraId="7379EA4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发生紧急事故需抢修的，承包人在接到事故通知后，应当立即到达事故现场抢修。</w:t>
      </w:r>
    </w:p>
    <w:p w14:paraId="3D220E3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20E1CF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质量保修完成后，由发包人组织验收。</w:t>
      </w:r>
    </w:p>
    <w:p w14:paraId="044A832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auto"/>
          <w:sz w:val="24"/>
          <w:szCs w:val="24"/>
          <w:highlight w:val="none"/>
        </w:rPr>
      </w:pPr>
      <w:bookmarkStart w:id="645" w:name="_Toc5647"/>
      <w:bookmarkStart w:id="646" w:name="_Toc514750273"/>
      <w:r>
        <w:rPr>
          <w:rFonts w:hint="eastAsia" w:ascii="宋体" w:hAnsi="宋体" w:eastAsia="宋体" w:cs="宋体"/>
          <w:color w:val="auto"/>
          <w:sz w:val="24"/>
          <w:szCs w:val="24"/>
          <w:highlight w:val="none"/>
        </w:rPr>
        <w:t>五、保修费用</w:t>
      </w:r>
      <w:bookmarkEnd w:id="645"/>
      <w:bookmarkEnd w:id="646"/>
    </w:p>
    <w:p w14:paraId="5B22337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保修费用由造成质量缺陷的责任方承担。</w:t>
      </w:r>
    </w:p>
    <w:p w14:paraId="28C91C6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bCs/>
          <w:color w:val="auto"/>
          <w:sz w:val="24"/>
          <w:szCs w:val="24"/>
          <w:highlight w:val="none"/>
        </w:rPr>
      </w:pPr>
      <w:bookmarkStart w:id="647" w:name="_Toc514750274"/>
      <w:bookmarkStart w:id="648" w:name="_Toc30529"/>
      <w:r>
        <w:rPr>
          <w:rFonts w:hint="eastAsia" w:ascii="宋体" w:hAnsi="宋体" w:eastAsia="宋体" w:cs="宋体"/>
          <w:bCs/>
          <w:color w:val="auto"/>
          <w:sz w:val="24"/>
          <w:szCs w:val="24"/>
          <w:highlight w:val="none"/>
        </w:rPr>
        <w:t>六、双方约定的其他工程质量保修事项：</w:t>
      </w:r>
      <w:bookmarkEnd w:id="647"/>
      <w:r>
        <w:rPr>
          <w:rFonts w:hint="eastAsia" w:ascii="宋体" w:hAnsi="宋体" w:eastAsia="宋体" w:cs="宋体"/>
          <w:bCs/>
          <w:color w:val="auto"/>
          <w:sz w:val="24"/>
          <w:szCs w:val="24"/>
          <w:highlight w:val="none"/>
          <w:u w:val="single"/>
        </w:rPr>
        <w:t>质量保修金约定：①质量保修金为审定价的</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%；②</w:t>
      </w:r>
      <w:r>
        <w:rPr>
          <w:rFonts w:hint="eastAsia" w:ascii="宋体" w:hAnsi="宋体" w:eastAsia="宋体" w:cs="宋体"/>
          <w:bCs/>
          <w:color w:val="auto"/>
          <w:spacing w:val="-3"/>
          <w:sz w:val="24"/>
          <w:szCs w:val="24"/>
          <w:highlight w:val="none"/>
          <w:u w:val="single"/>
        </w:rPr>
        <w:t>发包人在</w:t>
      </w:r>
      <w:r>
        <w:rPr>
          <w:rFonts w:hint="eastAsia" w:ascii="宋体" w:hAnsi="宋体" w:eastAsia="宋体" w:cs="宋体"/>
          <w:bCs/>
          <w:color w:val="auto"/>
          <w:spacing w:val="-8"/>
          <w:sz w:val="24"/>
          <w:szCs w:val="24"/>
          <w:highlight w:val="none"/>
          <w:u w:val="single"/>
        </w:rPr>
        <w:t xml:space="preserve">工程竣工验收满 </w:t>
      </w:r>
      <w:r>
        <w:rPr>
          <w:rFonts w:hint="eastAsia" w:ascii="宋体" w:hAnsi="宋体" w:eastAsia="宋体" w:cs="宋体"/>
          <w:bCs/>
          <w:color w:val="auto"/>
          <w:sz w:val="24"/>
          <w:szCs w:val="24"/>
          <w:highlight w:val="none"/>
          <w:u w:val="single"/>
          <w:lang w:val="en-US" w:eastAsia="zh-CN"/>
        </w:rPr>
        <w:t>5</w:t>
      </w:r>
      <w:r>
        <w:rPr>
          <w:rFonts w:hint="eastAsia" w:ascii="宋体" w:hAnsi="宋体" w:eastAsia="宋体" w:cs="宋体"/>
          <w:bCs/>
          <w:color w:val="auto"/>
          <w:spacing w:val="-7"/>
          <w:sz w:val="24"/>
          <w:szCs w:val="24"/>
          <w:highlight w:val="none"/>
          <w:u w:val="single"/>
        </w:rPr>
        <w:t>年且</w:t>
      </w:r>
      <w:r>
        <w:rPr>
          <w:rFonts w:hint="eastAsia" w:ascii="宋体" w:hAnsi="宋体" w:eastAsia="宋体" w:cs="宋体"/>
          <w:bCs/>
          <w:color w:val="auto"/>
          <w:spacing w:val="-7"/>
          <w:sz w:val="24"/>
          <w:szCs w:val="24"/>
          <w:highlight w:val="none"/>
          <w:u w:val="single"/>
          <w:lang w:eastAsia="zh-Hans"/>
        </w:rPr>
        <w:t>承包人质保期内无违约行为并</w:t>
      </w:r>
      <w:r>
        <w:rPr>
          <w:rFonts w:hint="eastAsia" w:ascii="宋体" w:hAnsi="宋体" w:eastAsia="宋体" w:cs="宋体"/>
          <w:bCs/>
          <w:color w:val="auto"/>
          <w:spacing w:val="-7"/>
          <w:sz w:val="24"/>
          <w:szCs w:val="24"/>
          <w:highlight w:val="none"/>
          <w:u w:val="single"/>
        </w:rPr>
        <w:t xml:space="preserve">通过质保期验收后 </w:t>
      </w:r>
      <w:r>
        <w:rPr>
          <w:rFonts w:hint="eastAsia" w:ascii="宋体" w:hAnsi="宋体" w:eastAsia="宋体" w:cs="宋体"/>
          <w:bCs/>
          <w:color w:val="auto"/>
          <w:sz w:val="24"/>
          <w:szCs w:val="24"/>
          <w:highlight w:val="none"/>
          <w:u w:val="single"/>
        </w:rPr>
        <w:t xml:space="preserve">30 </w:t>
      </w:r>
      <w:r>
        <w:rPr>
          <w:rFonts w:hint="eastAsia" w:ascii="宋体" w:hAnsi="宋体" w:eastAsia="宋体" w:cs="宋体"/>
          <w:bCs/>
          <w:color w:val="auto"/>
          <w:spacing w:val="-3"/>
          <w:sz w:val="24"/>
          <w:szCs w:val="24"/>
          <w:highlight w:val="none"/>
          <w:u w:val="single"/>
        </w:rPr>
        <w:t>天内付与承包人结清保修金余款，质量保修金在质保期内无利息</w:t>
      </w:r>
      <w:r>
        <w:rPr>
          <w:rFonts w:hint="eastAsia" w:ascii="宋体" w:hAnsi="宋体" w:eastAsia="宋体" w:cs="宋体"/>
          <w:bCs/>
          <w:color w:val="auto"/>
          <w:sz w:val="24"/>
          <w:szCs w:val="24"/>
          <w:highlight w:val="none"/>
        </w:rPr>
        <w:t>。</w:t>
      </w:r>
      <w:bookmarkEnd w:id="648"/>
    </w:p>
    <w:p w14:paraId="324C9B7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工程质量保修书由发包人、承包人在工程竣工验收前共同签署，作为施工合同附件，其有效期限至保修期满。</w:t>
      </w:r>
    </w:p>
    <w:tbl>
      <w:tblPr>
        <w:tblStyle w:val="9"/>
        <w:tblW w:w="9428" w:type="dxa"/>
        <w:tblInd w:w="-2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020"/>
        <w:gridCol w:w="1665"/>
        <w:gridCol w:w="3157"/>
      </w:tblGrid>
      <w:tr w14:paraId="3306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4606" w:type="dxa"/>
            <w:gridSpan w:val="2"/>
            <w:tcBorders>
              <w:top w:val="nil"/>
              <w:left w:val="nil"/>
              <w:bottom w:val="nil"/>
              <w:right w:val="nil"/>
            </w:tcBorders>
          </w:tcPr>
          <w:p w14:paraId="0B147CF9">
            <w:pPr>
              <w:spacing w:line="460" w:lineRule="exact"/>
              <w:rPr>
                <w:rFonts w:ascii="宋体" w:hAnsi="宋体" w:cs="宋体"/>
                <w:color w:val="auto"/>
                <w:szCs w:val="21"/>
                <w:highlight w:val="none"/>
              </w:rPr>
            </w:pPr>
            <w:r>
              <w:rPr>
                <w:rFonts w:hint="eastAsia" w:ascii="宋体" w:hAnsi="宋体" w:cs="宋体"/>
                <w:color w:val="auto"/>
                <w:szCs w:val="21"/>
                <w:highlight w:val="none"/>
                <w:lang w:eastAsia="zh-CN"/>
              </w:rPr>
              <w:t>甲方</w:t>
            </w:r>
            <w:r>
              <w:rPr>
                <w:rFonts w:hint="eastAsia" w:ascii="宋体" w:hAnsi="宋体" w:cs="宋体"/>
                <w:color w:val="auto"/>
                <w:szCs w:val="21"/>
                <w:highlight w:val="none"/>
              </w:rPr>
              <w:t>：  (公章)</w:t>
            </w:r>
          </w:p>
        </w:tc>
        <w:tc>
          <w:tcPr>
            <w:tcW w:w="4822" w:type="dxa"/>
            <w:gridSpan w:val="2"/>
            <w:tcBorders>
              <w:top w:val="nil"/>
              <w:left w:val="nil"/>
              <w:bottom w:val="nil"/>
              <w:right w:val="nil"/>
            </w:tcBorders>
          </w:tcPr>
          <w:p w14:paraId="673C949C">
            <w:pPr>
              <w:spacing w:line="460" w:lineRule="exact"/>
              <w:rPr>
                <w:rFonts w:ascii="宋体" w:hAnsi="宋体" w:cs="宋体"/>
                <w:color w:val="auto"/>
                <w:szCs w:val="21"/>
                <w:highlight w:val="none"/>
              </w:rPr>
            </w:pPr>
            <w:r>
              <w:rPr>
                <w:rFonts w:hint="eastAsia" w:ascii="宋体" w:hAnsi="宋体" w:cs="宋体"/>
                <w:color w:val="auto"/>
                <w:szCs w:val="21"/>
                <w:highlight w:val="none"/>
                <w:lang w:eastAsia="zh-CN"/>
              </w:rPr>
              <w:t>乙方</w:t>
            </w:r>
            <w:r>
              <w:rPr>
                <w:rFonts w:hint="eastAsia" w:ascii="宋体" w:hAnsi="宋体" w:cs="宋体"/>
                <w:color w:val="auto"/>
                <w:szCs w:val="21"/>
                <w:highlight w:val="none"/>
              </w:rPr>
              <w:t xml:space="preserve">：  (公章)    </w:t>
            </w:r>
          </w:p>
        </w:tc>
      </w:tr>
      <w:tr w14:paraId="776D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586" w:type="dxa"/>
            <w:tcBorders>
              <w:top w:val="nil"/>
              <w:left w:val="nil"/>
              <w:bottom w:val="nil"/>
              <w:right w:val="nil"/>
            </w:tcBorders>
            <w:vAlign w:val="center"/>
          </w:tcPr>
          <w:p w14:paraId="2DBF0450">
            <w:pPr>
              <w:spacing w:line="460" w:lineRule="exact"/>
              <w:rPr>
                <w:rFonts w:ascii="宋体" w:hAnsi="宋体" w:cs="宋体"/>
                <w:color w:val="auto"/>
                <w:szCs w:val="21"/>
                <w:highlight w:val="none"/>
              </w:rPr>
            </w:pPr>
            <w:r>
              <w:rPr>
                <w:rFonts w:hint="eastAsia" w:ascii="宋体" w:hAnsi="宋体" w:cs="宋体"/>
                <w:color w:val="auto"/>
                <w:szCs w:val="21"/>
                <w:highlight w:val="none"/>
              </w:rPr>
              <w:t>地  址：</w:t>
            </w:r>
          </w:p>
        </w:tc>
        <w:tc>
          <w:tcPr>
            <w:tcW w:w="3020" w:type="dxa"/>
            <w:tcBorders>
              <w:top w:val="nil"/>
              <w:left w:val="nil"/>
              <w:bottom w:val="nil"/>
              <w:right w:val="nil"/>
            </w:tcBorders>
            <w:vAlign w:val="center"/>
          </w:tcPr>
          <w:p w14:paraId="0A06A4B2">
            <w:pPr>
              <w:rPr>
                <w:rFonts w:ascii="宋体" w:hAnsi="宋体" w:cs="宋体"/>
                <w:color w:val="auto"/>
                <w:szCs w:val="21"/>
                <w:highlight w:val="none"/>
              </w:rPr>
            </w:pPr>
            <w:r>
              <w:rPr>
                <w:rFonts w:hint="eastAsia" w:ascii="宋体" w:hAnsi="宋体" w:cs="宋体"/>
                <w:color w:val="auto"/>
                <w:szCs w:val="21"/>
                <w:highlight w:val="none"/>
              </w:rPr>
              <w:t>常州市武进区湖塘镇广电西路178号</w:t>
            </w:r>
          </w:p>
        </w:tc>
        <w:tc>
          <w:tcPr>
            <w:tcW w:w="1665" w:type="dxa"/>
            <w:tcBorders>
              <w:top w:val="nil"/>
              <w:left w:val="nil"/>
              <w:bottom w:val="nil"/>
              <w:right w:val="nil"/>
            </w:tcBorders>
            <w:vAlign w:val="center"/>
          </w:tcPr>
          <w:p w14:paraId="73CB6326">
            <w:pPr>
              <w:spacing w:line="460" w:lineRule="exact"/>
              <w:rPr>
                <w:rFonts w:ascii="宋体" w:hAnsi="宋体" w:cs="宋体"/>
                <w:color w:val="auto"/>
                <w:szCs w:val="21"/>
                <w:highlight w:val="none"/>
              </w:rPr>
            </w:pPr>
            <w:r>
              <w:rPr>
                <w:rFonts w:hint="eastAsia" w:ascii="宋体" w:hAnsi="宋体" w:cs="宋体"/>
                <w:color w:val="auto"/>
                <w:szCs w:val="21"/>
                <w:highlight w:val="none"/>
              </w:rPr>
              <w:t>地  址：</w:t>
            </w:r>
          </w:p>
        </w:tc>
        <w:tc>
          <w:tcPr>
            <w:tcW w:w="3157" w:type="dxa"/>
            <w:tcBorders>
              <w:top w:val="nil"/>
              <w:left w:val="nil"/>
              <w:bottom w:val="nil"/>
              <w:right w:val="nil"/>
            </w:tcBorders>
            <w:vAlign w:val="center"/>
          </w:tcPr>
          <w:p w14:paraId="7445CE92">
            <w:pPr>
              <w:rPr>
                <w:rFonts w:ascii="宋体" w:hAnsi="宋体" w:cs="宋体"/>
                <w:color w:val="auto"/>
                <w:szCs w:val="21"/>
                <w:highlight w:val="none"/>
              </w:rPr>
            </w:pPr>
            <w:r>
              <w:rPr>
                <w:rFonts w:hint="eastAsia" w:ascii="宋体" w:hAnsi="宋体" w:cs="宋体"/>
                <w:color w:val="auto"/>
                <w:szCs w:val="21"/>
                <w:highlight w:val="none"/>
              </w:rPr>
              <w:t>南京市虎踞路59号</w:t>
            </w:r>
          </w:p>
        </w:tc>
      </w:tr>
      <w:tr w14:paraId="474D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606" w:type="dxa"/>
            <w:gridSpan w:val="2"/>
            <w:tcBorders>
              <w:top w:val="nil"/>
              <w:left w:val="nil"/>
              <w:bottom w:val="nil"/>
              <w:right w:val="nil"/>
            </w:tcBorders>
            <w:vAlign w:val="center"/>
          </w:tcPr>
          <w:p w14:paraId="7EC6774A">
            <w:pPr>
              <w:spacing w:line="460" w:lineRule="exact"/>
              <w:rPr>
                <w:rFonts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 w:val="24"/>
                <w:highlight w:val="none"/>
              </w:rPr>
              <w:t>(签字)</w:t>
            </w:r>
            <w:r>
              <w:rPr>
                <w:rFonts w:hint="eastAsia" w:ascii="宋体" w:hAnsi="宋体" w:cs="宋体"/>
                <w:color w:val="auto"/>
                <w:szCs w:val="21"/>
                <w:highlight w:val="none"/>
              </w:rPr>
              <w:t>：</w:t>
            </w:r>
          </w:p>
        </w:tc>
        <w:tc>
          <w:tcPr>
            <w:tcW w:w="4822" w:type="dxa"/>
            <w:gridSpan w:val="2"/>
            <w:tcBorders>
              <w:top w:val="nil"/>
              <w:left w:val="nil"/>
              <w:bottom w:val="nil"/>
              <w:right w:val="nil"/>
            </w:tcBorders>
            <w:vAlign w:val="center"/>
          </w:tcPr>
          <w:p w14:paraId="7C7B06E0">
            <w:pPr>
              <w:spacing w:line="460" w:lineRule="exact"/>
              <w:rPr>
                <w:rFonts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 w:val="24"/>
                <w:highlight w:val="none"/>
              </w:rPr>
              <w:t>(签字)</w:t>
            </w:r>
            <w:r>
              <w:rPr>
                <w:rFonts w:hint="eastAsia" w:ascii="宋体" w:hAnsi="宋体" w:cs="宋体"/>
                <w:color w:val="auto"/>
                <w:szCs w:val="21"/>
                <w:highlight w:val="none"/>
              </w:rPr>
              <w:t>：</w:t>
            </w:r>
          </w:p>
        </w:tc>
      </w:tr>
      <w:tr w14:paraId="699D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4606" w:type="dxa"/>
            <w:gridSpan w:val="2"/>
            <w:tcBorders>
              <w:top w:val="nil"/>
              <w:left w:val="nil"/>
              <w:bottom w:val="nil"/>
              <w:right w:val="nil"/>
            </w:tcBorders>
            <w:vAlign w:val="center"/>
          </w:tcPr>
          <w:p w14:paraId="72B27CFE">
            <w:pPr>
              <w:spacing w:line="460" w:lineRule="exact"/>
              <w:rPr>
                <w:rFonts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 w:val="24"/>
                <w:highlight w:val="none"/>
              </w:rPr>
              <w:t>(签字)</w:t>
            </w:r>
            <w:r>
              <w:rPr>
                <w:rFonts w:hint="eastAsia" w:ascii="宋体" w:hAnsi="宋体" w:cs="宋体"/>
                <w:color w:val="auto"/>
                <w:szCs w:val="21"/>
                <w:highlight w:val="none"/>
              </w:rPr>
              <w:t>：</w:t>
            </w:r>
          </w:p>
        </w:tc>
        <w:tc>
          <w:tcPr>
            <w:tcW w:w="4822" w:type="dxa"/>
            <w:gridSpan w:val="2"/>
            <w:tcBorders>
              <w:top w:val="nil"/>
              <w:left w:val="nil"/>
              <w:bottom w:val="nil"/>
              <w:right w:val="nil"/>
            </w:tcBorders>
            <w:vAlign w:val="center"/>
          </w:tcPr>
          <w:p w14:paraId="6D665527">
            <w:pPr>
              <w:spacing w:line="460" w:lineRule="exact"/>
              <w:rPr>
                <w:rFonts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 w:val="24"/>
                <w:highlight w:val="none"/>
              </w:rPr>
              <w:t>(签字)</w:t>
            </w:r>
            <w:r>
              <w:rPr>
                <w:rFonts w:hint="eastAsia" w:ascii="宋体" w:hAnsi="宋体" w:cs="宋体"/>
                <w:color w:val="auto"/>
                <w:szCs w:val="21"/>
                <w:highlight w:val="none"/>
              </w:rPr>
              <w:t>：</w:t>
            </w:r>
          </w:p>
        </w:tc>
      </w:tr>
      <w:tr w14:paraId="6D7E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42FE52AD">
            <w:pPr>
              <w:spacing w:line="460" w:lineRule="exact"/>
              <w:rPr>
                <w:rFonts w:ascii="宋体" w:hAnsi="宋体" w:cs="宋体"/>
                <w:color w:val="auto"/>
                <w:szCs w:val="21"/>
                <w:highlight w:val="none"/>
              </w:rPr>
            </w:pPr>
            <w:r>
              <w:rPr>
                <w:rFonts w:hint="eastAsia" w:ascii="宋体" w:hAnsi="宋体" w:cs="宋体"/>
                <w:color w:val="auto"/>
                <w:szCs w:val="21"/>
                <w:highlight w:val="none"/>
              </w:rPr>
              <w:t>电  话：</w:t>
            </w:r>
          </w:p>
        </w:tc>
        <w:tc>
          <w:tcPr>
            <w:tcW w:w="3020" w:type="dxa"/>
            <w:tcBorders>
              <w:top w:val="nil"/>
              <w:left w:val="nil"/>
              <w:bottom w:val="nil"/>
              <w:right w:val="nil"/>
            </w:tcBorders>
            <w:vAlign w:val="center"/>
          </w:tcPr>
          <w:p w14:paraId="6537F71F">
            <w:pPr>
              <w:spacing w:line="460" w:lineRule="exact"/>
              <w:rPr>
                <w:rFonts w:ascii="宋体" w:hAnsi="宋体" w:cs="宋体"/>
                <w:color w:val="auto"/>
                <w:szCs w:val="21"/>
                <w:highlight w:val="none"/>
              </w:rPr>
            </w:pPr>
          </w:p>
        </w:tc>
        <w:tc>
          <w:tcPr>
            <w:tcW w:w="1665" w:type="dxa"/>
            <w:tcBorders>
              <w:top w:val="nil"/>
              <w:left w:val="nil"/>
              <w:bottom w:val="nil"/>
              <w:right w:val="nil"/>
            </w:tcBorders>
            <w:vAlign w:val="center"/>
          </w:tcPr>
          <w:p w14:paraId="76D161D3">
            <w:pPr>
              <w:spacing w:line="460" w:lineRule="exact"/>
              <w:rPr>
                <w:rFonts w:ascii="宋体" w:hAnsi="宋体" w:cs="宋体"/>
                <w:color w:val="auto"/>
                <w:szCs w:val="21"/>
                <w:highlight w:val="none"/>
              </w:rPr>
            </w:pPr>
            <w:r>
              <w:rPr>
                <w:rFonts w:hint="eastAsia" w:ascii="宋体" w:hAnsi="宋体" w:cs="宋体"/>
                <w:color w:val="auto"/>
                <w:szCs w:val="21"/>
                <w:highlight w:val="none"/>
              </w:rPr>
              <w:t>电  话：</w:t>
            </w:r>
          </w:p>
        </w:tc>
        <w:tc>
          <w:tcPr>
            <w:tcW w:w="3157" w:type="dxa"/>
            <w:tcBorders>
              <w:top w:val="nil"/>
              <w:left w:val="nil"/>
              <w:bottom w:val="nil"/>
              <w:right w:val="nil"/>
            </w:tcBorders>
          </w:tcPr>
          <w:p w14:paraId="4B034962">
            <w:pPr>
              <w:spacing w:line="460" w:lineRule="exact"/>
              <w:rPr>
                <w:rFonts w:ascii="宋体" w:hAnsi="宋体" w:cs="宋体"/>
                <w:color w:val="auto"/>
                <w:szCs w:val="21"/>
                <w:highlight w:val="none"/>
              </w:rPr>
            </w:pPr>
            <w:r>
              <w:rPr>
                <w:rFonts w:hint="eastAsia" w:ascii="宋体" w:hAnsi="宋体" w:cs="宋体"/>
                <w:color w:val="auto"/>
                <w:szCs w:val="21"/>
                <w:highlight w:val="none"/>
              </w:rPr>
              <w:t>13800250222</w:t>
            </w:r>
          </w:p>
        </w:tc>
      </w:tr>
      <w:tr w14:paraId="2F3C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70872A3E">
            <w:pPr>
              <w:spacing w:line="460" w:lineRule="exact"/>
              <w:rPr>
                <w:rFonts w:ascii="宋体" w:hAnsi="宋体" w:cs="宋体"/>
                <w:color w:val="auto"/>
                <w:szCs w:val="21"/>
                <w:highlight w:val="none"/>
              </w:rPr>
            </w:pPr>
            <w:r>
              <w:rPr>
                <w:rFonts w:hint="eastAsia" w:ascii="宋体" w:hAnsi="宋体" w:cs="宋体"/>
                <w:color w:val="auto"/>
                <w:szCs w:val="21"/>
                <w:highlight w:val="none"/>
              </w:rPr>
              <w:t>传  真：</w:t>
            </w:r>
          </w:p>
        </w:tc>
        <w:tc>
          <w:tcPr>
            <w:tcW w:w="3020" w:type="dxa"/>
            <w:tcBorders>
              <w:top w:val="nil"/>
              <w:left w:val="nil"/>
              <w:bottom w:val="nil"/>
              <w:right w:val="nil"/>
            </w:tcBorders>
            <w:vAlign w:val="center"/>
          </w:tcPr>
          <w:p w14:paraId="195B0F65">
            <w:pPr>
              <w:spacing w:line="460" w:lineRule="exact"/>
              <w:rPr>
                <w:rFonts w:ascii="宋体" w:hAnsi="宋体" w:cs="宋体"/>
                <w:color w:val="auto"/>
                <w:szCs w:val="21"/>
                <w:highlight w:val="none"/>
              </w:rPr>
            </w:pPr>
          </w:p>
        </w:tc>
        <w:tc>
          <w:tcPr>
            <w:tcW w:w="1665" w:type="dxa"/>
            <w:tcBorders>
              <w:top w:val="nil"/>
              <w:left w:val="nil"/>
              <w:bottom w:val="nil"/>
              <w:right w:val="nil"/>
            </w:tcBorders>
            <w:vAlign w:val="center"/>
          </w:tcPr>
          <w:p w14:paraId="317543D5">
            <w:pPr>
              <w:spacing w:line="460" w:lineRule="exact"/>
              <w:rPr>
                <w:rFonts w:ascii="宋体" w:hAnsi="宋体" w:cs="宋体"/>
                <w:color w:val="auto"/>
                <w:szCs w:val="21"/>
                <w:highlight w:val="none"/>
              </w:rPr>
            </w:pPr>
            <w:r>
              <w:rPr>
                <w:rFonts w:hint="eastAsia" w:ascii="宋体" w:hAnsi="宋体" w:cs="宋体"/>
                <w:color w:val="auto"/>
                <w:szCs w:val="21"/>
                <w:highlight w:val="none"/>
              </w:rPr>
              <w:t>传  真：</w:t>
            </w:r>
          </w:p>
        </w:tc>
        <w:tc>
          <w:tcPr>
            <w:tcW w:w="3157" w:type="dxa"/>
            <w:tcBorders>
              <w:top w:val="nil"/>
              <w:left w:val="nil"/>
              <w:bottom w:val="nil"/>
              <w:right w:val="nil"/>
            </w:tcBorders>
          </w:tcPr>
          <w:p w14:paraId="488D7736">
            <w:pPr>
              <w:spacing w:line="460" w:lineRule="exact"/>
              <w:rPr>
                <w:rFonts w:ascii="宋体" w:hAnsi="宋体" w:cs="宋体"/>
                <w:color w:val="auto"/>
                <w:szCs w:val="30"/>
                <w:highlight w:val="none"/>
              </w:rPr>
            </w:pPr>
            <w:r>
              <w:rPr>
                <w:rFonts w:hint="eastAsia" w:ascii="宋体" w:hAnsi="宋体" w:cs="宋体"/>
                <w:color w:val="auto"/>
                <w:szCs w:val="30"/>
                <w:highlight w:val="none"/>
              </w:rPr>
              <w:t>025-68906606</w:t>
            </w:r>
          </w:p>
        </w:tc>
      </w:tr>
      <w:tr w14:paraId="22BD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86" w:type="dxa"/>
            <w:tcBorders>
              <w:top w:val="nil"/>
              <w:left w:val="nil"/>
              <w:bottom w:val="nil"/>
              <w:right w:val="nil"/>
            </w:tcBorders>
            <w:vAlign w:val="center"/>
          </w:tcPr>
          <w:p w14:paraId="0663059B">
            <w:pPr>
              <w:spacing w:line="460" w:lineRule="exact"/>
              <w:rPr>
                <w:rFonts w:ascii="宋体" w:hAnsi="宋体" w:cs="宋体"/>
                <w:color w:val="auto"/>
                <w:szCs w:val="21"/>
                <w:highlight w:val="none"/>
              </w:rPr>
            </w:pPr>
            <w:r>
              <w:rPr>
                <w:rFonts w:hint="eastAsia" w:ascii="宋体" w:hAnsi="宋体" w:cs="宋体"/>
                <w:color w:val="auto"/>
                <w:szCs w:val="21"/>
                <w:highlight w:val="none"/>
              </w:rPr>
              <w:t>开户银行：</w:t>
            </w:r>
          </w:p>
        </w:tc>
        <w:tc>
          <w:tcPr>
            <w:tcW w:w="3020" w:type="dxa"/>
            <w:tcBorders>
              <w:top w:val="nil"/>
              <w:left w:val="nil"/>
              <w:bottom w:val="nil"/>
              <w:right w:val="nil"/>
            </w:tcBorders>
            <w:vAlign w:val="center"/>
          </w:tcPr>
          <w:p w14:paraId="7D45B331">
            <w:pPr>
              <w:spacing w:line="460" w:lineRule="exact"/>
              <w:rPr>
                <w:rFonts w:ascii="宋体" w:hAnsi="宋体" w:cs="宋体"/>
                <w:color w:val="auto"/>
                <w:szCs w:val="21"/>
                <w:highlight w:val="none"/>
              </w:rPr>
            </w:pPr>
          </w:p>
        </w:tc>
        <w:tc>
          <w:tcPr>
            <w:tcW w:w="1665" w:type="dxa"/>
            <w:tcBorders>
              <w:top w:val="nil"/>
              <w:left w:val="nil"/>
              <w:bottom w:val="nil"/>
              <w:right w:val="nil"/>
            </w:tcBorders>
            <w:vAlign w:val="center"/>
          </w:tcPr>
          <w:p w14:paraId="55F35F38">
            <w:pPr>
              <w:spacing w:line="460" w:lineRule="exact"/>
              <w:rPr>
                <w:rFonts w:ascii="宋体" w:hAnsi="宋体" w:cs="宋体"/>
                <w:color w:val="auto"/>
                <w:szCs w:val="21"/>
                <w:highlight w:val="none"/>
              </w:rPr>
            </w:pPr>
            <w:r>
              <w:rPr>
                <w:rFonts w:hint="eastAsia" w:ascii="宋体" w:hAnsi="宋体" w:cs="宋体"/>
                <w:color w:val="auto"/>
                <w:szCs w:val="21"/>
                <w:highlight w:val="none"/>
              </w:rPr>
              <w:t>开户银行：</w:t>
            </w:r>
          </w:p>
        </w:tc>
        <w:tc>
          <w:tcPr>
            <w:tcW w:w="3157" w:type="dxa"/>
            <w:tcBorders>
              <w:top w:val="nil"/>
              <w:left w:val="nil"/>
              <w:bottom w:val="nil"/>
              <w:right w:val="nil"/>
            </w:tcBorders>
            <w:vAlign w:val="center"/>
          </w:tcPr>
          <w:p w14:paraId="346338C1">
            <w:pPr>
              <w:rPr>
                <w:rFonts w:ascii="宋体" w:hAnsi="宋体" w:cs="宋体"/>
                <w:color w:val="auto"/>
                <w:szCs w:val="30"/>
                <w:highlight w:val="none"/>
              </w:rPr>
            </w:pPr>
            <w:r>
              <w:rPr>
                <w:rFonts w:hint="eastAsia" w:ascii="宋体" w:hAnsi="宋体" w:cs="宋体"/>
                <w:color w:val="auto"/>
                <w:szCs w:val="30"/>
                <w:highlight w:val="none"/>
              </w:rPr>
              <w:t>中国银行股份有限公司南京云锦路支行</w:t>
            </w:r>
          </w:p>
        </w:tc>
      </w:tr>
      <w:tr w14:paraId="2323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0801FA30">
            <w:pPr>
              <w:spacing w:line="460" w:lineRule="exact"/>
              <w:rPr>
                <w:rFonts w:ascii="宋体" w:hAnsi="宋体" w:cs="宋体"/>
                <w:color w:val="auto"/>
                <w:szCs w:val="21"/>
                <w:highlight w:val="none"/>
              </w:rPr>
            </w:pPr>
            <w:r>
              <w:rPr>
                <w:rFonts w:hint="eastAsia" w:ascii="宋体" w:hAnsi="宋体" w:cs="宋体"/>
                <w:color w:val="auto"/>
                <w:szCs w:val="21"/>
                <w:highlight w:val="none"/>
              </w:rPr>
              <w:t>账  号：</w:t>
            </w:r>
          </w:p>
        </w:tc>
        <w:tc>
          <w:tcPr>
            <w:tcW w:w="3020" w:type="dxa"/>
            <w:tcBorders>
              <w:top w:val="nil"/>
              <w:left w:val="nil"/>
              <w:bottom w:val="nil"/>
              <w:right w:val="nil"/>
            </w:tcBorders>
            <w:vAlign w:val="center"/>
          </w:tcPr>
          <w:p w14:paraId="07E6E993">
            <w:pPr>
              <w:spacing w:line="460" w:lineRule="exact"/>
              <w:rPr>
                <w:rFonts w:ascii="宋体" w:hAnsi="宋体" w:cs="宋体"/>
                <w:color w:val="auto"/>
                <w:szCs w:val="21"/>
                <w:highlight w:val="none"/>
              </w:rPr>
            </w:pPr>
          </w:p>
        </w:tc>
        <w:tc>
          <w:tcPr>
            <w:tcW w:w="1665" w:type="dxa"/>
            <w:tcBorders>
              <w:top w:val="nil"/>
              <w:left w:val="nil"/>
              <w:bottom w:val="nil"/>
              <w:right w:val="nil"/>
            </w:tcBorders>
            <w:vAlign w:val="center"/>
          </w:tcPr>
          <w:p w14:paraId="5D3475C3">
            <w:pPr>
              <w:spacing w:line="460" w:lineRule="exact"/>
              <w:rPr>
                <w:rFonts w:ascii="宋体" w:hAnsi="宋体" w:cs="宋体"/>
                <w:color w:val="auto"/>
                <w:szCs w:val="21"/>
                <w:highlight w:val="none"/>
              </w:rPr>
            </w:pPr>
            <w:r>
              <w:rPr>
                <w:rFonts w:hint="eastAsia" w:ascii="宋体" w:hAnsi="宋体" w:cs="宋体"/>
                <w:color w:val="auto"/>
                <w:szCs w:val="21"/>
                <w:highlight w:val="none"/>
              </w:rPr>
              <w:t>账  号：</w:t>
            </w:r>
          </w:p>
        </w:tc>
        <w:tc>
          <w:tcPr>
            <w:tcW w:w="3157" w:type="dxa"/>
            <w:tcBorders>
              <w:top w:val="nil"/>
              <w:left w:val="nil"/>
              <w:bottom w:val="nil"/>
              <w:right w:val="nil"/>
            </w:tcBorders>
          </w:tcPr>
          <w:p w14:paraId="517122EB">
            <w:pPr>
              <w:spacing w:line="460" w:lineRule="exact"/>
              <w:rPr>
                <w:rFonts w:ascii="宋体" w:hAnsi="宋体" w:cs="宋体"/>
                <w:color w:val="auto"/>
                <w:szCs w:val="30"/>
                <w:highlight w:val="none"/>
              </w:rPr>
            </w:pPr>
            <w:r>
              <w:rPr>
                <w:rFonts w:hint="eastAsia" w:ascii="宋体" w:hAnsi="宋体" w:cs="宋体"/>
                <w:color w:val="auto"/>
                <w:szCs w:val="30"/>
                <w:highlight w:val="none"/>
              </w:rPr>
              <w:t>479361758530</w:t>
            </w:r>
          </w:p>
        </w:tc>
      </w:tr>
      <w:tr w14:paraId="2501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Borders>
              <w:top w:val="nil"/>
              <w:left w:val="nil"/>
              <w:bottom w:val="nil"/>
              <w:right w:val="nil"/>
            </w:tcBorders>
            <w:vAlign w:val="center"/>
          </w:tcPr>
          <w:p w14:paraId="2CAB0E76">
            <w:pPr>
              <w:spacing w:line="460" w:lineRule="exact"/>
              <w:rPr>
                <w:rFonts w:ascii="宋体" w:hAnsi="宋体" w:cs="宋体"/>
                <w:color w:val="auto"/>
                <w:szCs w:val="21"/>
                <w:highlight w:val="none"/>
              </w:rPr>
            </w:pPr>
            <w:r>
              <w:rPr>
                <w:rFonts w:hint="eastAsia" w:ascii="宋体" w:hAnsi="宋体" w:cs="宋体"/>
                <w:color w:val="auto"/>
                <w:szCs w:val="21"/>
                <w:highlight w:val="none"/>
              </w:rPr>
              <w:t>邮政编码：</w:t>
            </w:r>
          </w:p>
        </w:tc>
        <w:tc>
          <w:tcPr>
            <w:tcW w:w="3020" w:type="dxa"/>
            <w:tcBorders>
              <w:top w:val="nil"/>
              <w:left w:val="nil"/>
              <w:bottom w:val="nil"/>
              <w:right w:val="nil"/>
            </w:tcBorders>
            <w:vAlign w:val="center"/>
          </w:tcPr>
          <w:p w14:paraId="2C7D0D21">
            <w:pPr>
              <w:spacing w:line="460" w:lineRule="exact"/>
              <w:rPr>
                <w:rFonts w:ascii="宋体" w:hAnsi="宋体" w:cs="宋体"/>
                <w:color w:val="auto"/>
                <w:szCs w:val="21"/>
                <w:highlight w:val="none"/>
              </w:rPr>
            </w:pPr>
            <w:r>
              <w:rPr>
                <w:rFonts w:hint="eastAsia" w:ascii="宋体" w:hAnsi="宋体" w:cs="宋体"/>
                <w:color w:val="auto"/>
                <w:szCs w:val="21"/>
                <w:highlight w:val="none"/>
              </w:rPr>
              <w:t>213100</w:t>
            </w:r>
          </w:p>
        </w:tc>
        <w:tc>
          <w:tcPr>
            <w:tcW w:w="1665" w:type="dxa"/>
            <w:tcBorders>
              <w:top w:val="nil"/>
              <w:left w:val="nil"/>
              <w:bottom w:val="nil"/>
              <w:right w:val="nil"/>
            </w:tcBorders>
            <w:vAlign w:val="center"/>
          </w:tcPr>
          <w:p w14:paraId="084E4E54">
            <w:pPr>
              <w:spacing w:line="460" w:lineRule="exact"/>
              <w:rPr>
                <w:rFonts w:ascii="宋体" w:hAnsi="宋体" w:cs="宋体"/>
                <w:color w:val="auto"/>
                <w:szCs w:val="21"/>
                <w:highlight w:val="none"/>
              </w:rPr>
            </w:pPr>
            <w:r>
              <w:rPr>
                <w:rFonts w:hint="eastAsia" w:ascii="宋体" w:hAnsi="宋体" w:cs="宋体"/>
                <w:color w:val="auto"/>
                <w:szCs w:val="21"/>
                <w:highlight w:val="none"/>
              </w:rPr>
              <w:t>邮政编码：</w:t>
            </w:r>
          </w:p>
        </w:tc>
        <w:tc>
          <w:tcPr>
            <w:tcW w:w="3157" w:type="dxa"/>
            <w:tcBorders>
              <w:top w:val="nil"/>
              <w:left w:val="nil"/>
              <w:bottom w:val="nil"/>
              <w:right w:val="nil"/>
            </w:tcBorders>
          </w:tcPr>
          <w:p w14:paraId="404651B9">
            <w:pPr>
              <w:spacing w:line="460" w:lineRule="exact"/>
              <w:rPr>
                <w:rFonts w:ascii="宋体" w:hAnsi="宋体" w:cs="宋体"/>
                <w:color w:val="auto"/>
                <w:szCs w:val="30"/>
                <w:highlight w:val="none"/>
              </w:rPr>
            </w:pPr>
            <w:r>
              <w:rPr>
                <w:rFonts w:hint="eastAsia" w:ascii="宋体" w:hAnsi="宋体" w:cs="宋体"/>
                <w:color w:val="auto"/>
                <w:szCs w:val="21"/>
                <w:highlight w:val="none"/>
              </w:rPr>
              <w:t>210013</w:t>
            </w:r>
          </w:p>
        </w:tc>
      </w:tr>
    </w:tbl>
    <w:p w14:paraId="6403209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highlight w:val="none"/>
        </w:rPr>
      </w:pPr>
    </w:p>
    <w:p w14:paraId="6AEB2F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highlight w:val="none"/>
        </w:rPr>
        <w:sectPr>
          <w:pgSz w:w="11905" w:h="16838"/>
          <w:pgMar w:top="1417" w:right="1701" w:bottom="1417" w:left="1797" w:header="851" w:footer="850" w:gutter="0"/>
          <w:pgBorders>
            <w:top w:val="none" w:sz="0" w:space="0"/>
            <w:left w:val="none" w:sz="0" w:space="0"/>
            <w:bottom w:val="none" w:sz="0" w:space="0"/>
            <w:right w:val="none" w:sz="0" w:space="0"/>
          </w:pgBorders>
          <w:pgNumType w:fmt="decimal"/>
          <w:cols w:space="720" w:num="1"/>
          <w:rtlGutter w:val="0"/>
          <w:docGrid w:linePitch="0" w:charSpace="0"/>
        </w:sectPr>
      </w:pPr>
    </w:p>
    <w:p w14:paraId="42DF4F5D">
      <w:pPr>
        <w:kinsoku w:val="0"/>
        <w:overflowPunct w:val="0"/>
        <w:autoSpaceDE w:val="0"/>
        <w:autoSpaceDN w:val="0"/>
        <w:adjustRightInd w:val="0"/>
        <w:spacing w:line="440" w:lineRule="exact"/>
        <w:rPr>
          <w:rFonts w:hint="default" w:ascii="Times New Roman" w:hAnsi="Times New Roman" w:cs="Times New Roman"/>
          <w:b/>
          <w:bCs/>
          <w:color w:val="auto"/>
          <w:spacing w:val="-4"/>
          <w:sz w:val="24"/>
          <w:szCs w:val="24"/>
          <w:highlight w:val="none"/>
        </w:rPr>
      </w:pPr>
      <w:r>
        <w:rPr>
          <w:rFonts w:hint="eastAsia" w:ascii="宋体" w:hAnsi="宋体" w:cs="宋体"/>
          <w:b/>
          <w:bCs/>
          <w:color w:val="auto"/>
          <w:spacing w:val="-4"/>
          <w:sz w:val="24"/>
          <w:highlight w:val="none"/>
        </w:rPr>
        <w:t>附件</w:t>
      </w:r>
      <w:r>
        <w:rPr>
          <w:rFonts w:hint="eastAsia" w:ascii="宋体" w:hAnsi="宋体" w:cs="宋体"/>
          <w:b/>
          <w:bCs/>
          <w:color w:val="auto"/>
          <w:spacing w:val="-4"/>
          <w:sz w:val="24"/>
          <w:highlight w:val="none"/>
          <w:lang w:val="en-US" w:eastAsia="zh-CN"/>
        </w:rPr>
        <w:t>2</w:t>
      </w:r>
      <w:r>
        <w:rPr>
          <w:rFonts w:hint="eastAsia" w:ascii="宋体" w:hAnsi="宋体" w:cs="宋体"/>
          <w:b/>
          <w:bCs/>
          <w:color w:val="auto"/>
          <w:spacing w:val="-4"/>
          <w:sz w:val="24"/>
          <w:highlight w:val="none"/>
        </w:rPr>
        <w:t>：</w:t>
      </w:r>
    </w:p>
    <w:p w14:paraId="39148DEA">
      <w:pPr>
        <w:spacing w:before="120" w:beforeLines="50" w:after="120" w:afterLines="50"/>
        <w:jc w:val="center"/>
        <w:rPr>
          <w:rFonts w:ascii="宋体" w:hAnsi="宋体" w:cs="宋体"/>
          <w:b/>
          <w:bCs/>
          <w:color w:val="auto"/>
          <w:sz w:val="28"/>
          <w:szCs w:val="28"/>
          <w:highlight w:val="none"/>
        </w:rPr>
      </w:pPr>
      <w:r>
        <w:rPr>
          <w:rFonts w:hint="eastAsia"/>
          <w:b/>
          <w:bCs/>
          <w:color w:val="auto"/>
          <w:sz w:val="28"/>
          <w:highlight w:val="none"/>
        </w:rPr>
        <w:t>施工安全协议书</w:t>
      </w:r>
    </w:p>
    <w:p w14:paraId="6386AB21">
      <w:pPr>
        <w:spacing w:line="24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 xml:space="preserve"> </w:t>
      </w:r>
    </w:p>
    <w:p w14:paraId="34752F96">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b w:val="0"/>
          <w:bCs w:val="0"/>
          <w:color w:val="auto"/>
          <w:sz w:val="24"/>
          <w:szCs w:val="24"/>
          <w:highlight w:val="none"/>
          <w:u w:val="single"/>
        </w:rPr>
      </w:pPr>
      <w:r>
        <w:rPr>
          <w:rFonts w:hint="eastAsia" w:ascii="宋体" w:hAnsi="宋体" w:cs="宋体"/>
          <w:b w:val="0"/>
          <w:bCs w:val="0"/>
          <w:color w:val="auto"/>
          <w:sz w:val="24"/>
          <w:szCs w:val="24"/>
          <w:highlight w:val="none"/>
        </w:rPr>
        <w:t>为在</w:t>
      </w:r>
      <w:r>
        <w:rPr>
          <w:rFonts w:hint="eastAsia" w:ascii="宋体" w:hAnsi="宋体" w:cs="宋体"/>
          <w:b w:val="0"/>
          <w:bCs w:val="0"/>
          <w:color w:val="auto"/>
          <w:sz w:val="24"/>
          <w:szCs w:val="24"/>
          <w:highlight w:val="none"/>
          <w:u w:val="single"/>
          <w:lang w:val="en-US" w:eastAsia="zh-CN"/>
        </w:rPr>
        <w:t>古方路（龙舫路-湖滨路）新建工程智能交通设备采购及安装项目</w:t>
      </w:r>
      <w:r>
        <w:rPr>
          <w:rFonts w:hint="eastAsia" w:ascii="宋体" w:hAnsi="宋体" w:cs="宋体"/>
          <w:b w:val="0"/>
          <w:bCs w:val="0"/>
          <w:color w:val="auto"/>
          <w:sz w:val="24"/>
          <w:szCs w:val="24"/>
          <w:highlight w:val="none"/>
        </w:rPr>
        <w:t>（项目名称）</w:t>
      </w:r>
      <w:r>
        <w:rPr>
          <w:rFonts w:hint="eastAsia" w:ascii="宋体" w:hAnsi="宋体" w:cs="宋体"/>
          <w:b w:val="0"/>
          <w:bCs w:val="0"/>
          <w:color w:val="auto"/>
          <w:sz w:val="24"/>
          <w:szCs w:val="24"/>
          <w:highlight w:val="none"/>
          <w:u w:val="single"/>
          <w:lang w:val="en-US" w:eastAsia="zh-CN"/>
        </w:rPr>
        <w:t>/</w:t>
      </w:r>
      <w:r>
        <w:rPr>
          <w:rFonts w:hint="eastAsia" w:ascii="宋体" w:hAnsi="宋体" w:cs="宋体"/>
          <w:b w:val="0"/>
          <w:bCs w:val="0"/>
          <w:color w:val="auto"/>
          <w:sz w:val="24"/>
          <w:szCs w:val="24"/>
          <w:highlight w:val="none"/>
          <w:u w:val="none"/>
          <w:lang w:val="en-US" w:eastAsia="zh-CN"/>
        </w:rPr>
        <w:t>标</w:t>
      </w:r>
      <w:r>
        <w:rPr>
          <w:rFonts w:hint="eastAsia" w:ascii="宋体" w:hAnsi="宋体" w:cs="宋体"/>
          <w:b w:val="0"/>
          <w:bCs w:val="0"/>
          <w:color w:val="auto"/>
          <w:sz w:val="24"/>
          <w:szCs w:val="24"/>
          <w:highlight w:val="none"/>
        </w:rPr>
        <w:t>段施工总承包合同的实施过程中营造安全、文明的施工环境，切实搞好本合同段的安全管理工作，本项目发包人</w:t>
      </w:r>
      <w:r>
        <w:rPr>
          <w:rFonts w:hint="eastAsia" w:ascii="宋体" w:hAnsi="宋体" w:cs="宋体"/>
          <w:b w:val="0"/>
          <w:bCs w:val="0"/>
          <w:color w:val="auto"/>
          <w:sz w:val="24"/>
          <w:szCs w:val="24"/>
          <w:highlight w:val="none"/>
          <w:u w:val="single"/>
        </w:rPr>
        <w:t>常州市武进区市政公用事业管理处</w:t>
      </w:r>
      <w:r>
        <w:rPr>
          <w:rFonts w:hint="eastAsia" w:ascii="宋体" w:hAnsi="宋体" w:cs="宋体"/>
          <w:b w:val="0"/>
          <w:bCs w:val="0"/>
          <w:color w:val="auto"/>
          <w:sz w:val="24"/>
          <w:szCs w:val="24"/>
          <w:highlight w:val="none"/>
        </w:rPr>
        <w:t>（发包人名称，以下简称“发包人”）与承包人</w:t>
      </w:r>
      <w:r>
        <w:rPr>
          <w:rFonts w:hint="eastAsia" w:ascii="宋体" w:hAnsi="宋体" w:eastAsia="宋体" w:cs="宋体"/>
          <w:b w:val="0"/>
          <w:bCs w:val="0"/>
          <w:color w:val="auto"/>
          <w:kern w:val="0"/>
          <w:szCs w:val="21"/>
          <w:highlight w:val="none"/>
          <w:u w:val="single"/>
        </w:rPr>
        <w:t>江苏移动信息系统集成有限公司</w:t>
      </w:r>
      <w:r>
        <w:rPr>
          <w:rFonts w:hint="eastAsia" w:ascii="宋体" w:hAnsi="宋体" w:cs="宋体"/>
          <w:b w:val="0"/>
          <w:bCs w:val="0"/>
          <w:color w:val="auto"/>
          <w:sz w:val="24"/>
          <w:szCs w:val="24"/>
          <w:highlight w:val="none"/>
        </w:rPr>
        <w:t>（承包人名称，以下简称“承包人”）特此签订安全生产合同：</w:t>
      </w:r>
    </w:p>
    <w:p w14:paraId="6BDC04E5">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一、发包人职责</w:t>
      </w:r>
    </w:p>
    <w:p w14:paraId="4A0D2CCA">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严格遵守国家有关安全生产的法律法规，认真执行工程承包合同中的有关安全要求。</w:t>
      </w:r>
    </w:p>
    <w:p w14:paraId="7040AEC8">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按照“安全第一、预防为主、综合治理”和坚持“管生产必须管安全”的原则进行安全生产管理，做到生产与安全工作同时计划、布置、检查、总结和评比。</w:t>
      </w:r>
    </w:p>
    <w:p w14:paraId="79ED2ADC">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重要的安全设施必须坚持与主体工程“三同时”的原则，即：同时设计、审批，同时施工，同时验收，投入使用。</w:t>
      </w:r>
    </w:p>
    <w:p w14:paraId="2E75E7EF">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组织召开安全生产调度会，及时传达中央及地方有关安全生产的精神。</w:t>
      </w:r>
    </w:p>
    <w:p w14:paraId="13419C53">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5</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组织对承包人施工现场安全生产检查，监督承包人及时处理发现的各项安全隐患。</w:t>
      </w:r>
    </w:p>
    <w:p w14:paraId="4234AB4E">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6.施工前组织对承包人现场交通安全及地下管线等现场情况交底。</w:t>
      </w:r>
    </w:p>
    <w:p w14:paraId="3C6BB0D2">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7</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制定安全生产文明施工管理考核细则或办法，对承包人施工期间进行阶段性考核和完工考核，及时对承包人进行考核奖惩。</w:t>
      </w:r>
    </w:p>
    <w:p w14:paraId="48F39E4C">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二、承包人职责</w:t>
      </w:r>
    </w:p>
    <w:p w14:paraId="1641B482">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严格遵守《中华人民共和国安全生产法》《建设工程安全生产管理条例》等国家有关安全生产的法律法规、《中华人民共和国劳动法》和施工安全技术规范等有关安全生产的规定；认真学习并严格执行发包人关于安全生产管理规定；严格执行发包人关于本项目的安全文明管理考核细则或办法；认真执行工程承包合同中的有关安全要求。</w:t>
      </w:r>
    </w:p>
    <w:p w14:paraId="314F5D35">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387E4BDB">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承包人应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住建行业规定的最低数量和资质条件配备专职安全生产管理人员，专职负责所有员工的安全和治安保卫工作及预防事故的发生。安全机构人员有权按有关规定发布指令，并采取保护性措施防止事故发生。</w:t>
      </w:r>
    </w:p>
    <w:p w14:paraId="7BB2E7F9">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4．承包人在任何时候都应采取各种合理的预防措施，防止其员工发生任何违法、违禁、暴力或妨碍治安的行为。</w:t>
      </w:r>
    </w:p>
    <w:p w14:paraId="52E3DBBF">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0486DAFF">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6．承包人在特殊天气（暴雨、台风、雷电、降雪、冰冻等）时需做好安全防护工作，防护好相关工作物品及人员安全、由于防护措施不力导致财产损失及人身损害等后果，全部由承包人承担。对于易燃易爆的材料除应专门妥善保管之外，还应配备有足够的消防设施，所有施工人员都应熟悉消防设备的性能和使用方法。</w:t>
      </w:r>
    </w:p>
    <w:p w14:paraId="42C6DA1C">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7．操作人员上岗，必须按规定穿戴防护用品。施工负责人和安全检查员应随时检查劳动防护用品的穿戴情况，不按规定穿戴防护用品的人员不得上岗。</w:t>
      </w:r>
    </w:p>
    <w:p w14:paraId="7113008D">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8．所有施工机具设备和高空作业的设备均应定期检查，并有安全员的签字记录，保证其经常处于完好状态；不合格的机具、设备和劳动保护用品严禁使用。</w:t>
      </w:r>
    </w:p>
    <w:p w14:paraId="0DA72EAB">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9．各类作业场地和加工车间及材料仓库，应配置齐全各类安全标志标识等设施；临时配电(包括发电)接电及施工用电要规范，施工用油品临时仓库现场设置要符合规定，各类机械停放要整齐规范，防火防盗措施要到位。</w:t>
      </w:r>
    </w:p>
    <w:p w14:paraId="2257B5BD">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10. 场地施工重视降排水工作，沟槽及基坑开挖符合施工规范，基坑支护防护措施应根据实际情况设置到位。</w:t>
      </w:r>
    </w:p>
    <w:p w14:paraId="1E0B29B0">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11. 夜间施工各类警示标志、警示灯具应齐全有效，满足夜间施工的灯光照明设置到位，严禁夜间疲劳施工。</w:t>
      </w:r>
    </w:p>
    <w:p w14:paraId="764019AE">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12. 施工中采用新技术、新工艺、新设备、新材料时，必须制定相应的安全技术措施，施工现场必须具有相关的安全标志牌。</w:t>
      </w:r>
    </w:p>
    <w:p w14:paraId="1F645DE2">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13．承包人必须按照本工程项目特点，组织制订本工程实施中的生产安全事故应急救援预案；如果发生安全事故，应按照《国务院关于特大安全事故行政责任追究的规定》以及其他有关规定，及时上报发包人和有关部门，并坚持“四不放过”的原则，严肃处理相关责任人。</w:t>
      </w:r>
    </w:p>
    <w:p w14:paraId="26E5AF4C">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14. 安全生产费用按照地方规定及住建行业的相关规定使用和管理。</w:t>
      </w:r>
    </w:p>
    <w:p w14:paraId="27BC6138">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15. 承包人施工中应特别重视原有设施的安全，承包人案编制及现场措施落实均应强调对原有设施的安全保护，禁止施工造成原有设施的破坏。</w:t>
      </w:r>
    </w:p>
    <w:p w14:paraId="19D65A32">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16. 施工前应探明地下管线等设施，做好相应的安全保护措施；土方开挖装卸现场、运输沿线、弃土区均应规范作业，做好原有设施财产保护。</w:t>
      </w:r>
    </w:p>
    <w:p w14:paraId="5B5D1919">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17.注重施工环境保护，做好扬尘管控，现场施工，材料运输和土方开挖、装卸、运输、弃置等各个施工环节均不得扰民和污染环境。</w:t>
      </w:r>
    </w:p>
    <w:p w14:paraId="687E51EB">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18. 承包人应服从监理人及发包人现场管理，认真执行发包人安全管理要求和规章管理制度，不得影响其他单位正常生产，作业过程中不得损坏其他单位的设备设施，如有损坏情况，按原样修复或照价赔偿。</w:t>
      </w:r>
    </w:p>
    <w:p w14:paraId="1AFF0402">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19. 承包人接电、接水由发包人或发包人指定人员操作。未经发包人同意，承包人不准擅自动用或移动相关设备设施及安全防护设施，否则所发生的一切后果由承包人承担。</w:t>
      </w:r>
    </w:p>
    <w:p w14:paraId="6B0AE919">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20. 承包人应严格按照规范操作使用各类机械设备设施，严禁违章作业，尤其是基坑开挖、道路机械化作业、设备装拆、管桩打设、起重装卸、电力电动设施操作、高空安装等。。</w:t>
      </w:r>
    </w:p>
    <w:p w14:paraId="14FD181C">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21. 开展施工现场危险源识别和登记工作，进行危险源普查、识别，根据国家规定，规范危险源管理。</w:t>
      </w:r>
    </w:p>
    <w:p w14:paraId="4186A068">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22. 承包人应重视安全生产标准化建设工作，促进工程建设管理安全生产工作的规范化、标准化，逐步实现安全生产常态化管理。</w:t>
      </w:r>
    </w:p>
    <w:p w14:paraId="10B2BD28">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23. 承包人应</w:t>
      </w:r>
      <w:r>
        <w:rPr>
          <w:rFonts w:ascii="宋体" w:hAnsi="宋体" w:cs="宋体"/>
          <w:color w:val="auto"/>
          <w:sz w:val="24"/>
          <w:szCs w:val="24"/>
          <w:highlight w:val="none"/>
        </w:rPr>
        <w:t>严格执行当地疫情防控部门的要求</w:t>
      </w:r>
      <w:r>
        <w:rPr>
          <w:rFonts w:hint="eastAsia" w:ascii="宋体" w:hAnsi="宋体" w:cs="宋体"/>
          <w:color w:val="auto"/>
          <w:sz w:val="24"/>
          <w:szCs w:val="24"/>
          <w:highlight w:val="none"/>
        </w:rPr>
        <w:t>，认真</w:t>
      </w:r>
      <w:r>
        <w:rPr>
          <w:rFonts w:ascii="宋体" w:hAnsi="宋体" w:cs="宋体"/>
          <w:color w:val="auto"/>
          <w:sz w:val="24"/>
          <w:szCs w:val="24"/>
          <w:highlight w:val="none"/>
        </w:rPr>
        <w:t>落实</w:t>
      </w:r>
      <w:r>
        <w:rPr>
          <w:rFonts w:hint="eastAsia" w:ascii="宋体" w:hAnsi="宋体" w:cs="宋体"/>
          <w:color w:val="auto"/>
          <w:sz w:val="24"/>
          <w:szCs w:val="24"/>
          <w:highlight w:val="none"/>
        </w:rPr>
        <w:t>疫情</w:t>
      </w:r>
      <w:r>
        <w:rPr>
          <w:rFonts w:ascii="宋体" w:hAnsi="宋体" w:cs="宋体"/>
          <w:color w:val="auto"/>
          <w:sz w:val="24"/>
          <w:szCs w:val="24"/>
          <w:highlight w:val="none"/>
        </w:rPr>
        <w:t>管控措施</w:t>
      </w:r>
      <w:r>
        <w:rPr>
          <w:rFonts w:hint="eastAsia" w:ascii="宋体" w:hAnsi="宋体" w:cs="宋体"/>
          <w:color w:val="auto"/>
          <w:sz w:val="24"/>
          <w:szCs w:val="24"/>
          <w:highlight w:val="none"/>
        </w:rPr>
        <w:t>。</w:t>
      </w:r>
      <w:r>
        <w:rPr>
          <w:rFonts w:ascii="宋体" w:hAnsi="宋体" w:cs="宋体"/>
          <w:color w:val="auto"/>
          <w:sz w:val="24"/>
          <w:szCs w:val="24"/>
          <w:highlight w:val="none"/>
        </w:rPr>
        <w:t>施工现场要实行封闭管理</w:t>
      </w:r>
      <w:r>
        <w:rPr>
          <w:rFonts w:hint="eastAsia" w:ascii="宋体" w:hAnsi="宋体" w:cs="宋体"/>
          <w:color w:val="auto"/>
          <w:sz w:val="24"/>
          <w:szCs w:val="24"/>
          <w:highlight w:val="none"/>
        </w:rPr>
        <w:t>，</w:t>
      </w:r>
      <w:r>
        <w:rPr>
          <w:rFonts w:ascii="宋体" w:hAnsi="宋体" w:cs="宋体"/>
          <w:color w:val="auto"/>
          <w:sz w:val="24"/>
          <w:szCs w:val="24"/>
          <w:highlight w:val="none"/>
        </w:rPr>
        <w:t>生活区、办公区、施工区要分区管控。</w:t>
      </w:r>
      <w:r>
        <w:rPr>
          <w:rFonts w:hint="eastAsia" w:ascii="宋体" w:hAnsi="宋体" w:cs="宋体"/>
          <w:color w:val="auto"/>
          <w:sz w:val="24"/>
          <w:szCs w:val="24"/>
          <w:highlight w:val="none"/>
        </w:rPr>
        <w:t>现场</w:t>
      </w:r>
      <w:r>
        <w:rPr>
          <w:rFonts w:ascii="宋体" w:hAnsi="宋体" w:cs="宋体"/>
          <w:color w:val="auto"/>
          <w:sz w:val="24"/>
          <w:szCs w:val="24"/>
          <w:highlight w:val="none"/>
        </w:rPr>
        <w:t>备足防护用品，</w:t>
      </w:r>
      <w:r>
        <w:rPr>
          <w:rFonts w:hint="eastAsia" w:ascii="宋体" w:hAnsi="宋体" w:cs="宋体"/>
          <w:color w:val="auto"/>
          <w:sz w:val="24"/>
          <w:szCs w:val="24"/>
          <w:highlight w:val="none"/>
        </w:rPr>
        <w:t>加强疫情防空组织；</w:t>
      </w:r>
      <w:r>
        <w:rPr>
          <w:rFonts w:ascii="宋体" w:hAnsi="宋体" w:cs="宋体"/>
          <w:color w:val="auto"/>
          <w:sz w:val="24"/>
          <w:szCs w:val="24"/>
          <w:highlight w:val="none"/>
        </w:rPr>
        <w:t>建立参建人员健康管理信息台账，严禁雇佣无健康信息的劳务人员和需要隔离观察的劳务人员</w:t>
      </w:r>
      <w:r>
        <w:rPr>
          <w:rFonts w:hint="eastAsia" w:ascii="宋体" w:hAnsi="宋体" w:cs="宋体"/>
          <w:color w:val="auto"/>
          <w:sz w:val="24"/>
          <w:szCs w:val="24"/>
          <w:highlight w:val="none"/>
        </w:rPr>
        <w:t>；</w:t>
      </w:r>
      <w:r>
        <w:rPr>
          <w:rFonts w:ascii="宋体" w:hAnsi="宋体" w:cs="宋体"/>
          <w:color w:val="auto"/>
          <w:sz w:val="24"/>
          <w:szCs w:val="24"/>
          <w:highlight w:val="none"/>
        </w:rPr>
        <w:t>强化参建人员流动管理，严格管控从中、高风险区来</w:t>
      </w:r>
      <w:r>
        <w:rPr>
          <w:rFonts w:hint="eastAsia" w:ascii="宋体" w:hAnsi="宋体" w:cs="宋体"/>
          <w:color w:val="auto"/>
          <w:sz w:val="24"/>
          <w:szCs w:val="24"/>
          <w:highlight w:val="none"/>
        </w:rPr>
        <w:t>常人员</w:t>
      </w:r>
      <w:r>
        <w:rPr>
          <w:rFonts w:ascii="宋体" w:hAnsi="宋体" w:cs="宋体"/>
          <w:color w:val="auto"/>
          <w:sz w:val="24"/>
          <w:szCs w:val="24"/>
          <w:highlight w:val="none"/>
        </w:rPr>
        <w:t>。</w:t>
      </w:r>
    </w:p>
    <w:p w14:paraId="79036C51">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24.确保专项安全生产费用足额到位，合理用于事故隐患治理、危险源监控，以及安全教育培训、奖励等的投入；建立健全安全管理台帐，完善安全生产投入机制，确保隐患治理、安全工作经费，改善安全生产条件；按规定及时办理工程安全生产责任险和工伤保险。</w:t>
      </w:r>
    </w:p>
    <w:p w14:paraId="22A13AFB">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25. 认真做好安全档案资料的管理。建立职责范围内的安全台账，将安全会议、相关文件、隐患排查治理、安全宣传教育培训、应急救援等资料，归类建档，妥善保存。</w:t>
      </w:r>
    </w:p>
    <w:p w14:paraId="3E833CF4">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26. 承包人应做好施工区交通组织，减少对其他单位工作生活的影响。场内临时道路根据需要设置交通标志标牌。在弯道、交叉路口等复杂危险路段应设置减速、危险等警示标志及防护设施。施工期间应保持道路畅通，不得在行车道上放置设备物料。场内道路需要占用、挖掘或跨越、穿越道路施工时，应有临时通行和保护安全措施，并设有醒目的安全标志，夜间应设警示灯。</w:t>
      </w:r>
    </w:p>
    <w:p w14:paraId="38252EC6">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三、违约责任</w:t>
      </w:r>
    </w:p>
    <w:p w14:paraId="70A15C0B">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1.承包人应按照发包人安全文明相关管理考核细则规定接受处罚或缴纳违约金。</w:t>
      </w:r>
    </w:p>
    <w:p w14:paraId="4E1942E7">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承包人随时接受发包人及有关部门的安全检查，对查出的问题，发包人有权提出责令整改意见，承包人按发包人提出的要求立即整改，对承包人违反安全承诺未能及时整改到位或拒不整改的，发包人有权拒绝承包人继续进行施工，且不承担任何违约责任，并且有权就造成的损失要求承包人承担赔偿责任，赔偿范围除发包人因此承担责任的损失外包括但不限于发包人为此发生的律师费、诉讼费、保全费等一切费用。</w:t>
      </w:r>
    </w:p>
    <w:p w14:paraId="21E05E5F">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承包人全面负责作业区域的安全管理工作，因承包人作业导致在施工区域内发生的一切安全事故和原有设施损坏事故，所造成的后果和经济损失由承包人全面负责处理和承担全部损失。承包人发生事故对发包人及用户单位及其他第三方造成直接或间接的经济损失由承包人全部承担，若因此导致发包人担责受损的，则发包人有权向承包人追偿，追偿范围除发包人因此承担责任的损失外包括但不限于发包人为此发生的律师费、诉讼费、保全费等一切费用。</w:t>
      </w:r>
    </w:p>
    <w:p w14:paraId="4A5BC03B">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四、本合同由双方法定代表人或其授权的代理人签署并加盖单位章后生效。</w:t>
      </w:r>
    </w:p>
    <w:p w14:paraId="287C7C69">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五、本合同正本一式二份，副本 六 份，合同双方各执正本一份，副本 三 份，当正本与副本的内容不一致时，以正本为准。</w:t>
      </w:r>
    </w:p>
    <w:p w14:paraId="779B1C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olor w:val="auto"/>
          <w:sz w:val="24"/>
          <w:szCs w:val="24"/>
          <w:highlight w:val="none"/>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11"/>
        <w:gridCol w:w="4312"/>
      </w:tblGrid>
      <w:tr w14:paraId="1461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4311" w:type="dxa"/>
            <w:tcBorders>
              <w:top w:val="nil"/>
              <w:left w:val="nil"/>
              <w:bottom w:val="nil"/>
              <w:right w:val="nil"/>
            </w:tcBorders>
            <w:noWrap w:val="0"/>
            <w:vAlign w:val="center"/>
          </w:tcPr>
          <w:p w14:paraId="2267C474">
            <w:pPr>
              <w:pStyle w:val="7"/>
              <w:jc w:val="both"/>
              <w:rPr>
                <w:rFonts w:ascii="宋体" w:hAnsi="宋体"/>
                <w:b w:val="0"/>
                <w:bCs/>
                <w:color w:val="auto"/>
                <w:sz w:val="24"/>
                <w:szCs w:val="24"/>
                <w:highlight w:val="none"/>
                <w:vertAlign w:val="baseline"/>
              </w:rPr>
            </w:pPr>
            <w:r>
              <w:rPr>
                <w:rFonts w:hint="eastAsia" w:ascii="宋体" w:hAnsi="宋体" w:cs="宋体"/>
                <w:b w:val="0"/>
                <w:bCs/>
                <w:color w:val="auto"/>
                <w:sz w:val="24"/>
                <w:szCs w:val="24"/>
                <w:highlight w:val="none"/>
              </w:rPr>
              <w:t>发包人（盖章）</w:t>
            </w:r>
            <w:r>
              <w:rPr>
                <w:rFonts w:hint="eastAsia" w:ascii="宋体" w:hAnsi="宋体" w:cs="宋体"/>
                <w:b w:val="0"/>
                <w:bCs/>
                <w:color w:val="auto"/>
                <w:sz w:val="24"/>
                <w:szCs w:val="24"/>
                <w:highlight w:val="none"/>
                <w:lang w:eastAsia="zh-CN"/>
              </w:rPr>
              <w:t>：</w:t>
            </w:r>
          </w:p>
        </w:tc>
        <w:tc>
          <w:tcPr>
            <w:tcW w:w="4312" w:type="dxa"/>
            <w:tcBorders>
              <w:top w:val="nil"/>
              <w:left w:val="nil"/>
              <w:bottom w:val="nil"/>
              <w:right w:val="nil"/>
            </w:tcBorders>
            <w:noWrap w:val="0"/>
            <w:vAlign w:val="center"/>
          </w:tcPr>
          <w:p w14:paraId="39B64D07">
            <w:pPr>
              <w:keepNext w:val="0"/>
              <w:keepLines w:val="0"/>
              <w:pageBreakBefore w:val="0"/>
              <w:widowControl w:val="0"/>
              <w:kinsoku/>
              <w:wordWrap/>
              <w:overflowPunct/>
              <w:topLinePunct w:val="0"/>
              <w:autoSpaceDE/>
              <w:autoSpaceDN/>
              <w:bidi w:val="0"/>
              <w:spacing w:line="360" w:lineRule="auto"/>
              <w:jc w:val="both"/>
              <w:textAlignment w:val="auto"/>
              <w:rPr>
                <w:rFonts w:hint="eastAsia" w:ascii="宋体" w:hAnsi="宋体" w:eastAsia="宋体"/>
                <w:b w:val="0"/>
                <w:bCs/>
                <w:color w:val="auto"/>
                <w:sz w:val="24"/>
                <w:szCs w:val="24"/>
                <w:highlight w:val="none"/>
                <w:vertAlign w:val="baseline"/>
                <w:lang w:eastAsia="zh-CN"/>
              </w:rPr>
            </w:pPr>
            <w:r>
              <w:rPr>
                <w:rFonts w:hint="eastAsia" w:ascii="宋体" w:hAnsi="宋体" w:cs="宋体"/>
                <w:b w:val="0"/>
                <w:bCs/>
                <w:color w:val="auto"/>
                <w:sz w:val="24"/>
                <w:szCs w:val="24"/>
                <w:highlight w:val="none"/>
              </w:rPr>
              <w:t>承包人（盖章）</w:t>
            </w:r>
            <w:r>
              <w:rPr>
                <w:rFonts w:hint="eastAsia" w:ascii="宋体" w:hAnsi="宋体" w:cs="宋体"/>
                <w:b w:val="0"/>
                <w:bCs/>
                <w:color w:val="auto"/>
                <w:sz w:val="24"/>
                <w:szCs w:val="24"/>
                <w:highlight w:val="none"/>
                <w:lang w:eastAsia="zh-CN"/>
              </w:rPr>
              <w:t>：</w:t>
            </w:r>
          </w:p>
        </w:tc>
      </w:tr>
      <w:tr w14:paraId="4C2D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1" w:type="dxa"/>
            <w:tcBorders>
              <w:top w:val="nil"/>
              <w:left w:val="nil"/>
              <w:bottom w:val="nil"/>
              <w:right w:val="nil"/>
            </w:tcBorders>
            <w:noWrap w:val="0"/>
            <w:vAlign w:val="center"/>
          </w:tcPr>
          <w:p w14:paraId="0D85AD0F">
            <w:pPr>
              <w:keepNext w:val="0"/>
              <w:keepLines w:val="0"/>
              <w:pageBreakBefore w:val="0"/>
              <w:widowControl w:val="0"/>
              <w:kinsoku/>
              <w:wordWrap/>
              <w:overflowPunct/>
              <w:topLinePunct w:val="0"/>
              <w:autoSpaceDE/>
              <w:autoSpaceDN/>
              <w:bidi w:val="0"/>
              <w:spacing w:line="360" w:lineRule="auto"/>
              <w:jc w:val="both"/>
              <w:textAlignment w:val="auto"/>
              <w:rPr>
                <w:rFonts w:ascii="宋体" w:hAnsi="宋体" w:cs="宋体"/>
                <w:b w:val="0"/>
                <w:bCs/>
                <w:color w:val="auto"/>
                <w:sz w:val="24"/>
                <w:szCs w:val="24"/>
                <w:highlight w:val="none"/>
              </w:rPr>
            </w:pPr>
            <w:r>
              <w:rPr>
                <w:rFonts w:hint="eastAsia" w:ascii="宋体" w:hAnsi="宋体" w:cs="宋体"/>
                <w:b w:val="0"/>
                <w:bCs/>
                <w:color w:val="auto"/>
                <w:sz w:val="24"/>
                <w:szCs w:val="24"/>
                <w:highlight w:val="none"/>
              </w:rPr>
              <w:t>法定代表人</w:t>
            </w:r>
          </w:p>
          <w:p w14:paraId="0A789D0E">
            <w:pPr>
              <w:keepNext w:val="0"/>
              <w:keepLines w:val="0"/>
              <w:pageBreakBefore w:val="0"/>
              <w:widowControl w:val="0"/>
              <w:kinsoku/>
              <w:wordWrap/>
              <w:overflowPunct/>
              <w:topLinePunct w:val="0"/>
              <w:autoSpaceDE/>
              <w:autoSpaceDN/>
              <w:bidi w:val="0"/>
              <w:spacing w:line="360" w:lineRule="auto"/>
              <w:jc w:val="both"/>
              <w:textAlignment w:val="auto"/>
              <w:rPr>
                <w:rFonts w:ascii="宋体" w:hAnsi="宋体"/>
                <w:b w:val="0"/>
                <w:bCs/>
                <w:color w:val="auto"/>
                <w:sz w:val="24"/>
                <w:szCs w:val="24"/>
                <w:highlight w:val="none"/>
                <w:vertAlign w:val="baseline"/>
              </w:rPr>
            </w:pPr>
            <w:r>
              <w:rPr>
                <w:rFonts w:hint="eastAsia" w:ascii="宋体" w:hAnsi="宋体" w:cs="宋体"/>
                <w:b w:val="0"/>
                <w:bCs/>
                <w:color w:val="auto"/>
                <w:sz w:val="24"/>
                <w:szCs w:val="24"/>
                <w:highlight w:val="none"/>
              </w:rPr>
              <w:t>或其授权的代理人：  （签  字）</w:t>
            </w:r>
          </w:p>
        </w:tc>
        <w:tc>
          <w:tcPr>
            <w:tcW w:w="4312" w:type="dxa"/>
            <w:tcBorders>
              <w:top w:val="nil"/>
              <w:left w:val="nil"/>
              <w:bottom w:val="nil"/>
              <w:right w:val="nil"/>
            </w:tcBorders>
            <w:noWrap w:val="0"/>
            <w:vAlign w:val="center"/>
          </w:tcPr>
          <w:p w14:paraId="1E92B19F">
            <w:pPr>
              <w:keepNext w:val="0"/>
              <w:keepLines w:val="0"/>
              <w:pageBreakBefore w:val="0"/>
              <w:widowControl w:val="0"/>
              <w:kinsoku/>
              <w:wordWrap/>
              <w:overflowPunct/>
              <w:topLinePunct w:val="0"/>
              <w:autoSpaceDE/>
              <w:autoSpaceDN/>
              <w:bidi w:val="0"/>
              <w:spacing w:line="360" w:lineRule="auto"/>
              <w:jc w:val="both"/>
              <w:textAlignment w:val="auto"/>
              <w:rPr>
                <w:rFonts w:ascii="宋体" w:hAnsi="宋体" w:cs="宋体"/>
                <w:b w:val="0"/>
                <w:bCs/>
                <w:color w:val="auto"/>
                <w:sz w:val="24"/>
                <w:szCs w:val="24"/>
                <w:highlight w:val="none"/>
              </w:rPr>
            </w:pPr>
            <w:r>
              <w:rPr>
                <w:rFonts w:hint="eastAsia" w:ascii="宋体" w:hAnsi="宋体" w:cs="宋体"/>
                <w:b w:val="0"/>
                <w:bCs/>
                <w:color w:val="auto"/>
                <w:sz w:val="24"/>
                <w:szCs w:val="24"/>
                <w:highlight w:val="none"/>
              </w:rPr>
              <w:t>法定代表人</w:t>
            </w:r>
          </w:p>
          <w:p w14:paraId="03BD66CA">
            <w:pPr>
              <w:pStyle w:val="7"/>
              <w:jc w:val="both"/>
              <w:rPr>
                <w:rFonts w:ascii="宋体" w:hAnsi="宋体"/>
                <w:b w:val="0"/>
                <w:bCs/>
                <w:color w:val="auto"/>
                <w:sz w:val="24"/>
                <w:szCs w:val="24"/>
                <w:highlight w:val="none"/>
                <w:vertAlign w:val="baseline"/>
              </w:rPr>
            </w:pPr>
            <w:r>
              <w:rPr>
                <w:rFonts w:hint="eastAsia" w:ascii="宋体" w:hAnsi="宋体" w:cs="宋体"/>
                <w:b w:val="0"/>
                <w:bCs/>
                <w:color w:val="auto"/>
                <w:sz w:val="24"/>
                <w:szCs w:val="24"/>
                <w:highlight w:val="none"/>
              </w:rPr>
              <w:t>或其授权的代理人：  （签  字）</w:t>
            </w:r>
          </w:p>
        </w:tc>
      </w:tr>
      <w:tr w14:paraId="0A38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4311" w:type="dxa"/>
            <w:tcBorders>
              <w:top w:val="nil"/>
              <w:left w:val="nil"/>
              <w:bottom w:val="nil"/>
              <w:right w:val="nil"/>
            </w:tcBorders>
            <w:noWrap w:val="0"/>
            <w:vAlign w:val="center"/>
          </w:tcPr>
          <w:p w14:paraId="0A418B4F">
            <w:pPr>
              <w:keepNext w:val="0"/>
              <w:keepLines w:val="0"/>
              <w:pageBreakBefore w:val="0"/>
              <w:widowControl w:val="0"/>
              <w:kinsoku/>
              <w:wordWrap/>
              <w:overflowPunct/>
              <w:topLinePunct w:val="0"/>
              <w:autoSpaceDE/>
              <w:autoSpaceDN/>
              <w:bidi w:val="0"/>
              <w:spacing w:line="360" w:lineRule="auto"/>
              <w:jc w:val="center"/>
              <w:textAlignment w:val="auto"/>
              <w:rPr>
                <w:rFonts w:ascii="宋体" w:hAnsi="宋体"/>
                <w:b w:val="0"/>
                <w:bCs/>
                <w:color w:val="auto"/>
                <w:sz w:val="24"/>
                <w:szCs w:val="24"/>
                <w:highlight w:val="none"/>
                <w:vertAlign w:val="baseline"/>
              </w:rPr>
            </w:pPr>
            <w:r>
              <w:rPr>
                <w:rFonts w:hint="eastAsia" w:ascii="宋体" w:hAnsi="宋体" w:cs="宋体"/>
                <w:b w:val="0"/>
                <w:bCs/>
                <w:color w:val="auto"/>
                <w:sz w:val="24"/>
                <w:szCs w:val="24"/>
                <w:highlight w:val="none"/>
              </w:rPr>
              <w:t>年</w:t>
            </w:r>
            <w:r>
              <w:rPr>
                <w:rFonts w:ascii="宋体" w:hAnsi="宋体" w:cs="宋体"/>
                <w:b w:val="0"/>
                <w:bCs/>
                <w:color w:val="auto"/>
                <w:sz w:val="24"/>
                <w:szCs w:val="24"/>
                <w:highlight w:val="none"/>
              </w:rPr>
              <w:t xml:space="preserve">   </w:t>
            </w:r>
            <w:r>
              <w:rPr>
                <w:rFonts w:hint="eastAsia" w:ascii="宋体" w:hAnsi="宋体" w:cs="宋体"/>
                <w:b w:val="0"/>
                <w:bCs/>
                <w:color w:val="auto"/>
                <w:sz w:val="24"/>
                <w:szCs w:val="24"/>
                <w:highlight w:val="none"/>
              </w:rPr>
              <w:t xml:space="preserve">月 </w:t>
            </w:r>
            <w:r>
              <w:rPr>
                <w:rFonts w:ascii="宋体" w:hAnsi="宋体" w:cs="宋体"/>
                <w:b w:val="0"/>
                <w:bCs/>
                <w:color w:val="auto"/>
                <w:sz w:val="24"/>
                <w:szCs w:val="24"/>
                <w:highlight w:val="none"/>
              </w:rPr>
              <w:t xml:space="preserve"> </w:t>
            </w:r>
            <w:r>
              <w:rPr>
                <w:rFonts w:hint="eastAsia" w:ascii="宋体" w:hAnsi="宋体" w:cs="宋体"/>
                <w:b w:val="0"/>
                <w:bCs/>
                <w:color w:val="auto"/>
                <w:sz w:val="24"/>
                <w:szCs w:val="24"/>
                <w:highlight w:val="none"/>
              </w:rPr>
              <w:t>日</w:t>
            </w:r>
          </w:p>
        </w:tc>
        <w:tc>
          <w:tcPr>
            <w:tcW w:w="4312" w:type="dxa"/>
            <w:tcBorders>
              <w:top w:val="nil"/>
              <w:left w:val="nil"/>
              <w:bottom w:val="nil"/>
              <w:right w:val="nil"/>
            </w:tcBorders>
            <w:noWrap w:val="0"/>
            <w:vAlign w:val="center"/>
          </w:tcPr>
          <w:p w14:paraId="7A31EB60">
            <w:pPr>
              <w:keepNext w:val="0"/>
              <w:keepLines w:val="0"/>
              <w:pageBreakBefore w:val="0"/>
              <w:widowControl w:val="0"/>
              <w:kinsoku/>
              <w:wordWrap/>
              <w:overflowPunct/>
              <w:topLinePunct w:val="0"/>
              <w:autoSpaceDE/>
              <w:autoSpaceDN/>
              <w:bidi w:val="0"/>
              <w:spacing w:line="360" w:lineRule="auto"/>
              <w:ind w:firstLine="480" w:firstLineChars="200"/>
              <w:jc w:val="center"/>
              <w:textAlignment w:val="auto"/>
              <w:rPr>
                <w:rFonts w:ascii="宋体" w:hAnsi="宋体"/>
                <w:b w:val="0"/>
                <w:bCs/>
                <w:color w:val="auto"/>
                <w:sz w:val="24"/>
                <w:szCs w:val="24"/>
                <w:highlight w:val="none"/>
                <w:vertAlign w:val="baseline"/>
              </w:rPr>
            </w:pPr>
            <w:r>
              <w:rPr>
                <w:rFonts w:hint="eastAsia" w:ascii="宋体" w:hAnsi="宋体" w:cs="宋体"/>
                <w:b w:val="0"/>
                <w:bCs/>
                <w:color w:val="auto"/>
                <w:sz w:val="24"/>
                <w:szCs w:val="24"/>
                <w:highlight w:val="none"/>
              </w:rPr>
              <w:t>年</w:t>
            </w:r>
            <w:r>
              <w:rPr>
                <w:rFonts w:ascii="宋体" w:hAnsi="宋体" w:cs="宋体"/>
                <w:b w:val="0"/>
                <w:bCs/>
                <w:color w:val="auto"/>
                <w:sz w:val="24"/>
                <w:szCs w:val="24"/>
                <w:highlight w:val="none"/>
              </w:rPr>
              <w:t xml:space="preserve">   </w:t>
            </w:r>
            <w:r>
              <w:rPr>
                <w:rFonts w:hint="eastAsia" w:ascii="宋体" w:hAnsi="宋体" w:cs="宋体"/>
                <w:b w:val="0"/>
                <w:bCs/>
                <w:color w:val="auto"/>
                <w:sz w:val="24"/>
                <w:szCs w:val="24"/>
                <w:highlight w:val="none"/>
              </w:rPr>
              <w:t xml:space="preserve">月 </w:t>
            </w:r>
            <w:r>
              <w:rPr>
                <w:rFonts w:ascii="宋体" w:hAnsi="宋体" w:cs="宋体"/>
                <w:b w:val="0"/>
                <w:bCs/>
                <w:color w:val="auto"/>
                <w:sz w:val="24"/>
                <w:szCs w:val="24"/>
                <w:highlight w:val="none"/>
              </w:rPr>
              <w:t xml:space="preserve"> </w:t>
            </w:r>
            <w:r>
              <w:rPr>
                <w:rFonts w:hint="eastAsia" w:ascii="宋体" w:hAnsi="宋体" w:cs="宋体"/>
                <w:b w:val="0"/>
                <w:bCs/>
                <w:color w:val="auto"/>
                <w:sz w:val="24"/>
                <w:szCs w:val="24"/>
                <w:highlight w:val="none"/>
              </w:rPr>
              <w:t>日</w:t>
            </w:r>
          </w:p>
        </w:tc>
      </w:tr>
    </w:tbl>
    <w:p w14:paraId="388DB5EF">
      <w:pPr>
        <w:pStyle w:val="7"/>
        <w:rPr>
          <w:rFonts w:ascii="宋体" w:hAnsi="宋体"/>
          <w:color w:val="auto"/>
          <w:sz w:val="24"/>
          <w:szCs w:val="24"/>
          <w:highlight w:val="none"/>
        </w:rPr>
      </w:pPr>
    </w:p>
    <w:p w14:paraId="0E55902A">
      <w:pPr>
        <w:rPr>
          <w:color w:val="auto"/>
          <w:highlight w:val="none"/>
        </w:rPr>
      </w:pPr>
    </w:p>
    <w:p w14:paraId="2B96DDC9">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hint="eastAsia" w:ascii="宋体" w:hAnsi="宋体" w:cs="宋体"/>
          <w:color w:val="auto"/>
          <w:sz w:val="24"/>
          <w:szCs w:val="24"/>
          <w:highlight w:val="none"/>
        </w:rPr>
        <w:sectPr>
          <w:pgSz w:w="11905" w:h="16838"/>
          <w:pgMar w:top="1417" w:right="1701" w:bottom="1417" w:left="1797" w:header="851" w:footer="850" w:gutter="0"/>
          <w:pgBorders>
            <w:top w:val="none" w:sz="0" w:space="0"/>
            <w:left w:val="none" w:sz="0" w:space="0"/>
            <w:bottom w:val="none" w:sz="0" w:space="0"/>
            <w:right w:val="none" w:sz="0" w:space="0"/>
          </w:pgBorders>
          <w:pgNumType w:fmt="decimal"/>
          <w:cols w:space="720" w:num="1"/>
          <w:rtlGutter w:val="0"/>
          <w:docGrid w:linePitch="0" w:charSpace="0"/>
        </w:sectPr>
      </w:pPr>
      <w:r>
        <w:rPr>
          <w:rFonts w:hint="eastAsia" w:ascii="宋体" w:hAnsi="宋体" w:cs="宋体"/>
          <w:color w:val="auto"/>
          <w:sz w:val="24"/>
          <w:szCs w:val="24"/>
          <w:highlight w:val="none"/>
        </w:rPr>
        <w:t xml:space="preserve">   </w:t>
      </w:r>
    </w:p>
    <w:p w14:paraId="30AD97C5">
      <w:pPr>
        <w:kinsoku w:val="0"/>
        <w:overflowPunct w:val="0"/>
        <w:autoSpaceDE w:val="0"/>
        <w:autoSpaceDN w:val="0"/>
        <w:adjustRightInd w:val="0"/>
        <w:spacing w:line="440" w:lineRule="exact"/>
        <w:rPr>
          <w:rFonts w:hint="eastAsia" w:ascii="宋体" w:hAnsi="宋体" w:eastAsia="宋体" w:cs="宋体"/>
          <w:b/>
          <w:bCs/>
          <w:color w:val="auto"/>
          <w:spacing w:val="-4"/>
          <w:sz w:val="24"/>
          <w:highlight w:val="none"/>
          <w:lang w:eastAsia="zh-CN"/>
        </w:rPr>
      </w:pPr>
      <w:r>
        <w:rPr>
          <w:rFonts w:hint="default" w:ascii="宋体" w:hAnsi="宋体" w:eastAsia="宋体" w:cs="宋体"/>
          <w:b/>
          <w:bCs/>
          <w:color w:val="auto"/>
          <w:spacing w:val="-4"/>
          <w:sz w:val="24"/>
          <w:highlight w:val="none"/>
        </w:rPr>
        <w:t>附件</w:t>
      </w:r>
      <w:r>
        <w:rPr>
          <w:rFonts w:hint="eastAsia" w:ascii="宋体" w:hAnsi="宋体" w:eastAsia="宋体" w:cs="宋体"/>
          <w:b/>
          <w:bCs/>
          <w:color w:val="auto"/>
          <w:spacing w:val="-4"/>
          <w:sz w:val="24"/>
          <w:highlight w:val="none"/>
          <w:lang w:val="en-US" w:eastAsia="zh-CN"/>
        </w:rPr>
        <w:t>3-1：</w:t>
      </w:r>
    </w:p>
    <w:p w14:paraId="0FCF55C0">
      <w:pPr>
        <w:widowControl/>
        <w:kinsoku w:val="0"/>
        <w:autoSpaceDE w:val="0"/>
        <w:autoSpaceDN w:val="0"/>
        <w:adjustRightInd w:val="0"/>
        <w:snapToGrid w:val="0"/>
        <w:spacing w:before="156" w:beforeLines="50" w:line="560" w:lineRule="exact"/>
        <w:jc w:val="center"/>
        <w:textAlignment w:val="baseline"/>
        <w:rPr>
          <w:rFonts w:ascii="方正小标宋简体" w:hAnsi="Arial" w:eastAsia="方正小标宋简体" w:cs="Arial"/>
          <w:color w:val="auto"/>
          <w:kern w:val="0"/>
          <w:sz w:val="36"/>
          <w:szCs w:val="36"/>
          <w:highlight w:val="none"/>
        </w:rPr>
      </w:pPr>
      <w:r>
        <w:rPr>
          <w:rFonts w:hint="eastAsia" w:ascii="方正小标宋简体" w:hAnsi="Arial" w:eastAsia="方正小标宋简体" w:cs="Arial"/>
          <w:color w:val="auto"/>
          <w:spacing w:val="9"/>
          <w:kern w:val="0"/>
          <w:sz w:val="36"/>
          <w:szCs w:val="36"/>
          <w:highlight w:val="none"/>
        </w:rPr>
        <w:t>政府采购履约验收通知单（参考样本）</w:t>
      </w:r>
    </w:p>
    <w:p w14:paraId="1F83AF4E">
      <w:pPr>
        <w:widowControl/>
        <w:kinsoku w:val="0"/>
        <w:autoSpaceDE w:val="0"/>
        <w:autoSpaceDN w:val="0"/>
        <w:adjustRightInd w:val="0"/>
        <w:snapToGrid w:val="0"/>
        <w:spacing w:before="67" w:line="560" w:lineRule="exact"/>
        <w:ind w:left="118"/>
        <w:jc w:val="left"/>
        <w:textAlignment w:val="baseline"/>
        <w:rPr>
          <w:rFonts w:hint="eastAsia" w:ascii="仿宋_GB2312" w:hAnsi="Arial" w:eastAsia="仿宋_GB2312" w:cs="Arial"/>
          <w:color w:val="auto"/>
          <w:kern w:val="0"/>
          <w:sz w:val="24"/>
          <w:szCs w:val="31"/>
          <w:highlight w:val="none"/>
        </w:rPr>
      </w:pPr>
      <w:r>
        <w:rPr>
          <w:rFonts w:hint="eastAsia" w:ascii="仿宋_GB2312" w:hAnsi="Arial" w:eastAsia="仿宋_GB2312" w:cs="Arial"/>
          <w:color w:val="auto"/>
          <w:spacing w:val="5"/>
          <w:kern w:val="0"/>
          <w:sz w:val="24"/>
          <w:szCs w:val="31"/>
          <w:highlight w:val="none"/>
        </w:rPr>
        <w:t>供应商：</w:t>
      </w:r>
    </w:p>
    <w:tbl>
      <w:tblPr>
        <w:tblStyle w:val="8"/>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68"/>
        <w:gridCol w:w="2655"/>
        <w:gridCol w:w="1464"/>
        <w:gridCol w:w="2824"/>
      </w:tblGrid>
      <w:tr w14:paraId="1DD7C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1B0A43B2">
            <w:pPr>
              <w:widowControl/>
              <w:kinsoku w:val="0"/>
              <w:autoSpaceDE w:val="0"/>
              <w:autoSpaceDN w:val="0"/>
              <w:adjustRightInd w:val="0"/>
              <w:spacing w:line="560" w:lineRule="exact"/>
              <w:jc w:val="center"/>
              <w:textAlignment w:val="baseline"/>
              <w:rPr>
                <w:rFonts w:hint="eastAsia" w:ascii="黑体" w:hAnsi="黑体" w:eastAsia="黑体" w:cs="Arial"/>
                <w:color w:val="auto"/>
                <w:kern w:val="0"/>
                <w:sz w:val="24"/>
                <w:highlight w:val="none"/>
              </w:rPr>
            </w:pPr>
            <w:r>
              <w:rPr>
                <w:rFonts w:hint="eastAsia" w:ascii="黑体" w:hAnsi="黑体" w:eastAsia="黑体" w:cs="Arial"/>
                <w:color w:val="auto"/>
                <w:spacing w:val="-2"/>
                <w:kern w:val="0"/>
                <w:sz w:val="24"/>
                <w:highlight w:val="none"/>
              </w:rPr>
              <w:t>采购人</w:t>
            </w:r>
          </w:p>
        </w:tc>
        <w:tc>
          <w:tcPr>
            <w:tcW w:w="4126" w:type="pct"/>
            <w:gridSpan w:val="3"/>
            <w:tcBorders>
              <w:top w:val="single" w:color="000000" w:sz="2" w:space="0"/>
              <w:left w:val="single" w:color="000000" w:sz="2" w:space="0"/>
              <w:bottom w:val="single" w:color="000000" w:sz="2" w:space="0"/>
              <w:right w:val="single" w:color="000000" w:sz="2" w:space="0"/>
            </w:tcBorders>
            <w:noWrap w:val="0"/>
            <w:vAlign w:val="center"/>
          </w:tcPr>
          <w:p w14:paraId="240F8BD3">
            <w:pPr>
              <w:widowControl/>
              <w:kinsoku w:val="0"/>
              <w:autoSpaceDE w:val="0"/>
              <w:autoSpaceDN w:val="0"/>
              <w:adjustRightInd w:val="0"/>
              <w:spacing w:line="560" w:lineRule="exact"/>
              <w:jc w:val="center"/>
              <w:textAlignment w:val="baseline"/>
              <w:rPr>
                <w:rFonts w:hint="eastAsia" w:ascii="Arial" w:hAnsi="Arial" w:eastAsia="黑体" w:cs="Arial"/>
                <w:color w:val="auto"/>
                <w:kern w:val="0"/>
                <w:sz w:val="24"/>
                <w:highlight w:val="none"/>
              </w:rPr>
            </w:pPr>
          </w:p>
        </w:tc>
      </w:tr>
      <w:tr w14:paraId="3D2C8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19F34856">
            <w:pPr>
              <w:widowControl/>
              <w:kinsoku w:val="0"/>
              <w:autoSpaceDE w:val="0"/>
              <w:autoSpaceDN w:val="0"/>
              <w:adjustRightInd w:val="0"/>
              <w:spacing w:line="560" w:lineRule="exact"/>
              <w:jc w:val="center"/>
              <w:textAlignment w:val="baseline"/>
              <w:rPr>
                <w:rFonts w:ascii="黑体" w:hAnsi="黑体" w:eastAsia="黑体" w:cs="Arial"/>
                <w:color w:val="auto"/>
                <w:kern w:val="0"/>
                <w:sz w:val="24"/>
                <w:highlight w:val="none"/>
              </w:rPr>
            </w:pPr>
            <w:r>
              <w:rPr>
                <w:rFonts w:hint="eastAsia" w:ascii="黑体" w:hAnsi="黑体" w:eastAsia="黑体" w:cs="Arial"/>
                <w:color w:val="auto"/>
                <w:spacing w:val="-3"/>
                <w:kern w:val="0"/>
                <w:sz w:val="24"/>
                <w:highlight w:val="none"/>
              </w:rPr>
              <w:t>项目名称</w:t>
            </w:r>
          </w:p>
        </w:tc>
        <w:tc>
          <w:tcPr>
            <w:tcW w:w="4126" w:type="pct"/>
            <w:gridSpan w:val="3"/>
            <w:tcBorders>
              <w:top w:val="single" w:color="000000" w:sz="2" w:space="0"/>
              <w:left w:val="single" w:color="000000" w:sz="2" w:space="0"/>
              <w:bottom w:val="single" w:color="000000" w:sz="2" w:space="0"/>
              <w:right w:val="single" w:color="000000" w:sz="2" w:space="0"/>
            </w:tcBorders>
            <w:noWrap w:val="0"/>
            <w:vAlign w:val="center"/>
          </w:tcPr>
          <w:p w14:paraId="7C26D030">
            <w:pPr>
              <w:widowControl/>
              <w:kinsoku w:val="0"/>
              <w:autoSpaceDE w:val="0"/>
              <w:autoSpaceDN w:val="0"/>
              <w:adjustRightInd w:val="0"/>
              <w:spacing w:line="560" w:lineRule="exact"/>
              <w:jc w:val="center"/>
              <w:textAlignment w:val="baseline"/>
              <w:rPr>
                <w:rFonts w:hint="eastAsia" w:ascii="Arial" w:hAnsi="Arial" w:eastAsia="黑体" w:cs="Arial"/>
                <w:color w:val="auto"/>
                <w:kern w:val="0"/>
                <w:sz w:val="24"/>
                <w:highlight w:val="none"/>
              </w:rPr>
            </w:pPr>
          </w:p>
        </w:tc>
      </w:tr>
      <w:tr w14:paraId="5A6CF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78F274AA">
            <w:pPr>
              <w:widowControl/>
              <w:kinsoku w:val="0"/>
              <w:autoSpaceDE w:val="0"/>
              <w:autoSpaceDN w:val="0"/>
              <w:adjustRightInd w:val="0"/>
              <w:spacing w:line="560" w:lineRule="exact"/>
              <w:jc w:val="center"/>
              <w:textAlignment w:val="baseline"/>
              <w:rPr>
                <w:rFonts w:ascii="黑体" w:hAnsi="黑体" w:eastAsia="黑体" w:cs="Arial"/>
                <w:color w:val="auto"/>
                <w:kern w:val="0"/>
                <w:sz w:val="24"/>
                <w:highlight w:val="none"/>
              </w:rPr>
            </w:pPr>
            <w:r>
              <w:rPr>
                <w:rFonts w:hint="eastAsia" w:ascii="黑体" w:hAnsi="黑体" w:eastAsia="黑体" w:cs="Arial"/>
                <w:color w:val="auto"/>
                <w:spacing w:val="-3"/>
                <w:kern w:val="0"/>
                <w:sz w:val="24"/>
                <w:highlight w:val="none"/>
              </w:rPr>
              <w:t>合同名称</w:t>
            </w:r>
          </w:p>
        </w:tc>
        <w:tc>
          <w:tcPr>
            <w:tcW w:w="4126" w:type="pct"/>
            <w:gridSpan w:val="3"/>
            <w:tcBorders>
              <w:top w:val="single" w:color="000000" w:sz="2" w:space="0"/>
              <w:left w:val="single" w:color="000000" w:sz="2" w:space="0"/>
              <w:bottom w:val="single" w:color="000000" w:sz="2" w:space="0"/>
              <w:right w:val="single" w:color="000000" w:sz="2" w:space="0"/>
            </w:tcBorders>
            <w:noWrap w:val="0"/>
            <w:vAlign w:val="center"/>
          </w:tcPr>
          <w:p w14:paraId="1831FB2B">
            <w:pPr>
              <w:widowControl/>
              <w:kinsoku w:val="0"/>
              <w:autoSpaceDE w:val="0"/>
              <w:autoSpaceDN w:val="0"/>
              <w:adjustRightInd w:val="0"/>
              <w:spacing w:line="560" w:lineRule="exact"/>
              <w:jc w:val="center"/>
              <w:textAlignment w:val="baseline"/>
              <w:rPr>
                <w:rFonts w:hint="eastAsia" w:ascii="Arial" w:hAnsi="Arial" w:eastAsia="黑体" w:cs="Arial"/>
                <w:color w:val="auto"/>
                <w:kern w:val="0"/>
                <w:sz w:val="24"/>
                <w:highlight w:val="none"/>
              </w:rPr>
            </w:pPr>
          </w:p>
        </w:tc>
      </w:tr>
      <w:tr w14:paraId="2042C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7D82D02C">
            <w:pPr>
              <w:widowControl/>
              <w:kinsoku w:val="0"/>
              <w:autoSpaceDE w:val="0"/>
              <w:autoSpaceDN w:val="0"/>
              <w:adjustRightInd w:val="0"/>
              <w:spacing w:line="560" w:lineRule="exact"/>
              <w:jc w:val="center"/>
              <w:textAlignment w:val="baseline"/>
              <w:rPr>
                <w:rFonts w:ascii="黑体" w:hAnsi="黑体" w:eastAsia="黑体" w:cs="Arial"/>
                <w:color w:val="auto"/>
                <w:kern w:val="0"/>
                <w:sz w:val="24"/>
                <w:highlight w:val="none"/>
              </w:rPr>
            </w:pPr>
            <w:r>
              <w:rPr>
                <w:rFonts w:hint="eastAsia" w:ascii="黑体" w:hAnsi="黑体" w:eastAsia="黑体" w:cs="Arial"/>
                <w:color w:val="auto"/>
                <w:spacing w:val="-3"/>
                <w:kern w:val="0"/>
                <w:sz w:val="24"/>
                <w:highlight w:val="none"/>
              </w:rPr>
              <w:t>合同编号</w:t>
            </w:r>
          </w:p>
        </w:tc>
        <w:tc>
          <w:tcPr>
            <w:tcW w:w="1578" w:type="pct"/>
            <w:tcBorders>
              <w:top w:val="single" w:color="000000" w:sz="2" w:space="0"/>
              <w:left w:val="single" w:color="000000" w:sz="2" w:space="0"/>
              <w:bottom w:val="single" w:color="000000" w:sz="2" w:space="0"/>
              <w:right w:val="single" w:color="000000" w:sz="2" w:space="0"/>
            </w:tcBorders>
            <w:noWrap w:val="0"/>
            <w:vAlign w:val="center"/>
          </w:tcPr>
          <w:p w14:paraId="200060B0">
            <w:pPr>
              <w:widowControl/>
              <w:kinsoku w:val="0"/>
              <w:autoSpaceDE w:val="0"/>
              <w:autoSpaceDN w:val="0"/>
              <w:adjustRightInd w:val="0"/>
              <w:spacing w:line="560" w:lineRule="exact"/>
              <w:jc w:val="center"/>
              <w:textAlignment w:val="baseline"/>
              <w:rPr>
                <w:rFonts w:hint="eastAsia" w:ascii="Arial" w:hAnsi="Arial" w:eastAsia="黑体" w:cs="Arial"/>
                <w:color w:val="auto"/>
                <w:kern w:val="0"/>
                <w:sz w:val="24"/>
                <w:highlight w:val="none"/>
              </w:rPr>
            </w:pPr>
          </w:p>
        </w:tc>
        <w:tc>
          <w:tcPr>
            <w:tcW w:w="870" w:type="pct"/>
            <w:tcBorders>
              <w:top w:val="single" w:color="000000" w:sz="2" w:space="0"/>
              <w:left w:val="single" w:color="000000" w:sz="2" w:space="0"/>
              <w:bottom w:val="single" w:color="000000" w:sz="2" w:space="0"/>
              <w:right w:val="single" w:color="000000" w:sz="2" w:space="0"/>
            </w:tcBorders>
            <w:noWrap w:val="0"/>
            <w:vAlign w:val="center"/>
          </w:tcPr>
          <w:p w14:paraId="6A6F6183">
            <w:pPr>
              <w:widowControl/>
              <w:kinsoku w:val="0"/>
              <w:autoSpaceDE w:val="0"/>
              <w:autoSpaceDN w:val="0"/>
              <w:adjustRightInd w:val="0"/>
              <w:spacing w:line="560" w:lineRule="exact"/>
              <w:jc w:val="center"/>
              <w:textAlignment w:val="baseline"/>
              <w:rPr>
                <w:rFonts w:ascii="黑体" w:hAnsi="黑体" w:eastAsia="黑体" w:cs="Arial"/>
                <w:color w:val="auto"/>
                <w:kern w:val="0"/>
                <w:sz w:val="24"/>
                <w:highlight w:val="none"/>
              </w:rPr>
            </w:pPr>
            <w:r>
              <w:rPr>
                <w:rFonts w:hint="eastAsia" w:ascii="黑体" w:hAnsi="黑体" w:eastAsia="黑体" w:cs="Arial"/>
                <w:color w:val="auto"/>
                <w:spacing w:val="-3"/>
                <w:kern w:val="0"/>
                <w:sz w:val="24"/>
                <w:highlight w:val="none"/>
              </w:rPr>
              <w:t>合同金额</w:t>
            </w:r>
          </w:p>
        </w:tc>
        <w:tc>
          <w:tcPr>
            <w:tcW w:w="1677" w:type="pct"/>
            <w:tcBorders>
              <w:top w:val="single" w:color="000000" w:sz="2" w:space="0"/>
              <w:left w:val="single" w:color="000000" w:sz="2" w:space="0"/>
              <w:bottom w:val="single" w:color="000000" w:sz="2" w:space="0"/>
              <w:right w:val="single" w:color="000000" w:sz="2" w:space="0"/>
            </w:tcBorders>
            <w:noWrap w:val="0"/>
            <w:vAlign w:val="center"/>
          </w:tcPr>
          <w:p w14:paraId="211FC402">
            <w:pPr>
              <w:widowControl/>
              <w:kinsoku w:val="0"/>
              <w:autoSpaceDE w:val="0"/>
              <w:autoSpaceDN w:val="0"/>
              <w:adjustRightInd w:val="0"/>
              <w:spacing w:line="560" w:lineRule="exact"/>
              <w:jc w:val="center"/>
              <w:textAlignment w:val="baseline"/>
              <w:rPr>
                <w:rFonts w:hint="eastAsia" w:ascii="Arial" w:hAnsi="Arial" w:eastAsia="黑体" w:cs="Arial"/>
                <w:color w:val="auto"/>
                <w:kern w:val="0"/>
                <w:sz w:val="24"/>
                <w:highlight w:val="none"/>
              </w:rPr>
            </w:pPr>
          </w:p>
        </w:tc>
      </w:tr>
      <w:tr w14:paraId="328BF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315A0B18">
            <w:pPr>
              <w:widowControl/>
              <w:kinsoku w:val="0"/>
              <w:autoSpaceDE w:val="0"/>
              <w:autoSpaceDN w:val="0"/>
              <w:adjustRightInd w:val="0"/>
              <w:spacing w:line="560" w:lineRule="exact"/>
              <w:jc w:val="center"/>
              <w:textAlignment w:val="baseline"/>
              <w:rPr>
                <w:rFonts w:ascii="黑体" w:hAnsi="黑体" w:eastAsia="黑体" w:cs="Arial"/>
                <w:color w:val="auto"/>
                <w:kern w:val="0"/>
                <w:sz w:val="24"/>
                <w:highlight w:val="none"/>
              </w:rPr>
            </w:pPr>
            <w:r>
              <w:rPr>
                <w:rFonts w:hint="eastAsia" w:ascii="黑体" w:hAnsi="黑体" w:eastAsia="黑体" w:cs="Arial"/>
                <w:color w:val="auto"/>
                <w:spacing w:val="-2"/>
                <w:kern w:val="0"/>
                <w:sz w:val="24"/>
                <w:highlight w:val="none"/>
              </w:rPr>
              <w:t>验收时间</w:t>
            </w:r>
          </w:p>
        </w:tc>
        <w:tc>
          <w:tcPr>
            <w:tcW w:w="1578" w:type="pct"/>
            <w:tcBorders>
              <w:top w:val="single" w:color="000000" w:sz="2" w:space="0"/>
              <w:left w:val="single" w:color="000000" w:sz="2" w:space="0"/>
              <w:bottom w:val="single" w:color="000000" w:sz="2" w:space="0"/>
              <w:right w:val="single" w:color="000000" w:sz="2" w:space="0"/>
            </w:tcBorders>
            <w:noWrap w:val="0"/>
            <w:vAlign w:val="center"/>
          </w:tcPr>
          <w:p w14:paraId="14FEDF89">
            <w:pPr>
              <w:widowControl/>
              <w:kinsoku w:val="0"/>
              <w:autoSpaceDE w:val="0"/>
              <w:autoSpaceDN w:val="0"/>
              <w:adjustRightInd w:val="0"/>
              <w:spacing w:line="560" w:lineRule="exact"/>
              <w:jc w:val="center"/>
              <w:textAlignment w:val="baseline"/>
              <w:rPr>
                <w:rFonts w:hint="eastAsia" w:ascii="Arial" w:hAnsi="Arial" w:eastAsia="黑体" w:cs="Arial"/>
                <w:color w:val="auto"/>
                <w:kern w:val="0"/>
                <w:sz w:val="24"/>
                <w:highlight w:val="none"/>
              </w:rPr>
            </w:pPr>
          </w:p>
        </w:tc>
        <w:tc>
          <w:tcPr>
            <w:tcW w:w="870" w:type="pct"/>
            <w:tcBorders>
              <w:top w:val="single" w:color="000000" w:sz="2" w:space="0"/>
              <w:left w:val="single" w:color="000000" w:sz="2" w:space="0"/>
              <w:bottom w:val="single" w:color="000000" w:sz="2" w:space="0"/>
              <w:right w:val="single" w:color="000000" w:sz="2" w:space="0"/>
            </w:tcBorders>
            <w:noWrap w:val="0"/>
            <w:vAlign w:val="center"/>
          </w:tcPr>
          <w:p w14:paraId="5AE0E891">
            <w:pPr>
              <w:widowControl/>
              <w:kinsoku w:val="0"/>
              <w:autoSpaceDE w:val="0"/>
              <w:autoSpaceDN w:val="0"/>
              <w:adjustRightInd w:val="0"/>
              <w:spacing w:line="560" w:lineRule="exact"/>
              <w:jc w:val="center"/>
              <w:textAlignment w:val="baseline"/>
              <w:rPr>
                <w:rFonts w:ascii="黑体" w:hAnsi="黑体" w:eastAsia="黑体" w:cs="Arial"/>
                <w:color w:val="auto"/>
                <w:kern w:val="0"/>
                <w:sz w:val="24"/>
                <w:highlight w:val="none"/>
              </w:rPr>
            </w:pPr>
            <w:r>
              <w:rPr>
                <w:rFonts w:hint="eastAsia" w:ascii="黑体" w:hAnsi="黑体" w:eastAsia="黑体" w:cs="Arial"/>
                <w:color w:val="auto"/>
                <w:spacing w:val="-2"/>
                <w:kern w:val="0"/>
                <w:sz w:val="24"/>
                <w:highlight w:val="none"/>
              </w:rPr>
              <w:t>验收地点</w:t>
            </w:r>
          </w:p>
        </w:tc>
        <w:tc>
          <w:tcPr>
            <w:tcW w:w="1677" w:type="pct"/>
            <w:tcBorders>
              <w:top w:val="single" w:color="000000" w:sz="2" w:space="0"/>
              <w:left w:val="single" w:color="000000" w:sz="2" w:space="0"/>
              <w:bottom w:val="single" w:color="000000" w:sz="2" w:space="0"/>
              <w:right w:val="single" w:color="000000" w:sz="2" w:space="0"/>
            </w:tcBorders>
            <w:noWrap w:val="0"/>
            <w:vAlign w:val="center"/>
          </w:tcPr>
          <w:p w14:paraId="1E101DC7">
            <w:pPr>
              <w:widowControl/>
              <w:kinsoku w:val="0"/>
              <w:autoSpaceDE w:val="0"/>
              <w:autoSpaceDN w:val="0"/>
              <w:adjustRightInd w:val="0"/>
              <w:spacing w:line="560" w:lineRule="exact"/>
              <w:jc w:val="center"/>
              <w:textAlignment w:val="baseline"/>
              <w:rPr>
                <w:rFonts w:hint="eastAsia" w:ascii="Arial" w:hAnsi="Arial" w:eastAsia="黑体" w:cs="Arial"/>
                <w:color w:val="auto"/>
                <w:kern w:val="0"/>
                <w:sz w:val="24"/>
                <w:highlight w:val="none"/>
              </w:rPr>
            </w:pPr>
          </w:p>
        </w:tc>
      </w:tr>
      <w:tr w14:paraId="7A043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7E9418BE">
            <w:pPr>
              <w:widowControl/>
              <w:kinsoku w:val="0"/>
              <w:autoSpaceDE w:val="0"/>
              <w:autoSpaceDN w:val="0"/>
              <w:adjustRightInd w:val="0"/>
              <w:spacing w:line="560" w:lineRule="exact"/>
              <w:jc w:val="center"/>
              <w:textAlignment w:val="baseline"/>
              <w:rPr>
                <w:rFonts w:ascii="黑体" w:hAnsi="黑体" w:eastAsia="黑体" w:cs="Arial"/>
                <w:color w:val="auto"/>
                <w:kern w:val="0"/>
                <w:sz w:val="24"/>
                <w:highlight w:val="none"/>
              </w:rPr>
            </w:pPr>
            <w:r>
              <w:rPr>
                <w:rFonts w:hint="eastAsia" w:ascii="黑体" w:hAnsi="黑体" w:eastAsia="黑体" w:cs="Arial"/>
                <w:color w:val="auto"/>
                <w:spacing w:val="-4"/>
                <w:kern w:val="0"/>
                <w:sz w:val="24"/>
                <w:highlight w:val="none"/>
              </w:rPr>
              <w:t>联系人</w:t>
            </w:r>
          </w:p>
        </w:tc>
        <w:tc>
          <w:tcPr>
            <w:tcW w:w="1578" w:type="pct"/>
            <w:tcBorders>
              <w:top w:val="single" w:color="000000" w:sz="2" w:space="0"/>
              <w:left w:val="single" w:color="000000" w:sz="2" w:space="0"/>
              <w:bottom w:val="single" w:color="000000" w:sz="2" w:space="0"/>
              <w:right w:val="single" w:color="000000" w:sz="2" w:space="0"/>
            </w:tcBorders>
            <w:noWrap w:val="0"/>
            <w:vAlign w:val="center"/>
          </w:tcPr>
          <w:p w14:paraId="2568CB34">
            <w:pPr>
              <w:widowControl/>
              <w:kinsoku w:val="0"/>
              <w:autoSpaceDE w:val="0"/>
              <w:autoSpaceDN w:val="0"/>
              <w:adjustRightInd w:val="0"/>
              <w:spacing w:line="560" w:lineRule="exact"/>
              <w:jc w:val="center"/>
              <w:textAlignment w:val="baseline"/>
              <w:rPr>
                <w:rFonts w:hint="eastAsia" w:ascii="Arial" w:hAnsi="Arial" w:eastAsia="黑体" w:cs="Arial"/>
                <w:color w:val="auto"/>
                <w:kern w:val="0"/>
                <w:sz w:val="24"/>
                <w:highlight w:val="none"/>
              </w:rPr>
            </w:pPr>
          </w:p>
        </w:tc>
        <w:tc>
          <w:tcPr>
            <w:tcW w:w="870" w:type="pct"/>
            <w:tcBorders>
              <w:top w:val="single" w:color="000000" w:sz="2" w:space="0"/>
              <w:left w:val="single" w:color="000000" w:sz="2" w:space="0"/>
              <w:bottom w:val="single" w:color="000000" w:sz="2" w:space="0"/>
              <w:right w:val="single" w:color="000000" w:sz="2" w:space="0"/>
            </w:tcBorders>
            <w:noWrap w:val="0"/>
            <w:vAlign w:val="center"/>
          </w:tcPr>
          <w:p w14:paraId="623B9575">
            <w:pPr>
              <w:widowControl/>
              <w:kinsoku w:val="0"/>
              <w:autoSpaceDE w:val="0"/>
              <w:autoSpaceDN w:val="0"/>
              <w:adjustRightInd w:val="0"/>
              <w:spacing w:line="560" w:lineRule="exact"/>
              <w:jc w:val="center"/>
              <w:textAlignment w:val="baseline"/>
              <w:rPr>
                <w:rFonts w:ascii="黑体" w:hAnsi="黑体" w:eastAsia="黑体" w:cs="Arial"/>
                <w:color w:val="auto"/>
                <w:kern w:val="0"/>
                <w:sz w:val="24"/>
                <w:highlight w:val="none"/>
              </w:rPr>
            </w:pPr>
            <w:r>
              <w:rPr>
                <w:rFonts w:hint="eastAsia" w:ascii="黑体" w:hAnsi="黑体" w:eastAsia="黑体" w:cs="Arial"/>
                <w:color w:val="auto"/>
                <w:spacing w:val="-3"/>
                <w:kern w:val="0"/>
                <w:sz w:val="24"/>
                <w:highlight w:val="none"/>
              </w:rPr>
              <w:t>联系电话</w:t>
            </w:r>
          </w:p>
        </w:tc>
        <w:tc>
          <w:tcPr>
            <w:tcW w:w="1677" w:type="pct"/>
            <w:tcBorders>
              <w:top w:val="single" w:color="000000" w:sz="2" w:space="0"/>
              <w:left w:val="single" w:color="000000" w:sz="2" w:space="0"/>
              <w:bottom w:val="single" w:color="000000" w:sz="2" w:space="0"/>
              <w:right w:val="single" w:color="000000" w:sz="2" w:space="0"/>
            </w:tcBorders>
            <w:noWrap w:val="0"/>
            <w:vAlign w:val="center"/>
          </w:tcPr>
          <w:p w14:paraId="08186266">
            <w:pPr>
              <w:widowControl/>
              <w:kinsoku w:val="0"/>
              <w:autoSpaceDE w:val="0"/>
              <w:autoSpaceDN w:val="0"/>
              <w:adjustRightInd w:val="0"/>
              <w:spacing w:line="560" w:lineRule="exact"/>
              <w:jc w:val="center"/>
              <w:textAlignment w:val="baseline"/>
              <w:rPr>
                <w:rFonts w:hint="eastAsia" w:ascii="Arial" w:hAnsi="Arial" w:eastAsia="黑体" w:cs="Arial"/>
                <w:color w:val="auto"/>
                <w:kern w:val="0"/>
                <w:sz w:val="24"/>
                <w:highlight w:val="none"/>
              </w:rPr>
            </w:pPr>
          </w:p>
        </w:tc>
      </w:tr>
      <w:tr w14:paraId="68BF1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000" w:type="pct"/>
            <w:gridSpan w:val="4"/>
            <w:tcBorders>
              <w:top w:val="single" w:color="000000" w:sz="2" w:space="0"/>
              <w:left w:val="single" w:color="000000" w:sz="2" w:space="0"/>
              <w:bottom w:val="single" w:color="000000" w:sz="2" w:space="0"/>
              <w:right w:val="single" w:color="000000" w:sz="2" w:space="0"/>
            </w:tcBorders>
            <w:noWrap w:val="0"/>
            <w:vAlign w:val="center"/>
          </w:tcPr>
          <w:p w14:paraId="5B9754AF">
            <w:pPr>
              <w:widowControl/>
              <w:kinsoku w:val="0"/>
              <w:autoSpaceDE w:val="0"/>
              <w:autoSpaceDN w:val="0"/>
              <w:adjustRightInd w:val="0"/>
              <w:spacing w:line="560" w:lineRule="exact"/>
              <w:jc w:val="center"/>
              <w:textAlignment w:val="baseline"/>
              <w:rPr>
                <w:rFonts w:ascii="黑体" w:hAnsi="黑体" w:eastAsia="黑体" w:cs="Arial"/>
                <w:color w:val="auto"/>
                <w:kern w:val="0"/>
                <w:sz w:val="24"/>
                <w:highlight w:val="none"/>
              </w:rPr>
            </w:pPr>
            <w:r>
              <w:rPr>
                <w:rFonts w:hint="eastAsia" w:ascii="黑体" w:hAnsi="黑体" w:eastAsia="黑体" w:cs="Arial"/>
                <w:color w:val="auto"/>
                <w:spacing w:val="-1"/>
                <w:kern w:val="0"/>
                <w:sz w:val="24"/>
                <w:highlight w:val="none"/>
              </w:rPr>
              <w:t>履约验收方案及工作要求</w:t>
            </w:r>
          </w:p>
        </w:tc>
      </w:tr>
      <w:tr w14:paraId="6CD35C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0" w:hRule="atLeast"/>
        </w:trPr>
        <w:tc>
          <w:tcPr>
            <w:tcW w:w="5000" w:type="pct"/>
            <w:gridSpan w:val="4"/>
            <w:tcBorders>
              <w:top w:val="single" w:color="000000" w:sz="2" w:space="0"/>
              <w:left w:val="single" w:color="000000" w:sz="2" w:space="0"/>
              <w:bottom w:val="single" w:color="000000" w:sz="2" w:space="0"/>
              <w:right w:val="single" w:color="000000" w:sz="2" w:space="0"/>
            </w:tcBorders>
            <w:noWrap w:val="0"/>
            <w:vAlign w:val="top"/>
          </w:tcPr>
          <w:p w14:paraId="338E7496">
            <w:pPr>
              <w:widowControl/>
              <w:kinsoku w:val="0"/>
              <w:autoSpaceDE w:val="0"/>
              <w:autoSpaceDN w:val="0"/>
              <w:adjustRightInd w:val="0"/>
              <w:spacing w:line="560" w:lineRule="exact"/>
              <w:jc w:val="left"/>
              <w:textAlignment w:val="baseline"/>
              <w:rPr>
                <w:rFonts w:ascii="Arial" w:hAnsi="Arial" w:eastAsia="Times New Roman" w:cs="Arial"/>
                <w:color w:val="auto"/>
                <w:kern w:val="0"/>
                <w:sz w:val="24"/>
                <w:highlight w:val="none"/>
              </w:rPr>
            </w:pPr>
          </w:p>
          <w:p w14:paraId="7A55CA0D">
            <w:pPr>
              <w:widowControl/>
              <w:kinsoku w:val="0"/>
              <w:autoSpaceDE w:val="0"/>
              <w:autoSpaceDN w:val="0"/>
              <w:adjustRightInd w:val="0"/>
              <w:spacing w:line="560" w:lineRule="exact"/>
              <w:jc w:val="left"/>
              <w:textAlignment w:val="baseline"/>
              <w:rPr>
                <w:rFonts w:ascii="Arial" w:hAnsi="Arial" w:eastAsia="Times New Roman" w:cs="Arial"/>
                <w:color w:val="auto"/>
                <w:kern w:val="0"/>
                <w:sz w:val="24"/>
                <w:highlight w:val="none"/>
              </w:rPr>
            </w:pPr>
          </w:p>
          <w:p w14:paraId="0CB43482">
            <w:pPr>
              <w:widowControl/>
              <w:kinsoku w:val="0"/>
              <w:autoSpaceDE w:val="0"/>
              <w:autoSpaceDN w:val="0"/>
              <w:adjustRightInd w:val="0"/>
              <w:spacing w:line="560" w:lineRule="exact"/>
              <w:jc w:val="left"/>
              <w:textAlignment w:val="baseline"/>
              <w:rPr>
                <w:rFonts w:ascii="Arial" w:hAnsi="Arial" w:eastAsia="等线" w:cs="Arial"/>
                <w:color w:val="auto"/>
                <w:kern w:val="0"/>
                <w:sz w:val="24"/>
                <w:highlight w:val="none"/>
              </w:rPr>
            </w:pPr>
          </w:p>
          <w:p w14:paraId="446BEE92">
            <w:pPr>
              <w:widowControl/>
              <w:kinsoku w:val="0"/>
              <w:autoSpaceDE w:val="0"/>
              <w:autoSpaceDN w:val="0"/>
              <w:adjustRightInd w:val="0"/>
              <w:spacing w:line="560" w:lineRule="exact"/>
              <w:jc w:val="left"/>
              <w:textAlignment w:val="baseline"/>
              <w:rPr>
                <w:rFonts w:hint="eastAsia" w:ascii="Arial" w:hAnsi="Arial" w:eastAsia="等线" w:cs="Arial"/>
                <w:color w:val="auto"/>
                <w:kern w:val="0"/>
                <w:sz w:val="24"/>
                <w:highlight w:val="none"/>
              </w:rPr>
            </w:pPr>
          </w:p>
          <w:p w14:paraId="7440A0BC">
            <w:pPr>
              <w:widowControl/>
              <w:kinsoku w:val="0"/>
              <w:autoSpaceDE w:val="0"/>
              <w:autoSpaceDN w:val="0"/>
              <w:adjustRightInd w:val="0"/>
              <w:spacing w:line="560" w:lineRule="exact"/>
              <w:jc w:val="left"/>
              <w:textAlignment w:val="baseline"/>
              <w:rPr>
                <w:rFonts w:ascii="Arial" w:hAnsi="Arial" w:eastAsia="Times New Roman" w:cs="Arial"/>
                <w:color w:val="auto"/>
                <w:kern w:val="0"/>
                <w:sz w:val="24"/>
                <w:highlight w:val="none"/>
              </w:rPr>
            </w:pPr>
          </w:p>
          <w:p w14:paraId="5F6773BE">
            <w:pPr>
              <w:widowControl/>
              <w:kinsoku w:val="0"/>
              <w:autoSpaceDE w:val="0"/>
              <w:autoSpaceDN w:val="0"/>
              <w:adjustRightInd w:val="0"/>
              <w:spacing w:before="91" w:line="560" w:lineRule="exact"/>
              <w:ind w:left="5545" w:right="1890" w:hanging="561"/>
              <w:jc w:val="left"/>
              <w:textAlignment w:val="baseline"/>
              <w:rPr>
                <w:rFonts w:ascii="黑体" w:hAnsi="黑体" w:eastAsia="黑体" w:cs="Arial"/>
                <w:color w:val="auto"/>
                <w:spacing w:val="-2"/>
                <w:kern w:val="0"/>
                <w:sz w:val="24"/>
                <w:highlight w:val="none"/>
              </w:rPr>
            </w:pPr>
          </w:p>
          <w:p w14:paraId="390E1173">
            <w:pPr>
              <w:widowControl/>
              <w:kinsoku w:val="0"/>
              <w:autoSpaceDE w:val="0"/>
              <w:autoSpaceDN w:val="0"/>
              <w:adjustRightInd w:val="0"/>
              <w:spacing w:before="91" w:line="560" w:lineRule="exact"/>
              <w:ind w:left="5545" w:right="1890" w:hanging="561"/>
              <w:jc w:val="left"/>
              <w:textAlignment w:val="baseline"/>
              <w:rPr>
                <w:rFonts w:ascii="黑体" w:hAnsi="黑体" w:eastAsia="黑体" w:cs="Arial"/>
                <w:color w:val="auto"/>
                <w:spacing w:val="-2"/>
                <w:kern w:val="0"/>
                <w:sz w:val="24"/>
                <w:highlight w:val="none"/>
              </w:rPr>
            </w:pPr>
          </w:p>
          <w:p w14:paraId="30D32E5D">
            <w:pPr>
              <w:widowControl/>
              <w:kinsoku w:val="0"/>
              <w:autoSpaceDE w:val="0"/>
              <w:autoSpaceDN w:val="0"/>
              <w:adjustRightInd w:val="0"/>
              <w:spacing w:before="91" w:line="560" w:lineRule="exact"/>
              <w:ind w:left="105" w:leftChars="50" w:right="1890" w:firstLine="5192" w:firstLineChars="2200"/>
              <w:jc w:val="left"/>
              <w:textAlignment w:val="baseline"/>
              <w:rPr>
                <w:rFonts w:ascii="黑体" w:hAnsi="黑体" w:eastAsia="黑体" w:cs="Arial"/>
                <w:color w:val="auto"/>
                <w:spacing w:val="-2"/>
                <w:kern w:val="0"/>
                <w:sz w:val="24"/>
                <w:highlight w:val="none"/>
              </w:rPr>
            </w:pPr>
            <w:r>
              <w:rPr>
                <w:rFonts w:hint="eastAsia" w:ascii="黑体" w:hAnsi="黑体" w:eastAsia="黑体" w:cs="Arial"/>
                <w:color w:val="auto"/>
                <w:spacing w:val="-2"/>
                <w:kern w:val="0"/>
                <w:sz w:val="24"/>
                <w:highlight w:val="none"/>
              </w:rPr>
              <w:t>单位公章</w:t>
            </w:r>
          </w:p>
          <w:p w14:paraId="0B5DCCB2">
            <w:pPr>
              <w:widowControl/>
              <w:kinsoku w:val="0"/>
              <w:autoSpaceDE w:val="0"/>
              <w:autoSpaceDN w:val="0"/>
              <w:adjustRightInd w:val="0"/>
              <w:spacing w:before="91" w:line="560" w:lineRule="exact"/>
              <w:ind w:left="5545" w:right="1890" w:hanging="561"/>
              <w:jc w:val="left"/>
              <w:textAlignment w:val="baseline"/>
              <w:rPr>
                <w:rFonts w:ascii="黑体" w:hAnsi="黑体" w:eastAsia="黑体" w:cs="Arial"/>
                <w:color w:val="auto"/>
                <w:kern w:val="0"/>
                <w:sz w:val="24"/>
                <w:highlight w:val="none"/>
              </w:rPr>
            </w:pPr>
            <w:r>
              <w:rPr>
                <w:rFonts w:hint="eastAsia" w:ascii="黑体" w:hAnsi="黑体" w:eastAsia="黑体" w:cs="Arial"/>
                <w:color w:val="auto"/>
                <w:spacing w:val="6"/>
                <w:kern w:val="0"/>
                <w:sz w:val="24"/>
                <w:highlight w:val="none"/>
              </w:rPr>
              <w:t xml:space="preserve"> </w:t>
            </w:r>
            <w:r>
              <w:rPr>
                <w:rFonts w:hint="eastAsia" w:ascii="黑体" w:hAnsi="黑体" w:eastAsia="黑体" w:cs="Arial"/>
                <w:color w:val="auto"/>
                <w:spacing w:val="-10"/>
                <w:kern w:val="0"/>
                <w:sz w:val="24"/>
                <w:highlight w:val="none"/>
              </w:rPr>
              <w:t>年</w:t>
            </w:r>
            <w:r>
              <w:rPr>
                <w:rFonts w:hint="eastAsia" w:ascii="黑体" w:hAnsi="黑体" w:eastAsia="黑体" w:cs="Arial"/>
                <w:color w:val="auto"/>
                <w:spacing w:val="8"/>
                <w:kern w:val="0"/>
                <w:sz w:val="24"/>
                <w:highlight w:val="none"/>
              </w:rPr>
              <w:t xml:space="preserve">  </w:t>
            </w:r>
            <w:r>
              <w:rPr>
                <w:rFonts w:hint="eastAsia" w:ascii="黑体" w:hAnsi="黑体" w:eastAsia="黑体" w:cs="Arial"/>
                <w:color w:val="auto"/>
                <w:spacing w:val="-10"/>
                <w:kern w:val="0"/>
                <w:sz w:val="24"/>
                <w:highlight w:val="none"/>
              </w:rPr>
              <w:t>月</w:t>
            </w:r>
            <w:r>
              <w:rPr>
                <w:rFonts w:hint="eastAsia" w:ascii="黑体" w:hAnsi="黑体" w:eastAsia="黑体" w:cs="Arial"/>
                <w:color w:val="auto"/>
                <w:spacing w:val="28"/>
                <w:kern w:val="0"/>
                <w:sz w:val="24"/>
                <w:highlight w:val="none"/>
              </w:rPr>
              <w:t xml:space="preserve">  </w:t>
            </w:r>
            <w:r>
              <w:rPr>
                <w:rFonts w:hint="eastAsia" w:ascii="黑体" w:hAnsi="黑体" w:eastAsia="黑体" w:cs="Arial"/>
                <w:color w:val="auto"/>
                <w:spacing w:val="-10"/>
                <w:kern w:val="0"/>
                <w:sz w:val="24"/>
                <w:highlight w:val="none"/>
              </w:rPr>
              <w:t>日</w:t>
            </w:r>
          </w:p>
        </w:tc>
      </w:tr>
    </w:tbl>
    <w:p w14:paraId="13784EB2">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hint="eastAsia" w:ascii="宋体" w:hAnsi="宋体" w:cs="宋体"/>
          <w:color w:val="auto"/>
          <w:sz w:val="24"/>
          <w:szCs w:val="24"/>
          <w:highlight w:val="none"/>
        </w:rPr>
        <w:sectPr>
          <w:pgSz w:w="11905" w:h="16838"/>
          <w:pgMar w:top="1417" w:right="1701" w:bottom="1417" w:left="1797" w:header="851" w:footer="850" w:gutter="0"/>
          <w:pgBorders>
            <w:top w:val="none" w:sz="0" w:space="0"/>
            <w:left w:val="none" w:sz="0" w:space="0"/>
            <w:bottom w:val="none" w:sz="0" w:space="0"/>
            <w:right w:val="none" w:sz="0" w:space="0"/>
          </w:pgBorders>
          <w:pgNumType w:fmt="decimal"/>
          <w:cols w:space="720" w:num="1"/>
          <w:rtlGutter w:val="0"/>
          <w:docGrid w:linePitch="0" w:charSpace="0"/>
        </w:sectPr>
      </w:pPr>
    </w:p>
    <w:p w14:paraId="3CF9068F">
      <w:pPr>
        <w:kinsoku w:val="0"/>
        <w:overflowPunct w:val="0"/>
        <w:autoSpaceDE w:val="0"/>
        <w:autoSpaceDN w:val="0"/>
        <w:adjustRightInd w:val="0"/>
        <w:spacing w:line="440" w:lineRule="exact"/>
        <w:rPr>
          <w:rFonts w:hint="eastAsia" w:ascii="宋体" w:hAnsi="宋体" w:eastAsia="宋体" w:cs="宋体"/>
          <w:b/>
          <w:bCs/>
          <w:color w:val="auto"/>
          <w:spacing w:val="-4"/>
          <w:sz w:val="24"/>
          <w:highlight w:val="none"/>
          <w:lang w:eastAsia="zh-CN"/>
        </w:rPr>
      </w:pPr>
      <w:r>
        <w:rPr>
          <w:rFonts w:hint="default" w:ascii="宋体" w:hAnsi="宋体" w:eastAsia="宋体" w:cs="宋体"/>
          <w:b/>
          <w:bCs/>
          <w:color w:val="auto"/>
          <w:spacing w:val="-4"/>
          <w:sz w:val="24"/>
          <w:highlight w:val="none"/>
        </w:rPr>
        <w:t>附件</w:t>
      </w:r>
      <w:r>
        <w:rPr>
          <w:rFonts w:hint="eastAsia" w:ascii="宋体" w:hAnsi="宋体" w:eastAsia="宋体" w:cs="宋体"/>
          <w:b/>
          <w:bCs/>
          <w:color w:val="auto"/>
          <w:spacing w:val="-4"/>
          <w:sz w:val="24"/>
          <w:highlight w:val="none"/>
          <w:lang w:val="en-US" w:eastAsia="zh-CN"/>
        </w:rPr>
        <w:t>3</w:t>
      </w:r>
      <w:r>
        <w:rPr>
          <w:rFonts w:hint="default" w:ascii="宋体" w:hAnsi="宋体" w:eastAsia="宋体" w:cs="宋体"/>
          <w:b/>
          <w:bCs/>
          <w:color w:val="auto"/>
          <w:spacing w:val="-4"/>
          <w:sz w:val="24"/>
          <w:highlight w:val="none"/>
        </w:rPr>
        <w:t>-</w:t>
      </w:r>
      <w:r>
        <w:rPr>
          <w:rFonts w:hint="eastAsia" w:ascii="宋体" w:hAnsi="宋体" w:eastAsia="宋体" w:cs="宋体"/>
          <w:b/>
          <w:bCs/>
          <w:color w:val="auto"/>
          <w:spacing w:val="-4"/>
          <w:sz w:val="24"/>
          <w:highlight w:val="none"/>
          <w:lang w:val="en-US" w:eastAsia="zh-CN"/>
        </w:rPr>
        <w:t>2：</w:t>
      </w:r>
    </w:p>
    <w:p w14:paraId="25F8EB4D">
      <w:pPr>
        <w:spacing w:line="560" w:lineRule="exact"/>
        <w:jc w:val="center"/>
        <w:rPr>
          <w:rFonts w:hint="eastAsia" w:ascii="方正小标宋简体" w:hAnsi="Arial" w:eastAsia="方正小标宋简体" w:cs="Arial"/>
          <w:color w:val="auto"/>
          <w:spacing w:val="9"/>
          <w:kern w:val="0"/>
          <w:sz w:val="36"/>
          <w:szCs w:val="36"/>
          <w:highlight w:val="none"/>
        </w:rPr>
      </w:pPr>
      <w:r>
        <w:rPr>
          <w:rFonts w:hint="eastAsia" w:ascii="方正小标宋简体" w:hAnsi="Arial" w:eastAsia="方正小标宋简体" w:cs="Arial"/>
          <w:color w:val="auto"/>
          <w:spacing w:val="9"/>
          <w:kern w:val="0"/>
          <w:sz w:val="36"/>
          <w:szCs w:val="36"/>
          <w:highlight w:val="none"/>
        </w:rPr>
        <w:t>政府采购履约验收书参考样本(工程类)</w:t>
      </w:r>
    </w:p>
    <w:tbl>
      <w:tblPr>
        <w:tblStyle w:val="8"/>
        <w:tblW w:w="141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812"/>
        <w:gridCol w:w="1972"/>
        <w:gridCol w:w="1842"/>
        <w:gridCol w:w="1432"/>
        <w:gridCol w:w="561"/>
        <w:gridCol w:w="2118"/>
        <w:gridCol w:w="43"/>
        <w:gridCol w:w="2163"/>
        <w:gridCol w:w="2232"/>
      </w:tblGrid>
      <w:tr w14:paraId="169B9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46" w:hRule="atLeast"/>
          <w:jc w:val="center"/>
        </w:trPr>
        <w:tc>
          <w:tcPr>
            <w:tcW w:w="1812" w:type="dxa"/>
            <w:tcBorders>
              <w:tl2br w:val="nil"/>
              <w:tr2bl w:val="nil"/>
            </w:tcBorders>
            <w:noWrap w:val="0"/>
            <w:vAlign w:val="center"/>
          </w:tcPr>
          <w:p w14:paraId="53A86F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采购人</w:t>
            </w:r>
          </w:p>
        </w:tc>
        <w:tc>
          <w:tcPr>
            <w:tcW w:w="1972" w:type="dxa"/>
            <w:tcBorders>
              <w:tl2br w:val="nil"/>
              <w:tr2bl w:val="nil"/>
            </w:tcBorders>
            <w:noWrap w:val="0"/>
            <w:vAlign w:val="center"/>
          </w:tcPr>
          <w:p w14:paraId="290D6E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c>
          <w:tcPr>
            <w:tcW w:w="1842" w:type="dxa"/>
            <w:tcBorders>
              <w:tl2br w:val="nil"/>
              <w:tr2bl w:val="nil"/>
            </w:tcBorders>
            <w:noWrap w:val="0"/>
            <w:vAlign w:val="center"/>
          </w:tcPr>
          <w:p w14:paraId="27AA34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项目名称</w:t>
            </w:r>
          </w:p>
        </w:tc>
        <w:tc>
          <w:tcPr>
            <w:tcW w:w="1993" w:type="dxa"/>
            <w:gridSpan w:val="2"/>
            <w:tcBorders>
              <w:tl2br w:val="nil"/>
              <w:tr2bl w:val="nil"/>
            </w:tcBorders>
            <w:noWrap w:val="0"/>
            <w:vAlign w:val="center"/>
          </w:tcPr>
          <w:p w14:paraId="158D66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c>
          <w:tcPr>
            <w:tcW w:w="2118" w:type="dxa"/>
            <w:tcBorders>
              <w:tl2br w:val="nil"/>
              <w:tr2bl w:val="nil"/>
            </w:tcBorders>
            <w:noWrap w:val="0"/>
            <w:vAlign w:val="center"/>
          </w:tcPr>
          <w:p w14:paraId="3BCA77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合同名称</w:t>
            </w:r>
          </w:p>
        </w:tc>
        <w:tc>
          <w:tcPr>
            <w:tcW w:w="4438" w:type="dxa"/>
            <w:gridSpan w:val="3"/>
            <w:tcBorders>
              <w:tl2br w:val="nil"/>
              <w:tr2bl w:val="nil"/>
            </w:tcBorders>
            <w:noWrap w:val="0"/>
            <w:vAlign w:val="center"/>
          </w:tcPr>
          <w:p w14:paraId="49F534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r>
      <w:tr w14:paraId="254D6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20" w:hRule="atLeast"/>
          <w:jc w:val="center"/>
        </w:trPr>
        <w:tc>
          <w:tcPr>
            <w:tcW w:w="1812" w:type="dxa"/>
            <w:tcBorders>
              <w:tl2br w:val="nil"/>
              <w:tr2bl w:val="nil"/>
            </w:tcBorders>
            <w:noWrap w:val="0"/>
            <w:vAlign w:val="center"/>
          </w:tcPr>
          <w:p w14:paraId="77B8B8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供应商</w:t>
            </w:r>
          </w:p>
        </w:tc>
        <w:tc>
          <w:tcPr>
            <w:tcW w:w="1972" w:type="dxa"/>
            <w:tcBorders>
              <w:tl2br w:val="nil"/>
              <w:tr2bl w:val="nil"/>
            </w:tcBorders>
            <w:noWrap w:val="0"/>
            <w:vAlign w:val="center"/>
          </w:tcPr>
          <w:p w14:paraId="53D4EC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c>
          <w:tcPr>
            <w:tcW w:w="1842" w:type="dxa"/>
            <w:tcBorders>
              <w:tl2br w:val="nil"/>
              <w:tr2bl w:val="nil"/>
            </w:tcBorders>
            <w:noWrap w:val="0"/>
            <w:vAlign w:val="center"/>
          </w:tcPr>
          <w:p w14:paraId="059AB6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项目及合同编号</w:t>
            </w:r>
          </w:p>
        </w:tc>
        <w:tc>
          <w:tcPr>
            <w:tcW w:w="1993" w:type="dxa"/>
            <w:gridSpan w:val="2"/>
            <w:tcBorders>
              <w:tl2br w:val="nil"/>
              <w:tr2bl w:val="nil"/>
            </w:tcBorders>
            <w:noWrap w:val="0"/>
            <w:vAlign w:val="center"/>
          </w:tcPr>
          <w:p w14:paraId="760764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c>
          <w:tcPr>
            <w:tcW w:w="2118" w:type="dxa"/>
            <w:tcBorders>
              <w:tl2br w:val="nil"/>
              <w:tr2bl w:val="nil"/>
            </w:tcBorders>
            <w:noWrap w:val="0"/>
            <w:vAlign w:val="center"/>
          </w:tcPr>
          <w:p w14:paraId="790649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合同金额</w:t>
            </w:r>
          </w:p>
        </w:tc>
        <w:tc>
          <w:tcPr>
            <w:tcW w:w="4438" w:type="dxa"/>
            <w:gridSpan w:val="3"/>
            <w:tcBorders>
              <w:tl2br w:val="nil"/>
              <w:tr2bl w:val="nil"/>
            </w:tcBorders>
            <w:noWrap w:val="0"/>
            <w:vAlign w:val="center"/>
          </w:tcPr>
          <w:p w14:paraId="49319F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r>
      <w:tr w14:paraId="392D4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40" w:hRule="atLeast"/>
          <w:jc w:val="center"/>
        </w:trPr>
        <w:tc>
          <w:tcPr>
            <w:tcW w:w="1812" w:type="dxa"/>
            <w:tcBorders>
              <w:tl2br w:val="nil"/>
              <w:tr2bl w:val="nil"/>
            </w:tcBorders>
            <w:noWrap w:val="0"/>
            <w:vAlign w:val="center"/>
          </w:tcPr>
          <w:p w14:paraId="7CFA0C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分期（段）验收</w:t>
            </w:r>
          </w:p>
        </w:tc>
        <w:tc>
          <w:tcPr>
            <w:tcW w:w="1972" w:type="dxa"/>
            <w:tcBorders>
              <w:tl2br w:val="nil"/>
              <w:tr2bl w:val="nil"/>
            </w:tcBorders>
            <w:noWrap w:val="0"/>
            <w:vAlign w:val="center"/>
          </w:tcPr>
          <w:p w14:paraId="6087AE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是□   否□</w:t>
            </w:r>
          </w:p>
        </w:tc>
        <w:tc>
          <w:tcPr>
            <w:tcW w:w="1842" w:type="dxa"/>
            <w:tcBorders>
              <w:tl2br w:val="nil"/>
              <w:tr2bl w:val="nil"/>
            </w:tcBorders>
            <w:noWrap w:val="0"/>
            <w:vAlign w:val="center"/>
          </w:tcPr>
          <w:p w14:paraId="3DFE58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分期（段）情况</w:t>
            </w:r>
          </w:p>
        </w:tc>
        <w:tc>
          <w:tcPr>
            <w:tcW w:w="8549" w:type="dxa"/>
            <w:gridSpan w:val="6"/>
            <w:tcBorders>
              <w:tl2br w:val="nil"/>
              <w:tr2bl w:val="nil"/>
            </w:tcBorders>
            <w:noWrap w:val="0"/>
            <w:vAlign w:val="center"/>
          </w:tcPr>
          <w:p w14:paraId="753203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共分   期（段），此为第   期（段）验收</w:t>
            </w:r>
          </w:p>
        </w:tc>
      </w:tr>
      <w:tr w14:paraId="5735A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95" w:hRule="atLeast"/>
          <w:jc w:val="center"/>
        </w:trPr>
        <w:tc>
          <w:tcPr>
            <w:tcW w:w="1812" w:type="dxa"/>
            <w:tcBorders>
              <w:tl2br w:val="nil"/>
              <w:tr2bl w:val="nil"/>
            </w:tcBorders>
            <w:noWrap w:val="0"/>
            <w:vAlign w:val="center"/>
          </w:tcPr>
          <w:p w14:paraId="21612A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验收时间</w:t>
            </w:r>
          </w:p>
        </w:tc>
        <w:tc>
          <w:tcPr>
            <w:tcW w:w="1972" w:type="dxa"/>
            <w:tcBorders>
              <w:tl2br w:val="nil"/>
              <w:tr2bl w:val="nil"/>
            </w:tcBorders>
            <w:noWrap w:val="0"/>
            <w:vAlign w:val="center"/>
          </w:tcPr>
          <w:p w14:paraId="5A31E3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c>
          <w:tcPr>
            <w:tcW w:w="1842" w:type="dxa"/>
            <w:tcBorders>
              <w:tl2br w:val="nil"/>
              <w:tr2bl w:val="nil"/>
            </w:tcBorders>
            <w:noWrap w:val="0"/>
            <w:vAlign w:val="center"/>
          </w:tcPr>
          <w:p w14:paraId="64B000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验收地点</w:t>
            </w:r>
          </w:p>
        </w:tc>
        <w:tc>
          <w:tcPr>
            <w:tcW w:w="1993" w:type="dxa"/>
            <w:gridSpan w:val="2"/>
            <w:tcBorders>
              <w:tl2br w:val="nil"/>
              <w:tr2bl w:val="nil"/>
            </w:tcBorders>
            <w:noWrap w:val="0"/>
            <w:vAlign w:val="center"/>
          </w:tcPr>
          <w:p w14:paraId="7B571D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c>
          <w:tcPr>
            <w:tcW w:w="2118" w:type="dxa"/>
            <w:tcBorders>
              <w:tl2br w:val="nil"/>
              <w:tr2bl w:val="nil"/>
            </w:tcBorders>
            <w:noWrap w:val="0"/>
            <w:vAlign w:val="center"/>
          </w:tcPr>
          <w:p w14:paraId="5C0D82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验收组织形式</w:t>
            </w:r>
          </w:p>
        </w:tc>
        <w:tc>
          <w:tcPr>
            <w:tcW w:w="4438" w:type="dxa"/>
            <w:gridSpan w:val="3"/>
            <w:tcBorders>
              <w:tl2br w:val="nil"/>
              <w:tr2bl w:val="nil"/>
            </w:tcBorders>
            <w:noWrap w:val="0"/>
            <w:vAlign w:val="center"/>
          </w:tcPr>
          <w:p w14:paraId="5D5061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□验收小组验收</w:t>
            </w:r>
          </w:p>
          <w:p w14:paraId="3E7C70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  □采购代理机构验收</w:t>
            </w:r>
          </w:p>
        </w:tc>
      </w:tr>
      <w:tr w14:paraId="102D6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26" w:hRule="atLeast"/>
          <w:jc w:val="center"/>
        </w:trPr>
        <w:tc>
          <w:tcPr>
            <w:tcW w:w="1812" w:type="dxa"/>
            <w:vMerge w:val="restart"/>
            <w:tcBorders>
              <w:tl2br w:val="nil"/>
              <w:tr2bl w:val="nil"/>
            </w:tcBorders>
            <w:noWrap w:val="0"/>
            <w:vAlign w:val="center"/>
          </w:tcPr>
          <w:p w14:paraId="66D156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验收内容</w:t>
            </w:r>
          </w:p>
        </w:tc>
        <w:tc>
          <w:tcPr>
            <w:tcW w:w="1972" w:type="dxa"/>
            <w:tcBorders>
              <w:tl2br w:val="nil"/>
              <w:tr2bl w:val="nil"/>
            </w:tcBorders>
            <w:noWrap w:val="0"/>
            <w:vAlign w:val="center"/>
          </w:tcPr>
          <w:p w14:paraId="79FF4C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施工内容</w:t>
            </w:r>
          </w:p>
        </w:tc>
        <w:tc>
          <w:tcPr>
            <w:tcW w:w="1842" w:type="dxa"/>
            <w:tcBorders>
              <w:tl2br w:val="nil"/>
              <w:tr2bl w:val="nil"/>
            </w:tcBorders>
            <w:noWrap w:val="0"/>
            <w:vAlign w:val="center"/>
          </w:tcPr>
          <w:p w14:paraId="3EFB1F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施工进度</w:t>
            </w:r>
          </w:p>
        </w:tc>
        <w:tc>
          <w:tcPr>
            <w:tcW w:w="1993" w:type="dxa"/>
            <w:gridSpan w:val="2"/>
            <w:tcBorders>
              <w:tl2br w:val="nil"/>
              <w:tr2bl w:val="nil"/>
            </w:tcBorders>
            <w:noWrap w:val="0"/>
            <w:vAlign w:val="center"/>
          </w:tcPr>
          <w:p w14:paraId="6C0A05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施工质量</w:t>
            </w:r>
          </w:p>
        </w:tc>
        <w:tc>
          <w:tcPr>
            <w:tcW w:w="2161" w:type="dxa"/>
            <w:gridSpan w:val="2"/>
            <w:tcBorders>
              <w:tl2br w:val="nil"/>
              <w:tr2bl w:val="nil"/>
            </w:tcBorders>
            <w:noWrap w:val="0"/>
            <w:vAlign w:val="center"/>
          </w:tcPr>
          <w:p w14:paraId="519A1B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施工人员</w:t>
            </w:r>
          </w:p>
          <w:p w14:paraId="2696DC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配备情况</w:t>
            </w:r>
          </w:p>
        </w:tc>
        <w:tc>
          <w:tcPr>
            <w:tcW w:w="2163" w:type="dxa"/>
            <w:tcBorders>
              <w:tl2br w:val="nil"/>
              <w:tr2bl w:val="nil"/>
            </w:tcBorders>
            <w:noWrap w:val="0"/>
            <w:vAlign w:val="center"/>
          </w:tcPr>
          <w:p w14:paraId="3053E5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施工设备</w:t>
            </w:r>
          </w:p>
          <w:p w14:paraId="231444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配备情况</w:t>
            </w:r>
          </w:p>
        </w:tc>
        <w:tc>
          <w:tcPr>
            <w:tcW w:w="2232" w:type="dxa"/>
            <w:tcBorders>
              <w:tl2br w:val="nil"/>
              <w:tr2bl w:val="nil"/>
            </w:tcBorders>
            <w:noWrap w:val="0"/>
            <w:vAlign w:val="center"/>
          </w:tcPr>
          <w:p w14:paraId="0983B2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安全文明标准</w:t>
            </w:r>
          </w:p>
        </w:tc>
      </w:tr>
      <w:tr w14:paraId="1E55C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3" w:hRule="atLeast"/>
          <w:jc w:val="center"/>
        </w:trPr>
        <w:tc>
          <w:tcPr>
            <w:tcW w:w="1812" w:type="dxa"/>
            <w:vMerge w:val="continue"/>
            <w:tcBorders>
              <w:tl2br w:val="nil"/>
              <w:tr2bl w:val="nil"/>
            </w:tcBorders>
            <w:noWrap w:val="0"/>
            <w:vAlign w:val="center"/>
          </w:tcPr>
          <w:p w14:paraId="753616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p>
        </w:tc>
        <w:tc>
          <w:tcPr>
            <w:tcW w:w="1972" w:type="dxa"/>
            <w:tcBorders>
              <w:tl2br w:val="nil"/>
              <w:tr2bl w:val="nil"/>
            </w:tcBorders>
            <w:noWrap w:val="0"/>
            <w:vAlign w:val="center"/>
          </w:tcPr>
          <w:p w14:paraId="20141F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合格□ </w:t>
            </w:r>
          </w:p>
          <w:p w14:paraId="4D1B19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不合格□</w:t>
            </w:r>
          </w:p>
        </w:tc>
        <w:tc>
          <w:tcPr>
            <w:tcW w:w="1842" w:type="dxa"/>
            <w:tcBorders>
              <w:tl2br w:val="nil"/>
              <w:tr2bl w:val="nil"/>
            </w:tcBorders>
            <w:noWrap w:val="0"/>
            <w:vAlign w:val="center"/>
          </w:tcPr>
          <w:p w14:paraId="1422E0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合  格□</w:t>
            </w:r>
          </w:p>
          <w:p w14:paraId="7B44DA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不合格□</w:t>
            </w:r>
          </w:p>
        </w:tc>
        <w:tc>
          <w:tcPr>
            <w:tcW w:w="1993" w:type="dxa"/>
            <w:gridSpan w:val="2"/>
            <w:tcBorders>
              <w:tl2br w:val="nil"/>
              <w:tr2bl w:val="nil"/>
            </w:tcBorders>
            <w:noWrap w:val="0"/>
            <w:vAlign w:val="center"/>
          </w:tcPr>
          <w:p w14:paraId="4F6D8E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合  格□</w:t>
            </w:r>
          </w:p>
          <w:p w14:paraId="082876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不合格□</w:t>
            </w:r>
          </w:p>
        </w:tc>
        <w:tc>
          <w:tcPr>
            <w:tcW w:w="2161" w:type="dxa"/>
            <w:gridSpan w:val="2"/>
            <w:tcBorders>
              <w:tl2br w:val="nil"/>
              <w:tr2bl w:val="nil"/>
            </w:tcBorders>
            <w:noWrap w:val="0"/>
            <w:vAlign w:val="center"/>
          </w:tcPr>
          <w:p w14:paraId="774CC4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合  格□</w:t>
            </w:r>
          </w:p>
          <w:p w14:paraId="6CF24B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不合格□</w:t>
            </w:r>
          </w:p>
        </w:tc>
        <w:tc>
          <w:tcPr>
            <w:tcW w:w="2163" w:type="dxa"/>
            <w:tcBorders>
              <w:tl2br w:val="nil"/>
              <w:tr2bl w:val="nil"/>
            </w:tcBorders>
            <w:noWrap w:val="0"/>
            <w:vAlign w:val="center"/>
          </w:tcPr>
          <w:p w14:paraId="6A627D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合  格□</w:t>
            </w:r>
          </w:p>
          <w:p w14:paraId="4AB9C4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不合格□</w:t>
            </w:r>
          </w:p>
        </w:tc>
        <w:tc>
          <w:tcPr>
            <w:tcW w:w="2232" w:type="dxa"/>
            <w:tcBorders>
              <w:tl2br w:val="nil"/>
              <w:tr2bl w:val="nil"/>
            </w:tcBorders>
            <w:noWrap w:val="0"/>
            <w:vAlign w:val="center"/>
          </w:tcPr>
          <w:p w14:paraId="34116B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合  格□</w:t>
            </w:r>
          </w:p>
          <w:p w14:paraId="08B4C3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不合格□</w:t>
            </w:r>
          </w:p>
        </w:tc>
      </w:tr>
      <w:tr w14:paraId="6C720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85" w:hRule="atLeast"/>
          <w:jc w:val="center"/>
        </w:trPr>
        <w:tc>
          <w:tcPr>
            <w:tcW w:w="1812" w:type="dxa"/>
            <w:tcBorders>
              <w:tl2br w:val="nil"/>
              <w:tr2bl w:val="nil"/>
            </w:tcBorders>
            <w:noWrap w:val="0"/>
            <w:vAlign w:val="center"/>
          </w:tcPr>
          <w:p w14:paraId="78DA83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采购代理机构</w:t>
            </w:r>
          </w:p>
          <w:p w14:paraId="7D5BC9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情况说明</w:t>
            </w:r>
          </w:p>
        </w:tc>
        <w:tc>
          <w:tcPr>
            <w:tcW w:w="12363" w:type="dxa"/>
            <w:gridSpan w:val="8"/>
            <w:tcBorders>
              <w:tl2br w:val="nil"/>
              <w:tr2bl w:val="nil"/>
            </w:tcBorders>
            <w:noWrap w:val="0"/>
            <w:vAlign w:val="center"/>
          </w:tcPr>
          <w:p w14:paraId="2CE5B7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（设计、监理等机构可根据实际情况，出具相关意见）</w:t>
            </w:r>
          </w:p>
        </w:tc>
      </w:tr>
      <w:tr w14:paraId="597C5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60" w:hRule="atLeast"/>
          <w:jc w:val="center"/>
        </w:trPr>
        <w:tc>
          <w:tcPr>
            <w:tcW w:w="1812" w:type="dxa"/>
            <w:tcBorders>
              <w:tl2br w:val="nil"/>
              <w:tr2bl w:val="nil"/>
            </w:tcBorders>
            <w:noWrap w:val="0"/>
            <w:vAlign w:val="center"/>
          </w:tcPr>
          <w:p w14:paraId="45D0EE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存在问题和</w:t>
            </w:r>
          </w:p>
          <w:p w14:paraId="3B1995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改进意见</w:t>
            </w:r>
          </w:p>
        </w:tc>
        <w:tc>
          <w:tcPr>
            <w:tcW w:w="12363" w:type="dxa"/>
            <w:gridSpan w:val="8"/>
            <w:tcBorders>
              <w:tl2br w:val="nil"/>
              <w:tr2bl w:val="nil"/>
            </w:tcBorders>
            <w:noWrap w:val="0"/>
            <w:vAlign w:val="center"/>
          </w:tcPr>
          <w:p w14:paraId="46BDC7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r>
      <w:tr w14:paraId="61DE6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79" w:hRule="atLeast"/>
          <w:jc w:val="center"/>
        </w:trPr>
        <w:tc>
          <w:tcPr>
            <w:tcW w:w="1812" w:type="dxa"/>
            <w:tcBorders>
              <w:tl2br w:val="nil"/>
              <w:tr2bl w:val="nil"/>
            </w:tcBorders>
            <w:noWrap w:val="0"/>
            <w:vAlign w:val="center"/>
          </w:tcPr>
          <w:p w14:paraId="0C9C86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最终结论</w:t>
            </w:r>
          </w:p>
        </w:tc>
        <w:tc>
          <w:tcPr>
            <w:tcW w:w="12363" w:type="dxa"/>
            <w:gridSpan w:val="8"/>
            <w:tcBorders>
              <w:tl2br w:val="nil"/>
              <w:tr2bl w:val="nil"/>
            </w:tcBorders>
            <w:noWrap w:val="0"/>
            <w:vAlign w:val="center"/>
          </w:tcPr>
          <w:p w14:paraId="0BFC94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合  格□                              不合格□</w:t>
            </w:r>
          </w:p>
        </w:tc>
      </w:tr>
      <w:tr w14:paraId="5C804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85" w:hRule="atLeast"/>
          <w:jc w:val="center"/>
        </w:trPr>
        <w:tc>
          <w:tcPr>
            <w:tcW w:w="1812" w:type="dxa"/>
            <w:tcBorders>
              <w:tl2br w:val="nil"/>
              <w:tr2bl w:val="nil"/>
            </w:tcBorders>
            <w:noWrap w:val="0"/>
            <w:vAlign w:val="center"/>
          </w:tcPr>
          <w:p w14:paraId="08BED0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验收小组成员</w:t>
            </w:r>
          </w:p>
          <w:p w14:paraId="3F80C8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签字</w:t>
            </w:r>
          </w:p>
        </w:tc>
        <w:tc>
          <w:tcPr>
            <w:tcW w:w="12363" w:type="dxa"/>
            <w:gridSpan w:val="8"/>
            <w:tcBorders>
              <w:tl2br w:val="nil"/>
              <w:tr2bl w:val="nil"/>
            </w:tcBorders>
            <w:noWrap w:val="0"/>
            <w:vAlign w:val="center"/>
          </w:tcPr>
          <w:p w14:paraId="453B6E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p>
        </w:tc>
      </w:tr>
      <w:tr w14:paraId="54B5C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19" w:hRule="atLeast"/>
          <w:jc w:val="center"/>
        </w:trPr>
        <w:tc>
          <w:tcPr>
            <w:tcW w:w="7058" w:type="dxa"/>
            <w:gridSpan w:val="4"/>
            <w:tcBorders>
              <w:tl2br w:val="nil"/>
              <w:tr2bl w:val="nil"/>
            </w:tcBorders>
            <w:noWrap w:val="0"/>
            <w:vAlign w:val="center"/>
          </w:tcPr>
          <w:p w14:paraId="24D271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采购代理机构意见</w:t>
            </w:r>
          </w:p>
        </w:tc>
        <w:tc>
          <w:tcPr>
            <w:tcW w:w="7117" w:type="dxa"/>
            <w:gridSpan w:val="5"/>
            <w:tcBorders>
              <w:tl2br w:val="nil"/>
              <w:tr2bl w:val="nil"/>
            </w:tcBorders>
            <w:noWrap w:val="0"/>
            <w:vAlign w:val="center"/>
          </w:tcPr>
          <w:p w14:paraId="087154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采购人意见</w:t>
            </w:r>
          </w:p>
        </w:tc>
      </w:tr>
      <w:tr w14:paraId="0EE37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921" w:hRule="atLeast"/>
          <w:jc w:val="center"/>
        </w:trPr>
        <w:tc>
          <w:tcPr>
            <w:tcW w:w="7058" w:type="dxa"/>
            <w:gridSpan w:val="4"/>
            <w:tcBorders>
              <w:tl2br w:val="nil"/>
              <w:tr2bl w:val="nil"/>
            </w:tcBorders>
            <w:noWrap w:val="0"/>
            <w:vAlign w:val="center"/>
          </w:tcPr>
          <w:p w14:paraId="1F427E4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经办人：         负责人：          （采购代理机构公章）</w:t>
            </w:r>
          </w:p>
        </w:tc>
        <w:tc>
          <w:tcPr>
            <w:tcW w:w="7117" w:type="dxa"/>
            <w:gridSpan w:val="5"/>
            <w:tcBorders>
              <w:tl2br w:val="nil"/>
              <w:tr2bl w:val="nil"/>
            </w:tcBorders>
            <w:noWrap w:val="0"/>
            <w:vAlign w:val="center"/>
          </w:tcPr>
          <w:p w14:paraId="69F412C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经办人：       负责人：               （采购人公章）</w:t>
            </w:r>
          </w:p>
        </w:tc>
      </w:tr>
      <w:tr w14:paraId="6B3F0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654" w:hRule="atLeast"/>
          <w:jc w:val="center"/>
        </w:trPr>
        <w:tc>
          <w:tcPr>
            <w:tcW w:w="14175" w:type="dxa"/>
            <w:gridSpan w:val="9"/>
            <w:tcBorders>
              <w:tl2br w:val="nil"/>
              <w:tr2bl w:val="nil"/>
            </w:tcBorders>
            <w:noWrap w:val="0"/>
            <w:vAlign w:val="top"/>
          </w:tcPr>
          <w:p w14:paraId="52CC6FF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供应商确认：</w:t>
            </w:r>
          </w:p>
          <w:p w14:paraId="518FC62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color w:val="auto"/>
                <w:kern w:val="0"/>
                <w:sz w:val="21"/>
                <w:szCs w:val="21"/>
                <w:highlight w:val="none"/>
                <w:lang w:bidi="ar"/>
              </w:rPr>
            </w:pPr>
          </w:p>
          <w:p w14:paraId="36C2864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color w:val="auto"/>
                <w:kern w:val="0"/>
                <w:sz w:val="21"/>
                <w:szCs w:val="21"/>
                <w:highlight w:val="none"/>
                <w:lang w:bidi="ar"/>
              </w:rPr>
            </w:pPr>
          </w:p>
          <w:p w14:paraId="4414CAC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（单位公章或授权代表签字）</w:t>
            </w:r>
          </w:p>
        </w:tc>
      </w:tr>
    </w:tbl>
    <w:p w14:paraId="3C0B44CF">
      <w:pPr>
        <w:spacing w:line="560" w:lineRule="exact"/>
        <w:jc w:val="left"/>
        <w:rPr>
          <w:rFonts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说明：</w:t>
      </w:r>
      <w:r>
        <w:rPr>
          <w:rFonts w:ascii="宋体" w:hAnsi="宋体" w:cs="宋体"/>
          <w:b/>
          <w:bCs/>
          <w:color w:val="auto"/>
          <w:kern w:val="0"/>
          <w:sz w:val="20"/>
          <w:szCs w:val="20"/>
          <w:highlight w:val="none"/>
          <w:lang w:bidi="ar"/>
        </w:rPr>
        <w:t>1.</w:t>
      </w:r>
      <w:r>
        <w:rPr>
          <w:rFonts w:hint="eastAsia" w:ascii="宋体" w:hAnsi="宋体" w:cs="宋体"/>
          <w:b/>
          <w:bCs/>
          <w:color w:val="auto"/>
          <w:kern w:val="0"/>
          <w:sz w:val="20"/>
          <w:szCs w:val="20"/>
          <w:highlight w:val="none"/>
          <w:lang w:bidi="ar"/>
        </w:rPr>
        <w:t>该表为工程类项目履约验收的参考样表，采购人或采购代理机构可以根据工作实际进行调整。</w:t>
      </w:r>
    </w:p>
    <w:p w14:paraId="64EF7BEB">
      <w:pPr>
        <w:spacing w:line="560" w:lineRule="exact"/>
        <w:ind w:firstLine="602" w:firstLineChars="300"/>
        <w:jc w:val="left"/>
        <w:rPr>
          <w:rFonts w:ascii="宋体" w:hAnsi="宋体" w:cs="宋体"/>
          <w:b/>
          <w:bCs/>
          <w:color w:val="auto"/>
          <w:kern w:val="0"/>
          <w:sz w:val="20"/>
          <w:szCs w:val="20"/>
          <w:highlight w:val="none"/>
          <w:lang w:bidi="ar"/>
        </w:rPr>
      </w:pPr>
      <w:r>
        <w:rPr>
          <w:rFonts w:ascii="宋体" w:hAnsi="宋体" w:cs="宋体"/>
          <w:b/>
          <w:bCs/>
          <w:color w:val="auto"/>
          <w:kern w:val="0"/>
          <w:sz w:val="20"/>
          <w:szCs w:val="20"/>
          <w:highlight w:val="none"/>
          <w:lang w:bidi="ar"/>
        </w:rPr>
        <w:t>2.</w:t>
      </w:r>
      <w:r>
        <w:rPr>
          <w:rFonts w:hint="eastAsia" w:ascii="宋体" w:hAnsi="宋体" w:cs="宋体"/>
          <w:b/>
          <w:bCs/>
          <w:color w:val="auto"/>
          <w:kern w:val="0"/>
          <w:sz w:val="20"/>
          <w:szCs w:val="20"/>
          <w:highlight w:val="none"/>
          <w:lang w:bidi="ar"/>
        </w:rPr>
        <w:t>未</w:t>
      </w:r>
      <w:r>
        <w:rPr>
          <w:rFonts w:ascii="宋体" w:hAnsi="宋体" w:cs="宋体"/>
          <w:b/>
          <w:bCs/>
          <w:color w:val="auto"/>
          <w:kern w:val="0"/>
          <w:sz w:val="20"/>
          <w:szCs w:val="20"/>
          <w:highlight w:val="none"/>
          <w:lang w:bidi="ar"/>
        </w:rPr>
        <w:t>委托采购代理机构开展</w:t>
      </w:r>
      <w:r>
        <w:rPr>
          <w:rFonts w:hint="eastAsia" w:ascii="宋体" w:hAnsi="宋体" w:cs="宋体"/>
          <w:b/>
          <w:bCs/>
          <w:color w:val="auto"/>
          <w:kern w:val="0"/>
          <w:sz w:val="20"/>
          <w:szCs w:val="20"/>
          <w:highlight w:val="none"/>
          <w:lang w:bidi="ar"/>
        </w:rPr>
        <w:t>履约验收工作的，无需填写“采购代理机构意见”。</w:t>
      </w:r>
    </w:p>
    <w:p w14:paraId="61532902">
      <w:pPr>
        <w:rPr>
          <w:color w:val="auto"/>
          <w:highlight w:val="none"/>
        </w:rPr>
      </w:pPr>
    </w:p>
    <w:p w14:paraId="4625DA69">
      <w:pPr>
        <w:rPr>
          <w:color w:val="auto"/>
          <w:highlight w:val="none"/>
        </w:rPr>
      </w:pPr>
    </w:p>
    <w:p w14:paraId="1D11D0AD">
      <w:pPr>
        <w:rPr>
          <w:color w:val="auto"/>
          <w:highlight w:val="none"/>
        </w:rPr>
      </w:pPr>
    </w:p>
    <w:p w14:paraId="05D163CC">
      <w:pPr>
        <w:rPr>
          <w:color w:val="auto"/>
          <w:highlight w:val="none"/>
        </w:rPr>
      </w:pPr>
    </w:p>
    <w:p w14:paraId="0139CB7D">
      <w:pPr>
        <w:rPr>
          <w:rFonts w:ascii="宋体" w:hAnsi="宋体" w:cs="宋体"/>
          <w:color w:val="auto"/>
          <w:szCs w:val="21"/>
          <w:highlight w:val="none"/>
        </w:rPr>
      </w:pPr>
    </w:p>
    <w:p w14:paraId="4B326002">
      <w:pPr>
        <w:rPr>
          <w:rFonts w:ascii="宋体" w:hAnsi="宋体" w:cs="宋体"/>
          <w:color w:val="auto"/>
          <w:szCs w:val="21"/>
          <w:highlight w:val="none"/>
        </w:rPr>
      </w:pPr>
    </w:p>
    <w:p w14:paraId="2C5F3775">
      <w:pPr>
        <w:rPr>
          <w:rFonts w:ascii="宋体" w:hAnsi="宋体" w:cs="宋体"/>
          <w:color w:val="auto"/>
          <w:szCs w:val="21"/>
          <w:highlight w:val="none"/>
        </w:rPr>
      </w:pPr>
    </w:p>
    <w:p w14:paraId="3BB18429">
      <w:pPr>
        <w:rPr>
          <w:rFonts w:ascii="宋体" w:hAnsi="宋体" w:cs="宋体"/>
          <w:color w:val="auto"/>
          <w:szCs w:val="21"/>
          <w:highlight w:val="none"/>
        </w:rPr>
      </w:pPr>
    </w:p>
    <w:p w14:paraId="72683780">
      <w:pPr>
        <w:kinsoku w:val="0"/>
        <w:overflowPunct w:val="0"/>
        <w:autoSpaceDE w:val="0"/>
        <w:autoSpaceDN w:val="0"/>
        <w:adjustRightInd w:val="0"/>
        <w:spacing w:line="440" w:lineRule="exact"/>
        <w:rPr>
          <w:rFonts w:hint="default" w:ascii="Times New Roman" w:hAnsi="Times New Roman" w:cs="Times New Roman"/>
          <w:b/>
          <w:bCs/>
          <w:color w:val="auto"/>
          <w:spacing w:val="-4"/>
          <w:sz w:val="24"/>
          <w:szCs w:val="24"/>
          <w:highlight w:val="none"/>
        </w:rPr>
        <w:sectPr>
          <w:pgSz w:w="16838" w:h="11905" w:orient="landscape"/>
          <w:pgMar w:top="1797" w:right="1417" w:bottom="1701" w:left="1417" w:header="851" w:footer="850" w:gutter="0"/>
          <w:pgBorders>
            <w:top w:val="none" w:sz="0" w:space="0"/>
            <w:left w:val="none" w:sz="0" w:space="0"/>
            <w:bottom w:val="none" w:sz="0" w:space="0"/>
            <w:right w:val="none" w:sz="0" w:space="0"/>
          </w:pgBorders>
          <w:pgNumType w:fmt="decimal"/>
          <w:cols w:space="720" w:num="1"/>
          <w:rtlGutter w:val="0"/>
          <w:docGrid w:linePitch="0" w:charSpace="0"/>
        </w:sectPr>
      </w:pPr>
    </w:p>
    <w:p w14:paraId="6A2F19B4">
      <w:pPr>
        <w:kinsoku w:val="0"/>
        <w:overflowPunct w:val="0"/>
        <w:autoSpaceDE w:val="0"/>
        <w:autoSpaceDN w:val="0"/>
        <w:adjustRightInd w:val="0"/>
        <w:spacing w:line="440" w:lineRule="exact"/>
        <w:rPr>
          <w:rFonts w:hint="eastAsia" w:ascii="宋体" w:hAnsi="宋体" w:cs="宋体"/>
          <w:b/>
          <w:bCs/>
          <w:color w:val="auto"/>
          <w:spacing w:val="-4"/>
          <w:sz w:val="24"/>
          <w:highlight w:val="none"/>
        </w:rPr>
      </w:pPr>
      <w:r>
        <w:rPr>
          <w:rFonts w:hint="eastAsia" w:ascii="宋体" w:hAnsi="宋体" w:eastAsia="宋体" w:cs="宋体"/>
          <w:b/>
          <w:bCs/>
          <w:color w:val="auto"/>
          <w:spacing w:val="-4"/>
          <w:sz w:val="24"/>
          <w:highlight w:val="none"/>
        </w:rPr>
        <w:t>附件</w:t>
      </w:r>
      <w:r>
        <w:rPr>
          <w:rFonts w:hint="eastAsia" w:ascii="宋体" w:hAnsi="宋体" w:eastAsia="宋体" w:cs="宋体"/>
          <w:b/>
          <w:bCs/>
          <w:color w:val="auto"/>
          <w:spacing w:val="-4"/>
          <w:sz w:val="24"/>
          <w:highlight w:val="none"/>
          <w:lang w:val="en-US" w:eastAsia="zh-CN"/>
        </w:rPr>
        <w:t>3</w:t>
      </w:r>
      <w:r>
        <w:rPr>
          <w:rFonts w:hint="eastAsia" w:ascii="宋体" w:hAnsi="宋体" w:eastAsia="宋体" w:cs="宋体"/>
          <w:b/>
          <w:bCs/>
          <w:color w:val="auto"/>
          <w:spacing w:val="-4"/>
          <w:sz w:val="24"/>
          <w:highlight w:val="none"/>
        </w:rPr>
        <w:t>：</w:t>
      </w:r>
    </w:p>
    <w:p w14:paraId="7AFADA87">
      <w:pPr>
        <w:kinsoku w:val="0"/>
        <w:overflowPunct w:val="0"/>
        <w:autoSpaceDE w:val="0"/>
        <w:autoSpaceDN w:val="0"/>
        <w:adjustRightInd w:val="0"/>
        <w:spacing w:line="440" w:lineRule="exact"/>
        <w:ind w:right="334"/>
        <w:jc w:val="center"/>
        <w:outlineLvl w:val="1"/>
        <w:rPr>
          <w:rFonts w:hint="eastAsia" w:ascii="宋体" w:hAnsi="宋体" w:cs="宋体"/>
          <w:b/>
          <w:color w:val="auto"/>
          <w:spacing w:val="-10"/>
          <w:w w:val="95"/>
          <w:sz w:val="28"/>
          <w:szCs w:val="28"/>
          <w:highlight w:val="none"/>
        </w:rPr>
      </w:pPr>
      <w:bookmarkStart w:id="649" w:name="廉洁协议"/>
      <w:bookmarkEnd w:id="649"/>
      <w:r>
        <w:rPr>
          <w:rFonts w:hint="eastAsia" w:ascii="宋体" w:hAnsi="宋体" w:cs="宋体"/>
          <w:b/>
          <w:color w:val="auto"/>
          <w:w w:val="95"/>
          <w:sz w:val="28"/>
          <w:szCs w:val="28"/>
          <w:highlight w:val="none"/>
        </w:rPr>
        <w:t>廉洁协</w:t>
      </w:r>
      <w:r>
        <w:rPr>
          <w:rFonts w:hint="eastAsia" w:ascii="宋体" w:hAnsi="宋体" w:cs="宋体"/>
          <w:b/>
          <w:color w:val="auto"/>
          <w:spacing w:val="-10"/>
          <w:w w:val="95"/>
          <w:sz w:val="28"/>
          <w:szCs w:val="28"/>
          <w:highlight w:val="none"/>
        </w:rPr>
        <w:t>议</w:t>
      </w:r>
    </w:p>
    <w:p w14:paraId="10EAC621">
      <w:pPr>
        <w:pStyle w:val="7"/>
        <w:spacing w:line="240" w:lineRule="auto"/>
        <w:rPr>
          <w:color w:val="auto"/>
          <w:highlight w:val="none"/>
        </w:rPr>
      </w:pPr>
    </w:p>
    <w:p w14:paraId="6DA0F05D">
      <w:pPr>
        <w:keepNext w:val="0"/>
        <w:keepLines w:val="0"/>
        <w:pageBreakBefore w:val="0"/>
        <w:widowControl w:val="0"/>
        <w:tabs>
          <w:tab w:val="left" w:pos="8939"/>
          <w:tab w:val="left" w:pos="8999"/>
        </w:tabs>
        <w:kinsoku w:val="0"/>
        <w:wordWrap/>
        <w:overflowPunct w:val="0"/>
        <w:topLinePunct w:val="0"/>
        <w:autoSpaceDE w:val="0"/>
        <w:autoSpaceDN w:val="0"/>
        <w:bidi w:val="0"/>
        <w:adjustRightInd w:val="0"/>
        <w:snapToGrid/>
        <w:spacing w:line="360" w:lineRule="auto"/>
        <w:ind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委托人（甲方）：</w:t>
      </w:r>
      <w:r>
        <w:rPr>
          <w:rFonts w:hint="eastAsia" w:ascii="宋体" w:hAnsi="宋体" w:eastAsia="宋体" w:cs="宋体"/>
          <w:color w:val="auto"/>
          <w:sz w:val="24"/>
          <w:szCs w:val="24"/>
          <w:highlight w:val="none"/>
          <w:u w:val="single"/>
          <w:lang w:val="zh-CN" w:eastAsia="zh-CN"/>
        </w:rPr>
        <w:t>常州市武进区市政公用事业管理处</w:t>
      </w:r>
    </w:p>
    <w:p w14:paraId="7FEE0B6F">
      <w:pPr>
        <w:keepNext w:val="0"/>
        <w:keepLines w:val="0"/>
        <w:pageBreakBefore w:val="0"/>
        <w:widowControl w:val="0"/>
        <w:tabs>
          <w:tab w:val="left" w:pos="8939"/>
          <w:tab w:val="left" w:pos="8999"/>
        </w:tabs>
        <w:kinsoku w:val="0"/>
        <w:wordWrap/>
        <w:overflowPunct w:val="0"/>
        <w:topLinePunct w:val="0"/>
        <w:autoSpaceDE w:val="0"/>
        <w:autoSpaceDN w:val="0"/>
        <w:bidi w:val="0"/>
        <w:adjustRightInd w:val="0"/>
        <w:snapToGrid/>
        <w:spacing w:line="360" w:lineRule="auto"/>
        <w:ind w:right="0"/>
        <w:textAlignment w:val="auto"/>
        <w:rPr>
          <w:rFonts w:hint="default" w:ascii="宋体" w:hAnsi="宋体" w:cs="宋体"/>
          <w:b/>
          <w:color w:val="auto"/>
          <w:sz w:val="24"/>
          <w:highlight w:val="none"/>
          <w:lang w:val="en-US"/>
        </w:rPr>
      </w:pPr>
      <w:r>
        <w:rPr>
          <w:rFonts w:hint="eastAsia" w:ascii="宋体" w:hAnsi="宋体" w:eastAsia="宋体" w:cs="宋体"/>
          <w:color w:val="auto"/>
          <w:spacing w:val="-2"/>
          <w:sz w:val="24"/>
          <w:szCs w:val="24"/>
          <w:highlight w:val="none"/>
        </w:rPr>
        <w:t>受托人（乙方）：</w:t>
      </w:r>
      <w:r>
        <w:rPr>
          <w:rFonts w:hint="eastAsia" w:ascii="宋体" w:hAnsi="宋体" w:eastAsia="宋体" w:cs="宋体"/>
          <w:color w:val="auto"/>
          <w:sz w:val="24"/>
          <w:szCs w:val="24"/>
          <w:highlight w:val="none"/>
          <w:u w:val="single"/>
          <w:lang w:val="zh-CN" w:eastAsia="zh-CN"/>
        </w:rPr>
        <w:t>江苏移动信息系统集成有限公司</w:t>
      </w:r>
    </w:p>
    <w:p w14:paraId="6B99891A">
      <w:pPr>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firstLine="480" w:firstLineChars="200"/>
        <w:textAlignment w:val="auto"/>
        <w:rPr>
          <w:rFonts w:hint="eastAsia" w:ascii="宋体" w:hAnsi="宋体" w:eastAsia="宋体" w:cs="宋体"/>
          <w:color w:val="auto"/>
          <w:sz w:val="24"/>
          <w:szCs w:val="24"/>
          <w:highlight w:val="none"/>
        </w:rPr>
      </w:pPr>
    </w:p>
    <w:p w14:paraId="3C78EBF2">
      <w:pPr>
        <w:keepNext w:val="0"/>
        <w:keepLines w:val="0"/>
        <w:pageBreakBefore w:val="0"/>
        <w:widowControl w:val="0"/>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为了在本项目建设工程、货物采购及各类购买服务中保持廉洁自律的工作作风，防止各种不正当行为发生，根据国家和本市各项规定和廉洁从业的规范要求，结合实际，特订本协议如下：</w:t>
      </w:r>
    </w:p>
    <w:p w14:paraId="01B88582">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甲乙双方应当自觉遵守国家和常州市有关廉洁自律各项规定，以“公开、公平、公正”为原则开展业务工作。</w:t>
      </w:r>
    </w:p>
    <w:p w14:paraId="2A619F00">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rPr>
        <w:t>甲方及其工作人员不得以任何形式向乙方索要和收受回扣等好处费。</w:t>
      </w:r>
    </w:p>
    <w:p w14:paraId="26DBAD0D">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甲方工作人员不得接受乙方的礼金、有价证券和贵重物品，不得在乙方报销任何应由个人支付的费用。</w:t>
      </w:r>
    </w:p>
    <w:p w14:paraId="6B796EB5">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rPr>
        <w:t>甲方工作人员不得参加可能对公正执行公务有影响的宴请和娱乐活动。</w:t>
      </w:r>
    </w:p>
    <w:p w14:paraId="7282BB76">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甲方工作人员不得接受乙方为其住房装修、婚丧嫁娶、家属和子女的工作安排以及出国等提供的方便。</w:t>
      </w:r>
    </w:p>
    <w:p w14:paraId="5F8555BC">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甲方工作人员不得向乙方介绍家属或者亲友从事与甲方项目有关的材料及货物供应、工程分包及购买服务等经济活动。</w:t>
      </w:r>
    </w:p>
    <w:p w14:paraId="2DB5BD10">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乙方应当通过正常途径开展业务工作，不得为获取某些不正当利益而向甲方工作人员赠送礼金、有价证券和贵重物品等。</w:t>
      </w:r>
    </w:p>
    <w:p w14:paraId="7B7D9C6B">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除合同中已确定的培训、考察外，乙方不得以洽谈业务、签订合同为借口，邀请甲方工作人员外出旅游和进入营业性场所。</w:t>
      </w:r>
    </w:p>
    <w:p w14:paraId="56680B95">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rPr>
        <w:t>乙方不得为甲方单位和个人购置、提供交通工具、家电、办公用品等物品。</w:t>
      </w:r>
    </w:p>
    <w:p w14:paraId="6611D8DA">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2"/>
          <w:sz w:val="24"/>
          <w:szCs w:val="24"/>
          <w:highlight w:val="none"/>
        </w:rPr>
        <w:t>乙方如发现甲方工作人员有违反上述协议者，应向甲方领导及职能部门或者甲方上级主管机关举报。甲方不得以任何借口对乙方进行报复。</w:t>
      </w:r>
    </w:p>
    <w:p w14:paraId="02D5E8A2">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甲方发现并查实乙方有违反本协议或者采用不正当的手段行贿甲方工作人员，甲</w:t>
      </w:r>
      <w:r>
        <w:rPr>
          <w:rFonts w:hint="eastAsia" w:ascii="宋体" w:hAnsi="宋体" w:eastAsia="宋体" w:cs="宋体"/>
          <w:color w:val="auto"/>
          <w:sz w:val="24"/>
          <w:szCs w:val="24"/>
          <w:highlight w:val="none"/>
        </w:rPr>
        <w:t>方根据具体情节和造成的后果追究乙方项目合同价1—5%的违约金。由此给甲方造成的损</w:t>
      </w:r>
      <w:r>
        <w:rPr>
          <w:rFonts w:hint="eastAsia" w:ascii="宋体" w:hAnsi="宋体" w:eastAsia="宋体" w:cs="宋体"/>
          <w:color w:val="auto"/>
          <w:spacing w:val="-2"/>
          <w:sz w:val="24"/>
          <w:szCs w:val="24"/>
          <w:highlight w:val="none"/>
        </w:rPr>
        <w:t>失均由乙方承担，乙方用不正当手段获取的非法所得由甲方予以追缴。同时，甲方可单方面终止与乙方签订的合同，且乙方在三年内不得参加甲方及其所属企事业单位有关项目的招投</w:t>
      </w:r>
      <w:r>
        <w:rPr>
          <w:rFonts w:hint="eastAsia" w:ascii="宋体" w:hAnsi="宋体" w:eastAsia="宋体" w:cs="宋体"/>
          <w:color w:val="auto"/>
          <w:spacing w:val="-4"/>
          <w:sz w:val="24"/>
          <w:szCs w:val="24"/>
          <w:highlight w:val="none"/>
        </w:rPr>
        <w:t>标活动。</w:t>
      </w:r>
    </w:p>
    <w:p w14:paraId="6C18AB44">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甲乙双方若存在违反本协议规定之外且与项目有关的其他不廉洁行为，按本协议第十、第十一条款规定处理。</w:t>
      </w:r>
    </w:p>
    <w:p w14:paraId="48B706A1">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本协议作为《</w:t>
      </w:r>
      <w:r>
        <w:rPr>
          <w:rFonts w:hint="eastAsia" w:ascii="宋体" w:hAnsi="宋体" w:eastAsia="宋体" w:cs="宋体"/>
          <w:color w:val="auto"/>
          <w:spacing w:val="-2"/>
          <w:sz w:val="24"/>
          <w:szCs w:val="24"/>
          <w:highlight w:val="none"/>
          <w:u w:val="single"/>
          <w:lang w:val="en-US" w:eastAsia="zh-CN"/>
        </w:rPr>
        <w:t>古方路（龙舫路-湖滨路）新建工程智能交通设备采购及安装项目</w:t>
      </w:r>
      <w:r>
        <w:rPr>
          <w:rFonts w:hint="eastAsia" w:ascii="宋体" w:hAnsi="宋体" w:eastAsia="宋体" w:cs="宋体"/>
          <w:color w:val="auto"/>
          <w:spacing w:val="-2"/>
          <w:sz w:val="24"/>
          <w:szCs w:val="24"/>
          <w:highlight w:val="none"/>
          <w:u w:val="none"/>
          <w:lang w:val="en-US" w:eastAsia="zh-CN"/>
        </w:rPr>
        <w:t>施工合同</w:t>
      </w:r>
      <w:r>
        <w:rPr>
          <w:rFonts w:hint="eastAsia" w:ascii="宋体" w:hAnsi="宋体" w:eastAsia="宋体" w:cs="宋体"/>
          <w:color w:val="auto"/>
          <w:spacing w:val="-2"/>
          <w:sz w:val="24"/>
          <w:szCs w:val="24"/>
          <w:highlight w:val="none"/>
        </w:rPr>
        <w:t>》的附件，具有与其同等的法律效力。</w:t>
      </w:r>
    </w:p>
    <w:p w14:paraId="3160FF96">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本协议在招投标过程中可参照执行。</w:t>
      </w:r>
    </w:p>
    <w:p w14:paraId="62C204BD">
      <w:pPr>
        <w:keepNext w:val="0"/>
        <w:keepLines w:val="0"/>
        <w:pageBreakBefore w:val="0"/>
        <w:widowControl w:val="0"/>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1"/>
          <w:sz w:val="24"/>
          <w:szCs w:val="24"/>
          <w:highlight w:val="none"/>
        </w:rPr>
      </w:pPr>
    </w:p>
    <w:p w14:paraId="1CCD6561">
      <w:pPr>
        <w:keepNext w:val="0"/>
        <w:keepLines w:val="0"/>
        <w:pageBreakBefore w:val="0"/>
        <w:widowControl w:val="0"/>
        <w:tabs>
          <w:tab w:val="left" w:pos="2131"/>
          <w:tab w:val="left" w:pos="5594"/>
          <w:tab w:val="left" w:pos="7065"/>
        </w:tabs>
        <w:kinsoku w:val="0"/>
        <w:wordWrap/>
        <w:overflowPunct w:val="0"/>
        <w:topLinePunct w:val="0"/>
        <w:autoSpaceDE w:val="0"/>
        <w:autoSpaceDN w:val="0"/>
        <w:bidi w:val="0"/>
        <w:adjustRightInd w:val="0"/>
        <w:snapToGrid/>
        <w:spacing w:line="360" w:lineRule="auto"/>
        <w:ind w:right="0"/>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委托人</w:t>
      </w:r>
      <w:r>
        <w:rPr>
          <w:rFonts w:hint="eastAsia" w:ascii="宋体" w:hAnsi="宋体" w:eastAsia="宋体" w:cs="宋体"/>
          <w:color w:val="auto"/>
          <w:spacing w:val="-10"/>
          <w:sz w:val="24"/>
          <w:szCs w:val="24"/>
          <w:highlight w:val="none"/>
        </w:rPr>
        <w:t>：</w:t>
      </w:r>
      <w:r>
        <w:rPr>
          <w:rFonts w:hint="eastAsia" w:ascii="宋体" w:hAnsi="宋体" w:eastAsia="宋体" w:cs="宋体"/>
          <w:color w:val="auto"/>
          <w:sz w:val="24"/>
          <w:szCs w:val="24"/>
          <w:highlight w:val="none"/>
        </w:rPr>
        <w:t>（盖章</w:t>
      </w:r>
      <w:r>
        <w:rPr>
          <w:rFonts w:hint="eastAsia" w:ascii="宋体" w:hAnsi="宋体" w:eastAsia="宋体" w:cs="宋体"/>
          <w:color w:val="auto"/>
          <w:spacing w:val="-10"/>
          <w:sz w:val="24"/>
          <w:szCs w:val="24"/>
          <w:highlight w:val="none"/>
        </w:rPr>
        <w:t>）</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受托人</w:t>
      </w:r>
      <w:r>
        <w:rPr>
          <w:rFonts w:hint="eastAsia" w:ascii="宋体" w:hAnsi="宋体" w:eastAsia="宋体" w:cs="宋体"/>
          <w:color w:val="auto"/>
          <w:spacing w:val="-10"/>
          <w:sz w:val="24"/>
          <w:szCs w:val="24"/>
          <w:highlight w:val="none"/>
        </w:rPr>
        <w:t>：</w:t>
      </w:r>
      <w:r>
        <w:rPr>
          <w:rFonts w:hint="eastAsia" w:ascii="宋体" w:hAnsi="宋体" w:eastAsia="宋体" w:cs="宋体"/>
          <w:color w:val="auto"/>
          <w:sz w:val="24"/>
          <w:szCs w:val="24"/>
          <w:highlight w:val="none"/>
        </w:rPr>
        <w:t>（盖章</w:t>
      </w:r>
      <w:r>
        <w:rPr>
          <w:rFonts w:hint="eastAsia" w:ascii="宋体" w:hAnsi="宋体" w:eastAsia="宋体" w:cs="宋体"/>
          <w:color w:val="auto"/>
          <w:spacing w:val="-10"/>
          <w:sz w:val="24"/>
          <w:szCs w:val="24"/>
          <w:highlight w:val="none"/>
        </w:rPr>
        <w:t>）</w:t>
      </w:r>
      <w:r>
        <w:rPr>
          <w:rFonts w:hint="eastAsia" w:ascii="宋体" w:hAnsi="宋体" w:eastAsia="宋体" w:cs="宋体"/>
          <w:color w:val="auto"/>
          <w:sz w:val="24"/>
          <w:szCs w:val="24"/>
          <w:highlight w:val="none"/>
        </w:rPr>
        <w:tab/>
      </w:r>
    </w:p>
    <w:p w14:paraId="526940D4">
      <w:pPr>
        <w:keepNext w:val="0"/>
        <w:keepLines w:val="0"/>
        <w:pageBreakBefore w:val="0"/>
        <w:widowControl w:val="0"/>
        <w:tabs>
          <w:tab w:val="left" w:pos="5594"/>
        </w:tabs>
        <w:kinsoku w:val="0"/>
        <w:wordWrap/>
        <w:overflowPunct w:val="0"/>
        <w:topLinePunct w:val="0"/>
        <w:autoSpaceDE w:val="0"/>
        <w:autoSpaceDN w:val="0"/>
        <w:bidi w:val="0"/>
        <w:adjustRightInd w:val="0"/>
        <w:snapToGrid/>
        <w:spacing w:line="360" w:lineRule="auto"/>
        <w:ind w:right="0"/>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法定代表人或其授</w:t>
      </w:r>
      <w:r>
        <w:rPr>
          <w:rFonts w:hint="eastAsia" w:ascii="宋体" w:hAnsi="宋体" w:eastAsia="宋体" w:cs="宋体"/>
          <w:color w:val="auto"/>
          <w:spacing w:val="-10"/>
          <w:sz w:val="24"/>
          <w:szCs w:val="24"/>
          <w:highlight w:val="none"/>
        </w:rPr>
        <w:t>权</w:t>
      </w:r>
      <w:r>
        <w:rPr>
          <w:rFonts w:hint="eastAsia" w:ascii="宋体" w:hAnsi="宋体" w:cs="宋体"/>
          <w:color w:val="auto"/>
          <w:spacing w:val="-10"/>
          <w:sz w:val="24"/>
          <w:szCs w:val="24"/>
          <w:highlight w:val="none"/>
          <w:lang w:val="en-US" w:eastAsia="zh-CN"/>
        </w:rPr>
        <w:t xml:space="preserve">                           </w:t>
      </w:r>
      <w:r>
        <w:rPr>
          <w:rFonts w:hint="eastAsia" w:ascii="宋体" w:hAnsi="宋体" w:eastAsia="宋体" w:cs="宋体"/>
          <w:color w:val="auto"/>
          <w:sz w:val="24"/>
          <w:szCs w:val="24"/>
          <w:highlight w:val="none"/>
        </w:rPr>
        <w:t>法定代表人或其授</w:t>
      </w:r>
      <w:r>
        <w:rPr>
          <w:rFonts w:hint="eastAsia" w:ascii="宋体" w:hAnsi="宋体" w:eastAsia="宋体" w:cs="宋体"/>
          <w:color w:val="auto"/>
          <w:spacing w:val="-10"/>
          <w:sz w:val="24"/>
          <w:szCs w:val="24"/>
          <w:highlight w:val="none"/>
        </w:rPr>
        <w:t>权</w:t>
      </w:r>
    </w:p>
    <w:p w14:paraId="15D73D5C">
      <w:pPr>
        <w:keepNext w:val="0"/>
        <w:keepLines w:val="0"/>
        <w:pageBreakBefore w:val="0"/>
        <w:widowControl w:val="0"/>
        <w:tabs>
          <w:tab w:val="left" w:pos="5594"/>
        </w:tabs>
        <w:kinsoku w:val="0"/>
        <w:wordWrap/>
        <w:overflowPunct w:val="0"/>
        <w:topLinePunct w:val="0"/>
        <w:autoSpaceDE w:val="0"/>
        <w:autoSpaceDN w:val="0"/>
        <w:bidi w:val="0"/>
        <w:adjustRightInd w:val="0"/>
        <w:snapToGrid/>
        <w:spacing w:line="360" w:lineRule="auto"/>
        <w:ind w:right="0"/>
        <w:textAlignment w:val="auto"/>
        <w:rPr>
          <w:rFonts w:hint="eastAsia" w:ascii="宋体" w:hAnsi="宋体" w:eastAsia="宋体" w:cs="宋体"/>
          <w:color w:val="auto"/>
          <w:spacing w:val="-10"/>
          <w:sz w:val="24"/>
          <w:szCs w:val="24"/>
          <w:highlight w:val="none"/>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auto"/>
          <w:sz w:val="24"/>
          <w:szCs w:val="24"/>
          <w:highlight w:val="none"/>
        </w:rPr>
        <w:t>的代理人：（签字</w:t>
      </w:r>
      <w:r>
        <w:rPr>
          <w:rFonts w:hint="eastAsia" w:ascii="宋体" w:hAnsi="宋体" w:eastAsia="宋体" w:cs="宋体"/>
          <w:color w:val="auto"/>
          <w:spacing w:val="-10"/>
          <w:sz w:val="24"/>
          <w:szCs w:val="24"/>
          <w:highlight w:val="none"/>
        </w:rPr>
        <w:t>）</w:t>
      </w:r>
      <w:r>
        <w:rPr>
          <w:rFonts w:hint="eastAsia" w:ascii="宋体" w:hAnsi="宋体" w:cs="宋体"/>
          <w:color w:val="auto"/>
          <w:spacing w:val="-10"/>
          <w:sz w:val="24"/>
          <w:szCs w:val="24"/>
          <w:highlight w:val="none"/>
          <w:lang w:val="en-US" w:eastAsia="zh-CN"/>
        </w:rPr>
        <w:t xml:space="preserve">                            </w:t>
      </w:r>
      <w:r>
        <w:rPr>
          <w:rFonts w:hint="eastAsia" w:ascii="宋体" w:hAnsi="宋体" w:eastAsia="宋体" w:cs="宋体"/>
          <w:color w:val="auto"/>
          <w:sz w:val="24"/>
          <w:szCs w:val="24"/>
          <w:highlight w:val="none"/>
        </w:rPr>
        <w:t>的代理人：（签字</w:t>
      </w:r>
      <w:r>
        <w:rPr>
          <w:rFonts w:hint="eastAsia" w:ascii="宋体" w:hAnsi="宋体" w:eastAsia="宋体" w:cs="宋体"/>
          <w:color w:val="auto"/>
          <w:spacing w:val="-10"/>
          <w:sz w:val="24"/>
          <w:szCs w:val="24"/>
          <w:highlight w:val="none"/>
        </w:rPr>
        <w:t>）</w:t>
      </w:r>
    </w:p>
    <w:p w14:paraId="31A7CD0A">
      <w:pPr>
        <w:kinsoku w:val="0"/>
        <w:overflowPunct w:val="0"/>
        <w:autoSpaceDE w:val="0"/>
        <w:autoSpaceDN w:val="0"/>
        <w:adjustRightInd w:val="0"/>
        <w:spacing w:line="440" w:lineRule="exact"/>
        <w:rPr>
          <w:rFonts w:hint="eastAsia" w:ascii="宋体" w:hAnsi="宋体" w:eastAsia="宋体" w:cs="宋体"/>
          <w:b/>
          <w:bCs/>
          <w:color w:val="auto"/>
          <w:spacing w:val="-4"/>
          <w:sz w:val="24"/>
          <w:highlight w:val="none"/>
        </w:rPr>
      </w:pPr>
      <w:r>
        <w:rPr>
          <w:rFonts w:hint="eastAsia" w:ascii="宋体" w:hAnsi="宋体" w:eastAsia="宋体" w:cs="宋体"/>
          <w:b/>
          <w:bCs/>
          <w:color w:val="auto"/>
          <w:spacing w:val="-4"/>
          <w:sz w:val="24"/>
          <w:highlight w:val="none"/>
        </w:rPr>
        <w:t>附件</w:t>
      </w:r>
      <w:r>
        <w:rPr>
          <w:rFonts w:hint="eastAsia" w:ascii="宋体" w:hAnsi="宋体" w:eastAsia="宋体" w:cs="宋体"/>
          <w:b/>
          <w:bCs/>
          <w:color w:val="auto"/>
          <w:spacing w:val="-4"/>
          <w:sz w:val="24"/>
          <w:highlight w:val="none"/>
          <w:lang w:val="en-US" w:eastAsia="zh-CN"/>
        </w:rPr>
        <w:t>4</w:t>
      </w:r>
      <w:r>
        <w:rPr>
          <w:rFonts w:hint="eastAsia" w:ascii="宋体" w:hAnsi="宋体" w:eastAsia="宋体" w:cs="宋体"/>
          <w:b/>
          <w:bCs/>
          <w:color w:val="auto"/>
          <w:spacing w:val="-4"/>
          <w:sz w:val="24"/>
          <w:highlight w:val="none"/>
        </w:rPr>
        <w:t>：</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3"/>
        <w:gridCol w:w="1712"/>
        <w:gridCol w:w="6028"/>
        <w:gridCol w:w="710"/>
        <w:gridCol w:w="889"/>
        <w:gridCol w:w="1307"/>
        <w:gridCol w:w="1461"/>
        <w:gridCol w:w="1325"/>
      </w:tblGrid>
      <w:tr w14:paraId="10447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5000" w:type="pct"/>
            <w:gridSpan w:val="8"/>
            <w:tcBorders>
              <w:top w:val="nil"/>
              <w:left w:val="nil"/>
              <w:bottom w:val="nil"/>
              <w:right w:val="nil"/>
            </w:tcBorders>
            <w:noWrap w:val="0"/>
            <w:vAlign w:val="center"/>
          </w:tcPr>
          <w:p w14:paraId="330F35DC">
            <w:pPr>
              <w:keepNext w:val="0"/>
              <w:keepLines w:val="0"/>
              <w:widowControl/>
              <w:suppressLineNumbers w:val="0"/>
              <w:jc w:val="center"/>
              <w:textAlignment w:val="center"/>
              <w:rPr>
                <w:rFonts w:ascii="黑体" w:hAnsi="宋体" w:eastAsia="黑体" w:cs="黑体"/>
                <w:b/>
                <w:bCs/>
                <w:i w:val="0"/>
                <w:iCs w:val="0"/>
                <w:color w:val="auto"/>
                <w:sz w:val="31"/>
                <w:szCs w:val="31"/>
                <w:highlight w:val="none"/>
                <w:u w:val="none"/>
              </w:rPr>
            </w:pPr>
            <w:r>
              <w:rPr>
                <w:rFonts w:hint="eastAsia" w:ascii="黑体" w:hAnsi="宋体" w:eastAsia="黑体" w:cs="黑体"/>
                <w:b/>
                <w:bCs/>
                <w:i w:val="0"/>
                <w:iCs w:val="0"/>
                <w:color w:val="auto"/>
                <w:kern w:val="0"/>
                <w:sz w:val="31"/>
                <w:szCs w:val="31"/>
                <w:highlight w:val="none"/>
                <w:u w:val="none"/>
                <w:lang w:val="en-US" w:eastAsia="zh-CN" w:bidi="ar"/>
              </w:rPr>
              <w:t>建设项目招标工程量清单计价表</w:t>
            </w:r>
          </w:p>
        </w:tc>
      </w:tr>
      <w:tr w14:paraId="421BF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000" w:type="pct"/>
            <w:gridSpan w:val="8"/>
            <w:tcBorders>
              <w:top w:val="nil"/>
              <w:left w:val="nil"/>
              <w:bottom w:val="single" w:color="000000" w:sz="6" w:space="0"/>
              <w:right w:val="nil"/>
            </w:tcBorders>
            <w:noWrap w:val="0"/>
            <w:vAlign w:val="center"/>
          </w:tcPr>
          <w:p w14:paraId="24DDD96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工程名称：古方路（龙舫路～湖滨路）新建工程智能交通设备采购及安装项目</w:t>
            </w:r>
          </w:p>
        </w:tc>
      </w:tr>
      <w:tr w14:paraId="4148C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21602D0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8D918E6">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项目名称</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7994B2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项目特征</w:t>
            </w:r>
          </w:p>
        </w:tc>
        <w:tc>
          <w:tcPr>
            <w:tcW w:w="250" w:type="pct"/>
            <w:tcBorders>
              <w:top w:val="single" w:color="000000" w:sz="6" w:space="0"/>
              <w:left w:val="single" w:color="000000" w:sz="6" w:space="0"/>
              <w:bottom w:val="single" w:color="000000" w:sz="6" w:space="0"/>
              <w:right w:val="single" w:color="000000" w:sz="6" w:space="0"/>
            </w:tcBorders>
            <w:noWrap w:val="0"/>
            <w:vAlign w:val="center"/>
          </w:tcPr>
          <w:p w14:paraId="77B2DF8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计量单位</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0996D3A">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工程数量</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44B00474">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综合单价（元）</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042277E3">
            <w:pPr>
              <w:keepNext w:val="0"/>
              <w:keepLines w:val="0"/>
              <w:widowControl/>
              <w:suppressLineNumbers w:val="0"/>
              <w:jc w:val="center"/>
              <w:textAlignment w:val="center"/>
              <w:rPr>
                <w:rFonts w:hint="default" w:ascii="宋体" w:hAnsi="宋体" w:eastAsia="宋体" w:cs="宋体"/>
                <w:b/>
                <w:bCs/>
                <w:i w:val="0"/>
                <w:iCs w:val="0"/>
                <w:color w:val="auto"/>
                <w:sz w:val="24"/>
                <w:szCs w:val="24"/>
                <w:highlight w:val="none"/>
                <w:u w:val="none"/>
                <w:lang w:val="en-US"/>
              </w:rPr>
            </w:pPr>
            <w:r>
              <w:rPr>
                <w:rFonts w:hint="eastAsia" w:ascii="宋体" w:hAnsi="宋体" w:eastAsia="宋体" w:cs="宋体"/>
                <w:b/>
                <w:bCs/>
                <w:i w:val="0"/>
                <w:iCs w:val="0"/>
                <w:color w:val="auto"/>
                <w:kern w:val="0"/>
                <w:sz w:val="24"/>
                <w:szCs w:val="24"/>
                <w:highlight w:val="none"/>
                <w:u w:val="none"/>
                <w:lang w:val="en-US" w:eastAsia="zh-CN" w:bidi="ar"/>
              </w:rPr>
              <w:t>合价（元）</w:t>
            </w:r>
          </w:p>
        </w:tc>
        <w:tc>
          <w:tcPr>
            <w:tcW w:w="467" w:type="pct"/>
            <w:tcBorders>
              <w:top w:val="single" w:color="000000" w:sz="6" w:space="0"/>
              <w:left w:val="single" w:color="000000" w:sz="6" w:space="0"/>
              <w:bottom w:val="single" w:color="000000" w:sz="6" w:space="0"/>
              <w:right w:val="single" w:color="000000" w:sz="6" w:space="0"/>
            </w:tcBorders>
            <w:noWrap w:val="0"/>
            <w:vAlign w:val="center"/>
          </w:tcPr>
          <w:p w14:paraId="50B2C95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投标品牌</w:t>
            </w:r>
          </w:p>
        </w:tc>
      </w:tr>
      <w:tr w14:paraId="2444A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0A03C184">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一</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61C6A76B">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电子警察及卡口、监控系统</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54DC0B8">
            <w:pPr>
              <w:jc w:val="left"/>
              <w:rPr>
                <w:rFonts w:hint="eastAsia" w:ascii="宋体" w:hAnsi="宋体" w:eastAsia="宋体" w:cs="宋体"/>
                <w:b/>
                <w:bCs/>
                <w:i w:val="0"/>
                <w:iCs w:val="0"/>
                <w:color w:val="auto"/>
                <w:sz w:val="24"/>
                <w:szCs w:val="24"/>
                <w:highlight w:val="none"/>
                <w:u w:val="none"/>
              </w:rPr>
            </w:pPr>
          </w:p>
        </w:tc>
        <w:tc>
          <w:tcPr>
            <w:tcW w:w="250" w:type="pct"/>
            <w:tcBorders>
              <w:top w:val="single" w:color="000000" w:sz="6" w:space="0"/>
              <w:left w:val="single" w:color="000000" w:sz="6" w:space="0"/>
              <w:bottom w:val="single" w:color="000000" w:sz="6" w:space="0"/>
              <w:right w:val="single" w:color="000000" w:sz="6" w:space="0"/>
            </w:tcBorders>
            <w:noWrap w:val="0"/>
            <w:vAlign w:val="center"/>
          </w:tcPr>
          <w:p w14:paraId="16D7BCFA">
            <w:pPr>
              <w:jc w:val="center"/>
              <w:rPr>
                <w:rFonts w:hint="eastAsia" w:ascii="宋体" w:hAnsi="宋体" w:eastAsia="宋体" w:cs="宋体"/>
                <w:b/>
                <w:bCs/>
                <w:i w:val="0"/>
                <w:iCs w:val="0"/>
                <w:color w:val="auto"/>
                <w:sz w:val="24"/>
                <w:szCs w:val="24"/>
                <w:highlight w:val="none"/>
                <w:u w:val="none"/>
              </w:rPr>
            </w:pP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4A5AD09D">
            <w:pPr>
              <w:jc w:val="center"/>
              <w:rPr>
                <w:rFonts w:hint="eastAsia" w:ascii="宋体" w:hAnsi="宋体" w:eastAsia="宋体" w:cs="宋体"/>
                <w:b/>
                <w:bCs/>
                <w:i w:val="0"/>
                <w:iCs w:val="0"/>
                <w:color w:val="auto"/>
                <w:sz w:val="24"/>
                <w:szCs w:val="24"/>
                <w:highlight w:val="none"/>
                <w:u w:val="none"/>
              </w:rPr>
            </w:pP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141B3138">
            <w:pPr>
              <w:jc w:val="center"/>
              <w:rPr>
                <w:rFonts w:hint="eastAsia" w:ascii="宋体" w:hAnsi="宋体" w:eastAsia="宋体" w:cs="宋体"/>
                <w:i w:val="0"/>
                <w:iCs w:val="0"/>
                <w:color w:val="auto"/>
                <w:sz w:val="24"/>
                <w:szCs w:val="24"/>
                <w:highlight w:val="none"/>
                <w:u w:val="none"/>
              </w:rPr>
            </w:pP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2A6BA49">
            <w:pPr>
              <w:jc w:val="center"/>
              <w:rPr>
                <w:rFonts w:hint="eastAsia" w:ascii="宋体" w:hAnsi="宋体" w:eastAsia="宋体" w:cs="宋体"/>
                <w:i w:val="0"/>
                <w:iCs w:val="0"/>
                <w:color w:val="auto"/>
                <w:sz w:val="24"/>
                <w:szCs w:val="24"/>
                <w:highlight w:val="none"/>
                <w:u w:val="none"/>
              </w:rPr>
            </w:pPr>
          </w:p>
        </w:tc>
        <w:tc>
          <w:tcPr>
            <w:tcW w:w="467" w:type="pct"/>
            <w:tcBorders>
              <w:top w:val="single" w:color="000000" w:sz="6" w:space="0"/>
              <w:left w:val="single" w:color="000000" w:sz="6" w:space="0"/>
              <w:bottom w:val="single" w:color="000000" w:sz="6" w:space="0"/>
              <w:right w:val="single" w:color="000000" w:sz="6" w:space="0"/>
            </w:tcBorders>
            <w:noWrap/>
            <w:vAlign w:val="bottom"/>
          </w:tcPr>
          <w:p w14:paraId="491ED322">
            <w:pPr>
              <w:rPr>
                <w:rFonts w:hint="eastAsia" w:ascii="Arial" w:hAnsi="Arial" w:cs="Arial"/>
                <w:i w:val="0"/>
                <w:iCs w:val="0"/>
                <w:color w:val="auto"/>
                <w:sz w:val="24"/>
                <w:szCs w:val="24"/>
                <w:highlight w:val="none"/>
                <w:u w:val="none"/>
              </w:rPr>
            </w:pPr>
          </w:p>
        </w:tc>
      </w:tr>
      <w:tr w14:paraId="0AB11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13BCEE8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081569F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落地式设备信号机箱</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33DC69A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落地式设备信号机箱【电警监控前端设备机箱（与信号机箱合并）;650*650*1500mm;镀锌钢板喷塑，含配套电气控制元器件，含镀锌槽钢底座，详见设计要求;】</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E2123C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42BC56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1ED6E8A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4547.30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511472E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9094.61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380BBE6B">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006CD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376892B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6CD89E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落地式配电箱</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3817864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落地式配电箱【电源箱;镀锌钢板喷塑，含配套电气控制元器件，含镀锌槽钢底座、立柱等安装，详见设计要求;】</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02C9F78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343279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D9F334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3587.21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450BE0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7174.42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253BD08F">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662B5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533D03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0CC3B5E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机箱基础</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3E6B978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机箱基础【设备机箱基础,钢筋混凝土基础浇筑及预埋件制作安装，C25砼。含基础土方开挖、回填、清运，见设计要求;】</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DF376D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座</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00DDE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39C74DB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641.69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2D98EC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1283.37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05A5C64C">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20167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6EB9A4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3140C4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电源箱基础</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1D26FDD5">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电源箱基础【电源箱基础,钢筋混凝土基础浇筑及预埋件制作安装，C25砼。含基础土方开挖、回填、清运，见设计要求;】</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8B3540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座</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56853EA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86E8DE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300.88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1B6474C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601.76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024DB10F">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7912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82292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4E8AEEA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杆上配电箱</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EDB319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杆上配电箱【抱杆机箱;镀锌钢板喷塑，通风、防雨、防尘、防盗，尺寸：600*450*300mmm;含配套电源开关、避雷板、开关等电气元器件等，详见设计;】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0241F00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E4037B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AD137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1219.11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0F2F4C4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7314.63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77BA22BE">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6CFC6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11A3F9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D1D595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主控制器</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979F8B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控制器（模块）【主控制器（前端分析主机）,主要参数技术要求：嵌入式操作系统；至少配置1块8T硬盘；详细参数详见设计;含调试、测试、试运行;】</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6BED1B7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4E6611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3A147A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14964.23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A92D0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29928.46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13985F2">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海康威视</w:t>
            </w:r>
          </w:p>
        </w:tc>
      </w:tr>
      <w:tr w14:paraId="209A0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9"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E569F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04349515">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辅助控制器</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550D79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辅助控制器【辅助控制器(含信号检测器）。16路信号灯交流信号输入接口；4个RS485输出接口；1路100M网口输出；1个5VDC输出接口；5路拨码开关，用来设置波特率、地址和上传模式；工作温度：温度-30℃~70℃；电源：AC220V±10%；工作湿度：湿度5%~95%@40℃，无凝结；功耗：＜5W。其他技术参数详见设计，含调试、测试、试运行;】</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3161AB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7FFC61D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88A3C9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2423.61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14EE01F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4847.21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28DE65D">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海康威视</w:t>
            </w:r>
          </w:p>
        </w:tc>
      </w:tr>
      <w:tr w14:paraId="57823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5"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52C3B89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BC5B7F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900W电警摄像机</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BB718A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W电警摄像机【环保电警摄像机；900万像素高清一体化电警抓拍单元，包含高清一体化嵌入式摄像机、高清镜头、室外防护罩、相机内置网络信号防雷器、电源适配器等；分辨率≥4096×2160，帧率≥25帧；镜头：12mm或16mm；≥3个RS-485接口，≥1个RS-232接口；≥2个RJ45 10M/100M/1000M自适应以太网口；同步输入：SYNC信号灯电源同步输入；≥1个触发/报警输入，≥7路F+/F-触发输出接口，可作为补光灯同步输出控制；支持H.264;H.265;MJPEG；功耗：20W MAX；电源：100VAC～240VAC；频率：48Hz～52Hz；工作温度：-30℃~70℃。含内置防雷模块、支架、万向节安装等配件，具体技术参数详见设计图;】</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527B1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46B41F9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746E7F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20023.71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11F17E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100118.56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F4993A6">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海康威视</w:t>
            </w:r>
          </w:p>
        </w:tc>
      </w:tr>
      <w:tr w14:paraId="1F18D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2"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26FCC02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47D0EB9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900W卡口摄像机</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01DB13A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W卡口摄像机【人车环保卡口摄像机;900万像素高清环保车辆人脸卡口单元，包含高清一体化嵌入式摄像机、高清镜头、室外防护罩、电源适配器等；分辨率≥4096×2160，帧率≥25帧；镜头：50mm；≥3个RS-485接口,≥1个RS-232接口；≥2个RJ45 10M/100M/1000M自适应以太网口；同步输入：SYNC信号灯电源同步输入；≥7路F+ F-触发输出接口，作为补光灯同步输出控制；≥1个触发/报警输入；支持H.264;H.265;MJPEG；功耗：35W MAX；电源：100VAC～240VAC；频率：48Hz～52Hz；工作温度：-30°C~70°C;含内置防雷模块、支架、万向节安装等配件，具体技术参数详见设计图;】</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65442C7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885655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14FF75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20554.39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3AB2C1E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82217.57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57948EC4">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海康威视</w:t>
            </w:r>
          </w:p>
        </w:tc>
      </w:tr>
      <w:tr w14:paraId="5EFFE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0A4F0B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7680BD9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800W人像识别摄像机</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098723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800W人像识别摄像机【800万像素舱黑光结构化人像摄像机，1、内置GPU芯片，具有≥4个图像传感器和≥3个镜头，靶面尺寸均≥1/1.2"，通道1采用单镜头、双图像传感器，分别采集黑白及彩色图像，可对这双路视频图像进行融合输出；通道≥2个镜头、双图像传感器，可分别采集2路音视频流进行拼接输出。2、最低照度彩色不大于0.0002 lx，黑白不大于0.0001 lx;其他技术参数详见设计;含支架等;】</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5E8DBA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ADCA65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DD25E7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11638.95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0DF6E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34916.86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1464849F">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海康威视</w:t>
            </w:r>
          </w:p>
        </w:tc>
      </w:tr>
      <w:tr w14:paraId="1885D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4"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4A626F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CFCF2C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400W高清道路监控双目球机</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7FD2AA8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400W道路监控球机【高清道路监控双目球机,400W像素；可输出全景和细节两路视频图像，其中全景通道分辨率≥3632*1632，细节分辨率≥2560*1440。焦距：【全景】2.8 mm；【细节】5.9 mm~135.7 mm，23倍光学变倍。 视场角：【全景】水平视场角：190±10°，垂直视场角：81±10°。水平范围：360°， 垂直范围：-15°-90°(自动翻转)。水平键控速度：0.1°-160°/s,垂直键控速度：0.1°-120°/s。视频压缩标准：H.265,H.264,MJPEG。网络接口：RJ45网口;自适应10M/100M网络数据。供电方式：DC36V±25%。最大功耗：60 W。IP66，抗干扰能力强，适用于严酷的电磁环境，符合GB/T17626.2/3/4/5/6四级标准。最低照度可达彩色0.0002Lux，黑白0.0001Lux。其他技术参数详见设计;含支架等;】</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30B24F0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B8995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4F3A7D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5333.10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BFAE4B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26665.50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238EBBC0">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海康威视</w:t>
            </w:r>
          </w:p>
        </w:tc>
      </w:tr>
      <w:tr w14:paraId="0BD14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7"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65B9C6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A6EEAA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交换机（运维型）</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4896167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换机【1光4电千兆工业交换机（运维型）;支持4个10/100/1000Base-TX电口、1个1000Base-X光口、1个DC12V/AC24V输入接口、1个总线接口；支持外接补光灯、爆闪灯智能运维扩展模块，交换容量10G，满足用户对于网络传输、自动告警(补光灯、爆闪灯异常报警等)、智能运维等方面的需求，全线速转发，支持SNMP/IGMP等协议，满足IEEE802.1/IEEE802.3协议标准，支持VLAN，支持多种网络管理功能:端口镜像、端口；1光8电千兆工业交换机隔离、端口汇聚，支持广播风暴抑制、流量控制、组播，支持QOS，支持MAC黑洞；爆闪灯模块支持1个AC100~220V输入接口、2个AC100~220V补光灯供电接口，6个；AC100~220V爆闪灯供电接口，6个爆闪灯检测信号接口，2个总线接口;补光灯模块支持1个；AC100~220V输入接口、8个AC100~220V补光灯供电接口，2个总线接口，高强度金属机壳，欧式工业端子电源接口，卡轨式安装、工作温度-40~85℃;甚他具体参数和功能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E6BE45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FEB0AB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EA57E7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1925.06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DC9C1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9625.29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49E60348">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恒信和安</w:t>
            </w:r>
          </w:p>
        </w:tc>
      </w:tr>
      <w:tr w14:paraId="2AA17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1"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120989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ADF3B3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交换机（运维型）</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7BB013C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换机【1光8电千兆工业交换机（运维型）;支持8个10/100/1000Base-TX电口、2个1000Base-X光口、1个DC12V/AC24V输入接口、1个总线接口；支持外接补光灯、爆闪灯智能运维扩展模块，交换容量10G，满足用户对于网络传输、自动告警(补光灯、爆闪灯异常报警等)、智能运维等方面的需求，全线速转发，支SNMP/IGMP等协议，满足IEEE802.1/IEEE802.3协议标准，支持VLAN，支持多种网络管理功能:端口镜像、端口；1光8电千兆工业交换机隔离、端口汇聚，支持广播风暴抑制、流量控制、组播，支持QOS，支持MAC黑洞；爆闪灯模块支持1个AC100~220V输入接口、2个AC100~220V补光灯供电接口，6个；AC100~220V爆闪灯供电接口，6个爆闪灯检测信号接口，2个总线接口;补光灯模块支持1个；AC100~220V输入接口、8个AC100~220V补光灯供电接口，2个总线接口，高强度金属机壳，欧式工业端子电源接口，卡轨式安装、工作温度-40~85℃。具体参数和功能要求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292DBB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3DDAA0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E776C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3308.72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509780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3308.72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4D950458">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恒信和安</w:t>
            </w:r>
          </w:p>
        </w:tc>
      </w:tr>
      <w:tr w14:paraId="2CC5D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4"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F3437B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4AB4620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交换机</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0C4B777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交换机【文持8个10/100/1000Base-X电口利8个1000Base-X SFP光口，交换容量50G，全线速转发，MC地址8K，支持环网汇余技术(自愈时间&lt;20ms).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支持SNWP/IGMP/RMON等协议，满足IEEE802.1/IEEE802.3协议标准;支持VLAN，支持多种网络管理功能:端口镜像、端口隔离、端口汇聚;支持广播风暴抑制、流量控制、组播，支持00S，卡轨式波纹型材机壳，双电源冗余输入，5.08mm工业端子电源接口，IP40保护等级，符合EMC工业四级要求，工作温度-40~85℃。其他技术参数和功能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1E9D77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1A25E1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18B7F2C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5377.89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286CE8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10755.78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6C85ED2">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恒信和安</w:t>
            </w:r>
          </w:p>
        </w:tc>
      </w:tr>
      <w:tr w14:paraId="6E438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00FD526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5D6E8BE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模块</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DBC100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模块【60km千兆光模块;SFP 1.25G/1.0625G 60km千兆光模块，前、后端各1台;具体技术参数和功能详见设计图;】</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96E9D7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对</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F53D89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54D4236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870.32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5B04BD0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1740.63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784C3C87">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恒信和安</w:t>
            </w:r>
          </w:p>
        </w:tc>
      </w:tr>
      <w:tr w14:paraId="0BCC0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1789C6B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0882225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模块</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0A72DB7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模块【20km千兆光模块;SFP 1.25G/1.0625G 20km千兆光模块，前、后端各1台;具体参数和功能详见设计;】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609E4C8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对</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2155ED9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249CF6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551.91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3B08345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3311.45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8E147C3">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恒信和安</w:t>
            </w:r>
          </w:p>
        </w:tc>
      </w:tr>
      <w:tr w14:paraId="5D49D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3"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58E373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490B8F1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避雷器</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01C5C4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避雷器【网络避雷器;标称工作电压：5V； 最大持续工作电压：6V； 标称放电电流(8/20)：1.2KA； 响应时间：≤1NS；数据频宽：100MHZ；插入损耗： ≤0.3DB;含调试，具体参数和功能详见设计;】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BA90C8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3A73087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C99FA8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272.16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2988AF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1632.94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199F22A8">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0C8E7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6"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42EFAC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95E699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一体化生态补光灯</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21A266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一体化生态补光灯【光源类型：16颗原装大功率LED 覆盖范围：单车道环境补光灯 最佳补光范围16米～25米 触发方式： 4V~6V电平量触发（高电平有效）（可选配开关量触发）</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触发信号：频率15~250HZ，占空比1%~39%，响应时间小于20US 防护等级：IP66 工作电压：AC220V 额定功率：35Wmax</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工作温度：-40℃~70℃符合GA/T 1202-2022《交通技术监控成像补光装置通用技术条件》中的相关规定;含配套支架;其他参数和功能详见设计】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3B61A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只</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713D89D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25E4E6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1637.75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E79CC1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26203.99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0DDB2DF7">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海康威视</w:t>
            </w:r>
          </w:p>
        </w:tc>
      </w:tr>
      <w:tr w14:paraId="7B0FB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6"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1237BC6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5D6CF6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卡口多合一环保生态补光灯</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43B5632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卡口多合一环保生态补光灯【卡口多合一生态环保补光灯。1、采用24颗原装进口高亮度LED芯片，寿命长，稳定性好，发光效率高；带LED格栅，有效减少周边光污染。2、补光装置光源包括LED光源（一级频闪）、气体放电光源（二级脉冲）和红外光源。采用LED光源和气灯放电两种光源，LED光源呈圆形排布，气体放电光源前置转轴叶片，支持红外和白光补光切换。其他主要技术参数详见设计图;含配套支架;】</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C7DFC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只</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3860D5C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2BB81C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3920.24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0B82843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27441.70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3AEB1369">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海康威视</w:t>
            </w:r>
          </w:p>
        </w:tc>
      </w:tr>
      <w:tr w14:paraId="61B9D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3DA6E4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389890D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C25F3A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电缆【配电箱进线电源电缆，穿管埋地敷设;VV-3*10;】</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5A21967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3AC5E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79D7C8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38.91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3DE098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38910.11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4603F5A0">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中视金诚</w:t>
            </w:r>
          </w:p>
        </w:tc>
      </w:tr>
      <w:tr w14:paraId="5440B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10BB7F4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5EE5A8F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电缆终端头</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9884D0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电缆终端头【1KV以下干包式电缆头制安;35mm2以下(VV-3*10);】</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69020E9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个</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72BA49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27008AB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218.64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BD79D3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437.28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027A2CF6">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中视金诚</w:t>
            </w:r>
          </w:p>
        </w:tc>
      </w:tr>
      <w:tr w14:paraId="4D352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1159CC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073C347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727C5FC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管内配线【控制箱、抱杆箱的电源线敷设;RVV-3*2.5mm2;】</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6ABCB53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7C79E51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C98D34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15.29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3BD6470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22931.26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7FE8D9C6">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中视金诚</w:t>
            </w:r>
          </w:p>
        </w:tc>
      </w:tr>
      <w:tr w14:paraId="53B5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23DD1AD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2FB5B2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7AEA72B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管内配线【摄像机电源线敷设;RVV-3*1.5mm2;】</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9F522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2292621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3EF8F8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13.92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3F2392D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8354.57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29689F28">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中视金诚</w:t>
            </w:r>
          </w:p>
        </w:tc>
      </w:tr>
      <w:tr w14:paraId="5CC83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24FBCE3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686B94D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7BDAE1A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管内配线【网线敷设;六类网线;UPT6;】</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28ACFFE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45518B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1E1C3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7.50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2F975CD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4498.62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590A2642">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大华</w:t>
            </w:r>
          </w:p>
        </w:tc>
      </w:tr>
      <w:tr w14:paraId="14E4D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B2932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386875A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光缆</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6D0B04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光缆【光纤穿管敷设;单模4芯;】</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E56147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51E5B07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8D6F0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6.82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5B5DF7F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4089.65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5602A3BE">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053DD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BDF46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790AA24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07C128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管内配线【环保灯控制线敷设;RVV-6*0.5mm2;】</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008B2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C20BD1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52AFDA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11.92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59AC9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3575.52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FC670B1">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350B6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357D18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710EE305">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双绞线缆测试</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A0EBA65">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双绞线缆测试【六类网线 测试;】</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08D11E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链路</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3FB94B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0016E7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29.64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0592D3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474.24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55605A54">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270CF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4657A51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54D93B45">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光纤盒</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02659DF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光纤盒【光纤跳线、熔接等配件;光缆终端盒、尾纤等，含光纤熔接等;】</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B3DCA6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处</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E8C96E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212ABE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1154.50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565F6C7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18471.98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375A5835">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770DA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228811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38A0A64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光纤测试</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61C9C7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光纤测试【光纤测试;】</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9528D7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链路</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9E56D9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0EA8E9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226.86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4DA1618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3629.74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2F63BD57">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19130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BFD06E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875D0C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电警监控杆及基础</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AB556D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电警监控杆及基础【八角长臂杆(H7, L6);杆件表面需镀锌处理及喷塑;含钢筋砼C25基础及法兰、预埋件、紧固件等;详见图纸;】</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FF4EF9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套</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CA3688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78FD8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12884.35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54DCA0E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77306.09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4318DF22">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72A3D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5137E1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9FC90E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电警监控挑臂杆</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0B7C4F8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电警监控挑臂杆【挑臂杆(L=0.8m);利用其他杆件固定，抱箍安装;悬臂杆件表面需镀锌处理及喷塑;含焊接施工及紧固件等;详见图纸;】</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250257D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套</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200FCA1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92458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250.72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2BCC051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752.15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5C7E6B0B">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32EF5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4069ABC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3C614B3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电缆保护管</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0BC5EF9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电缆保护管【电缆过路钢管保护，埋地敷设,镀锌钢管DN100;】</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308F460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3715A7B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4B2F07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185.01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4F9B6C3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5550.24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776EC4CB">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10879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202B750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C0CD86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电缆保护管</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0278E86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电缆保护管【增强塑料管埋地敷设,2根并行敷设，PE75*6.8,含管子主材、土方挖、填或余土外运;按单根长度计算;】</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9A776E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2F1A4A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589C17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58.42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20ABF4C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87635.38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458B20B0">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0BDB3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5754058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5D27F3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电缆保护管</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473A4F4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电缆保护管【增强塑料管，埋地牵引敷设6根,PE75*6.8,含管子主材、工作坑挖填、钻孔、扩孔、泥浆处理、管道连接穿管等；按单根长度计算，牵引长度按按水平直线距离计算;】</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0BDA190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2047023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1620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2CA9628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97.37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4E634E2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157743.69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15CF8C67">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5571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87331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7139335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混凝土及砂垫层保护</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A1CF21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混凝土及砂垫层保护【过路管道砼包封，C20商品砼，含黄砂保护垫层，包封层砼、黄砂保护垫层结构综合考虑，应满足施工现场管理要求，按保护全结构层体积计算;】</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642B14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m3</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1E1EDE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13.605</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9FA42B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545.48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CC979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7421.28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51E0681">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25C9C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313684C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921130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手孔井</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9496B7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人（手）孔井【手孔井,半砖厚砖砌工作井500*500mm,钢纤维井盖C250级，含挖填土;】</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FE511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座</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18B6A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08F98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716.37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E2BB8E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16476.52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511D76C4">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46C15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9F3594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7A9778C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人行道板拆除、修复</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1D1E6C0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人行道板拆除、修复【人行道板及垫层拆除、修复，施工宽度、新增和利旧道板材料综合考虑】</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E11130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m2</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0047F1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83F5C0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65.43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338AA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7852.13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743FBA42">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5E2AA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6FFC99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38</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7ED5FF4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接地极</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1D5BFC1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接地极【过路钢管保护接地极，镀锌圆钢φ40*4*2500，含接地电线连接BV-16;】</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0CDB43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根</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7C9C1B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506C984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241.32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B087A5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241.32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1342BCD">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7888E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24F84C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07E80A9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接地极</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FC4C11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接地极【接地极，镀锌圆钢φ20*4*1500，含接地镀锌扁铁连接-40*4;】</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43129B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根</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5B420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F11DA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173.61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2AD6160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1736.06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73D7FFE2">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6E526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03B446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4EE58A8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接地装置调试</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73AF558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接地装置调试【接地系统调试，含电警、卡口、监控系统的所有接地极调试;】</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0BD1564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系统</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3828B51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AB5533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376.51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1A71B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376.51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1A4CBBC1">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720BF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094DB6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B23816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光纤租用费</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11F57B7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光纤租用费【通讯光纤5年租用费;包含光纤尾纤、光纤熔接、光纤终端盒、光缆接头包等，双芯裸光纤，禁止串联;】</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906244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条</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82648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95DA4A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5306.81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28B635C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10613.62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171296ED">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58286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2DDE1AA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763DC1E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安装调试及后台接入</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7829C8E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装调试及后台接入【前端电警、卡口、人像识别、道路监控、违停抓拍、治安监控等系统的各类设备安装及调试、试运行，包含车辆识别、人脸识别算法软件授权，以及各类设备信息深化采集与平台信息配置;车辆轨迹采集和交通违法抓拍功能的不间断优化调整;按要求对相关数据进行汇聚与共享;5年质保和维保期内免费提供上述服务;具体详见控制价编制说明的要求;】</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BC1EA6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系统</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4D06DF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B99C7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54305.70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304F6E9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54305.70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3B65F3E2">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0FF45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1078386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AEAF4D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大型机械设备进出场及安拆</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A29343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大型机械设备进出场及安拆【场外运输费用(履带式挖掘机1M3以内);】</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2EF3FB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项</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A6986E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9A284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2633.93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4B78F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2633.93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54C14E8B">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2AB75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18B4CF9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二</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D335D3C">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违停抓拍及治安监控系统</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B1D1106">
            <w:pPr>
              <w:jc w:val="left"/>
              <w:rPr>
                <w:rFonts w:hint="eastAsia" w:ascii="宋体" w:hAnsi="宋体" w:eastAsia="宋体" w:cs="宋体"/>
                <w:b/>
                <w:bCs/>
                <w:i w:val="0"/>
                <w:iCs w:val="0"/>
                <w:color w:val="auto"/>
                <w:sz w:val="24"/>
                <w:szCs w:val="24"/>
                <w:highlight w:val="none"/>
                <w:u w:val="none"/>
              </w:rPr>
            </w:pPr>
          </w:p>
        </w:tc>
        <w:tc>
          <w:tcPr>
            <w:tcW w:w="250" w:type="pct"/>
            <w:tcBorders>
              <w:top w:val="single" w:color="000000" w:sz="6" w:space="0"/>
              <w:left w:val="single" w:color="000000" w:sz="6" w:space="0"/>
              <w:bottom w:val="single" w:color="000000" w:sz="6" w:space="0"/>
              <w:right w:val="single" w:color="000000" w:sz="6" w:space="0"/>
            </w:tcBorders>
            <w:noWrap w:val="0"/>
            <w:vAlign w:val="center"/>
          </w:tcPr>
          <w:p w14:paraId="44F43ADC">
            <w:pPr>
              <w:jc w:val="center"/>
              <w:rPr>
                <w:rFonts w:hint="eastAsia" w:ascii="宋体" w:hAnsi="宋体" w:eastAsia="宋体" w:cs="宋体"/>
                <w:b/>
                <w:bCs/>
                <w:i w:val="0"/>
                <w:iCs w:val="0"/>
                <w:color w:val="auto"/>
                <w:sz w:val="24"/>
                <w:szCs w:val="24"/>
                <w:highlight w:val="none"/>
                <w:u w:val="none"/>
              </w:rPr>
            </w:pP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288203F">
            <w:pPr>
              <w:jc w:val="center"/>
              <w:rPr>
                <w:rFonts w:hint="eastAsia" w:ascii="宋体" w:hAnsi="宋体" w:eastAsia="宋体" w:cs="宋体"/>
                <w:b/>
                <w:bCs/>
                <w:i w:val="0"/>
                <w:iCs w:val="0"/>
                <w:color w:val="auto"/>
                <w:sz w:val="24"/>
                <w:szCs w:val="24"/>
                <w:highlight w:val="none"/>
                <w:u w:val="none"/>
              </w:rPr>
            </w:pP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202B3CFF">
            <w:pPr>
              <w:jc w:val="center"/>
              <w:rPr>
                <w:rFonts w:hint="eastAsia" w:ascii="宋体" w:hAnsi="宋体" w:eastAsia="宋体" w:cs="宋体"/>
                <w:i w:val="0"/>
                <w:iCs w:val="0"/>
                <w:color w:val="auto"/>
                <w:sz w:val="24"/>
                <w:szCs w:val="24"/>
                <w:highlight w:val="none"/>
                <w:u w:val="none"/>
              </w:rPr>
            </w:pP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035EBDC7">
            <w:pPr>
              <w:jc w:val="center"/>
              <w:rPr>
                <w:rFonts w:hint="eastAsia" w:ascii="宋体" w:hAnsi="宋体" w:eastAsia="宋体" w:cs="宋体"/>
                <w:i w:val="0"/>
                <w:iCs w:val="0"/>
                <w:color w:val="auto"/>
                <w:sz w:val="24"/>
                <w:szCs w:val="24"/>
                <w:highlight w:val="none"/>
                <w:u w:val="none"/>
              </w:rPr>
            </w:pPr>
          </w:p>
        </w:tc>
        <w:tc>
          <w:tcPr>
            <w:tcW w:w="467" w:type="pct"/>
            <w:tcBorders>
              <w:top w:val="single" w:color="000000" w:sz="6" w:space="0"/>
              <w:left w:val="single" w:color="000000" w:sz="6" w:space="0"/>
              <w:bottom w:val="single" w:color="000000" w:sz="6" w:space="0"/>
              <w:right w:val="single" w:color="000000" w:sz="6" w:space="0"/>
            </w:tcBorders>
            <w:noWrap/>
            <w:vAlign w:val="bottom"/>
          </w:tcPr>
          <w:p w14:paraId="026CCFBF">
            <w:pPr>
              <w:rPr>
                <w:rFonts w:hint="default" w:ascii="Arial" w:hAnsi="Arial" w:cs="Arial"/>
                <w:i w:val="0"/>
                <w:iCs w:val="0"/>
                <w:color w:val="auto"/>
                <w:sz w:val="24"/>
                <w:szCs w:val="24"/>
                <w:highlight w:val="none"/>
                <w:u w:val="none"/>
              </w:rPr>
            </w:pPr>
          </w:p>
        </w:tc>
      </w:tr>
      <w:tr w14:paraId="7799E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E90F9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E4110A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400W违停监控双目球机</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9D151C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400W违停监控双目球机；1、摄像机内置≥3个镜头，可输出一路全景视频和一路细节视频，全景内置≥2个镜头，光圈≥F1.0，具有≥1/1.8靶面尺寸，细节内置≥1个镜头，具备≥1/1.8靶面尺寸。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2、细节镜头支持≥16倍数字变倍，≥40倍光学变倍，水平范围：0-360° ，垂直范围：-20-90°；焦距：[全景]≥2.8mm；[细节]6.0~240mm；网络接口：支持100 M网络数据，RJ45网口，自适应网络数据；支持Micro SD/Micro SDHC/Micro SDXC卡,最大支持256G；≥7路报警输入，≥2路报警输出；≥1路音频输入，≥1路音频输出；电源：DC36V/2.5A；工作温湿度：-40 ℃~70 ℃；湿度小于95%；功耗：功耗：≤60 W；防护：≥IP67; 6000V 防雷、防浪涌、防突波，符合GB/T17626.2/3/4/5/6四级标准 。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3、全景路视频图像分辨率≥3632 × 1632，细节路视频图像分辨率≥2560x1440；全景通道可输出两个镜头无缝拼接的全景图像，拼接偏差像素不大于4个像素，全景画面水平视场角不小于190°，垂直视场角不小于80°。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4、支持最低照度可达彩色0.0002 lx，黑白0.0001 lx。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5、全景通道可进行垂直旋转，旋转范围不低于12°可调。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6、设备进行违法停车检测时，镜头倍率为1倍情况下，白天有效检测距离最大为150米，其他倍率下，白天有效检测距离最大为200米。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7、支持违法取证图片单张上传或者多张合成上传，合成图片的数量（1~4张可选）可配置。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8、支持违法停车抓拍功能，白天违法停车捕获率、捕获有效率均不小于98%。；其他主要技术参数详见设计；含支架等;】</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DAA03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DF69B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76EA8DF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11382.86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2832161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34148.59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04199E11">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海康威视</w:t>
            </w:r>
          </w:p>
        </w:tc>
      </w:tr>
      <w:tr w14:paraId="25BA6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56E33A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5B47229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模块</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5A0876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模块【20km千兆光模块;SFP 1.25G/1.0625G 20km千兆光模块，前、后端各1台;具体参数和功能详见设计;】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2D02E10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对</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B66CC1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0538360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551.91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B324B6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1655.72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335AC39F">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恒信和安</w:t>
            </w:r>
          </w:p>
        </w:tc>
      </w:tr>
      <w:tr w14:paraId="7C5BC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2A85B70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5388BCE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交换机</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872BEF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交换机【1光4电千兆工业交换机;支持4个10/100/1000Base-X电口和1个1000Base-X FC/ST/SC光口，交换容量10G，IP40保护等级，全线速转发，符合EMC工业四级要求，工作温度-20~70℃;甚他具体参数和功能详见设计;】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85A2D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71B7564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02B09CB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1079.86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21B9BA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3239.59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757B1712">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恒信和安</w:t>
            </w:r>
          </w:p>
        </w:tc>
      </w:tr>
      <w:tr w14:paraId="7BE7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B50C4F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540B49A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杆上配电箱</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485F32F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杆上配电箱【抱杆机箱;镀锌钢板喷塑，通风、防雨、防尘、防盗，尺寸：600*450*300mmm;含配套电源开关、避雷板、开关等电气元器件等，详见设计;】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6FEE7F7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45ADB6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68DE604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1219.11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A476C7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3657.32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18989B2A">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26523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8702F0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70E2513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避雷器</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054B8E5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避雷器【网络避雷器;标称工作电压：5V； 最大持续工作电压：6V； 标称放电电流(8/20)：1.2KA； 响应时间：≤1NS；数据频宽：100MHZ；插入损耗： ≤0.3DB;含调试，具体参数和功能详见设计;】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04FD42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349BC86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747DC9B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272.16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309736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816.47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0EAFD5FD">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5724B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3ADB75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57E1D67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9430BF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管内配线【控制箱、抱杆箱的电源线敷设;RVV-3*2.5mm2;】</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142255B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EC0038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1200</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3A853F6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15.29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59A4A71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18345.01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3F2AD89C">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中视金诚</w:t>
            </w:r>
          </w:p>
        </w:tc>
      </w:tr>
      <w:tr w14:paraId="5884E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5617284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75715D8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658BE6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管内配线【摄像机电源线敷设;RVV-3*1.5mm2;】</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332F39A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25703A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4885D6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13.92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2A599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1392.43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9F3E338">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中视金诚</w:t>
            </w:r>
          </w:p>
        </w:tc>
      </w:tr>
      <w:tr w14:paraId="48D6F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5614829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171A5E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47031DA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管内配线【网线敷设;六类网线;UPT6;】</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86C265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2DD3F7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19F47E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7.50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0BE69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749.77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561B513E">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大华</w:t>
            </w:r>
          </w:p>
        </w:tc>
      </w:tr>
      <w:tr w14:paraId="148DE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055E8FA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7FB3185">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光缆</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3258D2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光缆【光纤穿管敷设;单模4芯;】</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6D50F2B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51199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1300</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0B7306D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6.82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81F80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8860.91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B463723">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5006B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3159E64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0FE70E3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双绞线缆测试</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B23279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双绞线缆测试【六类网线 测试;】</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2E90A49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链路</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4969D46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0A996A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29.64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E8982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88.92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4E2D390C">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3965E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054F310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05C6862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光纤盒</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2B85E26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光纤盒【光纤跳线、熔接等配件;光缆终端盒、尾纤等，含光纤熔接等;】</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33C05C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处</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E2CC49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627784E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1154.50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0F5555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3463.50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24D2CDFB">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3E6B8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0C1ED2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51C159F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光纤测试</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8D38F7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光纤测试【光纤测试;】</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339293C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链路</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B094ED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3CCD018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226.86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35EEFCD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680.58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34306BC8">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256D6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3507BCA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66E44C35">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违停抓拍监控杆及基础</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D29251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违停抓拍监控杆及基础【八角长臂杆(H7, L6);杆件表面需镀锌处理及喷塑;含钢筋砼C25基础及法兰、预埋件、紧固件等;详见图纸;】</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9C0EF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套</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31BB26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77DD598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12884.35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0FE7A1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12884.35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75504D53">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0954A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1708523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462B592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违停抓拍监控杆挑臂</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31F770D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违停抓拍监控杆【挑臂杆(L=1.5m);利用其他杆件固定，抱箍安装;悬臂杆件表面需镀锌处理及喷塑;含焊接施工及紧固件等;详见图纸;】</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340BA43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套</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5AEC0B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723F824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435.55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F3EC26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871.10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4A3E9B45">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1E3B5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311E2D2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B32028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电缆保护管</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B8A605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电缆保护管【增强塑料管埋地敷设,2根并行敷设，PE75*6.8,含管子主材、土方挖、填或余土外运;按单根长度计算;】</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784FE3E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m</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86D244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22EE498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60.89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D34698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18266.13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670C6B80">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0FE62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41CAC1A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60FF7BC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接地极</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4B75E94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接地极【接地极，镀锌圆钢φ20*4*1500，含接地镀锌扁铁连接-40*4;】</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461D5F1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根</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7F28AA6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785C59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173.61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0C798DE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520.82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26DF99DA">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5810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33B87B3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28234C0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标志板</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63AC28C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标志板【违法监控警告标志牌,方形600*900mm，铝合金板2mm，IV类反光膜，附着杆式安装；详见设计;】</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2E0D970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块</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3C72E5E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36D872F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292.12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3F9AFD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2044.83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02E7099E">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1A485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323B8B5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6110072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接地装置调试</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5F18BDF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接地装置调试【接地系统调试，含违停抓拍系统所有接地极调试;】</w:t>
            </w:r>
          </w:p>
        </w:tc>
        <w:tc>
          <w:tcPr>
            <w:tcW w:w="250" w:type="pct"/>
            <w:tcBorders>
              <w:top w:val="single" w:color="000000" w:sz="6" w:space="0"/>
              <w:left w:val="single" w:color="000000" w:sz="6" w:space="0"/>
              <w:bottom w:val="single" w:color="000000" w:sz="6" w:space="0"/>
              <w:right w:val="single" w:color="000000" w:sz="6" w:space="0"/>
            </w:tcBorders>
            <w:noWrap/>
            <w:vAlign w:val="center"/>
          </w:tcPr>
          <w:p w14:paraId="07B08F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系统</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7AC16E8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61" w:type="pct"/>
            <w:tcBorders>
              <w:top w:val="single" w:color="000000" w:sz="6" w:space="0"/>
              <w:left w:val="single" w:color="000000" w:sz="6" w:space="0"/>
              <w:bottom w:val="single" w:color="000000" w:sz="6" w:space="0"/>
              <w:right w:val="single" w:color="000000" w:sz="6" w:space="0"/>
            </w:tcBorders>
            <w:noWrap/>
            <w:vAlign w:val="center"/>
          </w:tcPr>
          <w:p w14:paraId="2D3B7B5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112.95 </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6D8034C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112.95 </w:t>
            </w:r>
          </w:p>
        </w:tc>
        <w:tc>
          <w:tcPr>
            <w:tcW w:w="467" w:type="pct"/>
            <w:tcBorders>
              <w:top w:val="single" w:color="000000" w:sz="6" w:space="0"/>
              <w:left w:val="single" w:color="000000" w:sz="6" w:space="0"/>
              <w:bottom w:val="single" w:color="000000" w:sz="6" w:space="0"/>
              <w:right w:val="single" w:color="000000" w:sz="6" w:space="0"/>
            </w:tcBorders>
            <w:noWrap/>
            <w:vAlign w:val="center"/>
          </w:tcPr>
          <w:p w14:paraId="4BFF0B2D">
            <w:pPr>
              <w:keepNext w:val="0"/>
              <w:keepLines w:val="0"/>
              <w:widowControl/>
              <w:suppressLineNumbers w:val="0"/>
              <w:jc w:val="center"/>
              <w:textAlignment w:val="center"/>
              <w:rPr>
                <w:rFonts w:hint="default" w:ascii="Arial" w:hAnsi="Arial" w:cs="Arial"/>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国产优质</w:t>
            </w:r>
          </w:p>
        </w:tc>
      </w:tr>
      <w:tr w14:paraId="146DA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53B3257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三</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48F16F6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合  计</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484ECF84">
            <w:pPr>
              <w:jc w:val="center"/>
              <w:rPr>
                <w:rFonts w:hint="eastAsia" w:ascii="宋体" w:hAnsi="宋体" w:eastAsia="宋体" w:cs="宋体"/>
                <w:b/>
                <w:bCs/>
                <w:i w:val="0"/>
                <w:iCs w:val="0"/>
                <w:color w:val="auto"/>
                <w:sz w:val="24"/>
                <w:szCs w:val="24"/>
                <w:highlight w:val="none"/>
                <w:u w:val="none"/>
              </w:rPr>
            </w:pPr>
          </w:p>
        </w:tc>
        <w:tc>
          <w:tcPr>
            <w:tcW w:w="250" w:type="pct"/>
            <w:tcBorders>
              <w:top w:val="single" w:color="000000" w:sz="6" w:space="0"/>
              <w:left w:val="single" w:color="000000" w:sz="6" w:space="0"/>
              <w:bottom w:val="single" w:color="000000" w:sz="6" w:space="0"/>
              <w:right w:val="single" w:color="000000" w:sz="6" w:space="0"/>
            </w:tcBorders>
            <w:noWrap w:val="0"/>
            <w:vAlign w:val="center"/>
          </w:tcPr>
          <w:p w14:paraId="5E5EE9E4">
            <w:pPr>
              <w:jc w:val="center"/>
              <w:rPr>
                <w:rFonts w:hint="eastAsia" w:ascii="宋体" w:hAnsi="宋体" w:eastAsia="宋体" w:cs="宋体"/>
                <w:b/>
                <w:bCs/>
                <w:i w:val="0"/>
                <w:iCs w:val="0"/>
                <w:color w:val="auto"/>
                <w:sz w:val="24"/>
                <w:szCs w:val="24"/>
                <w:highlight w:val="none"/>
                <w:u w:val="none"/>
              </w:rPr>
            </w:pP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1A6FF288">
            <w:pPr>
              <w:jc w:val="center"/>
              <w:rPr>
                <w:rFonts w:hint="eastAsia" w:ascii="宋体" w:hAnsi="宋体" w:eastAsia="宋体" w:cs="宋体"/>
                <w:b/>
                <w:bCs/>
                <w:i w:val="0"/>
                <w:iCs w:val="0"/>
                <w:color w:val="auto"/>
                <w:sz w:val="24"/>
                <w:szCs w:val="24"/>
                <w:highlight w:val="none"/>
                <w:u w:val="none"/>
              </w:rPr>
            </w:pP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A13A9F4">
            <w:pPr>
              <w:jc w:val="center"/>
              <w:rPr>
                <w:rFonts w:hint="eastAsia" w:ascii="宋体" w:hAnsi="宋体" w:eastAsia="宋体" w:cs="宋体"/>
                <w:i w:val="0"/>
                <w:iCs w:val="0"/>
                <w:color w:val="auto"/>
                <w:sz w:val="24"/>
                <w:szCs w:val="24"/>
                <w:highlight w:val="none"/>
                <w:u w:val="none"/>
              </w:rPr>
            </w:pP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54AC1BE6">
            <w:pPr>
              <w:keepNext w:val="0"/>
              <w:keepLines w:val="0"/>
              <w:widowControl/>
              <w:suppressLineNumbers w:val="0"/>
              <w:jc w:val="center"/>
              <w:textAlignment w:val="center"/>
              <w:rPr>
                <w:rFonts w:hint="default" w:ascii="宋体" w:hAnsi="宋体" w:eastAsia="宋体" w:cs="宋体"/>
                <w:b/>
                <w:bCs/>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1036000.00</w:t>
            </w:r>
          </w:p>
        </w:tc>
        <w:tc>
          <w:tcPr>
            <w:tcW w:w="467" w:type="pct"/>
            <w:tcBorders>
              <w:top w:val="single" w:color="000000" w:sz="6" w:space="0"/>
              <w:left w:val="single" w:color="000000" w:sz="6" w:space="0"/>
              <w:bottom w:val="single" w:color="000000" w:sz="6" w:space="0"/>
              <w:right w:val="single" w:color="000000" w:sz="6" w:space="0"/>
            </w:tcBorders>
            <w:noWrap/>
            <w:vAlign w:val="bottom"/>
          </w:tcPr>
          <w:p w14:paraId="1DEFD2D4">
            <w:pPr>
              <w:rPr>
                <w:rFonts w:hint="default" w:ascii="Arial" w:hAnsi="Arial" w:cs="Arial"/>
                <w:i w:val="0"/>
                <w:iCs w:val="0"/>
                <w:color w:val="auto"/>
                <w:sz w:val="24"/>
                <w:szCs w:val="24"/>
                <w:highlight w:val="none"/>
                <w:u w:val="none"/>
              </w:rPr>
            </w:pPr>
          </w:p>
        </w:tc>
      </w:tr>
      <w:tr w14:paraId="4833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62FBDFE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四</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0E31489A">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暂列金额</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48803009">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不可竞争费</w:t>
            </w:r>
          </w:p>
        </w:tc>
        <w:tc>
          <w:tcPr>
            <w:tcW w:w="250" w:type="pct"/>
            <w:tcBorders>
              <w:top w:val="single" w:color="000000" w:sz="6" w:space="0"/>
              <w:left w:val="single" w:color="000000" w:sz="6" w:space="0"/>
              <w:bottom w:val="single" w:color="000000" w:sz="6" w:space="0"/>
              <w:right w:val="single" w:color="000000" w:sz="6" w:space="0"/>
            </w:tcBorders>
            <w:noWrap w:val="0"/>
            <w:vAlign w:val="center"/>
          </w:tcPr>
          <w:p w14:paraId="7F67C59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项</w:t>
            </w: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6A4CE40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161BD40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100000</w:t>
            </w: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338EB9FA">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 xml:space="preserve">100000.00 </w:t>
            </w:r>
          </w:p>
        </w:tc>
        <w:tc>
          <w:tcPr>
            <w:tcW w:w="467" w:type="pct"/>
            <w:tcBorders>
              <w:top w:val="single" w:color="000000" w:sz="6" w:space="0"/>
              <w:left w:val="single" w:color="000000" w:sz="6" w:space="0"/>
              <w:bottom w:val="single" w:color="000000" w:sz="6" w:space="0"/>
              <w:right w:val="single" w:color="000000" w:sz="6" w:space="0"/>
            </w:tcBorders>
            <w:noWrap/>
            <w:vAlign w:val="bottom"/>
          </w:tcPr>
          <w:p w14:paraId="74D69103">
            <w:pPr>
              <w:rPr>
                <w:rFonts w:hint="default" w:ascii="Arial" w:hAnsi="Arial" w:cs="Arial"/>
                <w:i w:val="0"/>
                <w:iCs w:val="0"/>
                <w:color w:val="auto"/>
                <w:sz w:val="24"/>
                <w:szCs w:val="24"/>
                <w:highlight w:val="none"/>
                <w:u w:val="none"/>
              </w:rPr>
            </w:pPr>
          </w:p>
        </w:tc>
      </w:tr>
      <w:tr w14:paraId="4FEDE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62" w:type="pct"/>
            <w:tcBorders>
              <w:top w:val="single" w:color="000000" w:sz="6" w:space="0"/>
              <w:left w:val="single" w:color="000000" w:sz="6" w:space="0"/>
              <w:bottom w:val="single" w:color="000000" w:sz="6" w:space="0"/>
              <w:right w:val="single" w:color="000000" w:sz="6" w:space="0"/>
            </w:tcBorders>
            <w:noWrap w:val="0"/>
            <w:vAlign w:val="center"/>
          </w:tcPr>
          <w:p w14:paraId="7B1655F4">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五</w:t>
            </w:r>
          </w:p>
        </w:tc>
        <w:tc>
          <w:tcPr>
            <w:tcW w:w="603" w:type="pct"/>
            <w:tcBorders>
              <w:top w:val="single" w:color="000000" w:sz="6" w:space="0"/>
              <w:left w:val="single" w:color="000000" w:sz="6" w:space="0"/>
              <w:bottom w:val="single" w:color="000000" w:sz="6" w:space="0"/>
              <w:right w:val="single" w:color="000000" w:sz="6" w:space="0"/>
            </w:tcBorders>
            <w:noWrap w:val="0"/>
            <w:vAlign w:val="center"/>
          </w:tcPr>
          <w:p w14:paraId="1FDAF13C">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总计</w:t>
            </w:r>
          </w:p>
        </w:tc>
        <w:tc>
          <w:tcPr>
            <w:tcW w:w="2126" w:type="pct"/>
            <w:tcBorders>
              <w:top w:val="single" w:color="000000" w:sz="6" w:space="0"/>
              <w:left w:val="single" w:color="000000" w:sz="6" w:space="0"/>
              <w:bottom w:val="single" w:color="000000" w:sz="6" w:space="0"/>
              <w:right w:val="single" w:color="000000" w:sz="6" w:space="0"/>
            </w:tcBorders>
            <w:noWrap w:val="0"/>
            <w:vAlign w:val="center"/>
          </w:tcPr>
          <w:p w14:paraId="3E053400">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三+四</w:t>
            </w:r>
          </w:p>
        </w:tc>
        <w:tc>
          <w:tcPr>
            <w:tcW w:w="250" w:type="pct"/>
            <w:tcBorders>
              <w:top w:val="single" w:color="000000" w:sz="6" w:space="0"/>
              <w:left w:val="single" w:color="000000" w:sz="6" w:space="0"/>
              <w:bottom w:val="single" w:color="000000" w:sz="6" w:space="0"/>
              <w:right w:val="single" w:color="000000" w:sz="6" w:space="0"/>
            </w:tcBorders>
            <w:noWrap w:val="0"/>
            <w:vAlign w:val="center"/>
          </w:tcPr>
          <w:p w14:paraId="7D64D2EF">
            <w:pPr>
              <w:jc w:val="center"/>
              <w:rPr>
                <w:rFonts w:hint="eastAsia" w:ascii="宋体" w:hAnsi="宋体" w:eastAsia="宋体" w:cs="宋体"/>
                <w:i w:val="0"/>
                <w:iCs w:val="0"/>
                <w:color w:val="auto"/>
                <w:sz w:val="24"/>
                <w:szCs w:val="24"/>
                <w:highlight w:val="none"/>
                <w:u w:val="none"/>
              </w:rPr>
            </w:pPr>
          </w:p>
        </w:tc>
        <w:tc>
          <w:tcPr>
            <w:tcW w:w="313" w:type="pct"/>
            <w:tcBorders>
              <w:top w:val="single" w:color="000000" w:sz="6" w:space="0"/>
              <w:left w:val="single" w:color="000000" w:sz="6" w:space="0"/>
              <w:bottom w:val="single" w:color="000000" w:sz="6" w:space="0"/>
              <w:right w:val="single" w:color="000000" w:sz="6" w:space="0"/>
            </w:tcBorders>
            <w:noWrap w:val="0"/>
            <w:vAlign w:val="center"/>
          </w:tcPr>
          <w:p w14:paraId="01264212">
            <w:pPr>
              <w:jc w:val="center"/>
              <w:rPr>
                <w:rFonts w:hint="eastAsia" w:ascii="宋体" w:hAnsi="宋体" w:eastAsia="宋体" w:cs="宋体"/>
                <w:i w:val="0"/>
                <w:iCs w:val="0"/>
                <w:color w:val="auto"/>
                <w:sz w:val="24"/>
                <w:szCs w:val="24"/>
                <w:highlight w:val="none"/>
                <w:u w:val="none"/>
              </w:rPr>
            </w:pP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03406BCF">
            <w:pPr>
              <w:jc w:val="center"/>
              <w:rPr>
                <w:rFonts w:hint="eastAsia" w:ascii="宋体" w:hAnsi="宋体" w:eastAsia="宋体" w:cs="宋体"/>
                <w:i w:val="0"/>
                <w:iCs w:val="0"/>
                <w:color w:val="auto"/>
                <w:sz w:val="24"/>
                <w:szCs w:val="24"/>
                <w:highlight w:val="none"/>
                <w:u w:val="none"/>
              </w:rPr>
            </w:pPr>
          </w:p>
        </w:tc>
        <w:tc>
          <w:tcPr>
            <w:tcW w:w="515" w:type="pct"/>
            <w:tcBorders>
              <w:top w:val="single" w:color="000000" w:sz="6" w:space="0"/>
              <w:left w:val="single" w:color="000000" w:sz="6" w:space="0"/>
              <w:bottom w:val="single" w:color="000000" w:sz="6" w:space="0"/>
              <w:right w:val="single" w:color="000000" w:sz="6" w:space="0"/>
            </w:tcBorders>
            <w:noWrap w:val="0"/>
            <w:vAlign w:val="center"/>
          </w:tcPr>
          <w:p w14:paraId="79D4F204">
            <w:pPr>
              <w:keepNext w:val="0"/>
              <w:keepLines w:val="0"/>
              <w:widowControl/>
              <w:suppressLineNumbers w:val="0"/>
              <w:jc w:val="center"/>
              <w:textAlignment w:val="center"/>
              <w:rPr>
                <w:rFonts w:hint="default" w:ascii="宋体" w:hAnsi="宋体" w:eastAsia="宋体" w:cs="宋体"/>
                <w:b/>
                <w:bCs/>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1136000.00</w:t>
            </w:r>
          </w:p>
        </w:tc>
        <w:tc>
          <w:tcPr>
            <w:tcW w:w="467" w:type="pct"/>
            <w:tcBorders>
              <w:top w:val="single" w:color="000000" w:sz="6" w:space="0"/>
              <w:left w:val="single" w:color="000000" w:sz="6" w:space="0"/>
              <w:bottom w:val="single" w:color="000000" w:sz="6" w:space="0"/>
              <w:right w:val="single" w:color="000000" w:sz="6" w:space="0"/>
            </w:tcBorders>
            <w:noWrap/>
            <w:vAlign w:val="bottom"/>
          </w:tcPr>
          <w:p w14:paraId="73EE0A81">
            <w:pPr>
              <w:rPr>
                <w:rFonts w:hint="default" w:ascii="Arial" w:hAnsi="Arial" w:cs="Arial"/>
                <w:i w:val="0"/>
                <w:iCs w:val="0"/>
                <w:color w:val="auto"/>
                <w:sz w:val="24"/>
                <w:szCs w:val="24"/>
                <w:highlight w:val="none"/>
                <w:u w:val="none"/>
              </w:rPr>
            </w:pPr>
          </w:p>
        </w:tc>
      </w:tr>
    </w:tbl>
    <w:p w14:paraId="2D06C1B1">
      <w:pPr>
        <w:autoSpaceDE w:val="0"/>
        <w:autoSpaceDN w:val="0"/>
        <w:adjustRightInd w:val="0"/>
        <w:snapToGrid w:val="0"/>
        <w:spacing w:before="25" w:after="25" w:line="360" w:lineRule="auto"/>
        <w:rPr>
          <w:rFonts w:hint="eastAsia"/>
          <w:color w:val="auto"/>
          <w:sz w:val="24"/>
          <w:highlight w:val="none"/>
          <w:lang w:val="en-US" w:eastAsia="zh-CN"/>
        </w:rPr>
      </w:pPr>
    </w:p>
    <w:p w14:paraId="1C973FCD">
      <w:pPr>
        <w:autoSpaceDE w:val="0"/>
        <w:autoSpaceDN w:val="0"/>
        <w:adjustRightInd w:val="0"/>
        <w:snapToGrid w:val="0"/>
        <w:spacing w:before="25" w:after="25" w:line="360" w:lineRule="auto"/>
        <w:rPr>
          <w:rFonts w:hint="default" w:eastAsia="宋体"/>
          <w:color w:val="auto"/>
          <w:sz w:val="24"/>
          <w:highlight w:val="none"/>
          <w:lang w:val="en-US" w:eastAsia="zh-CN"/>
        </w:rPr>
      </w:pPr>
      <w:r>
        <w:rPr>
          <w:rFonts w:hint="eastAsia"/>
          <w:color w:val="auto"/>
          <w:sz w:val="24"/>
          <w:highlight w:val="none"/>
          <w:lang w:val="en-US" w:eastAsia="zh-CN"/>
        </w:rPr>
        <w:t>备注：以上报价为含税价格。</w:t>
      </w:r>
    </w:p>
    <w:p w14:paraId="293CE729">
      <w:pPr>
        <w:keepNext w:val="0"/>
        <w:keepLines w:val="0"/>
        <w:pageBreakBefore w:val="0"/>
        <w:widowControl w:val="0"/>
        <w:tabs>
          <w:tab w:val="left" w:pos="5594"/>
        </w:tabs>
        <w:kinsoku w:val="0"/>
        <w:wordWrap/>
        <w:overflowPunct w:val="0"/>
        <w:topLinePunct w:val="0"/>
        <w:autoSpaceDE w:val="0"/>
        <w:autoSpaceDN w:val="0"/>
        <w:bidi w:val="0"/>
        <w:adjustRightInd w:val="0"/>
        <w:snapToGrid/>
        <w:spacing w:line="360" w:lineRule="auto"/>
        <w:ind w:right="0"/>
        <w:textAlignment w:val="auto"/>
        <w:rPr>
          <w:rFonts w:hint="eastAsia" w:ascii="宋体" w:hAnsi="宋体" w:eastAsia="宋体" w:cs="宋体"/>
          <w:color w:val="auto"/>
          <w:spacing w:val="-10"/>
          <w:sz w:val="24"/>
          <w:szCs w:val="24"/>
          <w:highlight w:val="none"/>
        </w:rPr>
      </w:pPr>
    </w:p>
    <w:sectPr>
      <w:pgSz w:w="16838" w:h="11906" w:orient="landscape"/>
      <w:pgMar w:top="1803" w:right="1440" w:bottom="1803" w:left="1440"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KSOF4B1AA1F4">
    <w:panose1 w:val="02000000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C009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8DDA9D">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18DDA9D">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AA66B3"/>
    <w:multiLevelType w:val="multilevel"/>
    <w:tmpl w:val="39AA66B3"/>
    <w:lvl w:ilvl="0" w:tentative="0">
      <w:start w:val="1"/>
      <w:numFmt w:val="decimal"/>
      <w:suff w:val="space"/>
      <w:lvlText w:val="%1."/>
      <w:lvlJc w:val="left"/>
      <w:rPr>
        <w:rFonts w:hint="default" w:cs="Times New Roman"/>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F3752"/>
    <w:rsid w:val="010618EC"/>
    <w:rsid w:val="031F2043"/>
    <w:rsid w:val="03EC0177"/>
    <w:rsid w:val="05656433"/>
    <w:rsid w:val="08F17FDE"/>
    <w:rsid w:val="09644C54"/>
    <w:rsid w:val="0A3C34DB"/>
    <w:rsid w:val="0A911A78"/>
    <w:rsid w:val="0C945850"/>
    <w:rsid w:val="0F501F02"/>
    <w:rsid w:val="0FB13B6D"/>
    <w:rsid w:val="10190546"/>
    <w:rsid w:val="101C0036"/>
    <w:rsid w:val="13FD1F2D"/>
    <w:rsid w:val="142E658A"/>
    <w:rsid w:val="15EE5FD1"/>
    <w:rsid w:val="19E41BC5"/>
    <w:rsid w:val="19FA13E8"/>
    <w:rsid w:val="1BDE43F2"/>
    <w:rsid w:val="1E5B441F"/>
    <w:rsid w:val="224F1BA5"/>
    <w:rsid w:val="22AE092C"/>
    <w:rsid w:val="243F3E9B"/>
    <w:rsid w:val="25DC4098"/>
    <w:rsid w:val="275F0ADD"/>
    <w:rsid w:val="2A1D07DB"/>
    <w:rsid w:val="2AE31A25"/>
    <w:rsid w:val="2B3E4EAD"/>
    <w:rsid w:val="2C136339"/>
    <w:rsid w:val="2CB30D3F"/>
    <w:rsid w:val="2D300825"/>
    <w:rsid w:val="2DE27D71"/>
    <w:rsid w:val="2E093550"/>
    <w:rsid w:val="2E4B1DBB"/>
    <w:rsid w:val="2EA65243"/>
    <w:rsid w:val="2EB37960"/>
    <w:rsid w:val="2F8B61E7"/>
    <w:rsid w:val="3199108F"/>
    <w:rsid w:val="327D275F"/>
    <w:rsid w:val="32F2456C"/>
    <w:rsid w:val="345B262C"/>
    <w:rsid w:val="357C0AAC"/>
    <w:rsid w:val="37DE1436"/>
    <w:rsid w:val="397C551E"/>
    <w:rsid w:val="39F709F4"/>
    <w:rsid w:val="3ACD1DA9"/>
    <w:rsid w:val="3BBA232E"/>
    <w:rsid w:val="3C2B6D87"/>
    <w:rsid w:val="3CBB45AF"/>
    <w:rsid w:val="3CD45671"/>
    <w:rsid w:val="3FEC0F24"/>
    <w:rsid w:val="406C796F"/>
    <w:rsid w:val="42042555"/>
    <w:rsid w:val="420A743F"/>
    <w:rsid w:val="42360234"/>
    <w:rsid w:val="44A030AA"/>
    <w:rsid w:val="454A4722"/>
    <w:rsid w:val="47655843"/>
    <w:rsid w:val="47E820D3"/>
    <w:rsid w:val="4812704D"/>
    <w:rsid w:val="48573FB3"/>
    <w:rsid w:val="49A168DB"/>
    <w:rsid w:val="4A205A52"/>
    <w:rsid w:val="505C6D4E"/>
    <w:rsid w:val="52344790"/>
    <w:rsid w:val="53C408F6"/>
    <w:rsid w:val="53E06252"/>
    <w:rsid w:val="5563713A"/>
    <w:rsid w:val="573C7C43"/>
    <w:rsid w:val="57407733"/>
    <w:rsid w:val="59CA7788"/>
    <w:rsid w:val="5C6914DA"/>
    <w:rsid w:val="5CB36BF9"/>
    <w:rsid w:val="5DA16A52"/>
    <w:rsid w:val="5E802B0B"/>
    <w:rsid w:val="5EF01A3F"/>
    <w:rsid w:val="5F816B3B"/>
    <w:rsid w:val="5FFE63DD"/>
    <w:rsid w:val="62173786"/>
    <w:rsid w:val="64A55079"/>
    <w:rsid w:val="64B27F6D"/>
    <w:rsid w:val="66CC325D"/>
    <w:rsid w:val="678A0557"/>
    <w:rsid w:val="6DE10076"/>
    <w:rsid w:val="6FC0720B"/>
    <w:rsid w:val="719063B4"/>
    <w:rsid w:val="73B13A3B"/>
    <w:rsid w:val="760F67F7"/>
    <w:rsid w:val="76654669"/>
    <w:rsid w:val="768D4F6E"/>
    <w:rsid w:val="775C3CBE"/>
    <w:rsid w:val="78623556"/>
    <w:rsid w:val="787E2BB5"/>
    <w:rsid w:val="7B2F16E9"/>
    <w:rsid w:val="7D957F29"/>
    <w:rsid w:val="7DD56578"/>
    <w:rsid w:val="7DF82266"/>
    <w:rsid w:val="7E6B0C8A"/>
    <w:rsid w:val="7F336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1"/>
    <w:next w:val="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39"/>
    <w:pPr>
      <w:tabs>
        <w:tab w:val="left" w:pos="1050"/>
        <w:tab w:val="right" w:leader="dot" w:pos="8937"/>
      </w:tabs>
      <w:spacing w:line="300" w:lineRule="auto"/>
    </w:pPr>
    <w:rPr>
      <w:rFonts w:ascii="宋体" w:hAnsi="宋体"/>
      <w:b/>
      <w:sz w:val="24"/>
    </w:rPr>
  </w:style>
  <w:style w:type="table" w:styleId="9">
    <w:name w:val="Table Grid"/>
    <w:basedOn w:val="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3">
    <w:name w:val="_Style 8"/>
    <w:basedOn w:val="2"/>
    <w:next w:val="1"/>
    <w:qFormat/>
    <w:uiPriority w:val="0"/>
    <w:pPr>
      <w:spacing w:before="340" w:after="330" w:line="576" w:lineRule="auto"/>
      <w:outlineLvl w:val="9"/>
    </w:pPr>
    <w:rPr>
      <w:rFonts w:ascii="Calibri" w:hAnsi="Calibri"/>
      <w:sz w:val="44"/>
    </w:rPr>
  </w:style>
  <w:style w:type="paragraph" w:customStyle="1" w:styleId="14">
    <w:name w:val="正文_433"/>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67</Pages>
  <Words>28304</Words>
  <Characters>29740</Characters>
  <Lines>0</Lines>
  <Paragraphs>0</Paragraphs>
  <TotalTime>7</TotalTime>
  <ScaleCrop>false</ScaleCrop>
  <LinksUpToDate>false</LinksUpToDate>
  <CharactersWithSpaces>30110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2025-10-31T01:47:00Z</dcterms:created>
  <dc:creator>Administrator</dc:creator>
  <cp:lastModifiedBy>快乐一生</cp:lastModifiedBy>
  <dcterms:modified xsi:type="dcterms:W3CDTF">2025-11-26T08:15:11Z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eyJoZGlkIjoiMzE4ZTMyZjk2YmMyNzdiOGE0ZWNjODRkZDRhZTJhZTYiLCJ1c2VySWQiOiI0ODM0NTE4MjEifQ==</vt:lpwstr>
  </property>
  <property fmtid="{D5CDD505-2E9C-101B-9397-08002B2CF9AE}" pid="4" name="ICV">
    <vt:lpwstr>E92DBA657C8245C4A2340CBCA91C72AA_13</vt:lpwstr>
  </property>
</Properties>
</file>