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highlight w:val="none"/>
        </w:rPr>
      </w:pPr>
      <w:r>
        <w:rPr>
          <w:highlight w:val="none"/>
        </w:rPr>
      </w:r>
      <w:r/>
    </w:p>
    <w:p>
      <w:pPr>
        <w:rPr>
          <w:highlight w:val="none"/>
        </w:rPr>
      </w:pPr>
      <w:r/>
      <w:bookmarkStart w:id="0" w:name="EB3ace3d43b98b41779337deb808be6fa3"/>
      <w:r>
        <w:rPr>
          <w:rFonts w:hint="eastAsia"/>
          <w:color w:val="000080"/>
          <w:sz w:val="20"/>
          <w:highlight w:val="none"/>
        </w:rPr>
        <w:t xml:space="preserve"> </w:t>
      </w:r>
      <w:bookmarkEnd w:id="0"/>
      <w:r/>
      <w:bookmarkStart w:id="1" w:name="EB57dd2a69e2b54b0cb3f5c2f03a1ab7bf"/>
      <w:r>
        <w:rPr>
          <w:rFonts w:hint="eastAsia"/>
          <w:color w:val="000080"/>
          <w:sz w:val="20"/>
          <w:highlight w:val="none"/>
        </w:rPr>
        <w:t xml:space="preserve"> </w:t>
      </w:r>
      <w:bookmarkEnd w:id="1"/>
      <w:r/>
      <w:r/>
    </w:p>
    <w:p>
      <w:pPr>
        <w:rPr>
          <w:highlight w:val="none"/>
        </w:rPr>
      </w:pPr>
      <w:r>
        <w:rPr>
          <w:highlight w:val="none"/>
        </w:rPr>
      </w:r>
      <w:r/>
    </w:p>
    <w:p>
      <w:pPr>
        <w:pStyle w:val="976"/>
        <w:ind w:firstLine="0"/>
        <w:jc w:val="center"/>
        <w:rPr>
          <w:rFonts w:ascii="Times New Roman" w:hAnsi="Times New Roman" w:eastAsia="黑体"/>
          <w:b/>
          <w:bCs/>
          <w:sz w:val="84"/>
          <w:highlight w:val="none"/>
        </w:rPr>
      </w:pPr>
      <w:r>
        <w:rPr>
          <w:rFonts w:hint="eastAsia" w:ascii="Times New Roman" w:hAnsi="Times New Roman" w:eastAsia="黑体"/>
          <w:b/>
          <w:bCs/>
          <w:sz w:val="84"/>
          <w:highlight w:val="none"/>
        </w:rPr>
        <w:t xml:space="preserve">招　标　文　件</w:t>
      </w:r>
      <w:r/>
    </w:p>
    <w:p>
      <w:pPr>
        <w:pStyle w:val="976"/>
        <w:ind w:firstLine="0"/>
        <w:jc w:val="center"/>
        <w:spacing w:line="600" w:lineRule="auto"/>
        <w:rPr>
          <w:rFonts w:ascii="Times New Roman" w:hAnsi="Times New Roman"/>
          <w:b/>
          <w:bCs/>
          <w:sz w:val="32"/>
          <w:highlight w:val="none"/>
        </w:rPr>
      </w:pPr>
      <w:r>
        <w:rPr>
          <w:rFonts w:hint="eastAsia" w:ascii="Times New Roman" w:hAnsi="Times New Roman"/>
          <w:b/>
          <w:bCs/>
          <w:sz w:val="32"/>
          <w:highlight w:val="none"/>
        </w:rPr>
        <w:t xml:space="preserve">项目名称：</w:t>
      </w:r>
      <w:r>
        <w:rPr>
          <w:rFonts w:hint="eastAsia" w:ascii="Times New Roman" w:hAnsi="Times New Roman"/>
          <w:b/>
          <w:sz w:val="30"/>
          <w:szCs w:val="30"/>
          <w:highlight w:val="none"/>
        </w:rPr>
        <w:t xml:space="preserve">宿城区房地一体农村不动产登记发证</w:t>
      </w:r>
      <w:r/>
    </w:p>
    <w:p>
      <w:pPr>
        <w:ind w:firstLine="1606"/>
        <w:spacing w:line="600" w:lineRule="auto"/>
        <w:rPr>
          <w:rFonts w:ascii="Times New Roman" w:hAnsi="Times New Roman"/>
          <w:b/>
          <w:bCs/>
          <w:sz w:val="32"/>
          <w:highlight w:val="none"/>
        </w:rPr>
      </w:pPr>
      <w:r>
        <w:rPr>
          <w:rFonts w:hint="eastAsia" w:ascii="Times New Roman" w:hAnsi="Times New Roman"/>
          <w:b/>
          <w:bCs/>
          <w:sz w:val="32"/>
          <w:highlight w:val="none"/>
        </w:rPr>
        <w:t xml:space="preserve">项目编号：</w:t>
      </w:r>
      <w:r>
        <w:rPr>
          <w:rFonts w:hint="eastAsia" w:ascii="Times New Roman" w:hAnsi="Times New Roman"/>
          <w:b/>
          <w:bCs/>
          <w:sz w:val="32"/>
          <w:highlight w:val="none"/>
          <w:lang w:eastAsia="zh-CN"/>
        </w:rPr>
        <w:t xml:space="preserve">JSZC-321302-WDGC-G2024-0010</w:t>
      </w:r>
      <w:r>
        <w:rPr>
          <w:rFonts w:hint="eastAsia" w:ascii="Times New Roman" w:hAnsi="Times New Roman"/>
          <w:b/>
          <w:bCs/>
          <w:sz w:val="32"/>
          <w:highlight w:val="none"/>
        </w:rPr>
        <w:tab/>
      </w:r>
      <w:r/>
    </w:p>
    <w:p>
      <w:pPr>
        <w:ind w:firstLine="1506"/>
        <w:spacing w:line="600" w:lineRule="auto"/>
        <w:rPr>
          <w:rFonts w:ascii="Times New Roman" w:hAnsi="Times New Roman"/>
          <w:b/>
          <w:sz w:val="30"/>
          <w:szCs w:val="30"/>
          <w:highlight w:val="none"/>
        </w:rPr>
      </w:pPr>
      <w:r>
        <w:rPr>
          <w:rFonts w:hint="eastAsia" w:ascii="Times New Roman" w:hAnsi="Times New Roman"/>
          <w:b/>
          <w:sz w:val="30"/>
          <w:szCs w:val="30"/>
          <w:highlight w:val="none"/>
        </w:rPr>
        <w:t xml:space="preserve">（服务类项目</w:t>
      </w:r>
      <w:r>
        <w:rPr>
          <w:rFonts w:ascii="Times New Roman" w:hAnsi="Times New Roman"/>
          <w:b/>
          <w:sz w:val="30"/>
          <w:szCs w:val="30"/>
          <w:highlight w:val="none"/>
        </w:rPr>
        <w:t xml:space="preserve">，</w:t>
      </w:r>
      <w:r>
        <w:rPr>
          <w:rFonts w:hint="eastAsia"/>
          <w:b/>
          <w:sz w:val="30"/>
          <w:szCs w:val="30"/>
          <w:highlight w:val="none"/>
          <w:u w:val="single"/>
        </w:rPr>
        <w:t xml:space="preserve">非</w:t>
      </w:r>
      <w:r>
        <w:rPr>
          <w:rFonts w:hint="eastAsia" w:ascii="Times New Roman" w:hAnsi="Times New Roman"/>
          <w:b/>
          <w:sz w:val="30"/>
          <w:szCs w:val="30"/>
          <w:highlight w:val="none"/>
        </w:rPr>
        <w:t xml:space="preserve">专门面向中小企业）</w:t>
      </w:r>
      <w:r/>
    </w:p>
    <w:p>
      <w:pPr>
        <w:pStyle w:val="976"/>
        <w:ind w:firstLine="0"/>
        <w:spacing w:before="0" w:after="0"/>
        <w:rPr>
          <w:rFonts w:ascii="Times New Roman" w:hAnsi="Times New Roman"/>
          <w:highlight w:val="none"/>
        </w:rPr>
      </w:pPr>
      <w:r>
        <w:rPr>
          <w:rFonts w:ascii="Times New Roman" w:hAnsi="Times New Roman"/>
          <w:highlight w:val="none"/>
        </w:rPr>
      </w:r>
      <w:r/>
    </w:p>
    <w:p>
      <w:pPr>
        <w:pStyle w:val="976"/>
        <w:ind w:firstLine="0"/>
        <w:spacing w:before="0" w:after="0"/>
        <w:rPr>
          <w:rFonts w:ascii="Times New Roman" w:hAnsi="Times New Roman"/>
          <w:highlight w:val="none"/>
        </w:rPr>
      </w:pPr>
      <w:r/>
      <w:bookmarkStart w:id="202" w:name="_GoBack"/>
      <w:r/>
      <w:bookmarkEnd w:id="202"/>
      <w:r/>
      <w:r/>
    </w:p>
    <w:p>
      <w:pPr>
        <w:pStyle w:val="976"/>
        <w:ind w:firstLine="0"/>
        <w:spacing w:before="0" w:after="0"/>
        <w:rPr>
          <w:rFonts w:ascii="Times New Roman" w:hAnsi="Times New Roman"/>
          <w:highlight w:val="none"/>
        </w:rPr>
      </w:pPr>
      <w:r>
        <w:rPr>
          <w:rFonts w:ascii="Times New Roman" w:hAnsi="Times New Roman"/>
          <w:highlight w:val="none"/>
        </w:rPr>
      </w:r>
      <w:r/>
    </w:p>
    <w:p>
      <w:pPr>
        <w:pStyle w:val="976"/>
        <w:ind w:firstLine="0"/>
        <w:spacing w:before="0" w:after="0"/>
        <w:rPr>
          <w:rFonts w:ascii="Times New Roman" w:hAnsi="Times New Roman"/>
          <w:highlight w:val="none"/>
        </w:rPr>
      </w:pPr>
      <w:r>
        <w:rPr>
          <w:rFonts w:ascii="Times New Roman" w:hAnsi="Times New Roman"/>
          <w:highlight w:val="none"/>
        </w:rPr>
      </w:r>
      <w:r/>
    </w:p>
    <w:p>
      <w:pPr>
        <w:pStyle w:val="976"/>
        <w:ind w:firstLine="0"/>
        <w:spacing w:before="0" w:after="0"/>
        <w:rPr>
          <w:rFonts w:ascii="Times New Roman" w:hAnsi="Times New Roman"/>
          <w:highlight w:val="none"/>
        </w:rPr>
      </w:pPr>
      <w:r>
        <w:rPr>
          <w:rFonts w:ascii="Times New Roman" w:hAnsi="Times New Roman"/>
          <w:highlight w:val="none"/>
        </w:rPr>
      </w:r>
      <w:r/>
    </w:p>
    <w:p>
      <w:pPr>
        <w:pStyle w:val="976"/>
        <w:ind w:firstLine="0"/>
        <w:spacing w:before="0" w:after="0"/>
        <w:rPr>
          <w:rFonts w:ascii="Times New Roman" w:hAnsi="Times New Roman"/>
          <w:highlight w:val="none"/>
        </w:rPr>
      </w:pPr>
      <w:r>
        <w:rPr>
          <w:rFonts w:ascii="Times New Roman" w:hAnsi="Times New Roman"/>
          <w:highlight w:val="none"/>
        </w:rPr>
      </w:r>
      <w:r/>
    </w:p>
    <w:p>
      <w:pPr>
        <w:pStyle w:val="976"/>
        <w:ind w:firstLine="1690"/>
        <w:jc w:val="both"/>
        <w:rPr>
          <w:rFonts w:ascii="Times New Roman" w:hAnsi="Times New Roman"/>
          <w:b/>
          <w:bCs/>
          <w:sz w:val="32"/>
          <w:highlight w:val="none"/>
          <w:u w:val="single"/>
        </w:rPr>
      </w:pPr>
      <w:r>
        <w:rPr>
          <w:rFonts w:hint="eastAsia" w:ascii="Times New Roman" w:hAnsi="Times New Roman"/>
          <w:b/>
          <w:bCs/>
          <w:sz w:val="32"/>
          <w:highlight w:val="none"/>
        </w:rPr>
        <w:t xml:space="preserve">采购人：</w:t>
      </w:r>
      <w:r>
        <w:rPr>
          <w:rFonts w:hint="eastAsia" w:ascii="Times New Roman" w:hAnsi="Times New Roman"/>
          <w:b/>
          <w:bCs/>
          <w:sz w:val="32"/>
          <w:highlight w:val="none"/>
          <w:u w:val="single"/>
        </w:rPr>
        <w:t xml:space="preserve">  宿迁市自然资源和规划局宿城分局  </w:t>
      </w:r>
      <w:r/>
    </w:p>
    <w:p>
      <w:pPr>
        <w:pStyle w:val="976"/>
        <w:ind w:firstLine="1606"/>
        <w:jc w:val="both"/>
        <w:rPr>
          <w:rFonts w:ascii="Times New Roman" w:hAnsi="Times New Roman"/>
          <w:b/>
          <w:bCs/>
          <w:sz w:val="32"/>
          <w:highlight w:val="none"/>
          <w:u w:val="single"/>
        </w:rPr>
      </w:pPr>
      <w:r>
        <w:rPr>
          <w:rFonts w:hint="eastAsia" w:ascii="Times New Roman" w:hAnsi="Times New Roman"/>
          <w:b/>
          <w:bCs/>
          <w:sz w:val="32"/>
          <w:highlight w:val="none"/>
        </w:rPr>
        <w:t xml:space="preserve">采购代理机构：</w:t>
      </w:r>
      <w:r>
        <w:rPr>
          <w:rFonts w:hint="eastAsia" w:ascii="Times New Roman" w:hAnsi="Times New Roman"/>
          <w:b/>
          <w:bCs/>
          <w:sz w:val="32"/>
          <w:highlight w:val="none"/>
          <w:u w:val="single"/>
        </w:rPr>
        <w:t xml:space="preserve"> 江苏文鼎工程管理有限公司  </w:t>
      </w:r>
      <w:r/>
    </w:p>
    <w:p>
      <w:pPr>
        <w:pStyle w:val="976"/>
        <w:ind w:firstLine="2570"/>
        <w:jc w:val="both"/>
        <w:rPr>
          <w:rFonts w:ascii="Times New Roman" w:hAnsi="Times New Roman"/>
          <w:b/>
          <w:bCs/>
          <w:sz w:val="32"/>
          <w:highlight w:val="none"/>
        </w:rPr>
      </w:pPr>
      <w:r>
        <w:rPr>
          <w:rFonts w:hint="eastAsia" w:ascii="Times New Roman" w:hAnsi="Times New Roman"/>
          <w:b/>
          <w:bCs/>
          <w:sz w:val="32"/>
          <w:highlight w:val="none"/>
        </w:rPr>
        <w:t xml:space="preserve">2024年0</w:t>
      </w:r>
      <w:r>
        <w:rPr>
          <w:rFonts w:hint="eastAsia" w:ascii="Times New Roman" w:hAnsi="Times New Roman"/>
          <w:b/>
          <w:bCs/>
          <w:sz w:val="32"/>
          <w:highlight w:val="none"/>
          <w:lang w:val="en-US" w:eastAsia="zh-CN"/>
        </w:rPr>
        <w:t xml:space="preserve">9</w:t>
      </w:r>
      <w:r>
        <w:rPr>
          <w:rFonts w:hint="eastAsia" w:ascii="Times New Roman" w:hAnsi="Times New Roman"/>
          <w:b/>
          <w:bCs/>
          <w:sz w:val="32"/>
          <w:highlight w:val="none"/>
        </w:rPr>
        <w:t xml:space="preserve">月</w:t>
      </w:r>
      <w:r>
        <w:rPr>
          <w:rFonts w:hint="eastAsia" w:ascii="Times New Roman" w:hAnsi="Times New Roman"/>
          <w:b/>
          <w:bCs/>
          <w:sz w:val="32"/>
          <w:highlight w:val="none"/>
          <w:lang w:val="en-US" w:eastAsia="zh-CN"/>
        </w:rPr>
        <w:t xml:space="preserve">03</w:t>
      </w:r>
      <w:r>
        <w:rPr>
          <w:rFonts w:hint="eastAsia" w:ascii="Times New Roman" w:hAnsi="Times New Roman"/>
          <w:b/>
          <w:bCs/>
          <w:sz w:val="32"/>
          <w:highlight w:val="none"/>
        </w:rPr>
        <w:t xml:space="preserve">日</w:t>
      </w:r>
      <w:r/>
    </w:p>
    <w:p>
      <w:pPr>
        <w:jc w:val="center"/>
        <w:keepLines/>
        <w:keepNext/>
        <w:pageBreakBefore/>
        <w:rPr>
          <w:b/>
          <w:sz w:val="32"/>
          <w:szCs w:val="32"/>
          <w:highlight w:val="none"/>
        </w:rPr>
      </w:pPr>
      <w:r>
        <w:rPr>
          <w:rFonts w:hint="eastAsia"/>
          <w:b/>
          <w:sz w:val="32"/>
          <w:szCs w:val="32"/>
          <w:highlight w:val="none"/>
        </w:rPr>
        <w:t xml:space="preserve">目 录</w:t>
      </w:r>
      <w:r/>
    </w:p>
    <w:p>
      <w:pPr>
        <w:pStyle w:val="667"/>
        <w:tabs>
          <w:tab w:val="right" w:pos="8844" w:leader="dot"/>
        </w:tabs>
        <w:rPr>
          <w:highlight w:val="none"/>
        </w:rPr>
      </w:pPr>
      <w:r>
        <w:rPr>
          <w:highlight w:val="none"/>
        </w:rPr>
        <w:fldChar w:fldCharType="begin"/>
      </w:r>
      <w:r>
        <w:rPr>
          <w:highlight w:val="none"/>
        </w:rPr>
        <w:instrText xml:space="preserve"> </w:instrText>
      </w:r>
      <w:r>
        <w:rPr>
          <w:rFonts w:hint="eastAsia"/>
          <w:highlight w:val="none"/>
        </w:rPr>
        <w:instrText xml:space="preserve">TOC \o "1-3" \h \z \u</w:instrText>
      </w:r>
      <w:r>
        <w:rPr>
          <w:highlight w:val="none"/>
        </w:rPr>
        <w:instrText xml:space="preserve"> </w:instrText>
      </w:r>
      <w:r>
        <w:rPr>
          <w:highlight w:val="none"/>
        </w:rPr>
        <w:fldChar w:fldCharType="separate"/>
      </w:r>
      <w:r>
        <w:rPr>
          <w:highlight w:val="none"/>
        </w:rPr>
        <w:fldChar w:fldCharType="begin"/>
      </w:r>
      <w:r>
        <w:rPr>
          <w:highlight w:val="none"/>
        </w:rPr>
        <w:instrText xml:space="preserve"> HYPERLINK \l "_Toc13610" </w:instrText>
      </w:r>
      <w:r>
        <w:rPr>
          <w:highlight w:val="none"/>
        </w:rPr>
        <w:fldChar w:fldCharType="separate"/>
      </w:r>
      <w:r>
        <w:rPr>
          <w:rFonts w:hint="eastAsia"/>
          <w:szCs w:val="44"/>
          <w:highlight w:val="none"/>
        </w:rPr>
        <w:t xml:space="preserve">第一部分  投标邀请函</w:t>
      </w:r>
      <w:r>
        <w:rPr>
          <w:highlight w:val="none"/>
        </w:rPr>
        <w:tab/>
      </w:r>
      <w:r>
        <w:rPr>
          <w:highlight w:val="none"/>
        </w:rPr>
        <w:fldChar w:fldCharType="begin"/>
      </w:r>
      <w:r>
        <w:rPr>
          <w:highlight w:val="none"/>
        </w:rPr>
        <w:instrText xml:space="preserve"> PAGEREF _Toc13610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"_Toc15783" </w:instrText>
      </w:r>
      <w:r>
        <w:rPr>
          <w:highlight w:val="none"/>
        </w:rPr>
        <w:fldChar w:fldCharType="separate"/>
      </w:r>
      <w:r>
        <w:rPr>
          <w:rFonts w:hint="eastAsia" w:ascii="Times New Roman" w:hAnsi="Times New Roman" w:eastAsia="方正仿宋_GBK" w:cs="方正仿宋_GBK"/>
          <w:bCs/>
          <w:highlight w:val="none"/>
        </w:rPr>
        <w:t xml:space="preserve">一、项目基本情况</w:t>
      </w:r>
      <w:r>
        <w:rPr>
          <w:highlight w:val="none"/>
        </w:rPr>
        <w:tab/>
      </w:r>
      <w:r>
        <w:rPr>
          <w:highlight w:val="none"/>
        </w:rPr>
        <w:fldChar w:fldCharType="begin"/>
      </w:r>
      <w:r>
        <w:rPr>
          <w:highlight w:val="none"/>
        </w:rPr>
        <w:instrText xml:space="preserve"> PAGEREF _Toc15783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"_Toc18145" </w:instrText>
      </w:r>
      <w:r>
        <w:rPr>
          <w:highlight w:val="none"/>
        </w:rPr>
        <w:fldChar w:fldCharType="separate"/>
      </w:r>
      <w:r>
        <w:rPr>
          <w:rFonts w:hint="eastAsia" w:ascii="方正仿宋_GBK" w:hAnsi="方正仿宋_GBK" w:eastAsia="方正仿宋_GBK" w:cs="方正仿宋_GBK"/>
          <w:bCs/>
          <w:highlight w:val="none"/>
        </w:rPr>
        <w:t xml:space="preserve">二、申请人的资格要求：</w:t>
      </w:r>
      <w:r>
        <w:rPr>
          <w:highlight w:val="none"/>
        </w:rPr>
        <w:tab/>
      </w:r>
      <w:r>
        <w:rPr>
          <w:highlight w:val="none"/>
        </w:rPr>
        <w:fldChar w:fldCharType="begin"/>
      </w:r>
      <w:r>
        <w:rPr>
          <w:highlight w:val="none"/>
        </w:rPr>
        <w:instrText xml:space="preserve"> PAGEREF _Toc18145 \h </w:instrText>
      </w:r>
      <w:r>
        <w:rPr>
          <w:highlight w:val="none"/>
        </w:rPr>
        <w:fldChar w:fldCharType="separate"/>
      </w:r>
      <w:r>
        <w:rPr>
          <w:highlight w:val="none"/>
        </w:rPr>
        <w:t xml:space="preserve">2</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"_Toc19538" </w:instrText>
      </w:r>
      <w:r>
        <w:rPr>
          <w:highlight w:val="none"/>
        </w:rPr>
        <w:fldChar w:fldCharType="separate"/>
      </w:r>
      <w:r>
        <w:rPr>
          <w:rFonts w:hint="eastAsia" w:ascii="Times New Roman" w:hAnsi="Times New Roman" w:eastAsia="方正仿宋_GBK" w:cs="方正仿宋_GBK"/>
          <w:bCs/>
          <w:highlight w:val="none"/>
        </w:rPr>
        <w:t xml:space="preserve">三、获取招标文件</w:t>
      </w:r>
      <w:r>
        <w:rPr>
          <w:highlight w:val="none"/>
        </w:rPr>
        <w:tab/>
      </w:r>
      <w:r>
        <w:rPr>
          <w:highlight w:val="none"/>
        </w:rPr>
        <w:fldChar w:fldCharType="begin"/>
      </w:r>
      <w:r>
        <w:rPr>
          <w:highlight w:val="none"/>
        </w:rPr>
        <w:instrText xml:space="preserve"> PAGEREF _Toc19538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"_Toc32019" </w:instrText>
      </w:r>
      <w:r>
        <w:rPr>
          <w:highlight w:val="none"/>
        </w:rPr>
        <w:fldChar w:fldCharType="separate"/>
      </w:r>
      <w:r>
        <w:rPr>
          <w:rFonts w:hint="eastAsia" w:ascii="Times New Roman" w:hAnsi="Times New Roman" w:eastAsia="方正仿宋_GBK" w:cs="方正仿宋_GBK"/>
          <w:bCs/>
          <w:highlight w:val="none"/>
        </w:rPr>
        <w:t xml:space="preserve">四、提交投标文件截止时间、开标时间和地点</w:t>
      </w:r>
      <w:r>
        <w:rPr>
          <w:highlight w:val="none"/>
        </w:rPr>
        <w:tab/>
      </w:r>
      <w:r>
        <w:rPr>
          <w:highlight w:val="none"/>
        </w:rPr>
        <w:fldChar w:fldCharType="begin"/>
      </w:r>
      <w:r>
        <w:rPr>
          <w:highlight w:val="none"/>
        </w:rPr>
        <w:instrText xml:space="preserve"> PAGEREF _Toc32019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"_Toc31299" </w:instrText>
      </w:r>
      <w:r>
        <w:rPr>
          <w:highlight w:val="none"/>
        </w:rPr>
        <w:fldChar w:fldCharType="separate"/>
      </w:r>
      <w:r>
        <w:rPr>
          <w:rFonts w:hint="eastAsia" w:ascii="Times New Roman" w:hAnsi="Times New Roman" w:eastAsia="方正仿宋_GBK" w:cs="方正仿宋_GBK"/>
          <w:bCs/>
          <w:highlight w:val="none"/>
        </w:rPr>
        <w:t xml:space="preserve">五、公告期限</w:t>
      </w:r>
      <w:r>
        <w:rPr>
          <w:highlight w:val="none"/>
        </w:rPr>
        <w:tab/>
      </w:r>
      <w:r>
        <w:rPr>
          <w:highlight w:val="none"/>
        </w:rPr>
        <w:fldChar w:fldCharType="begin"/>
      </w:r>
      <w:r>
        <w:rPr>
          <w:highlight w:val="none"/>
        </w:rPr>
        <w:instrText xml:space="preserve"> PAGEREF _Toc31299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"_Toc7246" </w:instrText>
      </w:r>
      <w:r>
        <w:rPr>
          <w:highlight w:val="none"/>
        </w:rPr>
        <w:fldChar w:fldCharType="separate"/>
      </w:r>
      <w:r>
        <w:rPr>
          <w:rFonts w:hint="eastAsia" w:ascii="Times New Roman" w:hAnsi="Times New Roman" w:eastAsia="方正仿宋_GBK" w:cs="方正仿宋_GBK"/>
          <w:bCs/>
          <w:highlight w:val="none"/>
        </w:rPr>
        <w:t xml:space="preserve">六、其他补充事宜</w:t>
      </w:r>
      <w:r>
        <w:rPr>
          <w:highlight w:val="none"/>
        </w:rPr>
        <w:tab/>
      </w:r>
      <w:r>
        <w:rPr>
          <w:highlight w:val="none"/>
        </w:rPr>
        <w:fldChar w:fldCharType="begin"/>
      </w:r>
      <w:r>
        <w:rPr>
          <w:highlight w:val="none"/>
        </w:rPr>
        <w:instrText xml:space="preserve"> PAGEREF _Toc7246 \h </w:instrText>
      </w:r>
      <w:r>
        <w:rPr>
          <w:highlight w:val="none"/>
        </w:rPr>
        <w:fldChar w:fldCharType="separate"/>
      </w:r>
      <w:r>
        <w:rPr>
          <w:highlight w:val="none"/>
        </w:rPr>
        <w:t xml:space="preserve">3</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"_Toc20871" </w:instrText>
      </w:r>
      <w:r>
        <w:rPr>
          <w:highlight w:val="none"/>
        </w:rPr>
        <w:fldChar w:fldCharType="separate"/>
      </w:r>
      <w:r>
        <w:rPr>
          <w:rFonts w:hint="eastAsia" w:ascii="Times New Roman" w:hAnsi="Times New Roman" w:eastAsia="方正仿宋_GBK" w:cs="方正仿宋_GBK"/>
          <w:bCs/>
          <w:highlight w:val="none"/>
        </w:rPr>
        <w:t xml:space="preserve">七、本次招标联系方式</w:t>
      </w:r>
      <w:r>
        <w:rPr>
          <w:highlight w:val="none"/>
        </w:rPr>
        <w:tab/>
      </w:r>
      <w:r>
        <w:rPr>
          <w:highlight w:val="none"/>
        </w:rPr>
        <w:fldChar w:fldCharType="begin"/>
      </w:r>
      <w:r>
        <w:rPr>
          <w:highlight w:val="none"/>
        </w:rPr>
        <w:instrText xml:space="preserve"> PAGEREF _Toc20871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661"/>
        <w:tabs>
          <w:tab w:val="right" w:pos="8844" w:leader="dot"/>
        </w:tabs>
        <w:rPr>
          <w:highlight w:val="none"/>
        </w:rPr>
      </w:pPr>
      <w:r>
        <w:rPr>
          <w:highlight w:val="none"/>
        </w:rPr>
        <w:fldChar w:fldCharType="begin"/>
      </w:r>
      <w:r>
        <w:rPr>
          <w:highlight w:val="none"/>
        </w:rPr>
        <w:instrText xml:space="preserve"> HYPERLINK \l "_Toc26428" </w:instrText>
      </w:r>
      <w:r>
        <w:rPr>
          <w:highlight w:val="none"/>
        </w:rPr>
        <w:fldChar w:fldCharType="separate"/>
      </w:r>
      <w:r>
        <w:rPr>
          <w:rFonts w:hint="eastAsia" w:ascii="Times New Roman" w:hAnsi="Times New Roman" w:eastAsia="方正仿宋_GBK" w:cs="方正仿宋_GBK"/>
          <w:bCs/>
          <w:highlight w:val="none"/>
        </w:rPr>
        <w:t xml:space="preserve">八、其他</w:t>
      </w:r>
      <w:r>
        <w:rPr>
          <w:highlight w:val="none"/>
        </w:rPr>
        <w:tab/>
      </w:r>
      <w:r>
        <w:rPr>
          <w:highlight w:val="none"/>
        </w:rPr>
        <w:fldChar w:fldCharType="begin"/>
      </w:r>
      <w:r>
        <w:rPr>
          <w:highlight w:val="none"/>
        </w:rPr>
        <w:instrText xml:space="preserve"> PAGEREF _Toc26428 \h </w:instrText>
      </w:r>
      <w:r>
        <w:rPr>
          <w:highlight w:val="none"/>
        </w:rPr>
        <w:fldChar w:fldCharType="separate"/>
      </w:r>
      <w:r>
        <w:rPr>
          <w:highlight w:val="none"/>
        </w:rPr>
        <w:t xml:space="preserve">4</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begin"/>
      </w:r>
      <w:r>
        <w:rPr>
          <w:highlight w:val="none"/>
        </w:rPr>
        <w:instrText xml:space="preserve"> HYPERLINK \l "_Toc12209" </w:instrText>
      </w:r>
      <w:r>
        <w:rPr>
          <w:highlight w:val="none"/>
        </w:rPr>
        <w:fldChar w:fldCharType="separate"/>
      </w:r>
      <w:r>
        <w:rPr>
          <w:rFonts w:hint="eastAsia"/>
          <w:szCs w:val="44"/>
          <w:highlight w:val="none"/>
        </w:rPr>
        <w:t xml:space="preserve">第二部分  投标人须知</w:t>
      </w:r>
      <w:r>
        <w:rPr>
          <w:highlight w:val="none"/>
        </w:rPr>
        <w:tab/>
      </w:r>
      <w:r>
        <w:rPr>
          <w:highlight w:val="none"/>
        </w:rPr>
        <w:fldChar w:fldCharType="begin"/>
      </w:r>
      <w:r>
        <w:rPr>
          <w:highlight w:val="none"/>
        </w:rPr>
        <w:instrText xml:space="preserve"> PAGEREF _Toc12209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"_Toc31878" </w:instrText>
      </w:r>
      <w:r>
        <w:rPr>
          <w:highlight w:val="none"/>
        </w:rPr>
        <w:fldChar w:fldCharType="separate"/>
      </w:r>
      <w:r>
        <w:rPr>
          <w:rFonts w:hint="eastAsia"/>
          <w:highlight w:val="none"/>
        </w:rPr>
        <w:t xml:space="preserve">投标人须知前附表：</w:t>
      </w:r>
      <w:r>
        <w:rPr>
          <w:highlight w:val="none"/>
        </w:rPr>
        <w:tab/>
      </w:r>
      <w:r>
        <w:rPr>
          <w:highlight w:val="none"/>
        </w:rPr>
        <w:fldChar w:fldCharType="begin"/>
      </w:r>
      <w:r>
        <w:rPr>
          <w:highlight w:val="none"/>
        </w:rPr>
        <w:instrText xml:space="preserve"> PAGEREF _Toc31878 \h </w:instrText>
      </w:r>
      <w:r>
        <w:rPr>
          <w:highlight w:val="none"/>
        </w:rPr>
        <w:fldChar w:fldCharType="separate"/>
      </w:r>
      <w:r>
        <w:rPr>
          <w:highlight w:val="none"/>
        </w:rPr>
        <w:t xml:space="preserve">5</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"_Toc6811" </w:instrText>
      </w:r>
      <w:r>
        <w:rPr>
          <w:highlight w:val="none"/>
        </w:rPr>
        <w:fldChar w:fldCharType="separate"/>
      </w:r>
      <w:r>
        <w:rPr>
          <w:rFonts w:hint="eastAsia"/>
          <w:highlight w:val="none"/>
        </w:rPr>
        <w:t xml:space="preserve">一、总 则</w:t>
      </w:r>
      <w:r>
        <w:rPr>
          <w:highlight w:val="none"/>
        </w:rPr>
        <w:tab/>
      </w:r>
      <w:r>
        <w:rPr>
          <w:highlight w:val="none"/>
        </w:rPr>
        <w:fldChar w:fldCharType="begin"/>
      </w:r>
      <w:r>
        <w:rPr>
          <w:highlight w:val="none"/>
        </w:rPr>
        <w:instrText xml:space="preserve"> PAGEREF _Toc6811 \h </w:instrText>
      </w:r>
      <w:r>
        <w:rPr>
          <w:highlight w:val="none"/>
        </w:rPr>
        <w:fldChar w:fldCharType="separate"/>
      </w:r>
      <w:r>
        <w:rPr>
          <w:highlight w:val="none"/>
        </w:rPr>
        <w:t xml:space="preserve">6</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"_Toc3345" </w:instrText>
      </w:r>
      <w:r>
        <w:rPr>
          <w:highlight w:val="none"/>
        </w:rPr>
        <w:fldChar w:fldCharType="separate"/>
      </w:r>
      <w:r>
        <w:rPr>
          <w:rFonts w:hint="eastAsia"/>
          <w:highlight w:val="none"/>
        </w:rPr>
        <w:t xml:space="preserve">二、招标文件</w:t>
      </w:r>
      <w:r>
        <w:rPr>
          <w:highlight w:val="none"/>
        </w:rPr>
        <w:tab/>
      </w:r>
      <w:r>
        <w:rPr>
          <w:highlight w:val="none"/>
        </w:rPr>
        <w:fldChar w:fldCharType="begin"/>
      </w:r>
      <w:r>
        <w:rPr>
          <w:highlight w:val="none"/>
        </w:rPr>
        <w:instrText xml:space="preserve"> PAGEREF _Toc3345 \h </w:instrText>
      </w:r>
      <w:r>
        <w:rPr>
          <w:highlight w:val="none"/>
        </w:rPr>
        <w:fldChar w:fldCharType="separate"/>
      </w:r>
      <w:r>
        <w:rPr>
          <w:highlight w:val="none"/>
        </w:rPr>
        <w:t xml:space="preserve">8</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"_Toc66" </w:instrText>
      </w:r>
      <w:r>
        <w:rPr>
          <w:highlight w:val="none"/>
        </w:rPr>
        <w:fldChar w:fldCharType="separate"/>
      </w:r>
      <w:r>
        <w:rPr>
          <w:rFonts w:hint="eastAsia"/>
          <w:highlight w:val="none"/>
        </w:rPr>
        <w:t xml:space="preserve">三、投标文件的编制</w:t>
      </w:r>
      <w:r>
        <w:rPr>
          <w:highlight w:val="none"/>
        </w:rPr>
        <w:tab/>
      </w:r>
      <w:r>
        <w:rPr>
          <w:highlight w:val="none"/>
        </w:rPr>
        <w:fldChar w:fldCharType="begin"/>
      </w:r>
      <w:r>
        <w:rPr>
          <w:highlight w:val="none"/>
        </w:rPr>
        <w:instrText xml:space="preserve"> PAGEREF _Toc66 \h </w:instrText>
      </w:r>
      <w:r>
        <w:rPr>
          <w:highlight w:val="none"/>
        </w:rPr>
        <w:fldChar w:fldCharType="separate"/>
      </w:r>
      <w:r>
        <w:rPr>
          <w:highlight w:val="none"/>
        </w:rPr>
        <w:t xml:space="preserve">9</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"_Toc29925" </w:instrText>
      </w:r>
      <w:r>
        <w:rPr>
          <w:highlight w:val="none"/>
        </w:rPr>
        <w:fldChar w:fldCharType="separate"/>
      </w:r>
      <w:r>
        <w:rPr>
          <w:rFonts w:hint="eastAsia"/>
          <w:highlight w:val="none"/>
        </w:rPr>
        <w:t xml:space="preserve">四、投标文件的提交</w:t>
      </w:r>
      <w:r>
        <w:rPr>
          <w:highlight w:val="none"/>
        </w:rPr>
        <w:tab/>
      </w:r>
      <w:r>
        <w:rPr>
          <w:highlight w:val="none"/>
        </w:rPr>
        <w:fldChar w:fldCharType="begin"/>
      </w:r>
      <w:r>
        <w:rPr>
          <w:highlight w:val="none"/>
        </w:rPr>
        <w:instrText xml:space="preserve"> PAGEREF _Toc29925 \h </w:instrText>
      </w:r>
      <w:r>
        <w:rPr>
          <w:highlight w:val="none"/>
        </w:rPr>
        <w:fldChar w:fldCharType="separate"/>
      </w:r>
      <w:r>
        <w:rPr>
          <w:highlight w:val="none"/>
        </w:rPr>
        <w:t xml:space="preserve">11</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"_Toc25221" </w:instrText>
      </w:r>
      <w:r>
        <w:rPr>
          <w:highlight w:val="none"/>
        </w:rPr>
        <w:fldChar w:fldCharType="separate"/>
      </w:r>
      <w:r>
        <w:rPr>
          <w:rFonts w:hint="eastAsia"/>
          <w:highlight w:val="none"/>
        </w:rPr>
        <w:t xml:space="preserve">五、无效标、废标、串通投标认定条款</w:t>
      </w:r>
      <w:r>
        <w:rPr>
          <w:highlight w:val="none"/>
        </w:rPr>
        <w:tab/>
      </w:r>
      <w:r>
        <w:rPr>
          <w:highlight w:val="none"/>
        </w:rPr>
        <w:fldChar w:fldCharType="begin"/>
      </w:r>
      <w:r>
        <w:rPr>
          <w:highlight w:val="none"/>
        </w:rPr>
        <w:instrText xml:space="preserve"> PAGEREF _Toc25221 \h </w:instrText>
      </w:r>
      <w:r>
        <w:rPr>
          <w:highlight w:val="none"/>
        </w:rPr>
        <w:fldChar w:fldCharType="separate"/>
      </w:r>
      <w:r>
        <w:rPr>
          <w:highlight w:val="none"/>
        </w:rPr>
        <w:t xml:space="preserve">12</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"_Toc21626" </w:instrText>
      </w:r>
      <w:r>
        <w:rPr>
          <w:highlight w:val="none"/>
        </w:rPr>
        <w:fldChar w:fldCharType="separate"/>
      </w:r>
      <w:r>
        <w:rPr>
          <w:rFonts w:hint="eastAsia"/>
          <w:highlight w:val="none"/>
        </w:rPr>
        <w:t xml:space="preserve">六、开标、资格审查、评标程序</w:t>
      </w:r>
      <w:r>
        <w:rPr>
          <w:highlight w:val="none"/>
        </w:rPr>
        <w:tab/>
      </w:r>
      <w:r>
        <w:rPr>
          <w:highlight w:val="none"/>
        </w:rPr>
        <w:fldChar w:fldCharType="begin"/>
      </w:r>
      <w:r>
        <w:rPr>
          <w:highlight w:val="none"/>
        </w:rPr>
        <w:instrText xml:space="preserve"> PAGEREF _Toc21626 \h </w:instrText>
      </w:r>
      <w:r>
        <w:rPr>
          <w:highlight w:val="none"/>
        </w:rPr>
        <w:fldChar w:fldCharType="separate"/>
      </w:r>
      <w:r>
        <w:rPr>
          <w:highlight w:val="none"/>
        </w:rPr>
        <w:t xml:space="preserve">14</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"_Toc13770" </w:instrText>
      </w:r>
      <w:r>
        <w:rPr>
          <w:highlight w:val="none"/>
        </w:rPr>
        <w:fldChar w:fldCharType="separate"/>
      </w:r>
      <w:r>
        <w:rPr>
          <w:rFonts w:hint="eastAsia"/>
          <w:highlight w:val="none"/>
        </w:rPr>
        <w:t xml:space="preserve">七、中标及合同签订</w:t>
      </w:r>
      <w:r>
        <w:rPr>
          <w:highlight w:val="none"/>
        </w:rPr>
        <w:tab/>
      </w:r>
      <w:r>
        <w:rPr>
          <w:highlight w:val="none"/>
        </w:rPr>
        <w:fldChar w:fldCharType="begin"/>
      </w:r>
      <w:r>
        <w:rPr>
          <w:highlight w:val="none"/>
        </w:rPr>
        <w:instrText xml:space="preserve"> PAGEREF _Toc13770 \h </w:instrText>
      </w:r>
      <w:r>
        <w:rPr>
          <w:highlight w:val="none"/>
        </w:rPr>
        <w:fldChar w:fldCharType="separate"/>
      </w:r>
      <w:r>
        <w:rPr>
          <w:highlight w:val="none"/>
        </w:rPr>
        <w:t xml:space="preserve">17</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"_Toc30018" </w:instrText>
      </w:r>
      <w:r>
        <w:rPr>
          <w:highlight w:val="none"/>
        </w:rPr>
        <w:fldChar w:fldCharType="separate"/>
      </w:r>
      <w:r>
        <w:rPr>
          <w:rFonts w:hint="eastAsia"/>
          <w:highlight w:val="none"/>
        </w:rPr>
        <w:t xml:space="preserve">八、验收及付款</w:t>
      </w:r>
      <w:r>
        <w:rPr>
          <w:highlight w:val="none"/>
        </w:rPr>
        <w:tab/>
      </w:r>
      <w:r>
        <w:rPr>
          <w:highlight w:val="none"/>
        </w:rPr>
        <w:fldChar w:fldCharType="begin"/>
      </w:r>
      <w:r>
        <w:rPr>
          <w:highlight w:val="none"/>
        </w:rPr>
        <w:instrText xml:space="preserve"> PAGEREF _Toc30018 \h </w:instrText>
      </w:r>
      <w:r>
        <w:rPr>
          <w:highlight w:val="none"/>
        </w:rPr>
        <w:fldChar w:fldCharType="separate"/>
      </w:r>
      <w:r>
        <w:rPr>
          <w:highlight w:val="none"/>
        </w:rPr>
        <w:t xml:space="preserve">18</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"_Toc12754" </w:instrText>
      </w:r>
      <w:r>
        <w:rPr>
          <w:highlight w:val="none"/>
        </w:rPr>
        <w:fldChar w:fldCharType="separate"/>
      </w:r>
      <w:r>
        <w:rPr>
          <w:rFonts w:hint="eastAsia"/>
          <w:highlight w:val="none"/>
        </w:rPr>
        <w:t xml:space="preserve">九、质疑与投诉</w:t>
      </w:r>
      <w:r>
        <w:rPr>
          <w:highlight w:val="none"/>
        </w:rPr>
        <w:tab/>
      </w:r>
      <w:r>
        <w:rPr>
          <w:highlight w:val="none"/>
        </w:rPr>
        <w:fldChar w:fldCharType="begin"/>
      </w:r>
      <w:r>
        <w:rPr>
          <w:highlight w:val="none"/>
        </w:rPr>
        <w:instrText xml:space="preserve"> PAGEREF _Toc12754 \h </w:instrText>
      </w:r>
      <w:r>
        <w:rPr>
          <w:highlight w:val="none"/>
        </w:rPr>
        <w:fldChar w:fldCharType="separate"/>
      </w:r>
      <w:r>
        <w:rPr>
          <w:highlight w:val="none"/>
        </w:rPr>
        <w:t xml:space="preserve">19</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begin"/>
      </w:r>
      <w:r>
        <w:rPr>
          <w:highlight w:val="none"/>
        </w:rPr>
        <w:instrText xml:space="preserve"> HYPERLINK \l "_Toc23461" </w:instrText>
      </w:r>
      <w:r>
        <w:rPr>
          <w:highlight w:val="none"/>
        </w:rPr>
        <w:fldChar w:fldCharType="separate"/>
      </w:r>
      <w:r>
        <w:rPr>
          <w:rFonts w:hint="eastAsia"/>
          <w:szCs w:val="44"/>
          <w:highlight w:val="none"/>
        </w:rPr>
        <w:t xml:space="preserve">第三部分  资格审查及评标办法</w:t>
      </w:r>
      <w:r>
        <w:rPr>
          <w:highlight w:val="none"/>
        </w:rPr>
        <w:tab/>
      </w:r>
      <w:r>
        <w:rPr>
          <w:highlight w:val="none"/>
        </w:rPr>
        <w:fldChar w:fldCharType="begin"/>
      </w:r>
      <w:r>
        <w:rPr>
          <w:highlight w:val="none"/>
        </w:rPr>
        <w:instrText xml:space="preserve"> PAGEREF _Toc23461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begin"/>
      </w:r>
      <w:r>
        <w:rPr>
          <w:highlight w:val="none"/>
        </w:rPr>
        <w:instrText xml:space="preserve"> HYPERLINK \l "_Toc3665" </w:instrText>
      </w:r>
      <w:r>
        <w:rPr>
          <w:highlight w:val="none"/>
        </w:rPr>
        <w:fldChar w:fldCharType="separate"/>
      </w:r>
      <w:r>
        <w:rPr>
          <w:rFonts w:hint="eastAsia"/>
          <w:szCs w:val="44"/>
          <w:highlight w:val="none"/>
        </w:rPr>
        <w:t xml:space="preserve">第四部分</w:t>
      </w:r>
      <w:r>
        <w:rPr>
          <w:szCs w:val="44"/>
          <w:highlight w:val="none"/>
        </w:rPr>
        <w:t xml:space="preserve"> </w:t>
      </w:r>
      <w:r>
        <w:rPr>
          <w:rFonts w:hint="eastAsia"/>
          <w:szCs w:val="44"/>
          <w:highlight w:val="none"/>
        </w:rPr>
        <w:t xml:space="preserve">采购需求</w:t>
      </w:r>
      <w:r>
        <w:rPr>
          <w:highlight w:val="none"/>
        </w:rPr>
        <w:tab/>
      </w:r>
      <w:r>
        <w:rPr>
          <w:highlight w:val="none"/>
        </w:rPr>
        <w:fldChar w:fldCharType="begin"/>
      </w:r>
      <w:r>
        <w:rPr>
          <w:highlight w:val="none"/>
        </w:rPr>
        <w:instrText xml:space="preserve"> PAGEREF _Toc3665 \h </w:instrText>
      </w:r>
      <w:r>
        <w:rPr>
          <w:highlight w:val="none"/>
        </w:rPr>
        <w:fldChar w:fldCharType="separate"/>
      </w:r>
      <w:r>
        <w:rPr>
          <w:highlight w:val="none"/>
        </w:rPr>
        <w:t xml:space="preserve">24</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begin"/>
      </w:r>
      <w:r>
        <w:rPr>
          <w:highlight w:val="none"/>
        </w:rPr>
        <w:instrText xml:space="preserve"> HYPERLINK \l "_Toc14802" </w:instrText>
      </w:r>
      <w:r>
        <w:rPr>
          <w:highlight w:val="none"/>
        </w:rPr>
        <w:fldChar w:fldCharType="separate"/>
      </w:r>
      <w:r>
        <w:rPr>
          <w:rFonts w:hint="eastAsia"/>
          <w:szCs w:val="44"/>
          <w:highlight w:val="none"/>
        </w:rPr>
        <w:t xml:space="preserve">第五部分</w:t>
      </w:r>
      <w:r>
        <w:rPr>
          <w:szCs w:val="44"/>
          <w:highlight w:val="none"/>
        </w:rPr>
        <w:t xml:space="preserve">  </w:t>
      </w:r>
      <w:r>
        <w:rPr>
          <w:rFonts w:hint="eastAsia"/>
          <w:szCs w:val="44"/>
          <w:highlight w:val="none"/>
        </w:rPr>
        <w:t xml:space="preserve">合同格式及条款</w:t>
      </w:r>
      <w:r>
        <w:rPr>
          <w:highlight w:val="none"/>
        </w:rPr>
        <w:tab/>
      </w:r>
      <w:r>
        <w:rPr>
          <w:highlight w:val="none"/>
        </w:rPr>
        <w:fldChar w:fldCharType="begin"/>
      </w:r>
      <w:r>
        <w:rPr>
          <w:highlight w:val="none"/>
        </w:rPr>
        <w:instrText xml:space="preserve"> PAGEREF _Toc14802 \h </w:instrText>
      </w:r>
      <w:r>
        <w:rPr>
          <w:highlight w:val="none"/>
        </w:rPr>
        <w:fldChar w:fldCharType="separate"/>
      </w:r>
      <w:r>
        <w:rPr>
          <w:highlight w:val="none"/>
        </w:rPr>
        <w:t xml:space="preserve">29</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begin"/>
      </w:r>
      <w:r>
        <w:rPr>
          <w:highlight w:val="none"/>
        </w:rPr>
        <w:instrText xml:space="preserve"> HYPERLINK \l "_Toc12534" </w:instrText>
      </w:r>
      <w:r>
        <w:rPr>
          <w:highlight w:val="none"/>
        </w:rPr>
        <w:fldChar w:fldCharType="separate"/>
      </w:r>
      <w:r>
        <w:rPr>
          <w:rFonts w:hint="eastAsia"/>
          <w:szCs w:val="44"/>
          <w:highlight w:val="none"/>
        </w:rPr>
        <w:t xml:space="preserve">第六部分  投标文件格式</w:t>
      </w:r>
      <w:r>
        <w:rPr>
          <w:highlight w:val="none"/>
        </w:rPr>
        <w:tab/>
      </w:r>
      <w:r>
        <w:rPr>
          <w:highlight w:val="none"/>
        </w:rPr>
        <w:fldChar w:fldCharType="begin"/>
      </w:r>
      <w:r>
        <w:rPr>
          <w:highlight w:val="none"/>
        </w:rPr>
        <w:instrText xml:space="preserve"> PAGEREF _Toc12534 \h </w:instrText>
      </w:r>
      <w:r>
        <w:rPr>
          <w:highlight w:val="none"/>
        </w:rPr>
        <w:fldChar w:fldCharType="separate"/>
      </w:r>
      <w:r>
        <w:rPr>
          <w:highlight w:val="none"/>
        </w:rPr>
        <w:t xml:space="preserve">37</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"_Toc20999" </w:instrText>
      </w:r>
      <w:r>
        <w:rPr>
          <w:highlight w:val="none"/>
        </w:rPr>
        <w:fldChar w:fldCharType="separate"/>
      </w:r>
      <w:r>
        <w:rPr>
          <w:highlight w:val="none"/>
        </w:rPr>
        <w:t xml:space="preserve">一、投标人基本情况</w:t>
      </w:r>
      <w:r>
        <w:rPr>
          <w:highlight w:val="none"/>
        </w:rPr>
        <w:tab/>
      </w:r>
      <w:r>
        <w:rPr>
          <w:highlight w:val="none"/>
        </w:rPr>
        <w:fldChar w:fldCharType="begin"/>
      </w:r>
      <w:r>
        <w:rPr>
          <w:highlight w:val="none"/>
        </w:rPr>
        <w:instrText xml:space="preserve"> PAGEREF _Toc20999 \h </w:instrText>
      </w:r>
      <w:r>
        <w:rPr>
          <w:highlight w:val="none"/>
        </w:rPr>
        <w:fldChar w:fldCharType="separate"/>
      </w:r>
      <w:r>
        <w:rPr>
          <w:highlight w:val="none"/>
        </w:rPr>
        <w:t xml:space="preserve">39</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"_Toc16651" </w:instrText>
      </w:r>
      <w:r>
        <w:rPr>
          <w:highlight w:val="none"/>
        </w:rPr>
        <w:fldChar w:fldCharType="separate"/>
      </w:r>
      <w:r>
        <w:rPr>
          <w:rFonts w:hint="eastAsia"/>
          <w:highlight w:val="none"/>
        </w:rPr>
        <w:t xml:space="preserve">二</w:t>
      </w:r>
      <w:r>
        <w:rPr>
          <w:highlight w:val="none"/>
        </w:rPr>
        <w:t xml:space="preserve">、投标声明及承诺函</w:t>
      </w:r>
      <w:r>
        <w:rPr>
          <w:highlight w:val="none"/>
        </w:rPr>
        <w:tab/>
      </w:r>
      <w:r>
        <w:rPr>
          <w:highlight w:val="none"/>
        </w:rPr>
        <w:fldChar w:fldCharType="begin"/>
      </w:r>
      <w:r>
        <w:rPr>
          <w:highlight w:val="none"/>
        </w:rPr>
        <w:instrText xml:space="preserve"> PAGEREF _Toc16651 \h </w:instrText>
      </w:r>
      <w:r>
        <w:rPr>
          <w:highlight w:val="none"/>
        </w:rPr>
        <w:fldChar w:fldCharType="separate"/>
      </w:r>
      <w:r>
        <w:rPr>
          <w:highlight w:val="none"/>
        </w:rPr>
        <w:t xml:space="preserve">40</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"_Toc3144" </w:instrText>
      </w:r>
      <w:r>
        <w:rPr>
          <w:highlight w:val="none"/>
        </w:rPr>
        <w:fldChar w:fldCharType="separate"/>
      </w:r>
      <w:r>
        <w:rPr>
          <w:rFonts w:hint="eastAsia"/>
          <w:highlight w:val="none"/>
        </w:rPr>
        <w:t xml:space="preserve">三</w:t>
      </w:r>
      <w:r>
        <w:rPr>
          <w:highlight w:val="none"/>
        </w:rPr>
        <w:t xml:space="preserve">、</w:t>
      </w:r>
      <w:r>
        <w:rPr>
          <w:rFonts w:hint="eastAsia" w:ascii="Times New Roman" w:hAnsi="Times New Roman"/>
          <w:szCs w:val="28"/>
          <w:highlight w:val="none"/>
        </w:rPr>
        <w:t xml:space="preserve">法人授权书</w:t>
      </w:r>
      <w:r>
        <w:rPr>
          <w:highlight w:val="none"/>
        </w:rPr>
        <w:tab/>
      </w:r>
      <w:r>
        <w:rPr>
          <w:highlight w:val="none"/>
        </w:rPr>
        <w:fldChar w:fldCharType="begin"/>
      </w:r>
      <w:r>
        <w:rPr>
          <w:highlight w:val="none"/>
        </w:rPr>
        <w:instrText xml:space="preserve"> PAGEREF _Toc3144 \h </w:instrText>
      </w:r>
      <w:r>
        <w:rPr>
          <w:highlight w:val="none"/>
        </w:rPr>
        <w:fldChar w:fldCharType="separate"/>
      </w:r>
      <w:r>
        <w:rPr>
          <w:highlight w:val="none"/>
        </w:rPr>
        <w:t xml:space="preserve">41</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"_Toc29920" </w:instrText>
      </w:r>
      <w:r>
        <w:rPr>
          <w:highlight w:val="none"/>
        </w:rPr>
        <w:fldChar w:fldCharType="separate"/>
      </w:r>
      <w:r>
        <w:rPr>
          <w:rFonts w:hint="eastAsia"/>
          <w:highlight w:val="none"/>
        </w:rPr>
        <w:t xml:space="preserve">四</w:t>
      </w:r>
      <w:r>
        <w:rPr>
          <w:highlight w:val="none"/>
        </w:rPr>
        <w:t xml:space="preserve">、开标一览表</w:t>
      </w:r>
      <w:r>
        <w:rPr>
          <w:highlight w:val="none"/>
        </w:rPr>
        <w:tab/>
      </w:r>
      <w:r>
        <w:rPr>
          <w:highlight w:val="none"/>
        </w:rPr>
        <w:fldChar w:fldCharType="begin"/>
      </w:r>
      <w:r>
        <w:rPr>
          <w:highlight w:val="none"/>
        </w:rPr>
        <w:instrText xml:space="preserve"> PAGEREF _Toc29920 \h </w:instrText>
      </w:r>
      <w:r>
        <w:rPr>
          <w:highlight w:val="none"/>
        </w:rPr>
        <w:fldChar w:fldCharType="separate"/>
      </w:r>
      <w:r>
        <w:rPr>
          <w:highlight w:val="none"/>
        </w:rPr>
        <w:t xml:space="preserve">42</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"_Toc25245" </w:instrText>
      </w:r>
      <w:r>
        <w:rPr>
          <w:highlight w:val="none"/>
        </w:rPr>
        <w:fldChar w:fldCharType="separate"/>
      </w:r>
      <w:r>
        <w:rPr>
          <w:rFonts w:hint="eastAsia"/>
          <w:highlight w:val="none"/>
        </w:rPr>
        <w:t xml:space="preserve">五</w:t>
      </w:r>
      <w:r>
        <w:rPr>
          <w:highlight w:val="none"/>
        </w:rPr>
        <w:t xml:space="preserve">、</w:t>
      </w:r>
      <w:r>
        <w:rPr>
          <w:rFonts w:hint="eastAsia"/>
          <w:highlight w:val="none"/>
        </w:rPr>
        <w:t xml:space="preserve">明细报价表</w:t>
      </w:r>
      <w:r>
        <w:rPr>
          <w:highlight w:val="none"/>
        </w:rPr>
        <w:tab/>
      </w:r>
      <w:r>
        <w:rPr>
          <w:highlight w:val="none"/>
        </w:rPr>
        <w:fldChar w:fldCharType="begin"/>
      </w:r>
      <w:r>
        <w:rPr>
          <w:highlight w:val="none"/>
        </w:rPr>
        <w:instrText xml:space="preserve"> PAGEREF _Toc25245 \h </w:instrText>
      </w:r>
      <w:r>
        <w:rPr>
          <w:highlight w:val="none"/>
        </w:rPr>
        <w:fldChar w:fldCharType="separate"/>
      </w:r>
      <w:r>
        <w:rPr>
          <w:highlight w:val="none"/>
        </w:rPr>
        <w:t xml:space="preserve">43</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"_Toc20363" </w:instrText>
      </w:r>
      <w:r>
        <w:rPr>
          <w:highlight w:val="none"/>
        </w:rPr>
        <w:fldChar w:fldCharType="separate"/>
      </w:r>
      <w:r>
        <w:rPr>
          <w:rFonts w:hint="eastAsia"/>
          <w:highlight w:val="none"/>
        </w:rPr>
        <w:t xml:space="preserve">六、中小企业或残疾人福利性单位声明函</w:t>
      </w:r>
      <w:r>
        <w:rPr>
          <w:highlight w:val="none"/>
        </w:rPr>
        <w:tab/>
      </w:r>
      <w:r>
        <w:rPr>
          <w:highlight w:val="none"/>
        </w:rPr>
        <w:fldChar w:fldCharType="begin"/>
      </w:r>
      <w:r>
        <w:rPr>
          <w:highlight w:val="none"/>
        </w:rPr>
        <w:instrText xml:space="preserve"> PAGEREF _Toc20363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"_Toc8257" </w:instrText>
      </w:r>
      <w:r>
        <w:rPr>
          <w:highlight w:val="none"/>
        </w:rPr>
        <w:fldChar w:fldCharType="separate"/>
      </w:r>
      <w:r>
        <w:rPr>
          <w:rFonts w:hint="eastAsia" w:ascii="宋体"/>
          <w:bCs/>
          <w:szCs w:val="32"/>
          <w:highlight w:val="none"/>
        </w:rPr>
        <w:t xml:space="preserve">七、 </w:t>
      </w:r>
      <w:r>
        <w:rPr>
          <w:rFonts w:hint="eastAsia"/>
          <w:highlight w:val="none"/>
        </w:rPr>
        <w:t xml:space="preserve">技术要求响应及偏离表</w:t>
      </w:r>
      <w:r>
        <w:rPr>
          <w:rFonts w:hint="eastAsia" w:ascii="Times New Roman" w:hAnsi="Times New Roman" w:eastAsia="黑体"/>
          <w:szCs w:val="32"/>
          <w:highlight w:val="none"/>
        </w:rPr>
        <w:t xml:space="preserve">（分包号：**）</w:t>
      </w:r>
      <w:r>
        <w:rPr>
          <w:highlight w:val="none"/>
        </w:rPr>
        <w:tab/>
      </w:r>
      <w:r>
        <w:rPr>
          <w:highlight w:val="none"/>
        </w:rPr>
        <w:fldChar w:fldCharType="begin"/>
      </w:r>
      <w:r>
        <w:rPr>
          <w:highlight w:val="none"/>
        </w:rPr>
        <w:instrText xml:space="preserve"> PAGEREF _Toc8257 \h </w:instrText>
      </w:r>
      <w:r>
        <w:rPr>
          <w:highlight w:val="none"/>
        </w:rPr>
        <w:fldChar w:fldCharType="separate"/>
      </w:r>
      <w:r>
        <w:rPr>
          <w:highlight w:val="none"/>
        </w:rPr>
        <w:t xml:space="preserve">46</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"_Toc31185" </w:instrText>
      </w:r>
      <w:r>
        <w:rPr>
          <w:highlight w:val="none"/>
        </w:rPr>
        <w:fldChar w:fldCharType="separate"/>
      </w:r>
      <w:r>
        <w:rPr>
          <w:rFonts w:hint="eastAsia" w:ascii="宋体"/>
          <w:bCs/>
          <w:szCs w:val="32"/>
          <w:highlight w:val="none"/>
        </w:rPr>
        <w:t xml:space="preserve">八、 项目组人员</w:t>
      </w:r>
      <w:r>
        <w:rPr>
          <w:highlight w:val="none"/>
        </w:rPr>
        <w:tab/>
      </w:r>
      <w:r>
        <w:rPr>
          <w:highlight w:val="none"/>
        </w:rPr>
        <w:fldChar w:fldCharType="begin"/>
      </w:r>
      <w:r>
        <w:rPr>
          <w:highlight w:val="none"/>
        </w:rPr>
        <w:instrText xml:space="preserve"> PAGEREF _Toc31185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"_Toc4984" </w:instrText>
      </w:r>
      <w:r>
        <w:rPr>
          <w:highlight w:val="none"/>
        </w:rPr>
        <w:fldChar w:fldCharType="separate"/>
      </w:r>
      <w:r>
        <w:rPr>
          <w:rFonts w:hint="eastAsia" w:ascii="宋体"/>
          <w:bCs/>
          <w:szCs w:val="32"/>
          <w:highlight w:val="none"/>
        </w:rPr>
        <w:t xml:space="preserve">九、 企业业绩</w:t>
      </w:r>
      <w:r>
        <w:rPr>
          <w:highlight w:val="none"/>
        </w:rPr>
        <w:tab/>
      </w:r>
      <w:r>
        <w:rPr>
          <w:highlight w:val="none"/>
        </w:rPr>
        <w:fldChar w:fldCharType="begin"/>
      </w:r>
      <w:r>
        <w:rPr>
          <w:highlight w:val="none"/>
        </w:rPr>
        <w:instrText xml:space="preserve"> PAGEREF _Toc4984 \h </w:instrText>
      </w:r>
      <w:r>
        <w:rPr>
          <w:highlight w:val="none"/>
        </w:rPr>
        <w:fldChar w:fldCharType="separate"/>
      </w:r>
      <w:r>
        <w:rPr>
          <w:highlight w:val="none"/>
        </w:rPr>
        <w:t xml:space="preserve">48</w:t>
      </w:r>
      <w:r>
        <w:rPr>
          <w:highlight w:val="none"/>
        </w:rPr>
        <w:fldChar w:fldCharType="end"/>
      </w:r>
      <w:r>
        <w:rPr>
          <w:highlight w:val="none"/>
        </w:rPr>
        <w:fldChar w:fldCharType="end"/>
      </w:r>
      <w:r/>
    </w:p>
    <w:p>
      <w:pPr>
        <w:pStyle w:val="673"/>
        <w:tabs>
          <w:tab w:val="right" w:pos="8844" w:leader="dot"/>
        </w:tabs>
        <w:rPr>
          <w:highlight w:val="none"/>
        </w:rPr>
      </w:pPr>
      <w:r>
        <w:rPr>
          <w:highlight w:val="none"/>
        </w:rPr>
        <w:fldChar w:fldCharType="begin"/>
      </w:r>
      <w:r>
        <w:rPr>
          <w:highlight w:val="none"/>
        </w:rPr>
        <w:instrText xml:space="preserve"> HYPERLINK \l "_Toc30515" </w:instrText>
      </w:r>
      <w:r>
        <w:rPr>
          <w:highlight w:val="none"/>
        </w:rPr>
        <w:fldChar w:fldCharType="separate"/>
      </w:r>
      <w:r>
        <w:rPr>
          <w:rFonts w:hint="eastAsia" w:ascii="宋体"/>
          <w:bCs/>
          <w:szCs w:val="32"/>
          <w:highlight w:val="none"/>
        </w:rPr>
        <w:t xml:space="preserve">十、 投标所需其他材料</w:t>
      </w:r>
      <w:r>
        <w:rPr>
          <w:highlight w:val="none"/>
        </w:rPr>
        <w:tab/>
      </w:r>
      <w:r>
        <w:rPr>
          <w:highlight w:val="none"/>
        </w:rPr>
        <w:fldChar w:fldCharType="begin"/>
      </w:r>
      <w:r>
        <w:rPr>
          <w:highlight w:val="none"/>
        </w:rPr>
        <w:instrText xml:space="preserve"> PAGEREF _Toc30515 \h </w:instrText>
      </w:r>
      <w:r>
        <w:rPr>
          <w:highlight w:val="none"/>
        </w:rPr>
        <w:fldChar w:fldCharType="separate"/>
      </w:r>
      <w:r>
        <w:rPr>
          <w:highlight w:val="none"/>
        </w:rPr>
        <w:t xml:space="preserve">49</w:t>
      </w:r>
      <w:r>
        <w:rPr>
          <w:highlight w:val="none"/>
        </w:rPr>
        <w:fldChar w:fldCharType="end"/>
      </w:r>
      <w:r>
        <w:rPr>
          <w:highlight w:val="none"/>
        </w:rPr>
        <w:fldChar w:fldCharType="end"/>
      </w:r>
      <w:r/>
    </w:p>
    <w:p>
      <w:pPr>
        <w:pStyle w:val="667"/>
        <w:tabs>
          <w:tab w:val="right" w:pos="8844" w:leader="dot"/>
        </w:tabs>
        <w:rPr>
          <w:highlight w:val="none"/>
        </w:rPr>
      </w:pPr>
      <w:r>
        <w:rPr>
          <w:highlight w:val="none"/>
        </w:rPr>
        <w:fldChar w:fldCharType="end"/>
      </w:r>
      <w:r/>
    </w:p>
    <w:p>
      <w:pPr>
        <w:rPr>
          <w:highlight w:val="none"/>
        </w:rPr>
      </w:pPr>
      <w:r>
        <w:rPr>
          <w:highlight w:val="none"/>
        </w:rPr>
      </w:r>
      <w:r/>
    </w:p>
    <w:p>
      <w:pPr>
        <w:jc w:val="center"/>
        <w:keepLines/>
        <w:keepNext/>
        <w:pageBreakBefore/>
        <w:rPr>
          <w:b/>
          <w:sz w:val="44"/>
          <w:szCs w:val="44"/>
          <w:highlight w:val="none"/>
        </w:rPr>
        <w:sectPr>
          <w:footnotePr/>
          <w:endnotePr/>
          <w:type w:val="nextPage"/>
          <w:pgSz w:w="11906" w:h="16838" w:orient="portrait"/>
          <w:pgMar w:top="1440" w:right="1474" w:bottom="1440" w:left="1588" w:header="851" w:footer="992" w:gutter="0"/>
          <w:pgNumType w:start="1"/>
          <w:cols w:num="1" w:sep="0" w:space="720" w:equalWidth="1"/>
          <w:docGrid w:linePitch="360"/>
        </w:sectPr>
        <w:outlineLvl w:val="0"/>
      </w:pPr>
      <w:r/>
      <w:bookmarkStart w:id="2" w:name="_Toc81575152"/>
      <w:r/>
      <w:bookmarkStart w:id="3" w:name="_Toc81575189"/>
      <w:r/>
      <w:r/>
    </w:p>
    <w:p>
      <w:pPr>
        <w:jc w:val="center"/>
        <w:keepLines/>
        <w:keepNext/>
        <w:pageBreakBefore/>
        <w:rPr>
          <w:b/>
          <w:sz w:val="44"/>
          <w:szCs w:val="44"/>
          <w:highlight w:val="none"/>
        </w:rPr>
        <w:outlineLvl w:val="0"/>
      </w:pPr>
      <w:r/>
      <w:bookmarkStart w:id="4" w:name="_Toc13610"/>
      <w:r>
        <w:rPr>
          <w:rFonts w:hint="eastAsia"/>
          <w:b/>
          <w:sz w:val="44"/>
          <w:szCs w:val="44"/>
          <w:highlight w:val="none"/>
        </w:rPr>
        <w:t xml:space="preserve">第一部分  投标邀请函</w:t>
      </w:r>
      <w:bookmarkEnd w:id="2"/>
      <w:r/>
      <w:bookmarkEnd w:id="3"/>
      <w:r/>
      <w:bookmarkEnd w:id="4"/>
      <w:r/>
      <w:r/>
    </w:p>
    <w:p>
      <w:pPr>
        <w:ind w:firstLine="480"/>
        <w:spacing w:line="500" w:lineRule="exact"/>
        <w:rPr>
          <w:rFonts w:ascii="仿宋_GB2312" w:eastAsia="仿宋_GB2312"/>
          <w:sz w:val="24"/>
          <w:highlight w:val="none"/>
        </w:rPr>
      </w:pPr>
      <w:r>
        <w:rPr>
          <w:rFonts w:ascii="仿宋_GB2312" w:eastAsia="仿宋_GB2312"/>
          <w:sz w:val="24"/>
          <w:highlight w:val="none"/>
        </w:rPr>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受</w:t>
      </w:r>
      <w:r>
        <w:rPr>
          <w:rFonts w:hint="eastAsia" w:ascii="Times New Roman" w:hAnsi="Times New Roman" w:eastAsia="方正仿宋_GBK" w:cs="方正仿宋_GBK"/>
          <w:b/>
          <w:bCs/>
          <w:sz w:val="24"/>
          <w:szCs w:val="24"/>
          <w:highlight w:val="none"/>
          <w:u w:val="single"/>
        </w:rPr>
        <w:t xml:space="preserve">宿迁市自然资源和规划局宿城分局</w:t>
      </w:r>
      <w:r>
        <w:rPr>
          <w:rFonts w:hint="eastAsia" w:ascii="Times New Roman" w:hAnsi="Times New Roman" w:eastAsia="方正仿宋_GBK" w:cs="方正仿宋_GBK"/>
          <w:sz w:val="24"/>
          <w:szCs w:val="24"/>
          <w:highlight w:val="none"/>
        </w:rPr>
        <w:t xml:space="preserve">的委托，</w:t>
      </w:r>
      <w:r>
        <w:rPr>
          <w:rFonts w:hint="eastAsia" w:ascii="Times New Roman" w:hAnsi="Times New Roman" w:eastAsia="方正仿宋_GBK" w:cs="方正仿宋_GBK"/>
          <w:b/>
          <w:bCs/>
          <w:sz w:val="24"/>
          <w:szCs w:val="24"/>
          <w:highlight w:val="none"/>
          <w:u w:val="single"/>
        </w:rPr>
        <w:t xml:space="preserve">江苏文鼎工程管理有限公司</w:t>
      </w:r>
      <w:r>
        <w:rPr>
          <w:rFonts w:hint="eastAsia" w:ascii="Times New Roman" w:hAnsi="Times New Roman" w:eastAsia="方正仿宋_GBK" w:cs="方正仿宋_GBK"/>
          <w:sz w:val="24"/>
          <w:szCs w:val="24"/>
          <w:highlight w:val="none"/>
        </w:rPr>
        <w:t xml:space="preserve">就</w:t>
      </w:r>
      <w:r>
        <w:rPr>
          <w:rFonts w:hint="eastAsia" w:ascii="Times New Roman" w:hAnsi="Times New Roman" w:eastAsia="方正仿宋_GBK" w:cs="方正仿宋_GBK"/>
          <w:b/>
          <w:bCs/>
          <w:sz w:val="24"/>
          <w:szCs w:val="24"/>
          <w:highlight w:val="none"/>
          <w:u w:val="single"/>
        </w:rPr>
        <w:t xml:space="preserve">宿城区房地一体农村不动产登记发证（</w:t>
      </w:r>
      <w:r>
        <w:rPr>
          <w:rFonts w:hint="eastAsia" w:ascii="Times New Roman" w:hAnsi="Times New Roman" w:eastAsia="方正仿宋_GBK" w:cs="方正仿宋_GBK"/>
          <w:b/>
          <w:bCs/>
          <w:sz w:val="24"/>
          <w:szCs w:val="24"/>
          <w:highlight w:val="none"/>
          <w:u w:val="single"/>
          <w:lang w:eastAsia="zh-CN"/>
        </w:rPr>
        <w:t xml:space="preserve">JSZC-321302-WDGC-G2024-0010</w:t>
      </w:r>
      <w:r>
        <w:rPr>
          <w:rFonts w:hint="eastAsia" w:ascii="Times New Roman" w:hAnsi="Times New Roman" w:eastAsia="方正仿宋_GBK" w:cs="方正仿宋_GBK"/>
          <w:b/>
          <w:bCs/>
          <w:sz w:val="24"/>
          <w:szCs w:val="24"/>
          <w:highlight w:val="none"/>
          <w:u w:val="single"/>
        </w:rPr>
        <w:t xml:space="preserve">）</w:t>
      </w:r>
      <w:r>
        <w:rPr>
          <w:rFonts w:hint="eastAsia" w:ascii="Times New Roman" w:hAnsi="Times New Roman" w:eastAsia="方正仿宋_GBK" w:cs="方正仿宋_GBK"/>
          <w:sz w:val="24"/>
          <w:szCs w:val="24"/>
          <w:highlight w:val="none"/>
        </w:rPr>
        <w:t xml:space="preserve">进行公开招标采购，欢迎符合条件的投标人投标。</w:t>
      </w:r>
      <w:r/>
    </w:p>
    <w:p>
      <w:pPr>
        <w:ind w:firstLine="480"/>
        <w:rPr>
          <w:rFonts w:ascii="Times New Roman" w:hAnsi="Times New Roman" w:eastAsia="方正仿宋_GBK" w:cs="方正仿宋_GBK"/>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方正仿宋_GBK" w:cs="方正仿宋_GBK"/>
          <w:sz w:val="24"/>
          <w:szCs w:val="24"/>
          <w:highlight w:val="none"/>
        </w:rPr>
        <w:t xml:space="preserve">项目概况</w:t>
      </w:r>
      <w:r/>
    </w:p>
    <w:p>
      <w:pPr>
        <w:ind w:firstLine="480"/>
        <w:rPr>
          <w:rFonts w:ascii="Times New Roman" w:hAnsi="Times New Roman" w:eastAsia="方正仿宋_GBK" w:cs="方正仿宋_GBK"/>
          <w:sz w:val="24"/>
          <w:szCs w:val="24"/>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方正仿宋_GBK" w:cs="方正仿宋_GBK"/>
          <w:sz w:val="24"/>
          <w:szCs w:val="24"/>
          <w:highlight w:val="none"/>
          <w:u w:val="single"/>
        </w:rPr>
        <w:t xml:space="preserve"> 宿城区房地一体农村不动产登记发证</w:t>
      </w:r>
      <w:r>
        <w:rPr>
          <w:rFonts w:hint="eastAsia" w:ascii="Times New Roman" w:hAnsi="Times New Roman" w:eastAsia="方正仿宋_GBK" w:cs="方正仿宋_GBK"/>
          <w:sz w:val="24"/>
          <w:szCs w:val="24"/>
          <w:highlight w:val="none"/>
        </w:rPr>
        <w:t xml:space="preserve">招标项目的潜在投标人可在</w:t>
      </w:r>
      <w:r>
        <w:rPr>
          <w:rFonts w:hint="eastAsia" w:ascii="Times New Roman" w:hAnsi="Times New Roman" w:eastAsia="方正仿宋_GBK" w:cs="方正仿宋_GBK"/>
          <w:sz w:val="24"/>
          <w:szCs w:val="24"/>
          <w:highlight w:val="none"/>
          <w:u w:val="single"/>
        </w:rPr>
        <w:t xml:space="preserve">“宿迁市政府采购网”自行免费下载</w:t>
      </w:r>
      <w:r>
        <w:rPr>
          <w:rFonts w:hint="eastAsia" w:ascii="Times New Roman" w:hAnsi="Times New Roman" w:eastAsia="方正仿宋_GBK" w:cs="方正仿宋_GBK"/>
          <w:sz w:val="24"/>
          <w:szCs w:val="24"/>
          <w:highlight w:val="none"/>
        </w:rPr>
        <w:t xml:space="preserve">招标文件，并于</w:t>
      </w:r>
      <w:r>
        <w:rPr>
          <w:rFonts w:hint="eastAsia" w:ascii="Times New Roman" w:hAnsi="Times New Roman" w:eastAsia="方正仿宋_GBK" w:cs="方正仿宋_GBK"/>
          <w:sz w:val="24"/>
          <w:szCs w:val="24"/>
          <w:highlight w:val="none"/>
          <w:u w:val="single"/>
        </w:rPr>
        <w:t xml:space="preserve">2024</w:t>
      </w:r>
      <w:r>
        <w:rPr>
          <w:rFonts w:hint="eastAsia" w:ascii="Times New Roman" w:hAnsi="Times New Roman" w:eastAsia="方正仿宋_GBK" w:cs="方正仿宋_GBK"/>
          <w:bCs/>
          <w:sz w:val="24"/>
          <w:szCs w:val="24"/>
          <w:highlight w:val="none"/>
          <w:u w:val="single"/>
        </w:rPr>
        <w:t xml:space="preserve">年</w:t>
      </w:r>
      <w:r>
        <w:rPr>
          <w:rFonts w:hint="eastAsia" w:ascii="Times New Roman" w:hAnsi="Times New Roman" w:eastAsia="方正仿宋_GBK" w:cs="方正仿宋_GBK"/>
          <w:bCs/>
          <w:sz w:val="24"/>
          <w:szCs w:val="24"/>
          <w:highlight w:val="none"/>
          <w:u w:val="single"/>
          <w:lang w:val="en-US" w:eastAsia="zh-CN"/>
        </w:rPr>
        <w:t xml:space="preserve">09</w:t>
      </w:r>
      <w:r>
        <w:rPr>
          <w:rFonts w:hint="eastAsia" w:ascii="Times New Roman" w:hAnsi="Times New Roman" w:eastAsia="方正仿宋_GBK" w:cs="方正仿宋_GBK"/>
          <w:bCs/>
          <w:sz w:val="24"/>
          <w:szCs w:val="24"/>
          <w:highlight w:val="none"/>
          <w:u w:val="single"/>
        </w:rPr>
        <w:t xml:space="preserve">月</w:t>
      </w:r>
      <w:r>
        <w:rPr>
          <w:rFonts w:hint="eastAsia" w:ascii="Times New Roman" w:hAnsi="Times New Roman" w:eastAsia="方正仿宋_GBK" w:cs="方正仿宋_GBK"/>
          <w:bCs/>
          <w:sz w:val="24"/>
          <w:szCs w:val="24"/>
          <w:highlight w:val="none"/>
          <w:u w:val="single"/>
          <w:lang w:val="en-US" w:eastAsia="zh-CN"/>
        </w:rPr>
        <w:t xml:space="preserve">24</w:t>
      </w:r>
      <w:r>
        <w:rPr>
          <w:rFonts w:hint="eastAsia" w:ascii="Times New Roman" w:hAnsi="Times New Roman" w:eastAsia="方正仿宋_GBK" w:cs="方正仿宋_GBK"/>
          <w:bCs/>
          <w:sz w:val="24"/>
          <w:szCs w:val="24"/>
          <w:highlight w:val="none"/>
          <w:u w:val="single"/>
        </w:rPr>
        <w:t xml:space="preserve">日9点30 分</w:t>
      </w:r>
      <w:r>
        <w:rPr>
          <w:rFonts w:hint="eastAsia" w:ascii="Times New Roman" w:hAnsi="Times New Roman" w:eastAsia="方正仿宋_GBK" w:cs="方正仿宋_GBK"/>
          <w:bCs/>
          <w:sz w:val="24"/>
          <w:szCs w:val="24"/>
          <w:highlight w:val="none"/>
        </w:rPr>
        <w:t xml:space="preserve">（北京时间）前递交投标文件</w:t>
      </w:r>
      <w:r>
        <w:rPr>
          <w:rFonts w:hint="eastAsia" w:ascii="Times New Roman" w:hAnsi="Times New Roman" w:eastAsia="方正仿宋_GBK" w:cs="方正仿宋_GBK"/>
          <w:sz w:val="24"/>
          <w:szCs w:val="24"/>
          <w:highlight w:val="none"/>
        </w:rPr>
        <w:t xml:space="preserve">。</w:t>
      </w:r>
      <w:r/>
    </w:p>
    <w:p>
      <w:pPr>
        <w:pStyle w:val="643"/>
        <w:ind w:firstLine="467"/>
        <w:spacing w:before="0" w:after="0" w:line="560" w:lineRule="exact"/>
        <w:rPr>
          <w:rFonts w:ascii="Times New Roman" w:hAnsi="Times New Roman" w:eastAsia="方正仿宋_GBK" w:cs="方正仿宋_GBK"/>
          <w:b/>
          <w:bCs/>
          <w:highlight w:val="none"/>
        </w:rPr>
      </w:pPr>
      <w:r/>
      <w:bookmarkStart w:id="5" w:name="_Toc38985263"/>
      <w:r/>
      <w:bookmarkStart w:id="6" w:name="_Toc35393621"/>
      <w:r/>
      <w:bookmarkStart w:id="7" w:name="_Toc35393790"/>
      <w:r/>
      <w:bookmarkStart w:id="8" w:name="_Toc28359079"/>
      <w:r/>
      <w:bookmarkStart w:id="9" w:name="_Toc15783"/>
      <w:r/>
      <w:bookmarkStart w:id="10" w:name="_Toc28359002"/>
      <w:r/>
      <w:bookmarkStart w:id="11" w:name="_Toc17672"/>
      <w:r/>
      <w:bookmarkStart w:id="12" w:name="_Hlk24379207"/>
      <w:r>
        <w:rPr>
          <w:rFonts w:hint="eastAsia" w:ascii="Times New Roman" w:hAnsi="Times New Roman" w:eastAsia="方正仿宋_GBK" w:cs="方正仿宋_GBK"/>
          <w:b/>
          <w:bCs/>
          <w:highlight w:val="none"/>
        </w:rPr>
        <w:t xml:space="preserve">一、项目基本情况</w:t>
      </w:r>
      <w:bookmarkEnd w:id="5"/>
      <w:r/>
      <w:bookmarkEnd w:id="6"/>
      <w:r/>
      <w:bookmarkEnd w:id="7"/>
      <w:r/>
      <w:bookmarkEnd w:id="8"/>
      <w:r/>
      <w:bookmarkEnd w:id="9"/>
      <w:r/>
      <w:bookmarkEnd w:id="10"/>
      <w:r/>
      <w:bookmarkEnd w:id="11"/>
      <w:r/>
      <w:r/>
    </w:p>
    <w:p>
      <w:pPr>
        <w:ind w:firstLine="480"/>
        <w:spacing w:line="560" w:lineRule="exact"/>
        <w:rPr>
          <w:rFonts w:hint="eastAsia" w:ascii="Times New Roman" w:hAnsi="Times New Roman" w:eastAsia="方正仿宋_GBK" w:cs="方正仿宋_GBK"/>
          <w:sz w:val="24"/>
          <w:szCs w:val="24"/>
          <w:highlight w:val="none"/>
          <w:lang w:eastAsia="zh-CN"/>
        </w:rPr>
      </w:pPr>
      <w:r>
        <w:rPr>
          <w:rFonts w:hint="eastAsia" w:ascii="Times New Roman" w:hAnsi="Times New Roman" w:eastAsia="方正仿宋_GBK" w:cs="方正仿宋_GBK"/>
          <w:sz w:val="24"/>
          <w:szCs w:val="24"/>
          <w:highlight w:val="none"/>
        </w:rPr>
        <w:t xml:space="preserve">1.项目编号：</w:t>
      </w:r>
      <w:r>
        <w:rPr>
          <w:rFonts w:hint="eastAsia" w:ascii="Times New Roman" w:hAnsi="Times New Roman" w:eastAsia="方正仿宋_GBK" w:cs="方正仿宋_GBK"/>
          <w:sz w:val="24"/>
          <w:szCs w:val="24"/>
          <w:highlight w:val="none"/>
          <w:lang w:eastAsia="zh-CN"/>
        </w:rPr>
        <w:t xml:space="preserve">JSZC-321302-WDGC-G2024-0010</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2.项目名称：</w:t>
      </w:r>
      <w:bookmarkEnd w:id="12"/>
      <w:r>
        <w:rPr>
          <w:rFonts w:hint="eastAsia" w:ascii="Times New Roman" w:hAnsi="Times New Roman" w:eastAsia="方正仿宋_GBK" w:cs="方正仿宋_GBK"/>
          <w:sz w:val="24"/>
          <w:szCs w:val="24"/>
          <w:highlight w:val="none"/>
        </w:rPr>
        <w:t xml:space="preserve">宿城区房地一体农村不动产登记发证</w:t>
      </w:r>
      <w:r/>
    </w:p>
    <w:p>
      <w:pPr>
        <w:ind w:firstLine="480"/>
        <w:spacing w:line="560" w:lineRule="exact"/>
        <w:rPr>
          <w:rFonts w:hint="eastAsia" w:ascii="Times New Roman" w:hAnsi="Times New Roman" w:eastAsia="方正仿宋_GBK" w:cs="方正仿宋_GBK"/>
          <w:sz w:val="24"/>
          <w:szCs w:val="24"/>
          <w:highlight w:val="none"/>
          <w:lang w:eastAsia="zh-CN"/>
        </w:rPr>
      </w:pPr>
      <w:r>
        <w:rPr>
          <w:rFonts w:hint="eastAsia" w:ascii="Times New Roman" w:hAnsi="Times New Roman" w:eastAsia="方正仿宋_GBK" w:cs="方正仿宋_GBK"/>
          <w:sz w:val="24"/>
          <w:szCs w:val="24"/>
          <w:highlight w:val="none"/>
        </w:rPr>
        <w:t xml:space="preserve">3.预算金额：500万元</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t xml:space="preserve">分包一预算为263万元，分包二预算为237万元</w:t>
      </w:r>
      <w:r>
        <w:rPr>
          <w:rFonts w:hint="eastAsia" w:ascii="Times New Roman" w:hAnsi="Times New Roman" w:eastAsia="方正仿宋_GBK" w:cs="方正仿宋_GBK"/>
          <w:sz w:val="24"/>
          <w:szCs w:val="24"/>
          <w:highlight w:val="none"/>
          <w:lang w:eastAsia="zh-CN"/>
        </w:rPr>
        <w:t xml:space="preserve">）</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4.本项目</w:t>
      </w:r>
      <w:r>
        <w:rPr>
          <w:rFonts w:hint="eastAsia" w:ascii="Times New Roman" w:hAnsi="Times New Roman" w:eastAsia="方正仿宋_GBK" w:cs="方正仿宋_GBK"/>
          <w:sz w:val="24"/>
          <w:szCs w:val="24"/>
          <w:highlight w:val="none"/>
          <w:u w:val="single"/>
        </w:rPr>
        <w:t xml:space="preserve"> 设定 </w:t>
      </w:r>
      <w:r>
        <w:rPr>
          <w:rFonts w:hint="eastAsia" w:ascii="Times New Roman" w:hAnsi="Times New Roman" w:eastAsia="方正仿宋_GBK" w:cs="方正仿宋_GBK"/>
          <w:sz w:val="24"/>
          <w:szCs w:val="24"/>
          <w:highlight w:val="none"/>
        </w:rPr>
        <w:t xml:space="preserve">最高限价，最高限价为</w:t>
      </w:r>
      <w:r>
        <w:rPr>
          <w:rFonts w:hint="eastAsia" w:ascii="Times New Roman" w:hAnsi="Times New Roman" w:eastAsia="方正仿宋_GBK" w:cs="方正仿宋_GBK"/>
          <w:sz w:val="24"/>
          <w:szCs w:val="24"/>
          <w:highlight w:val="none"/>
          <w:u w:val="single"/>
          <w:lang w:val="en-US" w:eastAsia="zh-CN"/>
        </w:rPr>
        <w:t xml:space="preserve">494</w:t>
      </w:r>
      <w:r>
        <w:rPr>
          <w:rFonts w:hint="eastAsia" w:ascii="Times New Roman" w:hAnsi="Times New Roman" w:eastAsia="方正仿宋_GBK" w:cs="方正仿宋_GBK"/>
          <w:sz w:val="24"/>
          <w:szCs w:val="24"/>
          <w:highlight w:val="none"/>
        </w:rPr>
        <w:t xml:space="preserve">万元</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lang w:val="en-US" w:eastAsia="zh-CN"/>
        </w:rPr>
        <w:t xml:space="preserve">分包一最高支付260万元，分包二最高支付234万元</w:t>
      </w:r>
      <w:r>
        <w:rPr>
          <w:rFonts w:hint="eastAsia" w:ascii="Times New Roman" w:hAnsi="Times New Roman" w:eastAsia="方正仿宋_GBK" w:cs="方正仿宋_GBK"/>
          <w:sz w:val="24"/>
          <w:szCs w:val="24"/>
          <w:highlight w:val="none"/>
          <w:lang w:eastAsia="zh-CN"/>
        </w:rPr>
        <w:t xml:space="preserve">）</w:t>
      </w:r>
      <w:r>
        <w:rPr>
          <w:rFonts w:hint="eastAsia" w:ascii="Times New Roman" w:hAnsi="Times New Roman" w:eastAsia="方正仿宋_GBK" w:cs="方正仿宋_GBK"/>
          <w:sz w:val="24"/>
          <w:szCs w:val="24"/>
          <w:highlight w:val="none"/>
        </w:rPr>
        <w:t xml:space="preserve">，单价最高限价为</w:t>
      </w:r>
      <w:r>
        <w:rPr>
          <w:rFonts w:hint="eastAsia" w:ascii="Times New Roman" w:hAnsi="Times New Roman" w:eastAsia="方正仿宋_GBK" w:cs="方正仿宋_GBK"/>
          <w:sz w:val="24"/>
          <w:szCs w:val="24"/>
          <w:highlight w:val="none"/>
          <w:u w:val="single"/>
        </w:rPr>
        <w:t xml:space="preserve">130</w:t>
      </w:r>
      <w:r>
        <w:rPr>
          <w:rFonts w:hint="eastAsia" w:ascii="Times New Roman" w:hAnsi="Times New Roman" w:eastAsia="方正仿宋_GBK" w:cs="方正仿宋_GBK"/>
          <w:sz w:val="24"/>
          <w:szCs w:val="24"/>
          <w:highlight w:val="none"/>
        </w:rPr>
        <w:t xml:space="preserve">元/宗。</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5.采购需求（简介）：</w:t>
      </w:r>
      <w:bookmarkStart w:id="13" w:name="EB7e2bda627d9e41d081892610823f4004"/>
      <w:r>
        <w:rPr>
          <w:rFonts w:hint="eastAsia" w:ascii="Times New Roman" w:hAnsi="Times New Roman" w:eastAsia="方正仿宋_GBK" w:cs="方正仿宋_GBK"/>
          <w:sz w:val="24"/>
          <w:szCs w:val="24"/>
          <w:highlight w:val="none"/>
        </w:rPr>
        <w:t xml:space="preserve">为贯彻落实</w:t>
      </w:r>
      <w:r>
        <w:rPr>
          <w:rFonts w:hint="eastAsia" w:ascii="Times New Roman" w:hAnsi="Times New Roman" w:eastAsia="方正仿宋_GBK" w:cs="方正仿宋_GBK"/>
          <w:sz w:val="24"/>
          <w:szCs w:val="24"/>
          <w:highlight w:val="none"/>
        </w:rPr>
        <w:t xml:space="preserve">部自然资源确权登记局《关于进一步做好农村不动产确权登记工作的通知》（自然资登记函[2019]6号）的文件、《江苏省自然资源厅关于开展我省房地一体农村不动产登记颁证示范点建设工作的通知》（苏自然资函[2020]229号）和《自然资源部关于持续推进农村房地一体宅基地确权登记颁证工作的通知》（自然资发[2023]109号）等文件要求，结合土地使用制度改革和不动产统一登记工作的实际需要，编制宿城区房地一体农村不动产登记发证及常态化确权登记工作实施方案，开展宿城区房地一体农村不动产登记发证项目工作。详见采购需求内容。</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分包一：支口街道、耿车镇、陈集镇、王官集镇、蔡集镇、龙河镇罗圩片（约2万宗，所有宗数均以实际调查宗地数为准）</w:t>
      </w:r>
      <w:r>
        <w:rPr>
          <w:rFonts w:hint="eastAsia" w:ascii="Times New Roman" w:hAnsi="Times New Roman" w:eastAsia="方正仿宋_GBK" w:cs="方正仿宋_GBK"/>
          <w:sz w:val="24"/>
          <w:szCs w:val="24"/>
          <w:highlight w:val="none"/>
          <w:lang w:eastAsia="zh-CN"/>
        </w:rPr>
        <w:t xml:space="preserve">，分包一最高支付260万元</w:t>
      </w:r>
      <w:r>
        <w:rPr>
          <w:rFonts w:hint="eastAsia" w:ascii="Times New Roman" w:hAnsi="Times New Roman" w:eastAsia="方正仿宋_GBK" w:cs="方正仿宋_GBK"/>
          <w:sz w:val="24"/>
          <w:szCs w:val="24"/>
          <w:highlight w:val="none"/>
        </w:rPr>
        <w:t xml:space="preserve">；</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分包二：埠子镇、洋北街道、中扬镇、屠园镇、龙河镇龙河片（约1.8万宗，所有宗数均以实际调查宗地数为准），</w:t>
      </w:r>
      <w:r>
        <w:rPr>
          <w:rFonts w:hint="eastAsia" w:ascii="Times New Roman" w:hAnsi="Times New Roman" w:eastAsia="方正仿宋_GBK" w:cs="方正仿宋_GBK"/>
          <w:sz w:val="24"/>
          <w:szCs w:val="24"/>
          <w:highlight w:val="none"/>
          <w:lang w:eastAsia="zh-CN"/>
        </w:rPr>
        <w:t xml:space="preserve">分包二最高支付234万元</w:t>
      </w:r>
      <w:r>
        <w:rPr>
          <w:rFonts w:hint="eastAsia" w:ascii="Times New Roman" w:hAnsi="Times New Roman" w:eastAsia="方正仿宋_GBK" w:cs="方正仿宋_GBK"/>
          <w:sz w:val="24"/>
          <w:szCs w:val="24"/>
          <w:highlight w:val="none"/>
        </w:rPr>
        <w:t xml:space="preserve">。</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注：按分包一至分包二的顺序开标、评标、定标，每个投标人可以参与全部分包的投标，但只能中一个分包。被推荐为第一中标候选人的，可以参与其他分包的评标，但不参与其它分包中标候选人的推荐。</w:t>
      </w:r>
      <w:r/>
    </w:p>
    <w:p>
      <w:pPr>
        <w:ind w:firstLine="480"/>
        <w:spacing w:line="560" w:lineRule="exact"/>
        <w:rPr>
          <w:rFonts w:ascii="Times New Roman" w:hAnsi="Times New Roman" w:eastAsia="方正仿宋_GBK" w:cs="方正仿宋_GBK"/>
          <w:sz w:val="24"/>
          <w:szCs w:val="24"/>
          <w:highlight w:val="none"/>
          <w:u w:val="single"/>
        </w:rPr>
      </w:pPr>
      <w:r>
        <w:rPr>
          <w:rFonts w:hint="eastAsia" w:ascii="Times New Roman" w:hAnsi="Times New Roman" w:eastAsia="方正仿宋_GBK" w:cs="方正仿宋_GBK"/>
          <w:sz w:val="24"/>
          <w:szCs w:val="24"/>
          <w:highlight w:val="none"/>
        </w:rPr>
        <w:t xml:space="preserve">评审结束后，若其中一个分包受到质疑投诉等原因，导致本分包评审结果改变，但不影响其他分包的评审结果。</w:t>
      </w:r>
      <w:bookmarkEnd w:id="13"/>
      <w:r>
        <w:rPr>
          <w:rFonts w:hint="eastAsia" w:ascii="Times New Roman" w:hAnsi="Times New Roman" w:eastAsia="方正仿宋_GBK" w:cs="方正仿宋_GBK"/>
          <w:sz w:val="24"/>
          <w:szCs w:val="24"/>
          <w:highlight w:val="none"/>
        </w:rPr>
        <w:t xml:space="preserve"> </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6.合同履行期限：2024年12月底前完成全部工作内容，同时满足上级主管部门的进度和技术要求。  </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7.本项目</w:t>
      </w:r>
      <w:r>
        <w:rPr>
          <w:rFonts w:hint="eastAsia" w:ascii="Times New Roman" w:hAnsi="Times New Roman" w:eastAsia="方正仿宋_GBK" w:cs="方正仿宋_GBK"/>
          <w:sz w:val="24"/>
          <w:szCs w:val="24"/>
          <w:highlight w:val="none"/>
          <w:u w:val="single"/>
        </w:rPr>
        <w:t xml:space="preserve"> 不接受 </w:t>
      </w:r>
      <w:r>
        <w:rPr>
          <w:rFonts w:hint="eastAsia" w:ascii="Times New Roman" w:hAnsi="Times New Roman" w:eastAsia="方正仿宋_GBK" w:cs="方正仿宋_GBK"/>
          <w:sz w:val="24"/>
          <w:szCs w:val="24"/>
          <w:highlight w:val="none"/>
        </w:rPr>
        <w:t xml:space="preserve">联合体投标。</w:t>
      </w:r>
      <w:r/>
    </w:p>
    <w:p>
      <w:pPr>
        <w:pStyle w:val="643"/>
        <w:ind w:firstLine="467"/>
        <w:spacing w:before="0" w:after="0" w:line="560" w:lineRule="exact"/>
        <w:rPr>
          <w:rFonts w:ascii="方正仿宋_GBK" w:hAnsi="方正仿宋_GBK" w:eastAsia="方正仿宋_GBK" w:cs="方正仿宋_GBK"/>
          <w:b/>
          <w:bCs/>
          <w:highlight w:val="none"/>
        </w:rPr>
      </w:pPr>
      <w:r/>
      <w:bookmarkStart w:id="14" w:name="_Toc27430"/>
      <w:r/>
      <w:bookmarkStart w:id="15" w:name="_Toc35393622"/>
      <w:r/>
      <w:bookmarkStart w:id="16" w:name="_Toc28359003"/>
      <w:r/>
      <w:bookmarkStart w:id="17" w:name="_Toc35393791"/>
      <w:r/>
      <w:bookmarkStart w:id="18" w:name="_Toc18145"/>
      <w:r/>
      <w:bookmarkStart w:id="19" w:name="_Toc38985264"/>
      <w:r/>
      <w:bookmarkStart w:id="20" w:name="_Toc28359080"/>
      <w:r>
        <w:rPr>
          <w:rFonts w:hint="eastAsia" w:ascii="方正仿宋_GBK" w:hAnsi="方正仿宋_GBK" w:eastAsia="方正仿宋_GBK" w:cs="方正仿宋_GBK"/>
          <w:b/>
          <w:bCs/>
          <w:highlight w:val="none"/>
        </w:rPr>
        <w:t xml:space="preserve">二、申请人的资格要求：</w:t>
      </w:r>
      <w:bookmarkEnd w:id="14"/>
      <w:r/>
      <w:bookmarkEnd w:id="15"/>
      <w:r/>
      <w:bookmarkEnd w:id="16"/>
      <w:r/>
      <w:bookmarkEnd w:id="17"/>
      <w:r/>
      <w:bookmarkEnd w:id="18"/>
      <w:r/>
      <w:bookmarkEnd w:id="19"/>
      <w:r/>
      <w:bookmarkEnd w:id="20"/>
      <w:r/>
      <w:r/>
    </w:p>
    <w:p>
      <w:pPr>
        <w:ind w:firstLine="480"/>
        <w:spacing w:line="560" w:lineRule="exact"/>
        <w:rPr>
          <w:rFonts w:ascii="Times New Roman" w:hAnsi="Times New Roman" w:eastAsia="方正仿宋_GBK" w:cs="方正仿宋_GBK"/>
          <w:sz w:val="24"/>
          <w:szCs w:val="24"/>
          <w:highlight w:val="none"/>
        </w:rPr>
      </w:pPr>
      <w:r/>
      <w:bookmarkStart w:id="21" w:name="_Toc35393623"/>
      <w:r/>
      <w:bookmarkStart w:id="22" w:name="_Toc28359081"/>
      <w:r/>
      <w:bookmarkStart w:id="23" w:name="_Toc38985265"/>
      <w:r/>
      <w:bookmarkStart w:id="24" w:name="_Toc35393792"/>
      <w:r/>
      <w:bookmarkStart w:id="25" w:name="_Toc28359004"/>
      <w:r>
        <w:rPr>
          <w:rFonts w:hint="eastAsia" w:ascii="Times New Roman" w:hAnsi="Times New Roman" w:eastAsia="方正仿宋_GBK" w:cs="方正仿宋_GBK"/>
          <w:sz w:val="24"/>
          <w:szCs w:val="24"/>
          <w:highlight w:val="none"/>
        </w:rPr>
        <w:t xml:space="preserve">（一）通用资格要求</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2.信用信息。信用信息查询渠道：“信用中国”网（www.creditchina.gov.cn）、“中国政府采购”网（www.ccgp.gov.cn）、江苏政府采购网（www.ccgp-jiangsu.gov.cn）。    </w:t>
      </w:r>
      <w:r/>
    </w:p>
    <w:p>
      <w:pPr>
        <w:ind w:firstLine="480"/>
        <w:spacing w:line="560" w:lineRule="exact"/>
        <w:rPr>
          <w:rFonts w:ascii="Times New Roman" w:hAnsi="Times New Roman" w:eastAsia="方正仿宋_GBK" w:cs="方正仿宋_GBK"/>
          <w:sz w:val="36"/>
          <w:szCs w:val="36"/>
          <w:highlight w:val="none"/>
        </w:rPr>
      </w:pPr>
      <w:r>
        <w:rPr>
          <w:rFonts w:hint="eastAsia" w:ascii="Times New Roman" w:hAnsi="Times New Roman" w:eastAsia="方正仿宋_GBK" w:cs="方正仿宋_GBK"/>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3.落实政府采购政策需满足的资格要求：无。</w:t>
      </w:r>
      <w:r/>
    </w:p>
    <w:p>
      <w:pPr>
        <w:ind w:firstLine="480"/>
        <w:spacing w:line="56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（二）本项目的特定资格要求：投标人须具有主管部门颁发的甲级测绘资质（测绘资质专业范围需包含界线与不动产测绘、地理信息系统工程）。</w:t>
      </w:r>
      <w:r/>
    </w:p>
    <w:p>
      <w:pPr>
        <w:pStyle w:val="643"/>
        <w:ind w:firstLine="467"/>
        <w:spacing w:before="0" w:after="0" w:line="560" w:lineRule="exact"/>
        <w:rPr>
          <w:rFonts w:ascii="Times New Roman" w:hAnsi="Times New Roman" w:eastAsia="方正仿宋_GBK" w:cs="方正仿宋_GBK"/>
          <w:b/>
          <w:bCs/>
          <w:highlight w:val="none"/>
        </w:rPr>
      </w:pPr>
      <w:r/>
      <w:bookmarkStart w:id="26" w:name="_Toc8522"/>
      <w:r/>
      <w:bookmarkStart w:id="27" w:name="_Toc19538"/>
      <w:r>
        <w:rPr>
          <w:rFonts w:hint="eastAsia" w:ascii="Times New Roman" w:hAnsi="Times New Roman" w:eastAsia="方正仿宋_GBK" w:cs="方正仿宋_GBK"/>
          <w:b/>
          <w:bCs/>
          <w:highlight w:val="none"/>
        </w:rPr>
        <w:t xml:space="preserve">三、获取招标文件</w:t>
      </w:r>
      <w:bookmarkEnd w:id="21"/>
      <w:r/>
      <w:bookmarkEnd w:id="22"/>
      <w:r/>
      <w:bookmarkEnd w:id="23"/>
      <w:r/>
      <w:bookmarkEnd w:id="24"/>
      <w:r/>
      <w:bookmarkEnd w:id="25"/>
      <w:r/>
      <w:bookmarkEnd w:id="26"/>
      <w:r/>
      <w:bookmarkEnd w:id="27"/>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bookmarkStart w:id="28" w:name="_Toc28359005"/>
      <w:r/>
      <w:bookmarkStart w:id="29" w:name="_Toc28359082"/>
      <w:r/>
      <w:bookmarkStart w:id="30" w:name="_Toc35393624"/>
      <w:r/>
      <w:bookmarkStart w:id="31" w:name="_Toc38985266"/>
      <w:r/>
      <w:bookmarkStart w:id="32" w:name="_Toc35393793"/>
      <w:r>
        <w:rPr>
          <w:rFonts w:hint="eastAsia" w:ascii="Times New Roman" w:hAnsi="Times New Roman" w:eastAsia="方正仿宋_GBK" w:cs="方正仿宋_GBK"/>
          <w:sz w:val="24"/>
          <w:szCs w:val="24"/>
          <w:highlight w:val="none"/>
        </w:rPr>
        <w:t xml:space="preserve">1.时间：2</w:t>
      </w:r>
      <w:r>
        <w:rPr>
          <w:rFonts w:hint="eastAsia" w:ascii="Times New Roman" w:hAnsi="Times New Roman" w:eastAsia="方正仿宋_GBK" w:cs="方正仿宋_GBK"/>
          <w:color w:val="auto"/>
          <w:sz w:val="24"/>
          <w:szCs w:val="24"/>
          <w:highlight w:val="none"/>
        </w:rPr>
        <w:t xml:space="preserve">024年</w:t>
      </w:r>
      <w:r>
        <w:rPr>
          <w:rFonts w:hint="eastAsia" w:ascii="Times New Roman" w:hAnsi="Times New Roman" w:eastAsia="方正仿宋_GBK" w:cs="方正仿宋_GBK"/>
          <w:color w:val="auto"/>
          <w:sz w:val="24"/>
          <w:szCs w:val="24"/>
          <w:highlight w:val="none"/>
          <w:lang w:val="en-US" w:eastAsia="zh-CN"/>
        </w:rPr>
        <w:t xml:space="preserve">09</w:t>
      </w:r>
      <w:r>
        <w:rPr>
          <w:rFonts w:hint="eastAsia" w:ascii="Times New Roman" w:hAnsi="Times New Roman" w:eastAsia="方正仿宋_GBK" w:cs="方正仿宋_GBK"/>
          <w:color w:val="auto"/>
          <w:sz w:val="24"/>
          <w:szCs w:val="24"/>
          <w:highlight w:val="none"/>
        </w:rPr>
        <w:t xml:space="preserve">月</w:t>
      </w:r>
      <w:r>
        <w:rPr>
          <w:rFonts w:hint="eastAsia" w:ascii="Times New Roman" w:hAnsi="Times New Roman" w:eastAsia="方正仿宋_GBK" w:cs="方正仿宋_GBK"/>
          <w:color w:val="auto"/>
          <w:sz w:val="24"/>
          <w:szCs w:val="24"/>
          <w:highlight w:val="none"/>
          <w:lang w:val="en-US" w:eastAsia="zh-CN"/>
        </w:rPr>
        <w:t xml:space="preserve">04</w:t>
      </w:r>
      <w:r>
        <w:rPr>
          <w:rFonts w:hint="eastAsia" w:ascii="Times New Roman" w:hAnsi="Times New Roman" w:eastAsia="方正仿宋_GBK" w:cs="方正仿宋_GBK"/>
          <w:color w:val="auto"/>
          <w:sz w:val="24"/>
          <w:szCs w:val="24"/>
          <w:highlight w:val="none"/>
        </w:rPr>
        <w:t xml:space="preserve">日09:00至</w:t>
      </w:r>
      <w:bookmarkStart w:id="33" w:name="EB4a82fe30d91a48338ebb02b9012d939c"/>
      <w:r>
        <w:rPr>
          <w:rFonts w:hint="eastAsia" w:ascii="Times New Roman" w:hAnsi="Times New Roman" w:eastAsia="方正仿宋_GBK" w:cs="方正仿宋_GBK"/>
          <w:sz w:val="24"/>
          <w:szCs w:val="24"/>
          <w:highlight w:val="none"/>
        </w:rPr>
        <w:t xml:space="preserve"> </w:t>
      </w:r>
      <w:bookmarkEnd w:id="33"/>
      <w:r>
        <w:rPr>
          <w:rFonts w:hint="eastAsia" w:ascii="Times New Roman" w:hAnsi="Times New Roman" w:eastAsia="方正仿宋_GBK" w:cs="方正仿宋_GBK"/>
          <w:sz w:val="24"/>
          <w:szCs w:val="24"/>
          <w:highlight w:val="none"/>
        </w:rPr>
        <w:t xml:space="preserve">2024年</w:t>
      </w:r>
      <w:r>
        <w:rPr>
          <w:rFonts w:hint="eastAsia" w:ascii="Times New Roman" w:hAnsi="Times New Roman" w:eastAsia="方正仿宋_GBK" w:cs="方正仿宋_GBK"/>
          <w:sz w:val="24"/>
          <w:szCs w:val="24"/>
          <w:highlight w:val="none"/>
          <w:lang w:val="en-US" w:eastAsia="zh-CN"/>
        </w:rPr>
        <w:t xml:space="preserve">09</w:t>
      </w:r>
      <w:r>
        <w:rPr>
          <w:rFonts w:hint="eastAsia" w:ascii="Times New Roman" w:hAnsi="Times New Roman" w:eastAsia="方正仿宋_GBK" w:cs="方正仿宋_GBK"/>
          <w:sz w:val="24"/>
          <w:szCs w:val="24"/>
          <w:highlight w:val="none"/>
        </w:rPr>
        <w:t xml:space="preserve">月</w:t>
      </w:r>
      <w:r>
        <w:rPr>
          <w:rFonts w:hint="eastAsia" w:ascii="Times New Roman" w:hAnsi="Times New Roman" w:eastAsia="方正仿宋_GBK" w:cs="方正仿宋_GBK"/>
          <w:sz w:val="24"/>
          <w:szCs w:val="24"/>
          <w:highlight w:val="none"/>
          <w:lang w:val="en-US" w:eastAsia="zh-CN"/>
        </w:rPr>
        <w:t xml:space="preserve">10</w:t>
      </w:r>
      <w:r>
        <w:rPr>
          <w:rFonts w:hint="eastAsia" w:ascii="Times New Roman" w:hAnsi="Times New Roman" w:eastAsia="方正仿宋_GBK" w:cs="方正仿宋_GBK"/>
          <w:sz w:val="24"/>
          <w:szCs w:val="24"/>
          <w:highlight w:val="none"/>
        </w:rPr>
        <w:t xml:space="preserve">日</w:t>
      </w:r>
      <w:r>
        <w:rPr>
          <w:rFonts w:hint="eastAsia" w:ascii="Times New Roman" w:hAnsi="Times New Roman" w:eastAsia="方正仿宋_GBK" w:cs="方正仿宋_GBK"/>
          <w:sz w:val="24"/>
          <w:szCs w:val="24"/>
          <w:highlight w:val="none"/>
          <w:lang w:val="en-US" w:eastAsia="zh-CN"/>
        </w:rPr>
        <w:t xml:space="preserve">18</w:t>
      </w:r>
      <w:r>
        <w:rPr>
          <w:rFonts w:hint="eastAsia" w:ascii="Times New Roman" w:hAnsi="Times New Roman" w:eastAsia="方正仿宋_GBK" w:cs="方正仿宋_GBK"/>
          <w:sz w:val="24"/>
          <w:szCs w:val="24"/>
          <w:highlight w:val="none"/>
        </w:rPr>
        <w:t xml:space="preserve">:00</w:t>
      </w:r>
      <w:r>
        <w:rPr>
          <w:rFonts w:ascii="仿宋" w:hAnsi="仿宋" w:eastAsia="仿宋" w:cs="仿宋"/>
          <w:color w:val="000000"/>
          <w:sz w:val="24"/>
          <w:highlight w:val="none"/>
        </w:rPr>
        <w:t xml:space="preserve">（北京时间）</w:t>
      </w:r>
      <w:r>
        <w:rPr>
          <w:rFonts w:hint="eastAsia" w:ascii="Times New Roman" w:hAnsi="Times New Roman" w:eastAsia="方正仿宋_GBK" w:cs="方正仿宋_GBK"/>
          <w:sz w:val="24"/>
          <w:szCs w:val="24"/>
          <w:highlight w:val="none"/>
        </w:rPr>
        <w:t xml:space="preserve">。</w:t>
      </w:r>
      <w:r/>
    </w:p>
    <w:p>
      <w:pPr>
        <w:ind w:firstLine="480"/>
        <w:spacing w:line="360" w:lineRule="auto"/>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2.方式：投标人应在招标文件提供的时间内，通过“苏采云”系统（网址：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w:t>
      </w:r>
      <w:r/>
    </w:p>
    <w:p>
      <w:pPr>
        <w:ind w:firstLine="480"/>
        <w:spacing w:line="360" w:lineRule="auto"/>
        <w:rPr>
          <w:rFonts w:ascii="Times New Roman" w:hAnsi="Times New Roman" w:eastAsia="方正仿宋_GBK" w:cs="方正仿宋_GBK"/>
          <w:sz w:val="24"/>
          <w:szCs w:val="24"/>
          <w:highlight w:val="none"/>
        </w:rPr>
      </w:pPr>
      <w:r/>
      <w:bookmarkStart w:id="34" w:name="EB0c44ff4da61f4af989d119fe214be450"/>
      <w:r>
        <w:rPr>
          <w:rFonts w:hint="eastAsia" w:ascii="Times New Roman" w:hAnsi="Times New Roman" w:eastAsia="方正仿宋_GBK" w:cs="方正仿宋_GBK"/>
          <w:sz w:val="24"/>
          <w:szCs w:val="24"/>
          <w:highlight w:val="none"/>
        </w:rPr>
        <w:t xml:space="preserve">3.本项目共分两个包。投标人参与多个包投标的，应按包分别获取招标文件。投标人未按要求获取招标文件导致无法投标的，后果自负（其投标文件不予接受）。</w:t>
      </w:r>
      <w:bookmarkEnd w:id="34"/>
      <w:r/>
      <w:r/>
    </w:p>
    <w:p>
      <w:pPr>
        <w:pStyle w:val="643"/>
        <w:ind w:firstLine="467"/>
        <w:spacing w:before="0" w:after="0" w:line="560" w:lineRule="exact"/>
        <w:rPr>
          <w:rFonts w:ascii="Times New Roman" w:hAnsi="Times New Roman" w:eastAsia="方正仿宋_GBK" w:cs="方正仿宋_GBK"/>
          <w:b/>
          <w:bCs/>
          <w:highlight w:val="none"/>
        </w:rPr>
      </w:pPr>
      <w:r/>
      <w:bookmarkStart w:id="35" w:name="_Toc26071"/>
      <w:r/>
      <w:bookmarkStart w:id="36" w:name="_Toc32019"/>
      <w:r>
        <w:rPr>
          <w:rFonts w:hint="eastAsia" w:ascii="Times New Roman" w:hAnsi="Times New Roman" w:eastAsia="方正仿宋_GBK" w:cs="方正仿宋_GBK"/>
          <w:b/>
          <w:bCs/>
          <w:highlight w:val="none"/>
        </w:rPr>
        <w:t xml:space="preserve">四、提交投标文件</w:t>
      </w:r>
      <w:bookmarkEnd w:id="28"/>
      <w:r/>
      <w:bookmarkEnd w:id="29"/>
      <w:r>
        <w:rPr>
          <w:rFonts w:hint="eastAsia" w:ascii="Times New Roman" w:hAnsi="Times New Roman" w:eastAsia="方正仿宋_GBK" w:cs="方正仿宋_GBK"/>
          <w:b/>
          <w:bCs/>
          <w:highlight w:val="none"/>
        </w:rPr>
        <w:t xml:space="preserve">截止时间、开标时间和地点</w:t>
      </w:r>
      <w:bookmarkEnd w:id="30"/>
      <w:r/>
      <w:bookmarkEnd w:id="31"/>
      <w:r/>
      <w:bookmarkEnd w:id="32"/>
      <w:r/>
      <w:bookmarkEnd w:id="35"/>
      <w:r/>
      <w:bookmarkEnd w:id="36"/>
      <w:r/>
      <w:r/>
    </w:p>
    <w:p>
      <w:pPr>
        <w:ind w:firstLine="480"/>
        <w:spacing w:line="500" w:lineRule="exact"/>
        <w:rPr>
          <w:rFonts w:ascii="Times New Roman" w:hAnsi="Times New Roman" w:eastAsia="方正仿宋_GBK" w:cs="方正仿宋_GBK"/>
          <w:bCs/>
          <w:sz w:val="24"/>
          <w:szCs w:val="24"/>
          <w:highlight w:val="none"/>
        </w:rPr>
      </w:pPr>
      <w:r>
        <w:rPr>
          <w:rFonts w:hint="eastAsia" w:ascii="Times New Roman" w:hAnsi="Times New Roman" w:eastAsia="方正仿宋_GBK" w:cs="方正仿宋_GBK"/>
          <w:bCs/>
          <w:sz w:val="24"/>
          <w:szCs w:val="24"/>
          <w:highlight w:val="none"/>
        </w:rPr>
        <w:t xml:space="preserve">1.</w:t>
      </w:r>
      <w:r>
        <w:rPr>
          <w:rFonts w:hint="eastAsia" w:ascii="Times New Roman" w:hAnsi="Times New Roman" w:eastAsia="方正仿宋_GBK" w:cs="方正仿宋_GBK"/>
          <w:sz w:val="24"/>
          <w:szCs w:val="24"/>
          <w:highlight w:val="none"/>
        </w:rPr>
        <w:t xml:space="preserve">提交投标文件截止时间、开标时间：</w:t>
      </w:r>
      <w:r>
        <w:rPr>
          <w:rFonts w:hint="eastAsia" w:ascii="Times New Roman" w:hAnsi="Times New Roman" w:eastAsia="方正仿宋_GBK" w:cs="方正仿宋_GBK"/>
          <w:bCs/>
          <w:sz w:val="24"/>
          <w:szCs w:val="24"/>
          <w:highlight w:val="none"/>
          <w:u w:val="single"/>
        </w:rPr>
        <w:t xml:space="preserve">2024年</w:t>
      </w:r>
      <w:r>
        <w:rPr>
          <w:rFonts w:hint="eastAsia" w:ascii="Times New Roman" w:hAnsi="Times New Roman" w:eastAsia="方正仿宋_GBK" w:cs="方正仿宋_GBK"/>
          <w:bCs/>
          <w:sz w:val="24"/>
          <w:szCs w:val="24"/>
          <w:highlight w:val="none"/>
          <w:u w:val="single"/>
          <w:lang w:val="en-US" w:eastAsia="zh-CN"/>
        </w:rPr>
        <w:t xml:space="preserve">09</w:t>
      </w:r>
      <w:r>
        <w:rPr>
          <w:rFonts w:hint="eastAsia" w:ascii="Times New Roman" w:hAnsi="Times New Roman" w:eastAsia="方正仿宋_GBK" w:cs="方正仿宋_GBK"/>
          <w:bCs/>
          <w:sz w:val="24"/>
          <w:szCs w:val="24"/>
          <w:highlight w:val="none"/>
          <w:u w:val="single"/>
        </w:rPr>
        <w:t xml:space="preserve">月</w:t>
      </w:r>
      <w:r>
        <w:rPr>
          <w:rFonts w:hint="eastAsia" w:ascii="Times New Roman" w:hAnsi="Times New Roman" w:eastAsia="方正仿宋_GBK" w:cs="方正仿宋_GBK"/>
          <w:bCs/>
          <w:sz w:val="24"/>
          <w:szCs w:val="24"/>
          <w:highlight w:val="none"/>
          <w:u w:val="single"/>
          <w:lang w:val="en-US" w:eastAsia="zh-CN"/>
        </w:rPr>
        <w:t xml:space="preserve">24</w:t>
      </w:r>
      <w:r>
        <w:rPr>
          <w:rFonts w:hint="eastAsia" w:ascii="Times New Roman" w:hAnsi="Times New Roman" w:eastAsia="方正仿宋_GBK" w:cs="方正仿宋_GBK"/>
          <w:bCs/>
          <w:sz w:val="24"/>
          <w:szCs w:val="24"/>
          <w:highlight w:val="none"/>
          <w:u w:val="single"/>
        </w:rPr>
        <w:t xml:space="preserve">日9点30分</w:t>
      </w:r>
      <w:r>
        <w:rPr>
          <w:rFonts w:hint="eastAsia" w:ascii="Times New Roman" w:hAnsi="Times New Roman" w:eastAsia="方正仿宋_GBK" w:cs="方正仿宋_GBK"/>
          <w:bCs/>
          <w:sz w:val="24"/>
          <w:szCs w:val="24"/>
          <w:highlight w:val="none"/>
        </w:rPr>
        <w:t xml:space="preserve">（北京时间）</w:t>
      </w:r>
      <w:r/>
    </w:p>
    <w:p>
      <w:pPr>
        <w:ind w:firstLine="480"/>
        <w:spacing w:line="50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2.地点：“苏采云”政府采购交易系统网上开标大厅。</w:t>
      </w:r>
      <w:r/>
    </w:p>
    <w:p>
      <w:pPr>
        <w:pStyle w:val="643"/>
        <w:ind w:firstLine="467"/>
        <w:spacing w:before="0" w:after="0" w:line="560" w:lineRule="exact"/>
        <w:rPr>
          <w:rFonts w:ascii="Times New Roman" w:hAnsi="Times New Roman" w:eastAsia="方正仿宋_GBK" w:cs="方正仿宋_GBK"/>
          <w:b/>
          <w:bCs/>
          <w:highlight w:val="none"/>
        </w:rPr>
      </w:pPr>
      <w:r/>
      <w:bookmarkStart w:id="37" w:name="_Toc38985267"/>
      <w:r/>
      <w:bookmarkStart w:id="38" w:name="_Toc31299"/>
      <w:r/>
      <w:bookmarkStart w:id="39" w:name="_Toc35393625"/>
      <w:r/>
      <w:bookmarkStart w:id="40" w:name="_Toc504"/>
      <w:r/>
      <w:bookmarkStart w:id="41" w:name="_Toc28359084"/>
      <w:r/>
      <w:bookmarkStart w:id="42" w:name="_Toc35393794"/>
      <w:r/>
      <w:bookmarkStart w:id="43" w:name="_Toc28359007"/>
      <w:r>
        <w:rPr>
          <w:rFonts w:hint="eastAsia" w:ascii="Times New Roman" w:hAnsi="Times New Roman" w:eastAsia="方正仿宋_GBK" w:cs="方正仿宋_GBK"/>
          <w:b/>
          <w:bCs/>
          <w:highlight w:val="none"/>
        </w:rPr>
        <w:t xml:space="preserve">五、公告期限</w:t>
      </w:r>
      <w:bookmarkEnd w:id="37"/>
      <w:r/>
      <w:bookmarkEnd w:id="38"/>
      <w:r/>
      <w:bookmarkEnd w:id="39"/>
      <w:r/>
      <w:bookmarkEnd w:id="40"/>
      <w:r/>
      <w:bookmarkEnd w:id="41"/>
      <w:r/>
      <w:bookmarkEnd w:id="42"/>
      <w:r/>
      <w:bookmarkEnd w:id="43"/>
      <w:r/>
      <w:r/>
    </w:p>
    <w:p>
      <w:pPr>
        <w:ind w:firstLine="482"/>
        <w:spacing w:line="500" w:lineRule="exact"/>
        <w:rPr>
          <w:rFonts w:ascii="Times New Roman" w:hAnsi="Times New Roman" w:eastAsia="方正仿宋_GBK" w:cs="方正仿宋_GBK"/>
          <w:sz w:val="24"/>
          <w:szCs w:val="24"/>
          <w:highlight w:val="none"/>
        </w:rPr>
      </w:pPr>
      <w:r/>
      <w:bookmarkStart w:id="44" w:name="_Toc35393626"/>
      <w:r/>
      <w:bookmarkStart w:id="45" w:name="_Toc38985268"/>
      <w:r/>
      <w:bookmarkStart w:id="46" w:name="_Toc35393795"/>
      <w:r>
        <w:rPr>
          <w:rFonts w:hint="eastAsia" w:ascii="Times New Roman" w:hAnsi="Times New Roman" w:eastAsia="方正仿宋_GBK" w:cs="方正仿宋_GBK"/>
          <w:sz w:val="24"/>
          <w:szCs w:val="24"/>
          <w:highlight w:val="none"/>
        </w:rPr>
        <w:t xml:space="preserve">招标公告及招标文件公告期限为自本公告发布之日起5个工作日。</w:t>
      </w:r>
      <w:r>
        <w:rPr>
          <w:rFonts w:hint="eastAsia" w:ascii="Times New Roman" w:hAnsi="Times New Roman" w:eastAsia="方正仿宋_GBK" w:cs="方正仿宋_GBK"/>
          <w:sz w:val="24"/>
          <w:highlight w:val="none"/>
        </w:rPr>
        <w:t xml:space="preserve">招标公告发布媒体：宿迁市政府采购网</w:t>
      </w:r>
      <w:r>
        <w:rPr>
          <w:rFonts w:hint="eastAsia" w:ascii="Times New Roman" w:hAnsi="Times New Roman" w:eastAsia="方正仿宋_GBK" w:cs="方正仿宋_GBK"/>
          <w:sz w:val="24"/>
          <w:szCs w:val="28"/>
          <w:highlight w:val="none"/>
        </w:rPr>
        <w:t xml:space="preserve">、宿迁市公共资源交易平台</w:t>
      </w:r>
      <w:r>
        <w:rPr>
          <w:rFonts w:hint="eastAsia" w:ascii="Times New Roman" w:hAnsi="Times New Roman" w:eastAsia="方正仿宋_GBK" w:cs="方正仿宋_GBK"/>
          <w:sz w:val="24"/>
          <w:highlight w:val="none"/>
        </w:rPr>
        <w:t xml:space="preserve">、江苏省财政部门指定的媒体</w:t>
      </w:r>
      <w:r>
        <w:rPr>
          <w:rFonts w:hint="eastAsia" w:ascii="Times New Roman" w:hAnsi="Times New Roman" w:eastAsia="方正仿宋_GBK" w:cs="方正仿宋_GBK"/>
          <w:sz w:val="24"/>
          <w:szCs w:val="24"/>
          <w:highlight w:val="none"/>
        </w:rPr>
        <w:t xml:space="preserve">。</w:t>
      </w:r>
      <w:r/>
    </w:p>
    <w:p>
      <w:pPr>
        <w:pStyle w:val="643"/>
        <w:ind w:firstLine="467"/>
        <w:spacing w:before="0" w:after="0" w:line="560" w:lineRule="exact"/>
        <w:rPr>
          <w:rFonts w:ascii="Times New Roman" w:hAnsi="Times New Roman" w:eastAsia="方正仿宋_GBK" w:cs="方正仿宋_GBK"/>
          <w:b/>
          <w:bCs/>
          <w:highlight w:val="none"/>
        </w:rPr>
      </w:pPr>
      <w:r/>
      <w:bookmarkStart w:id="47" w:name="_Toc7246"/>
      <w:r/>
      <w:bookmarkStart w:id="48" w:name="_Toc21547"/>
      <w:r>
        <w:rPr>
          <w:rFonts w:hint="eastAsia" w:ascii="Times New Roman" w:hAnsi="Times New Roman" w:eastAsia="方正仿宋_GBK" w:cs="方正仿宋_GBK"/>
          <w:b/>
          <w:bCs/>
          <w:highlight w:val="none"/>
        </w:rPr>
        <w:t xml:space="preserve">六、其他补充事宜</w:t>
      </w:r>
      <w:bookmarkEnd w:id="44"/>
      <w:r/>
      <w:bookmarkEnd w:id="45"/>
      <w:r/>
      <w:bookmarkEnd w:id="46"/>
      <w:r/>
      <w:bookmarkEnd w:id="47"/>
      <w:r/>
      <w:bookmarkEnd w:id="48"/>
      <w:r/>
      <w:r/>
    </w:p>
    <w:p>
      <w:pPr>
        <w:ind w:firstLine="480"/>
        <w:spacing w:line="520" w:lineRule="exact"/>
        <w:rPr>
          <w:rFonts w:ascii="Times New Roman" w:hAnsi="Times New Roman" w:eastAsia="方正仿宋_GBK" w:cs="方正仿宋_GBK"/>
          <w:sz w:val="24"/>
          <w:highlight w:val="none"/>
        </w:rPr>
      </w:pPr>
      <w:r/>
      <w:bookmarkStart w:id="49" w:name="EB64e1f522fd8c43fcb4d3ba471386b3e7"/>
      <w:r/>
      <w:bookmarkStart w:id="50" w:name="_Toc35393796"/>
      <w:r/>
      <w:bookmarkStart w:id="51" w:name="_Toc28359008"/>
      <w:r/>
      <w:bookmarkStart w:id="52" w:name="_Toc35393627"/>
      <w:r/>
      <w:bookmarkStart w:id="53" w:name="_Toc38985269"/>
      <w:r/>
      <w:bookmarkStart w:id="54" w:name="_Toc28359085"/>
      <w:r>
        <w:rPr>
          <w:rFonts w:hint="eastAsia" w:ascii="Times New Roman" w:hAnsi="Times New Roman" w:eastAsia="方正仿宋_GBK" w:cs="方正仿宋_GBK"/>
          <w:sz w:val="24"/>
          <w:highlight w:val="none"/>
        </w:rPr>
        <w:t xml:space="preserve">1.财政部门监督电话：</w:t>
      </w:r>
      <w:r>
        <w:rPr>
          <w:rFonts w:hint="eastAsia" w:ascii="Times New Roman" w:hAnsi="Times New Roman" w:eastAsia="方正仿宋_GBK" w:cs="方正仿宋_GBK"/>
          <w:iCs/>
          <w:color w:val="000000"/>
          <w:sz w:val="24"/>
          <w:highlight w:val="none"/>
          <w:lang w:eastAsia="zh-CN"/>
        </w:rPr>
        <w:t xml:space="preserve">0527-82963292</w:t>
      </w:r>
      <w:r>
        <w:rPr>
          <w:rFonts w:hint="eastAsia" w:ascii="Times New Roman" w:hAnsi="Times New Roman" w:eastAsia="方正仿宋_GBK" w:cs="方正仿宋_GBK"/>
          <w:sz w:val="24"/>
          <w:highlight w:val="none"/>
        </w:rPr>
        <w:t xml:space="preserve">。</w:t>
      </w:r>
      <w:r/>
    </w:p>
    <w:p>
      <w:pPr>
        <w:ind w:firstLine="480"/>
        <w:spacing w:line="520" w:lineRule="exact"/>
        <w:rPr>
          <w:rFonts w:ascii="Times New Roman" w:hAnsi="Times New Roman" w:eastAsia="方正仿宋_GBK" w:cs="方正仿宋_GBK"/>
          <w:sz w:val="24"/>
          <w:highlight w:val="none"/>
        </w:rPr>
      </w:pPr>
      <w:r>
        <w:rPr>
          <w:rFonts w:hint="eastAsia" w:ascii="Times New Roman" w:hAnsi="Times New Roman" w:eastAsia="方正仿宋_GBK" w:cs="方正仿宋_GBK"/>
          <w:sz w:val="24"/>
          <w:highlight w:val="none"/>
        </w:rPr>
        <w:t xml:space="preserve">2.“CA”数字证书办理：“苏采云”系统目前仅支持“苏采云”系统下的意源CA。省内各地区办理的“苏采云”系统下的意源CA全省通用。宿迁地区CA数字证书办理联系方式：18762803891。</w:t>
      </w:r>
      <w:r/>
    </w:p>
    <w:p>
      <w:pPr>
        <w:pStyle w:val="977"/>
        <w:ind w:firstLine="480"/>
        <w:spacing w:line="520" w:lineRule="exact"/>
        <w:rPr>
          <w:rFonts w:ascii="Times New Roman" w:hAnsi="Times New Roman" w:eastAsia="方正仿宋_GBK" w:cs="方正仿宋_GBK"/>
          <w:sz w:val="24"/>
          <w:szCs w:val="21"/>
          <w:highlight w:val="none"/>
          <w:lang w:val="en-US"/>
        </w:rPr>
      </w:pPr>
      <w:r>
        <w:rPr>
          <w:rFonts w:hint="eastAsia" w:ascii="Times New Roman" w:hAnsi="Times New Roman" w:eastAsia="方正仿宋_GBK" w:cs="方正仿宋_GBK"/>
          <w:sz w:val="24"/>
          <w:szCs w:val="21"/>
          <w:highlight w:val="none"/>
          <w:lang w:val="en-US"/>
        </w:rPr>
        <w:t xml:space="preserve">3.宿迁地区“苏采云”技术支持客服电话：0527-84225125、0519-86722806。</w:t>
      </w:r>
      <w:r/>
    </w:p>
    <w:p>
      <w:pPr>
        <w:pStyle w:val="977"/>
        <w:ind w:firstLine="480"/>
        <w:spacing w:line="520" w:lineRule="exact"/>
        <w:rPr>
          <w:rFonts w:ascii="Times New Roman" w:hAnsi="Times New Roman" w:eastAsia="方正仿宋_GBK" w:cs="方正仿宋_GBK"/>
          <w:sz w:val="24"/>
          <w:szCs w:val="21"/>
          <w:highlight w:val="none"/>
          <w:lang w:val="en-US"/>
        </w:rPr>
      </w:pPr>
      <w:r>
        <w:rPr>
          <w:rFonts w:hint="eastAsia" w:ascii="Times New Roman" w:hAnsi="Times New Roman" w:eastAsia="方正仿宋_GBK" w:cs="方正仿宋_GBK"/>
          <w:sz w:val="24"/>
          <w:szCs w:val="21"/>
          <w:highlight w:val="none"/>
          <w:lang w:val="en-US"/>
        </w:rPr>
        <w:t xml:space="preserve">4.投标人通过苏采云系统参与政府采购项目，相关操作手册详见链接：</w:t>
      </w:r>
      <w:r>
        <w:rPr>
          <w:rFonts w:hint="eastAsia" w:ascii="Times New Roman" w:hAnsi="Times New Roman" w:eastAsia="方正仿宋_GBK" w:cs="方正仿宋_GBK"/>
          <w:spacing w:val="-6"/>
          <w:sz w:val="24"/>
          <w:szCs w:val="21"/>
          <w:highlight w:val="none"/>
          <w:lang w:val="en-US"/>
        </w:rPr>
        <w:t xml:space="preserve">http://www.ccgp-jiangsu.gov.cn/jiangsu/zlxz/ee/ee3a4bc5a3454aa2b0d9312230633ce9.html。</w:t>
      </w:r>
      <w:bookmarkEnd w:id="49"/>
      <w:r/>
      <w:r/>
    </w:p>
    <w:p>
      <w:pPr>
        <w:ind w:firstLine="480"/>
        <w:spacing w:line="520" w:lineRule="exact"/>
        <w:rPr>
          <w:rFonts w:ascii="Times New Roman" w:hAnsi="Times New Roman" w:eastAsia="方正仿宋_GBK" w:cs="方正仿宋_GBK"/>
          <w:b/>
          <w:bCs/>
          <w:iCs/>
          <w:sz w:val="24"/>
          <w:highlight w:val="none"/>
        </w:rPr>
      </w:pPr>
      <w:r>
        <w:rPr>
          <w:rFonts w:hint="eastAsia" w:ascii="Times New Roman" w:hAnsi="Times New Roman" w:eastAsia="方正仿宋_GBK" w:cs="方正仿宋_GBK"/>
          <w:sz w:val="24"/>
          <w:highlight w:val="none"/>
        </w:rPr>
        <w:t xml:space="preserve">5.现场勘察及答疑：本项目不组织集中勘察及答疑，投标人如对采购需求有疑问，请咨询采购单位联系人。 </w:t>
      </w:r>
      <w:r/>
    </w:p>
    <w:p>
      <w:pPr>
        <w:pStyle w:val="643"/>
        <w:ind w:firstLine="467"/>
        <w:spacing w:before="0" w:after="0" w:line="560" w:lineRule="exact"/>
        <w:rPr>
          <w:rFonts w:ascii="Times New Roman" w:hAnsi="Times New Roman" w:eastAsia="方正仿宋_GBK" w:cs="方正仿宋_GBK"/>
          <w:b/>
          <w:bCs/>
          <w:highlight w:val="none"/>
        </w:rPr>
      </w:pPr>
      <w:r/>
      <w:bookmarkStart w:id="55" w:name="_Toc32251"/>
      <w:r/>
      <w:bookmarkStart w:id="56" w:name="_Toc20871"/>
      <w:r>
        <w:rPr>
          <w:rFonts w:hint="eastAsia" w:ascii="Times New Roman" w:hAnsi="Times New Roman" w:eastAsia="方正仿宋_GBK" w:cs="方正仿宋_GBK"/>
          <w:b/>
          <w:bCs/>
          <w:highlight w:val="none"/>
        </w:rPr>
        <w:t xml:space="preserve">七、本次招标联系方式</w:t>
      </w:r>
      <w:bookmarkEnd w:id="50"/>
      <w:r/>
      <w:bookmarkEnd w:id="51"/>
      <w:r/>
      <w:bookmarkEnd w:id="52"/>
      <w:r/>
      <w:bookmarkEnd w:id="53"/>
      <w:r/>
      <w:bookmarkEnd w:id="54"/>
      <w:r/>
      <w:bookmarkEnd w:id="55"/>
      <w:r/>
      <w:bookmarkEnd w:id="56"/>
      <w:r/>
      <w:r/>
    </w:p>
    <w:p>
      <w:pPr>
        <w:jc w:val="left"/>
        <w:spacing w:line="520" w:lineRule="exact"/>
        <w:widowControl/>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8"/>
          <w:szCs w:val="28"/>
          <w:highlight w:val="none"/>
        </w:rPr>
        <w:t xml:space="preserve">　　</w:t>
      </w:r>
      <w:r>
        <w:rPr>
          <w:rFonts w:hint="eastAsia" w:ascii="Times New Roman" w:hAnsi="Times New Roman" w:eastAsia="方正仿宋_GBK" w:cs="方正仿宋_GBK"/>
          <w:sz w:val="24"/>
          <w:szCs w:val="24"/>
          <w:highlight w:val="none"/>
        </w:rPr>
        <w:t xml:space="preserve">1.采购人信息</w:t>
      </w:r>
      <w:r/>
    </w:p>
    <w:p>
      <w:pPr>
        <w:ind w:firstLine="720"/>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名 称：</w:t>
      </w:r>
      <w:r>
        <w:rPr>
          <w:rFonts w:hint="eastAsia" w:ascii="Times New Roman" w:hAnsi="Times New Roman" w:eastAsia="方正仿宋_GBK" w:cs="方正仿宋_GBK"/>
          <w:sz w:val="24"/>
          <w:highlight w:val="none"/>
        </w:rPr>
        <w:t xml:space="preserve">宿迁市自然资源和规划局宿城分局</w:t>
      </w:r>
      <w:r/>
    </w:p>
    <w:p>
      <w:pPr>
        <w:ind w:firstLine="720"/>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地 址：</w:t>
      </w:r>
      <w:r>
        <w:rPr>
          <w:rFonts w:hint="eastAsia" w:ascii="Times New Roman" w:hAnsi="Times New Roman" w:eastAsia="方正仿宋_GBK" w:cs="方正仿宋_GBK"/>
          <w:sz w:val="24"/>
          <w:highlight w:val="none"/>
        </w:rPr>
        <w:t xml:space="preserve">宿迁市宿城区市民服务中心10楼　　</w:t>
      </w:r>
      <w:r>
        <w:rPr>
          <w:rFonts w:hint="eastAsia" w:ascii="Times New Roman" w:hAnsi="Times New Roman" w:eastAsia="方正仿宋_GBK" w:cs="方正仿宋_GBK"/>
          <w:sz w:val="24"/>
          <w:szCs w:val="24"/>
          <w:highlight w:val="none"/>
        </w:rPr>
        <w:t xml:space="preserve">　 </w:t>
      </w:r>
      <w:r/>
    </w:p>
    <w:p>
      <w:pPr>
        <w:ind w:firstLine="720"/>
        <w:jc w:val="left"/>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联系人：</w:t>
      </w:r>
      <w:r>
        <w:rPr>
          <w:rFonts w:hint="eastAsia" w:ascii="Times New Roman" w:hAnsi="Times New Roman" w:eastAsia="方正仿宋_GBK" w:cs="方正仿宋_GBK"/>
          <w:sz w:val="24"/>
          <w:szCs w:val="24"/>
          <w:highlight w:val="none"/>
          <w:lang w:eastAsia="zh-CN"/>
        </w:rPr>
        <w:t xml:space="preserve">王茜</w:t>
      </w:r>
      <w:r>
        <w:rPr>
          <w:rFonts w:hint="eastAsia" w:ascii="Times New Roman" w:hAnsi="Times New Roman" w:eastAsia="方正仿宋_GBK" w:cs="方正仿宋_GBK"/>
          <w:sz w:val="24"/>
          <w:szCs w:val="24"/>
          <w:highlight w:val="none"/>
        </w:rPr>
        <w:t xml:space="preserve">                    </w:t>
      </w:r>
      <w:r/>
    </w:p>
    <w:p>
      <w:pPr>
        <w:ind w:firstLine="720"/>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联系方式：</w:t>
      </w:r>
      <w:r>
        <w:rPr>
          <w:rFonts w:hint="eastAsia" w:ascii="Times New Roman" w:hAnsi="Times New Roman" w:eastAsia="方正仿宋_GBK" w:cs="方正仿宋_GBK"/>
          <w:sz w:val="24"/>
          <w:highlight w:val="none"/>
          <w:lang w:eastAsia="zh-CN"/>
        </w:rPr>
        <w:t xml:space="preserve">0527-84381206</w:t>
      </w:r>
      <w:r>
        <w:rPr>
          <w:rFonts w:hint="eastAsia" w:ascii="Times New Roman" w:hAnsi="Times New Roman" w:eastAsia="方正仿宋_GBK" w:cs="方正仿宋_GBK"/>
          <w:sz w:val="24"/>
          <w:highlight w:val="none"/>
        </w:rPr>
        <w:t xml:space="preserve">　</w:t>
      </w:r>
      <w:r>
        <w:rPr>
          <w:rFonts w:hint="eastAsia" w:ascii="Times New Roman" w:hAnsi="Times New Roman" w:eastAsia="方正仿宋_GBK" w:cs="方正仿宋_GBK"/>
          <w:sz w:val="24"/>
          <w:szCs w:val="24"/>
          <w:highlight w:val="none"/>
        </w:rPr>
        <w:t xml:space="preserve">　　　　</w:t>
      </w:r>
      <w:bookmarkStart w:id="57" w:name="_Toc28359086"/>
      <w:r/>
      <w:bookmarkStart w:id="58" w:name="_Toc28359009"/>
      <w:r/>
      <w:r/>
    </w:p>
    <w:p>
      <w:pPr>
        <w:ind w:firstLine="480"/>
        <w:jc w:val="left"/>
        <w:spacing w:line="520" w:lineRule="exact"/>
        <w:widowControl/>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2.</w:t>
      </w:r>
      <w:bookmarkEnd w:id="57"/>
      <w:r/>
      <w:bookmarkEnd w:id="58"/>
      <w:r>
        <w:rPr>
          <w:rFonts w:hint="eastAsia" w:ascii="Times New Roman" w:hAnsi="Times New Roman" w:eastAsia="方正仿宋_GBK" w:cs="方正仿宋_GBK"/>
          <w:sz w:val="24"/>
          <w:szCs w:val="24"/>
          <w:highlight w:val="none"/>
        </w:rPr>
        <w:t xml:space="preserve">采购代理机构信息</w:t>
      </w:r>
      <w:r/>
    </w:p>
    <w:p>
      <w:pPr>
        <w:ind w:firstLine="787"/>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名 称：</w:t>
      </w:r>
      <w:r>
        <w:rPr>
          <w:rFonts w:hint="eastAsia" w:ascii="Times New Roman" w:hAnsi="Times New Roman" w:eastAsia="方正仿宋_GBK" w:cs="方正仿宋_GBK"/>
          <w:sz w:val="24"/>
          <w:highlight w:val="none"/>
        </w:rPr>
        <w:t xml:space="preserve">江苏文鼎工程管理有限公司　　</w:t>
      </w:r>
      <w:r>
        <w:rPr>
          <w:rFonts w:hint="eastAsia" w:ascii="Times New Roman" w:hAnsi="Times New Roman" w:eastAsia="方正仿宋_GBK" w:cs="方正仿宋_GBK"/>
          <w:sz w:val="24"/>
          <w:szCs w:val="24"/>
          <w:highlight w:val="none"/>
        </w:rPr>
        <w:t xml:space="preserve">　　　　</w:t>
      </w:r>
      <w:r/>
    </w:p>
    <w:p>
      <w:pPr>
        <w:ind w:firstLine="787"/>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地　址：</w:t>
      </w:r>
      <w:r>
        <w:rPr>
          <w:rFonts w:hint="eastAsia" w:ascii="Times New Roman" w:hAnsi="Times New Roman" w:eastAsia="方正仿宋_GBK" w:cs="方正仿宋_GBK"/>
          <w:sz w:val="24"/>
          <w:highlight w:val="none"/>
          <w:lang w:eastAsia="zh-CN"/>
        </w:rPr>
        <w:t xml:space="preserve">宿迁经济技术开发区金茂府1幢109商铺（南门东侧-江苏文鼎）</w:t>
      </w:r>
      <w:r>
        <w:rPr>
          <w:rFonts w:hint="eastAsia" w:ascii="Times New Roman" w:hAnsi="Times New Roman" w:eastAsia="方正仿宋_GBK" w:cs="方正仿宋_GBK"/>
          <w:sz w:val="24"/>
          <w:highlight w:val="none"/>
        </w:rPr>
        <w:t xml:space="preserve">　</w:t>
      </w:r>
      <w:r/>
    </w:p>
    <w:p>
      <w:pPr>
        <w:ind w:firstLine="787"/>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联系人：</w:t>
      </w:r>
      <w:r>
        <w:rPr>
          <w:rFonts w:hint="eastAsia" w:ascii="Times New Roman" w:hAnsi="Times New Roman" w:eastAsia="方正仿宋_GBK" w:cs="方正仿宋_GBK"/>
          <w:sz w:val="24"/>
          <w:szCs w:val="24"/>
          <w:highlight w:val="none"/>
          <w:lang w:eastAsia="zh-CN"/>
        </w:rPr>
        <w:t xml:space="preserve">彭淼</w:t>
      </w:r>
      <w:r>
        <w:rPr>
          <w:rFonts w:hint="eastAsia" w:ascii="Times New Roman" w:hAnsi="Times New Roman" w:eastAsia="方正仿宋_GBK" w:cs="方正仿宋_GBK"/>
          <w:sz w:val="24"/>
          <w:szCs w:val="24"/>
          <w:highlight w:val="none"/>
        </w:rPr>
        <w:t xml:space="preserve">                         </w:t>
      </w:r>
      <w:r/>
    </w:p>
    <w:p>
      <w:pPr>
        <w:ind w:firstLine="720"/>
        <w:spacing w:line="520" w:lineRule="exact"/>
        <w:rPr>
          <w:rFonts w:ascii="Times New Roman" w:hAnsi="Times New Roman" w:eastAsia="方正仿宋_GBK" w:cs="方正仿宋_GBK"/>
          <w:sz w:val="24"/>
          <w:szCs w:val="24"/>
          <w:highlight w:val="none"/>
        </w:rPr>
      </w:pPr>
      <w:r>
        <w:rPr>
          <w:rFonts w:hint="eastAsia" w:ascii="Times New Roman" w:hAnsi="Times New Roman" w:eastAsia="方正仿宋_GBK" w:cs="方正仿宋_GBK"/>
          <w:sz w:val="24"/>
          <w:szCs w:val="24"/>
          <w:highlight w:val="none"/>
        </w:rPr>
        <w:t xml:space="preserve">联系方式：</w:t>
      </w:r>
      <w:bookmarkStart w:id="59" w:name="_Toc28359087"/>
      <w:r/>
      <w:bookmarkStart w:id="60" w:name="_Toc28359010"/>
      <w:r>
        <w:rPr>
          <w:rFonts w:hint="eastAsia" w:ascii="Times New Roman" w:hAnsi="Times New Roman" w:eastAsia="方正仿宋_GBK" w:cs="方正仿宋_GBK"/>
          <w:color w:val="000000"/>
          <w:sz w:val="24"/>
          <w:szCs w:val="24"/>
          <w:highlight w:val="none"/>
          <w:lang w:eastAsia="zh-CN"/>
        </w:rPr>
        <w:t xml:space="preserve">13218916011</w:t>
      </w:r>
      <w:r>
        <w:rPr>
          <w:rFonts w:hint="eastAsia" w:ascii="Times New Roman" w:hAnsi="Times New Roman" w:eastAsia="方正仿宋_GBK" w:cs="方正仿宋_GBK"/>
          <w:sz w:val="24"/>
          <w:szCs w:val="24"/>
          <w:highlight w:val="none"/>
        </w:rPr>
        <w:t xml:space="preserve">　　　　　　</w:t>
      </w:r>
      <w:bookmarkEnd w:id="59"/>
      <w:r/>
      <w:bookmarkEnd w:id="60"/>
      <w:r/>
      <w:r/>
    </w:p>
    <w:p>
      <w:pPr>
        <w:pStyle w:val="643"/>
        <w:ind w:firstLine="467"/>
        <w:spacing w:before="0" w:after="0" w:line="560" w:lineRule="exact"/>
        <w:rPr>
          <w:rFonts w:ascii="Times New Roman" w:hAnsi="Times New Roman" w:eastAsia="方正仿宋_GBK" w:cs="方正仿宋_GBK"/>
          <w:b/>
          <w:bCs/>
          <w:highlight w:val="none"/>
        </w:rPr>
      </w:pPr>
      <w:r/>
      <w:bookmarkStart w:id="61" w:name="_Toc8894"/>
      <w:r/>
      <w:bookmarkStart w:id="62" w:name="_Toc26428"/>
      <w:r>
        <w:rPr>
          <w:rFonts w:hint="eastAsia" w:ascii="Times New Roman" w:hAnsi="Times New Roman" w:eastAsia="方正仿宋_GBK" w:cs="方正仿宋_GBK"/>
          <w:b/>
          <w:bCs/>
          <w:highlight w:val="none"/>
        </w:rPr>
        <w:t xml:space="preserve">八、其他</w:t>
      </w:r>
      <w:bookmarkEnd w:id="61"/>
      <w:r/>
      <w:bookmarkEnd w:id="62"/>
      <w:r/>
      <w:r/>
    </w:p>
    <w:p>
      <w:pPr>
        <w:ind w:firstLine="480"/>
        <w:spacing w:line="560" w:lineRule="exact"/>
        <w:rPr>
          <w:rFonts w:ascii="Times New Roman" w:hAnsi="Times New Roman" w:eastAsia="方正仿宋_GBK" w:cs="方正仿宋_GBK"/>
          <w:iCs/>
          <w:sz w:val="24"/>
          <w:highlight w:val="none"/>
        </w:rPr>
      </w:pPr>
      <w:r>
        <w:rPr>
          <w:rFonts w:hint="eastAsia" w:ascii="Times New Roman" w:hAnsi="Times New Roman" w:eastAsia="方正仿宋_GBK" w:cs="方正仿宋_GBK"/>
          <w:iCs/>
          <w:sz w:val="24"/>
          <w:highlight w:val="none"/>
        </w:rPr>
        <w:t xml:space="preserve">有关本次招标的事项若存在变动或修改，敬请及时关注“宿迁市政府采购网”等平台更正公告。</w:t>
      </w:r>
      <w:r/>
    </w:p>
    <w:p>
      <w:pPr>
        <w:ind w:firstLine="480"/>
        <w:spacing w:line="500" w:lineRule="exact"/>
        <w:rPr>
          <w:rFonts w:ascii="仿宋_GB2312" w:eastAsia="仿宋_GB2312"/>
          <w:sz w:val="24"/>
          <w:highlight w:val="none"/>
        </w:rPr>
      </w:pPr>
      <w:r>
        <w:rPr>
          <w:rFonts w:ascii="仿宋_GB2312" w:eastAsia="仿宋_GB2312"/>
          <w:sz w:val="24"/>
          <w:highlight w:val="none"/>
        </w:rPr>
      </w:r>
      <w:r/>
    </w:p>
    <w:p>
      <w:pPr>
        <w:rPr>
          <w:highlight w:val="none"/>
        </w:rPr>
      </w:pPr>
      <w:r>
        <w:rPr>
          <w:highlight w:val="none"/>
        </w:rPr>
      </w:r>
      <w:r/>
    </w:p>
    <w:p>
      <w:pPr>
        <w:rPr>
          <w:highlight w:val="none"/>
        </w:rPr>
      </w:pPr>
      <w:r/>
      <w:bookmarkStart w:id="63" w:name="EBfa82c34b2a1a43b4845cabc3b52d23f0"/>
      <w:r>
        <w:rPr>
          <w:rFonts w:hint="eastAsia"/>
          <w:color w:val="000080"/>
          <w:sz w:val="20"/>
          <w:highlight w:val="none"/>
        </w:rPr>
        <w:t xml:space="preserve"> </w:t>
      </w:r>
      <w:bookmarkEnd w:id="63"/>
      <w:r/>
      <w:bookmarkStart w:id="64" w:name="EB2b09ce41641f496795cd871dccde50d8"/>
      <w:r>
        <w:rPr>
          <w:rFonts w:hint="eastAsia"/>
          <w:color w:val="000080"/>
          <w:sz w:val="20"/>
          <w:highlight w:val="none"/>
        </w:rPr>
        <w:t xml:space="preserve"> </w:t>
      </w:r>
      <w:bookmarkEnd w:id="64"/>
      <w:r/>
      <w:r/>
    </w:p>
    <w:p>
      <w:pPr>
        <w:rPr>
          <w:b/>
          <w:sz w:val="44"/>
          <w:szCs w:val="44"/>
          <w:highlight w:val="none"/>
        </w:rPr>
      </w:pPr>
      <w:r/>
      <w:bookmarkStart w:id="65" w:name="_Toc81575190"/>
      <w:r/>
      <w:bookmarkStart w:id="66" w:name="_Toc81575153"/>
      <w:r>
        <w:rPr>
          <w:rFonts w:hint="eastAsia"/>
          <w:b/>
          <w:sz w:val="44"/>
          <w:szCs w:val="44"/>
          <w:highlight w:val="none"/>
        </w:rPr>
        <w:br w:type="page" w:clear="all"/>
      </w:r>
      <w:r/>
    </w:p>
    <w:p>
      <w:pPr>
        <w:jc w:val="center"/>
        <w:rPr>
          <w:b/>
          <w:sz w:val="44"/>
          <w:szCs w:val="44"/>
          <w:highlight w:val="none"/>
        </w:rPr>
        <w:outlineLvl w:val="0"/>
      </w:pPr>
      <w:r/>
      <w:bookmarkStart w:id="67" w:name="_Toc12209"/>
      <w:r>
        <w:rPr>
          <w:rFonts w:hint="eastAsia"/>
          <w:b/>
          <w:sz w:val="44"/>
          <w:szCs w:val="44"/>
          <w:highlight w:val="none"/>
        </w:rPr>
        <w:t xml:space="preserve">第二部分  投标人须知</w:t>
      </w:r>
      <w:bookmarkEnd w:id="65"/>
      <w:r/>
      <w:bookmarkEnd w:id="66"/>
      <w:r/>
      <w:bookmarkEnd w:id="67"/>
      <w:r/>
      <w:r/>
    </w:p>
    <w:p>
      <w:pPr>
        <w:pStyle w:val="642"/>
        <w:keepLines w:val="0"/>
        <w:keepNext w:val="0"/>
        <w:rPr>
          <w:highlight w:val="none"/>
        </w:rPr>
      </w:pPr>
      <w:r/>
      <w:bookmarkStart w:id="68" w:name="_Toc81575154"/>
      <w:r/>
      <w:bookmarkStart w:id="69" w:name="_Toc29262"/>
      <w:r/>
      <w:bookmarkStart w:id="70" w:name="_Toc81575191"/>
      <w:r/>
      <w:bookmarkStart w:id="71" w:name="_Toc31878"/>
      <w:r>
        <w:rPr>
          <w:rFonts w:hint="eastAsia"/>
          <w:highlight w:val="none"/>
        </w:rPr>
        <w:t xml:space="preserve">投标人须知前附表：</w:t>
      </w:r>
      <w:bookmarkEnd w:id="68"/>
      <w:r/>
      <w:bookmarkEnd w:id="69"/>
      <w:r/>
      <w:bookmarkEnd w:id="70"/>
      <w:r/>
      <w:bookmarkEnd w:id="71"/>
      <w:r/>
      <w:r/>
    </w:p>
    <w:tbl>
      <w:tblPr>
        <w:tblStyle w:val="65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序号</w:t>
            </w:r>
            <w:r/>
          </w:p>
        </w:tc>
        <w:tc>
          <w:tcPr>
            <w:tcW w:w="2315" w:type="dxa"/>
            <w:vAlign w:val="center"/>
            <w:textDirection w:val="lrTb"/>
            <w:noWrap w:val="false"/>
          </w:tcPr>
          <w:p>
            <w:pPr>
              <w:jc w:val="center"/>
              <w:rPr>
                <w:rFonts w:ascii="仿宋_GB2312" w:hAnsi="仿宋" w:eastAsia="仿宋_GB2312"/>
                <w:b/>
                <w:sz w:val="24"/>
                <w:szCs w:val="24"/>
                <w:highlight w:val="none"/>
              </w:rPr>
            </w:pPr>
            <w:r>
              <w:rPr>
                <w:rFonts w:hint="eastAsia" w:ascii="仿宋_GB2312" w:hAnsi="仿宋" w:eastAsia="仿宋_GB2312"/>
                <w:b/>
                <w:sz w:val="24"/>
                <w:szCs w:val="24"/>
                <w:highlight w:val="none"/>
              </w:rPr>
              <w:t xml:space="preserve">内容</w:t>
            </w:r>
            <w:r/>
          </w:p>
        </w:tc>
        <w:tc>
          <w:tcPr>
            <w:tcW w:w="5786" w:type="dxa"/>
            <w:vAlign w:val="center"/>
            <w:textDirection w:val="lrTb"/>
            <w:noWrap w:val="false"/>
          </w:tcPr>
          <w:p>
            <w:pPr>
              <w:jc w:val="center"/>
              <w:rPr>
                <w:rFonts w:ascii="仿宋_GB2312" w:hAnsi="仿宋" w:eastAsia="仿宋_GB2312"/>
                <w:b/>
                <w:bCs/>
                <w:sz w:val="24"/>
                <w:szCs w:val="24"/>
                <w:highlight w:val="none"/>
              </w:rPr>
            </w:pPr>
            <w:r>
              <w:rPr>
                <w:rFonts w:hint="eastAsia" w:ascii="仿宋_GB2312" w:hAnsi="仿宋" w:eastAsia="仿宋_GB2312"/>
                <w:b/>
                <w:bCs/>
                <w:sz w:val="24"/>
                <w:szCs w:val="24"/>
                <w:highlight w:val="none"/>
              </w:rPr>
              <w:t xml:space="preserve">说明及要求</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1</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特别说明</w:t>
            </w:r>
            <w:r/>
          </w:p>
        </w:tc>
        <w:tc>
          <w:tcPr>
            <w:tcW w:w="5786" w:type="dxa"/>
            <w:vAlign w:val="center"/>
            <w:textDirection w:val="lrTb"/>
            <w:noWrap w:val="false"/>
          </w:tcPr>
          <w:p>
            <w:pPr>
              <w:spacing w:line="500" w:lineRule="exact"/>
              <w:rPr>
                <w:rFonts w:eastAsia="仿宋_GB2312"/>
                <w:highlight w:val="none"/>
              </w:rPr>
            </w:pPr>
            <w:r>
              <w:rPr>
                <w:rFonts w:hint="eastAsia" w:ascii="仿宋_GB2312" w:hAnsi="仿宋" w:eastAsia="仿宋_GB2312"/>
                <w:sz w:val="24"/>
                <w:szCs w:val="24"/>
                <w:highlight w:val="none"/>
              </w:rPr>
              <w:t xml:space="preserve">本招标文件中“当地公共资源交易中心”是指：江苏文鼎工程管理有限公司</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2</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项目类别</w:t>
            </w:r>
            <w:r/>
          </w:p>
        </w:tc>
        <w:tc>
          <w:tcPr>
            <w:tcW w:w="5786" w:type="dxa"/>
            <w:vAlign w:val="center"/>
            <w:textDirection w:val="lrTb"/>
            <w:noWrap w:val="false"/>
          </w:tcPr>
          <w:p>
            <w:pPr>
              <w:spacing w:line="500" w:lineRule="exact"/>
              <w:rPr>
                <w:rFonts w:ascii="宋体" w:hAnsi="宋体"/>
                <w:sz w:val="24"/>
                <w:szCs w:val="24"/>
                <w:highlight w:val="none"/>
              </w:rPr>
            </w:pPr>
            <w:r>
              <w:rPr>
                <w:rFonts w:hint="eastAsia" w:ascii="仿宋_GB2312" w:hAnsi="仿宋" w:eastAsia="仿宋_GB2312"/>
                <w:sz w:val="24"/>
                <w:szCs w:val="24"/>
                <w:highlight w:val="none"/>
              </w:rPr>
              <w:t xml:space="preserve">本项目</w:t>
            </w:r>
            <w:bookmarkStart w:id="72" w:name="EB9a5853ee094f4f0ea6ec3169265f6f2c"/>
            <w:r>
              <w:rPr>
                <w:rFonts w:hint="eastAsia" w:ascii="仿宋_GB2312" w:hAnsi="仿宋" w:eastAsia="仿宋_GB2312"/>
                <w:sz w:val="24"/>
                <w:szCs w:val="24"/>
                <w:highlight w:val="none"/>
              </w:rPr>
              <w:t xml:space="preserve">属性按以下第</w:t>
            </w:r>
            <w:r>
              <w:rPr>
                <w:rFonts w:hint="eastAsia" w:ascii="仿宋_GB2312" w:hAnsi="仿宋" w:eastAsia="仿宋_GB2312"/>
                <w:sz w:val="24"/>
                <w:szCs w:val="24"/>
                <w:highlight w:val="none"/>
                <w:u w:val="single"/>
              </w:rPr>
              <w:t xml:space="preserve"> </w:t>
            </w:r>
            <w:r>
              <w:rPr>
                <w:rFonts w:ascii="仿宋_GB2312" w:hAnsi="仿宋" w:eastAsia="仿宋_GB2312"/>
                <w:sz w:val="24"/>
                <w:szCs w:val="24"/>
                <w:highlight w:val="none"/>
                <w:u w:val="single"/>
              </w:rPr>
              <w:t xml:space="preserve"> </w:t>
            </w:r>
            <w:r>
              <w:rPr>
                <w:rFonts w:hint="eastAsia" w:ascii="仿宋_GB2312" w:hAnsi="仿宋" w:eastAsia="仿宋_GB2312"/>
                <w:b/>
                <w:bCs/>
                <w:sz w:val="24"/>
                <w:szCs w:val="24"/>
                <w:highlight w:val="none"/>
                <w:u w:val="single"/>
              </w:rPr>
              <w:t xml:space="preserve">2</w:t>
            </w:r>
            <w:r>
              <w:rPr>
                <w:rFonts w:ascii="仿宋_GB2312" w:hAnsi="仿宋" w:eastAsia="仿宋_GB2312"/>
                <w:sz w:val="24"/>
                <w:szCs w:val="24"/>
                <w:highlight w:val="none"/>
                <w:u w:val="single"/>
              </w:rPr>
              <w:t xml:space="preserve"> </w:t>
            </w:r>
            <w:r>
              <w:rPr>
                <w:rFonts w:hint="eastAsia" w:ascii="仿宋_GB2312" w:hAnsi="仿宋" w:eastAsia="仿宋_GB2312"/>
                <w:sz w:val="24"/>
                <w:szCs w:val="24"/>
                <w:highlight w:val="none"/>
                <w:u w:val="single"/>
              </w:rPr>
              <w:t xml:space="preserve"> </w:t>
            </w:r>
            <w:r>
              <w:rPr>
                <w:rFonts w:hint="eastAsia" w:ascii="仿宋_GB2312" w:hAnsi="仿宋" w:eastAsia="仿宋_GB2312"/>
                <w:sz w:val="24"/>
                <w:szCs w:val="24"/>
                <w:highlight w:val="none"/>
              </w:rPr>
              <w:t xml:space="preserve">种确定：1</w:t>
            </w:r>
            <w:bookmarkEnd w:id="72"/>
            <w:r>
              <w:rPr>
                <w:rFonts w:hint="eastAsia" w:ascii="仿宋_GB2312" w:hAnsi="仿宋" w:eastAsia="仿宋_GB2312"/>
                <w:sz w:val="24"/>
                <w:szCs w:val="24"/>
                <w:highlight w:val="none"/>
              </w:rPr>
              <w:t xml:space="preserve">.货物</w:t>
            </w:r>
            <w:bookmarkStart w:id="73" w:name="EBd5c6c026f9674c39b21b31ecd0c1e7fa"/>
            <w:r>
              <w:rPr>
                <w:rFonts w:hint="eastAsia" w:ascii="仿宋_GB2312" w:hAnsi="仿宋" w:eastAsia="仿宋_GB2312"/>
                <w:sz w:val="24"/>
                <w:szCs w:val="24"/>
                <w:highlight w:val="none"/>
              </w:rPr>
              <w:t xml:space="preserve">采购；2.</w:t>
            </w:r>
            <w:bookmarkEnd w:id="73"/>
            <w:r>
              <w:rPr>
                <w:rFonts w:hint="eastAsia" w:ascii="仿宋_GB2312" w:hAnsi="仿宋" w:eastAsia="仿宋_GB2312"/>
                <w:sz w:val="24"/>
                <w:szCs w:val="24"/>
                <w:highlight w:val="none"/>
              </w:rPr>
              <w:t xml:space="preserve">服务</w:t>
            </w:r>
            <w:bookmarkStart w:id="74" w:name="EBf7d2a4f44ecb4166a93ea852e73be69f"/>
            <w:r>
              <w:rPr>
                <w:rFonts w:hint="eastAsia" w:ascii="仿宋_GB2312" w:hAnsi="仿宋" w:eastAsia="仿宋_GB2312"/>
                <w:sz w:val="24"/>
                <w:szCs w:val="24"/>
                <w:highlight w:val="none"/>
              </w:rPr>
              <w:t xml:space="preserve">采购；3.</w:t>
            </w:r>
            <w:bookmarkEnd w:id="74"/>
            <w:r>
              <w:rPr>
                <w:rFonts w:hint="eastAsia" w:ascii="仿宋_GB2312" w:hAnsi="仿宋" w:eastAsia="仿宋_GB2312"/>
                <w:sz w:val="24"/>
                <w:szCs w:val="24"/>
                <w:highlight w:val="none"/>
              </w:rPr>
              <w:t xml:space="preserve">工程采购。</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3</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投标有效期</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bookmarkStart w:id="75" w:name="EBd40b5fb42f2944a3b45e579ce3941f02"/>
            <w:r/>
            <w:bookmarkEnd w:id="75"/>
            <w:r>
              <w:rPr>
                <w:rFonts w:hint="eastAsia" w:ascii="仿宋_GB2312" w:hAnsi="仿宋" w:eastAsia="仿宋_GB2312"/>
                <w:sz w:val="24"/>
                <w:szCs w:val="24"/>
                <w:highlight w:val="none"/>
              </w:rPr>
              <w:t xml:space="preserve">60日（从提交投标文件截止之日起算）</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4</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投标文件份数</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提交加密电子投标文件1份。</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5</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开标</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按投标邀请函“投标文件接收及开标”中确定的方式进行开标。</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6</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进口产品</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按以下第</w:t>
            </w:r>
            <w:r>
              <w:rPr>
                <w:rFonts w:hint="eastAsia" w:ascii="仿宋_GB2312" w:hAnsi="仿宋" w:eastAsia="仿宋_GB2312"/>
                <w:sz w:val="24"/>
                <w:szCs w:val="24"/>
                <w:highlight w:val="none"/>
                <w:u w:val="single"/>
              </w:rPr>
              <w:t xml:space="preserve"> </w:t>
            </w:r>
            <w:r>
              <w:rPr>
                <w:rFonts w:ascii="仿宋_GB2312" w:hAnsi="仿宋" w:eastAsia="仿宋_GB2312"/>
                <w:sz w:val="24"/>
                <w:szCs w:val="24"/>
                <w:highlight w:val="none"/>
                <w:u w:val="single"/>
              </w:rPr>
              <w:t xml:space="preserve"> </w:t>
            </w:r>
            <w:r>
              <w:rPr>
                <w:rFonts w:hint="eastAsia" w:ascii="仿宋_GB2312" w:hAnsi="仿宋" w:eastAsia="仿宋_GB2312"/>
                <w:b/>
                <w:bCs/>
                <w:sz w:val="24"/>
                <w:szCs w:val="24"/>
                <w:highlight w:val="none"/>
                <w:u w:val="single"/>
              </w:rPr>
              <w:t xml:space="preserve">2</w:t>
            </w:r>
            <w:r>
              <w:rPr>
                <w:rFonts w:ascii="仿宋_GB2312" w:hAnsi="仿宋" w:eastAsia="仿宋_GB2312"/>
                <w:sz w:val="24"/>
                <w:szCs w:val="24"/>
                <w:highlight w:val="none"/>
                <w:u w:val="single"/>
              </w:rPr>
              <w:t xml:space="preserve"> </w:t>
            </w:r>
            <w:r>
              <w:rPr>
                <w:rFonts w:hint="eastAsia" w:ascii="仿宋_GB2312" w:hAnsi="仿宋" w:eastAsia="仿宋_GB2312"/>
                <w:sz w:val="24"/>
                <w:szCs w:val="24"/>
                <w:highlight w:val="none"/>
                <w:u w:val="single"/>
              </w:rPr>
              <w:t xml:space="preserve"> </w:t>
            </w:r>
            <w:r>
              <w:rPr>
                <w:rFonts w:hint="eastAsia" w:ascii="仿宋_GB2312" w:hAnsi="仿宋" w:eastAsia="仿宋_GB2312"/>
                <w:sz w:val="24"/>
                <w:szCs w:val="24"/>
                <w:highlight w:val="none"/>
              </w:rPr>
              <w:t xml:space="preserve">种方式确定：1.接受进口产品。</w:t>
            </w:r>
            <w:r>
              <w:rPr>
                <w:rFonts w:hint="eastAsia" w:ascii="仿宋_GB2312" w:hAnsi="仿宋_GB2312" w:eastAsia="仿宋_GB2312" w:cs="仿宋_GB2312"/>
                <w:color w:val="000000"/>
                <w:sz w:val="24"/>
                <w:highlight w:val="none"/>
              </w:rPr>
              <w:t xml:space="preserve">应当符合《政府采购进口产品管理办法》（财库〔2007〕119 号文）、《关于政府采购进口产品管理有关问题的通知》（财办库〔2008〕248号文）等相关规定</w:t>
            </w:r>
            <w:r>
              <w:rPr>
                <w:rFonts w:hint="eastAsia" w:ascii="仿宋_GB2312" w:hAnsi="仿宋" w:eastAsia="仿宋_GB2312"/>
                <w:sz w:val="24"/>
                <w:szCs w:val="24"/>
                <w:highlight w:val="none"/>
              </w:rPr>
              <w:t xml:space="preserve">；2.</w:t>
            </w:r>
            <w:r>
              <w:rPr>
                <w:rFonts w:hint="eastAsia" w:ascii="仿宋_GB2312" w:hAnsi="仿宋_GB2312" w:eastAsia="仿宋_GB2312" w:cs="仿宋_GB2312"/>
                <w:color w:val="000000"/>
                <w:sz w:val="24"/>
                <w:szCs w:val="24"/>
                <w:highlight w:val="none"/>
              </w:rPr>
              <w:t xml:space="preserve"> 不</w:t>
            </w:r>
            <w:r>
              <w:rPr>
                <w:rFonts w:hint="eastAsia" w:ascii="仿宋_GB2312" w:hAnsi="仿宋" w:eastAsia="仿宋_GB2312"/>
                <w:sz w:val="24"/>
                <w:szCs w:val="24"/>
                <w:highlight w:val="none"/>
              </w:rPr>
              <w:t xml:space="preserve">接受进口产品。</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7</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评标办法</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具体评标办法详见招标文件第三部分。</w:t>
            </w:r>
            <w:r/>
          </w:p>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评标委员会按照招标文件规定评标办法和标准推荐1-3名中标候选人。</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8</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确定中标人</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 w:eastAsia="仿宋_GB2312"/>
                <w:sz w:val="24"/>
                <w:szCs w:val="24"/>
                <w:highlight w:val="none"/>
              </w:rPr>
              <w:t xml:space="preserve">按以下第</w:t>
            </w:r>
            <w:r>
              <w:rPr>
                <w:rFonts w:hint="eastAsia" w:ascii="仿宋_GB2312" w:hAnsi="仿宋" w:eastAsia="仿宋_GB2312"/>
                <w:sz w:val="24"/>
                <w:szCs w:val="24"/>
                <w:highlight w:val="none"/>
                <w:u w:val="single"/>
              </w:rPr>
              <w:t xml:space="preserve"> </w:t>
            </w:r>
            <w:r>
              <w:rPr>
                <w:rFonts w:ascii="仿宋_GB2312" w:hAnsi="仿宋" w:eastAsia="仿宋_GB2312"/>
                <w:sz w:val="24"/>
                <w:szCs w:val="24"/>
                <w:highlight w:val="none"/>
                <w:u w:val="single"/>
              </w:rPr>
              <w:t xml:space="preserve"> </w:t>
            </w:r>
            <w:r>
              <w:rPr>
                <w:rFonts w:hint="eastAsia" w:ascii="仿宋_GB2312" w:hAnsi="仿宋" w:eastAsia="仿宋_GB2312"/>
                <w:b/>
                <w:bCs/>
                <w:sz w:val="24"/>
                <w:szCs w:val="24"/>
                <w:highlight w:val="none"/>
                <w:u w:val="single"/>
              </w:rPr>
              <w:t xml:space="preserve">2</w:t>
            </w:r>
            <w:r>
              <w:rPr>
                <w:rFonts w:ascii="仿宋_GB2312" w:hAnsi="仿宋" w:eastAsia="仿宋_GB2312"/>
                <w:sz w:val="24"/>
                <w:szCs w:val="24"/>
                <w:highlight w:val="none"/>
                <w:u w:val="single"/>
              </w:rPr>
              <w:t xml:space="preserve"> </w:t>
            </w:r>
            <w:r>
              <w:rPr>
                <w:rFonts w:hint="eastAsia" w:ascii="仿宋_GB2312" w:hAnsi="仿宋" w:eastAsia="仿宋_GB2312"/>
                <w:sz w:val="24"/>
                <w:szCs w:val="24"/>
                <w:highlight w:val="none"/>
                <w:u w:val="single"/>
              </w:rPr>
              <w:t xml:space="preserve"> </w:t>
            </w:r>
            <w:r>
              <w:rPr>
                <w:rFonts w:hint="eastAsia" w:ascii="仿宋_GB2312" w:hAnsi="仿宋" w:eastAsia="仿宋_GB2312"/>
                <w:sz w:val="24"/>
                <w:szCs w:val="24"/>
                <w:highlight w:val="none"/>
              </w:rPr>
              <w:t xml:space="preserve">种方式确定中标人：1.采购人按照规定在评标委员会推荐的中标候选人中确定中标人；2.</w:t>
            </w:r>
            <w:r>
              <w:rPr>
                <w:rFonts w:hint="eastAsia" w:ascii="仿宋_GB2312" w:hAnsi="仿宋_GB2312" w:eastAsia="仿宋_GB2312" w:cs="仿宋_GB2312"/>
                <w:color w:val="000000"/>
                <w:sz w:val="24"/>
                <w:szCs w:val="24"/>
                <w:highlight w:val="none"/>
              </w:rPr>
              <w:t xml:space="preserve"> 采购人授权评标委员会直接确定中标人；</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9</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分包要求</w:t>
            </w:r>
            <w:r/>
          </w:p>
        </w:tc>
        <w:tc>
          <w:tcPr>
            <w:tcW w:w="5786" w:type="dxa"/>
            <w:vAlign w:val="center"/>
            <w:textDirection w:val="lrTb"/>
            <w:noWrap w:val="false"/>
          </w:tcPr>
          <w:p>
            <w:pPr>
              <w:spacing w:line="360" w:lineRule="exact"/>
              <w:widowControl/>
              <w:rPr>
                <w:rFonts w:ascii="仿宋_GB2312" w:hAnsi="仿宋_GB2312" w:eastAsia="仿宋_GB2312" w:cs="仿宋_GB2312"/>
                <w:color w:val="000000"/>
                <w:sz w:val="24"/>
                <w:szCs w:val="24"/>
                <w:highlight w:val="none"/>
              </w:rPr>
            </w:pPr>
            <w:r/>
            <w:bookmarkStart w:id="76" w:name="EBebac1462c5d9459fbda8a75065c2455d"/>
            <w:r>
              <w:rPr>
                <w:rFonts w:hint="eastAsia" w:ascii="仿宋_GB2312" w:hAnsi="仿宋_GB2312" w:eastAsia="仿宋_GB2312" w:cs="仿宋_GB2312"/>
                <w:color w:val="000000"/>
                <w:sz w:val="24"/>
                <w:szCs w:val="24"/>
                <w:highlight w:val="none"/>
              </w:rPr>
              <w:t xml:space="preserve">本项目的非主体、非关键性工作是否允许分包按以下第</w:t>
            </w:r>
            <w:r>
              <w:rPr>
                <w:rFonts w:hint="eastAsia" w:ascii="仿宋_GB2312" w:hAnsi="仿宋" w:eastAsia="仿宋_GB2312"/>
                <w:sz w:val="24"/>
                <w:szCs w:val="24"/>
                <w:highlight w:val="none"/>
                <w:u w:val="single"/>
              </w:rPr>
              <w:t xml:space="preserve"> </w:t>
            </w:r>
            <w:r>
              <w:rPr>
                <w:rFonts w:ascii="仿宋_GB2312" w:hAnsi="仿宋" w:eastAsia="仿宋_GB2312"/>
                <w:sz w:val="24"/>
                <w:szCs w:val="24"/>
                <w:highlight w:val="none"/>
                <w:u w:val="single"/>
              </w:rPr>
              <w:t xml:space="preserve"> </w:t>
            </w:r>
            <w:r>
              <w:rPr>
                <w:rFonts w:hint="eastAsia" w:ascii="仿宋_GB2312" w:hAnsi="仿宋" w:eastAsia="仿宋_GB2312"/>
                <w:b/>
                <w:bCs/>
                <w:sz w:val="24"/>
                <w:szCs w:val="24"/>
                <w:highlight w:val="none"/>
                <w:u w:val="single"/>
              </w:rPr>
              <w:t xml:space="preserve">2</w:t>
            </w:r>
            <w:r>
              <w:rPr>
                <w:rFonts w:ascii="仿宋_GB2312" w:hAnsi="仿宋" w:eastAsia="仿宋_GB2312"/>
                <w:sz w:val="24"/>
                <w:szCs w:val="24"/>
                <w:highlight w:val="none"/>
                <w:u w:val="single"/>
              </w:rPr>
              <w:t xml:space="preserve"> </w:t>
            </w:r>
            <w:r>
              <w:rPr>
                <w:rFonts w:hint="eastAsia" w:ascii="仿宋_GB2312" w:hAnsi="仿宋" w:eastAsia="仿宋_GB2312"/>
                <w:sz w:val="24"/>
                <w:szCs w:val="24"/>
                <w:highlight w:val="none"/>
                <w:u w:val="single"/>
              </w:rPr>
              <w:t xml:space="preserve"> </w:t>
            </w:r>
            <w:r>
              <w:rPr>
                <w:rFonts w:hint="eastAsia" w:ascii="仿宋_GB2312" w:hAnsi="仿宋_GB2312" w:eastAsia="仿宋_GB2312" w:cs="仿宋_GB2312"/>
                <w:color w:val="000000"/>
                <w:sz w:val="24"/>
                <w:szCs w:val="24"/>
                <w:highlight w:val="none"/>
              </w:rPr>
              <w:t xml:space="preserve">种方式确定：</w:t>
            </w:r>
            <w:r/>
          </w:p>
          <w:p>
            <w:pPr>
              <w:spacing w:line="360" w:lineRule="exact"/>
              <w:widowControl/>
              <w:rPr>
                <w:rFonts w:ascii="仿宋_GB2312" w:hAnsi="仿宋" w:eastAsia="仿宋_GB2312"/>
                <w:sz w:val="24"/>
                <w:szCs w:val="24"/>
                <w:highlight w:val="none"/>
              </w:rPr>
            </w:pPr>
            <w:r>
              <w:rPr>
                <w:rFonts w:hint="eastAsia" w:ascii="仿宋_GB2312" w:hAnsi="仿宋_GB2312" w:eastAsia="仿宋_GB2312" w:cs="仿宋_GB2312"/>
                <w:color w:val="000000"/>
                <w:sz w:val="24"/>
                <w:szCs w:val="24"/>
                <w:highlight w:val="none"/>
              </w:rPr>
              <w:t xml:space="preserve">1.</w:t>
            </w:r>
            <w:bookmarkEnd w:id="76"/>
            <w:r>
              <w:rPr>
                <w:rFonts w:hint="eastAsia" w:ascii="仿宋_GB2312" w:hAnsi="仿宋" w:eastAsia="仿宋_GB2312"/>
                <w:sz w:val="24"/>
                <w:szCs w:val="24"/>
                <w:highlight w:val="none"/>
              </w:rPr>
              <w:t xml:space="preserve">允许分包，</w:t>
            </w:r>
            <w:r>
              <w:rPr>
                <w:rFonts w:hint="eastAsia" w:ascii="仿宋_GB2312" w:hAnsi="仿宋_GB2312" w:eastAsia="仿宋_GB2312" w:cs="仿宋_GB2312"/>
                <w:color w:val="000000"/>
                <w:sz w:val="24"/>
                <w:szCs w:val="24"/>
                <w:highlight w:val="none"/>
              </w:rPr>
              <w:t xml:space="preserve">本项目允许中标人将非主体、非关键性</w:t>
            </w:r>
            <w:r>
              <w:rPr>
                <w:rFonts w:hint="eastAsia" w:ascii="仿宋_GB2312" w:hAnsi="仿宋_GB2312" w:eastAsia="仿宋_GB2312" w:cs="仿宋_GB2312"/>
                <w:color w:val="000000"/>
                <w:sz w:val="24"/>
                <w:szCs w:val="24"/>
                <w:highlight w:val="none"/>
                <w:lang w:val="en-US" w:eastAsia="zh-CN"/>
              </w:rPr>
              <w:t xml:space="preserve">工作</w:t>
            </w:r>
            <w:r>
              <w:rPr>
                <w:rFonts w:hint="eastAsia" w:ascii="仿宋_GB2312" w:hAnsi="仿宋_GB2312" w:eastAsia="仿宋_GB2312" w:cs="仿宋_GB2312"/>
                <w:color w:val="000000"/>
                <w:sz w:val="24"/>
                <w:szCs w:val="24"/>
                <w:highlight w:val="none"/>
              </w:rPr>
              <w:t xml:space="preserve">分包给具有相应资质的供应商。</w:t>
            </w:r>
            <w:r/>
          </w:p>
          <w:p>
            <w:pPr>
              <w:spacing w:line="360" w:lineRule="exact"/>
              <w:widowControl/>
              <w:rPr>
                <w:highlight w:val="none"/>
              </w:rPr>
            </w:pPr>
            <w:r>
              <w:rPr>
                <w:rFonts w:hint="eastAsia" w:ascii="仿宋_GB2312" w:hAnsi="仿宋_GB2312" w:eastAsia="仿宋_GB2312" w:cs="仿宋_GB2312"/>
                <w:color w:val="000000"/>
                <w:sz w:val="24"/>
                <w:szCs w:val="24"/>
                <w:highlight w:val="none"/>
              </w:rPr>
              <w:t xml:space="preserve">2.</w:t>
            </w:r>
            <w:r>
              <w:rPr>
                <w:rFonts w:hint="eastAsia" w:ascii="仿宋_GB2312" w:hAnsi="仿宋" w:eastAsia="仿宋_GB2312"/>
                <w:sz w:val="24"/>
                <w:szCs w:val="24"/>
                <w:highlight w:val="none"/>
              </w:rPr>
              <w:t xml:space="preserve">不允许分包。</w:t>
            </w:r>
            <w:r/>
          </w:p>
        </w:tc>
      </w:tr>
      <w:tr>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10</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代理费用收取方式及标准</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bookmarkStart w:id="77" w:name="EBfe735bb6fc4d4e5e9e350f940db98c5f"/>
            <w:r/>
            <w:bookmarkEnd w:id="77"/>
            <w:r>
              <w:rPr>
                <w:rFonts w:hint="eastAsia" w:ascii="仿宋_GB2312" w:hAnsi="仿宋_GB2312" w:eastAsia="仿宋_GB2312" w:cs="仿宋_GB2312"/>
                <w:color w:val="000000"/>
                <w:sz w:val="24"/>
                <w:szCs w:val="24"/>
                <w:highlight w:val="none"/>
              </w:rPr>
              <w:t xml:space="preserve">参照原国家计委计价格[2002]1980号文件标准的7折收取代理服务费，建议推行数字人民币支付，由采购人支付。</w:t>
            </w:r>
            <w:r/>
          </w:p>
        </w:tc>
      </w:tr>
      <w:tr>
        <w:trPr>
          <w:trHeight w:val="497"/>
        </w:trPr>
        <w:tc>
          <w:tcPr>
            <w:tcW w:w="959"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11</w:t>
            </w:r>
            <w:r/>
          </w:p>
        </w:tc>
        <w:tc>
          <w:tcPr>
            <w:tcW w:w="2315" w:type="dxa"/>
            <w:vAlign w:val="center"/>
            <w:textDirection w:val="lrTb"/>
            <w:noWrap w:val="false"/>
          </w:tcPr>
          <w:p>
            <w:pPr>
              <w:jc w:val="center"/>
              <w:rPr>
                <w:rFonts w:ascii="仿宋_GB2312" w:hAnsi="仿宋" w:eastAsia="仿宋_GB2312"/>
                <w:sz w:val="24"/>
                <w:szCs w:val="24"/>
                <w:highlight w:val="none"/>
              </w:rPr>
            </w:pPr>
            <w:r>
              <w:rPr>
                <w:rFonts w:hint="eastAsia" w:ascii="仿宋_GB2312" w:hAnsi="仿宋" w:eastAsia="仿宋_GB2312"/>
                <w:sz w:val="24"/>
                <w:szCs w:val="24"/>
                <w:highlight w:val="none"/>
              </w:rPr>
              <w:t xml:space="preserve">其他</w:t>
            </w:r>
            <w:r/>
          </w:p>
        </w:tc>
        <w:tc>
          <w:tcPr>
            <w:tcW w:w="5786" w:type="dxa"/>
            <w:vAlign w:val="center"/>
            <w:textDirection w:val="lrTb"/>
            <w:noWrap w:val="false"/>
          </w:tcPr>
          <w:p>
            <w:pPr>
              <w:spacing w:line="360" w:lineRule="exact"/>
              <w:widowControl/>
              <w:rPr>
                <w:rFonts w:ascii="仿宋_GB2312" w:hAnsi="仿宋" w:eastAsia="仿宋_GB2312"/>
                <w:sz w:val="24"/>
                <w:szCs w:val="24"/>
                <w:highlight w:val="none"/>
              </w:rPr>
            </w:pPr>
            <w:r>
              <w:rPr>
                <w:rFonts w:hint="eastAsia" w:ascii="仿宋_GB2312" w:hAnsi="仿宋_GB2312" w:eastAsia="仿宋_GB2312" w:cs="仿宋_GB2312"/>
                <w:color w:val="000000"/>
                <w:sz w:val="24"/>
                <w:szCs w:val="24"/>
                <w:highlight w:val="none"/>
              </w:rPr>
              <w:t xml:space="preserve">无</w:t>
            </w:r>
            <w:r/>
          </w:p>
        </w:tc>
      </w:tr>
    </w:tbl>
    <w:p>
      <w:pPr>
        <w:spacing w:line="400" w:lineRule="exact"/>
        <w:rPr>
          <w:rFonts w:ascii="仿宋_GB2312" w:hAnsi="宋体" w:eastAsia="仿宋_GB2312"/>
          <w:color w:val="0000ff"/>
          <w:sz w:val="24"/>
          <w:highlight w:val="none"/>
        </w:rPr>
      </w:pPr>
      <w:r/>
      <w:bookmarkStart w:id="78" w:name="EB6eaaf474639940df900ef4965d71f450"/>
      <w:r>
        <w:rPr>
          <w:rFonts w:hint="eastAsia" w:ascii="仿宋_GB2312" w:hAnsi="宋体" w:eastAsia="仿宋_GB2312"/>
          <w:color w:val="0000ff"/>
          <w:sz w:val="24"/>
          <w:highlight w:val="none"/>
        </w:rPr>
        <w:br w:type="page" w:clear="all"/>
      </w:r>
      <w:bookmarkEnd w:id="78"/>
      <w:r/>
      <w:r/>
    </w:p>
    <w:p>
      <w:pPr>
        <w:rPr>
          <w:color w:val="000080"/>
          <w:sz w:val="20"/>
          <w:highlight w:val="none"/>
        </w:rPr>
      </w:pPr>
      <w:r>
        <w:rPr>
          <w:color w:val="000080"/>
          <w:sz w:val="20"/>
          <w:highlight w:val="none"/>
        </w:rPr>
      </w:r>
      <w:r/>
    </w:p>
    <w:p>
      <w:pPr>
        <w:pStyle w:val="871"/>
        <w:rPr>
          <w:highlight w:val="none"/>
        </w:rPr>
        <w:outlineLvl w:val="1"/>
      </w:pPr>
      <w:r/>
      <w:bookmarkStart w:id="79" w:name="_Toc81575155"/>
      <w:r/>
      <w:bookmarkStart w:id="80" w:name="_Toc81575192"/>
      <w:r/>
      <w:bookmarkStart w:id="81" w:name="_Toc8239"/>
      <w:r/>
      <w:bookmarkStart w:id="82" w:name="_Toc6811"/>
      <w:r>
        <w:rPr>
          <w:rFonts w:hint="eastAsia"/>
          <w:highlight w:val="none"/>
        </w:rPr>
        <w:t xml:space="preserve">一、总 则</w:t>
      </w:r>
      <w:bookmarkEnd w:id="79"/>
      <w:r/>
      <w:bookmarkEnd w:id="80"/>
      <w:r/>
      <w:bookmarkEnd w:id="81"/>
      <w:r/>
      <w:bookmarkEnd w:id="82"/>
      <w:r/>
      <w:r/>
    </w:p>
    <w:p>
      <w:pPr>
        <w:ind w:firstLine="482"/>
        <w:spacing w:line="500" w:lineRule="exact"/>
        <w:rPr>
          <w:rFonts w:ascii="宋体" w:hAnsi="宋体"/>
          <w:b/>
          <w:sz w:val="24"/>
          <w:highlight w:val="none"/>
        </w:rPr>
      </w:pPr>
      <w:r>
        <w:rPr>
          <w:rFonts w:hint="eastAsia" w:ascii="宋体" w:hAnsi="宋体"/>
          <w:b/>
          <w:sz w:val="24"/>
          <w:highlight w:val="none"/>
        </w:rPr>
        <w:t xml:space="preserve">1、招标方式</w:t>
      </w:r>
      <w:r/>
    </w:p>
    <w:p>
      <w:pPr>
        <w:pStyle w:val="659"/>
        <w:ind w:firstLine="480"/>
        <w:spacing w:line="500" w:lineRule="exact"/>
        <w:rPr>
          <w:sz w:val="24"/>
          <w:highlight w:val="none"/>
        </w:rPr>
      </w:pPr>
      <w:r>
        <w:rPr>
          <w:rFonts w:hint="eastAsia"/>
          <w:sz w:val="24"/>
          <w:highlight w:val="none"/>
        </w:rPr>
        <w:t xml:space="preserve">本次招标采取公开招标方式。</w:t>
      </w:r>
      <w:r/>
    </w:p>
    <w:p>
      <w:pPr>
        <w:ind w:firstLine="482"/>
        <w:spacing w:line="500" w:lineRule="exact"/>
        <w:rPr>
          <w:rFonts w:ascii="宋体" w:hAnsi="宋体"/>
          <w:b/>
          <w:sz w:val="24"/>
          <w:highlight w:val="none"/>
        </w:rPr>
      </w:pPr>
      <w:r>
        <w:rPr>
          <w:rFonts w:hint="eastAsia" w:ascii="宋体" w:hAnsi="宋体"/>
          <w:b/>
          <w:sz w:val="24"/>
          <w:highlight w:val="none"/>
        </w:rPr>
        <w:t xml:space="preserve">2、合格的投标人</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2.1合格的投标人必须符合招标文件第一部分《投标邀请函》第二条及须知前附表相关规定，且具备完成本项目的能力，中标后不允许转包、分包或者变相转包、分包。</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2.2合格的投标人应遵守《中华人民共和国政府采购法》、《中华人民共和国政府采购法实施条例》、《中华人民共和国民法典》等有关法律、法规。</w:t>
      </w:r>
      <w:r/>
    </w:p>
    <w:p>
      <w:pPr>
        <w:ind w:firstLine="482"/>
        <w:spacing w:line="500" w:lineRule="exact"/>
        <w:rPr>
          <w:rFonts w:ascii="宋体" w:hAnsi="宋体"/>
          <w:b/>
          <w:sz w:val="24"/>
          <w:highlight w:val="none"/>
        </w:rPr>
      </w:pPr>
      <w:r>
        <w:rPr>
          <w:rFonts w:hint="eastAsia" w:ascii="宋体" w:hAnsi="宋体"/>
          <w:b/>
          <w:sz w:val="24"/>
          <w:highlight w:val="none"/>
        </w:rPr>
        <w:t xml:space="preserve">3、适用法律</w:t>
      </w:r>
      <w:r/>
    </w:p>
    <w:p>
      <w:pPr>
        <w:ind w:firstLine="480"/>
        <w:spacing w:line="500" w:lineRule="exact"/>
        <w:rPr>
          <w:rFonts w:ascii="宋体" w:hAnsi="宋体"/>
          <w:b/>
          <w:sz w:val="24"/>
          <w:highlight w:val="none"/>
        </w:rPr>
      </w:pPr>
      <w:r>
        <w:rPr>
          <w:rFonts w:hint="eastAsia" w:ascii="仿宋_GB2312" w:eastAsia="仿宋_GB2312"/>
          <w:sz w:val="24"/>
          <w:highlight w:val="none"/>
        </w:rPr>
        <w:t xml:space="preserve">本次招标及由本次招标产生的合同受中华人民共和国的相关法律、法规制约和保护。</w:t>
      </w:r>
      <w:r/>
    </w:p>
    <w:p>
      <w:pPr>
        <w:ind w:firstLine="482"/>
        <w:spacing w:line="500" w:lineRule="exact"/>
        <w:rPr>
          <w:rFonts w:ascii="宋体" w:hAnsi="宋体"/>
          <w:b/>
          <w:sz w:val="24"/>
          <w:highlight w:val="none"/>
        </w:rPr>
      </w:pPr>
      <w:r>
        <w:rPr>
          <w:rFonts w:hint="eastAsia" w:ascii="宋体" w:hAnsi="宋体"/>
          <w:b/>
          <w:sz w:val="24"/>
          <w:highlight w:val="none"/>
        </w:rPr>
        <w:t xml:space="preserve">4、投标费用</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投标人应自行承担所有参加投标有关的费用。</w:t>
      </w:r>
      <w:r/>
    </w:p>
    <w:p>
      <w:pPr>
        <w:ind w:firstLine="482"/>
        <w:spacing w:line="500" w:lineRule="exact"/>
        <w:rPr>
          <w:rFonts w:ascii="宋体" w:hAnsi="宋体"/>
          <w:b/>
          <w:sz w:val="24"/>
          <w:highlight w:val="none"/>
        </w:rPr>
      </w:pPr>
      <w:r>
        <w:rPr>
          <w:rFonts w:hint="eastAsia" w:ascii="宋体" w:hAnsi="宋体"/>
          <w:b/>
          <w:sz w:val="24"/>
          <w:highlight w:val="none"/>
        </w:rPr>
        <w:t xml:space="preserve">5、相同品牌产品投标</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5.3、非单一产品采购项目，采购人确定核心产品，并在招标文件中载明。多家投标人提供的核心产品品牌相同的，按前两款规定处理。</w:t>
      </w:r>
      <w:r/>
    </w:p>
    <w:p>
      <w:pPr>
        <w:rPr>
          <w:highlight w:val="none"/>
        </w:rPr>
      </w:pPr>
      <w:r/>
      <w:bookmarkStart w:id="83" w:name="EB03f11de025af49a0b0680fbbffa2bc40"/>
      <w:r>
        <w:rPr>
          <w:rFonts w:hint="eastAsia"/>
          <w:color w:val="000080"/>
          <w:sz w:val="20"/>
          <w:highlight w:val="none"/>
        </w:rPr>
        <w:t xml:space="preserve"> </w:t>
      </w:r>
      <w:bookmarkEnd w:id="83"/>
      <w:r/>
      <w:r/>
    </w:p>
    <w:p>
      <w:pPr>
        <w:numPr>
          <w:ilvl w:val="0"/>
          <w:numId w:val="1"/>
        </w:numPr>
        <w:spacing w:line="360" w:lineRule="auto"/>
        <w:rPr>
          <w:rFonts w:ascii="宋体" w:hAnsi="宋体" w:cs="宋体"/>
          <w:b/>
          <w:sz w:val="24"/>
          <w:highlight w:val="none"/>
        </w:rPr>
      </w:pPr>
      <w:r>
        <w:rPr>
          <w:rFonts w:hint="eastAsia" w:ascii="宋体" w:hAnsi="宋体" w:cs="宋体"/>
          <w:b/>
          <w:sz w:val="24"/>
          <w:highlight w:val="none"/>
        </w:rPr>
        <w:t xml:space="preserve">政府采购政策</w:t>
      </w:r>
      <w:r/>
    </w:p>
    <w:p>
      <w:pPr>
        <w:ind w:firstLine="482"/>
        <w:spacing w:line="500" w:lineRule="exact"/>
        <w:rPr>
          <w:rFonts w:ascii="宋体" w:hAnsi="宋体" w:eastAsia="仿宋_GB2312"/>
          <w:b/>
          <w:sz w:val="24"/>
          <w:highlight w:val="none"/>
        </w:rPr>
      </w:pPr>
      <w:r>
        <w:rPr>
          <w:rFonts w:hint="eastAsia" w:ascii="Times New Roman" w:hAnsi="Times New Roman" w:eastAsia="仿宋_GB2312"/>
          <w:b/>
          <w:bCs/>
          <w:sz w:val="24"/>
          <w:highlight w:val="none"/>
        </w:rPr>
        <w:t xml:space="preserve">本项目落实的政府采购政策对应序号为</w:t>
      </w:r>
      <w:r>
        <w:rPr>
          <w:rFonts w:ascii="仿宋_GB2312" w:hAnsi="仿宋_GB2312" w:eastAsia="仿宋_GB2312" w:cs="仿宋_GB2312"/>
          <w:color w:val="000000"/>
          <w:sz w:val="24"/>
          <w:highlight w:val="none"/>
          <w:u w:val="single"/>
        </w:rPr>
        <w:t xml:space="preserve">6.</w:t>
      </w:r>
      <w:r>
        <w:rPr>
          <w:rFonts w:hint="eastAsia" w:ascii="仿宋_GB2312" w:hAnsi="仿宋_GB2312" w:eastAsia="仿宋_GB2312" w:cs="仿宋_GB2312"/>
          <w:color w:val="000000"/>
          <w:sz w:val="24"/>
          <w:highlight w:val="none"/>
          <w:u w:val="single"/>
        </w:rPr>
        <w:t xml:space="preserve">1</w:t>
      </w:r>
      <w:r/>
    </w:p>
    <w:p>
      <w:pPr>
        <w:ind w:firstLine="480"/>
        <w:spacing w:line="500" w:lineRule="exact"/>
        <w:rPr>
          <w:rFonts w:ascii="仿宋_GB2312" w:hAnsi="仿宋_GB2312" w:eastAsia="仿宋_GB2312" w:cs="仿宋_GB2312"/>
          <w:color w:val="000000"/>
          <w:sz w:val="24"/>
          <w:highlight w:val="none"/>
        </w:rPr>
      </w:pPr>
      <w:r>
        <w:rPr>
          <w:rFonts w:ascii="仿宋_GB2312" w:hAnsi="仿宋_GB2312" w:eastAsia="仿宋_GB2312" w:cs="仿宋_GB2312"/>
          <w:color w:val="000000"/>
          <w:sz w:val="24"/>
          <w:highlight w:val="none"/>
        </w:rPr>
        <w:t xml:space="preserve">6.</w:t>
      </w:r>
      <w:r>
        <w:rPr>
          <w:rFonts w:hint="eastAsia" w:ascii="仿宋_GB2312" w:hAnsi="仿宋_GB2312" w:eastAsia="仿宋_GB2312" w:cs="仿宋_GB2312"/>
          <w:color w:val="000000"/>
          <w:sz w:val="24"/>
          <w:highlight w:val="none"/>
        </w:rPr>
        <w:t xml:space="preserve">1</w:t>
      </w:r>
      <w:r>
        <w:rPr>
          <w:rFonts w:ascii="仿宋_GB2312" w:hAnsi="仿宋_GB2312" w:eastAsia="仿宋_GB2312" w:cs="仿宋_GB2312"/>
          <w:color w:val="000000"/>
          <w:sz w:val="24"/>
          <w:highlight w:val="none"/>
        </w:rPr>
        <w:t xml:space="preserve">中小企业政策</w:t>
      </w:r>
      <w:r/>
    </w:p>
    <w:p>
      <w:pPr>
        <w:ind w:firstLine="480"/>
        <w:spacing w:line="500" w:lineRule="exact"/>
        <w:rPr>
          <w:rFonts w:ascii="Times New Roman" w:hAnsi="Times New Roman" w:eastAsia="仿宋_GB2312"/>
          <w:color w:val="ff0000"/>
          <w:sz w:val="24"/>
          <w:highlight w:val="none"/>
          <w:u w:val="single"/>
        </w:rPr>
      </w:pPr>
      <w:r>
        <w:rPr>
          <w:rFonts w:hint="eastAsia" w:ascii="Times New Roman" w:hAnsi="Times New Roman" w:eastAsia="仿宋_GB2312"/>
          <w:sz w:val="24"/>
          <w:highlight w:val="none"/>
        </w:rPr>
        <w:t xml:space="preserve">本项目采购标的对应的中小企业划分标准所属行业：</w:t>
      </w:r>
      <w:r>
        <w:rPr>
          <w:rFonts w:hint="eastAsia" w:ascii="Times New Roman" w:hAnsi="Times New Roman" w:eastAsia="仿宋_GB2312"/>
          <w:b/>
          <w:bCs/>
          <w:sz w:val="24"/>
          <w:highlight w:val="none"/>
          <w:u w:val="single"/>
        </w:rPr>
        <w:t xml:space="preserve">其他未列明行业 </w:t>
      </w:r>
      <w:r/>
    </w:p>
    <w:p>
      <w:pPr>
        <w:ind w:firstLine="480"/>
        <w:spacing w:line="500" w:lineRule="exact"/>
        <w:rPr>
          <w:rFonts w:ascii="Times New Roman" w:hAnsi="Times New Roman" w:eastAsia="仿宋_GB2312"/>
          <w:sz w:val="24"/>
          <w:highlight w:val="none"/>
        </w:rPr>
      </w:pPr>
      <w:r>
        <w:rPr>
          <w:rFonts w:hint="eastAsia" w:ascii="Times New Roman" w:hAnsi="Times New Roman" w:eastAsia="仿宋_GB2312"/>
          <w:sz w:val="24"/>
          <w:highlight w:val="none"/>
        </w:rPr>
        <w:t xml:space="preserve">本项目按以下第</w:t>
      </w:r>
      <w:r>
        <w:rPr>
          <w:rFonts w:hint="eastAsia" w:ascii="Times New Roman" w:hAnsi="Times New Roman" w:eastAsia="仿宋_GB2312"/>
          <w:sz w:val="24"/>
          <w:highlight w:val="none"/>
          <w:u w:val="single"/>
        </w:rPr>
        <w:t xml:space="preserve">（2）</w:t>
      </w:r>
      <w:r>
        <w:rPr>
          <w:rFonts w:hint="eastAsia" w:ascii="Times New Roman" w:hAnsi="Times New Roman" w:eastAsia="仿宋_GB2312"/>
          <w:sz w:val="24"/>
          <w:highlight w:val="none"/>
        </w:rPr>
        <w:t xml:space="preserve">种政策确定本项目落实的中小企业政策：</w:t>
      </w:r>
      <w:r/>
    </w:p>
    <w:p>
      <w:pPr>
        <w:ind w:firstLine="480"/>
        <w:spacing w:line="500" w:lineRule="exact"/>
        <w:rPr>
          <w:rFonts w:ascii="Times New Roman" w:hAnsi="Times New Roman" w:eastAsia="仿宋_GB2312"/>
          <w:sz w:val="24"/>
          <w:highlight w:val="none"/>
        </w:rPr>
      </w:pPr>
      <w:r>
        <w:rPr>
          <w:rFonts w:hint="eastAsia" w:ascii="Times New Roman" w:hAnsi="Times New Roman" w:eastAsia="仿宋_GB2312"/>
          <w:sz w:val="24"/>
          <w:highlight w:val="none"/>
        </w:rPr>
        <w:t xml:space="preserve">（1）本项目专门面向中小企业（含监狱与戒毒企业、残疾人福利企业）采购。</w:t>
      </w:r>
      <w:r/>
    </w:p>
    <w:p>
      <w:pPr>
        <w:ind w:firstLine="480"/>
        <w:spacing w:line="500" w:lineRule="exact"/>
        <w:rPr>
          <w:rFonts w:ascii="仿宋_GB2312" w:eastAsia="仿宋_GB2312"/>
          <w:sz w:val="24"/>
          <w:highlight w:val="none"/>
        </w:rPr>
      </w:pPr>
      <w:r>
        <w:rPr>
          <w:rFonts w:hint="eastAsia" w:ascii="Times New Roman" w:hAnsi="Times New Roman" w:eastAsia="仿宋_GB2312"/>
          <w:sz w:val="24"/>
          <w:highlight w:val="none"/>
        </w:rPr>
        <w:t xml:space="preserve">（2）投标人提供的服务符合规定情形的，对小微企业报价给予扣除（扣除比例详见“评审标准”相关条款），用扣除后的价格参加评审。</w:t>
      </w:r>
      <w:r/>
    </w:p>
    <w:p>
      <w:pPr>
        <w:ind w:firstLine="480"/>
        <w:spacing w:line="500" w:lineRule="exact"/>
        <w:rPr>
          <w:rFonts w:ascii="仿宋_GB2312" w:eastAsia="仿宋_GB2312"/>
          <w:color w:val="0000ff"/>
          <w:sz w:val="24"/>
          <w:highlight w:val="none"/>
        </w:rPr>
      </w:pPr>
      <w:r>
        <w:rPr>
          <w:rFonts w:hint="eastAsia" w:ascii="仿宋_GB2312" w:hAnsi="仿宋_GB2312" w:eastAsia="仿宋_GB2312" w:cs="仿宋_GB2312"/>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仿宋_GB2312" w:eastAsia="仿宋_GB2312"/>
          <w:color w:val="0000ff"/>
          <w:sz w:val="24"/>
          <w:highlight w:val="none"/>
        </w:rPr>
      </w:pPr>
      <w:r>
        <w:rPr>
          <w:rFonts w:hint="eastAsia" w:ascii="仿宋_GB2312" w:hAnsi="仿宋_GB2312" w:eastAsia="仿宋_GB2312" w:cs="仿宋_GB2312"/>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仿宋_GB2312" w:eastAsia="仿宋_GB2312"/>
          <w:color w:val="0000ff"/>
          <w:sz w:val="24"/>
          <w:highlight w:val="none"/>
        </w:rPr>
      </w:pPr>
      <w:r>
        <w:rPr>
          <w:rFonts w:hint="eastAsia" w:ascii="仿宋_GB2312" w:hAnsi="仿宋_GB2312" w:eastAsia="仿宋_GB2312" w:cs="仿宋_GB2312"/>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500" w:lineRule="exact"/>
        <w:rPr>
          <w:rFonts w:ascii="仿宋_GB2312" w:eastAsia="仿宋_GB2312"/>
          <w:color w:val="0000ff"/>
          <w:sz w:val="24"/>
          <w:highlight w:val="none"/>
        </w:rPr>
      </w:pPr>
      <w:r>
        <w:rPr>
          <w:rFonts w:hint="eastAsia" w:ascii="仿宋_GB2312" w:hAnsi="仿宋_GB2312" w:eastAsia="仿宋_GB2312" w:cs="仿宋_GB2312"/>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仿宋_GB2312" w:eastAsia="仿宋_GB2312"/>
          <w:color w:val="0000ff"/>
          <w:sz w:val="24"/>
          <w:highlight w:val="none"/>
        </w:rPr>
      </w:pPr>
      <w:r>
        <w:rPr>
          <w:rFonts w:hint="eastAsia" w:ascii="仿宋_GB2312" w:hAnsi="仿宋_GB2312" w:eastAsia="仿宋_GB2312" w:cs="仿宋_GB2312"/>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6.2 政府采购节能产品、环境标志产品</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6.2.2采购人拟采购的产品属于政府强制采购的节能产品品目清单范围的，投标人须提供国家确定的认证机构出具的、处于有效期之内的节能产品认证证书的，否则无效标处理。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6.2.3采购人拟采购的产品属于优先采购的节能环保品目清单范围的，按以下条件优先采购：</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采用综合评分法的项目，对提供有效节能环保证书的投标人加分。</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采用最低评标价法的项目，同等条件下优先推荐提供有效节能环保证书多的投标人为中标人。</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6.3政府采购需求标准</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6.3.1商品包装、快递包装政府采购需求标准（试行）</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 6.3.2绿色数据中心政府采购需求标准（试行）</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为加快数据中心绿色转型，根据财政部 生态环境部 工业和信息化部关于印发《绿色数据中心政府采购需求标准（试行）》的通知），本项目如涉及绿色数据中心，具体需求详见第四部分采购需求。</w:t>
      </w:r>
      <w:r/>
    </w:p>
    <w:p>
      <w:pPr>
        <w:pStyle w:val="871"/>
        <w:rPr>
          <w:highlight w:val="none"/>
        </w:rPr>
        <w:outlineLvl w:val="1"/>
      </w:pPr>
      <w:r/>
      <w:bookmarkStart w:id="84" w:name="_Toc81575156"/>
      <w:r/>
      <w:bookmarkStart w:id="85" w:name="_Toc3345"/>
      <w:r/>
      <w:bookmarkStart w:id="86" w:name="_Toc81575193"/>
      <w:r/>
      <w:bookmarkStart w:id="87" w:name="_Toc29306"/>
      <w:r>
        <w:rPr>
          <w:rFonts w:hint="eastAsia"/>
          <w:highlight w:val="none"/>
        </w:rPr>
        <w:t xml:space="preserve">二、招标文件</w:t>
      </w:r>
      <w:bookmarkEnd w:id="84"/>
      <w:r/>
      <w:bookmarkEnd w:id="85"/>
      <w:r/>
      <w:bookmarkEnd w:id="86"/>
      <w:r/>
      <w:bookmarkEnd w:id="87"/>
      <w:r/>
      <w:r/>
    </w:p>
    <w:p>
      <w:pPr>
        <w:ind w:firstLine="482"/>
        <w:spacing w:line="500" w:lineRule="exact"/>
        <w:rPr>
          <w:rFonts w:ascii="宋体" w:hAnsi="宋体"/>
          <w:b/>
          <w:sz w:val="24"/>
          <w:highlight w:val="none"/>
        </w:rPr>
      </w:pPr>
      <w:r>
        <w:rPr>
          <w:rFonts w:hint="eastAsia" w:ascii="宋体" w:hAnsi="宋体"/>
          <w:b/>
          <w:sz w:val="24"/>
          <w:highlight w:val="none"/>
        </w:rPr>
        <w:t xml:space="preserve">7、招标文件构成</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7.1招标文件由以下部分组成：</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第一部分：投标邀请函；</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第二部分：投标人须知；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第三部分：资格审查及评分办法；</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第四部分：采购需求；</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第五部分：合同格式及条款；</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第六部分：投标文件格式。</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请仔细检查招标文件是否齐全，如有缺漏请立即与代理机构联系解决。</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b/>
          <w:sz w:val="24"/>
          <w:highlight w:val="none"/>
        </w:rPr>
      </w:pPr>
      <w:r>
        <w:rPr>
          <w:rFonts w:hint="eastAsia" w:ascii="宋体" w:hAnsi="宋体"/>
          <w:b/>
          <w:sz w:val="24"/>
          <w:highlight w:val="none"/>
        </w:rPr>
        <w:t xml:space="preserve">8、招标文件的澄清</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b/>
          <w:sz w:val="24"/>
          <w:highlight w:val="none"/>
        </w:rPr>
      </w:pPr>
      <w:r>
        <w:rPr>
          <w:rFonts w:hint="eastAsia" w:ascii="宋体" w:hAnsi="宋体"/>
          <w:b/>
          <w:sz w:val="24"/>
          <w:highlight w:val="none"/>
        </w:rPr>
        <w:t xml:space="preserve">9、招标文件的修改</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9.2招标文件的修改将在原公告媒体上发布更正公告，并对投标人具有约束力。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9.4采购代理机构发出的所有补充、修改和变更文件均作为招标文件的组成部分，与招标文件具有同等法律效力。 </w:t>
      </w:r>
      <w:r/>
    </w:p>
    <w:p>
      <w:pPr>
        <w:rPr>
          <w:highlight w:val="none"/>
        </w:rPr>
      </w:pPr>
      <w:r/>
      <w:bookmarkStart w:id="88" w:name="EB2154fb7cf02b4b0980c6759aa29ee4ed"/>
      <w:r>
        <w:rPr>
          <w:rFonts w:hint="eastAsia"/>
          <w:color w:val="000080"/>
          <w:sz w:val="20"/>
          <w:highlight w:val="none"/>
        </w:rPr>
        <w:t xml:space="preserve"> </w:t>
      </w:r>
      <w:bookmarkEnd w:id="88"/>
      <w:r/>
      <w:bookmarkStart w:id="89" w:name="EB453bde7f4ddc418fae2aad9fbcd82554"/>
      <w:r>
        <w:rPr>
          <w:rFonts w:hint="eastAsia"/>
          <w:color w:val="000080"/>
          <w:sz w:val="20"/>
          <w:highlight w:val="none"/>
        </w:rPr>
        <w:t xml:space="preserve"> </w:t>
      </w:r>
      <w:bookmarkEnd w:id="89"/>
      <w:r/>
      <w:bookmarkStart w:id="90" w:name="EBec71fc1696a240c4b620fe1e00b2ce58"/>
      <w:r>
        <w:rPr>
          <w:rFonts w:hint="eastAsia"/>
          <w:color w:val="000080"/>
          <w:sz w:val="20"/>
          <w:highlight w:val="none"/>
        </w:rPr>
        <w:t xml:space="preserve"> </w:t>
      </w:r>
      <w:bookmarkEnd w:id="90"/>
      <w:r/>
      <w:r/>
    </w:p>
    <w:p>
      <w:pPr>
        <w:pStyle w:val="871"/>
        <w:rPr>
          <w:highlight w:val="none"/>
        </w:rPr>
        <w:outlineLvl w:val="1"/>
      </w:pPr>
      <w:r/>
      <w:bookmarkStart w:id="91" w:name="_Toc81575157"/>
      <w:r/>
      <w:bookmarkStart w:id="92" w:name="_Toc81575194"/>
      <w:r/>
      <w:bookmarkStart w:id="93" w:name="_Toc66"/>
      <w:r/>
      <w:bookmarkStart w:id="94" w:name="_Toc11461"/>
      <w:r>
        <w:rPr>
          <w:rFonts w:hint="eastAsia"/>
          <w:highlight w:val="none"/>
        </w:rPr>
        <w:t xml:space="preserve">三、投标文件的编制</w:t>
      </w:r>
      <w:bookmarkEnd w:id="91"/>
      <w:r/>
      <w:bookmarkEnd w:id="92"/>
      <w:r/>
      <w:bookmarkEnd w:id="93"/>
      <w:r/>
      <w:bookmarkEnd w:id="94"/>
      <w:r/>
      <w:r/>
    </w:p>
    <w:p>
      <w:pPr>
        <w:ind w:firstLine="482"/>
        <w:spacing w:line="500" w:lineRule="exact"/>
        <w:rPr>
          <w:rFonts w:ascii="宋体" w:hAnsi="宋体"/>
          <w:b/>
          <w:sz w:val="24"/>
          <w:highlight w:val="none"/>
        </w:rPr>
      </w:pPr>
      <w:r>
        <w:rPr>
          <w:rFonts w:hint="eastAsia" w:ascii="宋体" w:hAnsi="宋体"/>
          <w:b/>
          <w:sz w:val="24"/>
          <w:highlight w:val="none"/>
        </w:rPr>
        <w:t xml:space="preserve">10、投标文件的编制要求</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10.2投标文件应当对招标文件有关交货期、投标有效期、质量要求、技术标准和要求、招标范围等实质性内容作出响应。</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10.3中标后按相关要求提供与电子投标文件一致的纸质打印投标文件。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10.4投标文件须加盖电子签章之处，应按要求加盖投标人数字证书的电子签章。其他需要盖章但未明确要求电子签章的，</w:t>
      </w:r>
      <w:r>
        <w:rPr>
          <w:rFonts w:hint="eastAsia" w:ascii="仿宋_GB2312" w:eastAsia="仿宋_GB2312"/>
          <w:sz w:val="24"/>
          <w:highlight w:val="none"/>
          <w:u w:val="single"/>
        </w:rPr>
        <w:t xml:space="preserve">投标人可按要求加盖公章后上传材料电子件或直接盖CA电子公章</w:t>
      </w:r>
      <w:r>
        <w:rPr>
          <w:rFonts w:hint="eastAsia" w:ascii="方正仿宋_GBK" w:eastAsia="方正仿宋_GBK"/>
          <w:sz w:val="24"/>
          <w:szCs w:val="24"/>
          <w:highlight w:val="none"/>
          <w:u w:val="single"/>
        </w:rPr>
        <w:t xml:space="preserve">。</w:t>
      </w:r>
      <w:r>
        <w:rPr>
          <w:rFonts w:hint="eastAsia" w:ascii="仿宋_GB2312" w:eastAsia="仿宋_GB2312"/>
          <w:sz w:val="24"/>
          <w:highlight w:val="none"/>
        </w:rPr>
        <w:t xml:space="preserve">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10.5本项目通过“苏采云”系统进行电子招标投标，即供应商响应文件使用政府采购客户端工具制作并通过“苏采云”系统提交，如标书制作工具中格式和内容与“宿迁市政府采购网”发布的磋商文件不一致，请以“宿迁市政府采购网”发布的磋商文件为准。</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500" w:lineRule="exact"/>
        <w:rPr>
          <w:rFonts w:ascii="宋体" w:hAnsi="宋体"/>
          <w:b/>
          <w:sz w:val="24"/>
          <w:highlight w:val="none"/>
        </w:rPr>
      </w:pPr>
      <w:r>
        <w:rPr>
          <w:rFonts w:hint="eastAsia" w:ascii="宋体" w:hAnsi="宋体"/>
          <w:b/>
          <w:sz w:val="24"/>
          <w:highlight w:val="none"/>
        </w:rPr>
        <w:t xml:space="preserve">11、投标文件构成</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11.1投标声明及承诺函。</w:t>
      </w:r>
      <w:r/>
    </w:p>
    <w:p>
      <w:pPr>
        <w:ind w:firstLine="480"/>
        <w:spacing w:line="500" w:lineRule="exact"/>
        <w:rPr>
          <w:rFonts w:ascii="仿宋_GB2312" w:hAnsi="仿宋_GB2312" w:eastAsia="仿宋_GB2312" w:cs="仿宋_GB2312"/>
          <w:color w:val="0000ff"/>
          <w:sz w:val="24"/>
          <w:highlight w:val="none"/>
        </w:rPr>
      </w:pPr>
      <w:r>
        <w:rPr>
          <w:rFonts w:hint="eastAsia" w:ascii="仿宋_GB2312" w:eastAsia="仿宋_GB2312"/>
          <w:sz w:val="24"/>
          <w:highlight w:val="none"/>
        </w:rPr>
        <w:t xml:space="preserve">11.2法人代表证明或法定代表人授权委托书。</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11.3本项目的特定资格要求：投标人须具有主管部门颁发的甲级测绘资质（测绘资质专业范围需包含界线与不动产测绘、地理信息系统工程）。</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11.4报价文件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11.4.1开标一览表；</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11.4.2明细报价表。</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11.5综合评审评分项相关技术文件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11.6商务文件</w:t>
      </w:r>
      <w:r/>
    </w:p>
    <w:p>
      <w:pPr>
        <w:ind w:firstLine="480"/>
        <w:spacing w:line="500" w:lineRule="exact"/>
        <w:rPr>
          <w:rFonts w:ascii="仿宋_GB2312" w:eastAsia="仿宋_GB2312"/>
          <w:sz w:val="24"/>
          <w:highlight w:val="none"/>
        </w:rPr>
      </w:pPr>
      <w:r/>
      <w:bookmarkStart w:id="95" w:name="EBdc2c24f6358343e896cd43bd6621a619"/>
      <w:r>
        <w:rPr>
          <w:rFonts w:hint="eastAsia" w:ascii="仿宋_GB2312" w:eastAsia="仿宋_GB2312"/>
          <w:sz w:val="24"/>
          <w:highlight w:val="none"/>
        </w:rPr>
        <w:t xml:space="preserve">11.6</w:t>
      </w:r>
      <w:r>
        <w:rPr>
          <w:rFonts w:hint="eastAsia" w:ascii="仿宋_GB2312" w:hAnsi="仿宋_GB2312" w:eastAsia="仿宋_GB2312" w:cs="仿宋_GB2312"/>
          <w:color w:val="000000"/>
          <w:sz w:val="24"/>
          <w:highlight w:val="none"/>
        </w:rPr>
        <w:t xml:space="preserve">.1投标人承担的类似项目业绩一览表；</w:t>
      </w:r>
      <w:r/>
    </w:p>
    <w:p>
      <w:pPr>
        <w:ind w:firstLine="480"/>
        <w:spacing w:line="500" w:lineRule="exact"/>
        <w:rPr>
          <w:rFonts w:ascii="仿宋_GB2312" w:eastAsia="仿宋_GB2312"/>
          <w:color w:val="0000ff"/>
          <w:sz w:val="24"/>
          <w:highlight w:val="none"/>
        </w:rPr>
      </w:pPr>
      <w:r>
        <w:rPr>
          <w:rFonts w:hint="eastAsia" w:ascii="仿宋_GB2312" w:eastAsia="仿宋_GB2312"/>
          <w:sz w:val="24"/>
          <w:highlight w:val="none"/>
        </w:rPr>
        <w:t xml:space="preserve">11.6</w:t>
      </w:r>
      <w:r>
        <w:rPr>
          <w:rFonts w:hint="eastAsia" w:ascii="仿宋_GB2312" w:hAnsi="仿宋_GB2312" w:eastAsia="仿宋_GB2312" w:cs="仿宋_GB2312"/>
          <w:color w:val="000000"/>
          <w:sz w:val="24"/>
          <w:highlight w:val="none"/>
        </w:rPr>
        <w:t xml:space="preserve">.2其他商务文件。</w:t>
      </w:r>
      <w:bookmarkEnd w:id="95"/>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11.7投标人认为有必要提供的其它材料。</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如标书制作工具中格式和内容与“宿迁市政府采购网”发布的招标文件不一致，请以“宿迁市政府采购网”发布的招标文件为准。</w:t>
      </w:r>
      <w:r/>
    </w:p>
    <w:p>
      <w:pPr>
        <w:ind w:firstLine="482"/>
        <w:spacing w:line="500" w:lineRule="exact"/>
        <w:rPr>
          <w:rFonts w:ascii="宋体" w:hAnsi="宋体"/>
          <w:b/>
          <w:sz w:val="24"/>
          <w:highlight w:val="none"/>
        </w:rPr>
      </w:pPr>
      <w:r/>
      <w:bookmarkStart w:id="96" w:name="EBc50e2bb832bb43068403b10c1cce6141"/>
      <w:r>
        <w:rPr>
          <w:rFonts w:hint="eastAsia" w:ascii="仿宋_GB2312" w:hAnsi="仿宋_GB2312" w:eastAsia="仿宋_GB2312" w:cs="仿宋_GB2312"/>
          <w:b/>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bookmarkEnd w:id="96"/>
      <w:r/>
      <w:r/>
    </w:p>
    <w:p>
      <w:pPr>
        <w:ind w:firstLine="482"/>
        <w:spacing w:line="500" w:lineRule="exact"/>
        <w:rPr>
          <w:rFonts w:ascii="宋体" w:hAnsi="宋体"/>
          <w:b/>
          <w:sz w:val="24"/>
          <w:highlight w:val="none"/>
        </w:rPr>
      </w:pPr>
      <w:r>
        <w:rPr>
          <w:rFonts w:hint="eastAsia" w:ascii="宋体" w:hAnsi="宋体"/>
          <w:b/>
          <w:sz w:val="24"/>
          <w:highlight w:val="none"/>
        </w:rPr>
        <w:t xml:space="preserve">12、投标文件的加密</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b/>
          <w:sz w:val="24"/>
          <w:highlight w:val="none"/>
        </w:rPr>
      </w:pPr>
      <w:r>
        <w:rPr>
          <w:rFonts w:hint="eastAsia" w:ascii="宋体" w:hAnsi="宋体"/>
          <w:b/>
          <w:sz w:val="24"/>
          <w:highlight w:val="none"/>
        </w:rPr>
        <w:t xml:space="preserve">13、投标报价</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13.1报价为一次报价，于开标会议当场宣读。</w:t>
      </w:r>
      <w:r/>
    </w:p>
    <w:p>
      <w:pPr>
        <w:ind w:firstLine="480"/>
        <w:spacing w:line="500" w:lineRule="exact"/>
        <w:rPr>
          <w:rFonts w:ascii="仿宋_GB2312" w:eastAsia="仿宋_GB2312"/>
          <w:sz w:val="24"/>
          <w:highlight w:val="none"/>
          <w:shd w:val="clear" w:color="auto" w:fill="ffc000"/>
        </w:rPr>
      </w:pPr>
      <w:r>
        <w:rPr>
          <w:rFonts w:hint="eastAsia" w:ascii="仿宋_GB2312" w:eastAsia="仿宋_GB2312"/>
          <w:sz w:val="24"/>
          <w:highlight w:val="none"/>
        </w:rPr>
        <w:t xml:space="preserve">13.2本项目不接受备选的投标方案或有选择的报价，只允许有一个报价。投标报价内容包括：</w:t>
      </w:r>
      <w:bookmarkStart w:id="97" w:name="EB75f48e9561ee41d4955ed4174c5e92e6"/>
      <w:r>
        <w:rPr>
          <w:rFonts w:hint="eastAsia" w:ascii="仿宋_GB2312" w:eastAsia="仿宋_GB2312"/>
          <w:sz w:val="24"/>
          <w:highlight w:val="none"/>
        </w:rPr>
        <w:t xml:space="preserve">服务本身、人工费、服务费、税金以及交付使用过程中涉及到的其他一切费用</w:t>
      </w:r>
      <w:r>
        <w:rPr>
          <w:rFonts w:hint="eastAsia" w:ascii="仿宋_GB2312" w:hAnsi="仿宋_GB2312" w:eastAsia="仿宋_GB2312" w:cs="仿宋_GB2312"/>
          <w:color w:val="000000"/>
          <w:sz w:val="24"/>
          <w:highlight w:val="none"/>
        </w:rPr>
        <w:t xml:space="preserve">。</w:t>
      </w:r>
      <w:bookmarkEnd w:id="97"/>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13.3报价注意事项：价格一律以人民币计算，以元为单位标准；</w:t>
      </w:r>
      <w:r/>
    </w:p>
    <w:p>
      <w:pPr>
        <w:ind w:firstLine="482"/>
        <w:spacing w:line="500" w:lineRule="exact"/>
        <w:rPr>
          <w:rFonts w:ascii="宋体" w:hAnsi="宋体"/>
          <w:b/>
          <w:sz w:val="24"/>
          <w:highlight w:val="none"/>
        </w:rPr>
      </w:pPr>
      <w:r>
        <w:rPr>
          <w:rFonts w:hint="eastAsia" w:ascii="宋体" w:hAnsi="宋体"/>
          <w:b/>
          <w:sz w:val="24"/>
          <w:highlight w:val="none"/>
        </w:rPr>
        <w:t xml:space="preserve">14、投标保证金</w:t>
      </w:r>
      <w:r/>
    </w:p>
    <w:p>
      <w:pPr>
        <w:ind w:firstLine="480"/>
        <w:spacing w:line="500" w:lineRule="exact"/>
        <w:rPr>
          <w:rFonts w:ascii="仿宋_GB2312" w:eastAsia="仿宋_GB2312"/>
          <w:sz w:val="24"/>
          <w:highlight w:val="none"/>
        </w:rPr>
      </w:pPr>
      <w:r/>
      <w:bookmarkStart w:id="98" w:name="EB183a0bf075204c54a4ff090f1aecaaa7"/>
      <w:r>
        <w:rPr>
          <w:rFonts w:hint="eastAsia" w:ascii="仿宋_GB2312" w:hAnsi="仿宋_GB2312" w:eastAsia="仿宋_GB2312" w:cs="仿宋_GB2312"/>
          <w:color w:val="000000"/>
          <w:sz w:val="24"/>
          <w:highlight w:val="none"/>
        </w:rPr>
        <w:t xml:space="preserve">本项目不收取投标保证金。</w:t>
      </w:r>
      <w:bookmarkEnd w:id="98"/>
      <w:r/>
      <w:r/>
    </w:p>
    <w:p>
      <w:pPr>
        <w:ind w:firstLine="482"/>
        <w:spacing w:line="500" w:lineRule="exact"/>
        <w:rPr>
          <w:rFonts w:ascii="宋体" w:hAnsi="宋体"/>
          <w:b/>
          <w:sz w:val="24"/>
          <w:highlight w:val="none"/>
        </w:rPr>
      </w:pPr>
      <w:r>
        <w:rPr>
          <w:rFonts w:hint="eastAsia" w:ascii="宋体" w:hAnsi="宋体"/>
          <w:b/>
          <w:sz w:val="24"/>
          <w:highlight w:val="none"/>
        </w:rPr>
        <w:t xml:space="preserve">15、投标有效期</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15.1在投标人须知前附表规定的投标有效期内，投标有效期从提交投标文件的截止之日起算。投标有效期不足的投标，在评标时将其视为投标无效。</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rPr>
          <w:highlight w:val="none"/>
        </w:rPr>
      </w:pPr>
      <w:r/>
      <w:bookmarkStart w:id="99" w:name="EB12ed6b870f334fa092f7ed1f9a9dbab8"/>
      <w:r>
        <w:rPr>
          <w:rFonts w:hint="eastAsia"/>
          <w:color w:val="000080"/>
          <w:sz w:val="20"/>
          <w:highlight w:val="none"/>
        </w:rPr>
        <w:t xml:space="preserve"> </w:t>
      </w:r>
      <w:bookmarkEnd w:id="99"/>
      <w:r/>
      <w:bookmarkStart w:id="100" w:name="EB5d36e8077cc64e309c0c0f0cd8a6f496"/>
      <w:r>
        <w:rPr>
          <w:rFonts w:hint="eastAsia"/>
          <w:color w:val="000080"/>
          <w:sz w:val="20"/>
          <w:highlight w:val="none"/>
        </w:rPr>
        <w:t xml:space="preserve"> </w:t>
      </w:r>
      <w:bookmarkEnd w:id="100"/>
      <w:r/>
      <w:r/>
    </w:p>
    <w:p>
      <w:pPr>
        <w:pStyle w:val="871"/>
        <w:rPr>
          <w:highlight w:val="none"/>
        </w:rPr>
        <w:outlineLvl w:val="1"/>
      </w:pPr>
      <w:r/>
      <w:bookmarkStart w:id="101" w:name="_Toc23443"/>
      <w:r/>
      <w:bookmarkStart w:id="102" w:name="_Toc29925"/>
      <w:r/>
      <w:bookmarkStart w:id="103" w:name="_Toc81575195"/>
      <w:r/>
      <w:bookmarkStart w:id="104" w:name="_Toc81575158"/>
      <w:r>
        <w:rPr>
          <w:rFonts w:hint="eastAsia"/>
          <w:highlight w:val="none"/>
        </w:rPr>
        <w:t xml:space="preserve">四、投标文件的提交</w:t>
      </w:r>
      <w:bookmarkEnd w:id="101"/>
      <w:r/>
      <w:bookmarkEnd w:id="102"/>
      <w:r/>
      <w:bookmarkEnd w:id="103"/>
      <w:r/>
      <w:bookmarkEnd w:id="104"/>
      <w:r/>
      <w:r/>
    </w:p>
    <w:p>
      <w:pPr>
        <w:ind w:firstLine="482"/>
        <w:spacing w:line="500" w:lineRule="exact"/>
        <w:rPr>
          <w:rFonts w:ascii="宋体" w:hAnsi="宋体"/>
          <w:b/>
          <w:sz w:val="24"/>
          <w:highlight w:val="none"/>
        </w:rPr>
      </w:pPr>
      <w:r>
        <w:rPr>
          <w:rFonts w:hint="eastAsia" w:ascii="宋体" w:hAnsi="宋体"/>
          <w:b/>
          <w:sz w:val="24"/>
          <w:highlight w:val="none"/>
        </w:rPr>
        <w:t xml:space="preserve">16、投标文件的提交</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16.1投标人应在招标文件规定的投标截止时间前提交投标文件。投标人应将电子投标文件上传至“苏采云”系统对应的本次开标分包中，未及时上传的，招标人不予受理。投标文件提交截止时间后，投标人对投标报价或其他实质性内容修正的函件和增加的任何优惠条件，一律拒绝接收。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16.2除招标文件另有规定外，投标人所提交的投标文件不予退还。</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16.3网上投标文件的修改和撤回：在投标截止时间前，投标人可以撤回或重新提交投标文件，投标文件以最终完成上传的为准。</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b/>
          <w:sz w:val="24"/>
          <w:highlight w:val="none"/>
        </w:rPr>
      </w:pPr>
      <w:r>
        <w:rPr>
          <w:rFonts w:hint="eastAsia" w:ascii="宋体" w:hAnsi="宋体"/>
          <w:b/>
          <w:sz w:val="24"/>
          <w:highlight w:val="none"/>
        </w:rPr>
        <w:t xml:space="preserve">17、投标文件被拒绝接收的情形</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17.1在招标文件规定的投标截止时间后上传的投标文件。</w:t>
      </w:r>
      <w:r/>
    </w:p>
    <w:p>
      <w:pPr>
        <w:rPr>
          <w:highlight w:val="none"/>
        </w:rPr>
      </w:pPr>
      <w:r/>
      <w:bookmarkStart w:id="105" w:name="EB1a0613573add421692a7e6f802327ecc"/>
      <w:r>
        <w:rPr>
          <w:rFonts w:hint="eastAsia"/>
          <w:color w:val="000080"/>
          <w:sz w:val="20"/>
          <w:highlight w:val="none"/>
        </w:rPr>
        <w:t xml:space="preserve"> </w:t>
      </w:r>
      <w:bookmarkEnd w:id="105"/>
      <w:r/>
      <w:r/>
    </w:p>
    <w:p>
      <w:pPr>
        <w:rPr>
          <w:highlight w:val="none"/>
        </w:rPr>
      </w:pPr>
      <w:r/>
      <w:bookmarkStart w:id="106" w:name="EB2abce7e2c6f440e8b25c6bbba111ee54"/>
      <w:r>
        <w:rPr>
          <w:rFonts w:hint="eastAsia"/>
          <w:color w:val="000080"/>
          <w:sz w:val="20"/>
          <w:highlight w:val="none"/>
        </w:rPr>
        <w:t xml:space="preserve"> </w:t>
      </w:r>
      <w:bookmarkEnd w:id="106"/>
      <w:r/>
      <w:bookmarkStart w:id="107" w:name="EB200c38d7a1c345f29b604b38d510a951"/>
      <w:r>
        <w:rPr>
          <w:rFonts w:hint="eastAsia"/>
          <w:color w:val="000080"/>
          <w:sz w:val="20"/>
          <w:highlight w:val="none"/>
        </w:rPr>
        <w:t xml:space="preserve"> </w:t>
      </w:r>
      <w:bookmarkEnd w:id="107"/>
      <w:r/>
      <w:r/>
    </w:p>
    <w:p>
      <w:pPr>
        <w:pStyle w:val="871"/>
        <w:rPr>
          <w:highlight w:val="none"/>
        </w:rPr>
        <w:outlineLvl w:val="1"/>
      </w:pPr>
      <w:r/>
      <w:bookmarkStart w:id="108" w:name="_Toc81575196"/>
      <w:r/>
      <w:bookmarkStart w:id="109" w:name="_Toc81575159"/>
      <w:r/>
      <w:bookmarkStart w:id="110" w:name="_Toc25221"/>
      <w:r/>
      <w:bookmarkStart w:id="111" w:name="_Toc8841"/>
      <w:r>
        <w:rPr>
          <w:rFonts w:hint="eastAsia"/>
          <w:highlight w:val="none"/>
        </w:rPr>
        <w:t xml:space="preserve">五、无效标、废标、串通投标认定条款</w:t>
      </w:r>
      <w:bookmarkEnd w:id="108"/>
      <w:r/>
      <w:bookmarkEnd w:id="109"/>
      <w:r/>
      <w:bookmarkEnd w:id="110"/>
      <w:r/>
      <w:bookmarkEnd w:id="111"/>
      <w:r/>
      <w:r/>
    </w:p>
    <w:p>
      <w:pPr>
        <w:ind w:firstLine="482"/>
        <w:spacing w:line="500" w:lineRule="exact"/>
        <w:rPr>
          <w:rFonts w:ascii="宋体" w:hAnsi="宋体"/>
          <w:b/>
          <w:sz w:val="24"/>
          <w:highlight w:val="none"/>
        </w:rPr>
      </w:pPr>
      <w:r>
        <w:rPr>
          <w:rFonts w:hint="eastAsia" w:ascii="宋体" w:hAnsi="宋体"/>
          <w:b/>
          <w:sz w:val="24"/>
          <w:highlight w:val="none"/>
        </w:rPr>
        <w:t xml:space="preserve">18、无效投标条款</w:t>
      </w:r>
      <w:r/>
    </w:p>
    <w:p>
      <w:pPr>
        <w:spacing w:line="500" w:lineRule="exact"/>
        <w:rPr>
          <w:rFonts w:ascii="仿宋_GB2312" w:eastAsia="仿宋_GB2312"/>
          <w:sz w:val="24"/>
          <w:highlight w:val="none"/>
        </w:rPr>
      </w:pPr>
      <w:r/>
      <w:bookmarkStart w:id="112" w:name="EB94942e5430df4fb8a077f3cf7667f212"/>
      <w:r>
        <w:rPr>
          <w:rFonts w:hint="eastAsia" w:ascii="仿宋_GB2312" w:eastAsia="仿宋_GB2312"/>
          <w:sz w:val="24"/>
          <w:highlight w:val="none"/>
        </w:rPr>
        <w:tab/>
      </w:r>
      <w:r>
        <w:rPr>
          <w:rFonts w:hint="eastAsia" w:ascii="仿宋_GB2312" w:eastAsia="仿宋_GB2312"/>
          <w:sz w:val="24"/>
          <w:highlight w:val="none"/>
        </w:rPr>
        <w:t xml:space="preserve">18.1投标人不符合招标文件规定资格要求的或未按规定提交资质证件的；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18.2投标文件签署、盖章不符合招标文件要求的；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18.3未按招标文件要求提供电子投标文件，或者在苏采云系统规定的时间内未成功解密电子投标文件；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18.4报价超过招标文件中规定的预算金额或者最高限价的；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18.5投标文件出现重大偏离，未对招标文件进行实质性响应的（★部分为实质性要求）；</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18.6投标文件含有采购人不能接受的附加条件的；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18.7投标人有本招标文件规定的恶意串通投标情形的；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18.8其它评标委员会认为有必要取消的投标；</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18.9法律、法规规定的其它情况。</w:t>
      </w:r>
      <w:r/>
    </w:p>
    <w:p>
      <w:pPr>
        <w:ind w:firstLine="400"/>
        <w:rPr>
          <w:rFonts w:ascii="宋体" w:hAnsi="宋体"/>
          <w:b/>
          <w:sz w:val="24"/>
          <w:highlight w:val="none"/>
        </w:rPr>
      </w:pPr>
      <w:r>
        <w:rPr>
          <w:rFonts w:hint="eastAsia"/>
          <w:color w:val="000080"/>
          <w:sz w:val="20"/>
          <w:highlight w:val="none"/>
        </w:rPr>
        <w:t xml:space="preserve"> </w:t>
      </w:r>
      <w:bookmarkEnd w:id="112"/>
      <w:r>
        <w:rPr>
          <w:rFonts w:hint="eastAsia" w:ascii="宋体" w:hAnsi="宋体"/>
          <w:b/>
          <w:sz w:val="24"/>
          <w:highlight w:val="none"/>
        </w:rPr>
        <w:t xml:space="preserve">19、废标条款</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19.1符合专业条件的供应商或者对招标文件作实质响应的供应商不足三家的；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19.2出现影响采购公正的违法、违规行为的；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19.3投标人的报价均超过了采购预算，且采购人不能支付的；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19.4因重大变故，采购任务取消的。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19.5评标委员会认定招标文件存在歧义、重大缺陷导致评审工作无法进行。</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19.6因</w:t>
      </w:r>
      <w:r>
        <w:rPr>
          <w:rFonts w:hint="eastAsia" w:ascii="仿宋_GB2312" w:eastAsia="仿宋_GB2312"/>
          <w:b/>
          <w:bCs/>
          <w:color w:val="ff0000"/>
          <w:sz w:val="24"/>
          <w:highlight w:val="none"/>
        </w:rPr>
        <w:t xml:space="preserve">苏采云系统</w:t>
      </w:r>
      <w:r>
        <w:rPr>
          <w:rFonts w:hint="eastAsia" w:ascii="仿宋_GB2312" w:eastAsia="仿宋_GB2312"/>
          <w:sz w:val="24"/>
          <w:highlight w:val="none"/>
        </w:rPr>
        <w:t xml:space="preserve">故障原因造成开标不成功的。</w:t>
      </w:r>
      <w:r/>
    </w:p>
    <w:p>
      <w:pPr>
        <w:ind w:firstLine="482"/>
        <w:spacing w:line="500" w:lineRule="exact"/>
        <w:rPr>
          <w:rFonts w:ascii="宋体" w:hAnsi="宋体"/>
          <w:b/>
          <w:sz w:val="24"/>
          <w:highlight w:val="none"/>
        </w:rPr>
      </w:pPr>
      <w:r>
        <w:rPr>
          <w:rFonts w:hint="eastAsia" w:ascii="宋体" w:hAnsi="宋体"/>
          <w:b/>
          <w:sz w:val="24"/>
          <w:highlight w:val="none"/>
        </w:rPr>
        <w:t xml:space="preserve">20、供应商不足三家情形处理</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b/>
          <w:sz w:val="24"/>
          <w:highlight w:val="none"/>
        </w:rPr>
      </w:pPr>
      <w:r>
        <w:rPr>
          <w:rFonts w:hint="eastAsia" w:ascii="宋体" w:hAnsi="宋体"/>
          <w:b/>
          <w:sz w:val="24"/>
          <w:highlight w:val="none"/>
        </w:rPr>
        <w:t xml:space="preserve">21、取消中标候选人资格条款</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21.1提供虚假材料谋取中标的；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21.2采取不正当手段诋毁、排挤其他投标人的；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21.3与采购人、其他投标人或者采购代理机构恶意串通的；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21.4向采购人、采购代理机构行贿或者提供其他不正当利益的；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21.5未在规定时间内与采购人签订采购合同的；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21.6法律、法规规定的其它情况。</w:t>
      </w:r>
      <w:r/>
    </w:p>
    <w:p>
      <w:pPr>
        <w:ind w:firstLine="482"/>
        <w:spacing w:line="500" w:lineRule="exact"/>
        <w:rPr>
          <w:rFonts w:ascii="宋体" w:hAnsi="宋体"/>
          <w:b/>
          <w:sz w:val="24"/>
          <w:highlight w:val="none"/>
        </w:rPr>
      </w:pPr>
      <w:r>
        <w:rPr>
          <w:rFonts w:hint="eastAsia" w:ascii="宋体" w:hAnsi="宋体"/>
          <w:b/>
          <w:sz w:val="24"/>
          <w:highlight w:val="none"/>
        </w:rPr>
        <w:t xml:space="preserve">22、串通投标的情形</w:t>
      </w:r>
      <w:r/>
    </w:p>
    <w:p>
      <w:pPr>
        <w:ind w:firstLine="480"/>
        <w:spacing w:line="500" w:lineRule="exact"/>
        <w:rPr>
          <w:rFonts w:ascii="黑体" w:hAnsi="黑体" w:eastAsia="黑体"/>
          <w:sz w:val="24"/>
          <w:highlight w:val="none"/>
        </w:rPr>
      </w:pPr>
      <w:r>
        <w:rPr>
          <w:rFonts w:hint="eastAsia" w:ascii="黑体" w:hAnsi="黑体" w:eastAsia="黑体"/>
          <w:sz w:val="24"/>
          <w:highlight w:val="none"/>
        </w:rPr>
        <w:t xml:space="preserve">有下列情形之一的，属于恶意串通投标：</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22.1供应商直接或间接从采购人或采购代理机构处获得其他供应商的投标情况，并修改其投标文件；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22.2评审活动开始前供应商直接或间接从采购人或采购代理机构处获得评标委员会组成人员情况；</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22.3供应商接受采购人或采购代理机构授意撤换、修改投标文件；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22.4供应商之间协商投标报价、技术方案等投标文件实质性内容；</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22.5属于同一集团、协会、商会等组织成员的供应商按照该组织要求协同投标；</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22.6供应商之间事先约定由某一特定供应商中标、成交；</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22.7供应商之间商定部分供应商放弃投标或者放弃中标、成交；</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b/>
          <w:bCs/>
          <w:sz w:val="24"/>
          <w:highlight w:val="none"/>
        </w:rPr>
      </w:pPr>
      <w:r>
        <w:rPr>
          <w:rFonts w:hint="eastAsia" w:ascii="黑体" w:hAnsi="黑体" w:eastAsia="黑体"/>
          <w:b/>
          <w:bCs/>
          <w:sz w:val="24"/>
          <w:highlight w:val="none"/>
        </w:rPr>
        <w:t xml:space="preserve">有下列情形之一的，视为投标人串通投标，其投标无效：</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22.9不同投标人的投标文件由同一单位或者个人编制；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22.10不同投标人委托同一单位或者个人办理投标事宜；</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22.11不同投标人的投标文件载明的项目管理成员或者联系人员为同一人；</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22.12不同投标人的投标文件异常一致或者投标报价呈规律性差异；</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22.13不同投标人的投标文件相互混装；</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22.14不同投标人的投标保证金从同一单位或者个人的账户转出。</w:t>
      </w:r>
      <w:r/>
    </w:p>
    <w:p>
      <w:pPr>
        <w:rPr>
          <w:highlight w:val="none"/>
        </w:rPr>
      </w:pPr>
      <w:r/>
      <w:bookmarkStart w:id="113" w:name="EBcc7423567fb349dc944ead6109f4340c"/>
      <w:r>
        <w:rPr>
          <w:rFonts w:hint="eastAsia"/>
          <w:color w:val="000080"/>
          <w:sz w:val="20"/>
          <w:highlight w:val="none"/>
        </w:rPr>
        <w:t xml:space="preserve"> </w:t>
      </w:r>
      <w:bookmarkEnd w:id="113"/>
      <w:r/>
      <w:r/>
    </w:p>
    <w:p>
      <w:pPr>
        <w:rPr>
          <w:highlight w:val="none"/>
        </w:rPr>
      </w:pPr>
      <w:r/>
      <w:bookmarkStart w:id="114" w:name="EB76ea5ed115084e6eb1f37ee5ca324eb3"/>
      <w:r>
        <w:rPr>
          <w:rFonts w:hint="eastAsia"/>
          <w:color w:val="000080"/>
          <w:sz w:val="20"/>
          <w:highlight w:val="none"/>
        </w:rPr>
        <w:t xml:space="preserve"> </w:t>
      </w:r>
      <w:bookmarkEnd w:id="114"/>
      <w:r/>
      <w:bookmarkStart w:id="115" w:name="EB9e3458116ed741408b74babd3cf5dbce"/>
      <w:r>
        <w:rPr>
          <w:rFonts w:hint="eastAsia"/>
          <w:color w:val="000080"/>
          <w:sz w:val="20"/>
          <w:highlight w:val="none"/>
        </w:rPr>
        <w:t xml:space="preserve"> </w:t>
      </w:r>
      <w:bookmarkEnd w:id="115"/>
      <w:r/>
      <w:r/>
    </w:p>
    <w:p>
      <w:pPr>
        <w:pStyle w:val="871"/>
        <w:rPr>
          <w:highlight w:val="none"/>
        </w:rPr>
        <w:outlineLvl w:val="1"/>
      </w:pPr>
      <w:r/>
      <w:bookmarkStart w:id="116" w:name="_Toc20026"/>
      <w:r/>
      <w:bookmarkStart w:id="117" w:name="_Toc81575197"/>
      <w:r/>
      <w:bookmarkStart w:id="118" w:name="_Toc21626"/>
      <w:r/>
      <w:bookmarkStart w:id="119" w:name="_Toc81575160"/>
      <w:r>
        <w:rPr>
          <w:rFonts w:hint="eastAsia"/>
          <w:highlight w:val="none"/>
        </w:rPr>
        <w:t xml:space="preserve">六、开标、资格审查、评标程序</w:t>
      </w:r>
      <w:bookmarkEnd w:id="116"/>
      <w:r/>
      <w:bookmarkEnd w:id="117"/>
      <w:r/>
      <w:bookmarkEnd w:id="118"/>
      <w:r/>
      <w:bookmarkEnd w:id="119"/>
      <w:r/>
      <w:r/>
    </w:p>
    <w:p>
      <w:pPr>
        <w:ind w:firstLine="482"/>
        <w:spacing w:line="500" w:lineRule="exact"/>
        <w:rPr>
          <w:rFonts w:ascii="宋体" w:hAnsi="宋体"/>
          <w:b/>
          <w:sz w:val="24"/>
          <w:highlight w:val="none"/>
        </w:rPr>
      </w:pPr>
      <w:r>
        <w:rPr>
          <w:rFonts w:hint="eastAsia" w:ascii="宋体" w:hAnsi="宋体"/>
          <w:b/>
          <w:sz w:val="24"/>
          <w:highlight w:val="none"/>
        </w:rPr>
        <w:t xml:space="preserve">23、开标会议</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23.1代理机构项目负责人按招标文件规定的时间、地点组织公开开标。采购单位代表及有关工作人员参加，政府采购监管部门代表视情况参与监管。</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23.2开标会议由代理机构项目负责人主持。</w:t>
      </w:r>
      <w:r/>
    </w:p>
    <w:p>
      <w:pPr>
        <w:ind w:firstLine="482"/>
        <w:spacing w:line="500" w:lineRule="exact"/>
        <w:rPr>
          <w:rFonts w:ascii="仿宋_GB2312" w:eastAsia="仿宋_GB2312"/>
          <w:b/>
          <w:sz w:val="24"/>
          <w:highlight w:val="none"/>
        </w:rPr>
      </w:pPr>
      <w:r>
        <w:rPr>
          <w:rFonts w:hint="eastAsia" w:ascii="仿宋_GB2312" w:eastAsia="仿宋_GB2312"/>
          <w:b/>
          <w:sz w:val="24"/>
          <w:highlight w:val="none"/>
        </w:rPr>
        <w:t xml:space="preserve">23.3开标时投标人应使用CA证书参与投标文件解密。投标人用于解密的CA证书应为该投标文件生成加密、上传的同一把CA证书。</w:t>
      </w:r>
      <w:r/>
    </w:p>
    <w:p>
      <w:pPr>
        <w:ind w:firstLine="482"/>
        <w:spacing w:line="500" w:lineRule="exact"/>
        <w:rPr>
          <w:rFonts w:ascii="仿宋_GB2312" w:eastAsia="仿宋_GB2312"/>
          <w:b/>
          <w:sz w:val="24"/>
          <w:highlight w:val="none"/>
        </w:rPr>
      </w:pPr>
      <w:r>
        <w:rPr>
          <w:rFonts w:hint="eastAsia" w:ascii="仿宋_GB2312" w:eastAsia="仿宋_GB2312"/>
          <w:b/>
          <w:sz w:val="24"/>
          <w:highlight w:val="none"/>
        </w:rPr>
        <w:t xml:space="preserve">23.3.1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23.4开标会议上将公布投标人名称、投标报价等主要内容。</w:t>
      </w:r>
      <w:r/>
    </w:p>
    <w:p>
      <w:pPr>
        <w:ind w:firstLine="480"/>
        <w:spacing w:line="500" w:lineRule="exact"/>
        <w:rPr>
          <w:rFonts w:ascii="仿宋_GB2312" w:eastAsia="仿宋_GB2312"/>
          <w:color w:val="000000"/>
          <w:sz w:val="24"/>
          <w:highlight w:val="none"/>
        </w:rPr>
      </w:pPr>
      <w:r>
        <w:rPr>
          <w:rFonts w:hint="eastAsia" w:ascii="仿宋_GB2312" w:eastAsia="仿宋_GB2312"/>
          <w:sz w:val="24"/>
          <w:highlight w:val="none"/>
        </w:rPr>
        <w:t xml:space="preserve">采用现场开标的项目，开标过程的相关记录，由参加开标的各投标人代表和相关工作人员签字确认。</w:t>
      </w:r>
      <w:r>
        <w:rPr>
          <w:rFonts w:hint="eastAsia" w:ascii="仿宋_GB2312" w:eastAsia="仿宋_GB2312"/>
          <w:color w:val="000000"/>
          <w:sz w:val="24"/>
          <w:highlight w:val="none"/>
        </w:rPr>
        <w:t xml:space="preserve">投标人未参加开标的，视同认可开标结果。</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23.5投标人在开、评标全过程中应保持通讯畅通，及时登录</w:t>
      </w:r>
      <w:r>
        <w:rPr>
          <w:rFonts w:hint="eastAsia" w:ascii="仿宋_GB2312" w:eastAsia="仿宋_GB2312"/>
          <w:b/>
          <w:bCs/>
          <w:color w:val="ff0000"/>
          <w:sz w:val="24"/>
          <w:highlight w:val="none"/>
        </w:rPr>
        <w:t xml:space="preserve">苏采云系统</w:t>
      </w:r>
      <w:r>
        <w:rPr>
          <w:rFonts w:hint="eastAsia" w:ascii="仿宋_GB2312" w:eastAsia="仿宋_GB2312"/>
          <w:sz w:val="24"/>
          <w:highlight w:val="none"/>
        </w:rPr>
        <w:t xml:space="preserve">查阅、答复相关信息，并安排专人与代理机构及评标委员会联系。</w:t>
      </w:r>
      <w:r/>
    </w:p>
    <w:p>
      <w:pPr>
        <w:ind w:firstLine="482"/>
        <w:spacing w:line="500" w:lineRule="exact"/>
        <w:rPr>
          <w:rFonts w:ascii="仿宋_GB2312" w:eastAsia="仿宋_GB2312"/>
          <w:sz w:val="24"/>
          <w:highlight w:val="none"/>
        </w:rPr>
      </w:pPr>
      <w:r>
        <w:rPr>
          <w:rFonts w:hint="eastAsia" w:ascii="宋体" w:hAnsi="宋体"/>
          <w:b/>
          <w:sz w:val="24"/>
          <w:highlight w:val="none"/>
        </w:rPr>
        <w:t xml:space="preserve">24、开标流程</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24.1不见面开标程序：主持人按下列程序进行开标，开标按分包顺序进行。</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24.1.1开标主持；</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24.1.2投标人对电子投标文件解密；</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24.1.3唱标；</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24.1.4开标会议结束。</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投标人如果对开标过程和开标记录有疑义，应当根据《操作手册》规定提出，如苏采云系统中《开标记录表》宣布后5分钟内未提出的，视同认可开标结果。</w:t>
      </w:r>
      <w:r/>
    </w:p>
    <w:p>
      <w:pPr>
        <w:ind w:firstLine="482"/>
        <w:spacing w:line="500" w:lineRule="exact"/>
        <w:rPr>
          <w:rFonts w:ascii="宋体" w:hAnsi="宋体"/>
          <w:b/>
          <w:sz w:val="24"/>
          <w:highlight w:val="none"/>
        </w:rPr>
      </w:pPr>
      <w:r>
        <w:rPr>
          <w:rFonts w:hint="eastAsia" w:ascii="宋体" w:hAnsi="宋体"/>
          <w:b/>
          <w:sz w:val="24"/>
          <w:highlight w:val="none"/>
        </w:rPr>
        <w:t xml:space="preserve">25、资格审查</w:t>
      </w:r>
      <w:r/>
    </w:p>
    <w:p>
      <w:pPr>
        <w:ind w:firstLine="480"/>
        <w:spacing w:line="500" w:lineRule="exact"/>
        <w:rPr>
          <w:rFonts w:ascii="宋体" w:hAnsi="宋体"/>
          <w:sz w:val="24"/>
          <w:highlight w:val="none"/>
        </w:rPr>
      </w:pPr>
      <w:r/>
      <w:bookmarkStart w:id="120" w:name="EBa9c0a2c9e523494487594c65b2a92370"/>
      <w:r>
        <w:rPr>
          <w:rFonts w:hint="eastAsia" w:ascii="仿宋_GB2312" w:hAnsi="仿宋_GB2312" w:eastAsia="仿宋_GB2312" w:cs="仿宋_GB2312"/>
          <w:color w:val="000000"/>
          <w:sz w:val="24"/>
          <w:highlight w:val="none"/>
        </w:rPr>
        <w:t xml:space="preserve">开标结束后，采购人依法根据招标文件的规定对投标人的资格证明文件等进行审查。</w:t>
      </w:r>
      <w:bookmarkEnd w:id="120"/>
      <w:r/>
      <w:r/>
    </w:p>
    <w:p>
      <w:pPr>
        <w:ind w:firstLine="482"/>
        <w:spacing w:line="500" w:lineRule="exact"/>
        <w:rPr>
          <w:rFonts w:ascii="宋体" w:hAnsi="宋体"/>
          <w:b/>
          <w:sz w:val="24"/>
          <w:highlight w:val="none"/>
        </w:rPr>
      </w:pPr>
      <w:r>
        <w:rPr>
          <w:rFonts w:hint="eastAsia" w:ascii="宋体" w:hAnsi="宋体"/>
          <w:b/>
          <w:sz w:val="24"/>
          <w:highlight w:val="none"/>
        </w:rPr>
        <w:t xml:space="preserve">26、评标委员会</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采购人应根据本项目的特点依法组建评标委员</w:t>
      </w:r>
      <w:r>
        <w:rPr>
          <w:rFonts w:hint="eastAsia" w:ascii="仿宋_GB2312" w:hAnsi="仿宋_GB2312" w:eastAsia="仿宋_GB2312" w:cs="仿宋_GB2312"/>
          <w:color w:val="000000"/>
          <w:sz w:val="24"/>
          <w:highlight w:val="none"/>
        </w:rPr>
        <w:t xml:space="preserve">会,</w:t>
      </w:r>
      <w:r>
        <w:rPr>
          <w:rFonts w:hint="eastAsia" w:ascii="仿宋_GB2312" w:eastAsia="仿宋_GB2312"/>
          <w:sz w:val="24"/>
          <w:highlight w:val="none"/>
        </w:rPr>
        <w:t xml:space="preserve">评标委员</w:t>
      </w:r>
      <w:r>
        <w:rPr>
          <w:rFonts w:hint="eastAsia" w:ascii="仿宋_GB2312" w:hAnsi="仿宋_GB2312" w:eastAsia="仿宋_GB2312" w:cs="仿宋_GB2312"/>
          <w:color w:val="000000"/>
          <w:sz w:val="24"/>
          <w:highlight w:val="none"/>
        </w:rPr>
        <w:t xml:space="preserve">会由采购人代表和有关技术、经济等方面的专家组成，且人员构成符合政府采购有关规定。</w:t>
      </w:r>
      <w:r>
        <w:rPr>
          <w:rFonts w:hint="eastAsia" w:ascii="仿宋_GB2312" w:eastAsia="仿宋_GB2312"/>
          <w:sz w:val="24"/>
          <w:highlight w:val="none"/>
        </w:rPr>
        <w:t xml:space="preserve">评标委员会负责具体评标事务，对资格审查合格的投标人进行评标，独立履行相关职责并确定中标人候选人。</w:t>
      </w:r>
      <w:r/>
    </w:p>
    <w:p>
      <w:pPr>
        <w:ind w:firstLine="482"/>
        <w:spacing w:line="500" w:lineRule="exact"/>
        <w:rPr>
          <w:rFonts w:ascii="宋体" w:hAnsi="宋体"/>
          <w:b/>
          <w:sz w:val="24"/>
          <w:highlight w:val="none"/>
        </w:rPr>
      </w:pPr>
      <w:r>
        <w:rPr>
          <w:rFonts w:hint="eastAsia" w:ascii="宋体" w:hAnsi="宋体"/>
          <w:b/>
          <w:sz w:val="24"/>
          <w:highlight w:val="none"/>
        </w:rPr>
        <w:t xml:space="preserve">27、评标原则</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“公平、公正、客观、择优”为评标的基本原则，以招标文件和投标文件为评标的基本依据，并按照招标文件规定的评标方法和评标标准进行评标。评标委员将根据这一原则，公正、平等地对待各投标人。</w:t>
      </w:r>
      <w:r/>
    </w:p>
    <w:p>
      <w:pPr>
        <w:ind w:firstLine="482"/>
        <w:spacing w:line="500" w:lineRule="exact"/>
        <w:rPr>
          <w:rFonts w:ascii="宋体" w:hAnsi="宋体"/>
          <w:b/>
          <w:sz w:val="24"/>
          <w:highlight w:val="none"/>
        </w:rPr>
      </w:pPr>
      <w:r>
        <w:rPr>
          <w:rFonts w:hint="eastAsia" w:ascii="宋体" w:hAnsi="宋体"/>
          <w:b/>
          <w:sz w:val="24"/>
          <w:highlight w:val="none"/>
        </w:rPr>
        <w:t xml:space="preserve">28、评标程序</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w:t>
      </w:r>
      <w:r>
        <w:rPr>
          <w:rFonts w:hint="eastAsia" w:ascii="仿宋_GB2312" w:eastAsia="仿宋_GB2312"/>
          <w:sz w:val="24"/>
          <w:highlight w:val="none"/>
        </w:rPr>
        <w:t xml:space="preserve">重大偏离的投标文件为无效标。</w:t>
      </w:r>
      <w:bookmarkStart w:id="121" w:name="EB1499356fad43416eb16398733accabf7"/>
      <w:r>
        <w:rPr>
          <w:rFonts w:hint="eastAsia" w:ascii="仿宋_GB2312" w:hAnsi="仿宋_GB2312" w:eastAsia="仿宋_GB2312" w:cs="仿宋_GB2312"/>
          <w:color w:val="000000"/>
          <w:sz w:val="24"/>
          <w:highlight w:val="none"/>
        </w:rPr>
        <w:t xml:space="preserve">所谓重大偏离是指投标人投标文件中所述设备质量、技术规格、数量、交货期和服务等明显不能满足招标文件要求。</w:t>
      </w:r>
      <w:bookmarkEnd w:id="121"/>
      <w:r>
        <w:rPr>
          <w:rFonts w:hint="eastAsia" w:ascii="仿宋_GB2312" w:eastAsia="仿宋_GB2312"/>
          <w:sz w:val="24"/>
          <w:highlight w:val="none"/>
        </w:rPr>
        <w:t xml:space="preserve">重大偏离的认定须经评标委员会三分之二以上同意。</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28.2澄清有关问题。</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hint="eastAsia" w:ascii="仿宋_GB2312" w:eastAsia="仿宋_GB2312" w:cs="Arial"/>
          <w:sz w:val="24"/>
          <w:highlight w:val="none"/>
          <w:lang w:eastAsia="zh-CN"/>
        </w:rPr>
      </w:pPr>
      <w:r>
        <w:rPr>
          <w:rFonts w:hint="eastAsia" w:ascii="仿宋_GB2312" w:eastAsia="仿宋_GB2312" w:cs="Arial"/>
          <w:sz w:val="24"/>
          <w:highlight w:val="none"/>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仿宋_GB2312" w:eastAsia="仿宋_GB2312" w:cs="Arial"/>
          <w:sz w:val="24"/>
          <w:highlight w:val="none"/>
          <w:lang w:eastAsia="zh-CN"/>
        </w:rPr>
        <w:t xml:space="preserve">。</w:t>
      </w:r>
      <w:r/>
    </w:p>
    <w:p>
      <w:pPr>
        <w:ind w:firstLine="60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28.2.</w:t>
      </w:r>
      <w:r>
        <w:rPr>
          <w:rFonts w:hint="eastAsia" w:ascii="仿宋_GB2312" w:eastAsia="仿宋_GB2312" w:cs="Arial"/>
          <w:sz w:val="24"/>
          <w:highlight w:val="none"/>
          <w:lang w:val="en-US" w:eastAsia="zh-CN"/>
        </w:rPr>
        <w:t xml:space="preserve">3</w:t>
      </w:r>
      <w:r>
        <w:rPr>
          <w:rFonts w:hint="eastAsia" w:ascii="仿宋_GB2312" w:eastAsia="仿宋_GB2312" w:cs="Arial"/>
          <w:sz w:val="24"/>
          <w:highlight w:val="none"/>
        </w:rPr>
        <w:t xml:space="preserve">投标文件报价出现前后不一致的，除招标文件另有规定外，按照下列规定修正：</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①投标文件中开标一览表（报价表）内容与投标文件中相应内容不一致的，以开标一览表（报价表）为准；</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②大写金额和小写金额不一致的，以大写金额为准；</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③单价金额小数点或者百分比有明显错位的，以开标一览表的总价为准，并修改单价；</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④总价金额与按单价汇总金额不一致的，以单价金额计算结果为准。</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line="500" w:lineRule="exact"/>
        <w:rPr>
          <w:rFonts w:ascii="仿宋_GB2312" w:eastAsia="仿宋_GB2312" w:cs="Arial"/>
          <w:sz w:val="24"/>
          <w:highlight w:val="none"/>
        </w:rPr>
      </w:pPr>
      <w:r>
        <w:rPr>
          <w:rFonts w:hint="eastAsia" w:ascii="仿宋_GB2312" w:eastAsia="仿宋_GB2312" w:cs="Arial"/>
          <w:sz w:val="24"/>
          <w:highlight w:val="none"/>
        </w:rPr>
        <w:t xml:space="preserve">28.4比较。评标委员会将按招标文件中规定的评标方法和标准，对符合性检查合格的投标文件进行商务和技术评比。</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28.5推荐中标候选人。评标委员会按照招标文件中规定的评标方法和标准推荐中标候选人。</w:t>
      </w:r>
      <w:r/>
    </w:p>
    <w:p>
      <w:pPr>
        <w:rPr>
          <w:highlight w:val="none"/>
        </w:rPr>
      </w:pPr>
      <w:r/>
      <w:bookmarkStart w:id="122" w:name="EB5514f9b371d443648fc13fa8e895ebcf"/>
      <w:r>
        <w:rPr>
          <w:rFonts w:hint="eastAsia"/>
          <w:color w:val="000080"/>
          <w:sz w:val="20"/>
          <w:highlight w:val="none"/>
        </w:rPr>
        <w:t xml:space="preserve"> </w:t>
      </w:r>
      <w:bookmarkEnd w:id="122"/>
      <w:r/>
      <w:r/>
    </w:p>
    <w:p>
      <w:pPr>
        <w:rPr>
          <w:highlight w:val="none"/>
        </w:rPr>
      </w:pPr>
      <w:r/>
      <w:bookmarkStart w:id="123" w:name="EB66024636071342209da8bda483232040"/>
      <w:r>
        <w:rPr>
          <w:rFonts w:hint="eastAsia"/>
          <w:color w:val="000080"/>
          <w:sz w:val="20"/>
          <w:highlight w:val="none"/>
        </w:rPr>
        <w:t xml:space="preserve"> </w:t>
      </w:r>
      <w:bookmarkEnd w:id="123"/>
      <w:r/>
      <w:bookmarkStart w:id="124" w:name="EBd9bc59d5f2ed4fb8a64ee2e373d8cc72"/>
      <w:r>
        <w:rPr>
          <w:rFonts w:hint="eastAsia"/>
          <w:color w:val="000080"/>
          <w:sz w:val="20"/>
          <w:highlight w:val="none"/>
        </w:rPr>
        <w:t xml:space="preserve"> </w:t>
      </w:r>
      <w:bookmarkEnd w:id="124"/>
      <w:r/>
      <w:r/>
    </w:p>
    <w:p>
      <w:pPr>
        <w:pStyle w:val="871"/>
        <w:rPr>
          <w:highlight w:val="none"/>
        </w:rPr>
        <w:outlineLvl w:val="1"/>
      </w:pPr>
      <w:r/>
      <w:bookmarkStart w:id="125" w:name="_Toc81575161"/>
      <w:r/>
      <w:bookmarkStart w:id="126" w:name="_Toc81575198"/>
      <w:r/>
      <w:bookmarkStart w:id="127" w:name="_Toc13770"/>
      <w:r/>
      <w:bookmarkStart w:id="128" w:name="_Toc6494"/>
      <w:r>
        <w:rPr>
          <w:rFonts w:hint="eastAsia"/>
          <w:highlight w:val="none"/>
        </w:rPr>
        <w:t xml:space="preserve">七、中标及合同签订</w:t>
      </w:r>
      <w:bookmarkEnd w:id="125"/>
      <w:r/>
      <w:bookmarkEnd w:id="126"/>
      <w:r/>
      <w:bookmarkEnd w:id="127"/>
      <w:r/>
      <w:bookmarkEnd w:id="128"/>
      <w:r/>
      <w:r/>
    </w:p>
    <w:p>
      <w:pPr>
        <w:ind w:firstLine="482"/>
        <w:spacing w:line="500" w:lineRule="exact"/>
        <w:rPr>
          <w:rFonts w:ascii="宋体" w:hAnsi="宋体"/>
          <w:b/>
          <w:sz w:val="24"/>
          <w:highlight w:val="none"/>
        </w:rPr>
      </w:pPr>
      <w:r>
        <w:rPr>
          <w:rFonts w:hint="eastAsia" w:ascii="宋体" w:hAnsi="宋体"/>
          <w:b/>
          <w:sz w:val="24"/>
          <w:highlight w:val="none"/>
        </w:rPr>
        <w:t xml:space="preserve">29、确定中标人</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29.1中标供应商确定之日起2个工作日内，采购人或采购代理机构将在财政部门指定信息媒体上发布中标结果，中标公告的公告期限为 1个工作日。</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29.2在中标结果公告期届满前，中标人被列为失信被执行人的，取消其中标资格，并重新确定中标人。</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29.3采购人不得通过对样品进行检测、对供应商进行考察等方式改变评审结果。</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29.4采购人应当自收到评审报告之日起5个工作日内在评审报告推荐的中标候选人中按顺序确定中标人。</w:t>
      </w:r>
      <w:r/>
    </w:p>
    <w:p>
      <w:pPr>
        <w:ind w:firstLine="482"/>
        <w:spacing w:line="500" w:lineRule="exact"/>
        <w:rPr>
          <w:rFonts w:ascii="宋体" w:hAnsi="宋体"/>
          <w:b/>
          <w:sz w:val="24"/>
          <w:highlight w:val="none"/>
        </w:rPr>
      </w:pPr>
      <w:r>
        <w:rPr>
          <w:rFonts w:hint="eastAsia" w:ascii="宋体" w:hAnsi="宋体"/>
          <w:b/>
          <w:sz w:val="24"/>
          <w:highlight w:val="none"/>
        </w:rPr>
        <w:t xml:space="preserve">30、中标通知书</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30.1中标结果确定后，交易中心将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30.2中标通知书发出之日起5个工作日内，中标人应提供</w:t>
      </w:r>
      <w:bookmarkStart w:id="129" w:name="EB77316d0a14244b75a134d7ae2a68f57c"/>
      <w:r>
        <w:rPr>
          <w:rFonts w:hint="eastAsia" w:ascii="仿宋_GB2312" w:hAnsi="仿宋_GB2312" w:eastAsia="仿宋_GB2312" w:cs="仿宋_GB2312"/>
          <w:color w:val="000000"/>
          <w:sz w:val="24"/>
          <w:highlight w:val="none"/>
        </w:rPr>
        <w:t xml:space="preserve">2</w:t>
      </w:r>
      <w:bookmarkEnd w:id="129"/>
      <w:r>
        <w:rPr>
          <w:rFonts w:hint="eastAsia" w:ascii="仿宋_GB2312" w:eastAsia="仿宋_GB2312"/>
          <w:sz w:val="24"/>
          <w:highlight w:val="none"/>
        </w:rPr>
        <w:t xml:space="preserve">份与网上投标文件一致的纸质打印投标文件。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30.3采用综合评分法评审的，未中标的投标人可于中标结果公告期限届满之日起通过苏采云系统查看自己的评审得分及排序情况。</w:t>
      </w:r>
      <w:r/>
    </w:p>
    <w:p>
      <w:pPr>
        <w:ind w:firstLine="480"/>
        <w:spacing w:line="500" w:lineRule="exact"/>
        <w:rPr>
          <w:color w:val="000000" w:themeColor="text1"/>
          <w:highlight w:val="none"/>
          <w14:textFill>
            <w14:solidFill>
              <w14:schemeClr w14:val="tx1"/>
            </w14:solidFill>
          </w14:textFill>
        </w:rPr>
      </w:pPr>
      <w:r>
        <w:rPr>
          <w:rFonts w:hint="eastAsia" w:ascii="仿宋_GB2312" w:eastAsia="仿宋_GB2312"/>
          <w:sz w:val="24"/>
          <w:highlight w:val="none"/>
        </w:rPr>
        <w:t xml:space="preserve">30.4</w:t>
      </w:r>
      <w:r>
        <w:rPr>
          <w:rFonts w:hint="eastAsia" w:ascii="仿宋_GB2312" w:eastAsia="仿宋_GB2312"/>
          <w:color w:val="000000" w:themeColor="text1"/>
          <w:sz w:val="24"/>
          <w:highlight w:val="none"/>
          <w14:textFill>
            <w14:solidFill>
              <w14:schemeClr w14:val="tx1"/>
            </w14:solidFill>
          </w14:textFill>
        </w:rPr>
        <w:t xml:space="preserve">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ind w:firstLine="482"/>
        <w:spacing w:line="500" w:lineRule="exact"/>
        <w:rPr>
          <w:rFonts w:ascii="宋体" w:hAnsi="宋体"/>
          <w:b/>
          <w:sz w:val="24"/>
          <w:highlight w:val="none"/>
        </w:rPr>
      </w:pPr>
      <w:r>
        <w:rPr>
          <w:rFonts w:hint="eastAsia" w:ascii="宋体" w:hAnsi="宋体"/>
          <w:b/>
          <w:sz w:val="24"/>
          <w:highlight w:val="none"/>
        </w:rPr>
        <w:t xml:space="preserve">31、签订和公告合同</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31.1采购人与中标供应商应当在中标通知书发出之日起15日内签订政府采购合同。招标文件、中标人的投标文件以及评标过程中有关澄清文件均作为合同附件。</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31.2中标供应商拒绝与采购人签订合同的，采购人可以按照评审报告推荐的中标候选人名单排序，确定下一候选人为中标供应商，也可以重新开展政府采购活动。</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31.3采购人在自合同签订之日起2个工作日内，将合同在指定的媒体上公告。</w:t>
      </w:r>
      <w:r/>
    </w:p>
    <w:p>
      <w:pPr>
        <w:ind w:firstLine="482"/>
        <w:spacing w:line="500" w:lineRule="exact"/>
        <w:rPr>
          <w:rFonts w:ascii="宋体" w:hAnsi="宋体"/>
          <w:b/>
          <w:sz w:val="24"/>
          <w:highlight w:val="none"/>
        </w:rPr>
      </w:pPr>
      <w:r>
        <w:rPr>
          <w:rFonts w:hint="eastAsia" w:ascii="宋体" w:hAnsi="宋体"/>
          <w:b/>
          <w:sz w:val="24"/>
          <w:highlight w:val="none"/>
        </w:rPr>
        <w:t xml:space="preserve">32、履约保证金</w:t>
      </w:r>
      <w:r/>
    </w:p>
    <w:p>
      <w:pPr>
        <w:ind w:firstLine="480"/>
        <w:spacing w:line="50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本项目不收取履约保证金</w:t>
      </w:r>
      <w:r>
        <w:rPr>
          <w:rFonts w:ascii="仿宋" w:hAnsi="仿宋" w:eastAsia="仿宋" w:cs="仿宋"/>
          <w:color w:val="000000"/>
          <w:sz w:val="24"/>
          <w:highlight w:val="none"/>
        </w:rPr>
        <w:t xml:space="preserve">。</w:t>
      </w:r>
      <w:r/>
    </w:p>
    <w:p>
      <w:pPr>
        <w:ind w:firstLine="482"/>
        <w:spacing w:line="500" w:lineRule="exact"/>
        <w:rPr>
          <w:rFonts w:ascii="宋体" w:hAnsi="宋体"/>
          <w:b/>
          <w:sz w:val="24"/>
          <w:highlight w:val="none"/>
        </w:rPr>
      </w:pPr>
      <w:r>
        <w:rPr>
          <w:rFonts w:hint="eastAsia" w:ascii="宋体" w:hAnsi="宋体"/>
          <w:b/>
          <w:sz w:val="24"/>
          <w:highlight w:val="none"/>
        </w:rPr>
        <w:t xml:space="preserve">33、线上融资</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中小微企业供应商可通过中征应收账款融资服务平台（网址：https://www.crcrfsp.com/），凭借中标通知书或政府采购合同向金融机构申请融资。</w:t>
      </w:r>
      <w:r/>
    </w:p>
    <w:p>
      <w:pPr>
        <w:ind w:firstLine="482"/>
        <w:spacing w:line="500" w:lineRule="exact"/>
        <w:rPr>
          <w:rFonts w:ascii="宋体" w:hAnsi="宋体"/>
          <w:b/>
          <w:sz w:val="24"/>
          <w:highlight w:val="none"/>
        </w:rPr>
      </w:pPr>
      <w:r/>
      <w:bookmarkStart w:id="130" w:name="EBb07a540bbba846748e1de4dbefab2ad1"/>
      <w:r>
        <w:rPr>
          <w:rFonts w:hint="eastAsia" w:ascii="宋体" w:hAnsi="宋体"/>
          <w:b/>
          <w:sz w:val="24"/>
          <w:highlight w:val="none"/>
        </w:rPr>
        <w:t xml:space="preserve"> </w:t>
      </w:r>
      <w:bookmarkEnd w:id="130"/>
      <w:r>
        <w:rPr>
          <w:rFonts w:hint="eastAsia" w:ascii="宋体" w:hAnsi="宋体"/>
          <w:b/>
          <w:sz w:val="24"/>
          <w:highlight w:val="none"/>
        </w:rPr>
        <w:t xml:space="preserve">34、合同履行</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34.1政府采购合同订立后，合同各方不得擅自变更、中止或者终止合同。</w:t>
      </w:r>
      <w:r/>
    </w:p>
    <w:p>
      <w:pPr>
        <w:ind w:firstLine="480"/>
        <w:spacing w:line="500" w:lineRule="exact"/>
        <w:rPr>
          <w:rFonts w:ascii="仿宋_GB2312" w:eastAsia="仿宋_GB2312"/>
          <w:sz w:val="24"/>
          <w:highlight w:val="none"/>
        </w:rPr>
      </w:pPr>
      <w:r>
        <w:rPr>
          <w:rFonts w:hint="eastAsia" w:ascii="仿宋_GB2312" w:eastAsia="仿宋_GB2312"/>
          <w:sz w:val="24"/>
          <w:highlight w:val="none"/>
        </w:rPr>
        <w:t xml:space="preserve">34.2政府采购合同履行中，采购人需追加与合同标的相同的货物、工程或者服务的，在不改变合同其他条款的前提下，可以与中标供应商签订补充合同，但所补充合同的采购金额不得超过原采购金额的10%。</w:t>
      </w:r>
      <w:r/>
    </w:p>
    <w:p>
      <w:pPr>
        <w:rPr>
          <w:highlight w:val="none"/>
        </w:rPr>
      </w:pPr>
      <w:r>
        <w:rPr>
          <w:highlight w:val="none"/>
        </w:rPr>
      </w:r>
      <w:r/>
    </w:p>
    <w:p>
      <w:pPr>
        <w:pStyle w:val="871"/>
        <w:rPr>
          <w:highlight w:val="none"/>
        </w:rPr>
        <w:outlineLvl w:val="1"/>
      </w:pPr>
      <w:r/>
      <w:bookmarkStart w:id="131" w:name="_Toc30018"/>
      <w:r/>
      <w:bookmarkStart w:id="132" w:name="_Toc81575199"/>
      <w:r/>
      <w:bookmarkStart w:id="133" w:name="_Toc7550"/>
      <w:r/>
      <w:bookmarkStart w:id="134" w:name="_Toc81575162"/>
      <w:r>
        <w:rPr>
          <w:rFonts w:hint="eastAsia"/>
          <w:highlight w:val="none"/>
        </w:rPr>
        <w:t xml:space="preserve">八、验收及付款</w:t>
      </w:r>
      <w:bookmarkEnd w:id="131"/>
      <w:r/>
      <w:bookmarkEnd w:id="132"/>
      <w:r/>
      <w:bookmarkEnd w:id="133"/>
      <w:r/>
      <w:bookmarkEnd w:id="134"/>
      <w:r/>
      <w:r/>
    </w:p>
    <w:p>
      <w:pPr>
        <w:ind w:firstLine="482"/>
        <w:spacing w:line="500" w:lineRule="exact"/>
        <w:rPr>
          <w:rFonts w:ascii="宋体" w:hAnsi="宋体"/>
          <w:b/>
          <w:sz w:val="24"/>
          <w:highlight w:val="none"/>
        </w:rPr>
      </w:pPr>
      <w:r>
        <w:rPr>
          <w:rFonts w:hint="eastAsia" w:ascii="宋体" w:hAnsi="宋体"/>
          <w:b/>
          <w:sz w:val="24"/>
          <w:highlight w:val="none"/>
        </w:rPr>
        <w:t xml:space="preserve">35、验收</w:t>
      </w:r>
      <w:r/>
    </w:p>
    <w:p>
      <w:pPr>
        <w:ind w:firstLine="480"/>
        <w:spacing w:line="500" w:lineRule="exact"/>
        <w:rPr>
          <w:rFonts w:ascii="宋体" w:hAnsi="宋体"/>
          <w:color w:val="0000ff"/>
          <w:sz w:val="24"/>
          <w:highlight w:val="none"/>
        </w:rPr>
      </w:pPr>
      <w:r/>
      <w:bookmarkStart w:id="135" w:name="EBbbb2492ed6b84c9193a6bb6f72a512f3"/>
      <w:r>
        <w:rPr>
          <w:rFonts w:hint="eastAsia" w:ascii="仿宋_GB2312" w:hAnsi="仿宋_GB2312" w:eastAsia="仿宋_GB2312" w:cs="仿宋_GB2312"/>
          <w:color w:val="000000"/>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135"/>
      <w:r/>
      <w:r/>
    </w:p>
    <w:p>
      <w:pPr>
        <w:ind w:firstLine="482"/>
        <w:spacing w:line="500" w:lineRule="exact"/>
        <w:rPr>
          <w:rFonts w:ascii="宋体" w:hAnsi="宋体"/>
          <w:b/>
          <w:sz w:val="24"/>
          <w:highlight w:val="none"/>
        </w:rPr>
      </w:pPr>
      <w:r>
        <w:rPr>
          <w:rFonts w:hint="eastAsia" w:ascii="宋体" w:hAnsi="宋体"/>
          <w:b/>
          <w:sz w:val="24"/>
          <w:highlight w:val="none"/>
        </w:rPr>
        <w:t xml:space="preserve">36、付款</w:t>
      </w:r>
      <w:r/>
    </w:p>
    <w:p>
      <w:pPr>
        <w:ind w:firstLine="480"/>
        <w:spacing w:line="500" w:lineRule="exact"/>
        <w:rPr>
          <w:rFonts w:ascii="仿宋_GB2312" w:hAnsi="仿宋_GB2312" w:eastAsia="仿宋_GB2312" w:cs="仿宋_GB2312"/>
          <w:color w:val="000000"/>
          <w:sz w:val="24"/>
          <w:highlight w:val="none"/>
        </w:rPr>
      </w:pPr>
      <w:r>
        <w:rPr>
          <w:rFonts w:hint="eastAsia" w:ascii="仿宋_GB2312" w:hAnsi="仿宋_GB2312" w:eastAsia="仿宋_GB2312" w:cs="仿宋_GB2312"/>
          <w:color w:val="000000"/>
          <w:sz w:val="24"/>
          <w:highlight w:val="none"/>
        </w:rPr>
        <w:t xml:space="preserve"> </w:t>
      </w:r>
      <w:bookmarkStart w:id="136" w:name="EBec7f529f50594afd871ea9378869e456"/>
      <w:r>
        <w:rPr>
          <w:rFonts w:hint="eastAsia" w:ascii="仿宋_GB2312" w:hAnsi="仿宋_GB2312" w:eastAsia="仿宋_GB2312" w:cs="仿宋_GB2312"/>
          <w:color w:val="000000"/>
          <w:sz w:val="24"/>
          <w:highlight w:val="none"/>
        </w:rPr>
        <w:t xml:space="preserve">按照以下</w:t>
      </w:r>
      <w:r>
        <w:rPr>
          <w:rFonts w:hint="eastAsia" w:ascii="仿宋_GB2312" w:hAnsi="仿宋_GB2312" w:eastAsia="仿宋_GB2312" w:cs="仿宋_GB2312"/>
          <w:color w:val="000000"/>
          <w:sz w:val="24"/>
          <w:highlight w:val="none"/>
          <w:u w:val="single"/>
        </w:rPr>
        <w:t xml:space="preserve"> </w:t>
      </w:r>
      <w:r>
        <w:rPr>
          <w:rFonts w:ascii="仿宋_GB2312" w:hAnsi="仿宋_GB2312" w:eastAsia="仿宋_GB2312" w:cs="仿宋_GB2312"/>
          <w:color w:val="000000"/>
          <w:sz w:val="24"/>
          <w:highlight w:val="none"/>
          <w:u w:val="single"/>
        </w:rPr>
        <w:t xml:space="preserve">  </w:t>
      </w:r>
      <w:r>
        <w:rPr>
          <w:rFonts w:hint="eastAsia" w:ascii="仿宋_GB2312" w:hAnsi="仿宋_GB2312" w:eastAsia="仿宋_GB2312" w:cs="仿宋_GB2312"/>
          <w:color w:val="000000"/>
          <w:sz w:val="24"/>
          <w:highlight w:val="none"/>
          <w:u w:val="single"/>
        </w:rPr>
        <w:t xml:space="preserve">服务  </w:t>
      </w:r>
      <w:r>
        <w:rPr>
          <w:rFonts w:hint="eastAsia" w:ascii="仿宋_GB2312" w:hAnsi="仿宋_GB2312" w:eastAsia="仿宋_GB2312" w:cs="仿宋_GB2312"/>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bookmarkEnd w:id="136"/>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w:t>
      </w:r>
      <w:r>
        <w:rPr>
          <w:rFonts w:ascii="仿宋_GB2312" w:hAnsi="仿宋_GB2312" w:eastAsia="仿宋_GB2312" w:cs="仿宋_GB2312"/>
          <w:sz w:val="24"/>
          <w:highlight w:val="none"/>
        </w:rPr>
        <w:t xml:space="preserve">1</w:t>
      </w:r>
      <w:r>
        <w:rPr>
          <w:rFonts w:hint="eastAsia" w:ascii="仿宋_GB2312" w:hAnsi="仿宋_GB2312" w:eastAsia="仿宋_GB2312" w:cs="仿宋_GB2312"/>
          <w:sz w:val="24"/>
          <w:highlight w:val="none"/>
        </w:rPr>
        <w:t xml:space="preserve">）货物类项目</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预付款：合同金额的</w:t>
      </w:r>
      <w:bookmarkStart w:id="137" w:name="EBce9d27beb7984b72b517a4227494c8cc"/>
      <w:r>
        <w:rPr>
          <w:rFonts w:hint="eastAsia" w:ascii="仿宋_GB2312" w:hAnsi="仿宋_GB2312" w:eastAsia="仿宋_GB2312" w:cs="仿宋_GB2312"/>
          <w:color w:val="000000"/>
          <w:sz w:val="24"/>
          <w:highlight w:val="none"/>
        </w:rPr>
        <w:t xml:space="preserve">30%</w:t>
      </w:r>
      <w:bookmarkEnd w:id="137"/>
      <w:r>
        <w:rPr>
          <w:rFonts w:hint="eastAsia" w:ascii="仿宋_GB2312" w:hAnsi="仿宋_GB2312" w:eastAsia="仿宋_GB2312" w:cs="仿宋_GB2312"/>
          <w:sz w:val="24"/>
          <w:highlight w:val="none"/>
        </w:rPr>
        <w:t xml:space="preserve">，合同签订后按规定支付；</w:t>
      </w:r>
      <w:r>
        <w:rPr>
          <w:rFonts w:ascii="仿宋_GB2312" w:hAnsi="仿宋_GB2312" w:eastAsia="仿宋_GB2312" w:cs="仿宋_GB2312"/>
          <w:sz w:val="24"/>
          <w:highlight w:val="none"/>
        </w:rPr>
        <w:t xml:space="preserve"> </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进度款：</w:t>
      </w:r>
      <w:bookmarkStart w:id="138" w:name="EBf1f8b954f7504a2cb44cef25707c76a6"/>
      <w:r/>
      <w:bookmarkEnd w:id="138"/>
      <w:r>
        <w:rPr>
          <w:rFonts w:hint="eastAsia" w:ascii="仿宋_GB2312" w:hAnsi="仿宋_GB2312" w:eastAsia="仿宋_GB2312" w:cs="仿宋_GB2312"/>
          <w:sz w:val="24"/>
          <w:highlight w:val="none"/>
        </w:rPr>
        <w:t xml:space="preserve">/</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w:t>
      </w:r>
      <w:r>
        <w:rPr>
          <w:rFonts w:ascii="仿宋_GB2312" w:hAnsi="仿宋_GB2312" w:eastAsia="仿宋_GB2312" w:cs="仿宋_GB2312"/>
          <w:sz w:val="24"/>
          <w:highlight w:val="none"/>
        </w:rPr>
        <w:t xml:space="preserve">2</w:t>
      </w:r>
      <w:r>
        <w:rPr>
          <w:rFonts w:hint="eastAsia" w:ascii="仿宋_GB2312" w:hAnsi="仿宋_GB2312" w:eastAsia="仿宋_GB2312" w:cs="仿宋_GB2312"/>
          <w:sz w:val="24"/>
          <w:highlight w:val="none"/>
        </w:rPr>
        <w:t xml:space="preserve">）服务类项目</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预付款：合同金额的</w:t>
      </w:r>
      <w:bookmarkStart w:id="139" w:name="EBe373fd05aa034cc3a1a41aadf8509e01"/>
      <w:r>
        <w:rPr>
          <w:rFonts w:hint="eastAsia" w:ascii="仿宋_GB2312" w:hAnsi="仿宋_GB2312" w:eastAsia="仿宋_GB2312" w:cs="仿宋_GB2312"/>
          <w:color w:val="000000"/>
          <w:sz w:val="24"/>
          <w:highlight w:val="none"/>
          <w:lang w:val="en-US" w:eastAsia="zh-CN"/>
        </w:rPr>
        <w:t xml:space="preserve">3</w:t>
      </w:r>
      <w:r>
        <w:rPr>
          <w:rFonts w:hint="eastAsia" w:ascii="仿宋_GB2312" w:hAnsi="仿宋_GB2312" w:eastAsia="仿宋_GB2312" w:cs="仿宋_GB2312"/>
          <w:color w:val="000000"/>
          <w:sz w:val="24"/>
          <w:highlight w:val="none"/>
        </w:rPr>
        <w:t xml:space="preserve">0%</w:t>
      </w:r>
      <w:bookmarkEnd w:id="139"/>
      <w:r>
        <w:rPr>
          <w:rFonts w:hint="eastAsia" w:ascii="仿宋_GB2312" w:hAnsi="仿宋_GB2312" w:eastAsia="仿宋_GB2312" w:cs="仿宋_GB2312"/>
          <w:sz w:val="24"/>
          <w:highlight w:val="none"/>
        </w:rPr>
        <w:t xml:space="preserve">，合同签订后按规定支付；</w:t>
      </w:r>
      <w:r>
        <w:rPr>
          <w:rFonts w:ascii="仿宋_GB2312" w:hAnsi="仿宋_GB2312" w:eastAsia="仿宋_GB2312" w:cs="仿宋_GB2312"/>
          <w:sz w:val="24"/>
          <w:highlight w:val="none"/>
        </w:rPr>
        <w:t xml:space="preserve"> </w:t>
      </w:r>
      <w:r/>
    </w:p>
    <w:p>
      <w:pPr>
        <w:pStyle w:val="942"/>
        <w:ind w:firstLine="480"/>
        <w:spacing w:before="40" w:after="40" w:line="560" w:lineRule="exact"/>
        <w:rPr>
          <w:rFonts w:ascii="仿宋_GB2312" w:hAnsi="仿宋_GB2312" w:eastAsia="仿宋_GB2312" w:cs="仿宋_GB2312"/>
          <w:color w:val="000000"/>
          <w:sz w:val="24"/>
          <w:szCs w:val="22"/>
          <w:highlight w:val="none"/>
        </w:rPr>
      </w:pPr>
      <w:r>
        <w:rPr>
          <w:rFonts w:hint="eastAsia" w:ascii="仿宋_GB2312" w:hAnsi="仿宋_GB2312" w:eastAsia="仿宋_GB2312" w:cs="仿宋_GB2312"/>
          <w:sz w:val="24"/>
          <w:highlight w:val="none"/>
        </w:rPr>
        <w:t xml:space="preserve">进度款：</w:t>
      </w:r>
      <w:bookmarkStart w:id="140" w:name="EB5e42c1c1be704ecfa15d9f8f317e8f12"/>
      <w:r/>
      <w:bookmarkEnd w:id="140"/>
      <w:r/>
      <w:bookmarkStart w:id="141" w:name="EB11398ec6946f4019bc4c35221e27b04f"/>
      <w:r>
        <w:rPr>
          <w:rFonts w:hint="eastAsia" w:ascii="仿宋_GB2312" w:hAnsi="仿宋_GB2312" w:eastAsia="仿宋_GB2312" w:cs="仿宋_GB2312"/>
          <w:color w:val="000000"/>
          <w:sz w:val="24"/>
          <w:szCs w:val="22"/>
          <w:highlight w:val="none"/>
          <w:lang w:eastAsia="zh-CN"/>
        </w:rPr>
        <w:t xml:space="preserve">完成工作后（以具体实际工作量为准）支付至实际工作量合同价50%；经采购人验收合格后，采购人将支付到合同总价款的100%</w:t>
      </w:r>
      <w:r>
        <w:rPr>
          <w:rFonts w:hint="eastAsia" w:ascii="仿宋_GB2312" w:hAnsi="仿宋_GB2312" w:eastAsia="仿宋_GB2312" w:cs="仿宋_GB2312"/>
          <w:color w:val="000000"/>
          <w:sz w:val="24"/>
          <w:szCs w:val="22"/>
          <w:highlight w:val="none"/>
        </w:rPr>
        <w:t xml:space="preserve">。</w:t>
      </w:r>
      <w:r/>
    </w:p>
    <w:p>
      <w:pPr>
        <w:ind w:firstLine="480"/>
        <w:spacing w:line="500" w:lineRule="exact"/>
        <w:rPr>
          <w:rFonts w:ascii="宋体" w:hAnsi="宋体"/>
          <w:color w:val="0000ff"/>
          <w:sz w:val="24"/>
          <w:highlight w:val="none"/>
        </w:rPr>
      </w:pPr>
      <w:r>
        <w:rPr>
          <w:rFonts w:hint="eastAsia" w:ascii="仿宋_GB2312" w:hAnsi="仿宋_GB2312" w:eastAsia="仿宋_GB2312" w:cs="仿宋_GB2312"/>
          <w:color w:val="000000"/>
          <w:sz w:val="24"/>
          <w:highlight w:val="none"/>
        </w:rPr>
        <w:t xml:space="preserve">注：在签订合同时，中标人明确表示无需预付款或者主动要求降低预付款比例的金额，采购人可不适用预付款规定。</w:t>
      </w:r>
      <w:bookmarkEnd w:id="141"/>
      <w:r/>
      <w:r/>
    </w:p>
    <w:p>
      <w:pPr>
        <w:rPr>
          <w:highlight w:val="none"/>
        </w:rPr>
      </w:pPr>
      <w:r/>
      <w:bookmarkStart w:id="142" w:name="EB277cdb9ada634793b6698cebd3ac7144"/>
      <w:r>
        <w:rPr>
          <w:rFonts w:hint="eastAsia"/>
          <w:color w:val="000080"/>
          <w:sz w:val="20"/>
          <w:highlight w:val="none"/>
        </w:rPr>
        <w:t xml:space="preserve"> </w:t>
      </w:r>
      <w:bookmarkEnd w:id="142"/>
      <w:r/>
      <w:bookmarkStart w:id="143" w:name="EB859756b3800e4c948b9ef2cc4c48f3fa"/>
      <w:r>
        <w:rPr>
          <w:rFonts w:hint="eastAsia"/>
          <w:color w:val="000080"/>
          <w:sz w:val="20"/>
          <w:highlight w:val="none"/>
        </w:rPr>
        <w:t xml:space="preserve"> </w:t>
      </w:r>
      <w:bookmarkEnd w:id="143"/>
      <w:r/>
      <w:r/>
    </w:p>
    <w:p>
      <w:pPr>
        <w:pStyle w:val="871"/>
        <w:rPr>
          <w:highlight w:val="none"/>
        </w:rPr>
        <w:outlineLvl w:val="1"/>
      </w:pPr>
      <w:r/>
      <w:bookmarkStart w:id="144" w:name="_Toc12754"/>
      <w:r/>
      <w:bookmarkStart w:id="145" w:name="_Toc81575163"/>
      <w:r/>
      <w:bookmarkStart w:id="146" w:name="_Toc81575200"/>
      <w:r/>
      <w:bookmarkStart w:id="147" w:name="_Toc12263"/>
      <w:r>
        <w:rPr>
          <w:rFonts w:hint="eastAsia"/>
          <w:highlight w:val="none"/>
        </w:rPr>
        <w:t xml:space="preserve">九、质疑与投诉</w:t>
      </w:r>
      <w:bookmarkEnd w:id="144"/>
      <w:r/>
      <w:bookmarkEnd w:id="145"/>
      <w:r/>
      <w:bookmarkEnd w:id="146"/>
      <w:r/>
      <w:bookmarkEnd w:id="147"/>
      <w:r/>
      <w:r/>
    </w:p>
    <w:p>
      <w:pPr>
        <w:ind w:firstLine="482"/>
        <w:spacing w:line="500" w:lineRule="exact"/>
        <w:rPr>
          <w:rFonts w:ascii="宋体" w:hAnsi="宋体"/>
          <w:b/>
          <w:sz w:val="24"/>
          <w:highlight w:val="none"/>
        </w:rPr>
      </w:pPr>
      <w:r>
        <w:rPr>
          <w:rFonts w:hint="eastAsia" w:ascii="宋体" w:hAnsi="宋体"/>
          <w:b/>
          <w:sz w:val="24"/>
          <w:highlight w:val="none"/>
        </w:rPr>
        <w:t xml:space="preserve">37、质疑与投诉</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37.1供应商认为采购文件、采购过程和中标结果使自己的权益受到损害的，可以在知道或者应知其权益受到损害之日起七个工作日内（具体起算时间见37.2），</w:t>
      </w:r>
      <w:r>
        <w:rPr>
          <w:rFonts w:hint="eastAsia" w:ascii="方正仿宋_GBK" w:eastAsia="方正仿宋_GBK"/>
          <w:sz w:val="24"/>
          <w:szCs w:val="24"/>
          <w:highlight w:val="none"/>
        </w:rPr>
        <w:t xml:space="preserve">以书面形式向采购人或者其委托的采购代理机构提出质疑</w:t>
      </w:r>
      <w:r>
        <w:rPr>
          <w:rFonts w:hint="eastAsia" w:ascii="仿宋_GB2312" w:hAnsi="仿宋_GB2312" w:eastAsia="仿宋_GB2312" w:cs="仿宋_GB2312"/>
          <w:sz w:val="24"/>
          <w:highlight w:val="none"/>
        </w:rPr>
        <w:t xml:space="preserve">。质疑超出采购机构代理范围的，供应商应当向采购人提出。</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本项目接收质疑函的方式：</w:t>
      </w:r>
      <w:bookmarkStart w:id="148" w:name="EB56bd2a40e102476eadbb1fc6a9202461"/>
      <w:r/>
      <w:bookmarkEnd w:id="148"/>
      <w:r>
        <w:rPr>
          <w:rFonts w:hint="eastAsia" w:ascii="仿宋_GB2312" w:hAnsi="仿宋_GB2312" w:eastAsia="仿宋_GB2312" w:cs="仿宋_GB2312"/>
          <w:sz w:val="24"/>
          <w:highlight w:val="none"/>
        </w:rPr>
        <w:t xml:space="preserve">：以书面或邮件的形式向采购人或委托的采购代理机构提出质疑</w:t>
      </w:r>
      <w:r>
        <w:rPr>
          <w:rFonts w:hint="eastAsia" w:ascii="仿宋" w:hAnsi="仿宋" w:eastAsia="仿宋" w:cs="仿宋"/>
          <w:color w:val="000000"/>
          <w:sz w:val="24"/>
          <w:highlight w:val="none"/>
        </w:rPr>
        <w:t xml:space="preserve">。</w:t>
      </w:r>
      <w:r/>
    </w:p>
    <w:p>
      <w:pPr>
        <w:ind w:firstLine="480"/>
        <w:spacing w:line="500" w:lineRule="exact"/>
        <w:rPr>
          <w:rFonts w:hint="eastAsia" w:ascii="仿宋" w:hAnsi="仿宋" w:eastAsia="仿宋_GB2312" w:cs="宋体"/>
          <w:sz w:val="24"/>
          <w:szCs w:val="24"/>
          <w:highlight w:val="none"/>
          <w:lang w:val="en-US" w:eastAsia="zh-CN"/>
        </w:rPr>
      </w:pPr>
      <w:r>
        <w:rPr>
          <w:rFonts w:hint="eastAsia" w:ascii="仿宋_GB2312" w:hAnsi="仿宋_GB2312" w:eastAsia="仿宋_GB2312" w:cs="仿宋_GB2312"/>
          <w:sz w:val="24"/>
          <w:highlight w:val="none"/>
        </w:rPr>
        <w:t xml:space="preserve">联系部门：</w:t>
      </w:r>
      <w:bookmarkStart w:id="149" w:name="EB587bd491a3fd493c8e729d1eaa56203a"/>
      <w:r/>
      <w:bookmarkEnd w:id="149"/>
      <w:r>
        <w:rPr>
          <w:rFonts w:hint="eastAsia" w:ascii="仿宋_GB2312" w:hAnsi="仿宋_GB2312" w:eastAsia="仿宋_GB2312" w:cs="仿宋_GB2312"/>
          <w:color w:val="000000"/>
          <w:sz w:val="24"/>
          <w:highlight w:val="none"/>
        </w:rPr>
        <w:t xml:space="preserve">宿迁市自然资源和规划局宿城分局</w:t>
      </w:r>
      <w:r>
        <w:rPr>
          <w:rFonts w:hint="eastAsia" w:ascii="仿宋_GB2312" w:hAnsi="仿宋_GB2312" w:eastAsia="仿宋_GB2312" w:cs="仿宋_GB2312"/>
          <w:color w:val="000000"/>
          <w:sz w:val="24"/>
          <w:highlight w:val="none"/>
          <w:lang w:val="en-US" w:eastAsia="zh-CN"/>
        </w:rPr>
        <w:t xml:space="preserve">/江苏文鼎工程管理有限公司</w:t>
      </w:r>
      <w:r/>
    </w:p>
    <w:p>
      <w:pPr>
        <w:ind w:firstLine="480"/>
        <w:spacing w:line="500" w:lineRule="exact"/>
        <w:rPr>
          <w:rFonts w:hint="eastAsia" w:ascii="仿宋_GB2312" w:eastAsia="仿宋_GB2312"/>
          <w:sz w:val="24"/>
          <w:highlight w:val="none"/>
          <w:lang w:val="en-US" w:eastAsia="zh-CN"/>
        </w:rPr>
      </w:pPr>
      <w:r>
        <w:rPr>
          <w:rFonts w:hint="eastAsia" w:ascii="仿宋_GB2312" w:hAnsi="仿宋_GB2312" w:eastAsia="仿宋_GB2312" w:cs="仿宋_GB2312"/>
          <w:sz w:val="24"/>
          <w:highlight w:val="none"/>
        </w:rPr>
        <w:t xml:space="preserve">联系电话：</w:t>
      </w:r>
      <w:bookmarkStart w:id="150" w:name="EB5b41b423f63941cebdd46b3e34fcab34"/>
      <w:r/>
      <w:bookmarkEnd w:id="150"/>
      <w:r>
        <w:rPr>
          <w:rFonts w:hint="eastAsia" w:ascii="仿宋_GB2312" w:hAnsi="仿宋_GB2312" w:eastAsia="仿宋_GB2312" w:cs="仿宋_GB2312"/>
          <w:color w:val="000000"/>
          <w:sz w:val="24"/>
          <w:highlight w:val="none"/>
          <w:lang w:eastAsia="zh-CN"/>
        </w:rPr>
        <w:t xml:space="preserve">0527-84381206</w:t>
      </w:r>
      <w:r>
        <w:rPr>
          <w:rFonts w:hint="eastAsia" w:ascii="仿宋_GB2312" w:hAnsi="仿宋_GB2312" w:eastAsia="仿宋_GB2312" w:cs="仿宋_GB2312"/>
          <w:color w:val="000000"/>
          <w:sz w:val="24"/>
          <w:highlight w:val="none"/>
          <w:lang w:val="en-US" w:eastAsia="zh-CN"/>
        </w:rPr>
        <w:t xml:space="preserve">/13218916011</w:t>
      </w:r>
      <w:r/>
    </w:p>
    <w:p>
      <w:pPr>
        <w:ind w:firstLine="480"/>
        <w:spacing w:line="500" w:lineRule="exact"/>
        <w:rPr>
          <w:rFonts w:hint="eastAsia" w:ascii="仿宋_GB2312" w:hAnsi="仿宋_GB2312" w:eastAsia="仿宋_GB2312" w:cs="仿宋_GB2312"/>
          <w:sz w:val="24"/>
          <w:highlight w:val="none"/>
          <w:lang w:val="en-US" w:eastAsia="zh-CN"/>
        </w:rPr>
      </w:pPr>
      <w:r>
        <w:rPr>
          <w:rFonts w:hint="eastAsia" w:ascii="仿宋_GB2312" w:hAnsi="仿宋_GB2312" w:eastAsia="仿宋_GB2312" w:cs="仿宋_GB2312"/>
          <w:sz w:val="24"/>
          <w:highlight w:val="none"/>
        </w:rPr>
        <w:t xml:space="preserve">通讯地址：</w:t>
      </w:r>
      <w:bookmarkStart w:id="151" w:name="EB572fd27c0a4b41898944b1b4aad84cb2"/>
      <w:r/>
      <w:bookmarkEnd w:id="151"/>
      <w:r>
        <w:rPr>
          <w:rFonts w:hint="eastAsia" w:ascii="仿宋_GB2312" w:hAnsi="仿宋_GB2312" w:eastAsia="仿宋_GB2312" w:cs="仿宋_GB2312"/>
          <w:color w:val="000000"/>
          <w:sz w:val="24"/>
          <w:highlight w:val="none"/>
        </w:rPr>
        <w:t xml:space="preserve">宿迁市宿城区市民服务中心10楼</w:t>
      </w:r>
      <w:r>
        <w:rPr>
          <w:rFonts w:hint="eastAsia" w:ascii="仿宋_GB2312" w:hAnsi="仿宋_GB2312" w:eastAsia="仿宋_GB2312" w:cs="仿宋_GB2312"/>
          <w:color w:val="000000"/>
          <w:sz w:val="24"/>
          <w:highlight w:val="none"/>
          <w:lang w:val="en-US" w:eastAsia="zh-CN"/>
        </w:rPr>
        <w:t xml:space="preserve">/宿迁经济技术开发区金茂府1幢109商铺（南门东侧-江苏文鼎）</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37.2供应商应知其权益受到损害之日，是指：</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（1）对本项目采购文件提出质疑的，为获取采购文件之日或者采购文件公告期限届满之日；</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（2）对本项目采购过程提出质疑的，为各采购程序环节结束之日；</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（3）对本项目中标或者成交结果提出质疑的，为中标或者成交结果公告期限届满之日。</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37.4供应商提出质疑应当提交质疑函和必要的证明材料。质疑函的必备内容：</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（1）供应商的姓名或者名称、地址、邮编、联系人及联系电话；</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（2）质疑项目的名称、编号；</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（3）获取采购文件的时间。</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（4）具体、明确的质疑事项和质疑事项相关的请求；</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（5）事实依据；</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（6）必要的法律依据；</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（7）提出质疑的日期；</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37.5采购人、采购代理机构在收到质疑函后3个工作日内作出答复，并以书面形式通知质疑供应商和其他有关供应商，但质疑答复的内容不涉及商业秘密。 </w:t>
      </w:r>
      <w:r/>
    </w:p>
    <w:p>
      <w:pPr>
        <w:ind w:firstLine="480"/>
        <w:spacing w:line="500" w:lineRule="exact"/>
        <w:rPr>
          <w:rFonts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37.6质疑供应商对采购人、采购代理机构的答复不满意，或者采购人、采购代理机构未在规定时间内作出答复的，可以在答复期满后15个工作日内向同级财政部门提起投诉。</w:t>
      </w:r>
      <w:r/>
    </w:p>
    <w:p>
      <w:pPr>
        <w:rPr>
          <w:color w:val="000080"/>
          <w:sz w:val="20"/>
          <w:highlight w:val="none"/>
        </w:rPr>
      </w:pPr>
      <w:r>
        <w:rPr>
          <w:color w:val="000080"/>
          <w:sz w:val="20"/>
          <w:highlight w:val="none"/>
        </w:rPr>
      </w:r>
      <w:r/>
    </w:p>
    <w:p>
      <w:pPr>
        <w:rPr>
          <w:color w:val="000080"/>
          <w:sz w:val="20"/>
          <w:highlight w:val="none"/>
        </w:rPr>
      </w:pPr>
      <w:r>
        <w:rPr>
          <w:color w:val="000080"/>
          <w:sz w:val="20"/>
          <w:highlight w:val="none"/>
        </w:rPr>
        <w:br w:type="page" w:clear="all"/>
      </w:r>
      <w:r/>
    </w:p>
    <w:p>
      <w:pPr>
        <w:jc w:val="center"/>
        <w:keepLines/>
        <w:keepNext/>
        <w:pageBreakBefore/>
        <w:rPr>
          <w:b/>
          <w:sz w:val="44"/>
          <w:szCs w:val="44"/>
          <w:highlight w:val="none"/>
        </w:rPr>
        <w:outlineLvl w:val="0"/>
      </w:pPr>
      <w:r/>
      <w:bookmarkStart w:id="152" w:name="EB4d341233595e4bf8ad7006b4bd78d974"/>
      <w:r/>
      <w:bookmarkEnd w:id="152"/>
      <w:r/>
      <w:bookmarkStart w:id="153" w:name="_Toc23461"/>
      <w:r/>
      <w:bookmarkStart w:id="154" w:name="_Toc81575201"/>
      <w:r/>
      <w:bookmarkStart w:id="155" w:name="_Toc81575164"/>
      <w:r>
        <w:rPr>
          <w:rFonts w:hint="eastAsia"/>
          <w:b/>
          <w:sz w:val="44"/>
          <w:szCs w:val="44"/>
          <w:highlight w:val="none"/>
        </w:rPr>
        <w:t xml:space="preserve">第三部分  资格审查及评标办法</w:t>
      </w:r>
      <w:bookmarkEnd w:id="153"/>
      <w:r/>
      <w:bookmarkEnd w:id="154"/>
      <w:r/>
      <w:bookmarkEnd w:id="155"/>
      <w:r/>
      <w:r/>
    </w:p>
    <w:p>
      <w:pPr>
        <w:ind w:firstLine="643"/>
        <w:spacing w:before="156" w:after="156"/>
        <w:rPr>
          <w:b/>
          <w:sz w:val="32"/>
          <w:szCs w:val="32"/>
          <w:highlight w:val="none"/>
        </w:rPr>
      </w:pPr>
      <w:r>
        <w:rPr>
          <w:rFonts w:hint="eastAsia"/>
          <w:b/>
          <w:sz w:val="32"/>
          <w:szCs w:val="32"/>
          <w:highlight w:val="none"/>
        </w:rPr>
        <w:t xml:space="preserve">一、资格审查</w:t>
      </w:r>
      <w:r/>
    </w:p>
    <w:p>
      <w:pPr>
        <w:ind w:firstLine="420"/>
        <w:rPr>
          <w:rFonts w:ascii="仿宋_GB2312" w:eastAsia="仿宋_GB2312"/>
          <w:sz w:val="24"/>
          <w:highlight w:val="none"/>
        </w:rPr>
      </w:pPr>
      <w:r>
        <w:rPr>
          <w:rFonts w:hint="eastAsia" w:ascii="仿宋_GB2312" w:eastAsia="仿宋_GB2312"/>
          <w:sz w:val="24"/>
          <w:highlight w:val="none"/>
        </w:rPr>
        <w:t xml:space="preserve">资格审查人员按照下列指标对各投标人的资格进行审查，未通过审查的为无效标，不参与评标。</w:t>
      </w:r>
      <w:r/>
    </w:p>
    <w:tbl>
      <w:tblPr>
        <w:tblStyle w:val="651"/>
        <w:tblW w:w="8844"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422"/>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rPr>
                <w:highlight w:val="none"/>
              </w:rPr>
            </w:pPr>
            <w:r>
              <w:rPr>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rPr>
                <w:highlight w:val="none"/>
              </w:rPr>
            </w:pPr>
            <w:r>
              <w:rPr>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rFonts w:hint="eastAsia"/>
                <w:highlight w:val="none"/>
              </w:rPr>
              <w:t xml:space="preserve">本项目的特定资格要求：投标人须具有主管部门颁发的甲级测绘资质（测绘资质专业范围需包含界线与不动产测绘、地理信息系统工程）。</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highlight w:val="none"/>
              </w:rPr>
              <w:t xml:space="preserve">信用信息</w:t>
            </w:r>
            <w:r/>
          </w:p>
        </w:tc>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highlight w:val="none"/>
              </w:rPr>
            </w:pPr>
            <w:r>
              <w:rPr>
                <w:highlight w:val="none"/>
              </w:rPr>
              <w:t xml:space="preserve">符合招标文件要求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after="0" w:afterAutospacing="0"/>
              <w:widowControl w:val="off"/>
              <w:rPr>
                <w:rFonts w:ascii="Times New Roman" w:hAnsi="Times New Roman" w:eastAsia="宋体" w:cs="Times New Roman"/>
                <w:caps w:val="0"/>
                <w:color w:val="auto"/>
                <w:sz w:val="21"/>
                <w:szCs w:val="22"/>
                <w:highlight w:val="none"/>
                <w:lang w:val="en-US" w:eastAsia="zh-CN" w:bidi="ar-SA"/>
              </w:rPr>
            </w:pPr>
            <w:r/>
            <w:bookmarkStart w:id="156" w:name="EB9af8278fd1df4f8591f0fad951f64ddb"/>
            <w:r>
              <w:rPr>
                <w:rFonts w:ascii="Times New Roman" w:hAnsi="Times New Roman"/>
                <w:caps w:val="0"/>
                <w:color w:val="auto"/>
                <w:sz w:val="21"/>
                <w:szCs w:val="22"/>
                <w:highlight w:val="none"/>
                <w:rtl w:val="0"/>
                <w:lang w:val="en-US" w:eastAsia="zh-CN" w:bidi="ar-SA"/>
              </w:rPr>
              <w:t xml:space="preserve">联合体投标</w:t>
            </w:r>
            <w:r/>
          </w:p>
        </w:tc>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spacing w:after="0" w:afterAutospacing="0"/>
              <w:widowControl w:val="off"/>
              <w:rPr>
                <w:rFonts w:ascii="Times New Roman" w:hAnsi="Times New Roman" w:eastAsia="宋体" w:cs="Times New Roman"/>
                <w:caps w:val="0"/>
                <w:color w:val="auto"/>
                <w:sz w:val="21"/>
                <w:szCs w:val="22"/>
                <w:highlight w:val="none"/>
                <w:lang w:val="en-US" w:eastAsia="zh-CN" w:bidi="ar-SA"/>
              </w:rPr>
            </w:pPr>
            <w:r>
              <w:rPr>
                <w:rFonts w:ascii="Times New Roman" w:hAnsi="Times New Roman"/>
                <w:caps w:val="0"/>
                <w:color w:val="auto"/>
                <w:sz w:val="21"/>
                <w:szCs w:val="22"/>
                <w:highlight w:val="none"/>
                <w:rtl w:val="0"/>
                <w:lang w:val="en-US" w:eastAsia="zh-CN" w:bidi="ar-SA"/>
              </w:rPr>
              <w:t xml:space="preserve">不接受联合体投标</w:t>
            </w:r>
            <w:r/>
          </w:p>
        </w:tc>
      </w:tr>
    </w:tbl>
    <w:p>
      <w:pPr>
        <w:spacing w:after="100" w:afterAutospacing="1" w:line="500" w:lineRule="exact"/>
        <w:rPr>
          <w:b/>
          <w:sz w:val="32"/>
          <w:szCs w:val="32"/>
          <w:highlight w:val="none"/>
        </w:rPr>
      </w:pPr>
      <w:r>
        <w:rPr>
          <w:rFonts w:hint="eastAsia"/>
          <w:color w:val="000080"/>
          <w:sz w:val="20"/>
          <w:highlight w:val="none"/>
        </w:rPr>
        <w:t xml:space="preserve"> </w:t>
      </w:r>
      <w:bookmarkEnd w:id="156"/>
      <w:r>
        <w:rPr>
          <w:rFonts w:hint="eastAsia"/>
          <w:b/>
          <w:sz w:val="32"/>
          <w:szCs w:val="32"/>
          <w:highlight w:val="none"/>
        </w:rPr>
        <w:t xml:space="preserve">二、评分办法—综合评分法</w:t>
      </w:r>
      <w:r/>
    </w:p>
    <w:p>
      <w:pPr>
        <w:ind w:firstLine="482"/>
        <w:jc w:val="left"/>
        <w:spacing w:line="500" w:lineRule="exact"/>
        <w:rPr>
          <w:rFonts w:ascii="仿宋_GB2312" w:eastAsia="仿宋_GB2312"/>
          <w:sz w:val="24"/>
          <w:highlight w:val="none"/>
        </w:rPr>
      </w:pPr>
      <w:r>
        <w:rPr>
          <w:rFonts w:hint="eastAsia" w:ascii="仿宋_GB2312" w:eastAsia="仿宋_GB2312"/>
          <w:b/>
          <w:sz w:val="24"/>
          <w:highlight w:val="none"/>
        </w:rPr>
        <w:t xml:space="preserve">1、评标办法：</w:t>
      </w:r>
      <w:r>
        <w:rPr>
          <w:rFonts w:hint="eastAsia" w:ascii="仿宋_GB2312" w:eastAsia="仿宋_GB2312"/>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jc w:val="left"/>
        <w:spacing w:line="500" w:lineRule="exact"/>
        <w:rPr>
          <w:rFonts w:ascii="仿宋_GB2312" w:eastAsia="仿宋_GB2312"/>
          <w:sz w:val="24"/>
          <w:highlight w:val="none"/>
        </w:rPr>
      </w:pPr>
      <w:r>
        <w:rPr>
          <w:rFonts w:hint="eastAsia" w:ascii="仿宋_GB2312" w:eastAsia="仿宋_GB2312"/>
          <w:sz w:val="24"/>
          <w:highlight w:val="none"/>
        </w:rPr>
        <w:t xml:space="preserve">评标委员会根据评审后投标人排序推荐中标候选人。投标文件满足招标文件全部实质性要求，且评审后排序第一的投标人为第一中标候选人，依此类推。</w:t>
      </w:r>
      <w:r/>
    </w:p>
    <w:p>
      <w:pPr>
        <w:ind w:firstLine="480"/>
        <w:jc w:val="left"/>
        <w:spacing w:line="500" w:lineRule="exact"/>
        <w:rPr>
          <w:rFonts w:ascii="仿宋_GB2312" w:eastAsia="仿宋_GB2312"/>
          <w:sz w:val="24"/>
          <w:highlight w:val="none"/>
        </w:rPr>
      </w:pPr>
      <w:r>
        <w:rPr>
          <w:rFonts w:hint="eastAsia" w:ascii="仿宋_GB2312" w:eastAsia="仿宋_GB2312"/>
          <w:sz w:val="24"/>
          <w:highlight w:val="none"/>
        </w:rPr>
        <w:t xml:space="preserve">综合评分保留至小数点后两位。 </w:t>
      </w:r>
      <w:r/>
    </w:p>
    <w:p>
      <w:pPr>
        <w:ind w:firstLine="482"/>
        <w:jc w:val="left"/>
        <w:spacing w:line="500" w:lineRule="exact"/>
        <w:rPr>
          <w:rFonts w:ascii="仿宋_GB2312" w:eastAsia="仿宋_GB2312"/>
          <w:sz w:val="24"/>
          <w:highlight w:val="none"/>
        </w:rPr>
      </w:pPr>
      <w:r>
        <w:rPr>
          <w:rFonts w:hint="eastAsia" w:ascii="仿宋_GB2312" w:eastAsia="仿宋_GB2312"/>
          <w:b/>
          <w:sz w:val="24"/>
          <w:highlight w:val="none"/>
        </w:rPr>
        <w:t xml:space="preserve">2、符合性审查。</w:t>
      </w:r>
      <w:r>
        <w:rPr>
          <w:rFonts w:hint="eastAsia" w:ascii="仿宋_GB2312" w:eastAsia="仿宋_GB2312"/>
          <w:sz w:val="24"/>
          <w:highlight w:val="none"/>
        </w:rPr>
        <w:t xml:space="preserve">评标委员会首先按照下列指标对各投标人的投标文件进行符合性审查，未通过审查的为无效标，不再参与评审。</w:t>
      </w:r>
      <w:r/>
    </w:p>
    <w:tbl>
      <w:tblPr>
        <w:tblStyle w:val="651"/>
        <w:tblW w:w="882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46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rPr>
                <w:highlight w:val="none"/>
              </w:rPr>
            </w:pPr>
            <w:r>
              <w:rPr>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center"/>
              <w:rPr>
                <w:highlight w:val="none"/>
              </w:rPr>
            </w:pPr>
            <w:r>
              <w:rPr>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highlight w:val="none"/>
              </w:rPr>
            </w:pPr>
            <w:r>
              <w:rPr>
                <w:rFonts w:hint="eastAsia"/>
                <w:highlight w:val="none"/>
              </w:rPr>
              <w:t xml:space="preserve">开标一览表及投标报价</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rPr>
                <w:highlight w:val="none"/>
              </w:rPr>
            </w:pPr>
            <w:r>
              <w:rPr>
                <w:rFonts w:hint="eastAsia"/>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highlight w:val="none"/>
              </w:rPr>
            </w:pPr>
            <w:r/>
            <w:bookmarkStart w:id="157" w:name="EB75d0996a6f1d4348a21f8c3293010436"/>
            <w:r>
              <w:rPr>
                <w:rFonts w:hint="eastAsia"/>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rPr>
                <w:highlight w:val="none"/>
              </w:rPr>
            </w:pPr>
            <w:r>
              <w:rPr>
                <w:rFonts w:hint="eastAsia"/>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highlight w:val="none"/>
              </w:rPr>
            </w:pPr>
            <w:r>
              <w:rPr>
                <w:rFonts w:hint="eastAsia"/>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rPr>
                <w:highlight w:val="none"/>
              </w:rPr>
            </w:pPr>
            <w:r>
              <w:rPr>
                <w:rFonts w:hint="eastAsia"/>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highlight w:val="none"/>
              </w:rPr>
            </w:pPr>
            <w:r>
              <w:rPr>
                <w:rFonts w:hint="eastAsia"/>
                <w:highlight w:val="none"/>
              </w:rPr>
              <w:t xml:space="preserve">其他</w:t>
            </w:r>
            <w:r/>
          </w:p>
        </w:tc>
        <w:tc>
          <w:tcPr>
            <w:tcBorders>
              <w:top w:val="single" w:color="auto" w:sz="6" w:space="0"/>
              <w:left w:val="single" w:color="auto" w:sz="6" w:space="0"/>
              <w:bottom w:val="single" w:color="auto" w:sz="6" w:space="0"/>
              <w:right w:val="single" w:color="auto" w:sz="6" w:space="0"/>
            </w:tcBorders>
            <w:tcW w:w="4464" w:type="dxa"/>
            <w:vAlign w:val="center"/>
            <w:textDirection w:val="lrTb"/>
            <w:noWrap w:val="false"/>
          </w:tcPr>
          <w:p>
            <w:pPr>
              <w:jc w:val="left"/>
              <w:rPr>
                <w:highlight w:val="none"/>
              </w:rPr>
            </w:pPr>
            <w:r>
              <w:rPr>
                <w:rFonts w:hint="eastAsia"/>
                <w:highlight w:val="none"/>
              </w:rPr>
              <w:t xml:space="preserve">符合招标文件要求</w:t>
            </w:r>
            <w:r/>
          </w:p>
        </w:tc>
      </w:tr>
    </w:tbl>
    <w:p>
      <w:pPr>
        <w:spacing w:line="500" w:lineRule="exact"/>
        <w:rPr>
          <w:rFonts w:ascii="仿宋_GB2312" w:eastAsia="仿宋_GB2312"/>
          <w:sz w:val="24"/>
          <w:highlight w:val="none"/>
        </w:rPr>
      </w:pPr>
      <w:r>
        <w:rPr>
          <w:rFonts w:hint="eastAsia"/>
          <w:color w:val="000080"/>
          <w:sz w:val="20"/>
          <w:highlight w:val="none"/>
        </w:rPr>
        <w:t xml:space="preserve"> </w:t>
      </w:r>
      <w:bookmarkEnd w:id="157"/>
      <w:r>
        <w:rPr>
          <w:rFonts w:hint="eastAsia" w:ascii="仿宋_GB2312" w:eastAsia="仿宋_GB2312"/>
          <w:b/>
          <w:sz w:val="24"/>
          <w:highlight w:val="none"/>
        </w:rPr>
        <w:t xml:space="preserve">3、详细评审。</w:t>
      </w:r>
      <w:r>
        <w:rPr>
          <w:rFonts w:hint="eastAsia" w:ascii="仿宋_GB2312" w:eastAsia="仿宋_GB2312"/>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651"/>
        <w:tblW w:w="5349"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344"/>
        <w:gridCol w:w="2442"/>
        <w:gridCol w:w="931"/>
        <w:gridCol w:w="4761"/>
      </w:tblGrid>
      <w:tr>
        <w:trPr/>
        <w:tc>
          <w:tcPr>
            <w:gridSpan w:val="2"/>
            <w:tcBorders>
              <w:top w:val="single" w:color="auto" w:sz="6" w:space="0"/>
              <w:left w:val="single" w:color="auto" w:sz="6" w:space="0"/>
              <w:bottom w:val="single" w:color="auto" w:sz="6" w:space="0"/>
              <w:right w:val="single" w:color="auto" w:sz="6" w:space="0"/>
            </w:tcBorders>
            <w:tcW w:w="1997" w:type="pct"/>
            <w:vAlign w:val="center"/>
            <w:textDirection w:val="lrTb"/>
            <w:noWrap w:val="false"/>
          </w:tcPr>
          <w:p>
            <w:pPr>
              <w:jc w:val="center"/>
              <w:rPr>
                <w:rFonts w:ascii="Times New Roman" w:hAnsi="Times New Roman"/>
                <w:highlight w:val="none"/>
              </w:rPr>
            </w:pPr>
            <w:r/>
            <w:bookmarkStart w:id="158" w:name="EBe0cfd1035ea44f689f97db50fccddc8b"/>
            <w:r>
              <w:rPr>
                <w:rFonts w:ascii="Times New Roman" w:hAnsi="Times New Roman"/>
                <w:highlight w:val="none"/>
              </w:rPr>
              <w:t xml:space="preserve">评审因素</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分数</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center"/>
              <w:rPr>
                <w:rFonts w:ascii="Times New Roman" w:hAnsi="Times New Roman"/>
                <w:highlight w:val="none"/>
              </w:rPr>
            </w:pPr>
            <w:r>
              <w:rPr>
                <w:rFonts w:ascii="Times New Roman" w:hAnsi="Times New Roman"/>
                <w:highlight w:val="none"/>
              </w:rPr>
              <w:t xml:space="preserve">评审标准</w:t>
            </w:r>
            <w:r/>
          </w:p>
        </w:tc>
      </w:tr>
      <w:tr>
        <w:trPr>
          <w:trHeight w:val="1621"/>
        </w:trPr>
        <w:tc>
          <w:tcPr>
            <w:tcBorders>
              <w:top w:val="single" w:color="auto" w:sz="6" w:space="0"/>
              <w:left w:val="single" w:color="auto" w:sz="6" w:space="0"/>
              <w:bottom w:val="single" w:color="auto" w:sz="6" w:space="0"/>
              <w:right w:val="single" w:color="auto" w:sz="6" w:space="0"/>
            </w:tcBorders>
            <w:tcW w:w="709" w:type="pct"/>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报价分</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10.00</w:t>
            </w:r>
            <w:r>
              <w:rPr>
                <w:rFonts w:hint="eastAsia" w:ascii="Times New Roman" w:hAnsi="Times New Roman"/>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rFonts w:ascii="Times New Roman" w:hAnsi="Times New Roman"/>
                <w:highlight w:val="none"/>
              </w:rPr>
            </w:pPr>
            <w:r>
              <w:rPr>
                <w:rFonts w:hint="eastAsia" w:ascii="Times New Roman" w:hAnsi="Times New Roman" w:cs="宋体"/>
                <w:szCs w:val="21"/>
                <w:highlight w:val="none"/>
              </w:rPr>
              <w:t xml:space="preserve">采用低价优先法计算，即满足招标文件要求且投标价格最低的投标报价为评标基准价，其价格分为满分。其他投标人投标报价得分＝（评标基准价/投标报价）*10。</w:t>
            </w:r>
            <w:r>
              <w:rPr>
                <w:rFonts w:ascii="Times New Roman" w:hAnsi="Times New Roman"/>
                <w:highlight w:val="none"/>
              </w:rPr>
              <w:t xml:space="preserve">注：符合规定的小微企业（含监狱企业和残疾人福利单位）报价给予1</w:t>
            </w:r>
            <w:r>
              <w:rPr>
                <w:rFonts w:hint="eastAsia" w:ascii="Times New Roman" w:hAnsi="Times New Roman"/>
                <w:highlight w:val="none"/>
              </w:rPr>
              <w:t xml:space="preserve">0</w:t>
            </w:r>
            <w:r>
              <w:rPr>
                <w:rFonts w:ascii="Times New Roman" w:hAnsi="Times New Roman"/>
                <w:highlight w:val="none"/>
              </w:rPr>
              <w:t xml:space="preserve">%的扣除，用扣除后的价格参加评审。</w:t>
            </w:r>
            <w:r/>
          </w:p>
        </w:tc>
      </w:tr>
      <w:tr>
        <w:trPr/>
        <w:tc>
          <w:tcPr>
            <w:tcBorders>
              <w:top w:val="single" w:color="auto" w:sz="6" w:space="0"/>
              <w:left w:val="single" w:color="auto" w:sz="6" w:space="0"/>
              <w:right w:val="single" w:color="auto" w:sz="6" w:space="0"/>
            </w:tcBorders>
            <w:tcW w:w="709" w:type="pct"/>
            <w:vAlign w:val="center"/>
            <w:vMerge w:val="restart"/>
            <w:textDirection w:val="lrTb"/>
            <w:noWrap w:val="false"/>
          </w:tcPr>
          <w:p>
            <w:pPr>
              <w:jc w:val="left"/>
              <w:rPr>
                <w:rFonts w:ascii="Times New Roman" w:hAnsi="Times New Roman"/>
                <w:highlight w:val="none"/>
              </w:rPr>
            </w:pPr>
            <w:r>
              <w:rPr>
                <w:rFonts w:ascii="Times New Roman" w:hAnsi="Times New Roman"/>
                <w:highlight w:val="none"/>
              </w:rPr>
              <w:t xml:space="preserve">企业经营业绩、信誉</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rFonts w:ascii="Times New Roman" w:hAnsi="Times New Roman"/>
                <w:szCs w:val="21"/>
                <w:highlight w:val="none"/>
              </w:rPr>
            </w:pPr>
            <w:r>
              <w:rPr>
                <w:rFonts w:hint="eastAsia" w:ascii="Times New Roman" w:hAnsi="Times New Roman"/>
                <w:szCs w:val="21"/>
                <w:highlight w:val="none"/>
              </w:rPr>
              <w:t xml:space="preserve">企业业绩</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rFonts w:ascii="Times New Roman" w:hAnsi="Times New Roman"/>
                <w:szCs w:val="21"/>
                <w:highlight w:val="none"/>
              </w:rPr>
            </w:pPr>
            <w:r>
              <w:rPr>
                <w:rFonts w:hint="eastAsia" w:ascii="Times New Roman" w:hAnsi="Times New Roman"/>
                <w:szCs w:val="21"/>
                <w:highlight w:val="none"/>
              </w:rPr>
              <w:t xml:space="preserve">12.00分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投标人自2021年1月1日以来（以合同签订日期为准）</w:t>
            </w:r>
            <w:r>
              <w:rPr>
                <w:rFonts w:hint="eastAsia"/>
                <w:highlight w:val="none"/>
              </w:rPr>
              <w:t xml:space="preserve">，</w:t>
            </w:r>
            <w:r>
              <w:rPr>
                <w:highlight w:val="none"/>
              </w:rPr>
              <w:t xml:space="preserve">承担过类似项目的</w:t>
            </w:r>
            <w:r>
              <w:rPr>
                <w:rFonts w:hint="eastAsia"/>
                <w:highlight w:val="none"/>
              </w:rPr>
              <w:t xml:space="preserve">，每有一个</w:t>
            </w:r>
            <w:r>
              <w:rPr>
                <w:highlight w:val="none"/>
              </w:rPr>
              <w:t xml:space="preserve">得3分，本项最高得12分</w:t>
            </w:r>
            <w:r>
              <w:rPr>
                <w:rFonts w:hint="eastAsia"/>
                <w:highlight w:val="none"/>
              </w:rPr>
              <w:t xml:space="preserve">。</w:t>
            </w:r>
            <w:r/>
          </w:p>
          <w:p>
            <w:pPr>
              <w:jc w:val="left"/>
              <w:rPr>
                <w:rFonts w:ascii="Times New Roman" w:hAnsi="Times New Roman" w:cs="宋体"/>
                <w:highlight w:val="none"/>
              </w:rPr>
            </w:pPr>
            <w:r>
              <w:rPr>
                <w:rFonts w:hint="eastAsia" w:ascii="宋体" w:hAnsi="宋体" w:cs="宋体"/>
                <w:sz w:val="22"/>
                <w:szCs w:val="24"/>
                <w:highlight w:val="none"/>
              </w:rPr>
              <w:t xml:space="preserve">注：须提供项目合同及中标（成交）通知书电子件并加盖供应商公章，合同内容须清晰可见；若合同或中标通知书无法体现服务内容的，投标人应提供采购人（或其主管部门）出具的相应补充证明材料予以明确。业绩材料要明确反映供应商名称、项目名称、项目内容等，否则不予计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rFonts w:ascii="Times New Roman" w:hAnsi="Times New Roman"/>
                <w:highlight w:val="none"/>
              </w:rPr>
            </w:pPr>
            <w:r>
              <w:rPr>
                <w:rFonts w:ascii="Times New Roman" w:hAnsi="Times New Roman"/>
                <w:highlight w:val="none"/>
              </w:rPr>
              <w:t xml:space="preserve">相关证书</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rFonts w:ascii="Times New Roman" w:hAnsi="Times New Roman"/>
                <w:highlight w:val="none"/>
              </w:rPr>
            </w:pPr>
            <w:r>
              <w:rPr>
                <w:rFonts w:hint="eastAsia" w:ascii="Times New Roman" w:hAnsi="Times New Roman"/>
                <w:szCs w:val="21"/>
                <w:highlight w:val="none"/>
              </w:rPr>
              <w:t xml:space="preserve">6.00</w:t>
            </w:r>
            <w:r>
              <w:rPr>
                <w:rFonts w:hint="eastAsia" w:ascii="Times New Roman" w:hAnsi="Times New Roman"/>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rFonts w:ascii="Times New Roman" w:hAnsi="Times New Roman" w:cs="宋体"/>
                <w:highlight w:val="none"/>
              </w:rPr>
            </w:pPr>
            <w:r>
              <w:rPr>
                <w:rFonts w:hint="eastAsia" w:ascii="Times New Roman" w:hAnsi="Times New Roman" w:cs="宋体"/>
                <w:highlight w:val="none"/>
              </w:rPr>
              <w:t xml:space="preserve">投标人具有质量管理体系认证证书、职业健康安全管理体系认证证书、环境管理体系认证证书，每有一项得2分，本项最高得6分。 注：投标文件中提供上述相关证书电子件和在国家市场监督管理总局全国认证认可信息公共服务平台查询认证有效的页面截图，未提供的不得分。</w:t>
            </w:r>
            <w:r/>
          </w:p>
        </w:tc>
      </w:tr>
      <w:tr>
        <w:trPr/>
        <w:tc>
          <w:tcPr>
            <w:tcBorders>
              <w:left w:val="single" w:color="auto" w:sz="6" w:space="0"/>
              <w:bottom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rFonts w:ascii="Times New Roman" w:hAnsi="Times New Roman"/>
                <w:szCs w:val="21"/>
                <w:highlight w:val="none"/>
              </w:rPr>
            </w:pPr>
            <w:r>
              <w:rPr>
                <w:rFonts w:hint="eastAsia" w:ascii="Times New Roman" w:hAnsi="Times New Roman"/>
                <w:szCs w:val="21"/>
                <w:highlight w:val="none"/>
              </w:rPr>
              <w:t xml:space="preserve">企业荣誉</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rFonts w:ascii="Times New Roman" w:hAnsi="Times New Roman"/>
                <w:highlight w:val="none"/>
              </w:rPr>
            </w:pPr>
            <w:r>
              <w:rPr>
                <w:rFonts w:hint="eastAsia" w:ascii="Times New Roman" w:hAnsi="Times New Roman"/>
                <w:szCs w:val="21"/>
                <w:highlight w:val="none"/>
              </w:rPr>
              <w:t xml:space="preserve">6.00分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rFonts w:ascii="Times New Roman" w:hAnsi="Times New Roman"/>
                <w:szCs w:val="21"/>
                <w:highlight w:val="none"/>
              </w:rPr>
            </w:pPr>
            <w:r>
              <w:rPr>
                <w:rFonts w:hint="eastAsia" w:ascii="Times New Roman" w:hAnsi="Times New Roman"/>
                <w:szCs w:val="21"/>
                <w:highlight w:val="none"/>
              </w:rPr>
              <w:t xml:space="preserve">投标人自2021年1月1日以来（以获奖日期为准），承担过的测绘类项目获得奖项的，每有一个得3分，本项最高得6分</w:t>
            </w:r>
            <w:r>
              <w:rPr>
                <w:rFonts w:ascii="Times New Roman" w:hAnsi="Times New Roman"/>
                <w:szCs w:val="21"/>
                <w:highlight w:val="none"/>
              </w:rPr>
              <w:t xml:space="preserve">。 </w:t>
            </w:r>
            <w:r>
              <w:rPr>
                <w:rFonts w:hint="eastAsia" w:ascii="Times New Roman" w:hAnsi="Times New Roman"/>
                <w:szCs w:val="21"/>
                <w:highlight w:val="none"/>
              </w:rPr>
              <w:t xml:space="preserve">注：</w:t>
            </w:r>
            <w:r>
              <w:rPr>
                <w:highlight w:val="none"/>
              </w:rPr>
              <w:t xml:space="preserve">投标人</w:t>
            </w:r>
            <w:r>
              <w:rPr>
                <w:rFonts w:hint="eastAsia"/>
                <w:highlight w:val="none"/>
              </w:rPr>
              <w:t xml:space="preserve">须</w:t>
            </w:r>
            <w:r>
              <w:rPr>
                <w:highlight w:val="none"/>
              </w:rPr>
              <w:t xml:space="preserve">提供相关对应证书材料或由相关主管部门下发的文件</w:t>
            </w:r>
            <w:r>
              <w:rPr>
                <w:rFonts w:hint="eastAsia"/>
                <w:highlight w:val="none"/>
              </w:rPr>
              <w:t xml:space="preserve">电子件，否则不得分。</w:t>
            </w:r>
            <w:r/>
          </w:p>
        </w:tc>
      </w:tr>
      <w:tr>
        <w:trPr/>
        <w:tc>
          <w:tcPr>
            <w:tcBorders>
              <w:top w:val="single" w:color="auto" w:sz="6" w:space="0"/>
              <w:left w:val="single" w:color="auto" w:sz="6" w:space="0"/>
              <w:right w:val="single" w:color="auto" w:sz="6" w:space="0"/>
            </w:tcBorders>
            <w:tcW w:w="709" w:type="pct"/>
            <w:vAlign w:val="center"/>
            <w:vMerge w:val="restart"/>
            <w:textDirection w:val="lrTb"/>
            <w:noWrap w:val="false"/>
          </w:tcPr>
          <w:p>
            <w:pPr>
              <w:jc w:val="left"/>
              <w:rPr>
                <w:rFonts w:ascii="Times New Roman" w:hAnsi="Times New Roman"/>
                <w:highlight w:val="none"/>
              </w:rPr>
            </w:pPr>
            <w:r>
              <w:rPr>
                <w:rFonts w:ascii="Times New Roman" w:hAnsi="Times New Roman"/>
                <w:highlight w:val="none"/>
              </w:rPr>
              <w:t xml:space="preserve">项目实施方案</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方案编制、标准规范设计及技术培训</w:t>
            </w:r>
            <w:r/>
          </w:p>
          <w:p>
            <w:pPr>
              <w:jc w:val="left"/>
              <w:rPr>
                <w:highlight w:val="none"/>
              </w:rPr>
            </w:pPr>
            <w:r>
              <w:rPr>
                <w:highlight w:val="none"/>
              </w:rPr>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7</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根据投标人提供的项目方案中关于项目</w:t>
            </w:r>
            <w:r>
              <w:rPr>
                <w:rFonts w:hint="eastAsia"/>
                <w:highlight w:val="none"/>
              </w:rPr>
              <w:t xml:space="preserve">方案编制、标准规范设计及技术培训</w:t>
            </w:r>
            <w:r>
              <w:rPr>
                <w:highlight w:val="none"/>
              </w:rPr>
              <w:t xml:space="preserve">内容。内容满足且优于采购需求的，得</w:t>
            </w:r>
            <w:r>
              <w:rPr>
                <w:rFonts w:hint="eastAsia"/>
                <w:highlight w:val="none"/>
              </w:rPr>
              <w:t xml:space="preserve">7</w:t>
            </w:r>
            <w:r>
              <w:rPr>
                <w:highlight w:val="none"/>
              </w:rPr>
              <w:t xml:space="preserve">分；内容略有偏差，但不影响实质性意思表达，基本满足采购需求的，得</w:t>
            </w:r>
            <w:r>
              <w:rPr>
                <w:rFonts w:hint="eastAsia"/>
                <w:highlight w:val="none"/>
              </w:rPr>
              <w:t xml:space="preserve">5</w:t>
            </w:r>
            <w:r>
              <w:rPr>
                <w:highlight w:val="none"/>
              </w:rPr>
              <w:t xml:space="preserve">分；内容有欠缺，但经过优化可满足采购需求的，得</w:t>
            </w:r>
            <w:r>
              <w:rPr>
                <w:rFonts w:hint="eastAsia"/>
                <w:highlight w:val="none"/>
              </w:rPr>
              <w:t xml:space="preserve">3</w:t>
            </w:r>
            <w:r>
              <w:rPr>
                <w:highlight w:val="none"/>
              </w:rPr>
              <w:t xml:space="preserve">分；没有内容或其情况不满足项目需求不得分。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资料收集分析利用</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7</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根据投标人提供的项目方案中关于</w:t>
            </w:r>
            <w:r>
              <w:rPr>
                <w:rFonts w:hint="eastAsia"/>
                <w:highlight w:val="none"/>
              </w:rPr>
              <w:t xml:space="preserve">资料收集分析利用</w:t>
            </w:r>
            <w:r>
              <w:rPr>
                <w:highlight w:val="none"/>
              </w:rPr>
              <w:t xml:space="preserve">内容。内容满足且优于采购需求的，得</w:t>
            </w:r>
            <w:r>
              <w:rPr>
                <w:rFonts w:hint="eastAsia"/>
                <w:highlight w:val="none"/>
              </w:rPr>
              <w:t xml:space="preserve">7</w:t>
            </w:r>
            <w:r>
              <w:rPr>
                <w:highlight w:val="none"/>
              </w:rPr>
              <w:t xml:space="preserve">分；内容略有偏差，但不影响实质性意思表达，基本满足采购需求的，得</w:t>
            </w:r>
            <w:r>
              <w:rPr>
                <w:rFonts w:hint="eastAsia"/>
                <w:highlight w:val="none"/>
              </w:rPr>
              <w:t xml:space="preserve">5</w:t>
            </w:r>
            <w:r>
              <w:rPr>
                <w:highlight w:val="none"/>
              </w:rPr>
              <w:t xml:space="preserve">分；内容有欠缺，但经过优化可满足采购需求的，得</w:t>
            </w:r>
            <w:r>
              <w:rPr>
                <w:rFonts w:hint="eastAsia"/>
                <w:highlight w:val="none"/>
              </w:rPr>
              <w:t xml:space="preserve">3</w:t>
            </w:r>
            <w:r>
              <w:rPr>
                <w:highlight w:val="none"/>
              </w:rPr>
              <w:t xml:space="preserve">分；没有内容或其情况不满足项目需求不得分。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调查确权工作</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7</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根据投标人提供的项目方案中关于</w:t>
            </w:r>
            <w:r>
              <w:rPr>
                <w:rFonts w:hint="eastAsia"/>
                <w:highlight w:val="none"/>
              </w:rPr>
              <w:t xml:space="preserve">调查确权工作</w:t>
            </w:r>
            <w:r>
              <w:rPr>
                <w:highlight w:val="none"/>
              </w:rPr>
              <w:t xml:space="preserve">内容。内容满足且优于采购需求的，得</w:t>
            </w:r>
            <w:r>
              <w:rPr>
                <w:rFonts w:hint="eastAsia"/>
                <w:highlight w:val="none"/>
              </w:rPr>
              <w:t xml:space="preserve">7</w:t>
            </w:r>
            <w:r>
              <w:rPr>
                <w:highlight w:val="none"/>
              </w:rPr>
              <w:t xml:space="preserve">分；内容略有偏差，但不影响实质性意思表达，基本满足采购需求的，得</w:t>
            </w:r>
            <w:r>
              <w:rPr>
                <w:rFonts w:hint="eastAsia"/>
                <w:highlight w:val="none"/>
              </w:rPr>
              <w:t xml:space="preserve">5</w:t>
            </w:r>
            <w:r>
              <w:rPr>
                <w:highlight w:val="none"/>
              </w:rPr>
              <w:t xml:space="preserve">分；内容有欠缺，但经过优化可满足采购需求的，得</w:t>
            </w:r>
            <w:r>
              <w:rPr>
                <w:rFonts w:hint="eastAsia"/>
                <w:highlight w:val="none"/>
              </w:rPr>
              <w:t xml:space="preserve">3</w:t>
            </w:r>
            <w:r>
              <w:rPr>
                <w:highlight w:val="none"/>
              </w:rPr>
              <w:t xml:space="preserve">分；没有内容或其情况不满足项目需求不得分。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档案管理与数据挂接</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7</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根据投标人提供的项目方案中关于</w:t>
            </w:r>
            <w:r>
              <w:rPr>
                <w:rFonts w:hint="eastAsia"/>
                <w:highlight w:val="none"/>
              </w:rPr>
              <w:t xml:space="preserve">档案管理与数据挂接</w:t>
            </w:r>
            <w:r>
              <w:rPr>
                <w:highlight w:val="none"/>
              </w:rPr>
              <w:t xml:space="preserve">内容。内容满足且优于采购需求的，得</w:t>
            </w:r>
            <w:r>
              <w:rPr>
                <w:rFonts w:hint="eastAsia"/>
                <w:highlight w:val="none"/>
              </w:rPr>
              <w:t xml:space="preserve">7</w:t>
            </w:r>
            <w:r>
              <w:rPr>
                <w:highlight w:val="none"/>
              </w:rPr>
              <w:t xml:space="preserve">分；内容略有偏差，但不影响实质性意思表达，基本满足采购需求的，得</w:t>
            </w:r>
            <w:r>
              <w:rPr>
                <w:rFonts w:hint="eastAsia"/>
                <w:highlight w:val="none"/>
              </w:rPr>
              <w:t xml:space="preserve">5</w:t>
            </w:r>
            <w:r>
              <w:rPr>
                <w:highlight w:val="none"/>
              </w:rPr>
              <w:t xml:space="preserve">分；内容有欠缺，但经过优化可满足采购需求的，得</w:t>
            </w:r>
            <w:r>
              <w:rPr>
                <w:rFonts w:hint="eastAsia"/>
                <w:highlight w:val="none"/>
              </w:rPr>
              <w:t xml:space="preserve">3</w:t>
            </w:r>
            <w:r>
              <w:rPr>
                <w:highlight w:val="none"/>
              </w:rPr>
              <w:t xml:space="preserve">分；没有内容或其情况不满足项目需求不得分。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项目保障方案</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8</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rFonts w:hint="eastAsia"/>
                <w:highlight w:val="none"/>
              </w:rPr>
              <w:t xml:space="preserve">投标人根据采购需求“五、工作目标”要求制定项目保障方案。 </w:t>
            </w:r>
            <w:r/>
          </w:p>
          <w:p>
            <w:pPr>
              <w:jc w:val="left"/>
              <w:rPr>
                <w:highlight w:val="none"/>
              </w:rPr>
            </w:pPr>
            <w:r>
              <w:rPr>
                <w:rFonts w:hint="eastAsia"/>
                <w:highlight w:val="none"/>
                <w:lang w:val="en-US" w:eastAsia="zh-CN"/>
              </w:rPr>
              <w:t xml:space="preserve">1、</w:t>
            </w:r>
            <w:r>
              <w:rPr>
                <w:highlight w:val="none"/>
              </w:rPr>
              <w:t xml:space="preserve">对可能产生的质量问题分析归纳条理清楚，采取的质量保障措施具体、有效的得</w:t>
            </w:r>
            <w:r>
              <w:rPr>
                <w:rFonts w:hint="eastAsia"/>
                <w:highlight w:val="none"/>
              </w:rPr>
              <w:t xml:space="preserve">4</w:t>
            </w:r>
            <w:r>
              <w:rPr>
                <w:highlight w:val="none"/>
              </w:rPr>
              <w:t xml:space="preserve">分；分析归纳详细、质量保证措施完整的得2分；措施有欠缺，但经过优化可满足采购需求的得1分；没有内容或其情况不满足项目需求不得分。</w:t>
            </w:r>
            <w:r/>
          </w:p>
          <w:p>
            <w:pPr>
              <w:jc w:val="left"/>
              <w:rPr>
                <w:highlight w:val="none"/>
              </w:rPr>
            </w:pPr>
            <w:r>
              <w:rPr>
                <w:rFonts w:hint="eastAsia"/>
                <w:highlight w:val="none"/>
                <w:lang w:val="en-US" w:eastAsia="zh-CN"/>
              </w:rPr>
              <w:t xml:space="preserve">2、</w:t>
            </w:r>
            <w:r>
              <w:rPr>
                <w:highlight w:val="none"/>
              </w:rPr>
              <w:t xml:space="preserve">总体进度安排涵盖重要环节、管理措施得当、项目进度保证措施详实具体的得</w:t>
            </w:r>
            <w:r>
              <w:rPr>
                <w:rFonts w:hint="eastAsia"/>
                <w:highlight w:val="none"/>
              </w:rPr>
              <w:t xml:space="preserve">4</w:t>
            </w:r>
            <w:r>
              <w:rPr>
                <w:highlight w:val="none"/>
              </w:rPr>
              <w:t xml:space="preserve">分；总体进度安排完整、管理措施详细、各项进度保证措施缺失的得2分；有进度安排内容、但内容笼统、针对本项目制定未细致、但经过优化可实现进度要求的得1分；没有内容或其情况不满足项目需求不得分。</w:t>
            </w:r>
            <w:r/>
          </w:p>
        </w:tc>
      </w:tr>
      <w:tr>
        <w:trPr/>
        <w:tc>
          <w:tcPr>
            <w:tcBorders>
              <w:left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highlight w:val="none"/>
              </w:rPr>
              <w:t xml:space="preserve">安全保密措施</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jc w:val="left"/>
              <w:rPr>
                <w:highlight w:val="none"/>
              </w:rPr>
            </w:pPr>
            <w:r>
              <w:rPr>
                <w:rFonts w:hint="eastAsia"/>
                <w:highlight w:val="none"/>
              </w:rPr>
              <w:t xml:space="preserve">7</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投标人根据采购需求“</w:t>
            </w:r>
            <w:r>
              <w:rPr>
                <w:rFonts w:hint="eastAsia"/>
                <w:highlight w:val="none"/>
              </w:rPr>
              <w:t xml:space="preserve">九</w:t>
            </w:r>
            <w:r>
              <w:rPr>
                <w:highlight w:val="none"/>
              </w:rPr>
              <w:t xml:space="preserve">、其他要求”中规定制定项目安全责任制度、档案、信息资料的保密措施等。 安全措施完整详实、保密管理措施切合实际、能够实现采购人保密要求的得</w:t>
            </w:r>
            <w:r>
              <w:rPr>
                <w:rFonts w:hint="eastAsia"/>
                <w:highlight w:val="none"/>
              </w:rPr>
              <w:t xml:space="preserve">7</w:t>
            </w:r>
            <w:r>
              <w:rPr>
                <w:highlight w:val="none"/>
              </w:rPr>
              <w:t xml:space="preserve">分；安全措施完整、保密管理措施</w:t>
            </w:r>
            <w:r>
              <w:rPr>
                <w:rFonts w:hint="eastAsia"/>
                <w:highlight w:val="none"/>
              </w:rPr>
              <w:t xml:space="preserve">略</w:t>
            </w:r>
            <w:r>
              <w:rPr>
                <w:highlight w:val="none"/>
              </w:rPr>
              <w:t xml:space="preserve">有漏洞的得</w:t>
            </w:r>
            <w:r>
              <w:rPr>
                <w:rFonts w:hint="eastAsia"/>
                <w:highlight w:val="none"/>
              </w:rPr>
              <w:t xml:space="preserve">5</w:t>
            </w:r>
            <w:r>
              <w:rPr>
                <w:highlight w:val="none"/>
              </w:rPr>
              <w:t xml:space="preserve">分；措施有欠缺,但经过优化可满足采购需求的，得</w:t>
            </w:r>
            <w:r>
              <w:rPr>
                <w:rFonts w:hint="eastAsia"/>
                <w:highlight w:val="none"/>
              </w:rPr>
              <w:t xml:space="preserve">3</w:t>
            </w:r>
            <w:r>
              <w:rPr>
                <w:highlight w:val="none"/>
              </w:rPr>
              <w:t xml:space="preserve">分</w:t>
            </w:r>
            <w:r>
              <w:rPr>
                <w:rFonts w:hint="eastAsia"/>
                <w:highlight w:val="none"/>
              </w:rPr>
              <w:t xml:space="preserve">；</w:t>
            </w:r>
            <w:r>
              <w:rPr>
                <w:highlight w:val="none"/>
              </w:rPr>
              <w:t xml:space="preserve">没有内容或其情况不满足项目需求不得分。</w:t>
            </w:r>
            <w:r/>
          </w:p>
        </w:tc>
      </w:tr>
      <w:tr>
        <w:trPr/>
        <w:tc>
          <w:tcPr>
            <w:tcBorders>
              <w:top w:val="single" w:color="auto" w:sz="6" w:space="0"/>
              <w:left w:val="single" w:color="auto" w:sz="6" w:space="0"/>
              <w:right w:val="single" w:color="auto" w:sz="6" w:space="0"/>
            </w:tcBorders>
            <w:tcW w:w="709" w:type="pct"/>
            <w:vAlign w:val="center"/>
            <w:vMerge w:val="restart"/>
            <w:textDirection w:val="lrTb"/>
            <w:noWrap w:val="false"/>
          </w:tcPr>
          <w:p>
            <w:pPr>
              <w:jc w:val="left"/>
              <w:rPr>
                <w:rFonts w:ascii="Times New Roman" w:hAnsi="Times New Roman"/>
                <w:highlight w:val="none"/>
              </w:rPr>
            </w:pPr>
            <w:r>
              <w:rPr>
                <w:rFonts w:ascii="Times New Roman" w:hAnsi="Times New Roman"/>
                <w:highlight w:val="none"/>
              </w:rPr>
              <w:t xml:space="preserve">其他</w:t>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项目组负责人</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rPr>
                <w:highlight w:val="none"/>
              </w:rPr>
            </w:pPr>
            <w:r>
              <w:rPr>
                <w:rFonts w:hint="eastAsia"/>
                <w:highlight w:val="none"/>
              </w:rPr>
              <w:t xml:space="preserve">10</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highlight w:val="none"/>
              </w:rPr>
              <w:t xml:space="preserve">1、</w:t>
            </w:r>
            <w:r>
              <w:rPr>
                <w:rFonts w:hint="eastAsia"/>
                <w:highlight w:val="none"/>
              </w:rPr>
              <w:t xml:space="preserve">投标人拟派遣的</w:t>
            </w:r>
            <w:r>
              <w:rPr>
                <w:highlight w:val="none"/>
              </w:rPr>
              <w:t xml:space="preserve">项目负责人同时具有注册测绘师证书</w:t>
            </w:r>
            <w:r>
              <w:rPr>
                <w:rFonts w:hint="eastAsia"/>
                <w:highlight w:val="none"/>
              </w:rPr>
              <w:t xml:space="preserve">及</w:t>
            </w:r>
            <w:r>
              <w:rPr>
                <w:highlight w:val="none"/>
              </w:rPr>
              <w:t xml:space="preserve">测绘</w:t>
            </w:r>
            <w:r>
              <w:rPr>
                <w:rFonts w:hint="eastAsia"/>
                <w:highlight w:val="none"/>
              </w:rPr>
              <w:t xml:space="preserve">相关专业</w:t>
            </w:r>
            <w:r>
              <w:rPr>
                <w:highlight w:val="none"/>
              </w:rPr>
              <w:t xml:space="preserve">高级</w:t>
            </w:r>
            <w:r>
              <w:rPr>
                <w:rFonts w:hint="eastAsia"/>
                <w:highlight w:val="none"/>
              </w:rPr>
              <w:t xml:space="preserve">（及以上）</w:t>
            </w:r>
            <w:r>
              <w:rPr>
                <w:highlight w:val="none"/>
              </w:rPr>
              <w:t xml:space="preserve">工程师证书</w:t>
            </w:r>
            <w:r>
              <w:rPr>
                <w:rFonts w:hint="eastAsia"/>
                <w:highlight w:val="none"/>
              </w:rPr>
              <w:t xml:space="preserve">的</w:t>
            </w:r>
            <w:r>
              <w:rPr>
                <w:highlight w:val="none"/>
              </w:rPr>
              <w:t xml:space="preserve">得</w:t>
            </w:r>
            <w:r>
              <w:rPr>
                <w:rFonts w:hint="eastAsia"/>
                <w:highlight w:val="none"/>
              </w:rPr>
              <w:t xml:space="preserve">5</w:t>
            </w:r>
            <w:r>
              <w:rPr>
                <w:highlight w:val="none"/>
              </w:rPr>
              <w:t xml:space="preserve">分。 </w:t>
            </w:r>
            <w:r/>
          </w:p>
          <w:p>
            <w:pPr>
              <w:jc w:val="left"/>
              <w:rPr>
                <w:highlight w:val="none"/>
              </w:rPr>
            </w:pPr>
            <w:r>
              <w:rPr>
                <w:highlight w:val="none"/>
              </w:rPr>
              <w:t xml:space="preserve">2、</w:t>
            </w:r>
            <w:r>
              <w:rPr>
                <w:rFonts w:hint="eastAsia"/>
                <w:highlight w:val="none"/>
              </w:rPr>
              <w:t xml:space="preserve">投标人拟派遣的</w:t>
            </w:r>
            <w:r>
              <w:rPr>
                <w:highlight w:val="none"/>
              </w:rPr>
              <w:t xml:space="preserve">项目</w:t>
            </w:r>
            <w:r>
              <w:rPr>
                <w:rFonts w:hint="eastAsia"/>
                <w:highlight w:val="none"/>
              </w:rPr>
              <w:t xml:space="preserve">组</w:t>
            </w:r>
            <w:r>
              <w:rPr>
                <w:highlight w:val="none"/>
              </w:rPr>
              <w:t xml:space="preserve">技术负责人同时具有注册测绘师证书</w:t>
            </w:r>
            <w:r>
              <w:rPr>
                <w:rFonts w:hint="eastAsia"/>
                <w:highlight w:val="none"/>
              </w:rPr>
              <w:t xml:space="preserve">及</w:t>
            </w:r>
            <w:r>
              <w:rPr>
                <w:highlight w:val="none"/>
              </w:rPr>
              <w:t xml:space="preserve">测绘</w:t>
            </w:r>
            <w:r>
              <w:rPr>
                <w:rFonts w:hint="eastAsia"/>
                <w:highlight w:val="none"/>
              </w:rPr>
              <w:t xml:space="preserve">相关专业</w:t>
            </w:r>
            <w:r>
              <w:rPr>
                <w:highlight w:val="none"/>
              </w:rPr>
              <w:t xml:space="preserve">高级</w:t>
            </w:r>
            <w:r>
              <w:rPr>
                <w:rFonts w:hint="eastAsia"/>
                <w:highlight w:val="none"/>
              </w:rPr>
              <w:t xml:space="preserve">（及以上）</w:t>
            </w:r>
            <w:r>
              <w:rPr>
                <w:highlight w:val="none"/>
              </w:rPr>
              <w:t xml:space="preserve">工程师证书</w:t>
            </w:r>
            <w:r>
              <w:rPr>
                <w:rFonts w:hint="eastAsia"/>
                <w:highlight w:val="none"/>
              </w:rPr>
              <w:t xml:space="preserve">的</w:t>
            </w:r>
            <w:r>
              <w:rPr>
                <w:highlight w:val="none"/>
              </w:rPr>
              <w:t xml:space="preserve">得</w:t>
            </w:r>
            <w:r>
              <w:rPr>
                <w:rFonts w:hint="eastAsia"/>
                <w:highlight w:val="none"/>
              </w:rPr>
              <w:t xml:space="preserve">5</w:t>
            </w:r>
            <w:r>
              <w:rPr>
                <w:highlight w:val="none"/>
              </w:rPr>
              <w:t xml:space="preserve">分</w:t>
            </w:r>
            <w:r>
              <w:rPr>
                <w:rFonts w:hint="eastAsia"/>
                <w:highlight w:val="none"/>
              </w:rPr>
              <w:t xml:space="preserve">。</w:t>
            </w:r>
            <w:r>
              <w:rPr>
                <w:highlight w:val="none"/>
              </w:rPr>
              <w:t xml:space="preserve"> </w:t>
            </w:r>
            <w:r/>
          </w:p>
          <w:p>
            <w:pPr>
              <w:jc w:val="left"/>
              <w:rPr>
                <w:highlight w:val="none"/>
              </w:rPr>
            </w:pPr>
            <w:r>
              <w:rPr>
                <w:rFonts w:hint="eastAsia" w:ascii="宋体" w:hAnsi="宋体" w:cs="宋体"/>
                <w:sz w:val="22"/>
                <w:szCs w:val="24"/>
                <w:highlight w:val="none"/>
              </w:rPr>
              <w:t xml:space="preserve">注：（1）须提供相应证书电子件加盖公章及投标人2024年03月以来投标人为其缴纳的任意1个月的社保缴纳证明材料（以社保主管部门出具的证明材料为准），不提供或提供不全不予计分；（2）专业以职称评审表或毕业证书或注册证书为准。</w:t>
            </w:r>
            <w:r/>
          </w:p>
        </w:tc>
      </w:tr>
      <w:tr>
        <w:trPr/>
        <w:tc>
          <w:tcPr>
            <w:tcBorders>
              <w:left w:val="single" w:color="auto" w:sz="6" w:space="0"/>
              <w:bottom w:val="single" w:color="auto" w:sz="6" w:space="0"/>
              <w:right w:val="single" w:color="auto" w:sz="6" w:space="0"/>
            </w:tcBorders>
            <w:tcW w:w="709" w:type="pct"/>
            <w:vAlign w:val="center"/>
            <w:vMerge w:val="continue"/>
            <w:textDirection w:val="lrTb"/>
            <w:noWrap w:val="false"/>
          </w:tcPr>
          <w:p>
            <w:pPr>
              <w:jc w:val="left"/>
              <w:rPr>
                <w:rFonts w:ascii="Times New Roman" w:hAnsi="Times New Roman"/>
                <w:highlight w:val="none"/>
              </w:rPr>
            </w:pPr>
            <w:r>
              <w:rPr>
                <w:rFonts w:ascii="Times New Roman" w:hAnsi="Times New Roman"/>
                <w:highlight w:val="none"/>
              </w:rPr>
            </w:r>
            <w:r/>
          </w:p>
        </w:tc>
        <w:tc>
          <w:tcPr>
            <w:tcBorders>
              <w:top w:val="single" w:color="auto" w:sz="6" w:space="0"/>
              <w:left w:val="single" w:color="auto" w:sz="6" w:space="0"/>
              <w:bottom w:val="single" w:color="auto" w:sz="6" w:space="0"/>
              <w:right w:val="single" w:color="auto" w:sz="6" w:space="0"/>
            </w:tcBorders>
            <w:tcW w:w="1288" w:type="pct"/>
            <w:vAlign w:val="center"/>
            <w:textDirection w:val="lrTb"/>
            <w:noWrap w:val="false"/>
          </w:tcPr>
          <w:p>
            <w:pPr>
              <w:jc w:val="left"/>
              <w:rPr>
                <w:highlight w:val="none"/>
              </w:rPr>
            </w:pPr>
            <w:r>
              <w:rPr>
                <w:rFonts w:hint="eastAsia"/>
                <w:highlight w:val="none"/>
              </w:rPr>
              <w:t xml:space="preserve">项目组其他成员</w:t>
            </w:r>
            <w:r/>
          </w:p>
        </w:tc>
        <w:tc>
          <w:tcPr>
            <w:tcBorders>
              <w:top w:val="single" w:color="auto" w:sz="6" w:space="0"/>
              <w:left w:val="single" w:color="auto" w:sz="6" w:space="0"/>
              <w:bottom w:val="single" w:color="auto" w:sz="6" w:space="0"/>
              <w:right w:val="single" w:color="auto" w:sz="6" w:space="0"/>
            </w:tcBorders>
            <w:tcW w:w="491" w:type="pct"/>
            <w:vAlign w:val="center"/>
            <w:textDirection w:val="lrTb"/>
            <w:noWrap w:val="false"/>
          </w:tcPr>
          <w:p>
            <w:pPr>
              <w:rPr>
                <w:highlight w:val="none"/>
              </w:rPr>
            </w:pPr>
            <w:r>
              <w:rPr>
                <w:rFonts w:hint="eastAsia"/>
                <w:highlight w:val="none"/>
              </w:rPr>
              <w:t xml:space="preserve">13</w:t>
            </w:r>
            <w:r>
              <w:rPr>
                <w:highlight w:val="none"/>
              </w:rPr>
              <w:t xml:space="preserve">.00</w:t>
            </w:r>
            <w:r>
              <w:rPr>
                <w:rFonts w:hint="eastAsia"/>
                <w:highlight w:val="none"/>
              </w:rPr>
              <w:t xml:space="preserve">分</w:t>
            </w:r>
            <w:r/>
          </w:p>
        </w:tc>
        <w:tc>
          <w:tcPr>
            <w:tcBorders>
              <w:top w:val="single" w:color="auto" w:sz="6" w:space="0"/>
              <w:left w:val="single" w:color="auto" w:sz="6" w:space="0"/>
              <w:bottom w:val="single" w:color="auto" w:sz="6" w:space="0"/>
              <w:right w:val="single" w:color="auto" w:sz="6" w:space="0"/>
            </w:tcBorders>
            <w:tcW w:w="2511" w:type="pct"/>
            <w:vAlign w:val="center"/>
            <w:textDirection w:val="lrTb"/>
            <w:noWrap w:val="false"/>
          </w:tcPr>
          <w:p>
            <w:pPr>
              <w:jc w:val="left"/>
              <w:rPr>
                <w:highlight w:val="none"/>
              </w:rPr>
            </w:pPr>
            <w:r>
              <w:rPr>
                <w:rFonts w:hint="eastAsia"/>
                <w:highlight w:val="none"/>
              </w:rPr>
              <w:t xml:space="preserve">投标人拟派遣的</w:t>
            </w:r>
            <w:r>
              <w:rPr>
                <w:highlight w:val="none"/>
              </w:rPr>
              <w:t xml:space="preserve">项目组</w:t>
            </w:r>
            <w:r>
              <w:rPr>
                <w:rFonts w:hint="eastAsia"/>
                <w:highlight w:val="none"/>
              </w:rPr>
              <w:t xml:space="preserve">其他</w:t>
            </w:r>
            <w:r>
              <w:rPr>
                <w:highlight w:val="none"/>
              </w:rPr>
              <w:t xml:space="preserve">人员（项目负责人、技术负责人除外）具有测绘</w:t>
            </w:r>
            <w:r>
              <w:rPr>
                <w:rFonts w:hint="eastAsia"/>
                <w:highlight w:val="none"/>
              </w:rPr>
              <w:t xml:space="preserve">相关专业</w:t>
            </w:r>
            <w:r>
              <w:rPr>
                <w:highlight w:val="none"/>
              </w:rPr>
              <w:t xml:space="preserve">高级</w:t>
            </w:r>
            <w:r>
              <w:rPr>
                <w:rFonts w:hint="eastAsia"/>
                <w:highlight w:val="none"/>
              </w:rPr>
              <w:t xml:space="preserve">（及以上）</w:t>
            </w:r>
            <w:r>
              <w:rPr>
                <w:highlight w:val="none"/>
              </w:rPr>
              <w:t xml:space="preserve">工程师证书</w:t>
            </w:r>
            <w:r>
              <w:rPr>
                <w:rFonts w:hint="eastAsia"/>
                <w:highlight w:val="none"/>
              </w:rPr>
              <w:t xml:space="preserve">的每有1人得3分，具有</w:t>
            </w:r>
            <w:r>
              <w:rPr>
                <w:highlight w:val="none"/>
              </w:rPr>
              <w:t xml:space="preserve">注册测绘师证书证书的，每有一人</w:t>
            </w:r>
            <w:r>
              <w:rPr>
                <w:rFonts w:hint="eastAsia"/>
                <w:highlight w:val="none"/>
              </w:rPr>
              <w:t xml:space="preserve">得2</w:t>
            </w:r>
            <w:r>
              <w:rPr>
                <w:highlight w:val="none"/>
              </w:rPr>
              <w:t xml:space="preserve">分</w:t>
            </w:r>
            <w:r>
              <w:rPr>
                <w:rFonts w:hint="eastAsia"/>
                <w:highlight w:val="none"/>
                <w:lang w:eastAsia="zh-CN"/>
              </w:rPr>
              <w:t xml:space="preserve">；</w:t>
            </w:r>
            <w:r>
              <w:rPr>
                <w:rFonts w:hint="eastAsia"/>
                <w:highlight w:val="none"/>
              </w:rPr>
              <w:t xml:space="preserve">具有</w:t>
            </w:r>
            <w:r>
              <w:rPr>
                <w:highlight w:val="none"/>
              </w:rPr>
              <w:t xml:space="preserve">测绘</w:t>
            </w:r>
            <w:r>
              <w:rPr>
                <w:rFonts w:hint="eastAsia"/>
                <w:highlight w:val="none"/>
              </w:rPr>
              <w:t xml:space="preserve">相关专业中级</w:t>
            </w:r>
            <w:r>
              <w:rPr>
                <w:highlight w:val="none"/>
              </w:rPr>
              <w:t xml:space="preserve">工程师证书</w:t>
            </w:r>
            <w:r>
              <w:rPr>
                <w:rFonts w:hint="eastAsia"/>
                <w:highlight w:val="none"/>
              </w:rPr>
              <w:t xml:space="preserve">的</w:t>
            </w:r>
            <w:r>
              <w:rPr>
                <w:highlight w:val="none"/>
              </w:rPr>
              <w:t xml:space="preserve">，每有一人</w:t>
            </w:r>
            <w:r>
              <w:rPr>
                <w:rFonts w:hint="eastAsia"/>
                <w:highlight w:val="none"/>
              </w:rPr>
              <w:t xml:space="preserve">得1</w:t>
            </w:r>
            <w:r>
              <w:rPr>
                <w:highlight w:val="none"/>
              </w:rPr>
              <w:t xml:space="preserve">分</w:t>
            </w:r>
            <w:r>
              <w:rPr>
                <w:rFonts w:hint="eastAsia"/>
                <w:highlight w:val="none"/>
                <w:lang w:eastAsia="zh-CN"/>
              </w:rPr>
              <w:t xml:space="preserve">；</w:t>
            </w:r>
            <w:r>
              <w:rPr>
                <w:rFonts w:hint="eastAsia"/>
                <w:highlight w:val="none"/>
              </w:rPr>
              <w:t xml:space="preserve">本项</w:t>
            </w:r>
            <w:r>
              <w:rPr>
                <w:highlight w:val="none"/>
              </w:rPr>
              <w:t xml:space="preserve">最高</w:t>
            </w:r>
            <w:r>
              <w:rPr>
                <w:rFonts w:hint="eastAsia"/>
                <w:highlight w:val="none"/>
              </w:rPr>
              <w:t xml:space="preserve">得13分。</w:t>
            </w:r>
            <w:r>
              <w:rPr>
                <w:rFonts w:hint="eastAsia" w:ascii="宋体" w:hAnsi="宋体" w:cs="宋体"/>
                <w:sz w:val="22"/>
                <w:szCs w:val="24"/>
                <w:highlight w:val="none"/>
              </w:rPr>
              <w:t xml:space="preserve">注：（1）须提供相应证书电子件加盖公章及投标人2024年03月以来投标人为其缴纳的任意1个月的社保缴纳证明材料（以社保主管部门出具的证明材料为准），不提供或提供不全不予计分；（2）专业以职称评审表或毕业证书或注册证书为准。</w:t>
            </w:r>
            <w:r/>
          </w:p>
        </w:tc>
      </w:tr>
    </w:tbl>
    <w:p>
      <w:pPr>
        <w:rPr>
          <w:highlight w:val="none"/>
        </w:rPr>
      </w:pPr>
      <w:r>
        <w:rPr>
          <w:rFonts w:hint="eastAsia"/>
          <w:color w:val="000080"/>
          <w:sz w:val="20"/>
          <w:highlight w:val="none"/>
        </w:rPr>
        <w:t xml:space="preserve"> </w:t>
      </w:r>
      <w:bookmarkEnd w:id="158"/>
      <w:r/>
      <w:r/>
    </w:p>
    <w:p>
      <w:pPr>
        <w:ind w:right="-10" w:firstLine="482"/>
        <w:spacing w:line="360" w:lineRule="auto"/>
        <w:rPr>
          <w:rFonts w:ascii="仿宋_GB2312" w:eastAsia="仿宋_GB2312"/>
          <w:sz w:val="24"/>
          <w:highlight w:val="none"/>
        </w:rPr>
      </w:pPr>
      <w:r>
        <w:rPr>
          <w:rFonts w:hint="eastAsia" w:ascii="仿宋_GB2312" w:eastAsia="仿宋_GB2312"/>
          <w:b/>
          <w:sz w:val="24"/>
          <w:highlight w:val="none"/>
        </w:rPr>
        <w:t xml:space="preserve">4、评标结果。</w:t>
      </w:r>
      <w:r>
        <w:rPr>
          <w:rFonts w:hint="eastAsia" w:ascii="仿宋_GB2312" w:eastAsia="仿宋_GB2312"/>
          <w:sz w:val="24"/>
          <w:highlight w:val="none"/>
        </w:rPr>
        <w:t xml:space="preserve">评标委员会按照本办法规定推荐中标候选人，并形成评标报告。</w:t>
      </w:r>
      <w:r/>
    </w:p>
    <w:p>
      <w:pPr>
        <w:rPr>
          <w:highlight w:val="none"/>
        </w:rPr>
      </w:pPr>
      <w:r/>
      <w:bookmarkStart w:id="159" w:name="EBd5bea3a3c3254523b93c8abaa514fb10"/>
      <w:r>
        <w:rPr>
          <w:rFonts w:hint="eastAsia"/>
          <w:color w:val="000080"/>
          <w:sz w:val="20"/>
          <w:highlight w:val="none"/>
        </w:rPr>
        <w:t xml:space="preserve"> </w:t>
      </w:r>
      <w:bookmarkEnd w:id="159"/>
      <w:r/>
      <w:r/>
    </w:p>
    <w:p>
      <w:pPr>
        <w:jc w:val="center"/>
        <w:keepLines/>
        <w:keepNext/>
        <w:pageBreakBefore/>
        <w:rPr>
          <w:b/>
          <w:sz w:val="44"/>
          <w:szCs w:val="44"/>
          <w:highlight w:val="none"/>
        </w:rPr>
        <w:outlineLvl w:val="0"/>
      </w:pPr>
      <w:r/>
      <w:bookmarkStart w:id="160" w:name="_Toc81575168"/>
      <w:r/>
      <w:bookmarkStart w:id="161" w:name="_Toc81575205"/>
      <w:r/>
      <w:bookmarkStart w:id="162" w:name="_Toc3665"/>
      <w:r>
        <w:rPr>
          <w:rFonts w:hint="eastAsia"/>
          <w:b/>
          <w:sz w:val="44"/>
          <w:szCs w:val="44"/>
          <w:highlight w:val="none"/>
        </w:rPr>
        <w:t xml:space="preserve">第四部分</w:t>
      </w:r>
      <w:r>
        <w:rPr>
          <w:b/>
          <w:sz w:val="44"/>
          <w:szCs w:val="44"/>
          <w:highlight w:val="none"/>
        </w:rPr>
        <w:t xml:space="preserve"> </w:t>
      </w:r>
      <w:r>
        <w:rPr>
          <w:rFonts w:hint="eastAsia"/>
          <w:b/>
          <w:sz w:val="44"/>
          <w:szCs w:val="44"/>
          <w:highlight w:val="none"/>
        </w:rPr>
        <w:t xml:space="preserve">采购需求</w:t>
      </w:r>
      <w:bookmarkEnd w:id="160"/>
      <w:r/>
      <w:bookmarkEnd w:id="161"/>
      <w:r/>
      <w:bookmarkEnd w:id="162"/>
      <w:r/>
      <w:r/>
    </w:p>
    <w:p>
      <w:pPr>
        <w:pStyle w:val="992"/>
        <w:ind w:firstLine="542"/>
        <w:spacing w:line="360" w:lineRule="auto"/>
        <w:widowControl/>
        <w:rPr>
          <w:rFonts w:ascii="宋体" w:hAnsi="宋体" w:cs="宋体"/>
          <w:b/>
          <w:spacing w:val="15"/>
          <w:sz w:val="24"/>
          <w:highlight w:val="none"/>
        </w:rPr>
      </w:pPr>
      <w:r/>
      <w:bookmarkStart w:id="163" w:name="_Toc11773"/>
      <w:r>
        <w:rPr>
          <w:rFonts w:hint="eastAsia" w:ascii="宋体" w:hAnsi="宋体" w:cs="宋体"/>
          <w:b/>
          <w:spacing w:val="15"/>
          <w:sz w:val="24"/>
          <w:highlight w:val="none"/>
        </w:rPr>
        <w:t xml:space="preserve">一、项目概况</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为贯彻落实部自然资源确权登记局《关于进一步做好农村不动产确权登记工作的通知》（自然资登记函[2019]6号）的文件、《江苏省自然资源厅关于开展我省房地一体农村不动产登记颁证示范点建设工作的通知》（苏自然资函[2020]229号）以及《自然资源部关于持续推进农村房地一体宅基地确权登记颁证工作的通知》（自然资发[2023]109号）等文件要求，结合土地使用制度改革和不动产统一登记工作的实际需要，编制宿城区房地一体农村不动产登记发证及常态化确权登记工作实施方案，开展宿城区房地一体农村不动产登记发证项目。</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本次采购内容为</w:t>
      </w:r>
      <w:r>
        <w:rPr>
          <w:rFonts w:hint="eastAsia" w:ascii="宋体" w:hAnsi="宋体" w:cs="宋体"/>
          <w:sz w:val="24"/>
          <w:szCs w:val="24"/>
          <w:highlight w:val="none"/>
          <w:u w:val="single"/>
        </w:rPr>
        <w:t xml:space="preserve">宿城区房地一体农村不动产登记发证</w:t>
      </w:r>
      <w:r>
        <w:rPr>
          <w:rFonts w:hint="eastAsia" w:ascii="宋体" w:hAnsi="宋体" w:cs="宋体"/>
          <w:sz w:val="24"/>
          <w:szCs w:val="24"/>
          <w:highlight w:val="none"/>
        </w:rPr>
        <w:t xml:space="preserve">，项目预算为</w:t>
      </w:r>
      <w:r>
        <w:rPr>
          <w:rFonts w:hint="eastAsia" w:ascii="宋体" w:hAnsi="宋体" w:cs="宋体"/>
          <w:sz w:val="24"/>
          <w:szCs w:val="24"/>
          <w:highlight w:val="none"/>
          <w:u w:val="single"/>
        </w:rPr>
        <w:t xml:space="preserve">500</w:t>
      </w:r>
      <w:r>
        <w:rPr>
          <w:rFonts w:hint="eastAsia" w:ascii="宋体" w:hAnsi="宋体" w:cs="宋体"/>
          <w:sz w:val="24"/>
          <w:szCs w:val="24"/>
          <w:highlight w:val="none"/>
        </w:rPr>
        <w:t xml:space="preserve">万元（分包一预算为263万元，分包二预算为237万元）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最高限价为494万元（</w:t>
      </w:r>
      <w:r>
        <w:rPr>
          <w:rFonts w:hint="eastAsia" w:ascii="宋体" w:hAnsi="宋体" w:cs="宋体"/>
          <w:sz w:val="24"/>
          <w:szCs w:val="24"/>
          <w:highlight w:val="none"/>
          <w:lang w:eastAsia="zh-CN"/>
        </w:rPr>
        <w:t xml:space="preserve">分包一最高支付260万元</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分包二最高支付234万元</w:t>
      </w:r>
      <w:r>
        <w:rPr>
          <w:rFonts w:hint="eastAsia" w:ascii="宋体" w:hAnsi="宋体" w:cs="宋体"/>
          <w:sz w:val="24"/>
          <w:szCs w:val="24"/>
          <w:highlight w:val="none"/>
        </w:rPr>
        <w:t xml:space="preserve">），最高单价限价为</w:t>
      </w:r>
      <w:r>
        <w:rPr>
          <w:rFonts w:hint="eastAsia" w:ascii="宋体" w:hAnsi="宋体" w:cs="宋体"/>
          <w:sz w:val="24"/>
          <w:szCs w:val="24"/>
          <w:highlight w:val="none"/>
          <w:u w:val="single"/>
        </w:rPr>
        <w:t xml:space="preserve">130</w:t>
      </w:r>
      <w:r>
        <w:rPr>
          <w:rFonts w:hint="eastAsia" w:ascii="宋体" w:hAnsi="宋体" w:cs="宋体"/>
          <w:sz w:val="24"/>
          <w:szCs w:val="24"/>
          <w:highlight w:val="none"/>
        </w:rPr>
        <w:t xml:space="preserve">元/宗。</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分包一：支口街道、耿车镇、陈集镇、王官集镇、蔡集镇、龙河镇罗圩片（约2万宗，所有宗数均以实际调查宗地数为准），</w:t>
      </w:r>
      <w:r>
        <w:rPr>
          <w:rFonts w:hint="eastAsia" w:ascii="宋体" w:hAnsi="宋体" w:cs="宋体"/>
          <w:sz w:val="24"/>
          <w:szCs w:val="24"/>
          <w:highlight w:val="none"/>
          <w:lang w:eastAsia="zh-CN"/>
        </w:rPr>
        <w:t xml:space="preserve">分包一最高支付260万元</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分包二：埠子镇、洋北街道、中扬镇、屠园镇、龙河镇龙河片（约1.8万宗，所有宗数均以实际调查宗地数为准），</w:t>
      </w:r>
      <w:r>
        <w:rPr>
          <w:rFonts w:hint="eastAsia" w:ascii="宋体" w:hAnsi="宋体" w:cs="宋体"/>
          <w:sz w:val="24"/>
          <w:szCs w:val="24"/>
          <w:highlight w:val="none"/>
          <w:lang w:eastAsia="zh-CN"/>
        </w:rPr>
        <w:t xml:space="preserve">分包二最高支付234万元</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注：按分包一至分包二的顺序开标、评标、定标，每个投标人可以参与全部分包的投标，但只能中一个分包。被推荐为第一中标候选人的，可以参与其他分包的评标，但不参与其它分包中标候选人的推荐。</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评审结束后，若其中一个分包受到质疑投诉等原因，导致本分包评审结果改变，但不影响其他分包的评审结果。 </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二、合同履行期限及地点</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服务期：2024年12月底前完成全部工作内容，同时满足上级主管部门的进度和技术要求。</w:t>
      </w:r>
      <w:r/>
    </w:p>
    <w:p>
      <w:pPr>
        <w:pStyle w:val="656"/>
        <w:ind w:firstLine="480"/>
        <w:spacing w:line="360" w:lineRule="auto"/>
        <w:rPr>
          <w:rFonts w:hAnsi="宋体" w:cs="宋体"/>
          <w:szCs w:val="24"/>
          <w:highlight w:val="none"/>
        </w:rPr>
      </w:pPr>
      <w:r>
        <w:rPr>
          <w:rFonts w:hint="eastAsia" w:hAnsi="宋体" w:cs="宋体"/>
          <w:szCs w:val="24"/>
          <w:highlight w:val="none"/>
        </w:rPr>
        <w:t xml:space="preserve">服务地点：宿迁市宿城区，具体由采购人指定。</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三、付款方式</w:t>
      </w:r>
      <w:r/>
    </w:p>
    <w:p>
      <w:pPr>
        <w:ind w:firstLine="480"/>
        <w:spacing w:line="360" w:lineRule="auto"/>
        <w:rPr>
          <w:rFonts w:ascii="Times New Roman" w:hAnsi="Times New Roman"/>
          <w:color w:val="000000"/>
          <w:sz w:val="24"/>
          <w:highlight w:val="none"/>
        </w:rPr>
      </w:pPr>
      <w:r>
        <w:rPr>
          <w:rFonts w:hint="eastAsia" w:ascii="Times New Roman" w:hAnsi="Times New Roman"/>
          <w:color w:val="000000"/>
          <w:sz w:val="24"/>
          <w:highlight w:val="none"/>
        </w:rPr>
        <w:t xml:space="preserve">对于满足合同约定支付条件的，自收到发票后10个工作日内将资金支付到合同约定的投标人账户或投标人数字人民币账户。</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合同签订后，在收到供应商发票后10个工作日内支付合同总额30%的；完成工作后（以具体实际工作量为准）支付至实际工作量合同价50%；</w:t>
      </w:r>
      <w:r>
        <w:rPr>
          <w:rFonts w:hint="eastAsia" w:ascii="宋体" w:hAnsi="宋体" w:cs="宋体"/>
          <w:sz w:val="24"/>
          <w:szCs w:val="24"/>
          <w:highlight w:val="none"/>
          <w:lang w:eastAsia="zh-CN"/>
        </w:rPr>
        <w:t xml:space="preserve">经采购人验收合格后，采购人将支付到合同总价款的100%</w:t>
      </w:r>
      <w:r>
        <w:rPr>
          <w:rFonts w:hint="eastAsia" w:ascii="宋体" w:hAnsi="宋体" w:cs="宋体"/>
          <w:sz w:val="24"/>
          <w:szCs w:val="24"/>
          <w:highlight w:val="none"/>
        </w:rPr>
        <w:t xml:space="preserve">。</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注：数字人民币为合同价款支付的一种方式。在签订合同时，中标人明确表示无需预付款或者主动要求降低预付款比例的金额，采购人可不适用预付款规定。</w:t>
      </w:r>
      <w:r/>
    </w:p>
    <w:p>
      <w:pPr>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四、服务内容及要求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1、方案编制、标准规范设计及技术培训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结合宿城区实际情况，参考国家、省、市相关政策文件，在充分征求相关部门意见的基础上，编制宿城区房地一体农村不动产登记发证及常态化确权登记工作实施方案，制定和优化工作流程，开展房地一体农村不动产确权登记工作的宣传和技术培训。</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2、资料收集分析利用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利用农村不动产权籍调查成果、土地和房产现有调查及登记资料，村庄布局点规划资料以及户籍人口相关信息，摸清农村不动产登记基本情况，并梳理调查中发现的影响颁证的问题，进行分类汇总。</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3、调查确权工作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对已经完成的权属调查进行复核、完善，在发证时发现的错误宗地进行纠错更新并完成发证工作，必要时通过修补测形成符合登记要求的测量成果。对拟登记的农村不动产，负责完成权属资料的信息录入、数字化、挂接及信息匹配。协助镇村完成“三级确认”信息认定工作，协助完成“三级确认”证明和不动产首次登记公示工作。结合实际情况，对目前已经完成发证前资料准备，并符合发证条件的宗地进行发证工作。</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对宿城区房地一体农村不动产登记数据库进行数据整合清理，消除冗余、重叠的数据，统一底数。通过房地一体宅基地确权登记颁证成果省级预检、部级检查。做好登记成果与宅基地管理、农房建设等常态化确权登记工作更新和衔接，对经批准新建农村村民住宅以及其他登记情况发生变化的，及时开展权籍调查和确权登记，实现“应登尽登”的目标。中标单位需在宿城区三个中心所驻场&gt;1人，最终以实际需求增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服务质量要求①服务态度②信访矛盾纠纷问题处理③相关数据挂接④系统维护等四个方面进行考核，服务期满后未发生矛盾纠纷且处理率达100%计算，若出现发生一起因服务态度问题而产生的重大矛盾纠纷，按3000元/起进行核减。</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4、档案管理与数据挂接</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按照档案管理、移交等相关要求，对确权登记颁证产生的成果资料，完成纸质材料成果的立卷、编号和装订。同时完成纸质档案成果材料的数字化处理，包括案卷整理、资料扫描、图像处理、图像存储、数据挂接、数据关联、档案挂接、数据验收等工作。纸质资料和电子资料及时移交甲方归档。</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投标人根据上述服务内容，全面了解项目背景、项目目标、项目内容和相关需求，制定项目服务方案。</w:t>
      </w:r>
      <w:r/>
    </w:p>
    <w:p>
      <w:pPr>
        <w:pStyle w:val="992"/>
        <w:ind w:firstLine="542"/>
        <w:jc w:val="left"/>
        <w:spacing w:line="360" w:lineRule="auto"/>
        <w:widowControl/>
        <w:rPr>
          <w:rFonts w:ascii="宋体" w:hAnsi="宋体" w:cs="宋体"/>
          <w:b/>
          <w:spacing w:val="15"/>
          <w:sz w:val="24"/>
          <w:highlight w:val="none"/>
        </w:rPr>
      </w:pPr>
      <w:r>
        <w:rPr>
          <w:rFonts w:hint="eastAsia" w:ascii="宋体" w:hAnsi="宋体" w:cs="宋体"/>
          <w:b/>
          <w:spacing w:val="15"/>
          <w:sz w:val="24"/>
          <w:highlight w:val="none"/>
        </w:rPr>
        <w:t xml:space="preserve">五、工作目标</w:t>
      </w:r>
      <w:r/>
    </w:p>
    <w:p>
      <w:pPr>
        <w:pStyle w:val="876"/>
        <w:ind w:firstLine="480"/>
        <w:jc w:val="left"/>
        <w:spacing w:line="360" w:lineRule="auto"/>
        <w:rPr>
          <w:rFonts w:ascii="宋体" w:hAnsi="宋体" w:cs="宋体"/>
          <w:sz w:val="24"/>
          <w:highlight w:val="none"/>
        </w:rPr>
      </w:pPr>
      <w:r>
        <w:rPr>
          <w:rFonts w:hint="eastAsia" w:ascii="宋体" w:hAnsi="宋体" w:cs="宋体"/>
          <w:sz w:val="24"/>
          <w:highlight w:val="none"/>
        </w:rPr>
        <w:t xml:space="preserve">在已经完成农村不动产权籍调查的基础上，摸清宿城区农村不动产登记底数与基本情况，以“总登记”方式对符合登记发证条件的宅基地使用权及其地上房屋所有权进行统一确权登记并颁发不动产权证书。</w:t>
      </w:r>
      <w:r>
        <w:rPr>
          <w:rFonts w:hint="eastAsia" w:ascii="宋体" w:hAnsi="宋体" w:cs="宋体"/>
          <w:sz w:val="24"/>
          <w:szCs w:val="24"/>
          <w:highlight w:val="none"/>
        </w:rPr>
        <w:t xml:space="preserve">编制宿城区房地一体农村不动产登记发证及常态化确权登记工作实施方案</w:t>
      </w:r>
      <w:r>
        <w:rPr>
          <w:rFonts w:hint="eastAsia" w:ascii="宋体" w:hAnsi="宋体" w:cs="宋体"/>
          <w:sz w:val="24"/>
          <w:highlight w:val="none"/>
        </w:rPr>
        <w:t xml:space="preserve">，同步推进房地一体的农村不动产常态化登记。</w:t>
      </w:r>
      <w:r/>
    </w:p>
    <w:p>
      <w:pPr>
        <w:pStyle w:val="876"/>
        <w:ind w:firstLine="480"/>
        <w:jc w:val="left"/>
        <w:spacing w:line="360" w:lineRule="auto"/>
        <w:rPr>
          <w:rFonts w:ascii="宋体" w:hAnsi="宋体" w:cs="宋体"/>
          <w:sz w:val="24"/>
          <w:highlight w:val="none"/>
        </w:rPr>
      </w:pPr>
      <w:r>
        <w:rPr>
          <w:rFonts w:hint="eastAsia" w:ascii="宋体" w:hAnsi="宋体" w:cs="宋体"/>
          <w:sz w:val="24"/>
          <w:highlight w:val="none"/>
        </w:rPr>
        <w:t xml:space="preserve">2024年12月底前完成全部工作内容，同时满足上级主管部门的进度和技术要求。</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服务质量要求：合格。</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投标人根据上述要求制定项目保障方案，方案内容包括但不限于质量保障措施、进度安排等。</w:t>
      </w:r>
      <w:r/>
    </w:p>
    <w:p>
      <w:pPr>
        <w:pStyle w:val="87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六、测绘基准</w:t>
      </w:r>
      <w:r/>
    </w:p>
    <w:p>
      <w:pPr>
        <w:pStyle w:val="876"/>
        <w:ind w:firstLine="480"/>
        <w:spacing w:line="360" w:lineRule="auto"/>
        <w:rPr>
          <w:rFonts w:ascii="宋体" w:hAnsi="宋体" w:cs="宋体"/>
          <w:sz w:val="24"/>
          <w:highlight w:val="none"/>
        </w:rPr>
      </w:pPr>
      <w:r>
        <w:rPr>
          <w:rFonts w:hint="eastAsia" w:ascii="宋体" w:hAnsi="宋体" w:cs="宋体"/>
          <w:sz w:val="24"/>
          <w:highlight w:val="none"/>
        </w:rPr>
        <w:t xml:space="preserve">1、平面坐标系统：采用“2000国家大地坐标系”。</w:t>
      </w:r>
      <w:r/>
    </w:p>
    <w:p>
      <w:pPr>
        <w:pStyle w:val="876"/>
        <w:ind w:firstLine="480"/>
        <w:spacing w:line="360" w:lineRule="auto"/>
        <w:rPr>
          <w:rFonts w:ascii="宋体" w:hAnsi="宋体" w:cs="宋体"/>
          <w:sz w:val="24"/>
          <w:highlight w:val="none"/>
        </w:rPr>
      </w:pPr>
      <w:r>
        <w:rPr>
          <w:rFonts w:hint="eastAsia" w:ascii="宋体" w:hAnsi="宋体" w:cs="宋体"/>
          <w:sz w:val="24"/>
          <w:highlight w:val="none"/>
        </w:rPr>
        <w:t xml:space="preserve">2、高程系统：采用“1985国家高程基准”。</w:t>
      </w:r>
      <w:r/>
    </w:p>
    <w:p>
      <w:pPr>
        <w:pStyle w:val="876"/>
        <w:ind w:firstLine="482"/>
        <w:spacing w:line="360" w:lineRule="auto"/>
        <w:rPr>
          <w:rFonts w:ascii="宋体" w:hAnsi="宋体" w:cs="宋体"/>
          <w:b/>
          <w:bCs/>
          <w:sz w:val="24"/>
          <w:highlight w:val="none"/>
        </w:rPr>
      </w:pPr>
      <w:r>
        <w:rPr>
          <w:rFonts w:hint="eastAsia" w:ascii="宋体" w:hAnsi="宋体" w:cs="宋体"/>
          <w:b/>
          <w:bCs/>
          <w:sz w:val="24"/>
          <w:highlight w:val="none"/>
        </w:rPr>
        <w:t xml:space="preserve">七、技术依据</w:t>
      </w:r>
      <w:r/>
    </w:p>
    <w:p>
      <w:pPr>
        <w:pStyle w:val="876"/>
        <w:ind w:firstLine="480"/>
        <w:spacing w:line="360" w:lineRule="auto"/>
        <w:rPr>
          <w:rFonts w:ascii="宋体" w:hAnsi="宋体" w:cs="宋体"/>
          <w:sz w:val="24"/>
          <w:highlight w:val="none"/>
        </w:rPr>
      </w:pPr>
      <w:r>
        <w:rPr>
          <w:rFonts w:hint="eastAsia" w:ascii="宋体" w:hAnsi="宋体" w:cs="宋体"/>
          <w:sz w:val="24"/>
          <w:highlight w:val="none"/>
        </w:rPr>
        <w:t xml:space="preserve">1、法律、法规、政策文件</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《中华人民共和国物权法》；</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《土地调查条例》；</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《不动产登记暂行条例》；</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《江苏省不动产登记条例》；</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《江苏省土地管理法实施条例》；</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《不动产权籍调查技术方案》（试行）；</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《农村地籍和房屋调查技术方案》（试行）；</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国土资源部关于进一步加快宅基地和集体建设用地确权登记发证有关问题的通知（国土资发[2016]191号）；</w:t>
      </w:r>
      <w:r/>
    </w:p>
    <w:p>
      <w:pPr>
        <w:pStyle w:val="995"/>
        <w:ind w:firstLine="480"/>
        <w:spacing w:line="360" w:lineRule="auto"/>
        <w:widowControl w:val="off"/>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江苏省自然资源厅关于印发《江苏省农村不动产权籍调查和确权登记工作方案》的通知（苏自然资发[2019]961号）。</w:t>
      </w:r>
      <w:r/>
    </w:p>
    <w:p>
      <w:pPr>
        <w:pStyle w:val="876"/>
        <w:ind w:firstLine="480"/>
        <w:spacing w:line="360" w:lineRule="auto"/>
        <w:rPr>
          <w:rFonts w:ascii="宋体" w:hAnsi="宋体" w:cs="宋体"/>
          <w:sz w:val="24"/>
          <w:highlight w:val="none"/>
        </w:rPr>
      </w:pPr>
      <w:r>
        <w:rPr>
          <w:rFonts w:hint="eastAsia" w:ascii="宋体" w:hAnsi="宋体" w:cs="宋体"/>
          <w:sz w:val="24"/>
          <w:highlight w:val="none"/>
        </w:rPr>
        <w:t xml:space="preserve">2、标准、规范</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（1）</w:t>
      </w:r>
      <w:r>
        <w:rPr>
          <w:rFonts w:hint="eastAsia" w:ascii="宋体" w:hAnsi="宋体" w:cs="宋体"/>
          <w:sz w:val="24"/>
          <w:highlight w:val="none"/>
        </w:rPr>
        <w:t xml:space="preserve">《土地利用现状分类》（GB/T 21010-2007）；</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《地籍调查规程》（TD/T 1001-2012）；</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（3）</w:t>
      </w:r>
      <w:r>
        <w:rPr>
          <w:rFonts w:hint="eastAsia" w:ascii="宋体" w:hAnsi="宋体" w:cs="宋体"/>
          <w:sz w:val="24"/>
          <w:highlight w:val="none"/>
        </w:rPr>
        <w:t xml:space="preserve">《宗地代码编制规则》（试行）；</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（4）</w:t>
      </w:r>
      <w:r>
        <w:rPr>
          <w:rFonts w:hint="eastAsia" w:ascii="宋体" w:hAnsi="宋体" w:cs="宋体"/>
          <w:sz w:val="24"/>
          <w:highlight w:val="none"/>
        </w:rPr>
        <w:t xml:space="preserve">《国民经济行业分类（GB/T 4754-2011）》；</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（5）</w:t>
      </w:r>
      <w:r>
        <w:rPr>
          <w:rFonts w:hint="eastAsia" w:ascii="宋体" w:hAnsi="宋体" w:cs="宋体"/>
          <w:sz w:val="24"/>
          <w:highlight w:val="none"/>
        </w:rPr>
        <w:t xml:space="preserve">《土地利用数据库标准》（TD/T 1016-2007）；</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（6）</w:t>
      </w:r>
      <w:r>
        <w:rPr>
          <w:rFonts w:hint="eastAsia" w:ascii="宋体" w:hAnsi="宋体" w:cs="宋体"/>
          <w:sz w:val="24"/>
          <w:highlight w:val="none"/>
        </w:rPr>
        <w:t xml:space="preserve">《城镇地籍数据库标准》 （TD/T 1015-2007）；</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（7）</w:t>
      </w:r>
      <w:r>
        <w:rPr>
          <w:rFonts w:hint="eastAsia" w:ascii="宋体" w:hAnsi="宋体" w:cs="宋体"/>
          <w:sz w:val="24"/>
          <w:highlight w:val="none"/>
        </w:rPr>
        <w:t xml:space="preserve">《江苏省农村不动产权籍调查数据库标准（试行）》；</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（8）</w:t>
      </w:r>
      <w:r>
        <w:rPr>
          <w:rFonts w:hint="eastAsia" w:ascii="宋体" w:hAnsi="宋体" w:cs="宋体"/>
          <w:sz w:val="24"/>
          <w:highlight w:val="none"/>
        </w:rPr>
        <w:t xml:space="preserve">《房产测量规范 第1单元：房产测量规定》（GB/T 17986.1-2000）；</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（9）</w:t>
      </w:r>
      <w:r>
        <w:rPr>
          <w:rFonts w:hint="eastAsia" w:ascii="宋体" w:hAnsi="宋体" w:cs="宋体"/>
          <w:sz w:val="24"/>
          <w:highlight w:val="none"/>
        </w:rPr>
        <w:t xml:space="preserve">《房产测量规范 第2单元：房产图图式》（GB/T 17986.2-2000）；</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（10）</w:t>
      </w:r>
      <w:r>
        <w:rPr>
          <w:rFonts w:hint="eastAsia" w:ascii="宋体" w:hAnsi="宋体" w:cs="宋体"/>
          <w:sz w:val="24"/>
          <w:highlight w:val="none"/>
        </w:rPr>
        <w:t xml:space="preserve">《江苏省地方标准 房屋面积测算技术规程》（DGJ32/TJ131-2011）；</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（11）</w:t>
      </w:r>
      <w:r>
        <w:rPr>
          <w:rFonts w:hint="eastAsia" w:ascii="宋体" w:hAnsi="宋体" w:cs="宋体"/>
          <w:sz w:val="24"/>
          <w:highlight w:val="none"/>
        </w:rPr>
        <w:t xml:space="preserve">《测绘成果质量检查与验收》（GB/T 24356-2009）。</w:t>
      </w:r>
      <w:r/>
    </w:p>
    <w:p>
      <w:pPr>
        <w:pStyle w:val="876"/>
        <w:ind w:firstLine="480"/>
        <w:spacing w:line="360" w:lineRule="auto"/>
        <w:rPr>
          <w:rFonts w:ascii="宋体" w:hAnsi="宋体" w:cs="宋体"/>
          <w:sz w:val="24"/>
          <w:highlight w:val="none"/>
        </w:rPr>
      </w:pPr>
      <w:r>
        <w:rPr>
          <w:rFonts w:hint="eastAsia" w:ascii="宋体" w:hAnsi="宋体" w:cs="宋体"/>
          <w:sz w:val="24"/>
          <w:highlight w:val="none"/>
        </w:rPr>
        <w:t xml:space="preserve">3、其他</w:t>
      </w:r>
      <w:r/>
    </w:p>
    <w:p>
      <w:pPr>
        <w:pStyle w:val="996"/>
        <w:ind w:firstLine="480"/>
        <w:spacing w:line="360" w:lineRule="auto"/>
        <w:widowControl w:val="off"/>
        <w:rPr>
          <w:rFonts w:ascii="宋体" w:hAnsi="宋体" w:cs="宋体"/>
          <w:sz w:val="24"/>
          <w:highlight w:val="none"/>
        </w:rPr>
      </w:pPr>
      <w:r>
        <w:rPr>
          <w:rFonts w:ascii="宋体" w:hAnsi="宋体" w:cs="宋体"/>
          <w:sz w:val="24"/>
          <w:highlight w:val="none"/>
        </w:rPr>
        <w:t xml:space="preserve">（12）</w:t>
      </w:r>
      <w:r>
        <w:rPr>
          <w:rFonts w:hint="eastAsia" w:ascii="宋体" w:hAnsi="宋体" w:cs="宋体"/>
          <w:sz w:val="24"/>
          <w:highlight w:val="none"/>
        </w:rPr>
        <w:t xml:space="preserve">经过审核批准的本项目技术设计书与其他批复意见</w:t>
      </w:r>
      <w:r/>
    </w:p>
    <w:p>
      <w:pPr>
        <w:pStyle w:val="876"/>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八、成果要求及形式</w:t>
      </w:r>
      <w:r/>
    </w:p>
    <w:p>
      <w:pPr>
        <w:pStyle w:val="996"/>
        <w:ind w:firstLine="48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清洗后的房地一体农村不动产登记数据库、房地一体农村不动产登记核减数据库、房地一体宅基地地籍调查数据库。</w:t>
      </w:r>
      <w:r/>
    </w:p>
    <w:p>
      <w:pPr>
        <w:pStyle w:val="996"/>
        <w:ind w:firstLine="48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房地一体农村不动产登记发证数字化扫描档案电子版。</w:t>
      </w:r>
      <w:r/>
    </w:p>
    <w:p>
      <w:pPr>
        <w:pStyle w:val="996"/>
        <w:ind w:firstLine="48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3、房地一体农村不动产确权登记底数统计表。</w:t>
      </w:r>
      <w:r/>
    </w:p>
    <w:p>
      <w:pPr>
        <w:pStyle w:val="996"/>
        <w:ind w:firstLine="48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4、房地一体农村不动产确权登记发证领证登记簿、纸质档案。</w:t>
      </w:r>
      <w:r/>
    </w:p>
    <w:p>
      <w:pPr>
        <w:pStyle w:val="996"/>
        <w:ind w:firstLine="480"/>
        <w:spacing w:line="360" w:lineRule="auto"/>
        <w:widowControl w:val="off"/>
        <w:rPr>
          <w:rFonts w:ascii="宋体" w:hAnsi="宋体" w:cs="宋体"/>
          <w:color w:val="auto"/>
          <w:sz w:val="24"/>
          <w:highlight w:val="none"/>
        </w:rPr>
      </w:pPr>
      <w:r>
        <w:rPr>
          <w:rFonts w:hint="eastAsia" w:ascii="宋体" w:hAnsi="宋体" w:cs="宋体"/>
          <w:color w:val="auto"/>
          <w:sz w:val="24"/>
          <w:highlight w:val="none"/>
        </w:rPr>
        <w:t xml:space="preserve">5、其他按照相关技术规范及省厅要求提交的各项成果，包括文字成果、表格成果、图件成果以及数据库成果等组成。</w:t>
      </w:r>
      <w:r/>
    </w:p>
    <w:p>
      <w:pPr>
        <w:pStyle w:val="876"/>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九、其他要求</w:t>
      </w:r>
      <w:r/>
    </w:p>
    <w:p>
      <w:pPr>
        <w:pStyle w:val="874"/>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1、项目人员配置</w:t>
      </w:r>
      <w:r/>
    </w:p>
    <w:p>
      <w:pPr>
        <w:pStyle w:val="874"/>
        <w:ind w:firstLine="480"/>
        <w:jc w:val="left"/>
        <w:spacing w:line="360" w:lineRule="auto"/>
        <w:rPr>
          <w:rFonts w:ascii="宋体" w:hAnsi="宋体" w:cs="宋体"/>
          <w:highlight w:val="none"/>
        </w:rPr>
      </w:pPr>
      <w:r>
        <w:rPr>
          <w:rFonts w:hint="eastAsia" w:ascii="宋体" w:hAnsi="宋体" w:cs="宋体"/>
          <w:sz w:val="24"/>
          <w:szCs w:val="24"/>
          <w:highlight w:val="none"/>
        </w:rPr>
        <w:t xml:space="preserve">中标人须组建专业的技术服务团队，人员配置满足本次采购需求，其中包含</w:t>
      </w:r>
      <w:r>
        <w:rPr>
          <w:rFonts w:hint="eastAsia" w:ascii="宋体" w:hAnsi="宋体" w:cs="宋体"/>
          <w:sz w:val="24"/>
          <w:szCs w:val="24"/>
          <w:highlight w:val="none"/>
        </w:rPr>
        <w:t xml:space="preserve">项目组负责人1名，项目组技术负责人1名、项目组其他成员不少于4人</w:t>
      </w:r>
      <w:r>
        <w:rPr>
          <w:rFonts w:hint="eastAsia" w:ascii="宋体" w:hAnsi="宋体" w:cs="宋体"/>
          <w:sz w:val="24"/>
          <w:szCs w:val="24"/>
          <w:highlight w:val="none"/>
        </w:rPr>
        <w:t xml:space="preserve">。</w:t>
      </w:r>
      <w:r/>
    </w:p>
    <w:p>
      <w:pPr>
        <w:pStyle w:val="874"/>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2、安全保密措施</w:t>
      </w:r>
      <w:r/>
    </w:p>
    <w:p>
      <w:pPr>
        <w:pStyle w:val="874"/>
        <w:ind w:firstLine="480"/>
        <w:jc w:val="left"/>
        <w:spacing w:line="360" w:lineRule="auto"/>
        <w:rPr>
          <w:rFonts w:ascii="宋体" w:hAnsi="宋体" w:cs="宋体"/>
          <w:highlight w:val="none"/>
        </w:rPr>
      </w:pPr>
      <w:r>
        <w:rPr>
          <w:rFonts w:hint="eastAsia" w:ascii="宋体" w:hAnsi="宋体" w:cs="宋体"/>
          <w:sz w:val="24"/>
          <w:szCs w:val="24"/>
          <w:highlight w:val="none"/>
        </w:rPr>
        <w:t xml:space="preserve">工作中涉及的敏感资料、电子数据等相关信息，中标人应严格执行保密的相关规定，不得以任何方式向任何第三方披露、泄露或许可第三方使用，并与采购单位签订保密协议，否则追究其相应法律责任。</w:t>
      </w:r>
      <w:r/>
    </w:p>
    <w:p>
      <w:pPr>
        <w:pStyle w:val="876"/>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十、验收标准及要求</w:t>
      </w:r>
      <w:bookmarkEnd w:id="163"/>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（一）采购人根据成果要求，项目全部完成后在接到中标验收申请后3个工作日内组织验收，验收无误后出具验收报告。</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验收的标准按照招标文件及采购人对项目相关标准实施，需服从采购人安排要求。中标人应当负责在项目验收前将有关的技术文件、报告等文档汇集成册交付给采购人，如中标人不提供以上资料，采购人有权不办理项目验收程序。</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由采购人自行成立验收小组，按照采购合同的约定对中标人履约情况进行验收。验收时，按照采购合同约定的履约情况进行逐一确认。验收结束后，出具验收书，列明各项标准的验收情况及项目总体评价，由验收双方共同签署。验收结果与采购合同约定的资金支付。履约验收的各项资料存档备查。</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验收合格的项目，采购人根据采购合同的约定及时向中标人支付采购资金。验收不合格的项目，应在1天内向中标人提出书面意见，不签发验收单，并同时将该书面意见提交至政府采购监管部门。中标人在接到采购人书面意见后，应在 2 天内予以处理，并将处理结果以书面形式告知政府采购监管部门。 </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（四）履约验收要求提供的资料有：验收申请书、中标通知书、合同、相关实施方案、进度计划表等。</w:t>
      </w:r>
      <w:r/>
    </w:p>
    <w:p>
      <w:pPr>
        <w:ind w:firstLine="4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（五）将上述资料装订成册一式三份，带原件的供采购人留存。中标人还需出具验收申请，由采购人签字确认后组织验收。</w:t>
      </w:r>
      <w:r/>
    </w:p>
    <w:p>
      <w:pPr>
        <w:pStyle w:val="876"/>
        <w:ind w:firstLine="482"/>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十一、采购本国货物、工程和服务</w:t>
      </w:r>
      <w:r/>
    </w:p>
    <w:p>
      <w:pPr>
        <w:pStyle w:val="876"/>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政府采购应当采购本国货物、工程和服务，但有《中华人民共和国政府采购法》第十条规定情形的除外。</w:t>
      </w:r>
      <w:r/>
    </w:p>
    <w:p>
      <w:pPr>
        <w:ind w:firstLine="1767"/>
        <w:keepLines/>
        <w:keepNext/>
        <w:pageBreakBefore/>
        <w:rPr>
          <w:b/>
          <w:sz w:val="44"/>
          <w:szCs w:val="44"/>
          <w:highlight w:val="none"/>
        </w:rPr>
        <w:outlineLvl w:val="0"/>
      </w:pPr>
      <w:r/>
      <w:bookmarkStart w:id="164" w:name="_Toc81575206"/>
      <w:r/>
      <w:bookmarkStart w:id="165" w:name="_Toc81575169"/>
      <w:r/>
      <w:bookmarkStart w:id="166" w:name="_Toc14802"/>
      <w:r>
        <w:rPr>
          <w:rFonts w:hint="eastAsia"/>
          <w:b/>
          <w:sz w:val="44"/>
          <w:szCs w:val="44"/>
          <w:highlight w:val="none"/>
        </w:rPr>
        <w:t xml:space="preserve">第五部分</w:t>
      </w:r>
      <w:r>
        <w:rPr>
          <w:b/>
          <w:sz w:val="44"/>
          <w:szCs w:val="44"/>
          <w:highlight w:val="none"/>
        </w:rPr>
        <w:t xml:space="preserve">  </w:t>
      </w:r>
      <w:r>
        <w:rPr>
          <w:rFonts w:hint="eastAsia"/>
          <w:b/>
          <w:sz w:val="44"/>
          <w:szCs w:val="44"/>
          <w:highlight w:val="none"/>
        </w:rPr>
        <w:t xml:space="preserve">合同格式及条款</w:t>
      </w:r>
      <w:bookmarkEnd w:id="164"/>
      <w:r/>
      <w:bookmarkEnd w:id="165"/>
      <w:r/>
      <w:bookmarkEnd w:id="166"/>
      <w:r/>
      <w:r/>
    </w:p>
    <w:p>
      <w:pPr>
        <w:pStyle w:val="675"/>
        <w:ind w:firstLine="2640"/>
        <w:jc w:val="both"/>
        <w:keepNext/>
        <w:spacing w:before="0" w:beforeAutospacing="0" w:after="0" w:afterAutospacing="0"/>
        <w:widowControl w:val="off"/>
        <w:rPr>
          <w:highlight w:val="none"/>
        </w:rPr>
      </w:pPr>
      <w:r/>
      <w:bookmarkStart w:id="167" w:name="EB92fb24a891e34ea29920d90c75406592"/>
      <w:r>
        <w:rPr>
          <w:rFonts w:ascii="Times New Roman" w:hAnsi="Times New Roman" w:cs="Times New Roman"/>
          <w:color w:val="000000"/>
          <w:sz w:val="44"/>
          <w:szCs w:val="44"/>
          <w:highlight w:val="none"/>
        </w:rPr>
        <w:t xml:space="preserve">合同文本</w:t>
      </w:r>
      <w:r/>
    </w:p>
    <w:p>
      <w:pPr>
        <w:pStyle w:val="675"/>
        <w:ind w:firstLine="480"/>
        <w:jc w:val="both"/>
        <w:spacing w:before="0" w:beforeAutospacing="0" w:after="0" w:afterAutospacing="0" w:line="360" w:lineRule="auto"/>
        <w:widowControl w:val="off"/>
        <w:rPr>
          <w:highlight w:val="none"/>
        </w:rPr>
      </w:pPr>
      <w:r/>
      <w:bookmarkStart w:id="168" w:name="_Toc20823315"/>
      <w:r/>
      <w:bookmarkStart w:id="169" w:name="_Toc16938559"/>
      <w:r/>
      <w:bookmarkStart w:id="170" w:name="_Toc513029243"/>
      <w:r>
        <w:rPr>
          <w:rFonts w:ascii="Times New Roman" w:hAnsi="Times New Roman" w:cs="Times New Roman"/>
          <w:color w:val="000000"/>
          <w:highlight w:val="none"/>
        </w:rPr>
        <w:t xml:space="preserve">以下为中标后签定本项目合同的通用条款，投标人不得提出实质性的修改。</w:t>
      </w:r>
      <w:bookmarkEnd w:id="168"/>
      <w:r/>
      <w:bookmarkEnd w:id="169"/>
      <w:r/>
      <w:bookmarkEnd w:id="170"/>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关于专用条款将由采购人与投标人结合本项目具体情况协商后签订。</w:t>
      </w:r>
      <w:r/>
    </w:p>
    <w:p>
      <w:pPr>
        <w:pStyle w:val="675"/>
        <w:ind w:firstLine="602"/>
        <w:jc w:val="center"/>
        <w:spacing w:before="0" w:beforeAutospacing="0" w:after="0" w:afterAutospacing="0" w:line="360" w:lineRule="auto"/>
        <w:widowControl w:val="off"/>
        <w:rPr>
          <w:highlight w:val="none"/>
        </w:rPr>
      </w:pPr>
      <w:r/>
      <w:bookmarkStart w:id="171" w:name="_Toc155086567"/>
      <w:r/>
      <w:bookmarkStart w:id="172" w:name="_Toc544"/>
      <w:r/>
      <w:bookmarkStart w:id="173" w:name="_Hlt16619369"/>
      <w:r>
        <w:rPr>
          <w:rFonts w:ascii="Times New Roman" w:hAnsi="Times New Roman" w:cs="Times New Roman"/>
          <w:b/>
          <w:bCs/>
          <w:color w:val="000000"/>
          <w:sz w:val="30"/>
          <w:szCs w:val="30"/>
          <w:highlight w:val="none"/>
        </w:rPr>
        <w:t xml:space="preserve">政府采购合同（</w:t>
      </w:r>
      <w:r>
        <w:rPr>
          <w:rFonts w:ascii="Calibri" w:hAnsi="Calibri" w:cs="Calibri"/>
          <w:b/>
          <w:bCs/>
          <w:color w:val="000000"/>
          <w:sz w:val="30"/>
          <w:szCs w:val="30"/>
          <w:highlight w:val="none"/>
        </w:rPr>
        <w:t xml:space="preserve">服务</w:t>
      </w:r>
      <w:r>
        <w:rPr>
          <w:rFonts w:ascii="Times New Roman" w:hAnsi="Times New Roman" w:cs="Times New Roman"/>
          <w:b/>
          <w:bCs/>
          <w:color w:val="000000"/>
          <w:sz w:val="30"/>
          <w:szCs w:val="30"/>
          <w:highlight w:val="none"/>
        </w:rPr>
        <w:t xml:space="preserve">）（</w:t>
      </w:r>
      <w:r>
        <w:rPr>
          <w:rFonts w:hint="eastAsia" w:ascii="Times New Roman" w:hAnsi="Times New Roman" w:cs="Times New Roman"/>
          <w:b/>
          <w:bCs/>
          <w:color w:val="000000"/>
          <w:sz w:val="30"/>
          <w:szCs w:val="30"/>
          <w:highlight w:val="none"/>
          <w:lang w:eastAsia="zh-CN"/>
        </w:rPr>
        <w:t xml:space="preserve">JSZC-321302-WDGC-G2024-0010</w:t>
      </w:r>
      <w:r>
        <w:rPr>
          <w:rFonts w:ascii="Times New Roman" w:hAnsi="Times New Roman" w:cs="Times New Roman"/>
          <w:b/>
          <w:bCs/>
          <w:color w:val="000000"/>
          <w:sz w:val="30"/>
          <w:szCs w:val="30"/>
          <w:highlight w:val="none"/>
        </w:rPr>
        <w:t xml:space="preserve">）</w:t>
      </w:r>
      <w:bookmarkEnd w:id="171"/>
      <w:r/>
      <w:bookmarkEnd w:id="172"/>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项目名称：</w:t>
      </w:r>
      <w:r>
        <w:rPr>
          <w:rFonts w:hint="eastAsia" w:ascii="Calibri" w:hAnsi="Calibri" w:cs="Calibri"/>
          <w:color w:val="000000"/>
          <w:highlight w:val="none"/>
        </w:rPr>
        <w:t xml:space="preserve">宿城区房地一体农村不动产登记发证</w:t>
      </w:r>
      <w:r>
        <w:rPr>
          <w:rFonts w:ascii="Times New Roman" w:hAnsi="Times New Roman" w:cs="Times New Roman"/>
          <w:color w:val="000000"/>
          <w:highlight w:val="none"/>
        </w:rPr>
        <w:t xml:space="preserve">                   </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项目编号：</w:t>
      </w:r>
      <w:r>
        <w:rPr>
          <w:rFonts w:hint="eastAsia" w:ascii="Calibri" w:hAnsi="Calibri" w:cs="Calibri"/>
          <w:color w:val="000000"/>
          <w:highlight w:val="none"/>
          <w:lang w:eastAsia="zh-CN"/>
        </w:rPr>
        <w:t xml:space="preserve">JSZC-321302-WDGC-G2024-0010</w:t>
      </w:r>
      <w:r>
        <w:rPr>
          <w:rFonts w:ascii="Calibri" w:hAnsi="Calibri" w:cs="Calibri"/>
          <w:color w:val="000000"/>
          <w:highlight w:val="none"/>
        </w:rPr>
        <w:tab/>
      </w:r>
      <w:r>
        <w:rPr>
          <w:rFonts w:ascii="Times New Roman" w:hAnsi="Times New Roman" w:cs="Times New Roman"/>
          <w:color w:val="000000"/>
          <w:highlight w:val="none"/>
        </w:rPr>
        <w:t xml:space="preserve">             </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分包编号：</w:t>
      </w:r>
      <w:r>
        <w:rPr>
          <w:rFonts w:hint="eastAsia" w:ascii="Calibri" w:hAnsi="Calibri" w:cs="Calibri"/>
          <w:color w:val="000000"/>
          <w:highlight w:val="none"/>
          <w:lang w:eastAsia="zh-CN"/>
        </w:rPr>
        <w:t xml:space="preserve">JSZC-321302-WDGC-G2024-0010</w:t>
      </w:r>
      <w:r>
        <w:rPr>
          <w:rFonts w:ascii="Calibri" w:hAnsi="Calibri" w:cs="Calibri"/>
          <w:color w:val="000000"/>
          <w:highlight w:val="none"/>
        </w:rPr>
        <w:tab/>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甲方：（</w:t>
      </w:r>
      <w:r>
        <w:rPr>
          <w:rFonts w:ascii="Calibri" w:hAnsi="Calibri" w:cs="Calibri"/>
          <w:color w:val="000000"/>
          <w:highlight w:val="none"/>
        </w:rPr>
        <w:t xml:space="preserve">采购人</w:t>
      </w:r>
      <w:r>
        <w:rPr>
          <w:rFonts w:ascii="Times New Roman" w:hAnsi="Times New Roman" w:cs="Times New Roman"/>
          <w:color w:val="000000"/>
          <w:highlight w:val="none"/>
        </w:rPr>
        <w:t xml:space="preserve">）_________</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乙方：（</w:t>
      </w:r>
      <w:r>
        <w:rPr>
          <w:rFonts w:ascii="Calibri" w:hAnsi="Calibri" w:cs="Calibri"/>
          <w:color w:val="000000"/>
          <w:highlight w:val="none"/>
        </w:rPr>
        <w:t xml:space="preserve">中标人</w:t>
      </w:r>
      <w:r>
        <w:rPr>
          <w:rFonts w:ascii="Times New Roman" w:hAnsi="Times New Roman" w:cs="Times New Roman"/>
          <w:color w:val="000000"/>
          <w:highlight w:val="none"/>
        </w:rPr>
        <w:t xml:space="preserve">）_________</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   </w:t>
      </w:r>
      <w:r>
        <w:rPr>
          <w:rFonts w:ascii="Times New Roman" w:hAnsi="Times New Roman" w:cs="Times New Roman"/>
          <w:color w:val="000000"/>
          <w:highlight w:val="none"/>
        </w:rPr>
        <w:t xml:space="preserve">甲、乙双方根据</w:t>
      </w:r>
      <w:r>
        <w:rPr>
          <w:rFonts w:ascii="Times New Roman" w:hAnsi="Times New Roman" w:cs="Times New Roman"/>
          <w:color w:val="000000"/>
          <w:highlight w:val="none"/>
          <w:u w:val="single"/>
        </w:rPr>
        <w:t xml:space="preserve"> </w:t>
      </w:r>
      <w:r>
        <w:rPr>
          <w:rFonts w:hint="eastAsia" w:ascii="Calibri" w:hAnsi="Calibri" w:cs="Calibri"/>
          <w:color w:val="000000"/>
          <w:highlight w:val="none"/>
          <w:u w:val="single"/>
        </w:rPr>
        <w:t xml:space="preserve">宿城区房地一体农村不动产登记发证</w:t>
      </w:r>
      <w:r>
        <w:rPr>
          <w:rFonts w:ascii="Times New Roman" w:hAnsi="Times New Roman" w:cs="Times New Roman"/>
          <w:color w:val="000000"/>
          <w:highlight w:val="none"/>
          <w:u w:val="single"/>
        </w:rPr>
        <w:t xml:space="preserve"> </w:t>
      </w:r>
      <w:r>
        <w:rPr>
          <w:rFonts w:ascii="Times New Roman" w:hAnsi="Times New Roman" w:cs="Times New Roman"/>
          <w:color w:val="000000"/>
          <w:highlight w:val="none"/>
        </w:rPr>
        <w:t xml:space="preserve">（项目编号：</w:t>
      </w:r>
      <w:r>
        <w:rPr>
          <w:rFonts w:hint="eastAsia" w:ascii="Calibri" w:hAnsi="Calibri" w:cs="Calibri"/>
          <w:color w:val="000000"/>
          <w:highlight w:val="none"/>
          <w:lang w:eastAsia="zh-CN"/>
        </w:rPr>
        <w:t xml:space="preserve">JSZC-321302-WDGC-G2024-0010</w:t>
      </w:r>
      <w:r>
        <w:rPr>
          <w:rFonts w:ascii="Times New Roman" w:hAnsi="Times New Roman" w:cs="Times New Roman"/>
          <w:color w:val="000000"/>
          <w:highlight w:val="none"/>
        </w:rPr>
        <w:t xml:space="preserve">）公开招标的结果，签署本合同。</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一、合同内容</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1.1 标的名称：</w:t>
      </w:r>
      <w:r>
        <w:rPr>
          <w:rFonts w:hint="eastAsia" w:ascii="Calibri" w:hAnsi="Calibri" w:cs="Calibri"/>
          <w:color w:val="000000"/>
          <w:highlight w:val="none"/>
        </w:rPr>
        <w:t xml:space="preserve">宿城区房地一体农村不动产登记发证</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1.2 标的质量</w:t>
      </w:r>
      <w:r>
        <w:rPr>
          <w:rFonts w:ascii="Calibri" w:hAnsi="Calibri" w:cs="Calibri"/>
          <w:color w:val="000000"/>
          <w:highlight w:val="none"/>
        </w:rPr>
        <w:t xml:space="preserve">要求</w:t>
      </w:r>
      <w:r>
        <w:rPr>
          <w:rFonts w:ascii="Times New Roman" w:hAnsi="Times New Roman" w:cs="Times New Roman"/>
          <w:color w:val="000000"/>
          <w:highlight w:val="none"/>
        </w:rPr>
        <w:t xml:space="preserve">：</w:t>
      </w:r>
      <w:r>
        <w:rPr>
          <w:rFonts w:ascii="Calibri" w:hAnsi="Calibri" w:cs="Calibri"/>
          <w:color w:val="000000"/>
          <w:highlight w:val="none"/>
        </w:rPr>
        <w:t xml:space="preserve">合格。</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1.3 标的数量（规模）：</w:t>
      </w:r>
      <w:r>
        <w:rPr>
          <w:rFonts w:ascii="Calibri" w:hAnsi="Calibri" w:cs="Calibri"/>
          <w:color w:val="000000"/>
          <w:highlight w:val="none"/>
        </w:rPr>
        <w:t xml:space="preserve">详见合同清单，可另附。</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1.4 履行时间（期限）</w:t>
      </w:r>
      <w:r/>
    </w:p>
    <w:p>
      <w:pPr>
        <w:pStyle w:val="675"/>
        <w:ind w:firstLine="480"/>
        <w:jc w:val="both"/>
        <w:spacing w:before="0" w:beforeAutospacing="0" w:after="0" w:afterAutospacing="0" w:line="360" w:lineRule="auto"/>
        <w:widowControl w:val="off"/>
        <w:rPr>
          <w:highlight w:val="none"/>
        </w:rPr>
      </w:pPr>
      <w:r>
        <w:rPr>
          <w:rFonts w:ascii="Calibri" w:hAnsi="Calibri" w:cs="Calibri"/>
          <w:color w:val="000000"/>
          <w:highlight w:val="none"/>
        </w:rPr>
        <w:t xml:space="preserve">2024年12月底前完成全部工作内容，同时满足上级主管部门的进度和技术要求。</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1.5 履行地点：宿迁市宿城区，具体由采购人指定</w:t>
      </w:r>
      <w:r>
        <w:rPr>
          <w:rFonts w:ascii="Calibri" w:hAnsi="Calibri" w:cs="Calibri"/>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1.6 履行方式：按照</w:t>
      </w:r>
      <w:r>
        <w:rPr>
          <w:rFonts w:ascii="Calibri" w:hAnsi="Calibri" w:cs="Calibri"/>
          <w:color w:val="000000"/>
          <w:highlight w:val="none"/>
        </w:rPr>
        <w:t xml:space="preserve">招标</w:t>
      </w:r>
      <w:r>
        <w:rPr>
          <w:rFonts w:ascii="Times New Roman" w:hAnsi="Times New Roman" w:cs="Times New Roman"/>
          <w:color w:val="000000"/>
          <w:highlight w:val="none"/>
        </w:rPr>
        <w:t xml:space="preserve">文件要求、投标文件内容及合同履行条款履行本合同</w:t>
      </w:r>
      <w:r>
        <w:rPr>
          <w:rFonts w:ascii="Calibri" w:hAnsi="Calibri" w:cs="Calibri"/>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1.7 服务内容及要求</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1、方案编制、标准规范设计及技术培训</w:t>
      </w:r>
      <w:r/>
    </w:p>
    <w:p>
      <w:pPr>
        <w:pStyle w:val="675"/>
        <w:ind w:firstLine="480"/>
        <w:jc w:val="both"/>
        <w:spacing w:before="0" w:beforeAutospacing="0" w:after="0" w:afterAutospacing="0" w:line="360" w:lineRule="auto"/>
        <w:rPr>
          <w:color w:val="000000"/>
          <w:highlight w:val="none"/>
        </w:rPr>
      </w:pPr>
      <w:r>
        <w:rPr>
          <w:color w:val="000000"/>
          <w:highlight w:val="none"/>
        </w:rPr>
        <w:t xml:space="preserve">结合宿城区实际情况，参考国家、省、市相关政策文件，在充分征求相关部门意见的基础上，编制宿城区房地一体农村不动产登记发证及常态化确权登记工作实施方案，制定和优化工作流程，开展房地一体农村不动产确权登记工作的宣传和技术培训。</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2、资料收集分析利用</w:t>
      </w:r>
      <w:r/>
    </w:p>
    <w:p>
      <w:pPr>
        <w:pStyle w:val="675"/>
        <w:ind w:firstLine="480"/>
        <w:jc w:val="both"/>
        <w:spacing w:before="0" w:beforeAutospacing="0" w:after="0" w:afterAutospacing="0" w:line="360" w:lineRule="auto"/>
        <w:rPr>
          <w:color w:val="000000"/>
          <w:highlight w:val="none"/>
        </w:rPr>
      </w:pPr>
      <w:r>
        <w:rPr>
          <w:color w:val="000000"/>
          <w:highlight w:val="none"/>
        </w:rPr>
        <w:t xml:space="preserve">利用农村不动产权籍调查成果、土地和房产现有调查及登记资料，村庄布局点规划资料以及户籍人口相关信息，摸清农村不动产登记基本情况，并梳理调查中发现的影响颁证的问题，进行分类汇总。</w:t>
      </w:r>
      <w:r/>
    </w:p>
    <w:p>
      <w:pPr>
        <w:pStyle w:val="675"/>
        <w:ind w:firstLine="480"/>
        <w:jc w:val="both"/>
        <w:spacing w:before="0" w:beforeAutospacing="0" w:after="0" w:afterAutospacing="0" w:line="360" w:lineRule="auto"/>
        <w:rPr>
          <w:color w:val="000000"/>
          <w:highlight w:val="none"/>
        </w:rPr>
      </w:pPr>
      <w:r>
        <w:rPr>
          <w:color w:val="000000"/>
          <w:highlight w:val="none"/>
        </w:rPr>
        <w:t xml:space="preserve">3、调查确权工作</w:t>
      </w:r>
      <w:r/>
    </w:p>
    <w:p>
      <w:pPr>
        <w:pStyle w:val="675"/>
        <w:ind w:firstLine="480"/>
        <w:jc w:val="both"/>
        <w:spacing w:before="0" w:beforeAutospacing="0" w:after="0" w:afterAutospacing="0" w:line="360" w:lineRule="auto"/>
        <w:rPr>
          <w:color w:val="000000"/>
          <w:highlight w:val="none"/>
        </w:rPr>
      </w:pPr>
      <w:r>
        <w:rPr>
          <w:color w:val="000000"/>
          <w:highlight w:val="none"/>
        </w:rPr>
        <w:t xml:space="preserve">对已经完成的权属调查进行复核、完善，在发证时发现的错误宗地进行纠错更新并完成发证工作，必要时通过修补测形成符合登记要求的测量成果。对拟登记的农村不动产，负责完成权属资料的信息录入、数字化、挂接及信息匹配。协助镇村完成“三级确认”信息认定工作，协助完成“三级确认”证明和不动产首次登记公示工作。结合实际情况，对目前已经完成发证前资料准备，并符合发证条件的宗地进行发证工作。</w:t>
      </w:r>
      <w:r/>
    </w:p>
    <w:p>
      <w:pPr>
        <w:pStyle w:val="675"/>
        <w:ind w:firstLine="480"/>
        <w:jc w:val="both"/>
        <w:spacing w:before="0" w:beforeAutospacing="0" w:after="0" w:afterAutospacing="0" w:line="360" w:lineRule="auto"/>
        <w:rPr>
          <w:color w:val="000000"/>
          <w:highlight w:val="none"/>
        </w:rPr>
      </w:pPr>
      <w:r>
        <w:rPr>
          <w:color w:val="000000"/>
          <w:highlight w:val="none"/>
        </w:rPr>
        <w:t xml:space="preserve">对宿城区房地一体农村不动产登记数据库进行数据整合清理，消除冗余、重叠的数据，统一底数。通过房地一体宅基地确权登记颁证成果省级预检、部级检查。做好登记成果与宅基地管理、农房建设等常态化确权登记工作更新和衔接，对经批准新建农村村民住宅以及其他登记情况发生变化的，及时开展权籍调查和确权登记，实现“应登尽登”的目标。中标单位需在宿城区三个中心所驻场&gt;1人，最终以实际需求增补。</w:t>
      </w:r>
      <w:r/>
    </w:p>
    <w:p>
      <w:pPr>
        <w:pStyle w:val="675"/>
        <w:ind w:firstLine="480"/>
        <w:jc w:val="both"/>
        <w:spacing w:before="0" w:beforeAutospacing="0" w:after="0" w:afterAutospacing="0" w:line="360" w:lineRule="auto"/>
        <w:rPr>
          <w:color w:val="000000"/>
          <w:highlight w:val="none"/>
        </w:rPr>
      </w:pPr>
      <w:r>
        <w:rPr>
          <w:color w:val="000000"/>
          <w:highlight w:val="none"/>
        </w:rPr>
        <w:t xml:space="preserve">服务质量要求①服务态度②信访矛盾纠纷问题处理③相关数据挂接④系统维护等四个方面进行考核，服务期满后未发生矛盾纠纷且处理率达100%计算，若出现发生一起因服务态度问题而产生的重大矛盾纠纷，按3000元/起进行核减。</w:t>
      </w:r>
      <w:r/>
    </w:p>
    <w:p>
      <w:pPr>
        <w:pStyle w:val="675"/>
        <w:ind w:firstLine="480"/>
        <w:jc w:val="both"/>
        <w:spacing w:before="0" w:beforeAutospacing="0" w:after="0" w:afterAutospacing="0" w:line="360" w:lineRule="auto"/>
        <w:rPr>
          <w:color w:val="000000"/>
          <w:highlight w:val="none"/>
        </w:rPr>
      </w:pPr>
      <w:r>
        <w:rPr>
          <w:color w:val="000000"/>
          <w:highlight w:val="none"/>
        </w:rPr>
        <w:t xml:space="preserve">4、档案管理与数据挂接</w:t>
      </w:r>
      <w:r/>
    </w:p>
    <w:p>
      <w:pPr>
        <w:pStyle w:val="675"/>
        <w:ind w:firstLine="480"/>
        <w:jc w:val="both"/>
        <w:spacing w:before="0" w:beforeAutospacing="0" w:after="0" w:afterAutospacing="0" w:line="360" w:lineRule="auto"/>
        <w:rPr>
          <w:color w:val="000000"/>
          <w:highlight w:val="none"/>
        </w:rPr>
      </w:pPr>
      <w:r>
        <w:rPr>
          <w:color w:val="000000"/>
          <w:highlight w:val="none"/>
        </w:rPr>
        <w:t xml:space="preserve">按照档案管理、移交等相关要求，对确权登记颁证产生的成果资料，完成纸质材料成果的立卷、编号和装订。同时完成纸质档案成果材料的数字化处理，包括案卷整理、资料扫描、图像处理、图像存储、数据挂接、数据关联、档案挂接、数据验收等工作。纸质资料和电子资料及时移交甲方归档。</w:t>
      </w:r>
      <w:r/>
    </w:p>
    <w:p>
      <w:pPr>
        <w:pStyle w:val="675"/>
        <w:ind w:firstLine="480"/>
        <w:jc w:val="both"/>
        <w:spacing w:before="0" w:beforeAutospacing="0" w:after="0" w:afterAutospacing="0" w:line="360" w:lineRule="auto"/>
        <w:rPr>
          <w:color w:val="000000"/>
          <w:highlight w:val="none"/>
        </w:rPr>
      </w:pPr>
      <w:r>
        <w:rPr>
          <w:color w:val="000000"/>
          <w:highlight w:val="none"/>
        </w:rPr>
        <w:t xml:space="preserve">投标人根据上述服务内容，全面了解项目背景、项目目标、项目内容和相关需求，制定项目服务方案。</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1.8工作目标</w:t>
      </w:r>
      <w:r/>
    </w:p>
    <w:p>
      <w:pPr>
        <w:pStyle w:val="675"/>
        <w:ind w:firstLine="480"/>
        <w:jc w:val="both"/>
        <w:spacing w:before="0" w:beforeAutospacing="0" w:after="0" w:afterAutospacing="0" w:line="360" w:lineRule="auto"/>
        <w:rPr>
          <w:color w:val="000000"/>
          <w:highlight w:val="none"/>
        </w:rPr>
      </w:pPr>
      <w:r>
        <w:rPr>
          <w:color w:val="000000"/>
          <w:highlight w:val="none"/>
        </w:rPr>
        <w:t xml:space="preserve">在已经完成农村不动产权籍调查的基础上，摸清宿城区农村不动产登记底数与基本情况，以“总登记”方式对符合登记发证条件的宅基地使用权及其地上房屋所有权进行统一确权登记并颁发不动产权证书。</w:t>
      </w:r>
      <w:r>
        <w:rPr>
          <w:rFonts w:hint="eastAsia"/>
          <w:highlight w:val="none"/>
        </w:rPr>
        <w:t xml:space="preserve">编制宿城区房地一体农村不动产登记发证及常态化确权登记工作实施方案</w:t>
      </w:r>
      <w:r>
        <w:rPr>
          <w:color w:val="000000"/>
          <w:highlight w:val="none"/>
        </w:rPr>
        <w:t xml:space="preserve">，同步推进房地一体的农村不动产常态化登记。</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2024年12月底前完成全部工作内容，同时满足上级主管部门的进度和技术要求。</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1.9测绘基准</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1、平面坐标系统：采用“2000国家大地坐标系”。</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2、高程系统：采用“1985国家高程基准”。</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1.10技术依据</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1、法律、法规、政策文件</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（1）《中华人民共和国物权法》；</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（2）《土地调查条例》；</w:t>
      </w:r>
      <w:r/>
    </w:p>
    <w:p>
      <w:pPr>
        <w:pStyle w:val="675"/>
        <w:ind w:firstLine="480"/>
        <w:jc w:val="both"/>
        <w:spacing w:before="0" w:beforeAutospacing="0" w:after="0" w:afterAutospacing="0" w:line="360" w:lineRule="auto"/>
        <w:rPr>
          <w:color w:val="000000"/>
          <w:highlight w:val="none"/>
        </w:rPr>
      </w:pPr>
      <w:r>
        <w:rPr>
          <w:color w:val="000000"/>
          <w:highlight w:val="none"/>
        </w:rPr>
        <w:t xml:space="preserve">（3）《不动产登记暂行条例》；</w:t>
      </w:r>
      <w:r/>
    </w:p>
    <w:p>
      <w:pPr>
        <w:pStyle w:val="675"/>
        <w:ind w:firstLine="480"/>
        <w:jc w:val="both"/>
        <w:spacing w:before="0" w:beforeAutospacing="0" w:after="0" w:afterAutospacing="0" w:line="360" w:lineRule="auto"/>
        <w:rPr>
          <w:color w:val="000000"/>
          <w:highlight w:val="none"/>
        </w:rPr>
      </w:pPr>
      <w:r>
        <w:rPr>
          <w:color w:val="000000"/>
          <w:highlight w:val="none"/>
        </w:rPr>
        <w:t xml:space="preserve">（4）《江苏省不动产登记条例》；</w:t>
      </w:r>
      <w:r/>
    </w:p>
    <w:p>
      <w:pPr>
        <w:pStyle w:val="675"/>
        <w:ind w:firstLine="480"/>
        <w:jc w:val="both"/>
        <w:spacing w:before="0" w:beforeAutospacing="0" w:after="0" w:afterAutospacing="0" w:line="360" w:lineRule="auto"/>
        <w:rPr>
          <w:color w:val="000000"/>
          <w:highlight w:val="none"/>
        </w:rPr>
      </w:pPr>
      <w:r>
        <w:rPr>
          <w:color w:val="000000"/>
          <w:highlight w:val="none"/>
        </w:rPr>
        <w:t xml:space="preserve">（5）《江苏省土地管理法实施条例》；</w:t>
      </w:r>
      <w:r/>
    </w:p>
    <w:p>
      <w:pPr>
        <w:pStyle w:val="675"/>
        <w:ind w:firstLine="480"/>
        <w:jc w:val="both"/>
        <w:spacing w:before="0" w:beforeAutospacing="0" w:after="0" w:afterAutospacing="0" w:line="360" w:lineRule="auto"/>
        <w:rPr>
          <w:color w:val="000000"/>
          <w:highlight w:val="none"/>
        </w:rPr>
      </w:pPr>
      <w:r>
        <w:rPr>
          <w:color w:val="000000"/>
          <w:highlight w:val="none"/>
        </w:rPr>
        <w:t xml:space="preserve">（6）《不动产权籍调查技术方案》（试行）；</w:t>
      </w:r>
      <w:r/>
    </w:p>
    <w:p>
      <w:pPr>
        <w:pStyle w:val="675"/>
        <w:ind w:firstLine="480"/>
        <w:jc w:val="both"/>
        <w:spacing w:before="0" w:beforeAutospacing="0" w:after="0" w:afterAutospacing="0" w:line="360" w:lineRule="auto"/>
        <w:rPr>
          <w:color w:val="000000"/>
          <w:highlight w:val="none"/>
        </w:rPr>
      </w:pPr>
      <w:r>
        <w:rPr>
          <w:color w:val="000000"/>
          <w:highlight w:val="none"/>
        </w:rPr>
        <w:t xml:space="preserve">（7）《农村地籍和房屋调查技术方案》（试行）；</w:t>
      </w:r>
      <w:r/>
    </w:p>
    <w:p>
      <w:pPr>
        <w:pStyle w:val="675"/>
        <w:ind w:firstLine="480"/>
        <w:jc w:val="both"/>
        <w:spacing w:before="0" w:beforeAutospacing="0" w:after="0" w:afterAutospacing="0" w:line="360" w:lineRule="auto"/>
        <w:rPr>
          <w:color w:val="000000"/>
          <w:highlight w:val="none"/>
        </w:rPr>
      </w:pPr>
      <w:r>
        <w:rPr>
          <w:color w:val="000000"/>
          <w:highlight w:val="none"/>
        </w:rPr>
        <w:t xml:space="preserve">（8）国土资源部关于进一步加快宅基地和集体建设用地确权登记发证有关问题的通知（国土资发[2016]191号）；</w:t>
      </w:r>
      <w:r/>
    </w:p>
    <w:p>
      <w:pPr>
        <w:pStyle w:val="675"/>
        <w:ind w:firstLine="480"/>
        <w:jc w:val="both"/>
        <w:spacing w:before="0" w:beforeAutospacing="0" w:after="0" w:afterAutospacing="0" w:line="360" w:lineRule="auto"/>
        <w:rPr>
          <w:color w:val="000000"/>
          <w:highlight w:val="none"/>
        </w:rPr>
      </w:pPr>
      <w:r>
        <w:rPr>
          <w:color w:val="000000"/>
          <w:highlight w:val="none"/>
        </w:rPr>
        <w:t xml:space="preserve">（9）江苏省自然资源厅关于印发《江苏省农村不动产权籍调查和确权登记工作方案》的通知（苏自然资发[2019]961号）。</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2、标准、规范</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（1）《土地利用现状分类》（GB/T 21010-2007）；</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（2）《地籍调查规程》（TD/T 1001-2012）；</w:t>
      </w:r>
      <w:r/>
    </w:p>
    <w:p>
      <w:pPr>
        <w:pStyle w:val="675"/>
        <w:ind w:firstLine="480"/>
        <w:jc w:val="both"/>
        <w:spacing w:before="0" w:beforeAutospacing="0" w:after="0" w:afterAutospacing="0" w:line="360" w:lineRule="auto"/>
        <w:rPr>
          <w:color w:val="000000"/>
          <w:highlight w:val="none"/>
        </w:rPr>
      </w:pPr>
      <w:r>
        <w:rPr>
          <w:color w:val="000000"/>
          <w:highlight w:val="none"/>
        </w:rPr>
        <w:t xml:space="preserve">（3）《宗地代码编制规则》（试行）；</w:t>
      </w:r>
      <w:r/>
    </w:p>
    <w:p>
      <w:pPr>
        <w:pStyle w:val="675"/>
        <w:ind w:firstLine="480"/>
        <w:jc w:val="both"/>
        <w:spacing w:before="0" w:beforeAutospacing="0" w:after="0" w:afterAutospacing="0" w:line="360" w:lineRule="auto"/>
        <w:rPr>
          <w:color w:val="000000"/>
          <w:highlight w:val="none"/>
        </w:rPr>
      </w:pPr>
      <w:r>
        <w:rPr>
          <w:color w:val="000000"/>
          <w:highlight w:val="none"/>
        </w:rPr>
        <w:t xml:space="preserve">（4）《国民经济行业分类（GB/T 4754-2011）》；</w:t>
      </w:r>
      <w:r/>
    </w:p>
    <w:p>
      <w:pPr>
        <w:pStyle w:val="675"/>
        <w:ind w:firstLine="480"/>
        <w:jc w:val="both"/>
        <w:spacing w:before="0" w:beforeAutospacing="0" w:after="0" w:afterAutospacing="0" w:line="360" w:lineRule="auto"/>
        <w:rPr>
          <w:color w:val="000000"/>
          <w:highlight w:val="none"/>
        </w:rPr>
      </w:pPr>
      <w:r>
        <w:rPr>
          <w:color w:val="000000"/>
          <w:highlight w:val="none"/>
        </w:rPr>
        <w:t xml:space="preserve">（5）《土地利用数据库标准》（TD/T 1016-2007）；</w:t>
      </w:r>
      <w:r/>
    </w:p>
    <w:p>
      <w:pPr>
        <w:pStyle w:val="675"/>
        <w:ind w:firstLine="480"/>
        <w:jc w:val="both"/>
        <w:spacing w:before="0" w:beforeAutospacing="0" w:after="0" w:afterAutospacing="0" w:line="360" w:lineRule="auto"/>
        <w:rPr>
          <w:color w:val="000000"/>
          <w:highlight w:val="none"/>
        </w:rPr>
      </w:pPr>
      <w:r>
        <w:rPr>
          <w:color w:val="000000"/>
          <w:highlight w:val="none"/>
        </w:rPr>
        <w:t xml:space="preserve">（6）《城镇地籍数据库标准》 （TD/T 1015-2007）；</w:t>
      </w:r>
      <w:r/>
    </w:p>
    <w:p>
      <w:pPr>
        <w:pStyle w:val="675"/>
        <w:ind w:firstLine="480"/>
        <w:jc w:val="both"/>
        <w:spacing w:before="0" w:beforeAutospacing="0" w:after="0" w:afterAutospacing="0" w:line="360" w:lineRule="auto"/>
        <w:rPr>
          <w:color w:val="000000"/>
          <w:highlight w:val="none"/>
        </w:rPr>
      </w:pPr>
      <w:r>
        <w:rPr>
          <w:color w:val="000000"/>
          <w:highlight w:val="none"/>
        </w:rPr>
        <w:t xml:space="preserve">（7）《江苏省农村不动产权籍调查数据库标准（试行）》；</w:t>
      </w:r>
      <w:r/>
    </w:p>
    <w:p>
      <w:pPr>
        <w:pStyle w:val="675"/>
        <w:ind w:firstLine="480"/>
        <w:jc w:val="both"/>
        <w:spacing w:before="0" w:beforeAutospacing="0" w:after="0" w:afterAutospacing="0" w:line="360" w:lineRule="auto"/>
        <w:rPr>
          <w:color w:val="000000"/>
          <w:highlight w:val="none"/>
        </w:rPr>
      </w:pPr>
      <w:r>
        <w:rPr>
          <w:color w:val="000000"/>
          <w:highlight w:val="none"/>
        </w:rPr>
        <w:t xml:space="preserve">（8）《房产测量规范 第1单元：房产测量规定》（GB/T 17986.1-2000）；</w:t>
      </w:r>
      <w:r/>
    </w:p>
    <w:p>
      <w:pPr>
        <w:pStyle w:val="675"/>
        <w:ind w:firstLine="480"/>
        <w:jc w:val="both"/>
        <w:spacing w:before="0" w:beforeAutospacing="0" w:after="0" w:afterAutospacing="0" w:line="360" w:lineRule="auto"/>
        <w:rPr>
          <w:color w:val="000000"/>
          <w:highlight w:val="none"/>
        </w:rPr>
      </w:pPr>
      <w:r>
        <w:rPr>
          <w:color w:val="000000"/>
          <w:highlight w:val="none"/>
        </w:rPr>
        <w:t xml:space="preserve">（9）《房产测量规范 第2单元：房产图图式》（GB/T 17986.2-2000）；</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（10）《江苏省地方标准 房屋面积测算技术规程》（DGJ32/TJ131-2011）；</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（11）《测绘成果质量检查与验收》（GB/T 24356-2009）。</w:t>
      </w:r>
      <w:r/>
    </w:p>
    <w:p>
      <w:pPr>
        <w:pStyle w:val="675"/>
        <w:ind w:firstLine="480"/>
        <w:jc w:val="both"/>
        <w:spacing w:before="0" w:beforeAutospacing="0" w:after="0" w:afterAutospacing="0" w:line="360" w:lineRule="auto"/>
        <w:rPr>
          <w:color w:val="000000"/>
          <w:highlight w:val="none"/>
        </w:rPr>
      </w:pPr>
      <w:r>
        <w:rPr>
          <w:color w:val="000000"/>
          <w:highlight w:val="none"/>
        </w:rPr>
        <w:t xml:space="preserve">3、其他</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（12）经过审核批准的本项目技术设计书与其他批复意见。</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1.11成果要求及形式</w:t>
      </w:r>
      <w:r/>
    </w:p>
    <w:p>
      <w:pPr>
        <w:pStyle w:val="996"/>
        <w:ind w:firstLine="480"/>
        <w:spacing w:line="360" w:lineRule="auto"/>
        <w:widowControl w:val="off"/>
        <w:rPr>
          <w:rFonts w:ascii="宋体" w:hAnsi="宋体" w:cs="宋体"/>
          <w:sz w:val="24"/>
          <w:highlight w:val="none"/>
        </w:rPr>
      </w:pPr>
      <w:r>
        <w:rPr>
          <w:rFonts w:hint="eastAsia" w:ascii="宋体" w:hAnsi="宋体" w:cs="宋体"/>
          <w:sz w:val="24"/>
          <w:highlight w:val="none"/>
        </w:rPr>
        <w:t xml:space="preserve">1、</w:t>
      </w:r>
      <w:r>
        <w:rPr>
          <w:rFonts w:ascii="宋体" w:hAnsi="宋体" w:cs="宋体"/>
          <w:sz w:val="24"/>
          <w:highlight w:val="none"/>
        </w:rPr>
        <w:t xml:space="preserve">清洗后的房地一体农村不动产登记数据库、房地一体农村不动产登记核减数据库、房地一体宅基地地籍调查数据库。</w:t>
      </w:r>
      <w:r/>
    </w:p>
    <w:p>
      <w:pPr>
        <w:pStyle w:val="996"/>
        <w:ind w:firstLine="480"/>
        <w:spacing w:line="360" w:lineRule="auto"/>
        <w:widowControl w:val="off"/>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房地一体农村不动产登记发证数字化扫描档案电子版。</w:t>
      </w:r>
      <w:r/>
    </w:p>
    <w:p>
      <w:pPr>
        <w:pStyle w:val="996"/>
        <w:ind w:firstLine="480"/>
        <w:spacing w:line="360" w:lineRule="auto"/>
        <w:widowControl w:val="off"/>
        <w:rPr>
          <w:rFonts w:ascii="宋体" w:hAnsi="宋体" w:cs="宋体"/>
          <w:sz w:val="24"/>
          <w:highlight w:val="none"/>
        </w:rPr>
      </w:pPr>
      <w:r>
        <w:rPr>
          <w:rFonts w:hint="eastAsia" w:ascii="宋体" w:hAnsi="宋体" w:cs="宋体"/>
          <w:sz w:val="24"/>
          <w:highlight w:val="none"/>
        </w:rPr>
        <w:t xml:space="preserve">3、房地一体农村不动产确权登记底数统计表。</w:t>
      </w:r>
      <w:r/>
    </w:p>
    <w:p>
      <w:pPr>
        <w:pStyle w:val="996"/>
        <w:ind w:firstLine="480"/>
        <w:spacing w:line="360" w:lineRule="auto"/>
        <w:widowControl w:val="off"/>
        <w:rPr>
          <w:rFonts w:ascii="宋体" w:hAnsi="宋体" w:cs="宋体"/>
          <w:sz w:val="24"/>
          <w:highlight w:val="none"/>
        </w:rPr>
      </w:pPr>
      <w:r>
        <w:rPr>
          <w:rFonts w:hint="eastAsia" w:ascii="宋体" w:hAnsi="宋体" w:cs="宋体"/>
          <w:sz w:val="24"/>
          <w:highlight w:val="none"/>
        </w:rPr>
        <w:t xml:space="preserve">4、房地一体农村不动产确权登记发证领证登记簿、纸质档案。</w:t>
      </w:r>
      <w:r/>
    </w:p>
    <w:p>
      <w:pPr>
        <w:pStyle w:val="996"/>
        <w:ind w:firstLine="480"/>
        <w:spacing w:line="360" w:lineRule="auto"/>
        <w:widowControl w:val="off"/>
        <w:rPr>
          <w:rFonts w:ascii="宋体" w:hAnsi="宋体" w:cs="宋体"/>
          <w:sz w:val="24"/>
          <w:highlight w:val="none"/>
        </w:rPr>
      </w:pPr>
      <w:r>
        <w:rPr>
          <w:rFonts w:hint="eastAsia" w:ascii="宋体" w:hAnsi="宋体" w:cs="宋体"/>
          <w:sz w:val="24"/>
          <w:highlight w:val="none"/>
        </w:rPr>
        <w:t xml:space="preserve">5、其他按照相关技术规范及省厅要求提交的各项成果，包括文字成果、表格成果、图件成果以及数据库成果等组成。</w:t>
      </w:r>
      <w:r/>
    </w:p>
    <w:p>
      <w:pPr>
        <w:pStyle w:val="675"/>
        <w:ind w:firstLine="0"/>
        <w:jc w:val="both"/>
        <w:spacing w:before="0" w:beforeAutospacing="0" w:after="0" w:afterAutospacing="0" w:line="360" w:lineRule="auto"/>
        <w:rPr>
          <w:color w:val="000000"/>
          <w:highlight w:val="none"/>
        </w:rPr>
      </w:pPr>
      <w:r>
        <w:rPr>
          <w:color w:val="000000"/>
          <w:highlight w:val="none"/>
        </w:rPr>
      </w:r>
      <w:r/>
    </w:p>
    <w:p>
      <w:pPr>
        <w:pStyle w:val="675"/>
        <w:ind w:firstLine="480"/>
        <w:jc w:val="both"/>
        <w:spacing w:before="0" w:beforeAutospacing="0" w:after="0" w:afterAutospacing="0" w:line="360" w:lineRule="auto"/>
        <w:rPr>
          <w:color w:val="000000"/>
          <w:highlight w:val="none"/>
        </w:rPr>
      </w:pPr>
      <w:r>
        <w:rPr>
          <w:color w:val="000000"/>
          <w:highlight w:val="none"/>
        </w:rPr>
        <w:t xml:space="preserve">1.12 其他要求</w:t>
      </w:r>
      <w:r/>
    </w:p>
    <w:p>
      <w:pPr>
        <w:pStyle w:val="675"/>
        <w:ind w:firstLine="480"/>
        <w:jc w:val="both"/>
        <w:spacing w:before="0" w:beforeAutospacing="0" w:after="0" w:afterAutospacing="0" w:line="360" w:lineRule="auto"/>
        <w:rPr>
          <w:color w:val="000000"/>
          <w:highlight w:val="none"/>
        </w:rPr>
      </w:pPr>
      <w:r>
        <w:rPr>
          <w:color w:val="000000"/>
          <w:highlight w:val="none"/>
        </w:rPr>
        <w:t xml:space="preserve">1、项目人员配置</w:t>
      </w:r>
      <w:r/>
    </w:p>
    <w:p>
      <w:pPr>
        <w:pStyle w:val="675"/>
        <w:ind w:firstLine="480"/>
        <w:jc w:val="both"/>
        <w:spacing w:before="0" w:beforeAutospacing="0" w:after="0" w:afterAutospacing="0" w:line="360" w:lineRule="auto"/>
        <w:rPr>
          <w:color w:val="000000"/>
          <w:highlight w:val="none"/>
        </w:rPr>
      </w:pPr>
      <w:r>
        <w:rPr>
          <w:color w:val="000000"/>
          <w:highlight w:val="none"/>
        </w:rPr>
        <w:t xml:space="preserve">中标人须组建专业的技术服务团队，人员配置满足本次采购需求，其中包含项目组负责人1名，项目组技术负责人1名、项目组其他成员不少于4人。</w:t>
      </w:r>
      <w:r/>
    </w:p>
    <w:p>
      <w:pPr>
        <w:pStyle w:val="675"/>
        <w:ind w:firstLine="480"/>
        <w:jc w:val="both"/>
        <w:spacing w:before="0" w:beforeAutospacing="0" w:after="0" w:afterAutospacing="0" w:line="360" w:lineRule="auto"/>
        <w:rPr>
          <w:color w:val="000000"/>
          <w:highlight w:val="none"/>
        </w:rPr>
      </w:pPr>
      <w:r>
        <w:rPr>
          <w:color w:val="000000"/>
          <w:highlight w:val="none"/>
        </w:rPr>
        <w:t xml:space="preserve">2、安全保密措施</w:t>
      </w:r>
      <w:r/>
    </w:p>
    <w:p>
      <w:pPr>
        <w:pStyle w:val="675"/>
        <w:ind w:firstLine="480"/>
        <w:jc w:val="both"/>
        <w:spacing w:before="0" w:beforeAutospacing="0" w:after="0" w:afterAutospacing="0" w:line="360" w:lineRule="auto"/>
        <w:rPr>
          <w:color w:val="000000"/>
          <w:highlight w:val="none"/>
        </w:rPr>
      </w:pPr>
      <w:r>
        <w:rPr>
          <w:color w:val="000000"/>
          <w:highlight w:val="none"/>
        </w:rPr>
        <w:t xml:space="preserve">工作中涉及的敏感资料、电子数据等相关信息，中标人应严格执行保密的相关规定，不得以任何方式向任何第三方披露、泄露或许可第三方使用，并与采购单位签订保密协议，否则追究其相应法律责任。</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二、合同金额</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2.1 本合同金额为（大写）：_______圆（___元）人民币或其他币种。</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2.2合同清单</w:t>
      </w:r>
      <w:r/>
    </w:p>
    <w:tbl>
      <w:tblPr>
        <w:tblStyle w:val="651"/>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995"/>
        <w:gridCol w:w="995"/>
        <w:gridCol w:w="995"/>
        <w:gridCol w:w="995"/>
        <w:gridCol w:w="995"/>
        <w:gridCol w:w="995"/>
        <w:gridCol w:w="995"/>
        <w:gridCol w:w="1001"/>
      </w:tblGrid>
      <w:tr>
        <w:trPr>
          <w:cantSplit/>
          <w:jc w:val="center"/>
          <w:trHeight w:val="687"/>
        </w:trPr>
        <w:tc>
          <w:tcPr>
            <w:tcW w:w="528" w:type="dxa"/>
            <w:vAlign w:val="center"/>
            <w:vMerge w:val="restart"/>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序号</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1</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2</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5</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6</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7</w:t>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8</w:t>
            </w:r>
            <w:r/>
          </w:p>
        </w:tc>
      </w:tr>
      <w:tr>
        <w:trPr>
          <w:cantSplit/>
          <w:jc w:val="center"/>
          <w:trHeight w:val="3672"/>
        </w:trPr>
        <w:tc>
          <w:tcPr>
            <w:tcW w:w="528" w:type="dxa"/>
            <w:vAlign w:val="center"/>
            <w:vMerge w:val="continue"/>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分项服务名称</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合同履行期限</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服务地点</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分项单位</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数量</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单价（元）</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分项总价（元）</w:t>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备注</w:t>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1</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2</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5</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1331"/>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1544"/>
        </w:trPr>
        <w:tc>
          <w:tcPr>
            <w:gridSpan w:val="9"/>
            <w:tcW w:w="8494" w:type="dxa"/>
            <w:vAlign w:val="center"/>
            <w:textDirection w:val="lrTb"/>
            <w:noWrap w:val="false"/>
          </w:tcPr>
          <w:p>
            <w:pPr>
              <w:jc w:val="left"/>
              <w:rPr>
                <w:rFonts w:ascii="Times New Roman" w:hAnsi="Times New Roman"/>
                <w:sz w:val="24"/>
                <w:szCs w:val="24"/>
                <w:highlight w:val="none"/>
              </w:rPr>
            </w:pPr>
            <w:r>
              <w:rPr>
                <w:rFonts w:hint="eastAsia" w:ascii="Times New Roman" w:hAnsi="Times New Roman"/>
                <w:sz w:val="24"/>
                <w:szCs w:val="24"/>
                <w:highlight w:val="none"/>
              </w:rPr>
              <w:t xml:space="preserve">成交单价：</w:t>
            </w:r>
            <w:r>
              <w:rPr>
                <w:rFonts w:hint="eastAsia" w:ascii="宋体" w:hAnsi="宋体"/>
                <w:sz w:val="24"/>
                <w:szCs w:val="24"/>
                <w:highlight w:val="none"/>
                <w:u w:val="single"/>
              </w:rPr>
              <w:t xml:space="preserve">     </w:t>
            </w:r>
            <w:r>
              <w:rPr>
                <w:rFonts w:hint="eastAsia" w:ascii="宋体" w:hAnsi="宋体"/>
                <w:sz w:val="24"/>
                <w:szCs w:val="24"/>
                <w:highlight w:val="none"/>
              </w:rPr>
              <w:t xml:space="preserve">元/宗（保留到小数点后两位）</w:t>
            </w:r>
            <w:r/>
          </w:p>
        </w:tc>
      </w:tr>
    </w:tbl>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三、技术资料</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3.1乙方应按招标文件规定的时间向甲方提供使用货物(包含与货物相关的服务)的有关技术资料。</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四、知识产权</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五、产权担保</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5.1 乙方保证所交付的货物（包含与货物相关的服务）的所有权完全属于乙方且无任何抵押、查封等产权瑕疵。</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六、履约保证金</w:t>
      </w:r>
      <w:r/>
    </w:p>
    <w:p>
      <w:pPr>
        <w:pStyle w:val="675"/>
        <w:ind w:firstLine="480"/>
        <w:jc w:val="both"/>
        <w:spacing w:before="0" w:beforeAutospacing="0" w:after="0" w:afterAutospacing="0" w:line="360" w:lineRule="auto"/>
        <w:widowControl w:val="off"/>
        <w:rPr>
          <w:rFonts w:ascii="Times New Roman" w:hAnsi="Times New Roman" w:cs="Times New Roman"/>
          <w:color w:val="000000"/>
          <w:highlight w:val="none"/>
        </w:rPr>
      </w:pPr>
      <w:r>
        <w:rPr>
          <w:rFonts w:ascii="Times New Roman" w:hAnsi="Times New Roman" w:cs="Times New Roman"/>
          <w:color w:val="000000"/>
          <w:highlight w:val="none"/>
        </w:rPr>
        <w:t xml:space="preserve">本项目不收取履约保证金。</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七、合同转包或分包</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7.1乙方如有转包或未经甲方同意的分包行为，甲方有权给予终止合同。</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八、合同款项支付</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8.1合同款项的支付方式及进度安排</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资金支付的方式：预付款，签订合同后内支付合同总价款的</w:t>
      </w:r>
      <w:r>
        <w:rPr>
          <w:rFonts w:hint="eastAsia" w:ascii="Times New Roman" w:hAnsi="Times New Roman" w:cs="Times New Roman"/>
          <w:color w:val="000000"/>
          <w:highlight w:val="none"/>
        </w:rPr>
        <w:t xml:space="preserve">3</w:t>
      </w:r>
      <w:r>
        <w:rPr>
          <w:rFonts w:ascii="Times New Roman" w:hAnsi="Times New Roman" w:cs="Times New Roman"/>
          <w:color w:val="000000"/>
          <w:highlight w:val="none"/>
        </w:rPr>
        <w:t xml:space="preserve">0%；进度款：完成工作后（以具体实际工作量为准）支付至实际工作量合同价50%；</w:t>
      </w:r>
      <w:r>
        <w:rPr>
          <w:rFonts w:hint="eastAsia" w:ascii="Times New Roman" w:hAnsi="Times New Roman" w:cs="Times New Roman"/>
          <w:color w:val="000000"/>
          <w:highlight w:val="none"/>
          <w:lang w:eastAsia="zh-CN"/>
        </w:rPr>
        <w:t xml:space="preserve">经采购人验收合格后，采购人将支付到合同总价款的100%</w:t>
      </w:r>
      <w:r>
        <w:rPr>
          <w:rFonts w:ascii="Times New Roman" w:hAnsi="Times New Roman" w:cs="Times New Roman"/>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资金支付的时间：收到供应商发票10个工作日内</w:t>
      </w:r>
      <w:r>
        <w:rPr>
          <w:rFonts w:hint="eastAsia" w:ascii="Times New Roman" w:hAnsi="Times New Roman" w:cs="Times New Roman"/>
          <w:color w:val="000000"/>
          <w:highlight w:val="none"/>
        </w:rPr>
        <w:t xml:space="preserve">，乙方未及时提供相应发票的甲方有权拒绝付款，且不承担违约责任</w:t>
      </w:r>
      <w:r>
        <w:rPr>
          <w:rFonts w:ascii="Times New Roman" w:hAnsi="Times New Roman" w:cs="Times New Roman"/>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资金支付的条件：满足相应阶段的要求且收到供应商发票；</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注：数字人民币为合同价款支付的一种方式。在签订合同时，中标人明确表示无需预付款或者主动要求降低预付款比例的金额，采购人可不适用预付款规定。</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8.2</w:t>
      </w:r>
      <w:r>
        <w:rPr>
          <w:rFonts w:ascii="Calibri" w:hAnsi="Calibri" w:cs="Calibri"/>
          <w:color w:val="000000"/>
          <w:highlight w:val="none"/>
        </w:rPr>
        <w:t xml:space="preserve">发票开具方式：</w:t>
      </w:r>
      <w:r>
        <w:rPr>
          <w:rFonts w:ascii="Calibri" w:hAnsi="Calibri" w:cs="Calibri"/>
          <w:color w:val="000000"/>
          <w:highlight w:val="none"/>
          <w:u w:val="single"/>
        </w:rPr>
        <w:t xml:space="preserve">                                            </w:t>
      </w:r>
      <w:r>
        <w:rPr>
          <w:rFonts w:ascii="Calibri" w:hAnsi="Calibri" w:cs="Calibri"/>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Calibri" w:hAnsi="Calibri" w:cs="Calibri"/>
          <w:color w:val="000000"/>
          <w:highlight w:val="none"/>
        </w:rPr>
        <w:t xml:space="preserve">8.</w:t>
      </w:r>
      <w:r>
        <w:rPr>
          <w:rFonts w:hint="eastAsia" w:ascii="Calibri" w:hAnsi="Calibri" w:cs="Calibri"/>
          <w:color w:val="000000"/>
          <w:highlight w:val="none"/>
        </w:rPr>
        <w:t xml:space="preserve">3</w:t>
      </w:r>
      <w:r>
        <w:rPr>
          <w:rFonts w:ascii="Calibri" w:hAnsi="Calibri" w:cs="Calibri"/>
          <w:color w:val="000000"/>
          <w:highlight w:val="none"/>
        </w:rPr>
        <w:t xml:space="preserve">乙方收款账户信息</w:t>
      </w:r>
      <w:r/>
    </w:p>
    <w:p>
      <w:pPr>
        <w:pStyle w:val="675"/>
        <w:ind w:firstLine="480"/>
        <w:jc w:val="both"/>
        <w:spacing w:before="0" w:beforeAutospacing="0" w:after="0" w:afterAutospacing="0" w:line="360" w:lineRule="auto"/>
        <w:widowControl w:val="off"/>
        <w:rPr>
          <w:highlight w:val="none"/>
        </w:rPr>
      </w:pPr>
      <w:r>
        <w:rPr>
          <w:rFonts w:ascii="Calibri" w:hAnsi="Calibri" w:cs="Calibri"/>
          <w:color w:val="000000"/>
          <w:highlight w:val="none"/>
        </w:rPr>
        <w:t xml:space="preserve">乙方开户银行：</w:t>
      </w:r>
      <w:r>
        <w:rPr>
          <w:rFonts w:ascii="Calibri" w:hAnsi="Calibri" w:cs="Calibri"/>
          <w:color w:val="000000"/>
          <w:highlight w:val="none"/>
          <w:u w:val="single"/>
        </w:rPr>
        <w:t xml:space="preserve">                                            </w:t>
      </w:r>
      <w:r>
        <w:rPr>
          <w:rFonts w:ascii="Calibri" w:hAnsi="Calibri" w:cs="Calibri"/>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Calibri" w:hAnsi="Calibri" w:cs="Calibri"/>
          <w:color w:val="000000"/>
          <w:highlight w:val="none"/>
        </w:rPr>
        <w:t xml:space="preserve">乙方开户名称：</w:t>
      </w:r>
      <w:r>
        <w:rPr>
          <w:rFonts w:ascii="Calibri" w:hAnsi="Calibri" w:cs="Calibri"/>
          <w:color w:val="000000"/>
          <w:highlight w:val="none"/>
          <w:u w:val="single"/>
        </w:rPr>
        <w:t xml:space="preserve">                                            </w:t>
      </w:r>
      <w:r>
        <w:rPr>
          <w:rFonts w:ascii="Calibri" w:hAnsi="Calibri" w:cs="Calibri"/>
          <w:color w:val="000000"/>
          <w:highlight w:val="none"/>
        </w:rPr>
        <w:t xml:space="preserve">。</w:t>
      </w:r>
      <w:r/>
    </w:p>
    <w:p>
      <w:pPr>
        <w:pStyle w:val="675"/>
        <w:ind w:firstLine="480"/>
        <w:jc w:val="both"/>
        <w:spacing w:before="0" w:beforeAutospacing="0" w:after="0" w:afterAutospacing="0" w:line="360" w:lineRule="auto"/>
        <w:widowControl w:val="off"/>
        <w:rPr>
          <w:highlight w:val="none"/>
        </w:rPr>
      </w:pPr>
      <w:r>
        <w:rPr>
          <w:rFonts w:ascii="Calibri" w:hAnsi="Calibri" w:cs="Calibri"/>
          <w:color w:val="000000"/>
          <w:highlight w:val="none"/>
        </w:rPr>
        <w:t xml:space="preserve">乙方开户账号：</w:t>
      </w:r>
      <w:r>
        <w:rPr>
          <w:rFonts w:ascii="Calibri" w:hAnsi="Calibri" w:cs="Calibri"/>
          <w:color w:val="000000"/>
          <w:highlight w:val="none"/>
          <w:u w:val="single"/>
        </w:rPr>
        <w:t xml:space="preserve">                                            </w:t>
      </w:r>
      <w:r>
        <w:rPr>
          <w:rFonts w:ascii="Calibri" w:hAnsi="Calibri" w:cs="Calibri"/>
          <w:color w:val="000000"/>
          <w:highlight w:val="none"/>
        </w:rPr>
        <w:t xml:space="preserve">。</w:t>
      </w:r>
      <w:r/>
    </w:p>
    <w:p>
      <w:pPr>
        <w:pStyle w:val="675"/>
        <w:ind w:firstLine="482"/>
        <w:jc w:val="both"/>
        <w:spacing w:before="0" w:beforeAutospacing="0" w:after="0" w:afterAutospacing="0" w:line="360" w:lineRule="auto"/>
        <w:widowControl w:val="off"/>
        <w:rPr>
          <w:highlight w:val="none"/>
        </w:rPr>
      </w:pPr>
      <w:r>
        <w:rPr>
          <w:rFonts w:ascii="Times New Roman" w:hAnsi="Times New Roman" w:cs="Times New Roman"/>
          <w:b/>
          <w:bCs/>
          <w:color w:val="000000"/>
          <w:highlight w:val="none"/>
        </w:rPr>
        <w:t xml:space="preserve">九、税费</w:t>
      </w:r>
      <w:r/>
    </w:p>
    <w:p>
      <w:pPr>
        <w:pStyle w:val="675"/>
        <w:ind w:firstLine="480"/>
        <w:jc w:val="both"/>
        <w:spacing w:before="0" w:beforeAutospacing="0" w:after="0" w:afterAutospacing="0" w:line="360" w:lineRule="auto"/>
        <w:widowControl w:val="off"/>
        <w:rPr>
          <w:highlight w:val="none"/>
        </w:rPr>
      </w:pPr>
      <w:r>
        <w:rPr>
          <w:rFonts w:ascii="Times New Roman" w:hAnsi="Times New Roman" w:cs="Times New Roman"/>
          <w:color w:val="000000"/>
          <w:highlight w:val="none"/>
        </w:rPr>
        <w:t xml:space="preserve">9.1本合同执行中相关的一切税费均由乙方负担。</w:t>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项目</w:t>
      </w:r>
      <w:r>
        <w:rPr>
          <w:rFonts w:ascii="Times New Roman" w:hAnsi="Times New Roman" w:cs="Courier New"/>
          <w:b/>
          <w:sz w:val="24"/>
          <w:szCs w:val="24"/>
          <w:highlight w:val="none"/>
        </w:rPr>
        <w:t xml:space="preserve">验收</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10.1 甲方依法组织履约验收工作。</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10.3 对于实际使用人和甲方分离的项目，甲方邀请实际使用人参与验收。</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10.4 如有必要，甲方邀请参加本项目的其他供应商或第三方专业机构及专家参与验收，相关意见将作为验收书的参考资料。</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一</w:t>
      </w:r>
      <w:r>
        <w:rPr>
          <w:rFonts w:ascii="Times New Roman" w:hAnsi="Times New Roman" w:cs="Courier New"/>
          <w:b/>
          <w:sz w:val="24"/>
          <w:szCs w:val="24"/>
          <w:highlight w:val="none"/>
        </w:rPr>
        <w:t xml:space="preserve">、违约责任</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1</w:t>
      </w:r>
      <w:r>
        <w:rPr>
          <w:rFonts w:ascii="Times New Roman" w:hAnsi="Times New Roman" w:cs="Courier New"/>
          <w:sz w:val="24"/>
          <w:szCs w:val="24"/>
          <w:highlight w:val="none"/>
        </w:rPr>
        <w:t xml:space="preserve">.1甲方无正当理由</w:t>
      </w:r>
      <w:r>
        <w:rPr>
          <w:rFonts w:hint="eastAsia" w:ascii="Times New Roman" w:hAnsi="Times New Roman" w:cs="Courier New"/>
          <w:sz w:val="24"/>
          <w:szCs w:val="24"/>
          <w:highlight w:val="none"/>
        </w:rPr>
        <w:t xml:space="preserve">拒绝接受乙方提供的合同标的</w:t>
      </w:r>
      <w:r>
        <w:rPr>
          <w:rFonts w:ascii="Times New Roman" w:hAnsi="Times New Roman" w:cs="Courier New"/>
          <w:sz w:val="24"/>
          <w:szCs w:val="24"/>
          <w:highlight w:val="none"/>
        </w:rPr>
        <w:t xml:space="preserve">的，甲方向乙方偿付</w:t>
      </w:r>
      <w:r>
        <w:rPr>
          <w:rFonts w:hint="eastAsia" w:ascii="Times New Roman" w:hAnsi="Times New Roman" w:cs="Courier New"/>
          <w:sz w:val="24"/>
          <w:szCs w:val="24"/>
          <w:highlight w:val="none"/>
        </w:rPr>
        <w:t xml:space="preserve">拒绝接受合同价款</w:t>
      </w:r>
      <w:r>
        <w:rPr>
          <w:rFonts w:ascii="Times New Roman" w:hAnsi="Times New Roman" w:cs="Courier New"/>
          <w:sz w:val="24"/>
          <w:szCs w:val="24"/>
          <w:highlight w:val="none"/>
        </w:rPr>
        <w:t xml:space="preserve">总值</w:t>
      </w:r>
      <w:r>
        <w:rPr>
          <w:rFonts w:hint="eastAsia" w:ascii="Times New Roman" w:hAnsi="Times New Roman" w:cs="Courier New"/>
          <w:sz w:val="24"/>
          <w:szCs w:val="24"/>
          <w:highlight w:val="none"/>
          <w:u w:val="single"/>
        </w:rPr>
        <w:t xml:space="preserve">    </w:t>
      </w:r>
      <w:r>
        <w:rPr>
          <w:rFonts w:ascii="Times New Roman" w:hAnsi="Times New Roman" w:cs="Courier New"/>
          <w:sz w:val="24"/>
          <w:szCs w:val="24"/>
          <w:highlight w:val="none"/>
        </w:rPr>
        <w:t xml:space="preserve">的违约金。</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1</w:t>
      </w:r>
      <w:r>
        <w:rPr>
          <w:rFonts w:ascii="Times New Roman" w:hAnsi="Times New Roman" w:cs="Courier New"/>
          <w:sz w:val="24"/>
          <w:szCs w:val="24"/>
          <w:highlight w:val="none"/>
        </w:rPr>
        <w:t xml:space="preserve">.2 甲方无故逾期验收和办理</w:t>
      </w:r>
      <w:r>
        <w:rPr>
          <w:rFonts w:hint="eastAsia" w:ascii="Times New Roman" w:hAnsi="Times New Roman" w:cs="Courier New"/>
          <w:sz w:val="24"/>
          <w:szCs w:val="24"/>
          <w:highlight w:val="none"/>
        </w:rPr>
        <w:t xml:space="preserve">合同款项</w:t>
      </w:r>
      <w:r>
        <w:rPr>
          <w:rFonts w:ascii="Times New Roman" w:hAnsi="Times New Roman" w:cs="Courier New"/>
          <w:sz w:val="24"/>
          <w:szCs w:val="24"/>
          <w:highlight w:val="none"/>
        </w:rPr>
        <w:t xml:space="preserve">支付手续的,甲方应按逾期付款总额</w:t>
      </w:r>
      <w:r>
        <w:rPr>
          <w:rFonts w:hint="eastAsia" w:ascii="Times New Roman" w:hAnsi="Times New Roman" w:cs="Courier New"/>
          <w:sz w:val="24"/>
          <w:szCs w:val="24"/>
          <w:highlight w:val="none"/>
          <w:u w:val="single"/>
        </w:rPr>
        <w:t xml:space="preserve">    </w:t>
      </w:r>
      <w:r>
        <w:rPr>
          <w:rFonts w:ascii="Times New Roman" w:hAnsi="Times New Roman" w:cs="Courier New"/>
          <w:sz w:val="24"/>
          <w:szCs w:val="24"/>
          <w:highlight w:val="none"/>
        </w:rPr>
        <w:t xml:space="preserve">每日向乙方支付</w:t>
      </w:r>
      <w:r>
        <w:rPr>
          <w:rFonts w:hint="eastAsia" w:ascii="Times New Roman" w:hAnsi="Times New Roman" w:cs="Courier New"/>
          <w:sz w:val="24"/>
          <w:szCs w:val="24"/>
          <w:highlight w:val="none"/>
          <w:u w:val="single"/>
        </w:rPr>
        <w:t xml:space="preserve">    </w:t>
      </w:r>
      <w:r>
        <w:rPr>
          <w:rFonts w:ascii="Times New Roman" w:hAnsi="Times New Roman" w:cs="Courier New"/>
          <w:sz w:val="24"/>
          <w:szCs w:val="24"/>
          <w:highlight w:val="none"/>
        </w:rPr>
        <w:t xml:space="preserve">违约金。</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1</w:t>
      </w:r>
      <w:r>
        <w:rPr>
          <w:rFonts w:ascii="Times New Roman" w:hAnsi="Times New Roman" w:cs="Courier New"/>
          <w:sz w:val="24"/>
          <w:szCs w:val="24"/>
          <w:highlight w:val="none"/>
        </w:rPr>
        <w:t xml:space="preserve">.3 乙方逾期</w:t>
      </w:r>
      <w:r>
        <w:rPr>
          <w:rFonts w:hint="eastAsia" w:ascii="Times New Roman" w:hAnsi="Times New Roman" w:cs="Courier New"/>
          <w:sz w:val="24"/>
          <w:szCs w:val="24"/>
          <w:highlight w:val="none"/>
        </w:rPr>
        <w:t xml:space="preserve">交付合同标的</w:t>
      </w:r>
      <w:r>
        <w:rPr>
          <w:rFonts w:ascii="Times New Roman" w:hAnsi="Times New Roman" w:cs="Courier New"/>
          <w:sz w:val="24"/>
          <w:szCs w:val="24"/>
          <w:highlight w:val="none"/>
        </w:rPr>
        <w:t xml:space="preserve">的，乙方应按逾期</w:t>
      </w:r>
      <w:r>
        <w:rPr>
          <w:rFonts w:hint="eastAsia" w:ascii="Times New Roman" w:hAnsi="Times New Roman" w:cs="Courier New"/>
          <w:sz w:val="24"/>
          <w:szCs w:val="24"/>
          <w:highlight w:val="none"/>
        </w:rPr>
        <w:t xml:space="preserve">交付合同</w:t>
      </w:r>
      <w:r>
        <w:rPr>
          <w:rFonts w:ascii="Times New Roman" w:hAnsi="Times New Roman" w:cs="Courier New"/>
          <w:sz w:val="24"/>
          <w:szCs w:val="24"/>
          <w:highlight w:val="none"/>
        </w:rPr>
        <w:t xml:space="preserve">总额每日千分之六向甲方支付违约金，由甲方从待付</w:t>
      </w:r>
      <w:r>
        <w:rPr>
          <w:rFonts w:hint="eastAsia" w:ascii="Times New Roman" w:hAnsi="Times New Roman" w:cs="Courier New"/>
          <w:sz w:val="24"/>
          <w:szCs w:val="24"/>
          <w:highlight w:val="none"/>
        </w:rPr>
        <w:t xml:space="preserve">合同款项</w:t>
      </w:r>
      <w:r>
        <w:rPr>
          <w:rFonts w:ascii="Times New Roman" w:hAnsi="Times New Roman" w:cs="Courier New"/>
          <w:sz w:val="24"/>
          <w:szCs w:val="24"/>
          <w:highlight w:val="none"/>
        </w:rPr>
        <w:t xml:space="preserve">中扣除。逾期超过约定日期10个工作日不能</w:t>
      </w:r>
      <w:r>
        <w:rPr>
          <w:rFonts w:hint="eastAsia" w:ascii="Times New Roman" w:hAnsi="Times New Roman" w:cs="Courier New"/>
          <w:sz w:val="24"/>
          <w:szCs w:val="24"/>
          <w:highlight w:val="none"/>
        </w:rPr>
        <w:t xml:space="preserve">交付合同标的</w:t>
      </w:r>
      <w:r>
        <w:rPr>
          <w:rFonts w:ascii="Times New Roman" w:hAnsi="Times New Roman" w:cs="Courier New"/>
          <w:sz w:val="24"/>
          <w:szCs w:val="24"/>
          <w:highlight w:val="none"/>
        </w:rPr>
        <w:t xml:space="preserve">的，甲方可解除本合同。乙方因逾期</w:t>
      </w:r>
      <w:r>
        <w:rPr>
          <w:rFonts w:hint="eastAsia" w:ascii="Times New Roman" w:hAnsi="Times New Roman" w:cs="Courier New"/>
          <w:sz w:val="24"/>
          <w:szCs w:val="24"/>
          <w:highlight w:val="none"/>
        </w:rPr>
        <w:t xml:space="preserve">交付合同标的</w:t>
      </w:r>
      <w:r>
        <w:rPr>
          <w:rFonts w:ascii="Times New Roman" w:hAnsi="Times New Roman" w:cs="Courier New"/>
          <w:sz w:val="24"/>
          <w:szCs w:val="24"/>
          <w:highlight w:val="none"/>
        </w:rPr>
        <w:t xml:space="preserve">或因其他违约行为导致甲方解除合同的，乙方应向甲方支付合同</w:t>
      </w:r>
      <w:r>
        <w:rPr>
          <w:rFonts w:hint="eastAsia" w:ascii="Times New Roman" w:hAnsi="Times New Roman" w:cs="Courier New"/>
          <w:sz w:val="24"/>
          <w:szCs w:val="24"/>
          <w:highlight w:val="none"/>
        </w:rPr>
        <w:t xml:space="preserve">价款总额</w:t>
      </w:r>
      <w:r>
        <w:rPr>
          <w:rFonts w:hint="eastAsia" w:ascii="Times New Roman" w:hAnsi="Times New Roman" w:cs="Courier New"/>
          <w:sz w:val="24"/>
          <w:szCs w:val="24"/>
          <w:highlight w:val="none"/>
          <w:u w:val="single"/>
        </w:rPr>
        <w:t xml:space="preserve">     </w:t>
      </w:r>
      <w:r>
        <w:rPr>
          <w:rFonts w:ascii="Times New Roman" w:hAnsi="Times New Roman" w:cs="Courier New"/>
          <w:sz w:val="24"/>
          <w:szCs w:val="24"/>
          <w:highlight w:val="none"/>
        </w:rPr>
        <w:t xml:space="preserve">的违约金，如造成甲方损失超过违约金的，超出部分由乙方继续承担赔偿责任。 </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1</w:t>
      </w:r>
      <w:r>
        <w:rPr>
          <w:rFonts w:ascii="Times New Roman" w:hAnsi="Times New Roman" w:cs="Courier New"/>
          <w:sz w:val="24"/>
          <w:szCs w:val="24"/>
          <w:highlight w:val="none"/>
        </w:rPr>
        <w:t xml:space="preserve">.4 乙方</w:t>
      </w:r>
      <w:r>
        <w:rPr>
          <w:rFonts w:hint="eastAsia" w:ascii="Times New Roman" w:hAnsi="Times New Roman" w:cs="Courier New"/>
          <w:sz w:val="24"/>
          <w:szCs w:val="24"/>
          <w:highlight w:val="none"/>
        </w:rPr>
        <w:t xml:space="preserve">交付合同标的的标准</w:t>
      </w:r>
      <w:r>
        <w:rPr>
          <w:rFonts w:ascii="Times New Roman" w:hAnsi="Times New Roman" w:cs="Courier New"/>
          <w:sz w:val="24"/>
          <w:szCs w:val="24"/>
          <w:highlight w:val="none"/>
        </w:rPr>
        <w:t xml:space="preserve">不符合合同规定及</w:t>
      </w:r>
      <w:r>
        <w:rPr>
          <w:rFonts w:hint="eastAsia" w:ascii="Times New Roman" w:hAnsi="Times New Roman" w:cs="Courier New"/>
          <w:sz w:val="24"/>
          <w:szCs w:val="24"/>
          <w:highlight w:val="none"/>
        </w:rPr>
        <w:t xml:space="preserve">磋商</w:t>
      </w:r>
      <w:r>
        <w:rPr>
          <w:rFonts w:ascii="Times New Roman" w:hAnsi="Times New Roman" w:cs="Courier New"/>
          <w:sz w:val="24"/>
          <w:szCs w:val="24"/>
          <w:highlight w:val="none"/>
        </w:rPr>
        <w:t xml:space="preserve">文件规定标准的，甲方有权</w:t>
      </w:r>
      <w:r>
        <w:rPr>
          <w:rFonts w:hint="eastAsia" w:ascii="Times New Roman" w:hAnsi="Times New Roman" w:cs="Courier New"/>
          <w:sz w:val="24"/>
          <w:szCs w:val="24"/>
          <w:highlight w:val="none"/>
        </w:rPr>
        <w:t xml:space="preserve">拒绝接受合同标的</w:t>
      </w:r>
      <w:r>
        <w:rPr>
          <w:rFonts w:ascii="Times New Roman" w:hAnsi="Times New Roman" w:cs="Courier New"/>
          <w:sz w:val="24"/>
          <w:szCs w:val="24"/>
          <w:highlight w:val="none"/>
        </w:rPr>
        <w:t xml:space="preserve">，</w:t>
      </w:r>
      <w:r>
        <w:rPr>
          <w:rFonts w:hint="eastAsia" w:ascii="Times New Roman" w:hAnsi="Times New Roman" w:cs="Courier New"/>
          <w:sz w:val="24"/>
          <w:szCs w:val="24"/>
          <w:highlight w:val="none"/>
        </w:rPr>
        <w:t xml:space="preserve">并</w:t>
      </w:r>
      <w:r>
        <w:rPr>
          <w:rFonts w:ascii="Times New Roman" w:hAnsi="Times New Roman" w:cs="Courier New"/>
          <w:sz w:val="24"/>
          <w:szCs w:val="24"/>
          <w:highlight w:val="none"/>
        </w:rPr>
        <w:t xml:space="preserve">可单方面解除合同。</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w:t>
      </w:r>
      <w:r>
        <w:rPr>
          <w:rFonts w:ascii="Times New Roman" w:hAnsi="Times New Roman" w:cs="Courier New"/>
          <w:sz w:val="24"/>
          <w:szCs w:val="24"/>
          <w:highlight w:val="none"/>
        </w:rPr>
        <w:t xml:space="preserve">1.5</w:t>
      </w:r>
      <w:r>
        <w:rPr>
          <w:rFonts w:hint="eastAsia" w:ascii="Times New Roman" w:hAnsi="Times New Roman" w:cs="Courier New"/>
          <w:sz w:val="24"/>
          <w:szCs w:val="24"/>
          <w:highlight w:val="none"/>
        </w:rPr>
        <w:t xml:space="preserve">成交供应商有下列情形之一的，采购人视情节轻重有权作出处理处罚并扣减或拒付相关费用，情节严重可解除合作协议并扣除全部项目进度款：</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1、执业过程中，受到监管部门行政处罚的；</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2、隐瞒核算过程中发现的问题或者与项目单位串通舞弊，导致严重质量问题的；</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3、从项目单位获取不正当利益的；</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4、拒绝接受采购人业务指导和监督的；</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5、不履行服务协议规定义务的；</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6、其他导致严重质量问题的行为等。</w:t>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二</w:t>
      </w:r>
      <w:r>
        <w:rPr>
          <w:rFonts w:ascii="Times New Roman" w:hAnsi="Times New Roman" w:cs="Courier New"/>
          <w:b/>
          <w:sz w:val="24"/>
          <w:szCs w:val="24"/>
          <w:highlight w:val="none"/>
        </w:rPr>
        <w:t xml:space="preserve">、</w:t>
      </w:r>
      <w:r>
        <w:rPr>
          <w:rFonts w:hint="eastAsia" w:ascii="Times New Roman" w:hAnsi="Times New Roman" w:cs="Courier New"/>
          <w:b/>
          <w:sz w:val="24"/>
          <w:szCs w:val="24"/>
          <w:highlight w:val="none"/>
        </w:rPr>
        <w:t xml:space="preserve">供应商合法权益补偿机制</w:t>
      </w:r>
      <w:r/>
    </w:p>
    <w:p>
      <w:pPr>
        <w:pStyle w:val="964"/>
        <w:ind w:firstLine="480"/>
        <w:spacing w:line="360" w:lineRule="auto"/>
        <w:rPr>
          <w:rFonts w:ascii="Times New Roman" w:hAnsi="Times New Roman" w:cs="Courier New"/>
          <w:sz w:val="24"/>
          <w:szCs w:val="24"/>
          <w:highlight w:val="none"/>
        </w:rPr>
      </w:pPr>
      <w:r/>
      <w:bookmarkStart w:id="174" w:name="_Toc23650"/>
      <w:r>
        <w:rPr>
          <w:rFonts w:hint="eastAsia" w:ascii="Times New Roman" w:hAnsi="Times New Roman" w:cs="Courier New"/>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174"/>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三</w:t>
      </w:r>
      <w:r>
        <w:rPr>
          <w:rFonts w:ascii="Times New Roman" w:hAnsi="Times New Roman" w:cs="Courier New"/>
          <w:b/>
          <w:sz w:val="24"/>
          <w:szCs w:val="24"/>
          <w:highlight w:val="none"/>
        </w:rPr>
        <w:t xml:space="preserve">、不可抗力事件处理</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3</w:t>
      </w:r>
      <w:r>
        <w:rPr>
          <w:rFonts w:ascii="Times New Roman" w:hAnsi="Times New Roman" w:cs="Courier New"/>
          <w:sz w:val="24"/>
          <w:szCs w:val="24"/>
          <w:highlight w:val="none"/>
        </w:rPr>
        <w:t xml:space="preserve">.1 在合同有效期内，任何一方因不可抗力事件导致不能履行合同，则合同履行期可延长，其延长期与不可抗力影响</w:t>
      </w:r>
      <w:r>
        <w:rPr>
          <w:rFonts w:hint="eastAsia" w:ascii="Times New Roman" w:hAnsi="Times New Roman" w:cs="Courier New"/>
          <w:sz w:val="24"/>
          <w:szCs w:val="24"/>
          <w:highlight w:val="none"/>
        </w:rPr>
        <w:t xml:space="preserve"> </w:t>
      </w:r>
      <w:r>
        <w:rPr>
          <w:rFonts w:ascii="Times New Roman" w:hAnsi="Times New Roman" w:cs="Courier New"/>
          <w:sz w:val="24"/>
          <w:szCs w:val="24"/>
          <w:highlight w:val="none"/>
        </w:rPr>
        <w:t xml:space="preserve">期相同。</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3</w:t>
      </w:r>
      <w:r>
        <w:rPr>
          <w:rFonts w:ascii="Times New Roman" w:hAnsi="Times New Roman" w:cs="Courier New"/>
          <w:sz w:val="24"/>
          <w:szCs w:val="24"/>
          <w:highlight w:val="none"/>
        </w:rPr>
        <w:t xml:space="preserve">.2 不可抗力事件发生后，应立即通知对方，并寄送有关权威机构出具的证明。</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3</w:t>
      </w:r>
      <w:r>
        <w:rPr>
          <w:rFonts w:ascii="Times New Roman" w:hAnsi="Times New Roman" w:cs="Courier New"/>
          <w:sz w:val="24"/>
          <w:szCs w:val="24"/>
          <w:highlight w:val="none"/>
        </w:rPr>
        <w:t xml:space="preserve">.3 不可抗力事件延续120天以上，双方应通过友好协商，确定是否继续履行合同。</w:t>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四</w:t>
      </w:r>
      <w:r>
        <w:rPr>
          <w:rFonts w:ascii="Times New Roman" w:hAnsi="Times New Roman" w:cs="Courier New"/>
          <w:b/>
          <w:sz w:val="24"/>
          <w:szCs w:val="24"/>
          <w:highlight w:val="none"/>
        </w:rPr>
        <w:t xml:space="preserve">、</w:t>
      </w:r>
      <w:r>
        <w:rPr>
          <w:rFonts w:hint="eastAsia" w:ascii="Times New Roman" w:hAnsi="Times New Roman" w:cs="Courier New"/>
          <w:b/>
          <w:sz w:val="24"/>
          <w:szCs w:val="24"/>
          <w:highlight w:val="none"/>
        </w:rPr>
        <w:t xml:space="preserve">解决争议的方法</w:t>
      </w:r>
      <w:r/>
    </w:p>
    <w:p>
      <w:pPr>
        <w:ind w:firstLine="480"/>
        <w:spacing w:line="360" w:lineRule="auto"/>
        <w:rPr>
          <w:rFonts w:ascii="Times New Roman" w:hAnsi="Times New Roman" w:cs="Courier New"/>
          <w:sz w:val="24"/>
          <w:szCs w:val="24"/>
          <w:highlight w:val="none"/>
        </w:rPr>
      </w:pPr>
      <w:r>
        <w:rPr>
          <w:rFonts w:hint="eastAsia" w:ascii="Times New Roman" w:hAnsi="Times New Roman" w:cs="Courier New"/>
          <w:sz w:val="24"/>
          <w:szCs w:val="24"/>
          <w:highlight w:val="none"/>
        </w:rPr>
        <w:t xml:space="preserve">14.1双方在签订、履行合同中所发生的一切争议，应通过友好协商解决。如协商不成，由甲方住所地人民法院管辖。</w:t>
      </w:r>
      <w:r/>
    </w:p>
    <w:p>
      <w:pPr>
        <w:ind w:firstLine="482"/>
        <w:spacing w:line="360" w:lineRule="auto"/>
        <w:rPr>
          <w:rFonts w:ascii="Times New Roman" w:hAnsi="Times New Roman" w:cs="Courier New"/>
          <w:b/>
          <w:sz w:val="24"/>
          <w:szCs w:val="24"/>
          <w:highlight w:val="none"/>
        </w:rPr>
      </w:pPr>
      <w:r>
        <w:rPr>
          <w:rFonts w:ascii="Times New Roman" w:hAnsi="Times New Roman" w:cs="Courier New"/>
          <w:b/>
          <w:sz w:val="24"/>
          <w:szCs w:val="24"/>
          <w:highlight w:val="none"/>
        </w:rPr>
        <w:t xml:space="preserve">十</w:t>
      </w:r>
      <w:r>
        <w:rPr>
          <w:rFonts w:hint="eastAsia" w:ascii="Times New Roman" w:hAnsi="Times New Roman" w:cs="Courier New"/>
          <w:b/>
          <w:sz w:val="24"/>
          <w:szCs w:val="24"/>
          <w:highlight w:val="none"/>
        </w:rPr>
        <w:t xml:space="preserve">五</w:t>
      </w:r>
      <w:r>
        <w:rPr>
          <w:rFonts w:ascii="Times New Roman" w:hAnsi="Times New Roman" w:cs="Courier New"/>
          <w:b/>
          <w:sz w:val="24"/>
          <w:szCs w:val="24"/>
          <w:highlight w:val="none"/>
        </w:rPr>
        <w:t xml:space="preserve">、合同生效及其它</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5</w:t>
      </w:r>
      <w:r>
        <w:rPr>
          <w:rFonts w:ascii="Times New Roman" w:hAnsi="Times New Roman" w:cs="Courier New"/>
          <w:sz w:val="24"/>
          <w:szCs w:val="24"/>
          <w:highlight w:val="none"/>
        </w:rPr>
        <w:t xml:space="preserve">.1 合同经双方法定代表人或授权委托代</w:t>
      </w:r>
      <w:r>
        <w:rPr>
          <w:rFonts w:hint="eastAsia" w:ascii="Times New Roman" w:hAnsi="Times New Roman" w:cs="Courier New"/>
          <w:sz w:val="24"/>
          <w:szCs w:val="24"/>
          <w:highlight w:val="none"/>
        </w:rPr>
        <w:t xml:space="preserve">表</w:t>
      </w:r>
      <w:r>
        <w:rPr>
          <w:rFonts w:ascii="Times New Roman" w:hAnsi="Times New Roman" w:cs="Courier New"/>
          <w:sz w:val="24"/>
          <w:szCs w:val="24"/>
          <w:highlight w:val="none"/>
        </w:rPr>
        <w:t xml:space="preserve">人签字并加盖单位公章后生效。</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5</w:t>
      </w:r>
      <w:r>
        <w:rPr>
          <w:rFonts w:ascii="Times New Roman" w:hAnsi="Times New Roman" w:cs="Courier New"/>
          <w:sz w:val="24"/>
          <w:szCs w:val="24"/>
          <w:highlight w:val="none"/>
        </w:rPr>
        <w:t xml:space="preserve">.2本合同未尽事宜，遵照</w:t>
      </w:r>
      <w:r>
        <w:rPr>
          <w:rFonts w:hint="eastAsia" w:ascii="Times New Roman" w:hAnsi="Times New Roman" w:cs="Courier New"/>
          <w:sz w:val="24"/>
          <w:szCs w:val="24"/>
          <w:highlight w:val="none"/>
        </w:rPr>
        <w:t xml:space="preserve">《民法典》、《政府采购法》</w:t>
      </w:r>
      <w:r>
        <w:rPr>
          <w:rFonts w:ascii="Times New Roman" w:hAnsi="Times New Roman" w:cs="Courier New"/>
          <w:sz w:val="24"/>
          <w:szCs w:val="24"/>
          <w:highlight w:val="none"/>
        </w:rPr>
        <w:t xml:space="preserve">有关条文执行。</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1</w:t>
      </w:r>
      <w:r>
        <w:rPr>
          <w:rFonts w:hint="eastAsia" w:ascii="Times New Roman" w:hAnsi="Times New Roman" w:cs="Courier New"/>
          <w:sz w:val="24"/>
          <w:szCs w:val="24"/>
          <w:highlight w:val="none"/>
        </w:rPr>
        <w:t xml:space="preserve">5</w:t>
      </w:r>
      <w:r>
        <w:rPr>
          <w:rFonts w:ascii="Times New Roman" w:hAnsi="Times New Roman" w:cs="Courier New"/>
          <w:sz w:val="24"/>
          <w:szCs w:val="24"/>
          <w:highlight w:val="none"/>
        </w:rPr>
        <w:t xml:space="preserve">.</w:t>
      </w:r>
      <w:r>
        <w:rPr>
          <w:rFonts w:hint="eastAsia" w:ascii="Times New Roman" w:hAnsi="Times New Roman" w:cs="Courier New"/>
          <w:sz w:val="24"/>
          <w:szCs w:val="24"/>
          <w:highlight w:val="none"/>
        </w:rPr>
        <w:t xml:space="preserve">3</w:t>
      </w:r>
      <w:r>
        <w:rPr>
          <w:rFonts w:ascii="Times New Roman" w:hAnsi="Times New Roman" w:cs="Courier New"/>
          <w:sz w:val="24"/>
          <w:szCs w:val="24"/>
          <w:highlight w:val="none"/>
        </w:rPr>
        <w:t xml:space="preserve"> 本合同正本一式</w:t>
      </w:r>
      <w:r>
        <w:rPr>
          <w:rFonts w:hint="eastAsia" w:ascii="Times New Roman" w:hAnsi="Times New Roman" w:cs="Courier New"/>
          <w:sz w:val="24"/>
          <w:szCs w:val="24"/>
          <w:highlight w:val="none"/>
        </w:rPr>
        <w:t xml:space="preserve">三</w:t>
      </w:r>
      <w:r>
        <w:rPr>
          <w:rFonts w:ascii="Times New Roman" w:hAnsi="Times New Roman" w:cs="Courier New"/>
          <w:sz w:val="24"/>
          <w:szCs w:val="24"/>
          <w:highlight w:val="none"/>
        </w:rPr>
        <w:t xml:space="preserve">份，具有同等法律效力，甲</w:t>
      </w:r>
      <w:r>
        <w:rPr>
          <w:rFonts w:hint="eastAsia" w:ascii="Times New Roman" w:hAnsi="Times New Roman" w:cs="Courier New"/>
          <w:sz w:val="24"/>
          <w:szCs w:val="24"/>
          <w:highlight w:val="none"/>
        </w:rPr>
        <w:t xml:space="preserve">方、</w:t>
      </w:r>
      <w:r>
        <w:rPr>
          <w:rFonts w:ascii="Times New Roman" w:hAnsi="Times New Roman" w:cs="Courier New"/>
          <w:sz w:val="24"/>
          <w:szCs w:val="24"/>
          <w:highlight w:val="none"/>
        </w:rPr>
        <w:t xml:space="preserve">乙方</w:t>
      </w:r>
      <w:r>
        <w:rPr>
          <w:rFonts w:hint="eastAsia" w:ascii="Times New Roman" w:hAnsi="Times New Roman" w:cs="Courier New"/>
          <w:sz w:val="24"/>
          <w:szCs w:val="24"/>
          <w:highlight w:val="none"/>
        </w:rPr>
        <w:t xml:space="preserve">及财政监管部门</w:t>
      </w:r>
      <w:r>
        <w:rPr>
          <w:rFonts w:ascii="Times New Roman" w:hAnsi="Times New Roman" w:cs="Courier New"/>
          <w:sz w:val="24"/>
          <w:szCs w:val="24"/>
          <w:highlight w:val="none"/>
        </w:rPr>
        <w:t xml:space="preserve">各执一份。</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甲方：                        乙方： </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地址：                       </w:t>
      </w:r>
      <w:r>
        <w:rPr>
          <w:rFonts w:hint="eastAsia" w:ascii="Times New Roman" w:hAnsi="Times New Roman" w:cs="Courier New"/>
          <w:sz w:val="24"/>
          <w:szCs w:val="24"/>
          <w:highlight w:val="none"/>
        </w:rPr>
        <w:t xml:space="preserve"> </w:t>
      </w:r>
      <w:r>
        <w:rPr>
          <w:rFonts w:ascii="Times New Roman" w:hAnsi="Times New Roman" w:cs="Courier New"/>
          <w:sz w:val="24"/>
          <w:szCs w:val="24"/>
          <w:highlight w:val="none"/>
        </w:rPr>
        <w:t xml:space="preserve">地址： </w:t>
      </w:r>
      <w:r/>
    </w:p>
    <w:p>
      <w:pPr>
        <w:ind w:firstLine="480"/>
        <w:spacing w:line="360" w:lineRule="auto"/>
        <w:rPr>
          <w:rFonts w:ascii="Times New Roman" w:hAnsi="Times New Roman" w:cs="Courier New"/>
          <w:sz w:val="24"/>
          <w:szCs w:val="24"/>
          <w:highlight w:val="none"/>
        </w:rPr>
      </w:pPr>
      <w:r>
        <w:rPr>
          <w:rFonts w:ascii="Times New Roman" w:hAnsi="Times New Roman" w:cs="Courier New"/>
          <w:sz w:val="24"/>
          <w:szCs w:val="24"/>
          <w:highlight w:val="none"/>
        </w:rPr>
        <w:t xml:space="preserve">法定代表人</w:t>
      </w:r>
      <w:r>
        <w:rPr>
          <w:rFonts w:hint="eastAsia" w:ascii="Times New Roman" w:hAnsi="Times New Roman" w:cs="Courier New"/>
          <w:sz w:val="24"/>
          <w:szCs w:val="24"/>
          <w:highlight w:val="none"/>
        </w:rPr>
        <w:t xml:space="preserve">或授权代表</w:t>
      </w:r>
      <w:r>
        <w:rPr>
          <w:rFonts w:ascii="Times New Roman" w:hAnsi="Times New Roman" w:cs="Courier New"/>
          <w:sz w:val="24"/>
          <w:szCs w:val="24"/>
          <w:highlight w:val="none"/>
        </w:rPr>
        <w:t xml:space="preserve">：        法定代表人</w:t>
      </w:r>
      <w:r>
        <w:rPr>
          <w:rFonts w:hint="eastAsia" w:ascii="Times New Roman" w:hAnsi="Times New Roman" w:cs="Courier New"/>
          <w:sz w:val="24"/>
          <w:szCs w:val="24"/>
          <w:highlight w:val="none"/>
        </w:rPr>
        <w:t xml:space="preserve">或授权代表</w:t>
      </w:r>
      <w:r>
        <w:rPr>
          <w:rFonts w:ascii="Times New Roman" w:hAnsi="Times New Roman" w:cs="Courier New"/>
          <w:sz w:val="24"/>
          <w:szCs w:val="24"/>
          <w:highlight w:val="none"/>
        </w:rPr>
        <w:t xml:space="preserve">：</w:t>
      </w:r>
      <w:r/>
    </w:p>
    <w:p>
      <w:pPr>
        <w:ind w:firstLine="480"/>
        <w:spacing w:line="360" w:lineRule="auto"/>
        <w:rPr>
          <w:rFonts w:ascii="Times New Roman" w:hAnsi="Times New Roman" w:cs="Courier New"/>
          <w:szCs w:val="21"/>
          <w:highlight w:val="none"/>
        </w:rPr>
      </w:pPr>
      <w:r>
        <w:rPr>
          <w:rFonts w:hint="eastAsia" w:ascii="Times New Roman" w:hAnsi="Times New Roman" w:cs="Courier New"/>
          <w:sz w:val="24"/>
          <w:szCs w:val="24"/>
          <w:highlight w:val="none"/>
        </w:rPr>
        <w:t xml:space="preserve">联系电话：                    联系电话：          </w:t>
      </w:r>
      <w:r/>
    </w:p>
    <w:p>
      <w:pPr>
        <w:ind w:firstLine="420"/>
        <w:spacing w:line="360" w:lineRule="auto"/>
        <w:rPr>
          <w:rFonts w:ascii="Times New Roman" w:hAnsi="Times New Roman"/>
          <w:bCs/>
          <w:sz w:val="24"/>
          <w:szCs w:val="21"/>
          <w:highlight w:val="none"/>
        </w:rPr>
      </w:pPr>
      <w:r>
        <w:rPr>
          <w:rFonts w:hint="eastAsia" w:ascii="Times New Roman" w:hAnsi="Times New Roman"/>
          <w:szCs w:val="21"/>
          <w:highlight w:val="none"/>
        </w:rPr>
        <w:t xml:space="preserve">                                          </w:t>
      </w:r>
      <w:r>
        <w:rPr>
          <w:rFonts w:ascii="Times New Roman" w:hAnsi="Times New Roman"/>
          <w:szCs w:val="21"/>
          <w:highlight w:val="none"/>
        </w:rPr>
        <w:t xml:space="preserve">签订日期：      年  </w:t>
      </w:r>
      <w:r>
        <w:rPr>
          <w:rFonts w:hint="eastAsia" w:ascii="Times New Roman" w:hAnsi="Times New Roman"/>
          <w:szCs w:val="21"/>
          <w:highlight w:val="none"/>
        </w:rPr>
        <w:t xml:space="preserve">  </w:t>
      </w:r>
      <w:r>
        <w:rPr>
          <w:rFonts w:ascii="Times New Roman" w:hAnsi="Times New Roman"/>
          <w:szCs w:val="21"/>
          <w:highlight w:val="none"/>
        </w:rPr>
        <w:t xml:space="preserve">月  </w:t>
      </w:r>
      <w:r>
        <w:rPr>
          <w:rFonts w:hint="eastAsia" w:ascii="Times New Roman" w:hAnsi="Times New Roman"/>
          <w:szCs w:val="21"/>
          <w:highlight w:val="none"/>
        </w:rPr>
        <w:t xml:space="preserve"> </w:t>
      </w:r>
      <w:r>
        <w:rPr>
          <w:rFonts w:ascii="Times New Roman" w:hAnsi="Times New Roman"/>
          <w:szCs w:val="21"/>
          <w:highlight w:val="none"/>
        </w:rPr>
        <w:t xml:space="preserve">日</w:t>
      </w:r>
      <w:r/>
    </w:p>
    <w:p>
      <w:pPr>
        <w:pStyle w:val="675"/>
        <w:ind w:firstLine="480"/>
        <w:jc w:val="center"/>
        <w:spacing w:before="0" w:beforeAutospacing="0" w:after="0" w:afterAutospacing="0" w:line="360" w:lineRule="auto"/>
        <w:widowControl w:val="off"/>
        <w:rPr>
          <w:highlight w:val="none"/>
        </w:rPr>
      </w:pPr>
      <w:r>
        <w:rPr>
          <w:highlight w:val="none"/>
        </w:rPr>
        <w:t xml:space="preserve"> </w:t>
      </w:r>
      <w:bookmarkEnd w:id="167"/>
      <w:r/>
      <w:bookmarkEnd w:id="173"/>
      <w:r/>
      <w:r/>
    </w:p>
    <w:p>
      <w:pPr>
        <w:jc w:val="center"/>
        <w:keepLines/>
        <w:keepNext/>
        <w:pageBreakBefore/>
        <w:rPr>
          <w:b/>
          <w:sz w:val="44"/>
          <w:szCs w:val="44"/>
          <w:highlight w:val="none"/>
        </w:rPr>
        <w:outlineLvl w:val="0"/>
      </w:pPr>
      <w:r/>
      <w:bookmarkStart w:id="175" w:name="_Toc81575170"/>
      <w:r/>
      <w:bookmarkStart w:id="176" w:name="_Toc19649"/>
      <w:r/>
      <w:bookmarkStart w:id="177" w:name="_Toc81575207"/>
      <w:r/>
      <w:bookmarkStart w:id="178" w:name="_Toc12534"/>
      <w:r>
        <w:rPr>
          <w:rFonts w:hint="eastAsia"/>
          <w:b/>
          <w:sz w:val="44"/>
          <w:szCs w:val="44"/>
          <w:highlight w:val="none"/>
        </w:rPr>
        <w:t xml:space="preserve">第六部分  投标文件格式</w:t>
      </w:r>
      <w:bookmarkEnd w:id="175"/>
      <w:r/>
      <w:bookmarkEnd w:id="176"/>
      <w:r/>
      <w:bookmarkEnd w:id="177"/>
      <w:r/>
      <w:bookmarkEnd w:id="178"/>
      <w:r/>
      <w:r/>
    </w:p>
    <w:p>
      <w:pPr>
        <w:rPr>
          <w:highlight w:val="none"/>
        </w:rPr>
      </w:pPr>
      <w:r/>
      <w:bookmarkStart w:id="179" w:name="EB819316f773b24a75aef829f9b72900c0"/>
      <w:r/>
      <w:r/>
    </w:p>
    <w:p>
      <w:pPr>
        <w:rPr>
          <w:rFonts w:ascii="Times New Roman" w:hAnsi="Times New Roman"/>
          <w:b/>
          <w:sz w:val="72"/>
          <w:highlight w:val="none"/>
        </w:rPr>
      </w:pPr>
      <w:r/>
      <w:bookmarkStart w:id="180" w:name="_Toc15716"/>
      <w:r/>
      <w:r/>
    </w:p>
    <w:p>
      <w:pPr>
        <w:jc w:val="center"/>
        <w:rPr>
          <w:rFonts w:ascii="Times New Roman" w:hAnsi="Times New Roman"/>
          <w:b/>
          <w:sz w:val="72"/>
          <w:highlight w:val="none"/>
        </w:rPr>
      </w:pPr>
      <w:r>
        <w:rPr>
          <w:rFonts w:hint="eastAsia" w:ascii="Times New Roman" w:hAnsi="Times New Roman"/>
          <w:b/>
          <w:sz w:val="72"/>
          <w:highlight w:val="none"/>
        </w:rPr>
        <w:t xml:space="preserve">投  标  文  件</w:t>
      </w:r>
      <w:r/>
    </w:p>
    <w:p>
      <w:pPr>
        <w:jc w:val="center"/>
        <w:rPr>
          <w:rFonts w:ascii="Times New Roman" w:hAnsi="Times New Roman"/>
          <w:b/>
          <w:sz w:val="72"/>
          <w:highlight w:val="none"/>
        </w:rPr>
      </w:pPr>
      <w:r>
        <w:rPr>
          <w:rFonts w:ascii="Times New Roman" w:hAnsi="Times New Roman"/>
          <w:b/>
          <w:sz w:val="72"/>
          <w:highlight w:val="none"/>
        </w:rPr>
      </w:r>
      <w:r/>
    </w:p>
    <w:p>
      <w:pPr>
        <w:jc w:val="center"/>
        <w:rPr>
          <w:rFonts w:ascii="Times New Roman" w:hAnsi="Times New Roman"/>
          <w:b/>
          <w:sz w:val="72"/>
          <w:highlight w:val="none"/>
        </w:rPr>
      </w:pPr>
      <w:r>
        <w:rPr>
          <w:rFonts w:ascii="Times New Roman" w:hAnsi="Times New Roman"/>
          <w:b/>
          <w:sz w:val="72"/>
          <w:highlight w:val="none"/>
        </w:rPr>
      </w:r>
      <w:r/>
    </w:p>
    <w:p>
      <w:pPr>
        <w:jc w:val="center"/>
        <w:rPr>
          <w:rFonts w:ascii="Times New Roman" w:hAnsi="Times New Roman"/>
          <w:b/>
          <w:sz w:val="36"/>
          <w:highlight w:val="none"/>
        </w:rPr>
      </w:pPr>
      <w:r>
        <w:rPr>
          <w:rFonts w:ascii="Times New Roman" w:hAnsi="Times New Roman"/>
          <w:b/>
          <w:sz w:val="36"/>
          <w:highlight w:val="none"/>
        </w:rPr>
      </w:r>
      <w:r/>
    </w:p>
    <w:p>
      <w:pPr>
        <w:jc w:val="center"/>
        <w:rPr>
          <w:rFonts w:ascii="Times New Roman" w:hAnsi="Times New Roman"/>
          <w:b/>
          <w:sz w:val="36"/>
          <w:highlight w:val="none"/>
        </w:rPr>
      </w:pPr>
      <w:r>
        <w:rPr>
          <w:rFonts w:ascii="Times New Roman" w:hAnsi="Times New Roman"/>
          <w:b/>
          <w:sz w:val="36"/>
          <w:highlight w:val="none"/>
        </w:rPr>
      </w:r>
      <w:r/>
    </w:p>
    <w:p>
      <w:pPr>
        <w:jc w:val="center"/>
        <w:rPr>
          <w:rFonts w:ascii="Times New Roman" w:hAnsi="Times New Roman"/>
          <w:b/>
          <w:sz w:val="36"/>
          <w:highlight w:val="none"/>
        </w:rPr>
      </w:pPr>
      <w:r>
        <w:rPr>
          <w:rFonts w:ascii="Times New Roman" w:hAnsi="Times New Roman"/>
          <w:b/>
          <w:sz w:val="36"/>
          <w:highlight w:val="none"/>
        </w:rPr>
      </w:r>
      <w:r/>
    </w:p>
    <w:p>
      <w:pPr>
        <w:ind w:firstLine="1084"/>
        <w:rPr>
          <w:rFonts w:ascii="Times New Roman" w:hAnsi="Times New Roman"/>
          <w:b/>
          <w:sz w:val="36"/>
          <w:highlight w:val="none"/>
        </w:rPr>
      </w:pPr>
      <w:r>
        <w:rPr>
          <w:rFonts w:hint="eastAsia" w:ascii="Times New Roman" w:hAnsi="Times New Roman"/>
          <w:b/>
          <w:sz w:val="36"/>
          <w:highlight w:val="none"/>
        </w:rPr>
        <w:t xml:space="preserve">项 目 名 称：</w:t>
      </w:r>
      <w:r>
        <w:rPr>
          <w:rFonts w:hint="eastAsia" w:ascii="Times New Roman" w:hAnsi="Times New Roman"/>
          <w:b/>
          <w:sz w:val="36"/>
          <w:highlight w:val="none"/>
          <w:u w:val="single"/>
        </w:rPr>
        <w:t xml:space="preserve">               </w:t>
      </w:r>
      <w:r/>
    </w:p>
    <w:p>
      <w:pPr>
        <w:ind w:firstLine="1084"/>
        <w:rPr>
          <w:rFonts w:ascii="Times New Roman" w:hAnsi="Times New Roman"/>
          <w:b/>
          <w:sz w:val="36"/>
          <w:highlight w:val="none"/>
          <w:u w:val="single"/>
        </w:rPr>
      </w:pPr>
      <w:r>
        <w:rPr>
          <w:rFonts w:hint="eastAsia" w:ascii="Times New Roman" w:hAnsi="Times New Roman"/>
          <w:b/>
          <w:sz w:val="36"/>
          <w:highlight w:val="none"/>
        </w:rPr>
        <w:t xml:space="preserve">项 目 编 号：</w:t>
      </w:r>
      <w:r>
        <w:rPr>
          <w:rFonts w:hint="eastAsia" w:ascii="Times New Roman" w:hAnsi="Times New Roman"/>
          <w:b/>
          <w:sz w:val="36"/>
          <w:highlight w:val="none"/>
          <w:u w:val="single"/>
        </w:rPr>
        <w:t xml:space="preserve">               </w:t>
      </w:r>
      <w:r/>
    </w:p>
    <w:p>
      <w:pPr>
        <w:rPr>
          <w:rFonts w:ascii="Times New Roman" w:hAnsi="Times New Roman"/>
          <w:b/>
          <w:sz w:val="36"/>
          <w:highlight w:val="none"/>
          <w:u w:val="single"/>
        </w:rPr>
      </w:pPr>
      <w:r>
        <w:rPr>
          <w:rFonts w:hint="eastAsia" w:ascii="Times New Roman" w:hAnsi="Times New Roman"/>
          <w:b/>
          <w:sz w:val="36"/>
          <w:highlight w:val="none"/>
        </w:rPr>
        <w:t xml:space="preserve">      投标人名称 ：</w:t>
      </w:r>
      <w:r>
        <w:rPr>
          <w:rFonts w:hint="eastAsia" w:ascii="Times New Roman" w:hAnsi="Times New Roman"/>
          <w:b/>
          <w:sz w:val="36"/>
          <w:highlight w:val="none"/>
          <w:u w:val="single"/>
        </w:rPr>
        <w:t xml:space="preserve">（盖CA电子公章）</w:t>
      </w:r>
      <w:r/>
    </w:p>
    <w:p>
      <w:pPr>
        <w:rPr>
          <w:rFonts w:ascii="Times New Roman" w:hAnsi="Times New Roman"/>
          <w:b/>
          <w:sz w:val="36"/>
          <w:highlight w:val="none"/>
          <w:u w:val="single"/>
        </w:rPr>
      </w:pPr>
      <w:r>
        <w:rPr>
          <w:rFonts w:hint="eastAsia" w:ascii="Times New Roman" w:hAnsi="Times New Roman"/>
          <w:b/>
          <w:sz w:val="36"/>
          <w:highlight w:val="none"/>
        </w:rPr>
        <w:t xml:space="preserve">      日      期 ：</w:t>
      </w:r>
      <w:r>
        <w:rPr>
          <w:rFonts w:hint="eastAsia" w:ascii="Times New Roman" w:hAnsi="Times New Roman"/>
          <w:b/>
          <w:sz w:val="36"/>
          <w:highlight w:val="none"/>
          <w:u w:val="single"/>
        </w:rPr>
        <w:t xml:space="preserve">               </w:t>
      </w:r>
      <w:bookmarkEnd w:id="180"/>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rPr>
          <w:rFonts w:ascii="宋体" w:hAnsi="宋体" w:eastAsia="宋体" w:cs="宋体"/>
          <w:highlight w:val="none"/>
        </w:rPr>
      </w:pPr>
      <w:r>
        <w:rPr>
          <w:rFonts w:ascii="宋体" w:hAnsi="宋体" w:eastAsia="宋体" w:cs="宋体"/>
          <w:highlight w:val="none"/>
        </w:rPr>
      </w:r>
      <w:r/>
    </w:p>
    <w:p>
      <w:pPr>
        <w:pStyle w:val="880"/>
        <w:jc w:val="center"/>
        <w:spacing w:line="360" w:lineRule="auto"/>
        <w:rPr>
          <w:rFonts w:ascii="宋体" w:hAnsi="宋体" w:eastAsia="宋体" w:cs="宋体"/>
          <w:b/>
          <w:bCs/>
          <w:sz w:val="32"/>
          <w:szCs w:val="32"/>
          <w:highlight w:val="none"/>
        </w:rPr>
      </w:pPr>
      <w:r>
        <w:rPr>
          <w:rFonts w:ascii="宋体" w:hAnsi="宋体" w:eastAsia="宋体" w:cs="宋体"/>
          <w:b/>
          <w:bCs/>
          <w:sz w:val="32"/>
          <w:szCs w:val="32"/>
          <w:highlight w:val="none"/>
        </w:rPr>
      </w:r>
      <w:r/>
    </w:p>
    <w:p>
      <w:pPr>
        <w:pStyle w:val="880"/>
        <w:jc w:val="center"/>
        <w:spacing w:line="360" w:lineRule="auto"/>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投标文件目录</w:t>
      </w:r>
      <w:r/>
    </w:p>
    <w:p>
      <w:pPr>
        <w:pStyle w:val="880"/>
        <w:spacing w:line="360" w:lineRule="auto"/>
        <w:rPr>
          <w:rFonts w:ascii="宋体" w:hAnsi="宋体" w:eastAsia="宋体" w:cs="宋体"/>
          <w:sz w:val="28"/>
          <w:szCs w:val="28"/>
          <w:highlight w:val="none"/>
        </w:rPr>
      </w:pPr>
      <w:r>
        <w:rPr>
          <w:rFonts w:ascii="宋体" w:hAnsi="宋体" w:eastAsia="宋体" w:cs="宋体"/>
          <w:sz w:val="28"/>
          <w:szCs w:val="28"/>
          <w:highlight w:val="none"/>
        </w:rPr>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一、投标人基本情况</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二、投标声明及承诺函</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三、法人授权书</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四、开标一览表</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五、明细报价表</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六、中小企业或残疾人福利性单位声明函</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七、技术参数响应（响应偏离表）</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八、项目组人员</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九、企业业绩</w:t>
      </w:r>
      <w:r/>
    </w:p>
    <w:p>
      <w:pPr>
        <w:spacing w:line="360" w:lineRule="auto"/>
        <w:rPr>
          <w:rFonts w:ascii="Times New Roman" w:hAnsi="Times New Roman"/>
          <w:sz w:val="28"/>
          <w:szCs w:val="28"/>
          <w:highlight w:val="none"/>
        </w:rPr>
      </w:pPr>
      <w:r>
        <w:rPr>
          <w:rFonts w:hint="eastAsia" w:ascii="Times New Roman" w:hAnsi="Times New Roman"/>
          <w:sz w:val="28"/>
          <w:szCs w:val="28"/>
          <w:highlight w:val="none"/>
        </w:rPr>
        <w:t xml:space="preserve">十、投标所需其他材料</w:t>
      </w:r>
      <w:r/>
    </w:p>
    <w:p>
      <w:pPr>
        <w:spacing w:line="360" w:lineRule="auto"/>
        <w:rPr>
          <w:rFonts w:ascii="宋体" w:hAnsi="宋体" w:cs="宋体"/>
          <w:sz w:val="28"/>
          <w:szCs w:val="28"/>
          <w:highlight w:val="none"/>
        </w:rPr>
      </w:pPr>
      <w:r>
        <w:rPr>
          <w:rFonts w:ascii="宋体" w:hAnsi="宋体" w:cs="宋体"/>
          <w:sz w:val="28"/>
          <w:szCs w:val="28"/>
          <w:highlight w:val="none"/>
        </w:rPr>
      </w:r>
      <w:r/>
    </w:p>
    <w:p>
      <w:pPr>
        <w:pStyle w:val="881"/>
        <w:rPr>
          <w:highlight w:val="none"/>
        </w:rPr>
        <w:outlineLvl w:val="1"/>
      </w:pPr>
      <w:r>
        <w:rPr>
          <w:highlight w:val="none"/>
        </w:rPr>
        <w:br w:type="page" w:clear="all"/>
      </w:r>
      <w:bookmarkStart w:id="181" w:name="_Toc23838"/>
      <w:r/>
      <w:bookmarkStart w:id="182" w:name="_Toc20999"/>
      <w:r>
        <w:rPr>
          <w:highlight w:val="none"/>
        </w:rPr>
        <w:t xml:space="preserve">一、投标人基本情况</w:t>
      </w:r>
      <w:bookmarkEnd w:id="181"/>
      <w:r/>
      <w:bookmarkEnd w:id="182"/>
      <w:r/>
      <w:r/>
    </w:p>
    <w:p>
      <w:pPr>
        <w:pStyle w:val="876"/>
        <w:jc w:val="center"/>
        <w:rPr>
          <w:sz w:val="44"/>
          <w:szCs w:val="44"/>
          <w:highlight w:val="none"/>
        </w:rPr>
      </w:pPr>
      <w:r>
        <w:rPr>
          <w:rFonts w:hint="eastAsia"/>
          <w:sz w:val="44"/>
          <w:szCs w:val="44"/>
          <w:highlight w:val="none"/>
        </w:rPr>
        <w:t xml:space="preserve">投标人基本情况表</w:t>
      </w:r>
      <w:r/>
    </w:p>
    <w:tbl>
      <w:tblPr>
        <w:tblStyle w:val="651"/>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投标人名称</w:t>
            </w:r>
            <w:r/>
          </w:p>
        </w:tc>
        <w:tc>
          <w:tcPr>
            <w:gridSpan w:val="3"/>
            <w:tcW w:w="699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法定代表人</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注册地区</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地址</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邮政编码</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成立时间</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单位性质</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注册号或社会信用代码</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注册资本（万元）</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供应商类别</w:t>
            </w:r>
            <w:r/>
          </w:p>
        </w:tc>
        <w:tc>
          <w:tcPr>
            <w:gridSpan w:val="3"/>
            <w:tcW w:w="699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开户银行</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账号</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c>
          <w:tcPr>
            <w:tcW w:w="152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联系人</w:t>
            </w:r>
            <w:r/>
          </w:p>
        </w:tc>
        <w:tc>
          <w:tcPr>
            <w:tcW w:w="3118"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c>
          <w:tcPr>
            <w:tcW w:w="1276"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联系电话</w:t>
            </w:r>
            <w:r/>
          </w:p>
        </w:tc>
        <w:tc>
          <w:tcPr>
            <w:tcW w:w="2604" w:type="dxa"/>
            <w:vAlign w:val="center"/>
            <w:textDirection w:val="lrTb"/>
            <w:noWrap w:val="false"/>
          </w:tcPr>
          <w:p>
            <w:pPr>
              <w:pStyle w:val="876"/>
              <w:jc w:val="center"/>
              <w:spacing w:line="60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rHeight w:val="2376"/>
        </w:trPr>
        <w:tc>
          <w:tcPr>
            <w:tcW w:w="1526" w:type="dxa"/>
            <w:vAlign w:val="center"/>
            <w:textDirection w:val="lrTb"/>
            <w:noWrap w:val="false"/>
          </w:tcPr>
          <w:p>
            <w:pPr>
              <w:pStyle w:val="876"/>
              <w:jc w:val="center"/>
              <w:spacing w:line="56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经营范围</w:t>
            </w:r>
            <w:r/>
          </w:p>
        </w:tc>
        <w:tc>
          <w:tcPr>
            <w:gridSpan w:val="3"/>
            <w:tcW w:w="6998" w:type="dxa"/>
            <w:textDirection w:val="lrTb"/>
            <w:noWrap w:val="false"/>
          </w:tcPr>
          <w:p>
            <w:pPr>
              <w:pStyle w:val="876"/>
              <w:ind w:firstLine="1433"/>
              <w:spacing w:line="560" w:lineRule="exact"/>
              <w:rPr>
                <w:rFonts w:ascii="仿宋_GB2312" w:hAnsi="Times New Roman" w:eastAsia="仿宋_GB2312"/>
                <w:color w:val="000000"/>
                <w:sz w:val="24"/>
                <w:szCs w:val="24"/>
                <w:highlight w:val="none"/>
              </w:rPr>
            </w:pPr>
            <w:r>
              <w:rPr>
                <w:rFonts w:ascii="仿宋_GB2312" w:hAnsi="Times New Roman" w:eastAsia="仿宋_GB2312"/>
                <w:color w:val="000000"/>
                <w:sz w:val="24"/>
                <w:szCs w:val="24"/>
                <w:highlight w:val="none"/>
              </w:rPr>
            </w:r>
            <w:r/>
          </w:p>
        </w:tc>
      </w:tr>
      <w:tr>
        <w:trPr>
          <w:trHeight w:val="1134"/>
        </w:trPr>
        <w:tc>
          <w:tcPr>
            <w:tcW w:w="1526" w:type="dxa"/>
            <w:vAlign w:val="center"/>
            <w:textDirection w:val="lrTb"/>
            <w:noWrap w:val="false"/>
          </w:tcPr>
          <w:p>
            <w:pPr>
              <w:pStyle w:val="876"/>
              <w:jc w:val="center"/>
              <w:spacing w:line="56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备注</w:t>
            </w:r>
            <w:r/>
          </w:p>
        </w:tc>
        <w:tc>
          <w:tcPr>
            <w:gridSpan w:val="3"/>
            <w:tcW w:w="6998" w:type="dxa"/>
            <w:vAlign w:val="center"/>
            <w:textDirection w:val="lrTb"/>
            <w:noWrap w:val="false"/>
          </w:tcPr>
          <w:p>
            <w:pPr>
              <w:pStyle w:val="876"/>
              <w:jc w:val="center"/>
              <w:spacing w:line="500" w:lineRule="exact"/>
              <w:rPr>
                <w:rFonts w:ascii="仿宋_GB2312" w:hAnsi="Times New Roman" w:eastAsia="仿宋_GB2312"/>
                <w:color w:val="000000"/>
                <w:sz w:val="24"/>
                <w:szCs w:val="24"/>
                <w:highlight w:val="none"/>
              </w:rPr>
            </w:pPr>
            <w:r>
              <w:rPr>
                <w:rFonts w:hint="eastAsia" w:ascii="仿宋_GB2312" w:hAnsi="Times New Roman" w:eastAsia="仿宋_GB2312"/>
                <w:color w:val="000000"/>
                <w:sz w:val="24"/>
                <w:szCs w:val="24"/>
                <w:highlight w:val="none"/>
              </w:rPr>
              <w:t xml:space="preserve">无需提供营业执照等证明材料</w:t>
            </w:r>
            <w:r/>
          </w:p>
        </w:tc>
      </w:tr>
    </w:tbl>
    <w:p>
      <w:pPr>
        <w:pStyle w:val="876"/>
        <w:jc w:val="center"/>
        <w:spacing w:line="560" w:lineRule="exact"/>
        <w:rPr>
          <w:rFonts w:ascii="方正大标宋简体" w:hAnsi="Times New Roman" w:eastAsia="方正大标宋简体"/>
          <w:bCs/>
          <w:color w:val="000000"/>
          <w:sz w:val="32"/>
          <w:szCs w:val="32"/>
          <w:highlight w:val="none"/>
        </w:rPr>
      </w:pPr>
      <w:r>
        <w:rPr>
          <w:rFonts w:ascii="方正大标宋简体" w:hAnsi="Times New Roman" w:eastAsia="方正大标宋简体"/>
          <w:bCs/>
          <w:color w:val="000000"/>
          <w:sz w:val="32"/>
          <w:szCs w:val="32"/>
          <w:highlight w:val="none"/>
        </w:rPr>
      </w:r>
      <w:r/>
    </w:p>
    <w:p>
      <w:pPr>
        <w:rPr>
          <w:highlight w:val="none"/>
        </w:rPr>
      </w:pPr>
      <w:r/>
      <w:bookmarkStart w:id="183" w:name="_Toc20577"/>
      <w:r>
        <w:rPr>
          <w:rFonts w:hint="eastAsia"/>
          <w:highlight w:val="none"/>
        </w:rPr>
        <w:br w:type="page" w:clear="all"/>
      </w:r>
      <w:r/>
    </w:p>
    <w:p>
      <w:pPr>
        <w:pStyle w:val="888"/>
        <w:rPr>
          <w:highlight w:val="none"/>
        </w:rPr>
        <w:outlineLvl w:val="1"/>
      </w:pPr>
      <w:r/>
      <w:bookmarkStart w:id="184" w:name="_Toc16651"/>
      <w:r>
        <w:rPr>
          <w:rFonts w:hint="eastAsia"/>
          <w:highlight w:val="none"/>
        </w:rPr>
        <w:t xml:space="preserve">二</w:t>
      </w:r>
      <w:r>
        <w:rPr>
          <w:highlight w:val="none"/>
        </w:rPr>
        <w:t xml:space="preserve">、投标声明及承诺函</w:t>
      </w:r>
      <w:bookmarkEnd w:id="183"/>
      <w:r/>
      <w:bookmarkEnd w:id="184"/>
      <w:r/>
      <w:r/>
    </w:p>
    <w:p>
      <w:pPr>
        <w:pStyle w:val="889"/>
        <w:jc w:val="center"/>
        <w:rPr>
          <w:b/>
          <w:sz w:val="32"/>
          <w:szCs w:val="32"/>
          <w:highlight w:val="none"/>
        </w:rPr>
      </w:pPr>
      <w:r>
        <w:rPr>
          <w:rFonts w:hint="eastAsia"/>
          <w:b/>
          <w:sz w:val="32"/>
          <w:szCs w:val="32"/>
          <w:highlight w:val="none"/>
        </w:rPr>
        <w:t xml:space="preserve">投标声明及承诺函</w:t>
      </w:r>
      <w:r/>
    </w:p>
    <w:p>
      <w:pPr>
        <w:pStyle w:val="889"/>
        <w:jc w:val="left"/>
        <w:spacing w:line="500" w:lineRule="exact"/>
        <w:rPr>
          <w:rFonts w:ascii="方正仿宋_GBK" w:eastAsia="方正仿宋_GBK"/>
          <w:sz w:val="24"/>
          <w:szCs w:val="24"/>
          <w:highlight w:val="none"/>
          <w:u w:val="single"/>
        </w:rPr>
      </w:pPr>
      <w:r>
        <w:rPr>
          <w:rFonts w:hint="eastAsia" w:ascii="方正仿宋_GBK" w:eastAsia="方正仿宋_GBK"/>
          <w:sz w:val="24"/>
          <w:szCs w:val="24"/>
          <w:highlight w:val="none"/>
          <w:u w:val="single"/>
        </w:rPr>
        <w:t xml:space="preserve">（采购单位名称）：</w:t>
      </w:r>
      <w:r/>
    </w:p>
    <w:p>
      <w:pPr>
        <w:pStyle w:val="889"/>
        <w:ind w:firstLine="480"/>
        <w:jc w:val="left"/>
        <w:spacing w:line="500" w:lineRule="exact"/>
        <w:rPr>
          <w:rFonts w:ascii="方正仿宋_GBK" w:eastAsia="方正仿宋_GBK"/>
          <w:sz w:val="24"/>
          <w:szCs w:val="24"/>
          <w:highlight w:val="none"/>
        </w:rPr>
      </w:pPr>
      <w:r>
        <w:rPr>
          <w:rFonts w:hint="eastAsia" w:ascii="方正仿宋_GBK" w:eastAsia="方正仿宋_GBK"/>
          <w:sz w:val="24"/>
          <w:szCs w:val="24"/>
          <w:highlight w:val="none"/>
        </w:rPr>
        <w:t xml:space="preserve">根据已收到的项目编号为</w:t>
      </w:r>
      <w:r>
        <w:rPr>
          <w:rFonts w:hint="eastAsia" w:ascii="方正仿宋_GBK" w:eastAsia="方正仿宋_GBK"/>
          <w:sz w:val="24"/>
          <w:szCs w:val="24"/>
          <w:highlight w:val="none"/>
          <w:u w:val="single"/>
          <w:lang w:eastAsia="zh-CN"/>
        </w:rPr>
        <w:t xml:space="preserve">JSZC-321302-WDGC-G2024-0010</w:t>
      </w:r>
      <w:r>
        <w:rPr>
          <w:rFonts w:hint="eastAsia" w:ascii="方正仿宋_GBK" w:eastAsia="方正仿宋_GBK"/>
          <w:sz w:val="24"/>
          <w:szCs w:val="24"/>
          <w:highlight w:val="none"/>
        </w:rPr>
        <w:t xml:space="preserve">的</w:t>
      </w:r>
      <w:r>
        <w:rPr>
          <w:rFonts w:hint="eastAsia" w:ascii="方正仿宋_GBK" w:eastAsia="方正仿宋_GBK"/>
          <w:sz w:val="24"/>
          <w:szCs w:val="24"/>
          <w:highlight w:val="none"/>
          <w:u w:val="single"/>
        </w:rPr>
        <w:t xml:space="preserve">宿城区房地一体农村不动产登记发证</w:t>
      </w:r>
      <w:r>
        <w:rPr>
          <w:rFonts w:hint="eastAsia" w:ascii="方正仿宋_GBK" w:eastAsia="方正仿宋_GBK"/>
          <w:sz w:val="24"/>
          <w:szCs w:val="24"/>
          <w:highlight w:val="none"/>
        </w:rPr>
        <w:t xml:space="preserve">的招标文件，我方在参加本项目招投标活动中，特做出如下承诺：</w:t>
      </w:r>
      <w:r/>
    </w:p>
    <w:p>
      <w:pPr>
        <w:pStyle w:val="889"/>
        <w:ind w:firstLine="480"/>
        <w:jc w:val="left"/>
        <w:spacing w:line="500" w:lineRule="exact"/>
        <w:rPr>
          <w:rFonts w:ascii="Times New Roman" w:hAnsi="Times New Roman" w:eastAsia="方正仿宋_GBK"/>
          <w:sz w:val="24"/>
          <w:highlight w:val="none"/>
        </w:rPr>
      </w:pPr>
      <w:r>
        <w:rPr>
          <w:rFonts w:hint="eastAsia" w:ascii="方正仿宋_GBK" w:eastAsia="方正仿宋_GBK"/>
          <w:sz w:val="24"/>
          <w:szCs w:val="24"/>
          <w:highlight w:val="none"/>
        </w:rPr>
        <w:t xml:space="preserve">一、我方</w:t>
      </w:r>
      <w:r>
        <w:rPr>
          <w:rFonts w:ascii="Times New Roman" w:hAnsi="Times New Roman" w:eastAsia="方正仿宋_GBK"/>
          <w:sz w:val="24"/>
          <w:highlight w:val="none"/>
        </w:rPr>
        <w:t xml:space="preserve">具备《中华人民共和国政府采购法》第二十二条第一款规定的6项条件；</w:t>
      </w:r>
      <w:r/>
    </w:p>
    <w:p>
      <w:pPr>
        <w:pStyle w:val="88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89"/>
        <w:ind w:firstLine="480"/>
        <w:jc w:val="left"/>
        <w:spacing w:line="500" w:lineRule="exact"/>
        <w:rPr>
          <w:rFonts w:ascii="方正仿宋_GBK" w:eastAsia="方正仿宋_GBK"/>
          <w:sz w:val="24"/>
          <w:szCs w:val="24"/>
          <w:highlight w:val="none"/>
        </w:rPr>
      </w:pPr>
      <w:r>
        <w:rPr>
          <w:rFonts w:hint="eastAsia" w:ascii="方正仿宋_GBK" w:eastAsia="方正仿宋_GBK"/>
          <w:sz w:val="24"/>
          <w:szCs w:val="24"/>
          <w:highlight w:val="none"/>
        </w:rPr>
        <w:t xml:space="preserve">三、我方按招标文件要求提交投标文件，响应招标文件规定的投标有效期；</w:t>
      </w:r>
      <w:r/>
    </w:p>
    <w:p>
      <w:pPr>
        <w:pStyle w:val="889"/>
        <w:ind w:firstLine="480"/>
        <w:jc w:val="left"/>
        <w:spacing w:line="500" w:lineRule="exact"/>
        <w:rPr>
          <w:rFonts w:ascii="方正仿宋_GBK" w:eastAsia="方正仿宋_GBK"/>
          <w:sz w:val="24"/>
          <w:szCs w:val="24"/>
          <w:highlight w:val="none"/>
        </w:rPr>
      </w:pPr>
      <w:r>
        <w:rPr>
          <w:rFonts w:hint="eastAsia" w:ascii="方正仿宋_GBK" w:eastAsia="方正仿宋_GBK"/>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889"/>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五、我方若违背本声明及承诺约定，经查实，自愿接受采购人及相关主管部门相应的规定处理，并依法承担相应的法律责任。</w:t>
      </w:r>
      <w:r/>
    </w:p>
    <w:p>
      <w:pPr>
        <w:pStyle w:val="889"/>
        <w:ind w:firstLine="480"/>
        <w:jc w:val="left"/>
        <w:spacing w:line="500" w:lineRule="exact"/>
        <w:rPr>
          <w:rFonts w:ascii="方正仿宋_GBK" w:eastAsia="方正仿宋_GBK"/>
          <w:sz w:val="24"/>
          <w:szCs w:val="24"/>
          <w:highlight w:val="none"/>
        </w:rPr>
      </w:pPr>
      <w:r>
        <w:rPr>
          <w:rFonts w:hint="eastAsia" w:ascii="方正仿宋_GBK" w:eastAsia="方正仿宋_GBK"/>
          <w:sz w:val="24"/>
          <w:szCs w:val="24"/>
          <w:highlight w:val="none"/>
        </w:rPr>
        <w:t xml:space="preserve">六、我方同意采购人、采购代理机构将本声明及承诺函上网公开。</w:t>
      </w:r>
      <w:r/>
    </w:p>
    <w:p>
      <w:pPr>
        <w:pStyle w:val="889"/>
        <w:ind w:firstLine="480"/>
        <w:jc w:val="left"/>
        <w:spacing w:line="500" w:lineRule="exact"/>
        <w:rPr>
          <w:rFonts w:ascii="方正仿宋_GBK" w:eastAsia="方正仿宋_GBK"/>
          <w:color w:val="ff0000"/>
          <w:sz w:val="24"/>
          <w:szCs w:val="24"/>
          <w:highlight w:val="none"/>
        </w:rPr>
      </w:pPr>
      <w:r>
        <w:rPr>
          <w:rFonts w:ascii="方正仿宋_GBK" w:eastAsia="方正仿宋_GBK"/>
          <w:color w:val="ff0000"/>
          <w:sz w:val="24"/>
          <w:szCs w:val="24"/>
          <w:highlight w:val="none"/>
        </w:rPr>
      </w:r>
      <w:r/>
    </w:p>
    <w:p>
      <w:pPr>
        <w:pStyle w:val="889"/>
        <w:jc w:val="left"/>
        <w:spacing w:line="500" w:lineRule="exact"/>
        <w:rPr>
          <w:rFonts w:ascii="方正仿宋_GBK" w:eastAsia="方正仿宋_GBK"/>
          <w:sz w:val="24"/>
          <w:szCs w:val="24"/>
          <w:highlight w:val="none"/>
        </w:rPr>
      </w:pPr>
      <w:r>
        <w:rPr>
          <w:rFonts w:ascii="方正仿宋_GBK" w:eastAsia="方正仿宋_GBK"/>
          <w:sz w:val="24"/>
          <w:szCs w:val="24"/>
          <w:highlight w:val="none"/>
        </w:rPr>
      </w:r>
      <w:r/>
    </w:p>
    <w:p>
      <w:pPr>
        <w:pStyle w:val="889"/>
        <w:ind w:firstLine="480"/>
        <w:jc w:val="left"/>
        <w:spacing w:line="500" w:lineRule="exact"/>
        <w:rPr>
          <w:rFonts w:ascii="方正仿宋_GBK" w:eastAsia="方正仿宋_GBK"/>
          <w:sz w:val="24"/>
          <w:szCs w:val="24"/>
          <w:highlight w:val="none"/>
        </w:rPr>
      </w:pPr>
      <w:r>
        <w:rPr>
          <w:rFonts w:hint="eastAsia" w:ascii="方正仿宋_GBK" w:eastAsia="方正仿宋_GBK"/>
          <w:sz w:val="24"/>
          <w:szCs w:val="24"/>
          <w:highlight w:val="none"/>
        </w:rPr>
        <w:t xml:space="preserve">投标人名称： </w:t>
      </w:r>
      <w:r>
        <w:rPr>
          <w:rFonts w:hint="eastAsia" w:ascii="方正仿宋_GBK" w:eastAsia="方正仿宋_GBK"/>
          <w:sz w:val="24"/>
          <w:szCs w:val="24"/>
          <w:highlight w:val="none"/>
          <w:u w:val="single"/>
        </w:rPr>
        <w:t xml:space="preserve">          </w:t>
      </w:r>
      <w:r>
        <w:rPr>
          <w:rFonts w:hint="eastAsia" w:ascii="方正仿宋_GBK" w:eastAsia="方正仿宋_GBK"/>
          <w:sz w:val="24"/>
          <w:szCs w:val="24"/>
          <w:highlight w:val="none"/>
        </w:rPr>
        <w:t xml:space="preserve">（盖CA电子公章）</w:t>
      </w:r>
      <w:r/>
    </w:p>
    <w:p>
      <w:pPr>
        <w:pStyle w:val="889"/>
        <w:ind w:firstLine="480"/>
        <w:rPr>
          <w:rFonts w:ascii="方正仿宋_GBK" w:eastAsia="方正仿宋_GBK"/>
          <w:sz w:val="24"/>
          <w:szCs w:val="24"/>
          <w:highlight w:val="none"/>
        </w:rPr>
      </w:pPr>
      <w:r>
        <w:rPr>
          <w:rFonts w:ascii="方正仿宋_GBK" w:eastAsia="方正仿宋_GBK"/>
          <w:sz w:val="24"/>
          <w:szCs w:val="24"/>
          <w:highlight w:val="none"/>
        </w:rPr>
      </w:r>
      <w:r/>
    </w:p>
    <w:p>
      <w:pPr>
        <w:pStyle w:val="889"/>
        <w:ind w:firstLine="480"/>
        <w:rPr>
          <w:highlight w:val="none"/>
        </w:rPr>
      </w:pPr>
      <w:r>
        <w:rPr>
          <w:rFonts w:hint="eastAsia" w:ascii="方正仿宋_GBK" w:eastAsia="方正仿宋_GBK"/>
          <w:sz w:val="24"/>
          <w:szCs w:val="24"/>
          <w:highlight w:val="none"/>
        </w:rPr>
        <w:t xml:space="preserve">日期：    年    月   日</w:t>
      </w:r>
      <w:r/>
    </w:p>
    <w:p>
      <w:pPr>
        <w:pStyle w:val="890"/>
        <w:rPr>
          <w:highlight w:val="none"/>
        </w:rPr>
        <w:outlineLvl w:val="1"/>
      </w:pPr>
      <w:r>
        <w:rPr>
          <w:highlight w:val="none"/>
        </w:rPr>
        <w:br w:type="page" w:clear="all"/>
      </w:r>
      <w:bookmarkStart w:id="185" w:name="_Toc29506"/>
      <w:r/>
      <w:bookmarkStart w:id="186" w:name="_Toc3144"/>
      <w:r>
        <w:rPr>
          <w:rFonts w:hint="eastAsia"/>
          <w:highlight w:val="none"/>
        </w:rPr>
        <w:t xml:space="preserve">三</w:t>
      </w:r>
      <w:r>
        <w:rPr>
          <w:highlight w:val="none"/>
        </w:rPr>
        <w:t xml:space="preserve">、</w:t>
      </w:r>
      <w:bookmarkEnd w:id="185"/>
      <w:r>
        <w:rPr>
          <w:rFonts w:hint="eastAsia" w:ascii="Times New Roman" w:hAnsi="Times New Roman" w:eastAsia="宋体"/>
          <w:sz w:val="28"/>
          <w:szCs w:val="28"/>
          <w:highlight w:val="none"/>
        </w:rPr>
        <w:t xml:space="preserve">法人授权书</w:t>
      </w:r>
      <w:bookmarkEnd w:id="186"/>
      <w:r/>
      <w:r/>
    </w:p>
    <w:p>
      <w:pPr>
        <w:pStyle w:val="891"/>
        <w:jc w:val="center"/>
        <w:spacing w:line="600" w:lineRule="exact"/>
        <w:rPr>
          <w:rFonts w:ascii="方正大标宋简体" w:eastAsia="方正大标宋简体"/>
          <w:sz w:val="32"/>
          <w:highlight w:val="none"/>
        </w:rPr>
      </w:pPr>
      <w:r>
        <w:rPr>
          <w:rFonts w:hint="eastAsia" w:ascii="宋体"/>
          <w:b/>
          <w:bCs/>
          <w:sz w:val="32"/>
          <w:szCs w:val="32"/>
          <w:highlight w:val="none"/>
        </w:rPr>
        <w:t xml:space="preserve">法人授权书</w:t>
      </w:r>
      <w:r/>
    </w:p>
    <w:p>
      <w:pPr>
        <w:pStyle w:val="993"/>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本授权书声明：____________（投标人名称）授权________________（被授权人的姓名）为我方就</w:t>
      </w:r>
      <w:r>
        <w:rPr>
          <w:rFonts w:hint="eastAsia" w:ascii="Times New Roman" w:hAnsi="Times New Roman" w:eastAsia="方正仿宋_GBK"/>
          <w:bCs/>
          <w:sz w:val="24"/>
          <w:szCs w:val="24"/>
          <w:highlight w:val="none"/>
          <w:u w:val="single"/>
          <w:lang w:eastAsia="zh-CN"/>
        </w:rPr>
        <w:t xml:space="preserve">JSZC-321302-WDGC-G2024-0010</w:t>
      </w:r>
      <w:r>
        <w:rPr>
          <w:rFonts w:hint="eastAsia" w:ascii="Times New Roman" w:hAnsi="Times New Roman"/>
          <w:sz w:val="24"/>
          <w:szCs w:val="24"/>
          <w:highlight w:val="none"/>
        </w:rPr>
        <w:t xml:space="preserve">号</w:t>
      </w:r>
      <w:r>
        <w:rPr>
          <w:rFonts w:hint="eastAsia" w:ascii="Times New Roman" w:hAnsi="Times New Roman"/>
          <w:sz w:val="24"/>
          <w:szCs w:val="24"/>
          <w:highlight w:val="none"/>
          <w:u w:val="single"/>
        </w:rPr>
        <w:t xml:space="preserve">宿城区房地一体农村不动产登记发证</w:t>
      </w:r>
      <w:r>
        <w:rPr>
          <w:rFonts w:hint="eastAsia" w:ascii="Times New Roman" w:hAnsi="Times New Roman"/>
          <w:sz w:val="24"/>
          <w:szCs w:val="24"/>
          <w:highlight w:val="none"/>
        </w:rPr>
        <w:t xml:space="preserve">采购活动的合法代理人，以本单位名义全权处理一切与该项目采购有关的事务。</w:t>
      </w:r>
      <w:r/>
    </w:p>
    <w:p>
      <w:pPr>
        <w:pStyle w:val="993"/>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本授权书于______年____月____日起生效，特此声明。</w:t>
      </w:r>
      <w:r/>
    </w:p>
    <w:p>
      <w:pPr>
        <w:pStyle w:val="993"/>
        <w:ind w:firstLine="0"/>
        <w:spacing w:line="56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被授权人身份证号码：</w:t>
      </w:r>
      <w:r>
        <w:rPr>
          <w:rFonts w:hint="eastAsia" w:ascii="Times New Roman" w:hAnsi="Times New Roman"/>
          <w:sz w:val="24"/>
          <w:szCs w:val="24"/>
          <w:highlight w:val="none"/>
          <w:u w:val="single"/>
        </w:rPr>
        <w:t xml:space="preserve">                              </w:t>
      </w:r>
      <w:r/>
    </w:p>
    <w:p>
      <w:pPr>
        <w:pStyle w:val="993"/>
        <w:ind w:firstLine="0"/>
        <w:spacing w:line="56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          被授权人联系电话：（手机）</w:t>
      </w:r>
      <w:r>
        <w:rPr>
          <w:rFonts w:hint="eastAsia" w:ascii="Times New Roman" w:hAnsi="Times New Roman"/>
          <w:sz w:val="24"/>
          <w:szCs w:val="24"/>
          <w:highlight w:val="none"/>
          <w:u w:val="single"/>
        </w:rPr>
        <w:t xml:space="preserve">                          </w:t>
      </w:r>
      <w:r/>
    </w:p>
    <w:p>
      <w:pPr>
        <w:pStyle w:val="993"/>
        <w:ind w:firstLine="120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授权单位名称：</w:t>
      </w:r>
      <w:r>
        <w:rPr>
          <w:rFonts w:hint="eastAsia" w:ascii="Times New Roman" w:hAnsi="Times New Roman"/>
          <w:sz w:val="24"/>
          <w:szCs w:val="24"/>
          <w:highlight w:val="none"/>
          <w:u w:val="single"/>
        </w:rPr>
        <w:t xml:space="preserve">（盖CA电子公章）</w:t>
      </w:r>
      <w:r/>
    </w:p>
    <w:p>
      <w:pPr>
        <w:pStyle w:val="993"/>
        <w:ind w:firstLine="480"/>
        <w:spacing w:line="56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      单位地址：</w:t>
      </w:r>
      <w:r>
        <w:rPr>
          <w:rFonts w:hint="eastAsia" w:ascii="Times New Roman" w:hAnsi="Times New Roman"/>
          <w:sz w:val="24"/>
          <w:szCs w:val="24"/>
          <w:highlight w:val="none"/>
          <w:u w:val="single"/>
        </w:rPr>
        <w:t xml:space="preserve">                                         </w:t>
      </w:r>
      <w:r/>
    </w:p>
    <w:p>
      <w:pPr>
        <w:pStyle w:val="993"/>
        <w:ind w:firstLine="480"/>
        <w:spacing w:line="560" w:lineRule="exact"/>
        <w:rPr>
          <w:rFonts w:ascii="Times New Roman" w:hAnsi="Times New Roman"/>
          <w:sz w:val="24"/>
          <w:szCs w:val="24"/>
          <w:highlight w:val="none"/>
        </w:rPr>
      </w:pPr>
      <w:r>
        <w:rPr>
          <w:rFonts w:hint="eastAsia" w:ascii="Times New Roman" w:hAnsi="Times New Roman"/>
          <w:sz w:val="24"/>
          <w:szCs w:val="24"/>
          <w:highlight w:val="none"/>
        </w:rPr>
        <w:t xml:space="preserve">      日期：</w:t>
      </w:r>
      <w:bookmarkStart w:id="187" w:name="_格式3__银行出具的资信证明"/>
      <w:r/>
      <w:bookmarkEnd w:id="187"/>
      <w:r/>
      <w:bookmarkStart w:id="188" w:name="_Hlt26955070"/>
      <w:r/>
      <w:bookmarkEnd w:id="188"/>
      <w:r/>
      <w:bookmarkStart w:id="189" w:name="_Hlt26671380"/>
      <w:r/>
      <w:bookmarkEnd w:id="189"/>
      <w:r>
        <w:rPr>
          <w:rFonts w:hint="eastAsia" w:ascii="Times New Roman" w:hAnsi="Times New Roman"/>
          <w:sz w:val="24"/>
          <w:szCs w:val="24"/>
          <w:highlight w:val="none"/>
          <w:u w:val="single"/>
        </w:rPr>
        <w:t xml:space="preserve">                                         </w:t>
      </w:r>
      <w:r/>
    </w:p>
    <w:p>
      <w:pPr>
        <w:pStyle w:val="891"/>
        <w:ind w:firstLine="629"/>
        <w:spacing w:line="700" w:lineRule="exact"/>
        <w:rPr>
          <w:rFonts w:ascii="方正仿宋_GBK" w:eastAsia="方正仿宋_GBK"/>
          <w:sz w:val="24"/>
          <w:highlight w:val="none"/>
        </w:rPr>
      </w:pPr>
      <w:r>
        <w:rPr>
          <w:rFonts w:ascii="方正仿宋_GBK" w:eastAsia="方正仿宋_GBK"/>
          <w:sz w:val="24"/>
          <w:highlight w:val="none"/>
        </w:rPr>
      </w:r>
      <w:r/>
    </w:p>
    <w:p>
      <w:pPr>
        <w:pStyle w:val="894"/>
        <w:rPr>
          <w:highlight w:val="none"/>
        </w:rPr>
        <w:outlineLvl w:val="1"/>
      </w:pPr>
      <w:r>
        <w:rPr>
          <w:highlight w:val="none"/>
        </w:rPr>
        <w:br w:type="page" w:clear="all"/>
      </w:r>
      <w:bookmarkStart w:id="190" w:name="_Toc29920"/>
      <w:r/>
      <w:bookmarkStart w:id="191" w:name="_Toc13550"/>
      <w:r>
        <w:rPr>
          <w:rFonts w:hint="eastAsia"/>
          <w:highlight w:val="none"/>
        </w:rPr>
        <w:t xml:space="preserve">四</w:t>
      </w:r>
      <w:r>
        <w:rPr>
          <w:highlight w:val="none"/>
        </w:rPr>
        <w:t xml:space="preserve">、开标一览表</w:t>
      </w:r>
      <w:bookmarkEnd w:id="190"/>
      <w:r/>
      <w:bookmarkEnd w:id="191"/>
      <w:r/>
      <w:r/>
    </w:p>
    <w:p>
      <w:pPr>
        <w:pStyle w:val="878"/>
        <w:rPr>
          <w:rFonts w:ascii="宋体" w:hAnsi="宋体" w:eastAsia="宋体" w:cs="宋体"/>
          <w:highlight w:val="none"/>
        </w:rPr>
      </w:pPr>
      <w:r>
        <w:rPr>
          <w:rFonts w:ascii="宋体" w:hAnsi="宋体" w:eastAsia="宋体" w:cs="宋体"/>
          <w:highlight w:val="none"/>
        </w:rPr>
      </w:r>
      <w:r/>
    </w:p>
    <w:p>
      <w:pPr>
        <w:pStyle w:val="878"/>
        <w:rPr>
          <w:highlight w:val="none"/>
        </w:rPr>
      </w:pPr>
      <w:r>
        <w:rPr>
          <w:rFonts w:hint="eastAsia" w:ascii="宋体" w:hAnsi="宋体" w:eastAsia="宋体" w:cs="宋体"/>
          <w:highlight w:val="none"/>
        </w:rPr>
        <w:t xml:space="preserve">投标人全称</w:t>
      </w:r>
      <w:r>
        <w:rPr>
          <w:rFonts w:hint="eastAsia"/>
          <w:highlight w:val="none"/>
        </w:rPr>
        <w:t xml:space="preserve">(CA</w:t>
      </w:r>
      <w:r>
        <w:rPr>
          <w:rFonts w:hint="eastAsia" w:ascii="宋体" w:hAnsi="宋体" w:eastAsia="宋体" w:cs="宋体"/>
          <w:highlight w:val="none"/>
        </w:rPr>
        <w:t xml:space="preserve">公章</w:t>
      </w:r>
      <w:r>
        <w:rPr>
          <w:rFonts w:hint="eastAsia"/>
          <w:highlight w:val="none"/>
        </w:rPr>
        <w:t xml:space="preserve">) : </w:t>
      </w:r>
      <w:r>
        <w:rPr>
          <w:rFonts w:hint="eastAsia" w:ascii="宋体" w:hAnsi="宋体" w:eastAsia="宋体" w:cs="宋体"/>
          <w:highlight w:val="none"/>
        </w:rPr>
        <w:t xml:space="preserve">供应商名称</w:t>
      </w:r>
      <w:r/>
    </w:p>
    <w:p>
      <w:pPr>
        <w:spacing w:line="500" w:lineRule="exact"/>
        <w:rPr>
          <w:rFonts w:ascii="宋体" w:hAnsi="宋体" w:cs="宋体"/>
          <w:sz w:val="24"/>
          <w:szCs w:val="24"/>
          <w:highlight w:val="none"/>
        </w:rPr>
      </w:pPr>
      <w:r>
        <w:rPr>
          <w:rFonts w:hint="eastAsia" w:ascii="宋体" w:hAnsi="宋体" w:cs="宋体"/>
          <w:sz w:val="24"/>
          <w:szCs w:val="24"/>
          <w:highlight w:val="none"/>
        </w:rPr>
        <w:t xml:space="preserve">采购项目编号：</w:t>
      </w:r>
      <w:r>
        <w:rPr>
          <w:rFonts w:hint="eastAsia" w:ascii="宋体" w:hAnsi="宋体" w:cs="宋体"/>
          <w:sz w:val="24"/>
          <w:szCs w:val="24"/>
          <w:highlight w:val="none"/>
          <w:lang w:eastAsia="zh-CN"/>
        </w:rPr>
        <w:t xml:space="preserve">JSZC-321302-WDGC-G2024-0010</w:t>
      </w:r>
      <w:r>
        <w:rPr>
          <w:rFonts w:hint="eastAsia" w:ascii="宋体" w:hAnsi="宋体" w:cs="宋体"/>
          <w:sz w:val="24"/>
          <w:szCs w:val="24"/>
          <w:highlight w:val="none"/>
        </w:rPr>
        <w:tab/>
      </w:r>
      <w:r/>
    </w:p>
    <w:p>
      <w:pPr>
        <w:spacing w:line="560" w:lineRule="exact"/>
        <w:rPr>
          <w:highlight w:val="none"/>
        </w:rPr>
      </w:pPr>
      <w:r>
        <w:rPr>
          <w:rFonts w:hint="eastAsia" w:ascii="宋体" w:hAnsi="宋体" w:cs="宋体"/>
          <w:sz w:val="24"/>
          <w:szCs w:val="24"/>
          <w:highlight w:val="none"/>
        </w:rPr>
        <w:t xml:space="preserve">采购项目名称：</w:t>
      </w:r>
      <w:r>
        <w:rPr>
          <w:rFonts w:hint="eastAsia" w:ascii="Times New Roman" w:hAnsi="Times New Roman"/>
          <w:sz w:val="24"/>
          <w:szCs w:val="24"/>
          <w:highlight w:val="none"/>
        </w:rPr>
        <w:t xml:space="preserve">宿城区房地一体农村不动产登记发证</w:t>
      </w:r>
      <w:r/>
    </w:p>
    <w:p>
      <w:pPr>
        <w:pStyle w:val="895"/>
        <w:rPr>
          <w:highlight w:val="none"/>
        </w:rPr>
      </w:pPr>
      <w:r>
        <w:rPr>
          <w:highlight w:val="none"/>
        </w:rPr>
        <w:t xml:space="preserve"> </w:t>
      </w:r>
      <w:r/>
    </w:p>
    <w:tbl>
      <w:tblPr>
        <w:tblStyle w:val="651"/>
        <w:tblW w:w="88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31"/>
        <w:gridCol w:w="3113"/>
      </w:tblGrid>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895"/>
              <w:jc w:val="center"/>
              <w:rPr>
                <w:sz w:val="21"/>
                <w:highlight w:val="none"/>
              </w:rPr>
            </w:pPr>
            <w:r>
              <w:rPr>
                <w:spacing w:val="1666"/>
                <w:sz w:val="21"/>
                <w:highlight w:val="none"/>
              </w:rPr>
              <w:t xml:space="preserve">标</w:t>
            </w:r>
            <w:r>
              <w:rPr>
                <w:spacing w:val="2"/>
                <w:sz w:val="21"/>
                <w:highlight w:val="none"/>
              </w:rPr>
              <w:t xml:space="preserve">题</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895"/>
              <w:jc w:val="center"/>
              <w:rPr>
                <w:b/>
                <w:sz w:val="21"/>
                <w:highlight w:val="none"/>
              </w:rPr>
            </w:pPr>
            <w:r>
              <w:rPr>
                <w:b/>
                <w:spacing w:val="915"/>
                <w:sz w:val="21"/>
                <w:highlight w:val="none"/>
              </w:rPr>
              <w:t xml:space="preserve">内</w:t>
            </w:r>
            <w:r>
              <w:rPr>
                <w:b/>
                <w:spacing w:val="2"/>
                <w:sz w:val="21"/>
                <w:highlight w:val="none"/>
              </w:rPr>
              <w:t xml:space="preserve">容</w:t>
            </w:r>
            <w:r/>
          </w:p>
        </w:tc>
      </w:tr>
      <w:tr>
        <w:trPr>
          <w:tblHeader/>
        </w:trPr>
        <w:tc>
          <w:tcPr>
            <w:tcBorders>
              <w:top w:val="single" w:color="000000" w:sz="0" w:space="0"/>
              <w:left w:val="single" w:color="000000" w:sz="0" w:space="0"/>
              <w:bottom w:val="single" w:color="000000" w:sz="0" w:space="0"/>
              <w:right w:val="single" w:color="000000" w:sz="0" w:space="0"/>
            </w:tcBorders>
            <w:tcMar>
              <w:top w:w="100" w:type="dxa"/>
              <w:bottom w:w="100" w:type="dxa"/>
            </w:tcMar>
            <w:tcW w:w="5731" w:type="dxa"/>
            <w:vAlign w:val="center"/>
            <w:textDirection w:val="lrTb"/>
            <w:noWrap w:val="false"/>
          </w:tcPr>
          <w:p>
            <w:pPr>
              <w:pStyle w:val="895"/>
              <w:jc w:val="right"/>
              <w:rPr>
                <w:b/>
                <w:sz w:val="21"/>
                <w:highlight w:val="none"/>
              </w:rPr>
            </w:pPr>
            <w:r>
              <w:rPr>
                <w:rFonts w:hint="eastAsia" w:ascii="宋体" w:hAnsi="宋体" w:eastAsia="宋体" w:cs="宋体"/>
                <w:b/>
                <w:spacing w:val="978"/>
                <w:sz w:val="21"/>
                <w:highlight w:val="none"/>
              </w:rPr>
              <w:t xml:space="preserve">单价报价</w:t>
            </w:r>
            <w:r/>
          </w:p>
        </w:tc>
        <w:tc>
          <w:tcPr>
            <w:tcBorders>
              <w:top w:val="single" w:color="000000" w:sz="0" w:space="0"/>
              <w:left w:val="single" w:color="000000" w:sz="0" w:space="0"/>
              <w:bottom w:val="single" w:color="000000" w:sz="0" w:space="0"/>
              <w:right w:val="single" w:color="000000" w:sz="0" w:space="0"/>
            </w:tcBorders>
            <w:tcMar>
              <w:top w:w="100" w:type="dxa"/>
              <w:bottom w:w="100" w:type="dxa"/>
            </w:tcMar>
            <w:tcW w:w="3113" w:type="dxa"/>
            <w:vAlign w:val="center"/>
            <w:textDirection w:val="lrTb"/>
            <w:noWrap w:val="false"/>
          </w:tcPr>
          <w:p>
            <w:pPr>
              <w:pStyle w:val="895"/>
              <w:jc w:val="center"/>
              <w:rPr>
                <w:rFonts w:eastAsia="宋体"/>
                <w:sz w:val="21"/>
                <w:highlight w:val="none"/>
              </w:rPr>
            </w:pPr>
            <w:r>
              <w:rPr>
                <w:sz w:val="21"/>
                <w:highlight w:val="none"/>
              </w:rPr>
              <w:t xml:space="preserve">元</w:t>
            </w:r>
            <w:r>
              <w:rPr>
                <w:rFonts w:hint="eastAsia" w:eastAsia="宋体"/>
                <w:sz w:val="21"/>
                <w:highlight w:val="none"/>
              </w:rPr>
              <w:t xml:space="preserve">/宗（保留到小数点后两位）</w:t>
            </w:r>
            <w:r/>
          </w:p>
        </w:tc>
      </w:tr>
    </w:tbl>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cs="宋体"/>
          <w:sz w:val="24"/>
          <w:highlight w:val="none"/>
        </w:rPr>
      </w:pPr>
      <w:r>
        <w:rPr>
          <w:rFonts w:hint="eastAsia"/>
          <w:highlight w:val="none"/>
        </w:rPr>
        <w:t xml:space="preserve"> </w:t>
      </w:r>
      <w:r>
        <w:rPr>
          <w:highlight w:val="none"/>
        </w:rPr>
        <w:t xml:space="preserve">                   </w:t>
      </w:r>
      <w:r>
        <w:rPr>
          <w:rFonts w:hint="eastAsia"/>
          <w:highlight w:val="none"/>
        </w:rPr>
        <w:t xml:space="preserve">                   </w:t>
      </w:r>
      <w:r>
        <w:rPr>
          <w:highlight w:val="none"/>
        </w:rPr>
        <w:t xml:space="preserve">     </w:t>
      </w:r>
      <w:bookmarkStart w:id="192" w:name="_Toc12113"/>
      <w:r>
        <w:rPr>
          <w:rFonts w:hint="eastAsia" w:ascii="宋体" w:hAnsi="宋体" w:cs="宋体"/>
          <w:sz w:val="24"/>
          <w:highlight w:val="none"/>
        </w:rPr>
        <w:t xml:space="preserve">日期： </w:t>
      </w:r>
      <w:r>
        <w:rPr>
          <w:rFonts w:ascii="宋体" w:hAnsi="宋体" w:cs="宋体"/>
          <w:sz w:val="24"/>
          <w:highlight w:val="none"/>
        </w:rPr>
        <w:t xml:space="preserve">    </w:t>
      </w:r>
      <w:r>
        <w:rPr>
          <w:rFonts w:hint="eastAsia" w:ascii="宋体" w:hAnsi="宋体" w:cs="宋体"/>
          <w:sz w:val="24"/>
          <w:highlight w:val="none"/>
        </w:rPr>
        <w:t xml:space="preserve">年 </w:t>
      </w:r>
      <w:r>
        <w:rPr>
          <w:rFonts w:ascii="宋体" w:hAnsi="宋体" w:cs="宋体"/>
          <w:sz w:val="24"/>
          <w:highlight w:val="none"/>
        </w:rPr>
        <w:t xml:space="preserve">    </w:t>
      </w:r>
      <w:r>
        <w:rPr>
          <w:rFonts w:hint="eastAsia" w:ascii="宋体" w:hAnsi="宋体" w:cs="宋体"/>
          <w:sz w:val="24"/>
          <w:highlight w:val="none"/>
        </w:rPr>
        <w:t xml:space="preserve">月 </w:t>
      </w:r>
      <w:r>
        <w:rPr>
          <w:rFonts w:ascii="宋体" w:hAnsi="宋体" w:cs="宋体"/>
          <w:sz w:val="24"/>
          <w:highlight w:val="none"/>
        </w:rPr>
        <w:t xml:space="preserve">    </w:t>
      </w:r>
      <w:r>
        <w:rPr>
          <w:rFonts w:hint="eastAsia" w:ascii="宋体" w:hAnsi="宋体" w:cs="宋体"/>
          <w:sz w:val="24"/>
          <w:highlight w:val="none"/>
        </w:rPr>
        <w:t xml:space="preserve">日</w:t>
      </w:r>
      <w:bookmarkEnd w:id="192"/>
      <w:r/>
      <w:r/>
    </w:p>
    <w:p>
      <w:pPr>
        <w:pStyle w:val="896"/>
        <w:rPr>
          <w:highlight w:val="none"/>
        </w:rPr>
        <w:outlineLvl w:val="1"/>
      </w:pPr>
      <w:r>
        <w:rPr>
          <w:highlight w:val="none"/>
        </w:rPr>
        <w:br w:type="page" w:clear="all"/>
      </w:r>
      <w:bookmarkStart w:id="193" w:name="_Toc26543"/>
      <w:r/>
      <w:bookmarkStart w:id="194" w:name="_Toc25245"/>
      <w:r>
        <w:rPr>
          <w:rFonts w:hint="eastAsia"/>
          <w:highlight w:val="none"/>
        </w:rPr>
        <w:t xml:space="preserve">五</w:t>
      </w:r>
      <w:r>
        <w:rPr>
          <w:highlight w:val="none"/>
        </w:rPr>
        <w:t xml:space="preserve">、</w:t>
      </w:r>
      <w:bookmarkEnd w:id="193"/>
      <w:r>
        <w:rPr>
          <w:rFonts w:hint="eastAsia"/>
          <w:highlight w:val="none"/>
        </w:rPr>
        <w:t xml:space="preserve">明细报价表</w:t>
      </w:r>
      <w:bookmarkEnd w:id="194"/>
      <w:r/>
      <w:r/>
    </w:p>
    <w:p>
      <w:pPr>
        <w:pStyle w:val="897"/>
        <w:rPr>
          <w:rFonts w:ascii="宋体" w:hAnsi="宋体"/>
          <w:sz w:val="24"/>
          <w:highlight w:val="none"/>
        </w:rPr>
      </w:pPr>
      <w:r>
        <w:rPr>
          <w:rFonts w:ascii="宋体" w:hAnsi="宋体"/>
          <w:sz w:val="24"/>
          <w:highlight w:val="none"/>
        </w:rPr>
      </w:r>
      <w:r/>
    </w:p>
    <w:tbl>
      <w:tblPr>
        <w:tblStyle w:val="651"/>
        <w:tblW w:w="8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8"/>
        <w:gridCol w:w="995"/>
        <w:gridCol w:w="995"/>
        <w:gridCol w:w="995"/>
        <w:gridCol w:w="995"/>
        <w:gridCol w:w="995"/>
        <w:gridCol w:w="995"/>
        <w:gridCol w:w="995"/>
        <w:gridCol w:w="1001"/>
      </w:tblGrid>
      <w:tr>
        <w:trPr>
          <w:cantSplit/>
          <w:jc w:val="center"/>
          <w:trHeight w:val="687"/>
        </w:trPr>
        <w:tc>
          <w:tcPr>
            <w:tcW w:w="528" w:type="dxa"/>
            <w:vAlign w:val="center"/>
            <w:vMerge w:val="restart"/>
            <w:textDirection w:val="lrTb"/>
            <w:noWrap w:val="false"/>
          </w:tcPr>
          <w:p>
            <w:pPr>
              <w:jc w:val="center"/>
              <w:spacing w:line="0" w:lineRule="atLeast"/>
              <w:rPr>
                <w:rFonts w:ascii="Times New Roman" w:hAnsi="Times New Roman"/>
                <w:sz w:val="24"/>
                <w:szCs w:val="24"/>
                <w:highlight w:val="none"/>
              </w:rPr>
            </w:pPr>
            <w:r/>
            <w:bookmarkStart w:id="195" w:name="_Toc17418"/>
            <w:r>
              <w:rPr>
                <w:rFonts w:hint="eastAsia" w:ascii="Times New Roman" w:hAnsi="Times New Roman"/>
                <w:sz w:val="24"/>
                <w:szCs w:val="24"/>
                <w:highlight w:val="none"/>
              </w:rPr>
              <w:t xml:space="preserve">序号</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1</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2</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5</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6</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7</w:t>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8</w:t>
            </w:r>
            <w:r/>
          </w:p>
        </w:tc>
      </w:tr>
      <w:tr>
        <w:trPr>
          <w:cantSplit/>
          <w:jc w:val="center"/>
          <w:trHeight w:val="3672"/>
        </w:trPr>
        <w:tc>
          <w:tcPr>
            <w:tcW w:w="528" w:type="dxa"/>
            <w:vAlign w:val="center"/>
            <w:vMerge w:val="continue"/>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分项服务名称</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合同履行期限</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服务地点</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分项单位</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数量</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单价（元）</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分项总价（元）</w:t>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备注</w:t>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1</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2</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4</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687"/>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5</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1331"/>
        </w:trPr>
        <w:tc>
          <w:tcPr>
            <w:tcW w:w="528"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w:t>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995" w:type="dxa"/>
            <w:vAlign w:val="center"/>
            <w:textDirection w:val="lrTb"/>
            <w:noWrap w:val="false"/>
          </w:tcPr>
          <w:p>
            <w:pPr>
              <w:jc w:val="center"/>
              <w:spacing w:line="0" w:lineRule="atLeast"/>
              <w:rPr>
                <w:rFonts w:ascii="Times New Roman" w:hAnsi="Times New Roman"/>
                <w:color w:val="0000ff"/>
                <w:sz w:val="24"/>
                <w:szCs w:val="24"/>
                <w:highlight w:val="none"/>
              </w:rPr>
            </w:pPr>
            <w:r>
              <w:rPr>
                <w:rFonts w:ascii="Times New Roman" w:hAnsi="Times New Roman"/>
                <w:color w:val="0000ff"/>
                <w:sz w:val="24"/>
                <w:szCs w:val="24"/>
                <w:highlight w:val="none"/>
              </w:rPr>
            </w:r>
            <w:r/>
          </w:p>
        </w:tc>
        <w:tc>
          <w:tcPr>
            <w:tcW w:w="1001" w:type="dxa"/>
            <w:vAlign w:val="center"/>
            <w:textDirection w:val="lrTb"/>
            <w:noWrap w:val="false"/>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jc w:val="center"/>
          <w:trHeight w:val="1544"/>
        </w:trPr>
        <w:tc>
          <w:tcPr>
            <w:gridSpan w:val="9"/>
            <w:tcW w:w="8494" w:type="dxa"/>
            <w:vAlign w:val="center"/>
            <w:textDirection w:val="lrTb"/>
            <w:noWrap w:val="false"/>
          </w:tcPr>
          <w:p>
            <w:pPr>
              <w:jc w:val="left"/>
              <w:rPr>
                <w:rFonts w:ascii="Times New Roman" w:hAnsi="Times New Roman"/>
                <w:sz w:val="24"/>
                <w:szCs w:val="24"/>
                <w:highlight w:val="none"/>
              </w:rPr>
            </w:pPr>
            <w:r>
              <w:rPr>
                <w:rFonts w:hint="eastAsia" w:ascii="Times New Roman" w:hAnsi="Times New Roman"/>
                <w:sz w:val="24"/>
                <w:szCs w:val="24"/>
                <w:highlight w:val="none"/>
              </w:rPr>
              <w:t xml:space="preserve">成交单价：</w:t>
            </w:r>
            <w:r>
              <w:rPr>
                <w:rFonts w:hint="eastAsia" w:ascii="宋体" w:hAnsi="宋体"/>
                <w:sz w:val="24"/>
                <w:szCs w:val="24"/>
                <w:highlight w:val="none"/>
                <w:u w:val="single"/>
              </w:rPr>
              <w:t xml:space="preserve">     </w:t>
            </w:r>
            <w:r>
              <w:rPr>
                <w:rFonts w:hint="eastAsia" w:ascii="宋体" w:hAnsi="宋体"/>
                <w:sz w:val="24"/>
                <w:szCs w:val="24"/>
                <w:highlight w:val="none"/>
              </w:rPr>
              <w:t xml:space="preserve">元/宗（保留到小数点后两位）</w:t>
            </w:r>
            <w:r/>
          </w:p>
        </w:tc>
      </w:tr>
    </w:tbl>
    <w:p>
      <w:pPr>
        <w:ind w:firstLine="480"/>
        <w:rPr>
          <w:rFonts w:ascii="Times New Roman" w:hAnsi="Times New Roman"/>
          <w:b/>
          <w:sz w:val="32"/>
          <w:szCs w:val="32"/>
          <w:highlight w:val="none"/>
        </w:rPr>
      </w:pPr>
      <w:r>
        <w:rPr>
          <w:rFonts w:ascii="Times New Roman" w:hAnsi="Times New Roman"/>
          <w:b/>
          <w:sz w:val="32"/>
          <w:szCs w:val="32"/>
          <w:highlight w:val="none"/>
        </w:rPr>
      </w:r>
      <w:r/>
    </w:p>
    <w:p>
      <w:pPr>
        <w:pStyle w:val="992"/>
        <w:ind w:firstLine="480"/>
        <w:jc w:val="left"/>
        <w:spacing w:line="400" w:lineRule="exact"/>
        <w:widowControl/>
        <w:rPr>
          <w:rFonts w:eastAsia="方正仿宋_GBK"/>
          <w:b/>
          <w:sz w:val="24"/>
          <w:highlight w:val="none"/>
        </w:rPr>
      </w:pPr>
      <w:r>
        <w:rPr>
          <w:rFonts w:eastAsia="方正仿宋_GBK"/>
          <w:sz w:val="24"/>
          <w:highlight w:val="none"/>
        </w:rPr>
        <w:t xml:space="preserve">注：</w:t>
      </w:r>
      <w:r>
        <w:rPr>
          <w:rFonts w:eastAsia="方正仿宋_GBK"/>
          <w:sz w:val="24"/>
          <w:szCs w:val="30"/>
          <w:highlight w:val="none"/>
        </w:rPr>
        <w:t xml:space="preserve">供应商应分项进行填报，表中表格行数可自行添加。</w:t>
      </w:r>
      <w:r>
        <w:rPr>
          <w:rFonts w:hint="eastAsia" w:eastAsia="方正仿宋_GBK"/>
          <w:sz w:val="24"/>
          <w:szCs w:val="30"/>
          <w:highlight w:val="none"/>
        </w:rPr>
        <w:t xml:space="preserve">报价应包含</w:t>
      </w:r>
      <w:r>
        <w:rPr>
          <w:rFonts w:eastAsia="方正仿宋_GBK"/>
          <w:iCs/>
          <w:sz w:val="24"/>
          <w:szCs w:val="28"/>
          <w:highlight w:val="none"/>
        </w:rPr>
        <w:t xml:space="preserve">项目实施过程中</w:t>
      </w:r>
      <w:r>
        <w:rPr>
          <w:rFonts w:hint="eastAsia" w:eastAsia="方正仿宋_GBK"/>
          <w:iCs/>
          <w:sz w:val="24"/>
          <w:szCs w:val="28"/>
          <w:highlight w:val="none"/>
        </w:rPr>
        <w:t xml:space="preserve">一切相关费用</w:t>
      </w:r>
      <w:r>
        <w:rPr>
          <w:rFonts w:eastAsia="方正仿宋_GBK"/>
          <w:iCs/>
          <w:sz w:val="24"/>
          <w:szCs w:val="28"/>
          <w:highlight w:val="none"/>
        </w:rPr>
        <w:t xml:space="preserve">。</w:t>
      </w:r>
      <w:r>
        <w:rPr>
          <w:rFonts w:eastAsia="方正仿宋_GBK"/>
          <w:b/>
          <w:sz w:val="24"/>
          <w:szCs w:val="30"/>
          <w:highlight w:val="none"/>
        </w:rPr>
        <w:t xml:space="preserve">表中报价总计应与对应</w:t>
      </w:r>
      <w:r>
        <w:rPr>
          <w:rFonts w:hint="eastAsia" w:eastAsia="方正仿宋_GBK"/>
          <w:b/>
          <w:sz w:val="24"/>
          <w:szCs w:val="30"/>
          <w:highlight w:val="none"/>
        </w:rPr>
        <w:t xml:space="preserve">开标（</w:t>
      </w:r>
      <w:r>
        <w:rPr>
          <w:rFonts w:eastAsia="方正仿宋_GBK"/>
          <w:b/>
          <w:sz w:val="24"/>
          <w:szCs w:val="30"/>
          <w:highlight w:val="none"/>
        </w:rPr>
        <w:t xml:space="preserve">报价）一览表中总价一致</w:t>
      </w:r>
      <w:r>
        <w:rPr>
          <w:rFonts w:eastAsia="方正仿宋_GBK"/>
          <w:b/>
          <w:sz w:val="24"/>
          <w:highlight w:val="none"/>
        </w:rPr>
        <w:t xml:space="preserve">。</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rFonts w:hint="eastAsia"/>
          <w:highlight w:val="none"/>
        </w:rPr>
        <w:br w:type="page" w:clear="all"/>
      </w:r>
      <w:r/>
    </w:p>
    <w:p>
      <w:pPr>
        <w:pStyle w:val="922"/>
        <w:rPr>
          <w:highlight w:val="none"/>
        </w:rPr>
        <w:outlineLvl w:val="1"/>
      </w:pPr>
      <w:r/>
      <w:bookmarkStart w:id="196" w:name="_Toc20363"/>
      <w:r>
        <w:rPr>
          <w:rFonts w:hint="eastAsia"/>
          <w:highlight w:val="none"/>
        </w:rPr>
        <w:t xml:space="preserve">六、中小企业或残疾人福利性单位声明函</w:t>
      </w:r>
      <w:bookmarkEnd w:id="195"/>
      <w:r/>
      <w:bookmarkEnd w:id="196"/>
      <w:r/>
      <w:r/>
    </w:p>
    <w:p>
      <w:pPr>
        <w:pStyle w:val="904"/>
        <w:jc w:val="center"/>
        <w:rPr>
          <w:b/>
          <w:sz w:val="36"/>
          <w:szCs w:val="36"/>
          <w:highlight w:val="none"/>
        </w:rPr>
      </w:pPr>
      <w:r>
        <w:rPr>
          <w:rFonts w:hint="eastAsia"/>
          <w:b/>
          <w:sz w:val="36"/>
          <w:szCs w:val="36"/>
          <w:highlight w:val="none"/>
        </w:rPr>
        <w:t xml:space="preserve">中小企业声明函（服务）</w:t>
      </w:r>
      <w:r/>
    </w:p>
    <w:p>
      <w:pPr>
        <w:pStyle w:val="904"/>
        <w:jc w:val="left"/>
        <w:rPr>
          <w:b/>
          <w:sz w:val="32"/>
          <w:szCs w:val="32"/>
          <w:highlight w:val="none"/>
        </w:rPr>
      </w:pPr>
      <w:r>
        <w:rPr>
          <w:b/>
          <w:sz w:val="32"/>
          <w:szCs w:val="32"/>
          <w:highlight w:val="none"/>
        </w:rPr>
      </w:r>
      <w:r/>
    </w:p>
    <w:p>
      <w:pPr>
        <w:pStyle w:val="904"/>
        <w:ind w:firstLine="480"/>
        <w:jc w:val="left"/>
        <w:spacing w:line="500" w:lineRule="exact"/>
        <w:rPr>
          <w:rFonts w:ascii="Times New Roman" w:hAnsi="Times New Roman" w:eastAsia="方正仿宋_GBK"/>
          <w:sz w:val="24"/>
          <w:szCs w:val="24"/>
          <w:highlight w:val="none"/>
        </w:rPr>
      </w:pPr>
      <w:r>
        <w:rPr>
          <w:rFonts w:hint="eastAsia" w:ascii="方正仿宋_GBK" w:eastAsia="方正仿宋_GBK"/>
          <w:sz w:val="24"/>
          <w:szCs w:val="24"/>
          <w:highlight w:val="none"/>
        </w:rPr>
        <w:t xml:space="preserve">本公司（联合体）郑重声明，根据《政府采购促进中小企业发展管理办法》（财库</w:t>
      </w:r>
      <w:r>
        <w:rPr>
          <w:rFonts w:ascii="Times New Roman" w:hAnsi="Times New Roman" w:eastAsia="方正仿宋_GBK"/>
          <w:sz w:val="24"/>
          <w:szCs w:val="24"/>
          <w:highlight w:val="none"/>
        </w:rPr>
        <w:t xml:space="preserve">〔2020〕46号）</w:t>
      </w:r>
      <w:r>
        <w:rPr>
          <w:rFonts w:hint="eastAsia" w:ascii="Times New Roman" w:hAnsi="Times New Roman" w:eastAsia="方正仿宋_GBK"/>
          <w:sz w:val="24"/>
          <w:szCs w:val="24"/>
          <w:highlight w:val="none"/>
        </w:rPr>
        <w:t xml:space="preserve">的规定，本公司（联合体）参加</w:t>
      </w:r>
      <w:r>
        <w:rPr>
          <w:rFonts w:hint="eastAsia" w:ascii="Times New Roman" w:hAnsi="Times New Roman" w:eastAsia="方正仿宋_GBK"/>
          <w:sz w:val="24"/>
          <w:szCs w:val="24"/>
          <w:highlight w:val="none"/>
          <w:u w:val="single"/>
        </w:rPr>
        <w:t xml:space="preserve"> 单位名称  </w:t>
      </w:r>
      <w:r>
        <w:rPr>
          <w:rFonts w:hint="eastAsia" w:ascii="Times New Roman" w:hAnsi="Times New Roman" w:eastAsia="方正仿宋_GBK"/>
          <w:sz w:val="24"/>
          <w:szCs w:val="24"/>
          <w:highlight w:val="none"/>
        </w:rPr>
        <w:t xml:space="preserve">的（</w:t>
      </w:r>
      <w:r>
        <w:rPr>
          <w:rFonts w:hint="eastAsia" w:ascii="Times New Roman" w:hAnsi="Times New Roman" w:eastAsia="方正仿宋_GBK"/>
          <w:sz w:val="24"/>
          <w:szCs w:val="24"/>
          <w:highlight w:val="none"/>
          <w:u w:val="single"/>
        </w:rPr>
        <w:t xml:space="preserve">项目名称）</w:t>
      </w:r>
      <w:r>
        <w:rPr>
          <w:rFonts w:hint="eastAsia" w:ascii="Times New Roman" w:hAnsi="Times New Roman" w:eastAsia="方正仿宋_GBK"/>
          <w:sz w:val="24"/>
          <w:szCs w:val="24"/>
          <w:highlight w:val="none"/>
        </w:rPr>
        <w:t xml:space="preserve"> 采购活动，工程的施工单位全部为符合政策要求的中小企业（或者：服务全部由符合政策要求的中小企业承接）。相关企业（含联合体中的中小企业、签订分包意向协议的中小企业）的具体情况如下：</w:t>
      </w:r>
      <w:r/>
    </w:p>
    <w:p>
      <w:pPr>
        <w:pStyle w:val="904"/>
        <w:ind w:firstLine="480"/>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rPr>
        <w:t xml:space="preserve">1. </w:t>
      </w:r>
      <w:r>
        <w:rPr>
          <w:rFonts w:hint="eastAsia" w:ascii="Times New Roman" w:hAnsi="Times New Roman" w:eastAsia="方正仿宋_GBK"/>
          <w:sz w:val="24"/>
          <w:szCs w:val="24"/>
          <w:highlight w:val="none"/>
          <w:u w:val="single"/>
        </w:rPr>
        <w:t xml:space="preserve">标的名称          </w:t>
      </w:r>
      <w:r>
        <w:rPr>
          <w:rFonts w:hint="eastAsia" w:ascii="Times New Roman" w:hAnsi="Times New Roman" w:eastAsia="方正仿宋_GBK"/>
          <w:sz w:val="24"/>
          <w:szCs w:val="24"/>
          <w:highlight w:val="none"/>
        </w:rPr>
        <w:t xml:space="preserve">，属于（</w:t>
      </w:r>
      <w:r>
        <w:rPr>
          <w:rFonts w:hint="eastAsia" w:ascii="Times New Roman" w:hAnsi="Times New Roman" w:eastAsia="方正仿宋_GBK"/>
          <w:i/>
          <w:sz w:val="24"/>
          <w:szCs w:val="24"/>
          <w:highlight w:val="none"/>
          <w:u w:val="single"/>
        </w:rPr>
        <w:t xml:space="preserve">采购文件中明确的所属行业）</w:t>
      </w:r>
      <w:r>
        <w:rPr>
          <w:rFonts w:hint="eastAsia" w:ascii="Times New Roman" w:hAnsi="Times New Roman" w:eastAsia="方正仿宋_GBK"/>
          <w:sz w:val="24"/>
          <w:szCs w:val="24"/>
          <w:highlight w:val="none"/>
          <w:u w:val="single"/>
        </w:rPr>
        <w:t xml:space="preserve">行业</w:t>
      </w:r>
      <w:r>
        <w:rPr>
          <w:rFonts w:hint="eastAsia" w:ascii="Times New Roman" w:hAnsi="Times New Roman" w:eastAsia="方正仿宋_GBK"/>
          <w:sz w:val="24"/>
          <w:szCs w:val="24"/>
          <w:highlight w:val="none"/>
        </w:rPr>
        <w:t xml:space="preserve">；承建（承接）企业为</w:t>
      </w:r>
      <w:r>
        <w:rPr>
          <w:rFonts w:hint="eastAsia" w:ascii="Times New Roman" w:hAnsi="Times New Roman" w:eastAsia="方正仿宋_GBK"/>
          <w:sz w:val="24"/>
          <w:szCs w:val="24"/>
          <w:highlight w:val="none"/>
          <w:u w:val="single"/>
        </w:rPr>
        <w:t xml:space="preserve">（企业名称）  </w:t>
      </w:r>
      <w:r>
        <w:rPr>
          <w:rFonts w:hint="eastAsia" w:ascii="Times New Roman" w:hAnsi="Times New Roman" w:eastAsia="方正仿宋_GBK"/>
          <w:sz w:val="24"/>
          <w:szCs w:val="24"/>
          <w:highlight w:val="none"/>
        </w:rPr>
        <w:t xml:space="preserve">，从业人员</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人，营业收入为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万元，资产总额为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万元</w:t>
      </w:r>
      <w:r>
        <w:rPr>
          <w:rFonts w:hint="eastAsia" w:ascii="Times New Roman" w:hAnsi="Times New Roman" w:eastAsia="方正仿宋_GBK"/>
          <w:sz w:val="24"/>
          <w:szCs w:val="24"/>
          <w:highlight w:val="none"/>
          <w:vertAlign w:val="superscript"/>
        </w:rPr>
        <w:t xml:space="preserve">1</w:t>
      </w:r>
      <w:r>
        <w:rPr>
          <w:rFonts w:hint="eastAsia" w:ascii="Times New Roman" w:hAnsi="Times New Roman" w:eastAsia="方正仿宋_GBK"/>
          <w:sz w:val="24"/>
          <w:szCs w:val="24"/>
          <w:highlight w:val="none"/>
        </w:rPr>
        <w:t xml:space="preserve">，属于</w:t>
      </w:r>
      <w:r>
        <w:rPr>
          <w:rFonts w:hint="eastAsia" w:ascii="Times New Roman" w:hAnsi="Times New Roman" w:eastAsia="方正仿宋_GBK"/>
          <w:sz w:val="24"/>
          <w:szCs w:val="24"/>
          <w:highlight w:val="none"/>
          <w:u w:val="single"/>
        </w:rPr>
        <w:t xml:space="preserve">（中型企业、小型企业、微型企业）；</w:t>
      </w:r>
      <w:r/>
    </w:p>
    <w:p>
      <w:pPr>
        <w:pStyle w:val="904"/>
        <w:ind w:firstLine="480"/>
        <w:jc w:val="left"/>
        <w:spacing w:line="500" w:lineRule="exact"/>
        <w:rPr>
          <w:rFonts w:ascii="Times New Roman" w:hAnsi="Times New Roman" w:eastAsia="方正仿宋_GBK"/>
          <w:sz w:val="24"/>
          <w:szCs w:val="24"/>
          <w:highlight w:val="none"/>
          <w:u w:val="single"/>
        </w:rPr>
      </w:pPr>
      <w:r>
        <w:rPr>
          <w:rFonts w:hint="eastAsia" w:ascii="Times New Roman" w:hAnsi="Times New Roman" w:eastAsia="方正仿宋_GBK"/>
          <w:sz w:val="24"/>
          <w:szCs w:val="24"/>
          <w:highlight w:val="none"/>
        </w:rPr>
        <w:t xml:space="preserve">2. </w:t>
      </w:r>
      <w:r>
        <w:rPr>
          <w:rFonts w:hint="eastAsia" w:ascii="Times New Roman" w:hAnsi="Times New Roman" w:eastAsia="方正仿宋_GBK"/>
          <w:sz w:val="24"/>
          <w:szCs w:val="24"/>
          <w:highlight w:val="none"/>
          <w:u w:val="single"/>
        </w:rPr>
        <w:t xml:space="preserve">标的名称          </w:t>
      </w:r>
      <w:r>
        <w:rPr>
          <w:rFonts w:hint="eastAsia" w:ascii="Times New Roman" w:hAnsi="Times New Roman" w:eastAsia="方正仿宋_GBK"/>
          <w:sz w:val="24"/>
          <w:szCs w:val="24"/>
          <w:highlight w:val="none"/>
        </w:rPr>
        <w:t xml:space="preserve">，属于（</w:t>
      </w:r>
      <w:r>
        <w:rPr>
          <w:rFonts w:hint="eastAsia" w:ascii="Times New Roman" w:hAnsi="Times New Roman" w:eastAsia="方正仿宋_GBK"/>
          <w:i/>
          <w:sz w:val="24"/>
          <w:szCs w:val="24"/>
          <w:highlight w:val="none"/>
          <w:u w:val="single"/>
        </w:rPr>
        <w:t xml:space="preserve">采购文件中明确的所属行业）</w:t>
      </w:r>
      <w:r>
        <w:rPr>
          <w:rFonts w:hint="eastAsia" w:ascii="Times New Roman" w:hAnsi="Times New Roman" w:eastAsia="方正仿宋_GBK"/>
          <w:sz w:val="24"/>
          <w:szCs w:val="24"/>
          <w:highlight w:val="none"/>
          <w:u w:val="single"/>
        </w:rPr>
        <w:t xml:space="preserve">行业</w:t>
      </w:r>
      <w:r>
        <w:rPr>
          <w:rFonts w:hint="eastAsia" w:ascii="Times New Roman" w:hAnsi="Times New Roman" w:eastAsia="方正仿宋_GBK"/>
          <w:sz w:val="24"/>
          <w:szCs w:val="24"/>
          <w:highlight w:val="none"/>
        </w:rPr>
        <w:t xml:space="preserve">；承建（承接）企业为</w:t>
      </w:r>
      <w:r>
        <w:rPr>
          <w:rFonts w:hint="eastAsia" w:ascii="Times New Roman" w:hAnsi="Times New Roman" w:eastAsia="方正仿宋_GBK"/>
          <w:sz w:val="24"/>
          <w:szCs w:val="24"/>
          <w:highlight w:val="none"/>
          <w:u w:val="single"/>
        </w:rPr>
        <w:t xml:space="preserve">（企业名称）   </w:t>
      </w:r>
      <w:r>
        <w:rPr>
          <w:rFonts w:hint="eastAsia" w:ascii="Times New Roman" w:hAnsi="Times New Roman" w:eastAsia="方正仿宋_GBK"/>
          <w:sz w:val="24"/>
          <w:szCs w:val="24"/>
          <w:highlight w:val="none"/>
        </w:rPr>
        <w:t xml:space="preserve">，从业人员</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人，营业收入为 </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万元，资产总额为</w:t>
      </w:r>
      <w:r>
        <w:rPr>
          <w:rFonts w:hint="eastAsia" w:ascii="Times New Roman" w:hAnsi="Times New Roman" w:eastAsia="方正仿宋_GBK"/>
          <w:sz w:val="24"/>
          <w:szCs w:val="24"/>
          <w:highlight w:val="none"/>
          <w:u w:val="single"/>
        </w:rPr>
        <w:t xml:space="preserve">        </w:t>
      </w:r>
      <w:r>
        <w:rPr>
          <w:rFonts w:hint="eastAsia" w:ascii="Times New Roman" w:hAnsi="Times New Roman" w:eastAsia="方正仿宋_GBK"/>
          <w:sz w:val="24"/>
          <w:szCs w:val="24"/>
          <w:highlight w:val="none"/>
        </w:rPr>
        <w:t xml:space="preserve">万元，属于</w:t>
      </w:r>
      <w:r>
        <w:rPr>
          <w:rFonts w:hint="eastAsia" w:ascii="Times New Roman" w:hAnsi="Times New Roman" w:eastAsia="方正仿宋_GBK"/>
          <w:sz w:val="24"/>
          <w:szCs w:val="24"/>
          <w:highlight w:val="none"/>
          <w:u w:val="single"/>
        </w:rPr>
        <w:t xml:space="preserve">（中型企业、小型企业、微型企业）；</w:t>
      </w:r>
      <w:r/>
    </w:p>
    <w:p>
      <w:pPr>
        <w:pStyle w:val="904"/>
        <w:ind w:firstLine="480"/>
        <w:jc w:val="left"/>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t xml:space="preserve">……</w:t>
      </w:r>
      <w:r/>
    </w:p>
    <w:p>
      <w:pPr>
        <w:pStyle w:val="90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以上企业，不属于大企业的分支机构，不存在控股股东为大企业的情形，也不存在与大企业的负责人为同一人的情形。</w:t>
      </w:r>
      <w:r/>
    </w:p>
    <w:p>
      <w:pPr>
        <w:pStyle w:val="90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本企业对上述声明内容的真实性负责。如有虚假，将依法承担相应责任。</w:t>
      </w:r>
      <w:r/>
    </w:p>
    <w:p>
      <w:pPr>
        <w:pStyle w:val="904"/>
        <w:ind w:firstLine="480"/>
        <w:jc w:val="center"/>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0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企业名称（</w:t>
      </w:r>
      <w:r>
        <w:rPr>
          <w:rFonts w:hint="eastAsia" w:ascii="方正仿宋_GBK" w:eastAsia="方正仿宋_GBK"/>
          <w:sz w:val="24"/>
          <w:szCs w:val="24"/>
          <w:highlight w:val="none"/>
        </w:rPr>
        <w:t xml:space="preserve">盖CA电子公章</w:t>
      </w:r>
      <w:r>
        <w:rPr>
          <w:rFonts w:hint="eastAsia" w:ascii="Times New Roman" w:hAnsi="Times New Roman" w:eastAsia="方正仿宋_GBK"/>
          <w:sz w:val="24"/>
          <w:szCs w:val="24"/>
          <w:highlight w:val="none"/>
        </w:rPr>
        <w:t xml:space="preserve">）：</w:t>
      </w:r>
      <w:r/>
    </w:p>
    <w:p>
      <w:pPr>
        <w:pStyle w:val="904"/>
        <w:ind w:firstLine="480"/>
        <w:jc w:val="left"/>
        <w:spacing w:line="500" w:lineRule="exact"/>
        <w:rPr>
          <w:rFonts w:ascii="Times New Roman" w:hAnsi="Times New Roman" w:eastAsia="方正仿宋_GBK"/>
          <w:sz w:val="24"/>
          <w:szCs w:val="24"/>
          <w:highlight w:val="none"/>
        </w:rPr>
      </w:pPr>
      <w:r>
        <w:rPr>
          <w:rFonts w:hint="eastAsia" w:ascii="Times New Roman" w:hAnsi="Times New Roman" w:eastAsia="方正仿宋_GBK"/>
          <w:sz w:val="24"/>
          <w:szCs w:val="24"/>
          <w:highlight w:val="none"/>
        </w:rPr>
        <w:t xml:space="preserve">日期：  年  月  日</w:t>
      </w:r>
      <w:r/>
    </w:p>
    <w:p>
      <w:pPr>
        <w:pStyle w:val="904"/>
        <w:ind w:firstLine="480"/>
        <w:spacing w:line="500" w:lineRule="exact"/>
        <w:rPr>
          <w:rFonts w:ascii="Times New Roman" w:hAnsi="Times New Roman" w:eastAsia="方正仿宋_GBK"/>
          <w:sz w:val="24"/>
          <w:szCs w:val="24"/>
          <w:highlight w:val="none"/>
        </w:rPr>
      </w:pPr>
      <w:r>
        <w:rPr>
          <w:rFonts w:ascii="Times New Roman" w:hAnsi="Times New Roman" w:eastAsia="方正仿宋_GBK"/>
          <w:sz w:val="24"/>
          <w:szCs w:val="24"/>
          <w:highlight w:val="none"/>
        </w:rPr>
      </w:r>
      <w:r/>
    </w:p>
    <w:p>
      <w:pPr>
        <w:pStyle w:val="904"/>
        <w:ind w:firstLine="360"/>
        <w:spacing w:line="560" w:lineRule="exact"/>
        <w:rPr>
          <w:rFonts w:ascii="宋体" w:hAnsi="宋体"/>
          <w:sz w:val="18"/>
          <w:szCs w:val="18"/>
          <w:highlight w:val="none"/>
        </w:rPr>
      </w:pPr>
      <w:r>
        <w:rPr>
          <w:rFonts w:hint="eastAsia" w:ascii="宋体" w:hAnsi="宋体"/>
          <w:sz w:val="18"/>
          <w:szCs w:val="18"/>
          <w:highlight w:val="none"/>
          <w:vertAlign w:val="superscript"/>
        </w:rPr>
        <w:t xml:space="preserve">1</w:t>
      </w:r>
      <w:r>
        <w:rPr>
          <w:rFonts w:hint="eastAsia" w:ascii="宋体" w:hAnsi="宋体"/>
          <w:sz w:val="18"/>
          <w:szCs w:val="18"/>
          <w:highlight w:val="none"/>
        </w:rPr>
        <w:t xml:space="preserve">从业人员、营业收入、资产总额填报上一年数据，无上一年数据的新成立企业可不填报。</w:t>
      </w:r>
      <w:r/>
    </w:p>
    <w:p>
      <w:pPr>
        <w:pStyle w:val="904"/>
        <w:ind w:firstLine="360"/>
        <w:spacing w:line="560" w:lineRule="exact"/>
        <w:rPr>
          <w:rFonts w:ascii="宋体" w:hAnsi="宋体"/>
          <w:sz w:val="18"/>
          <w:szCs w:val="18"/>
          <w:highlight w:val="none"/>
        </w:rPr>
      </w:pPr>
      <w:r>
        <w:rPr>
          <w:rFonts w:ascii="宋体" w:hAnsi="宋体"/>
          <w:sz w:val="18"/>
          <w:szCs w:val="18"/>
          <w:highlight w:val="none"/>
        </w:rPr>
      </w:r>
      <w:r/>
    </w:p>
    <w:p>
      <w:pPr>
        <w:pStyle w:val="904"/>
        <w:jc w:val="center"/>
        <w:spacing w:before="151" w:after="151" w:line="600" w:lineRule="exact"/>
        <w:rPr>
          <w:rFonts w:ascii="宋体"/>
          <w:b/>
          <w:bCs/>
          <w:sz w:val="32"/>
          <w:szCs w:val="32"/>
          <w:highlight w:val="none"/>
        </w:rPr>
      </w:pPr>
      <w:r>
        <w:rPr>
          <w:rFonts w:ascii="宋体"/>
          <w:b/>
          <w:bCs/>
          <w:sz w:val="32"/>
          <w:szCs w:val="32"/>
          <w:highlight w:val="none"/>
        </w:rPr>
      </w:r>
      <w:r/>
    </w:p>
    <w:p>
      <w:pPr>
        <w:pStyle w:val="904"/>
        <w:spacing w:before="151" w:after="151" w:line="600" w:lineRule="exact"/>
        <w:rPr>
          <w:rFonts w:ascii="宋体"/>
          <w:b/>
          <w:bCs/>
          <w:sz w:val="32"/>
          <w:szCs w:val="32"/>
          <w:highlight w:val="none"/>
        </w:rPr>
      </w:pPr>
      <w:r>
        <w:rPr>
          <w:rFonts w:ascii="宋体"/>
          <w:b/>
          <w:bCs/>
          <w:sz w:val="32"/>
          <w:szCs w:val="32"/>
          <w:highlight w:val="none"/>
        </w:rPr>
      </w:r>
      <w:r/>
    </w:p>
    <w:p>
      <w:pPr>
        <w:pStyle w:val="905"/>
        <w:jc w:val="center"/>
        <w:spacing w:before="151" w:after="151" w:line="600" w:lineRule="exact"/>
        <w:rPr>
          <w:rFonts w:ascii="宋体"/>
          <w:b/>
          <w:bCs/>
          <w:sz w:val="32"/>
          <w:szCs w:val="32"/>
          <w:highlight w:val="none"/>
        </w:rPr>
      </w:pPr>
      <w:r>
        <w:rPr>
          <w:rFonts w:hint="eastAsia" w:ascii="宋体"/>
          <w:b/>
          <w:bCs/>
          <w:sz w:val="32"/>
          <w:szCs w:val="32"/>
          <w:highlight w:val="none"/>
        </w:rPr>
        <w:t xml:space="preserve">残疾人福利性单位声明函</w:t>
      </w:r>
      <w:r/>
    </w:p>
    <w:p>
      <w:pPr>
        <w:pStyle w:val="906"/>
        <w:spacing w:line="588" w:lineRule="exact"/>
        <w:rPr>
          <w:rFonts w:ascii="仿宋_GB2312" w:eastAsia="仿宋_GB2312"/>
          <w:b/>
          <w:spacing w:val="6"/>
          <w:sz w:val="30"/>
          <w:szCs w:val="30"/>
          <w:highlight w:val="none"/>
        </w:rPr>
      </w:pPr>
      <w:r>
        <w:rPr>
          <w:rFonts w:ascii="仿宋_GB2312" w:eastAsia="仿宋_GB2312"/>
          <w:b/>
          <w:spacing w:val="6"/>
          <w:sz w:val="30"/>
          <w:szCs w:val="30"/>
          <w:highlight w:val="none"/>
        </w:rPr>
      </w:r>
      <w:r/>
    </w:p>
    <w:p>
      <w:pPr>
        <w:pStyle w:val="905"/>
        <w:ind w:firstLine="480"/>
        <w:spacing w:line="500" w:lineRule="exact"/>
        <w:rPr>
          <w:rFonts w:ascii="方正仿宋_GBK" w:eastAsia="方正仿宋_GBK"/>
          <w:sz w:val="24"/>
          <w:highlight w:val="none"/>
        </w:rPr>
      </w:pPr>
      <w:r>
        <w:rPr>
          <w:rFonts w:hint="eastAsia" w:ascii="方正仿宋_GBK" w:eastAsia="方正仿宋_GBK"/>
          <w:sz w:val="24"/>
          <w:highlight w:val="none"/>
        </w:rPr>
        <w:t xml:space="preserve">本单位郑重声明，根据《财政部 民政部 中国残疾人联合会关于促进残疾人就业政府采购政策的通知》（财库〔</w:t>
      </w:r>
      <w:r>
        <w:rPr>
          <w:rFonts w:ascii="Times New Roman" w:hAnsi="Times New Roman" w:eastAsia="方正仿宋_GBK"/>
          <w:sz w:val="24"/>
          <w:highlight w:val="none"/>
        </w:rPr>
        <w:t xml:space="preserve">2017</w:t>
      </w:r>
      <w:r>
        <w:rPr>
          <w:rFonts w:hint="eastAsia" w:ascii="方正仿宋_GBK" w:eastAsia="方正仿宋_GBK"/>
          <w:sz w:val="24"/>
          <w:highlight w:val="none"/>
        </w:rPr>
        <w:t xml:space="preserve">〕</w:t>
      </w:r>
      <w:r>
        <w:rPr>
          <w:rFonts w:ascii="Times New Roman" w:hAnsi="Times New Roman" w:eastAsia="方正仿宋_GBK"/>
          <w:sz w:val="24"/>
          <w:highlight w:val="none"/>
        </w:rPr>
        <w:t xml:space="preserve">141</w:t>
      </w:r>
      <w:r>
        <w:rPr>
          <w:rFonts w:hint="eastAsia" w:ascii="方正仿宋_GBK" w:eastAsia="方正仿宋_GBK"/>
          <w:sz w:val="24"/>
          <w:highlight w:val="none"/>
        </w:rPr>
        <w:t xml:space="preserve">号）的规定，本单位为符合条件的残疾人福利性单位，且本单位参加</w:t>
      </w:r>
      <w:r>
        <w:rPr>
          <w:rFonts w:hint="eastAsia" w:ascii="方正仿宋_GBK" w:eastAsia="方正仿宋_GBK"/>
          <w:sz w:val="24"/>
          <w:highlight w:val="none"/>
          <w:u w:val="single"/>
        </w:rPr>
        <w:t xml:space="preserve">          </w:t>
      </w:r>
      <w:r>
        <w:rPr>
          <w:rFonts w:hint="eastAsia" w:ascii="方正仿宋_GBK" w:eastAsia="方正仿宋_GBK"/>
          <w:sz w:val="24"/>
          <w:highlight w:val="none"/>
        </w:rPr>
        <w:t xml:space="preserve">的</w:t>
      </w:r>
      <w:r>
        <w:rPr>
          <w:rFonts w:hint="eastAsia" w:ascii="方正仿宋_GBK" w:eastAsia="方正仿宋_GBK"/>
          <w:sz w:val="24"/>
          <w:highlight w:val="none"/>
          <w:u w:val="single"/>
        </w:rPr>
        <w:t xml:space="preserve">                  </w:t>
      </w:r>
      <w:r>
        <w:rPr>
          <w:rFonts w:hint="eastAsia" w:ascii="方正仿宋_GBK" w:eastAsia="方正仿宋_GBK"/>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05"/>
        <w:ind w:firstLine="480"/>
        <w:spacing w:line="500" w:lineRule="exact"/>
        <w:rPr>
          <w:rFonts w:ascii="方正仿宋_GBK" w:eastAsia="方正仿宋_GBK"/>
          <w:sz w:val="24"/>
          <w:highlight w:val="none"/>
        </w:rPr>
      </w:pPr>
      <w:r>
        <w:rPr>
          <w:rFonts w:hint="eastAsia" w:ascii="方正仿宋_GBK" w:eastAsia="方正仿宋_GBK"/>
          <w:sz w:val="24"/>
          <w:highlight w:val="none"/>
        </w:rPr>
        <w:t xml:space="preserve">本单位对上述声明的真实性负责。如有虚假，将依法承担相应责任。</w:t>
      </w:r>
      <w:r/>
    </w:p>
    <w:p>
      <w:pPr>
        <w:pStyle w:val="907"/>
        <w:ind w:firstLine="3810"/>
        <w:spacing w:line="500" w:lineRule="exact"/>
        <w:rPr>
          <w:rFonts w:ascii="仿宋_GB2312" w:hAnsi="Calibri" w:eastAsia="仿宋_GB2312"/>
          <w:spacing w:val="6"/>
          <w:sz w:val="24"/>
          <w:szCs w:val="24"/>
          <w:highlight w:val="none"/>
        </w:rPr>
      </w:pPr>
      <w:r>
        <w:rPr>
          <w:rFonts w:ascii="仿宋_GB2312" w:hAnsi="Calibri" w:eastAsia="仿宋_GB2312"/>
          <w:spacing w:val="6"/>
          <w:sz w:val="24"/>
          <w:szCs w:val="24"/>
          <w:highlight w:val="none"/>
        </w:rPr>
      </w:r>
      <w:r/>
    </w:p>
    <w:p>
      <w:pPr>
        <w:pStyle w:val="907"/>
        <w:ind w:firstLine="3629"/>
        <w:jc w:val="left"/>
        <w:spacing w:line="500" w:lineRule="exact"/>
        <w:rPr>
          <w:rFonts w:ascii="方正仿宋_GBK" w:eastAsia="方正仿宋_GBK"/>
          <w:sz w:val="24"/>
          <w:highlight w:val="none"/>
        </w:rPr>
      </w:pPr>
      <w:r>
        <w:rPr>
          <w:rFonts w:ascii="方正仿宋_GBK" w:eastAsia="方正仿宋_GBK"/>
          <w:sz w:val="24"/>
          <w:highlight w:val="none"/>
        </w:rPr>
      </w:r>
      <w:r/>
    </w:p>
    <w:p>
      <w:pPr>
        <w:pStyle w:val="907"/>
        <w:ind w:firstLine="480"/>
        <w:jc w:val="left"/>
        <w:spacing w:line="500" w:lineRule="exact"/>
        <w:rPr>
          <w:rFonts w:ascii="方正仿宋_GBK" w:eastAsia="方正仿宋_GBK"/>
          <w:sz w:val="24"/>
          <w:highlight w:val="none"/>
        </w:rPr>
      </w:pPr>
      <w:r>
        <w:rPr>
          <w:rFonts w:hint="eastAsia" w:ascii="方正仿宋_GBK" w:eastAsia="方正仿宋_GBK"/>
          <w:sz w:val="24"/>
          <w:highlight w:val="none"/>
        </w:rPr>
        <w:t xml:space="preserve">单位名称：</w:t>
      </w:r>
      <w:r>
        <w:rPr>
          <w:rFonts w:hint="eastAsia" w:ascii="方正仿宋_GBK" w:eastAsia="方正仿宋_GBK"/>
          <w:sz w:val="24"/>
          <w:highlight w:val="none"/>
          <w:u w:val="single"/>
        </w:rPr>
        <w:t xml:space="preserve">              </w:t>
      </w:r>
      <w:r>
        <w:rPr>
          <w:rFonts w:hint="eastAsia" w:ascii="方正仿宋_GBK" w:eastAsia="方正仿宋_GBK"/>
          <w:sz w:val="24"/>
          <w:highlight w:val="none"/>
        </w:rPr>
        <w:t xml:space="preserve">（</w:t>
      </w:r>
      <w:r>
        <w:rPr>
          <w:rFonts w:hint="eastAsia" w:ascii="方正仿宋_GBK" w:eastAsia="方正仿宋_GBK"/>
          <w:sz w:val="24"/>
          <w:szCs w:val="24"/>
          <w:highlight w:val="none"/>
        </w:rPr>
        <w:t xml:space="preserve">盖CA电子公章</w:t>
      </w:r>
      <w:r>
        <w:rPr>
          <w:rFonts w:hint="eastAsia" w:ascii="方正仿宋_GBK" w:eastAsia="方正仿宋_GBK"/>
          <w:sz w:val="24"/>
          <w:highlight w:val="none"/>
        </w:rPr>
        <w:t xml:space="preserve">）</w:t>
      </w:r>
      <w:r/>
    </w:p>
    <w:p>
      <w:pPr>
        <w:pStyle w:val="904"/>
        <w:ind w:firstLine="480"/>
        <w:jc w:val="left"/>
        <w:spacing w:line="500" w:lineRule="exact"/>
        <w:rPr>
          <w:rFonts w:ascii="方正仿宋_GBK" w:hAnsi="Times New Roman" w:eastAsia="方正仿宋_GBK"/>
          <w:sz w:val="24"/>
          <w:szCs w:val="20"/>
          <w:highlight w:val="none"/>
        </w:rPr>
      </w:pPr>
      <w:r>
        <w:rPr>
          <w:rFonts w:hint="eastAsia" w:ascii="方正仿宋_GBK" w:hAnsi="Times New Roman" w:eastAsia="方正仿宋_GBK"/>
          <w:sz w:val="24"/>
          <w:szCs w:val="20"/>
          <w:highlight w:val="none"/>
        </w:rPr>
        <w:t xml:space="preserve">日期：  年  月  日</w:t>
      </w:r>
      <w:r/>
    </w:p>
    <w:p>
      <w:pPr>
        <w:pStyle w:val="906"/>
        <w:ind w:right="1560" w:firstLine="480"/>
        <w:jc w:val="center"/>
        <w:spacing w:line="588" w:lineRule="exact"/>
        <w:tabs>
          <w:tab w:val="left" w:pos="4860" w:leader="none"/>
        </w:tabs>
        <w:rPr>
          <w:rFonts w:ascii="Arial" w:hAnsi="Arial" w:cs="Arial"/>
          <w:sz w:val="24"/>
          <w:szCs w:val="24"/>
          <w:highlight w:val="none"/>
        </w:rPr>
      </w:pPr>
      <w:r>
        <w:rPr>
          <w:rFonts w:ascii="Arial" w:hAnsi="Arial" w:cs="Arial"/>
          <w:sz w:val="24"/>
          <w:szCs w:val="24"/>
          <w:highlight w:val="none"/>
        </w:rPr>
      </w:r>
      <w:r/>
    </w:p>
    <w:p>
      <w:pPr>
        <w:pStyle w:val="908"/>
        <w:ind w:left="357" w:firstLine="0"/>
        <w:spacing w:line="500" w:lineRule="exact"/>
        <w:rPr>
          <w:rFonts w:ascii="Arial" w:hAnsi="Arial" w:cs="Arial"/>
          <w:sz w:val="24"/>
          <w:szCs w:val="24"/>
          <w:highlight w:val="none"/>
        </w:rPr>
      </w:pPr>
      <w:r>
        <w:rPr>
          <w:rFonts w:ascii="Arial" w:hAnsi="Arial" w:cs="Arial"/>
          <w:sz w:val="24"/>
          <w:szCs w:val="24"/>
          <w:highlight w:val="none"/>
        </w:rPr>
      </w:r>
      <w:r/>
    </w:p>
    <w:p>
      <w:pPr>
        <w:pStyle w:val="905"/>
        <w:ind w:firstLine="445"/>
        <w:spacing w:before="151" w:after="151" w:line="240" w:lineRule="atLeast"/>
        <w:rPr>
          <w:rFonts w:ascii="宋体" w:hAnsi="宋体"/>
          <w:sz w:val="24"/>
          <w:highlight w:val="none"/>
        </w:rPr>
      </w:pPr>
      <w:r>
        <w:rPr>
          <w:rFonts w:hint="eastAsia" w:ascii="宋体" w:hAnsi="宋体"/>
          <w:sz w:val="24"/>
          <w:highlight w:val="none"/>
        </w:rPr>
        <w:t xml:space="preserve">注：非残疾人福利性单位不需提供此函。</w:t>
      </w:r>
      <w:r/>
    </w:p>
    <w:p>
      <w:pPr>
        <w:rPr>
          <w:highlight w:val="none"/>
        </w:rPr>
      </w:pPr>
      <w:r>
        <w:rPr>
          <w:highlight w:val="none"/>
        </w:rPr>
        <w:br w:type="page" w:clear="all"/>
      </w:r>
      <w:r/>
    </w:p>
    <w:p>
      <w:pPr>
        <w:pStyle w:val="922"/>
        <w:numPr>
          <w:ilvl w:val="0"/>
          <w:numId w:val="2"/>
        </w:numPr>
        <w:rPr>
          <w:rFonts w:ascii="宋体"/>
          <w:bCs/>
          <w:szCs w:val="32"/>
          <w:highlight w:val="none"/>
        </w:rPr>
        <w:outlineLvl w:val="1"/>
      </w:pPr>
      <w:r/>
      <w:bookmarkStart w:id="197" w:name="_Toc8257"/>
      <w:r>
        <w:rPr>
          <w:rFonts w:hint="eastAsia"/>
          <w:highlight w:val="none"/>
        </w:rPr>
        <w:t xml:space="preserve">技术要求响应及偏离表</w:t>
      </w:r>
      <w:r>
        <w:rPr>
          <w:rFonts w:hint="eastAsia" w:ascii="Times New Roman" w:hAnsi="Times New Roman"/>
          <w:szCs w:val="32"/>
          <w:highlight w:val="none"/>
        </w:rPr>
        <w:t xml:space="preserve">（分包号：**）</w:t>
      </w:r>
      <w:bookmarkEnd w:id="197"/>
      <w:r/>
      <w:r/>
    </w:p>
    <w:p>
      <w:pPr>
        <w:pStyle w:val="910"/>
        <w:jc w:val="center"/>
        <w:rPr>
          <w:rFonts w:ascii="宋体" w:hAnsi="宋体"/>
          <w:b/>
          <w:bCs/>
          <w:sz w:val="24"/>
          <w:szCs w:val="28"/>
          <w:highlight w:val="none"/>
        </w:rPr>
      </w:pPr>
      <w:r>
        <w:rPr>
          <w:rFonts w:ascii="宋体" w:hAnsi="宋体"/>
          <w:b/>
          <w:bCs/>
          <w:sz w:val="24"/>
          <w:szCs w:val="28"/>
          <w:highlight w:val="none"/>
        </w:rPr>
      </w:r>
      <w:r/>
    </w:p>
    <w:tbl>
      <w:tblPr>
        <w:tblStyle w:val="651"/>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招标文件内容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投标文件内容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before="100" w:beforeAutospacing="1" w:line="560" w:lineRule="exact"/>
              <w:widowControl/>
              <w:rPr>
                <w:rFonts w:ascii="仿宋_GB2312" w:eastAsia="仿宋_GB2312"/>
                <w:sz w:val="28"/>
                <w:szCs w:val="28"/>
                <w:highlight w:val="none"/>
              </w:rPr>
            </w:pPr>
            <w:r>
              <w:rPr>
                <w:rFonts w:hint="eastAsia" w:ascii="仿宋_GB2312" w:eastAsia="仿宋_GB2312"/>
                <w:sz w:val="28"/>
                <w:szCs w:val="28"/>
                <w:highlight w:val="none"/>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910"/>
              <w:jc w:val="center"/>
              <w:spacing w:line="560" w:lineRule="exact"/>
              <w:rPr>
                <w:rFonts w:ascii="仿宋_GB2312" w:eastAsia="仿宋_GB2312"/>
                <w:sz w:val="24"/>
                <w:highlight w:val="none"/>
              </w:rPr>
            </w:pPr>
            <w:r>
              <w:rPr>
                <w:rFonts w:ascii="仿宋_GB2312" w:eastAsia="仿宋_GB2312"/>
                <w:sz w:val="24"/>
                <w:highlight w:val="none"/>
              </w:rPr>
            </w:r>
            <w:r/>
          </w:p>
        </w:tc>
      </w:tr>
    </w:tbl>
    <w:p>
      <w:pPr>
        <w:pStyle w:val="910"/>
        <w:jc w:val="right"/>
        <w:spacing w:line="560" w:lineRule="exact"/>
        <w:rPr>
          <w:rFonts w:ascii="仿宋_GB2312" w:eastAsia="仿宋_GB2312"/>
          <w:sz w:val="28"/>
          <w:szCs w:val="28"/>
          <w:highlight w:val="none"/>
          <w:u w:val="single"/>
        </w:rPr>
      </w:pPr>
      <w:r>
        <w:rPr>
          <w:rFonts w:hint="eastAsia" w:ascii="仿宋_GB2312" w:eastAsia="仿宋_GB2312"/>
          <w:sz w:val="24"/>
          <w:highlight w:val="none"/>
        </w:rPr>
        <w:t xml:space="preserve">单位名称：</w:t>
      </w:r>
      <w:r>
        <w:rPr>
          <w:rFonts w:hint="eastAsia" w:ascii="仿宋_GB2312" w:eastAsia="仿宋_GB2312"/>
          <w:sz w:val="24"/>
          <w:highlight w:val="none"/>
          <w:u w:val="single"/>
        </w:rPr>
        <w:t xml:space="preserve">             </w:t>
      </w:r>
      <w:r>
        <w:rPr>
          <w:rFonts w:hint="eastAsia" w:ascii="仿宋_GB2312" w:eastAsia="仿宋_GB2312"/>
          <w:sz w:val="24"/>
          <w:highlight w:val="none"/>
        </w:rPr>
        <w:t xml:space="preserve">（电子签章） </w:t>
      </w:r>
      <w:r/>
    </w:p>
    <w:p>
      <w:pPr>
        <w:pStyle w:val="911"/>
        <w:ind w:firstLine="482"/>
        <w:rPr>
          <w:rFonts w:hAnsi="宋体"/>
          <w:b/>
          <w:bCs/>
          <w:sz w:val="24"/>
          <w:szCs w:val="28"/>
          <w:highlight w:val="none"/>
        </w:rPr>
      </w:pPr>
      <w:r>
        <w:rPr>
          <w:rFonts w:hAnsi="宋体"/>
          <w:b/>
          <w:bCs/>
          <w:sz w:val="24"/>
          <w:szCs w:val="28"/>
          <w:highlight w:val="none"/>
        </w:rPr>
      </w:r>
      <w:r/>
    </w:p>
    <w:p>
      <w:pPr>
        <w:pStyle w:val="911"/>
        <w:rPr>
          <w:rFonts w:hAnsi="宋体"/>
          <w:b/>
          <w:bCs/>
          <w:sz w:val="24"/>
          <w:szCs w:val="28"/>
          <w:highlight w:val="none"/>
        </w:rPr>
      </w:pPr>
      <w:r>
        <w:rPr>
          <w:rFonts w:hint="eastAsia" w:hAnsi="宋体"/>
          <w:b/>
          <w:bCs/>
          <w:sz w:val="24"/>
          <w:szCs w:val="28"/>
          <w:highlight w:val="none"/>
        </w:rPr>
        <w:t xml:space="preserve">1、凡投标文件中所投货物或服务与招标文件有偏离的（包括正偏离，用+号表示和负偏离，用-号表示），均应在此表中详细列出并说明理由（内容较多的可以标注见投标文件第几页），行数不够可自行添加。</w:t>
      </w:r>
      <w:r/>
    </w:p>
    <w:p>
      <w:pPr>
        <w:pStyle w:val="910"/>
        <w:spacing w:line="360" w:lineRule="auto"/>
        <w:rPr>
          <w:rFonts w:ascii="宋体" w:hAnsi="宋体"/>
          <w:b/>
          <w:bCs/>
          <w:sz w:val="24"/>
          <w:szCs w:val="28"/>
          <w:highlight w:val="none"/>
        </w:rPr>
      </w:pPr>
      <w:r>
        <w:rPr>
          <w:rFonts w:hint="eastAsia" w:ascii="宋体" w:hAnsi="宋体"/>
          <w:b/>
          <w:bCs/>
          <w:sz w:val="24"/>
          <w:szCs w:val="28"/>
          <w:highlight w:val="none"/>
        </w:rPr>
        <w:t xml:space="preserve">2、投标人所投产品如与招标文件要求的规格及配置不一致，则须在上表偏离说明中详细注明。</w:t>
      </w:r>
      <w:r/>
    </w:p>
    <w:p>
      <w:pPr>
        <w:pStyle w:val="912"/>
        <w:rPr>
          <w:highlight w:val="none"/>
        </w:rPr>
      </w:pPr>
      <w:r>
        <w:rPr>
          <w:rFonts w:hint="eastAsia" w:ascii="宋体" w:hAnsi="宋体"/>
          <w:b/>
          <w:bCs/>
          <w:sz w:val="24"/>
          <w:szCs w:val="28"/>
          <w:highlight w:val="none"/>
        </w:rPr>
        <w:t xml:space="preserve">3、响应部分可后附详细说明及技术资料，并注明投标文件中对应的页码范围。</w:t>
      </w:r>
      <w:r/>
    </w:p>
    <w:p>
      <w:pPr>
        <w:spacing w:line="588" w:lineRule="exact"/>
        <w:rPr>
          <w:rFonts w:ascii="Times New Roman" w:hAnsi="Times New Roman"/>
          <w:sz w:val="24"/>
          <w:highlight w:val="none"/>
        </w:rPr>
      </w:pPr>
      <w:r>
        <w:rPr>
          <w:rFonts w:ascii="Times New Roman" w:hAnsi="Times New Roman"/>
          <w:sz w:val="24"/>
          <w:highlight w:val="none"/>
        </w:rPr>
      </w:r>
      <w:r/>
    </w:p>
    <w:p>
      <w:pPr>
        <w:rPr>
          <w:rFonts w:ascii="宋体"/>
          <w:b/>
          <w:bCs/>
          <w:sz w:val="32"/>
          <w:szCs w:val="32"/>
          <w:highlight w:val="none"/>
        </w:rPr>
      </w:pPr>
      <w:r>
        <w:rPr>
          <w:rFonts w:hint="eastAsia" w:ascii="宋体"/>
          <w:b/>
          <w:bCs/>
          <w:sz w:val="32"/>
          <w:szCs w:val="32"/>
          <w:highlight w:val="none"/>
        </w:rPr>
        <w:br w:type="page" w:clear="all"/>
      </w:r>
      <w:r/>
    </w:p>
    <w:p>
      <w:pPr>
        <w:pStyle w:val="922"/>
        <w:numPr>
          <w:ilvl w:val="0"/>
          <w:numId w:val="2"/>
        </w:numPr>
        <w:rPr>
          <w:rFonts w:ascii="宋体"/>
          <w:bCs/>
          <w:szCs w:val="32"/>
          <w:highlight w:val="none"/>
        </w:rPr>
        <w:outlineLvl w:val="1"/>
      </w:pPr>
      <w:r/>
      <w:bookmarkStart w:id="198" w:name="_Toc31185"/>
      <w:r>
        <w:rPr>
          <w:rFonts w:hint="eastAsia" w:ascii="宋体"/>
          <w:bCs/>
          <w:szCs w:val="32"/>
          <w:highlight w:val="none"/>
        </w:rPr>
        <w:t xml:space="preserve">项目组人员</w:t>
      </w:r>
      <w:bookmarkEnd w:id="198"/>
      <w:r/>
      <w:r/>
    </w:p>
    <w:p>
      <w:pPr>
        <w:pStyle w:val="927"/>
        <w:jc w:val="center"/>
        <w:spacing w:line="600" w:lineRule="exact"/>
        <w:rPr>
          <w:rFonts w:ascii="宋体"/>
          <w:b/>
          <w:sz w:val="30"/>
          <w:szCs w:val="30"/>
          <w:highlight w:val="none"/>
        </w:rPr>
      </w:pPr>
      <w:r>
        <w:rPr>
          <w:rFonts w:hint="eastAsia" w:ascii="宋体" w:cs="宋体"/>
          <w:b/>
          <w:sz w:val="30"/>
          <w:szCs w:val="30"/>
          <w:highlight w:val="none"/>
        </w:rPr>
        <w:t xml:space="preserve">拟选派</w:t>
      </w:r>
      <w:r>
        <w:rPr>
          <w:rFonts w:hint="eastAsia" w:ascii="宋体"/>
          <w:b/>
          <w:bCs/>
          <w:sz w:val="32"/>
          <w:szCs w:val="32"/>
          <w:highlight w:val="none"/>
        </w:rPr>
        <w:t xml:space="preserve">项目负责人</w:t>
      </w:r>
      <w:r>
        <w:rPr>
          <w:rFonts w:hint="eastAsia" w:ascii="宋体" w:cs="宋体"/>
          <w:b/>
          <w:sz w:val="30"/>
          <w:szCs w:val="30"/>
          <w:highlight w:val="none"/>
        </w:rPr>
        <w:t xml:space="preserve">简历表</w:t>
      </w:r>
      <w:r/>
    </w:p>
    <w:tbl>
      <w:tblPr>
        <w:tblStyle w:val="651"/>
        <w:tblW w:w="88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2719"/>
        <w:gridCol w:w="1462"/>
        <w:gridCol w:w="2736"/>
      </w:tblGrid>
      <w:tr>
        <w:trPr>
          <w:jc w:val="center"/>
          <w:trHeight w:val="721"/>
        </w:trPr>
        <w:tc>
          <w:tcPr>
            <w:tcW w:w="1966"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姓  名</w:t>
            </w:r>
            <w:r/>
          </w:p>
        </w:tc>
        <w:tc>
          <w:tcPr>
            <w:tcW w:w="2719"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c>
          <w:tcPr>
            <w:tcW w:w="1462"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年 龄</w:t>
            </w:r>
            <w:r/>
          </w:p>
        </w:tc>
        <w:tc>
          <w:tcPr>
            <w:tcW w:w="2736"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r>
      <w:tr>
        <w:trPr>
          <w:jc w:val="center"/>
          <w:trHeight w:val="733"/>
        </w:trPr>
        <w:tc>
          <w:tcPr>
            <w:tcW w:w="1966"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身份证号</w:t>
            </w:r>
            <w:r/>
          </w:p>
        </w:tc>
        <w:tc>
          <w:tcPr>
            <w:gridSpan w:val="3"/>
            <w:tcW w:w="6917"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r>
      <w:tr>
        <w:trPr>
          <w:jc w:val="center"/>
          <w:trHeight w:val="796"/>
        </w:trPr>
        <w:tc>
          <w:tcPr>
            <w:tcW w:w="1966"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联系方式</w:t>
            </w:r>
            <w:r/>
          </w:p>
        </w:tc>
        <w:tc>
          <w:tcPr>
            <w:tcW w:w="2719"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c>
          <w:tcPr>
            <w:tcW w:w="1462"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学历</w:t>
            </w:r>
            <w:r/>
          </w:p>
        </w:tc>
        <w:tc>
          <w:tcPr>
            <w:tcW w:w="2736"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r>
      <w:tr>
        <w:trPr>
          <w:jc w:val="center"/>
          <w:trHeight w:val="768"/>
        </w:trPr>
        <w:tc>
          <w:tcPr>
            <w:tcW w:w="1966" w:type="dxa"/>
            <w:vAlign w:val="center"/>
            <w:textDirection w:val="lrTb"/>
            <w:noWrap w:val="false"/>
          </w:tcPr>
          <w:p>
            <w:pPr>
              <w:pStyle w:val="917"/>
              <w:jc w:val="center"/>
              <w:spacing w:line="440" w:lineRule="exact"/>
              <w:rPr>
                <w:rFonts w:ascii="仿宋_GB2312" w:eastAsia="仿宋_GB2312"/>
                <w:sz w:val="28"/>
                <w:szCs w:val="28"/>
                <w:highlight w:val="none"/>
              </w:rPr>
            </w:pPr>
            <w:r>
              <w:rPr>
                <w:rFonts w:hint="eastAsia" w:ascii="仿宋_GB2312" w:eastAsia="仿宋_GB2312"/>
                <w:sz w:val="28"/>
                <w:szCs w:val="28"/>
                <w:highlight w:val="none"/>
              </w:rPr>
              <w:t xml:space="preserve">相关证书</w:t>
            </w:r>
            <w:r/>
          </w:p>
        </w:tc>
        <w:tc>
          <w:tcPr>
            <w:gridSpan w:val="3"/>
            <w:tcW w:w="6917" w:type="dxa"/>
            <w:vAlign w:val="center"/>
            <w:textDirection w:val="lrTb"/>
            <w:noWrap w:val="false"/>
          </w:tcPr>
          <w:p>
            <w:pPr>
              <w:pStyle w:val="917"/>
              <w:jc w:val="center"/>
              <w:spacing w:line="440" w:lineRule="exact"/>
              <w:rPr>
                <w:rFonts w:ascii="仿宋_GB2312" w:eastAsia="仿宋_GB2312"/>
                <w:sz w:val="28"/>
                <w:szCs w:val="28"/>
                <w:highlight w:val="none"/>
              </w:rPr>
            </w:pPr>
            <w:r>
              <w:rPr>
                <w:rFonts w:ascii="仿宋_GB2312" w:eastAsia="仿宋_GB2312"/>
                <w:sz w:val="28"/>
                <w:szCs w:val="28"/>
                <w:highlight w:val="none"/>
              </w:rPr>
            </w:r>
            <w:r/>
          </w:p>
        </w:tc>
      </w:tr>
    </w:tbl>
    <w:p>
      <w:pPr>
        <w:pStyle w:val="913"/>
        <w:ind w:firstLine="398"/>
        <w:spacing w:line="460" w:lineRule="exact"/>
        <w:rPr>
          <w:rFonts w:ascii="仿宋_GB2312" w:eastAsia="仿宋_GB2312"/>
          <w:sz w:val="24"/>
          <w:szCs w:val="22"/>
          <w:highlight w:val="none"/>
        </w:rPr>
      </w:pPr>
      <w:r>
        <w:rPr>
          <w:rFonts w:hint="eastAsia" w:ascii="仿宋_GB2312" w:eastAsia="仿宋_GB2312"/>
          <w:sz w:val="24"/>
          <w:szCs w:val="22"/>
          <w:highlight w:val="none"/>
        </w:rPr>
        <w:t xml:space="preserve">注：1、投标文件中需按要求提供项目负责人有关证书证明。</w:t>
      </w:r>
      <w:r/>
    </w:p>
    <w:p>
      <w:pPr>
        <w:pStyle w:val="913"/>
        <w:ind w:firstLine="879"/>
        <w:spacing w:line="460" w:lineRule="exact"/>
        <w:rPr>
          <w:rFonts w:ascii="仿宋_GB2312" w:eastAsia="仿宋_GB2312"/>
          <w:sz w:val="24"/>
          <w:szCs w:val="22"/>
          <w:highlight w:val="none"/>
        </w:rPr>
      </w:pPr>
      <w:r>
        <w:rPr>
          <w:rFonts w:hint="eastAsia" w:ascii="仿宋_GB2312" w:eastAsia="仿宋_GB2312"/>
          <w:sz w:val="24"/>
          <w:szCs w:val="22"/>
          <w:highlight w:val="none"/>
        </w:rPr>
        <w:t xml:space="preserve">2、如中标，项目负责人须本表承诺实施，不得更换。</w:t>
      </w:r>
      <w:r/>
    </w:p>
    <w:p>
      <w:pPr>
        <w:pStyle w:val="927"/>
        <w:jc w:val="center"/>
        <w:spacing w:line="600" w:lineRule="exact"/>
        <w:rPr>
          <w:rFonts w:ascii="宋体"/>
          <w:b/>
          <w:bCs/>
          <w:sz w:val="32"/>
          <w:szCs w:val="32"/>
          <w:highlight w:val="none"/>
        </w:rPr>
      </w:pPr>
      <w:r>
        <w:rPr>
          <w:rFonts w:ascii="宋体"/>
          <w:b/>
          <w:bCs/>
          <w:sz w:val="32"/>
          <w:szCs w:val="32"/>
          <w:highlight w:val="none"/>
        </w:rPr>
      </w:r>
      <w:r/>
    </w:p>
    <w:p>
      <w:pPr>
        <w:pStyle w:val="927"/>
        <w:jc w:val="center"/>
        <w:spacing w:line="600" w:lineRule="exact"/>
        <w:rPr>
          <w:rFonts w:ascii="宋体"/>
          <w:b/>
          <w:bCs/>
          <w:sz w:val="32"/>
          <w:szCs w:val="32"/>
          <w:highlight w:val="none"/>
        </w:rPr>
      </w:pPr>
      <w:r>
        <w:rPr>
          <w:rFonts w:hint="eastAsia" w:ascii="宋体"/>
          <w:b/>
          <w:bCs/>
          <w:sz w:val="32"/>
          <w:szCs w:val="32"/>
          <w:highlight w:val="none"/>
        </w:rPr>
        <w:t xml:space="preserve">项目组其他人员一览表</w:t>
      </w:r>
      <w:r/>
    </w:p>
    <w:p>
      <w:pPr>
        <w:pStyle w:val="927"/>
        <w:jc w:val="center"/>
        <w:spacing w:line="600" w:lineRule="exact"/>
        <w:rPr>
          <w:rFonts w:ascii="宋体"/>
          <w:b/>
          <w:bCs/>
          <w:sz w:val="32"/>
          <w:szCs w:val="32"/>
          <w:highlight w:val="none"/>
        </w:rPr>
      </w:pPr>
      <w:r>
        <w:rPr>
          <w:rFonts w:ascii="宋体"/>
          <w:b/>
          <w:bCs/>
          <w:sz w:val="32"/>
          <w:szCs w:val="32"/>
          <w:highlight w:val="none"/>
        </w:rPr>
      </w:r>
      <w:r/>
    </w:p>
    <w:tbl>
      <w:tblPr>
        <w:tblStyle w:val="651"/>
        <w:tblpPr w:horzAnchor="margin" w:tblpXSpec="center" w:vertAnchor="text" w:tblpY="74" w:leftFromText="180" w:topFromText="0" w:rightFromText="180" w:bottomFromText="0"/>
        <w:tblW w:w="83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00"/>
        <w:gridCol w:w="1514"/>
        <w:gridCol w:w="1366"/>
        <w:gridCol w:w="1458"/>
        <w:gridCol w:w="995"/>
      </w:tblGrid>
      <w:tr>
        <w:trPr>
          <w:trHeight w:val="1301"/>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姓  名</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本项目</w:t>
            </w:r>
            <w:r/>
          </w:p>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拟任职务</w:t>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相关证书</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身份证号</w:t>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联系电话</w:t>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927"/>
              <w:jc w:val="center"/>
              <w:spacing w:before="100" w:beforeAutospacing="1" w:line="560" w:lineRule="exact"/>
              <w:widowControl/>
              <w:rPr>
                <w:rFonts w:ascii="方正仿宋_GBK" w:hAnsi="方正仿宋_GBK" w:eastAsia="方正仿宋_GBK" w:cs="方正仿宋_GBK"/>
                <w:sz w:val="24"/>
                <w:highlight w:val="none"/>
              </w:rPr>
            </w:pPr>
            <w:r>
              <w:rPr>
                <w:rFonts w:hint="eastAsia" w:ascii="方正仿宋_GBK" w:hAnsi="方正仿宋_GBK" w:eastAsia="方正仿宋_GBK" w:cs="方正仿宋_GBK"/>
                <w:sz w:val="24"/>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ascii="方正仿宋_GBK" w:hAnsi="方正仿宋_GBK" w:eastAsia="方正仿宋_GBK" w:cs="方正仿宋_GBK"/>
                <w:sz w:val="24"/>
                <w:szCs w:val="24"/>
                <w:highlight w:val="none"/>
              </w:rPr>
            </w:pPr>
            <w:r>
              <w:rPr>
                <w:rFonts w:ascii="方正仿宋_GBK" w:hAnsi="方正仿宋_GBK" w:eastAsia="方正仿宋_GBK" w:cs="方正仿宋_GBK"/>
                <w:sz w:val="24"/>
                <w:szCs w:val="24"/>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118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560" w:lineRule="exact"/>
              <w:rPr>
                <w:rFonts w:ascii="方正仿宋_GBK" w:hAnsi="方正仿宋_GBK" w:eastAsia="方正仿宋_GBK" w:cs="方正仿宋_GBK"/>
                <w:sz w:val="24"/>
                <w:szCs w:val="24"/>
                <w:highlight w:val="none"/>
              </w:rPr>
            </w:pPr>
            <w:r>
              <w:rPr>
                <w:rFonts w:ascii="方正仿宋_GBK" w:hAnsi="方正仿宋_GBK" w:eastAsia="方正仿宋_GBK" w:cs="方正仿宋_GBK"/>
                <w:sz w:val="24"/>
                <w:szCs w:val="24"/>
                <w:highlight w:val="none"/>
              </w:rPr>
            </w:r>
            <w:r/>
          </w:p>
        </w:tc>
        <w:tc>
          <w:tcPr>
            <w:tcBorders>
              <w:top w:val="single" w:color="auto" w:sz="4" w:space="0"/>
              <w:left w:val="single" w:color="auto" w:sz="4" w:space="0"/>
              <w:bottom w:val="single" w:color="auto" w:sz="4" w:space="0"/>
              <w:right w:val="single" w:color="auto" w:sz="4" w:space="0"/>
            </w:tcBorders>
            <w:tcW w:w="1514"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1458"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c>
          <w:tcPr>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pStyle w:val="927"/>
              <w:jc w:val="center"/>
              <w:spacing w:line="560" w:lineRule="exact"/>
              <w:rPr>
                <w:rFonts w:ascii="方正仿宋_GBK" w:hAnsi="方正仿宋_GBK" w:eastAsia="方正仿宋_GBK" w:cs="方正仿宋_GBK"/>
                <w:sz w:val="24"/>
                <w:highlight w:val="none"/>
              </w:rPr>
            </w:pPr>
            <w:r>
              <w:rPr>
                <w:rFonts w:ascii="方正仿宋_GBK" w:hAnsi="方正仿宋_GBK" w:eastAsia="方正仿宋_GBK" w:cs="方正仿宋_GBK"/>
                <w:sz w:val="24"/>
                <w:highlight w:val="none"/>
              </w:rPr>
            </w:r>
            <w:r/>
          </w:p>
        </w:tc>
      </w:tr>
    </w:tbl>
    <w:p>
      <w:pPr>
        <w:pStyle w:val="927"/>
        <w:ind w:firstLine="398"/>
        <w:spacing w:line="460" w:lineRule="exact"/>
        <w:rPr>
          <w:rFonts w:ascii="仿宋_GB2312" w:eastAsia="仿宋_GB2312" w:cs="Arial"/>
          <w:b/>
          <w:sz w:val="24"/>
          <w:highlight w:val="none"/>
        </w:rPr>
      </w:pPr>
      <w:r>
        <w:rPr>
          <w:rFonts w:hint="eastAsia" w:ascii="仿宋_GB2312" w:eastAsia="仿宋_GB2312"/>
          <w:b/>
          <w:sz w:val="24"/>
          <w:highlight w:val="none"/>
        </w:rPr>
        <w:t xml:space="preserve">注： 如供应商中标，项目组成员必须按本表承诺人员操作，不得随意更换。按投标文件要求附相关人员证书。</w:t>
      </w:r>
      <w:r/>
    </w:p>
    <w:p>
      <w:pPr>
        <w:rPr>
          <w:highlight w:val="none"/>
        </w:rPr>
      </w:pPr>
      <w:r>
        <w:rPr>
          <w:highlight w:val="none"/>
        </w:rPr>
      </w:r>
      <w:r/>
    </w:p>
    <w:p>
      <w:pPr>
        <w:rPr>
          <w:highlight w:val="none"/>
        </w:rPr>
      </w:pPr>
      <w:r>
        <w:rPr>
          <w:highlight w:val="none"/>
        </w:rPr>
      </w:r>
      <w:r/>
    </w:p>
    <w:p>
      <w:pPr>
        <w:rPr>
          <w:highlight w:val="none"/>
        </w:rPr>
      </w:pPr>
      <w:r/>
      <w:bookmarkStart w:id="199" w:name="_Toc11176"/>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bookmarkEnd w:id="199"/>
      <w:r/>
    </w:p>
    <w:p>
      <w:pPr>
        <w:rPr>
          <w:highlight w:val="none"/>
        </w:rPr>
      </w:pPr>
      <w:r>
        <w:rPr>
          <w:highlight w:val="none"/>
        </w:rPr>
      </w:r>
      <w:r/>
    </w:p>
    <w:p>
      <w:pPr>
        <w:pStyle w:val="922"/>
        <w:numPr>
          <w:ilvl w:val="0"/>
          <w:numId w:val="2"/>
        </w:numPr>
        <w:rPr>
          <w:rFonts w:ascii="宋体"/>
          <w:bCs/>
          <w:szCs w:val="32"/>
          <w:highlight w:val="none"/>
        </w:rPr>
        <w:outlineLvl w:val="1"/>
      </w:pPr>
      <w:r/>
      <w:bookmarkStart w:id="200" w:name="_Toc4984"/>
      <w:r>
        <w:rPr>
          <w:rFonts w:hint="eastAsia" w:ascii="宋体"/>
          <w:bCs/>
          <w:szCs w:val="32"/>
          <w:highlight w:val="none"/>
        </w:rPr>
        <w:t xml:space="preserve">企业业绩</w:t>
      </w:r>
      <w:bookmarkEnd w:id="200"/>
      <w:r/>
      <w:r/>
    </w:p>
    <w:p>
      <w:pPr>
        <w:pStyle w:val="930"/>
        <w:jc w:val="center"/>
        <w:rPr>
          <w:b/>
          <w:sz w:val="32"/>
          <w:szCs w:val="32"/>
          <w:highlight w:val="none"/>
        </w:rPr>
      </w:pPr>
      <w:r>
        <w:rPr>
          <w:rFonts w:hint="eastAsia"/>
          <w:b/>
          <w:sz w:val="32"/>
          <w:szCs w:val="32"/>
          <w:highlight w:val="none"/>
        </w:rPr>
        <w:t xml:space="preserve">投标人承担类似项目业绩一览表</w:t>
      </w:r>
      <w:r/>
    </w:p>
    <w:tbl>
      <w:tblPr>
        <w:tblStyle w:val="65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931"/>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序号</w:t>
            </w:r>
            <w:r/>
          </w:p>
        </w:tc>
        <w:tc>
          <w:tcPr>
            <w:tcW w:w="3827" w:type="dxa"/>
            <w:vAlign w:val="center"/>
            <w:textDirection w:val="lrTb"/>
            <w:noWrap w:val="false"/>
          </w:tcPr>
          <w:p>
            <w:pPr>
              <w:pStyle w:val="931"/>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项目名称</w:t>
            </w:r>
            <w:r/>
          </w:p>
        </w:tc>
        <w:tc>
          <w:tcPr>
            <w:tcW w:w="2433" w:type="dxa"/>
            <w:vAlign w:val="center"/>
            <w:textDirection w:val="lrTb"/>
            <w:noWrap w:val="false"/>
          </w:tcPr>
          <w:p>
            <w:pPr>
              <w:pStyle w:val="931"/>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采购单位</w:t>
            </w:r>
            <w:r/>
          </w:p>
        </w:tc>
        <w:tc>
          <w:tcPr>
            <w:tcW w:w="1395" w:type="dxa"/>
            <w:vAlign w:val="center"/>
            <w:textDirection w:val="lrTb"/>
            <w:noWrap w:val="false"/>
          </w:tcPr>
          <w:p>
            <w:pPr>
              <w:pStyle w:val="931"/>
              <w:jc w:val="center"/>
              <w:spacing w:line="560" w:lineRule="exact"/>
              <w:rPr>
                <w:rFonts w:ascii="仿宋_GB2312" w:eastAsia="仿宋_GB2312"/>
                <w:sz w:val="28"/>
                <w:szCs w:val="28"/>
                <w:highlight w:val="none"/>
              </w:rPr>
            </w:pPr>
            <w:r>
              <w:rPr>
                <w:rFonts w:hint="eastAsia" w:ascii="仿宋_GB2312" w:eastAsia="仿宋_GB2312"/>
                <w:sz w:val="28"/>
                <w:szCs w:val="28"/>
                <w:highlight w:val="none"/>
              </w:rPr>
              <w:t xml:space="preserve">合同金额</w:t>
            </w:r>
            <w:r/>
          </w:p>
        </w:tc>
      </w:tr>
      <w:tr>
        <w:trPr>
          <w:jc w:val="center"/>
          <w:trHeight w:val="1510"/>
        </w:trPr>
        <w:tc>
          <w:tcPr>
            <w:tcW w:w="1229" w:type="dxa"/>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10"/>
        </w:trPr>
        <w:tc>
          <w:tcPr>
            <w:tcW w:w="1229" w:type="dxa"/>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r>
      <w:tr>
        <w:trPr>
          <w:jc w:val="center"/>
          <w:trHeight w:val="1525"/>
        </w:trPr>
        <w:tc>
          <w:tcPr>
            <w:tcW w:w="1229" w:type="dxa"/>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3827"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2433"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c>
          <w:tcPr>
            <w:tcW w:w="1395" w:type="dxa"/>
            <w:vAlign w:val="center"/>
            <w:textDirection w:val="lrTb"/>
            <w:noWrap w:val="false"/>
          </w:tcPr>
          <w:p>
            <w:pPr>
              <w:pStyle w:val="931"/>
              <w:jc w:val="center"/>
              <w:spacing w:line="560" w:lineRule="exact"/>
              <w:rPr>
                <w:rFonts w:ascii="仿宋_GB2312" w:eastAsia="仿宋_GB2312"/>
                <w:sz w:val="28"/>
                <w:highlight w:val="none"/>
              </w:rPr>
            </w:pPr>
            <w:r>
              <w:rPr>
                <w:rFonts w:ascii="仿宋_GB2312" w:eastAsia="仿宋_GB2312"/>
                <w:sz w:val="28"/>
                <w:highlight w:val="none"/>
              </w:rPr>
            </w:r>
            <w:r/>
          </w:p>
        </w:tc>
      </w:tr>
    </w:tbl>
    <w:p>
      <w:pPr>
        <w:pStyle w:val="930"/>
        <w:rPr>
          <w:highlight w:val="none"/>
        </w:rPr>
      </w:pPr>
      <w:r>
        <w:rPr>
          <w:rFonts w:hint="eastAsia" w:ascii="仿宋_GB2312" w:eastAsia="仿宋_GB2312"/>
          <w:b/>
          <w:sz w:val="24"/>
          <w:highlight w:val="none"/>
        </w:rPr>
        <w:t xml:space="preserve">注：请填写此表，并按要求上传业绩资料电子件。</w:t>
      </w:r>
      <w:r/>
    </w:p>
    <w:p>
      <w:pPr>
        <w:rPr>
          <w:highlight w:val="none"/>
        </w:rPr>
      </w:pPr>
      <w:r>
        <w:rPr>
          <w:highlight w:val="none"/>
        </w:rPr>
        <w:br w:type="page" w:clear="all"/>
      </w:r>
      <w:bookmarkEnd w:id="179"/>
      <w:r/>
      <w:r/>
    </w:p>
    <w:p>
      <w:pPr>
        <w:pStyle w:val="922"/>
        <w:numPr>
          <w:ilvl w:val="0"/>
          <w:numId w:val="2"/>
        </w:numPr>
        <w:rPr>
          <w:rFonts w:ascii="宋体"/>
          <w:bCs/>
          <w:szCs w:val="32"/>
          <w:highlight w:val="none"/>
        </w:rPr>
        <w:outlineLvl w:val="1"/>
      </w:pPr>
      <w:r/>
      <w:bookmarkStart w:id="201" w:name="_Toc30515"/>
      <w:r>
        <w:rPr>
          <w:rFonts w:hint="eastAsia" w:ascii="宋体"/>
          <w:bCs/>
          <w:szCs w:val="32"/>
          <w:highlight w:val="none"/>
        </w:rPr>
        <w:t xml:space="preserve">投标所需其他材料</w:t>
      </w:r>
      <w:bookmarkEnd w:id="201"/>
      <w:r/>
      <w:r/>
    </w:p>
    <w:p>
      <w:pPr>
        <w:pStyle w:val="934"/>
        <w:ind w:firstLine="420"/>
        <w:spacing w:line="360" w:lineRule="auto"/>
        <w:rPr>
          <w:highlight w:val="none"/>
        </w:rPr>
      </w:pPr>
      <w:r>
        <w:rPr>
          <w:rFonts w:hint="eastAsia"/>
          <w:highlight w:val="none"/>
        </w:rPr>
        <w:t xml:space="preserve">请在此文档中增加投标所需其他相关内容（包括评分办法、采购需求中涉及的证件证明及其它投标人认为有必要提供的资料），如没有请将此空文档上传。</w:t>
      </w:r>
      <w:r/>
    </w:p>
    <w:p>
      <w:pPr>
        <w:rPr>
          <w:color w:val="000080"/>
          <w:sz w:val="20"/>
          <w:highlight w:val="none"/>
        </w:rPr>
      </w:pPr>
      <w:r>
        <w:rPr>
          <w:rFonts w:hint="eastAsia"/>
          <w:color w:val="000080"/>
          <w:sz w:val="20"/>
          <w:highlight w:val="none"/>
        </w:rPr>
        <w:t xml:space="preserve"> </w:t>
      </w:r>
      <w:r/>
    </w:p>
    <w:p>
      <w:pPr>
        <w:rPr>
          <w:color w:val="000080"/>
          <w:sz w:val="20"/>
          <w:highlight w:val="none"/>
        </w:rPr>
      </w:pPr>
      <w:r>
        <w:rPr>
          <w:color w:val="000080"/>
          <w:sz w:val="20"/>
          <w:highlight w:val="none"/>
        </w:rPr>
      </w:r>
      <w:r/>
    </w:p>
    <w:p>
      <w:pPr>
        <w:spacing w:after="200"/>
        <w:rPr>
          <w:sz w:val="20"/>
          <w:highlight w:val="none"/>
        </w:rPr>
        <w:pBdr>
          <w:top w:val="none" w:color="000000" w:sz="0" w:space="0"/>
          <w:left w:val="none" w:color="000000" w:sz="0" w:space="0"/>
          <w:bottom w:val="none" w:color="000000" w:sz="0" w:space="0"/>
          <w:right w:val="none" w:color="000000" w:sz="0" w:space="0"/>
        </w:pBdr>
      </w:pPr>
      <w:r>
        <w:rPr>
          <w:sz w:val="20"/>
          <w:highlight w:val="none"/>
        </w:rPr>
      </w:r>
      <w:r/>
    </w:p>
    <w:p>
      <w:pPr>
        <w:spacing w:after="200"/>
        <w:rPr>
          <w:sz w:val="20"/>
          <w:highlight w:val="none"/>
        </w:rPr>
        <w:pBdr>
          <w:top w:val="none" w:color="000000" w:sz="0" w:space="0"/>
          <w:left w:val="none" w:color="000000" w:sz="0" w:space="0"/>
          <w:bottom w:val="none" w:color="000000" w:sz="0" w:space="0"/>
          <w:right w:val="none" w:color="000000" w:sz="0" w:space="0"/>
        </w:pBdr>
      </w:pPr>
      <w:r>
        <w:rPr>
          <w:sz w:val="20"/>
          <w:highlight w:val="none"/>
        </w:rPr>
      </w:r>
      <w:r/>
    </w:p>
    <w:p>
      <w:pPr>
        <w:spacing w:after="200"/>
        <w:rPr>
          <w:sz w:val="20"/>
          <w:highlight w:val="none"/>
        </w:rPr>
        <w:pBdr>
          <w:top w:val="none" w:color="000000" w:sz="0" w:space="0"/>
          <w:left w:val="none" w:color="000000" w:sz="0" w:space="0"/>
          <w:bottom w:val="none" w:color="000000" w:sz="0" w:space="0"/>
          <w:right w:val="none" w:color="000000" w:sz="0" w:space="0"/>
        </w:pBdr>
      </w:pPr>
      <w:r>
        <w:rPr>
          <w:sz w:val="20"/>
          <w:highlight w:val="none"/>
        </w:rPr>
      </w:r>
      <w:r/>
    </w:p>
    <w:p>
      <w:pPr>
        <w:rPr>
          <w:sz w:val="20"/>
          <w:highlight w:val="none"/>
        </w:rPr>
      </w:pPr>
      <w:r>
        <w:rPr>
          <w:sz w:val="20"/>
          <w:highlight w:val="none"/>
        </w:rPr>
      </w:r>
      <w:r/>
    </w:p>
    <w:sectPr>
      <w:footerReference w:type="default" r:id="rId9"/>
      <w:footnotePr/>
      <w:endnotePr/>
      <w:type w:val="nextPage"/>
      <w:pgSz w:w="11906" w:h="16838" w:orient="portrait"/>
      <w:pgMar w:top="1440" w:right="1474" w:bottom="1440" w:left="158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大标宋简体">
    <w:panose1 w:val="020B0503020202020204"/>
  </w:font>
  <w:font w:name="仿宋">
    <w:panose1 w:val="02010609060101010101"/>
  </w:font>
  <w:font w:name="方正仿宋_GBK">
    <w:panose1 w:val="020B0503020202020204"/>
  </w:font>
  <w:font w:name="Wingdings">
    <w:panose1 w:val="05000000000000000000"/>
  </w:font>
  <w:font w:name="Tahoma">
    <w:panose1 w:val="020B0604030504040204"/>
  </w:font>
  <w:font w:name="Courier New">
    <w:panose1 w:val="02070309020205020404"/>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txbx>
                      <w:txbxContent>
                        <w:p>
                          <w:pPr>
                            <w:pStyle w:val="66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6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ind w:left="300" w:firstLine="0"/>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4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41">
    <w:name w:val="Heading 1"/>
    <w:basedOn w:val="640"/>
    <w:next w:val="640"/>
    <w:link w:val="705"/>
    <w:uiPriority w:val="9"/>
    <w:qFormat/>
    <w:pPr>
      <w:keepLines/>
      <w:keepNext/>
      <w:spacing w:before="480" w:after="200"/>
      <w:outlineLvl w:val="0"/>
    </w:pPr>
    <w:rPr>
      <w:rFonts w:ascii="Arial" w:hAnsi="Arial" w:eastAsia="Arial" w:cs="Arial"/>
      <w:sz w:val="40"/>
      <w:szCs w:val="40"/>
    </w:rPr>
  </w:style>
  <w:style w:type="paragraph" w:styleId="642">
    <w:name w:val="Heading 2"/>
    <w:basedOn w:val="640"/>
    <w:next w:val="640"/>
    <w:link w:val="706"/>
    <w:uiPriority w:val="0"/>
    <w:qFormat/>
    <w:pPr>
      <w:keepLines/>
      <w:keepNext/>
      <w:spacing w:before="260" w:after="260" w:line="413" w:lineRule="auto"/>
      <w:outlineLvl w:val="1"/>
    </w:pPr>
    <w:rPr>
      <w:rFonts w:ascii="Arial" w:hAnsi="Arial" w:eastAsia="黑体"/>
      <w:b/>
      <w:sz w:val="32"/>
      <w:szCs w:val="20"/>
    </w:rPr>
  </w:style>
  <w:style w:type="paragraph" w:styleId="643">
    <w:name w:val="Heading 3"/>
    <w:basedOn w:val="652"/>
    <w:next w:val="653"/>
    <w:link w:val="704"/>
    <w:uiPriority w:val="9"/>
    <w:unhideWhenUsed/>
    <w:qFormat/>
    <w:pPr>
      <w:keepLines/>
      <w:keepNext/>
      <w:spacing w:before="320" w:after="200"/>
      <w:outlineLvl w:val="2"/>
    </w:pPr>
    <w:rPr>
      <w:rFonts w:ascii="Arial" w:hAnsi="Arial" w:eastAsia="Arial" w:cs="Arial"/>
      <w:sz w:val="30"/>
      <w:szCs w:val="30"/>
    </w:rPr>
  </w:style>
  <w:style w:type="paragraph" w:styleId="644">
    <w:name w:val="Heading 4"/>
    <w:basedOn w:val="640"/>
    <w:next w:val="640"/>
    <w:link w:val="707"/>
    <w:uiPriority w:val="0"/>
    <w:qFormat/>
    <w:pPr>
      <w:jc w:val="center"/>
      <w:keepNext/>
      <w:outlineLvl w:val="3"/>
    </w:pPr>
    <w:rPr>
      <w:rFonts w:eastAsia="新宋体"/>
      <w:sz w:val="30"/>
      <w:szCs w:val="21"/>
    </w:rPr>
  </w:style>
  <w:style w:type="paragraph" w:styleId="645">
    <w:name w:val="Heading 5"/>
    <w:basedOn w:val="640"/>
    <w:next w:val="640"/>
    <w:link w:val="708"/>
    <w:uiPriority w:val="9"/>
    <w:unhideWhenUsed/>
    <w:qFormat/>
    <w:pPr>
      <w:keepLines/>
      <w:keepNext/>
      <w:spacing w:before="320" w:after="200"/>
      <w:outlineLvl w:val="4"/>
    </w:pPr>
    <w:rPr>
      <w:rFonts w:ascii="Arial" w:hAnsi="Arial" w:eastAsia="Arial" w:cs="Arial"/>
      <w:b/>
      <w:bCs/>
      <w:sz w:val="24"/>
      <w:szCs w:val="24"/>
    </w:rPr>
  </w:style>
  <w:style w:type="paragraph" w:styleId="646">
    <w:name w:val="Heading 6"/>
    <w:basedOn w:val="640"/>
    <w:next w:val="640"/>
    <w:link w:val="728"/>
    <w:uiPriority w:val="9"/>
    <w:unhideWhenUsed/>
    <w:qFormat/>
    <w:pPr>
      <w:keepLines/>
      <w:keepNext/>
      <w:spacing w:before="320" w:after="200"/>
      <w:outlineLvl w:val="5"/>
    </w:pPr>
    <w:rPr>
      <w:rFonts w:ascii="Arial" w:hAnsi="Arial" w:eastAsia="Arial" w:cs="Arial"/>
      <w:b/>
      <w:bCs/>
      <w:sz w:val="22"/>
    </w:rPr>
  </w:style>
  <w:style w:type="paragraph" w:styleId="647">
    <w:name w:val="Heading 7"/>
    <w:basedOn w:val="640"/>
    <w:next w:val="640"/>
    <w:link w:val="729"/>
    <w:uiPriority w:val="9"/>
    <w:unhideWhenUsed/>
    <w:qFormat/>
    <w:pPr>
      <w:keepLines/>
      <w:keepNext/>
      <w:spacing w:before="320" w:after="200"/>
      <w:outlineLvl w:val="6"/>
    </w:pPr>
    <w:rPr>
      <w:rFonts w:ascii="Arial" w:hAnsi="Arial" w:eastAsia="Arial" w:cs="Arial"/>
      <w:b/>
      <w:bCs/>
      <w:i/>
      <w:iCs/>
      <w:sz w:val="22"/>
    </w:rPr>
  </w:style>
  <w:style w:type="paragraph" w:styleId="648">
    <w:name w:val="Heading 8"/>
    <w:basedOn w:val="640"/>
    <w:next w:val="640"/>
    <w:link w:val="730"/>
    <w:uiPriority w:val="9"/>
    <w:unhideWhenUsed/>
    <w:qFormat/>
    <w:pPr>
      <w:keepLines/>
      <w:keepNext/>
      <w:spacing w:before="320" w:after="200"/>
      <w:outlineLvl w:val="7"/>
    </w:pPr>
    <w:rPr>
      <w:rFonts w:ascii="Arial" w:hAnsi="Arial" w:eastAsia="Arial" w:cs="Arial"/>
      <w:i/>
      <w:iCs/>
      <w:sz w:val="22"/>
    </w:rPr>
  </w:style>
  <w:style w:type="paragraph" w:styleId="649">
    <w:name w:val="Heading 9"/>
    <w:basedOn w:val="640"/>
    <w:next w:val="640"/>
    <w:link w:val="731"/>
    <w:uiPriority w:val="9"/>
    <w:unhideWhenUsed/>
    <w:qFormat/>
    <w:pPr>
      <w:keepLines/>
      <w:keepNext/>
      <w:spacing w:before="320" w:after="200"/>
      <w:outlineLvl w:val="8"/>
    </w:pPr>
    <w:rPr>
      <w:rFonts w:ascii="Arial" w:hAnsi="Arial" w:eastAsia="Arial" w:cs="Arial"/>
      <w:i/>
      <w:iCs/>
      <w:szCs w:val="21"/>
    </w:rPr>
  </w:style>
  <w:style w:type="character" w:styleId="650" w:default="1">
    <w:name w:val="Default Paragraph Font"/>
    <w:uiPriority w:val="1"/>
    <w:semiHidden/>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customStyle="1">
    <w:name w:val="Normal1"/>
    <w:next w:val="643"/>
    <w:uiPriority w:val="0"/>
    <w:qFormat/>
    <w:pPr>
      <w:jc w:val="both"/>
      <w:widowControl w:val="off"/>
    </w:pPr>
    <w:rPr>
      <w:rFonts w:ascii="Calibri" w:hAnsi="Calibri" w:eastAsia="宋体" w:cs="Times New Roman"/>
      <w:sz w:val="21"/>
      <w:szCs w:val="22"/>
      <w:lang w:val="en-US" w:eastAsia="zh-CN" w:bidi="ar-SA"/>
    </w:rPr>
  </w:style>
  <w:style w:type="paragraph" w:styleId="653" w:customStyle="1">
    <w:name w:val="Normal_19"/>
    <w:next w:val="654"/>
    <w:uiPriority w:val="0"/>
    <w:qFormat/>
    <w:rPr>
      <w:rFonts w:ascii="黑体" w:hAnsi="黑体" w:eastAsia="黑体" w:cs="黑体"/>
      <w:b/>
      <w:sz w:val="32"/>
      <w:szCs w:val="24"/>
      <w:lang w:val="en-US" w:eastAsia="zh-CN" w:bidi="ar-SA"/>
    </w:rPr>
  </w:style>
  <w:style w:type="paragraph" w:styleId="654" w:customStyle="1">
    <w:name w:val="文本块1"/>
    <w:basedOn w:val="653"/>
    <w:uiPriority w:val="99"/>
    <w:semiHidden/>
    <w:qFormat/>
    <w:pPr>
      <w:ind w:left="1440" w:right="1440"/>
      <w:spacing w:after="120"/>
    </w:pPr>
    <w:rPr>
      <w:rFonts w:ascii="Calibri" w:hAnsi="Calibri"/>
    </w:rPr>
  </w:style>
  <w:style w:type="paragraph" w:styleId="655">
    <w:name w:val="toc 7"/>
    <w:basedOn w:val="640"/>
    <w:next w:val="640"/>
    <w:uiPriority w:val="39"/>
    <w:unhideWhenUsed/>
    <w:qFormat/>
    <w:pPr>
      <w:ind w:left="1701"/>
      <w:spacing w:after="57"/>
    </w:pPr>
  </w:style>
  <w:style w:type="paragraph" w:styleId="656">
    <w:name w:val="Normal Indent"/>
    <w:basedOn w:val="640"/>
    <w:uiPriority w:val="0"/>
    <w:qFormat/>
    <w:pPr>
      <w:ind w:firstLine="420"/>
    </w:pPr>
    <w:rPr>
      <w:rFonts w:ascii="宋体"/>
      <w:color w:val="000000"/>
      <w:sz w:val="24"/>
      <w:szCs w:val="20"/>
    </w:rPr>
  </w:style>
  <w:style w:type="paragraph" w:styleId="657">
    <w:name w:val="Caption"/>
    <w:basedOn w:val="640"/>
    <w:next w:val="640"/>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58">
    <w:name w:val="Body Text"/>
    <w:basedOn w:val="640"/>
    <w:next w:val="640"/>
    <w:uiPriority w:val="0"/>
    <w:qFormat/>
    <w:pPr>
      <w:spacing w:after="120"/>
    </w:pPr>
    <w:rPr>
      <w:sz w:val="28"/>
      <w:szCs w:val="24"/>
    </w:rPr>
  </w:style>
  <w:style w:type="paragraph" w:styleId="659">
    <w:name w:val="Body Text Indent"/>
    <w:basedOn w:val="640"/>
    <w:uiPriority w:val="0"/>
    <w:qFormat/>
    <w:pPr>
      <w:ind w:firstLine="225"/>
    </w:pPr>
    <w:rPr>
      <w:rFonts w:ascii="仿宋_GB2312" w:eastAsia="仿宋_GB2312"/>
      <w:sz w:val="32"/>
    </w:rPr>
  </w:style>
  <w:style w:type="paragraph" w:styleId="660">
    <w:name w:val="toc 5"/>
    <w:basedOn w:val="640"/>
    <w:next w:val="640"/>
    <w:uiPriority w:val="39"/>
    <w:unhideWhenUsed/>
    <w:qFormat/>
    <w:pPr>
      <w:ind w:left="1134"/>
      <w:spacing w:after="57"/>
    </w:pPr>
  </w:style>
  <w:style w:type="paragraph" w:styleId="661">
    <w:name w:val="toc 3"/>
    <w:basedOn w:val="640"/>
    <w:next w:val="640"/>
    <w:uiPriority w:val="39"/>
    <w:unhideWhenUsed/>
    <w:qFormat/>
    <w:pPr>
      <w:ind w:left="567"/>
      <w:spacing w:after="57"/>
    </w:pPr>
  </w:style>
  <w:style w:type="paragraph" w:styleId="662">
    <w:name w:val="toc 8"/>
    <w:basedOn w:val="640"/>
    <w:next w:val="640"/>
    <w:uiPriority w:val="39"/>
    <w:unhideWhenUsed/>
    <w:qFormat/>
    <w:pPr>
      <w:ind w:left="1984"/>
      <w:spacing w:after="57"/>
    </w:pPr>
  </w:style>
  <w:style w:type="paragraph" w:styleId="663">
    <w:name w:val="endnote text"/>
    <w:basedOn w:val="640"/>
    <w:link w:val="869"/>
    <w:uiPriority w:val="99"/>
    <w:semiHidden/>
    <w:unhideWhenUsed/>
    <w:qFormat/>
    <w:rPr>
      <w:sz w:val="20"/>
    </w:rPr>
  </w:style>
  <w:style w:type="paragraph" w:styleId="664">
    <w:name w:val="Balloon Text"/>
    <w:basedOn w:val="640"/>
    <w:link w:val="997"/>
    <w:uiPriority w:val="99"/>
    <w:semiHidden/>
    <w:unhideWhenUsed/>
    <w:qFormat/>
    <w:rPr>
      <w:sz w:val="18"/>
      <w:szCs w:val="18"/>
    </w:rPr>
  </w:style>
  <w:style w:type="paragraph" w:styleId="665">
    <w:name w:val="Footer"/>
    <w:basedOn w:val="640"/>
    <w:link w:val="742"/>
    <w:uiPriority w:val="99"/>
    <w:qFormat/>
    <w:pPr>
      <w:jc w:val="left"/>
      <w:tabs>
        <w:tab w:val="center" w:pos="4153" w:leader="none"/>
        <w:tab w:val="right" w:pos="8306" w:leader="none"/>
      </w:tabs>
    </w:pPr>
    <w:rPr>
      <w:sz w:val="18"/>
      <w:szCs w:val="18"/>
    </w:rPr>
  </w:style>
  <w:style w:type="paragraph" w:styleId="666">
    <w:name w:val="Header"/>
    <w:basedOn w:val="640"/>
    <w:link w:val="936"/>
    <w:uiPriority w:val="0"/>
    <w:qFormat/>
    <w:pPr>
      <w:jc w:val="center"/>
      <w:tabs>
        <w:tab w:val="center" w:pos="4153" w:leader="none"/>
        <w:tab w:val="right" w:pos="8306" w:leader="none"/>
      </w:tabs>
    </w:pPr>
    <w:rPr>
      <w:sz w:val="18"/>
      <w:szCs w:val="18"/>
    </w:rPr>
  </w:style>
  <w:style w:type="paragraph" w:styleId="667">
    <w:name w:val="toc 1"/>
    <w:basedOn w:val="640"/>
    <w:next w:val="640"/>
    <w:uiPriority w:val="39"/>
    <w:qFormat/>
    <w:pPr>
      <w:jc w:val="left"/>
      <w:spacing w:before="120" w:after="120"/>
    </w:pPr>
    <w:rPr>
      <w:rFonts w:cs="Calibri"/>
      <w:b/>
      <w:bCs/>
      <w:caps/>
      <w:sz w:val="20"/>
      <w:szCs w:val="20"/>
    </w:rPr>
  </w:style>
  <w:style w:type="paragraph" w:styleId="668">
    <w:name w:val="toc 4"/>
    <w:basedOn w:val="640"/>
    <w:next w:val="640"/>
    <w:uiPriority w:val="39"/>
    <w:unhideWhenUsed/>
    <w:qFormat/>
    <w:pPr>
      <w:ind w:left="850"/>
      <w:spacing w:after="57"/>
    </w:pPr>
  </w:style>
  <w:style w:type="paragraph" w:styleId="669">
    <w:name w:val="Subtitle"/>
    <w:basedOn w:val="640"/>
    <w:next w:val="640"/>
    <w:link w:val="735"/>
    <w:uiPriority w:val="11"/>
    <w:qFormat/>
    <w:pPr>
      <w:spacing w:before="200" w:after="200"/>
    </w:pPr>
    <w:rPr>
      <w:sz w:val="24"/>
      <w:szCs w:val="24"/>
    </w:rPr>
  </w:style>
  <w:style w:type="paragraph" w:styleId="670">
    <w:name w:val="footnote text"/>
    <w:basedOn w:val="640"/>
    <w:link w:val="868"/>
    <w:uiPriority w:val="99"/>
    <w:semiHidden/>
    <w:unhideWhenUsed/>
    <w:qFormat/>
    <w:pPr>
      <w:spacing w:after="40"/>
    </w:pPr>
    <w:rPr>
      <w:sz w:val="18"/>
    </w:rPr>
  </w:style>
  <w:style w:type="paragraph" w:styleId="671">
    <w:name w:val="toc 6"/>
    <w:basedOn w:val="640"/>
    <w:next w:val="640"/>
    <w:uiPriority w:val="39"/>
    <w:unhideWhenUsed/>
    <w:qFormat/>
    <w:pPr>
      <w:ind w:left="1417"/>
      <w:spacing w:after="57"/>
    </w:pPr>
  </w:style>
  <w:style w:type="paragraph" w:styleId="672">
    <w:name w:val="table of figures"/>
    <w:basedOn w:val="640"/>
    <w:next w:val="640"/>
    <w:uiPriority w:val="99"/>
    <w:unhideWhenUsed/>
    <w:qFormat/>
  </w:style>
  <w:style w:type="paragraph" w:styleId="673">
    <w:name w:val="toc 2"/>
    <w:basedOn w:val="640"/>
    <w:next w:val="640"/>
    <w:uiPriority w:val="39"/>
    <w:qFormat/>
    <w:pPr>
      <w:ind w:left="210"/>
      <w:jc w:val="left"/>
    </w:pPr>
    <w:rPr>
      <w:rFonts w:cs="Calibri"/>
      <w:smallCaps/>
      <w:sz w:val="20"/>
      <w:szCs w:val="20"/>
    </w:rPr>
  </w:style>
  <w:style w:type="paragraph" w:styleId="674">
    <w:name w:val="toc 9"/>
    <w:basedOn w:val="640"/>
    <w:next w:val="640"/>
    <w:uiPriority w:val="39"/>
    <w:unhideWhenUsed/>
    <w:qFormat/>
    <w:pPr>
      <w:ind w:left="2268"/>
      <w:spacing w:after="57"/>
    </w:pPr>
  </w:style>
  <w:style w:type="paragraph" w:styleId="675">
    <w:name w:val="Normal (Web)"/>
    <w:basedOn w:val="640"/>
    <w:uiPriority w:val="99"/>
    <w:qFormat/>
    <w:pPr>
      <w:jc w:val="left"/>
      <w:spacing w:before="100" w:beforeAutospacing="1" w:after="100" w:afterAutospacing="1"/>
      <w:widowControl/>
    </w:pPr>
    <w:rPr>
      <w:rFonts w:ascii="宋体" w:hAnsi="宋体" w:cs="宋体"/>
      <w:sz w:val="24"/>
      <w:szCs w:val="24"/>
    </w:rPr>
  </w:style>
  <w:style w:type="paragraph" w:styleId="676">
    <w:name w:val="Title"/>
    <w:basedOn w:val="640"/>
    <w:next w:val="640"/>
    <w:link w:val="734"/>
    <w:uiPriority w:val="10"/>
    <w:qFormat/>
    <w:pPr>
      <w:contextualSpacing/>
      <w:spacing w:before="300" w:after="200"/>
    </w:pPr>
    <w:rPr>
      <w:sz w:val="48"/>
      <w:szCs w:val="48"/>
    </w:rPr>
  </w:style>
  <w:style w:type="paragraph" w:styleId="677">
    <w:name w:val="Body Text First Indent"/>
    <w:basedOn w:val="658"/>
    <w:uiPriority w:val="0"/>
    <w:qFormat/>
    <w:pPr>
      <w:ind w:firstLine="100"/>
    </w:pPr>
    <w:rPr>
      <w:rFonts w:ascii="Times New Roman" w:hAnsi="Times New Roman"/>
      <w:sz w:val="21"/>
    </w:rPr>
  </w:style>
  <w:style w:type="table" w:styleId="678">
    <w:name w:val="Table Grid"/>
    <w:basedOn w:val="65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9">
    <w:name w:val="endnote reference"/>
    <w:basedOn w:val="650"/>
    <w:uiPriority w:val="99"/>
    <w:semiHidden/>
    <w:unhideWhenUsed/>
    <w:qFormat/>
    <w:rPr>
      <w:vertAlign w:val="superscript"/>
    </w:rPr>
  </w:style>
  <w:style w:type="character" w:styleId="680">
    <w:name w:val="Hyperlink"/>
    <w:basedOn w:val="650"/>
    <w:uiPriority w:val="0"/>
    <w:qFormat/>
    <w:rPr>
      <w:color w:val="0000ff"/>
      <w:u w:val="single"/>
    </w:rPr>
  </w:style>
  <w:style w:type="character" w:styleId="681">
    <w:name w:val="footnote reference"/>
    <w:basedOn w:val="650"/>
    <w:uiPriority w:val="99"/>
    <w:unhideWhenUsed/>
    <w:qFormat/>
    <w:rPr>
      <w:vertAlign w:val="superscript"/>
    </w:rPr>
  </w:style>
  <w:style w:type="table" w:styleId="682" w:customStyle="1">
    <w:name w:val="Plain Table 1"/>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2"/>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89" w:customStyle="1">
    <w:name w:val="Grid Table 3"/>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0" w:customStyle="1">
    <w:name w:val="Grid Table 4"/>
    <w:basedOn w:val="6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1" w:customStyle="1">
    <w:name w:val="Grid Table 5 Dark"/>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2" w:customStyle="1">
    <w:name w:val="Grid Table 6 Colorful"/>
    <w:basedOn w:val="6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3" w:customStyle="1">
    <w:name w:val="Grid Table 7 Colorful"/>
    <w:basedOn w:val="6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694" w:customStyle="1">
    <w:name w:val="List Table 1 Light"/>
    <w:basedOn w:val="6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95" w:customStyle="1">
    <w:name w:val="List Table 2"/>
    <w:basedOn w:val="6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696" w:customStyle="1">
    <w:name w:val="List Table 3"/>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7" w:customStyle="1">
    <w:name w:val="List Table 4"/>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698" w:customStyle="1">
    <w:name w:val="List Table 5 Dark"/>
    <w:basedOn w:val="6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699" w:customStyle="1">
    <w:name w:val="List Table 6 Colorful"/>
    <w:basedOn w:val="6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0" w:customStyle="1">
    <w:name w:val="List Table 7 Colorful"/>
    <w:basedOn w:val="6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01" w:customStyle="1">
    <w:name w:val="TOC 标题1"/>
    <w:uiPriority w:val="39"/>
    <w:unhideWhenUsed/>
    <w:qFormat/>
    <w:rPr>
      <w:rFonts w:ascii="Times New Roman" w:hAnsi="Times New Roman" w:eastAsia="宋体" w:cs="Times New Roman"/>
      <w:lang w:val="en-US" w:eastAsia="zh-CN" w:bidi="ar-SA"/>
    </w:rPr>
  </w:style>
  <w:style w:type="paragraph" w:styleId="702" w:customStyle="1">
    <w:name w:val="脚注文本1"/>
    <w:basedOn w:val="640"/>
    <w:uiPriority w:val="0"/>
    <w:qFormat/>
    <w:pPr>
      <w:jc w:val="left"/>
    </w:pPr>
    <w:rPr>
      <w:rFonts w:eastAsia="Times New Roman"/>
      <w:sz w:val="18"/>
      <w:szCs w:val="24"/>
    </w:rPr>
  </w:style>
  <w:style w:type="paragraph" w:styleId="703"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704" w:customStyle="1">
    <w:name w:val="标题 3 Char"/>
    <w:basedOn w:val="650"/>
    <w:link w:val="643"/>
    <w:uiPriority w:val="9"/>
    <w:qFormat/>
    <w:rPr>
      <w:rFonts w:ascii="Arial" w:hAnsi="Arial" w:eastAsia="Arial" w:cs="Arial"/>
      <w:sz w:val="30"/>
      <w:szCs w:val="30"/>
    </w:rPr>
  </w:style>
  <w:style w:type="character" w:styleId="705" w:customStyle="1">
    <w:name w:val="标题 1 Char"/>
    <w:basedOn w:val="650"/>
    <w:link w:val="641"/>
    <w:uiPriority w:val="9"/>
    <w:qFormat/>
    <w:rPr>
      <w:rFonts w:ascii="Arial" w:hAnsi="Arial" w:eastAsia="Arial" w:cs="Arial"/>
      <w:sz w:val="40"/>
      <w:szCs w:val="40"/>
    </w:rPr>
  </w:style>
  <w:style w:type="character" w:styleId="706" w:customStyle="1">
    <w:name w:val="标题 2 Char"/>
    <w:basedOn w:val="650"/>
    <w:link w:val="642"/>
    <w:uiPriority w:val="9"/>
    <w:qFormat/>
    <w:rPr>
      <w:rFonts w:ascii="Arial" w:hAnsi="Arial" w:eastAsia="Arial" w:cs="Arial"/>
      <w:sz w:val="34"/>
    </w:rPr>
  </w:style>
  <w:style w:type="character" w:styleId="707" w:customStyle="1">
    <w:name w:val="标题 4 Char"/>
    <w:basedOn w:val="650"/>
    <w:link w:val="644"/>
    <w:uiPriority w:val="9"/>
    <w:qFormat/>
    <w:rPr>
      <w:rFonts w:ascii="Arial" w:hAnsi="Arial" w:eastAsia="Arial" w:cs="Arial"/>
      <w:b/>
      <w:bCs/>
      <w:sz w:val="26"/>
      <w:szCs w:val="26"/>
    </w:rPr>
  </w:style>
  <w:style w:type="character" w:styleId="708" w:customStyle="1">
    <w:name w:val="标题 5 Char"/>
    <w:basedOn w:val="650"/>
    <w:link w:val="645"/>
    <w:uiPriority w:val="9"/>
    <w:qFormat/>
    <w:rPr>
      <w:rFonts w:ascii="Arial" w:hAnsi="Arial" w:eastAsia="Arial" w:cs="Arial"/>
      <w:b/>
      <w:bCs/>
      <w:sz w:val="24"/>
      <w:szCs w:val="24"/>
    </w:rPr>
  </w:style>
  <w:style w:type="paragraph" w:styleId="709" w:customStyle="1">
    <w:name w:val="Normal_21"/>
    <w:uiPriority w:val="0"/>
    <w:qFormat/>
    <w:pPr>
      <w:jc w:val="both"/>
      <w:widowControl w:val="off"/>
    </w:pPr>
    <w:rPr>
      <w:rFonts w:ascii="Times New Roman" w:hAnsi="Times New Roman" w:eastAsia="宋体" w:cs="Times New Roman"/>
      <w:sz w:val="21"/>
      <w:szCs w:val="24"/>
      <w:lang w:val="en-US" w:eastAsia="zh-CN" w:bidi="ar-SA"/>
    </w:rPr>
  </w:style>
  <w:style w:type="paragraph" w:styleId="710" w:customStyle="1">
    <w:name w:val="正文_17"/>
    <w:next w:val="711"/>
    <w:uiPriority w:val="0"/>
    <w:qFormat/>
    <w:pPr>
      <w:jc w:val="both"/>
      <w:widowControl w:val="off"/>
    </w:pPr>
    <w:rPr>
      <w:rFonts w:ascii="Times New Roman" w:hAnsi="Times New Roman" w:eastAsia="宋体" w:cs="Times New Roman"/>
      <w:sz w:val="21"/>
      <w:szCs w:val="22"/>
      <w:lang w:val="en-US" w:eastAsia="zh-CN" w:bidi="ar-SA"/>
    </w:rPr>
  </w:style>
  <w:style w:type="paragraph" w:styleId="711" w:customStyle="1">
    <w:name w:val="标题 4_1"/>
    <w:basedOn w:val="710"/>
    <w:next w:val="71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712" w:customStyle="1">
    <w:name w:val="Heading 1 Char"/>
    <w:basedOn w:val="650"/>
    <w:uiPriority w:val="9"/>
    <w:qFormat/>
    <w:rPr>
      <w:rFonts w:ascii="Arial" w:hAnsi="Arial" w:eastAsia="Arial" w:cs="Arial"/>
      <w:sz w:val="40"/>
      <w:szCs w:val="40"/>
    </w:rPr>
  </w:style>
  <w:style w:type="character" w:styleId="713" w:customStyle="1">
    <w:name w:val="Heading 2 Char"/>
    <w:basedOn w:val="650"/>
    <w:uiPriority w:val="9"/>
    <w:qFormat/>
    <w:rPr>
      <w:rFonts w:ascii="Arial" w:hAnsi="Arial" w:eastAsia="Arial" w:cs="Arial"/>
      <w:sz w:val="34"/>
    </w:rPr>
  </w:style>
  <w:style w:type="character" w:styleId="714" w:customStyle="1">
    <w:name w:val="Heading 3 Char"/>
    <w:basedOn w:val="650"/>
    <w:uiPriority w:val="9"/>
    <w:qFormat/>
    <w:rPr>
      <w:rFonts w:ascii="Arial" w:hAnsi="Arial" w:eastAsia="Arial" w:cs="Arial"/>
      <w:sz w:val="30"/>
      <w:szCs w:val="30"/>
    </w:rPr>
  </w:style>
  <w:style w:type="character" w:styleId="715" w:customStyle="1">
    <w:name w:val="Heading 4 Char"/>
    <w:basedOn w:val="650"/>
    <w:uiPriority w:val="9"/>
    <w:qFormat/>
    <w:rPr>
      <w:rFonts w:ascii="Arial" w:hAnsi="Arial" w:eastAsia="Arial" w:cs="Arial"/>
      <w:b/>
      <w:bCs/>
      <w:sz w:val="26"/>
      <w:szCs w:val="26"/>
    </w:rPr>
  </w:style>
  <w:style w:type="character" w:styleId="716" w:customStyle="1">
    <w:name w:val="Heading 5 Char"/>
    <w:basedOn w:val="650"/>
    <w:uiPriority w:val="9"/>
    <w:qFormat/>
    <w:rPr>
      <w:rFonts w:ascii="Arial" w:hAnsi="Arial" w:eastAsia="Arial" w:cs="Arial"/>
      <w:b/>
      <w:bCs/>
      <w:sz w:val="24"/>
      <w:szCs w:val="24"/>
    </w:rPr>
  </w:style>
  <w:style w:type="character" w:styleId="717" w:customStyle="1">
    <w:name w:val="Heading 6 Char"/>
    <w:basedOn w:val="650"/>
    <w:uiPriority w:val="9"/>
    <w:qFormat/>
    <w:rPr>
      <w:rFonts w:ascii="Arial" w:hAnsi="Arial" w:eastAsia="Arial" w:cs="Arial"/>
      <w:b/>
      <w:bCs/>
      <w:sz w:val="22"/>
      <w:szCs w:val="22"/>
    </w:rPr>
  </w:style>
  <w:style w:type="character" w:styleId="718" w:customStyle="1">
    <w:name w:val="Heading 7 Char"/>
    <w:basedOn w:val="650"/>
    <w:uiPriority w:val="9"/>
    <w:qFormat/>
    <w:rPr>
      <w:rFonts w:ascii="Arial" w:hAnsi="Arial" w:eastAsia="Arial" w:cs="Arial"/>
      <w:b/>
      <w:bCs/>
      <w:i/>
      <w:iCs/>
      <w:sz w:val="22"/>
      <w:szCs w:val="22"/>
    </w:rPr>
  </w:style>
  <w:style w:type="character" w:styleId="719" w:customStyle="1">
    <w:name w:val="Heading 8 Char"/>
    <w:basedOn w:val="650"/>
    <w:uiPriority w:val="9"/>
    <w:qFormat/>
    <w:rPr>
      <w:rFonts w:ascii="Arial" w:hAnsi="Arial" w:eastAsia="Arial" w:cs="Arial"/>
      <w:i/>
      <w:iCs/>
      <w:sz w:val="22"/>
      <w:szCs w:val="22"/>
    </w:rPr>
  </w:style>
  <w:style w:type="character" w:styleId="720" w:customStyle="1">
    <w:name w:val="Heading 9 Char"/>
    <w:basedOn w:val="650"/>
    <w:uiPriority w:val="9"/>
    <w:qFormat/>
    <w:rPr>
      <w:rFonts w:ascii="Arial" w:hAnsi="Arial" w:eastAsia="Arial" w:cs="Arial"/>
      <w:i/>
      <w:iCs/>
      <w:sz w:val="21"/>
      <w:szCs w:val="21"/>
    </w:rPr>
  </w:style>
  <w:style w:type="character" w:styleId="721" w:customStyle="1">
    <w:name w:val="Title Char"/>
    <w:basedOn w:val="650"/>
    <w:uiPriority w:val="10"/>
    <w:qFormat/>
    <w:rPr>
      <w:sz w:val="48"/>
      <w:szCs w:val="48"/>
    </w:rPr>
  </w:style>
  <w:style w:type="character" w:styleId="722" w:customStyle="1">
    <w:name w:val="Subtitle Char"/>
    <w:basedOn w:val="650"/>
    <w:uiPriority w:val="11"/>
    <w:qFormat/>
    <w:rPr>
      <w:sz w:val="24"/>
      <w:szCs w:val="24"/>
    </w:rPr>
  </w:style>
  <w:style w:type="character" w:styleId="723" w:customStyle="1">
    <w:name w:val="Quote Char"/>
    <w:uiPriority w:val="29"/>
    <w:qFormat/>
    <w:rPr>
      <w:i/>
    </w:rPr>
  </w:style>
  <w:style w:type="character" w:styleId="724" w:customStyle="1">
    <w:name w:val="Intense Quote Char"/>
    <w:uiPriority w:val="30"/>
    <w:qFormat/>
    <w:rPr>
      <w:i/>
    </w:rPr>
  </w:style>
  <w:style w:type="character" w:styleId="725" w:customStyle="1">
    <w:name w:val="Caption Char"/>
    <w:uiPriority w:val="99"/>
    <w:qFormat/>
  </w:style>
  <w:style w:type="character" w:styleId="726" w:customStyle="1">
    <w:name w:val="Footnote Text Char"/>
    <w:uiPriority w:val="99"/>
    <w:qFormat/>
    <w:rPr>
      <w:sz w:val="18"/>
    </w:rPr>
  </w:style>
  <w:style w:type="character" w:styleId="727" w:customStyle="1">
    <w:name w:val="Endnote Text Char"/>
    <w:uiPriority w:val="99"/>
    <w:qFormat/>
    <w:rPr>
      <w:sz w:val="20"/>
    </w:rPr>
  </w:style>
  <w:style w:type="character" w:styleId="728" w:customStyle="1">
    <w:name w:val="标题 6 Char"/>
    <w:basedOn w:val="650"/>
    <w:link w:val="646"/>
    <w:uiPriority w:val="9"/>
    <w:qFormat/>
    <w:rPr>
      <w:rFonts w:ascii="Arial" w:hAnsi="Arial" w:eastAsia="Arial" w:cs="Arial"/>
      <w:b/>
      <w:bCs/>
      <w:sz w:val="22"/>
      <w:szCs w:val="22"/>
    </w:rPr>
  </w:style>
  <w:style w:type="character" w:styleId="729" w:customStyle="1">
    <w:name w:val="标题 7 Char"/>
    <w:basedOn w:val="650"/>
    <w:link w:val="647"/>
    <w:uiPriority w:val="9"/>
    <w:qFormat/>
    <w:rPr>
      <w:rFonts w:ascii="Arial" w:hAnsi="Arial" w:eastAsia="Arial" w:cs="Arial"/>
      <w:b/>
      <w:bCs/>
      <w:i/>
      <w:iCs/>
      <w:sz w:val="22"/>
      <w:szCs w:val="22"/>
    </w:rPr>
  </w:style>
  <w:style w:type="character" w:styleId="730" w:customStyle="1">
    <w:name w:val="标题 8 Char"/>
    <w:basedOn w:val="650"/>
    <w:link w:val="648"/>
    <w:uiPriority w:val="9"/>
    <w:qFormat/>
    <w:rPr>
      <w:rFonts w:ascii="Arial" w:hAnsi="Arial" w:eastAsia="Arial" w:cs="Arial"/>
      <w:i/>
      <w:iCs/>
      <w:sz w:val="22"/>
      <w:szCs w:val="22"/>
    </w:rPr>
  </w:style>
  <w:style w:type="character" w:styleId="731" w:customStyle="1">
    <w:name w:val="标题 9 Char"/>
    <w:basedOn w:val="650"/>
    <w:link w:val="649"/>
    <w:uiPriority w:val="9"/>
    <w:qFormat/>
    <w:rPr>
      <w:rFonts w:ascii="Arial" w:hAnsi="Arial" w:eastAsia="Arial" w:cs="Arial"/>
      <w:i/>
      <w:iCs/>
      <w:sz w:val="21"/>
      <w:szCs w:val="21"/>
    </w:rPr>
  </w:style>
  <w:style w:type="paragraph" w:styleId="732">
    <w:name w:val="List Paragraph"/>
    <w:basedOn w:val="640"/>
    <w:uiPriority w:val="34"/>
    <w:qFormat/>
    <w:pPr>
      <w:contextualSpacing/>
      <w:ind w:left="720"/>
    </w:pPr>
  </w:style>
  <w:style w:type="paragraph" w:styleId="733">
    <w:name w:val="No Spacing"/>
    <w:uiPriority w:val="1"/>
    <w:qFormat/>
    <w:rPr>
      <w:rFonts w:ascii="Times New Roman" w:hAnsi="Times New Roman" w:eastAsia="宋体" w:cs="Times New Roman"/>
      <w:lang w:val="en-US" w:eastAsia="zh-CN" w:bidi="ar-SA"/>
    </w:rPr>
  </w:style>
  <w:style w:type="character" w:styleId="734" w:customStyle="1">
    <w:name w:val="标题 Char"/>
    <w:basedOn w:val="650"/>
    <w:link w:val="676"/>
    <w:uiPriority w:val="10"/>
    <w:qFormat/>
    <w:rPr>
      <w:sz w:val="48"/>
      <w:szCs w:val="48"/>
    </w:rPr>
  </w:style>
  <w:style w:type="character" w:styleId="735" w:customStyle="1">
    <w:name w:val="副标题 Char"/>
    <w:basedOn w:val="650"/>
    <w:link w:val="669"/>
    <w:uiPriority w:val="11"/>
    <w:qFormat/>
    <w:rPr>
      <w:sz w:val="24"/>
      <w:szCs w:val="24"/>
    </w:rPr>
  </w:style>
  <w:style w:type="paragraph" w:styleId="736">
    <w:name w:val="Quote"/>
    <w:basedOn w:val="640"/>
    <w:next w:val="640"/>
    <w:link w:val="737"/>
    <w:uiPriority w:val="29"/>
    <w:qFormat/>
    <w:pPr>
      <w:ind w:left="720" w:right="720"/>
    </w:pPr>
    <w:rPr>
      <w:i/>
    </w:rPr>
  </w:style>
  <w:style w:type="character" w:styleId="737" w:customStyle="1">
    <w:name w:val="引用 Char"/>
    <w:link w:val="736"/>
    <w:uiPriority w:val="29"/>
    <w:qFormat/>
    <w:rPr>
      <w:i/>
    </w:rPr>
  </w:style>
  <w:style w:type="paragraph" w:styleId="738">
    <w:name w:val="Intense Quote"/>
    <w:basedOn w:val="640"/>
    <w:next w:val="640"/>
    <w:link w:val="73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customStyle="1">
    <w:name w:val="明显引用 Char"/>
    <w:link w:val="738"/>
    <w:uiPriority w:val="30"/>
    <w:qFormat/>
    <w:rPr>
      <w:i/>
    </w:rPr>
  </w:style>
  <w:style w:type="character" w:styleId="740" w:customStyle="1">
    <w:name w:val="Header Char"/>
    <w:basedOn w:val="650"/>
    <w:uiPriority w:val="99"/>
    <w:qFormat/>
  </w:style>
  <w:style w:type="character" w:styleId="741" w:customStyle="1">
    <w:name w:val="Footer Char"/>
    <w:basedOn w:val="650"/>
    <w:uiPriority w:val="99"/>
    <w:qFormat/>
  </w:style>
  <w:style w:type="character" w:styleId="742" w:customStyle="1">
    <w:name w:val="页脚 Char"/>
    <w:link w:val="665"/>
    <w:uiPriority w:val="99"/>
    <w:qFormat/>
  </w:style>
  <w:style w:type="table" w:styleId="743" w:customStyle="1">
    <w:name w:val="Table Grid Light"/>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4" w:customStyle="1">
    <w:name w:val="无格式表格 11"/>
    <w:basedOn w:val="65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customStyle="1">
    <w:name w:val="无格式表格 21"/>
    <w:basedOn w:val="65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无格式表格 31"/>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customStyle="1">
    <w:name w:val="无格式表格 41"/>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customStyle="1">
    <w:name w:val="无格式表格 51"/>
    <w:basedOn w:val="65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9" w:customStyle="1">
    <w:name w:val="网格表 1 浅色1"/>
    <w:basedOn w:val="65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6" w:customStyle="1">
    <w:name w:val="网格表 21"/>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2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8" w:customStyle="1">
    <w:name w:val="Grid Table 2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9" w:customStyle="1">
    <w:name w:val="Grid Table 2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0" w:customStyle="1">
    <w:name w:val="Grid Table 2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1" w:customStyle="1">
    <w:name w:val="Grid Table 2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2" w:customStyle="1">
    <w:name w:val="Grid Table 2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3" w:customStyle="1">
    <w:name w:val="网格表 31"/>
    <w:basedOn w:val="65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1"/>
    <w:basedOn w:val="65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2"/>
    <w:basedOn w:val="65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3"/>
    <w:basedOn w:val="65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4"/>
    <w:basedOn w:val="65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5"/>
    <w:basedOn w:val="65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6"/>
    <w:basedOn w:val="65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网格表 41"/>
    <w:basedOn w:val="65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customStyle="1">
    <w:name w:val="Grid Table 4 - Accent 1"/>
    <w:basedOn w:val="65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2" w:customStyle="1">
    <w:name w:val="Grid Table 4 - Accent 2"/>
    <w:basedOn w:val="65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3" w:customStyle="1">
    <w:name w:val="Grid Table 4 - Accent 3"/>
    <w:basedOn w:val="65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4" w:customStyle="1">
    <w:name w:val="Grid Table 4 - Accent 4"/>
    <w:basedOn w:val="65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5" w:customStyle="1">
    <w:name w:val="Grid Table 4 - Accent 5"/>
    <w:basedOn w:val="65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6" w:customStyle="1">
    <w:name w:val="Grid Table 4 - Accent 6"/>
    <w:basedOn w:val="65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7" w:customStyle="1">
    <w:name w:val="网格表 5 深色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Grid Table 5 Dark- Accent 1"/>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9" w:customStyle="1">
    <w:name w:val="Grid Table 5 Dark - Accent 2"/>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0" w:customStyle="1">
    <w:name w:val="Grid Table 5 Dark - Accent 3"/>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1" w:customStyle="1">
    <w:name w:val="Grid Table 5 Dark- Accent 4"/>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2" w:customStyle="1">
    <w:name w:val="Grid Table 5 Dark - Accent 5"/>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3" w:customStyle="1">
    <w:name w:val="Grid Table 5 Dark - Accent 6"/>
    <w:basedOn w:val="6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4" w:customStyle="1">
    <w:name w:val="网格表 6 彩色1"/>
    <w:basedOn w:val="65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5" w:customStyle="1">
    <w:name w:val="Grid Table 6 Colorful - Accent 1"/>
    <w:basedOn w:val="65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6" w:customStyle="1">
    <w:name w:val="Grid Table 6 Colorful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7" w:customStyle="1">
    <w:name w:val="Grid Table 6 Colorful - Accent 3"/>
    <w:basedOn w:val="65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8" w:customStyle="1">
    <w:name w:val="Grid Table 6 Colorful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9" w:customStyle="1">
    <w:name w:val="Grid Table 6 Colorful - Accent 5"/>
    <w:basedOn w:val="65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0" w:customStyle="1">
    <w:name w:val="Grid Table 6 Colorful - Accent 6"/>
    <w:basedOn w:val="65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1" w:customStyle="1">
    <w:name w:val="网格表 7 彩色1"/>
    <w:basedOn w:val="65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2" w:customStyle="1">
    <w:name w:val="Grid Table 7 Colorful - Accent 1"/>
    <w:basedOn w:val="65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3" w:customStyle="1">
    <w:name w:val="Grid Table 7 Colorful - Accent 2"/>
    <w:basedOn w:val="65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94" w:customStyle="1">
    <w:name w:val="Grid Table 7 Colorful - Accent 3"/>
    <w:basedOn w:val="65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5" w:customStyle="1">
    <w:name w:val="Grid Table 7 Colorful - Accent 4"/>
    <w:basedOn w:val="65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6" w:customStyle="1">
    <w:name w:val="Grid Table 7 Colorful - Accent 5"/>
    <w:basedOn w:val="65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7" w:customStyle="1">
    <w:name w:val="Grid Table 7 Colorful - Accent 6"/>
    <w:basedOn w:val="65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8" w:customStyle="1">
    <w:name w:val="清单表 1 浅色1"/>
    <w:basedOn w:val="65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customStyle="1">
    <w:name w:val="List Table 1 Light - Accent 1"/>
    <w:basedOn w:val="65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0" w:customStyle="1">
    <w:name w:val="List Table 1 Light - Accent 2"/>
    <w:basedOn w:val="65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1" w:customStyle="1">
    <w:name w:val="List Table 1 Light - Accent 3"/>
    <w:basedOn w:val="65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2" w:customStyle="1">
    <w:name w:val="List Table 1 Light - Accent 4"/>
    <w:basedOn w:val="65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3" w:customStyle="1">
    <w:name w:val="List Table 1 Light - Accent 5"/>
    <w:basedOn w:val="65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4" w:customStyle="1">
    <w:name w:val="List Table 1 Light - Accent 6"/>
    <w:basedOn w:val="65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5" w:customStyle="1">
    <w:name w:val="清单表 21"/>
    <w:basedOn w:val="65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6" w:customStyle="1">
    <w:name w:val="List Table 2 - Accent 1"/>
    <w:basedOn w:val="65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7" w:customStyle="1">
    <w:name w:val="List Table 2 - Accent 2"/>
    <w:basedOn w:val="65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8" w:customStyle="1">
    <w:name w:val="List Table 2 - Accent 3"/>
    <w:basedOn w:val="65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9" w:customStyle="1">
    <w:name w:val="List Table 2 - Accent 4"/>
    <w:basedOn w:val="65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0" w:customStyle="1">
    <w:name w:val="List Table 2 - Accent 5"/>
    <w:basedOn w:val="65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1" w:customStyle="1">
    <w:name w:val="List Table 2 - Accent 6"/>
    <w:basedOn w:val="65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2" w:customStyle="1">
    <w:name w:val="清单表 31"/>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3 - Accent 1"/>
    <w:basedOn w:val="65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4" w:customStyle="1">
    <w:name w:val="List Table 3 - Accent 2"/>
    <w:basedOn w:val="65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5" w:customStyle="1">
    <w:name w:val="List Table 3 - Accent 3"/>
    <w:basedOn w:val="65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6" w:customStyle="1">
    <w:name w:val="List Table 3 - Accent 4"/>
    <w:basedOn w:val="65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7" w:customStyle="1">
    <w:name w:val="List Table 3 - Accent 5"/>
    <w:basedOn w:val="65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8" w:customStyle="1">
    <w:name w:val="List Table 3 - Accent 6"/>
    <w:basedOn w:val="65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9" w:customStyle="1">
    <w:name w:val="清单表 41"/>
    <w:basedOn w:val="65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 Accent 1"/>
    <w:basedOn w:val="65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1" w:customStyle="1">
    <w:name w:val="List Table 4 - Accent 2"/>
    <w:basedOn w:val="65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2" w:customStyle="1">
    <w:name w:val="List Table 4 - Accent 3"/>
    <w:basedOn w:val="65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3" w:customStyle="1">
    <w:name w:val="List Table 4 - Accent 4"/>
    <w:basedOn w:val="65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4" w:customStyle="1">
    <w:name w:val="List Table 4 - Accent 5"/>
    <w:basedOn w:val="65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5" w:customStyle="1">
    <w:name w:val="List Table 4 - Accent 6"/>
    <w:basedOn w:val="65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6" w:customStyle="1">
    <w:name w:val="清单表 5 深色1"/>
    <w:basedOn w:val="65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1"/>
    <w:basedOn w:val="65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2"/>
    <w:basedOn w:val="65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3"/>
    <w:basedOn w:val="65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4"/>
    <w:basedOn w:val="65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5"/>
    <w:basedOn w:val="65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6"/>
    <w:basedOn w:val="65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65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List Table 6 Colorful - Accent 1"/>
    <w:basedOn w:val="65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5" w:customStyle="1">
    <w:name w:val="List Table 6 Colorful - Accent 2"/>
    <w:basedOn w:val="65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6" w:customStyle="1">
    <w:name w:val="List Table 6 Colorful - Accent 3"/>
    <w:basedOn w:val="65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7" w:customStyle="1">
    <w:name w:val="List Table 6 Colorful - Accent 4"/>
    <w:basedOn w:val="65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8" w:customStyle="1">
    <w:name w:val="List Table 6 Colorful - Accent 5"/>
    <w:basedOn w:val="65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9" w:customStyle="1">
    <w:name w:val="List Table 6 Colorful - Accent 6"/>
    <w:basedOn w:val="65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0" w:customStyle="1">
    <w:name w:val="清单表 7 彩色1"/>
    <w:basedOn w:val="65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List Table 7 Colorful - Accent 1"/>
    <w:basedOn w:val="65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2" w:customStyle="1">
    <w:name w:val="List Table 7 Colorful - Accent 2"/>
    <w:basedOn w:val="65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3" w:customStyle="1">
    <w:name w:val="List Table 7 Colorful - Accent 3"/>
    <w:basedOn w:val="65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4" w:customStyle="1">
    <w:name w:val="List Table 7 Colorful - Accent 4"/>
    <w:basedOn w:val="65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5" w:customStyle="1">
    <w:name w:val="List Table 7 Colorful - Accent 5"/>
    <w:basedOn w:val="65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6" w:customStyle="1">
    <w:name w:val="List Table 7 Colorful - Accent 6"/>
    <w:basedOn w:val="65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7" w:customStyle="1">
    <w:name w:val="Lined - Accent"/>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8" w:customStyle="1">
    <w:name w:val="Lined - Accent 1"/>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9" w:customStyle="1">
    <w:name w:val="Lined - Accent 2"/>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0" w:customStyle="1">
    <w:name w:val="Lined - Accent 3"/>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1" w:customStyle="1">
    <w:name w:val="Lined - Accent 4"/>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2" w:customStyle="1">
    <w:name w:val="Lined - Accent 5"/>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3" w:customStyle="1">
    <w:name w:val="Lined - Accent 6"/>
    <w:basedOn w:val="65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4" w:customStyle="1">
    <w:name w:val="Bordered &amp; Lined - Accent"/>
    <w:basedOn w:val="65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Bordered &amp; Lined - Accent 1"/>
    <w:basedOn w:val="65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6" w:customStyle="1">
    <w:name w:val="Bordered &amp; Lined - Accent 2"/>
    <w:basedOn w:val="65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7" w:customStyle="1">
    <w:name w:val="Bordered &amp; Lined - Accent 3"/>
    <w:basedOn w:val="65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8" w:customStyle="1">
    <w:name w:val="Bordered &amp; Lined - Accent 4"/>
    <w:basedOn w:val="65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9" w:customStyle="1">
    <w:name w:val="Bordered &amp; Lined - Accent 5"/>
    <w:basedOn w:val="65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0" w:customStyle="1">
    <w:name w:val="Bordered &amp; Lined - Accent 6"/>
    <w:basedOn w:val="65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1" w:customStyle="1">
    <w:name w:val="Bordered"/>
    <w:basedOn w:val="65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2" w:customStyle="1">
    <w:name w:val="Bordered - Accent 1"/>
    <w:basedOn w:val="65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3" w:customStyle="1">
    <w:name w:val="Bordered - Accent 2"/>
    <w:basedOn w:val="65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64" w:customStyle="1">
    <w:name w:val="Bordered - Accent 3"/>
    <w:basedOn w:val="65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5" w:customStyle="1">
    <w:name w:val="Bordered - Accent 4"/>
    <w:basedOn w:val="65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6" w:customStyle="1">
    <w:name w:val="Bordered - Accent 5"/>
    <w:basedOn w:val="65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7" w:customStyle="1">
    <w:name w:val="Bordered - Accent 6"/>
    <w:basedOn w:val="65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8" w:customStyle="1">
    <w:name w:val="脚注文本 Char"/>
    <w:link w:val="670"/>
    <w:uiPriority w:val="99"/>
    <w:qFormat/>
    <w:rPr>
      <w:sz w:val="18"/>
    </w:rPr>
  </w:style>
  <w:style w:type="character" w:styleId="869" w:customStyle="1">
    <w:name w:val="尾注文本 Char"/>
    <w:link w:val="663"/>
    <w:uiPriority w:val="99"/>
    <w:qFormat/>
    <w:rPr>
      <w:sz w:val="20"/>
    </w:rPr>
  </w:style>
  <w:style w:type="paragraph" w:styleId="870" w:customStyle="1">
    <w:name w:val="TOC 标题11"/>
    <w:uiPriority w:val="39"/>
    <w:unhideWhenUsed/>
    <w:qFormat/>
    <w:rPr>
      <w:rFonts w:ascii="Times New Roman" w:hAnsi="Times New Roman" w:eastAsia="宋体" w:cs="Times New Roman"/>
      <w:lang w:val="en-US" w:eastAsia="zh-CN" w:bidi="ar-SA"/>
    </w:rPr>
  </w:style>
  <w:style w:type="paragraph" w:styleId="871" w:customStyle="1">
    <w:name w:val="Normal_0"/>
    <w:uiPriority w:val="0"/>
    <w:qFormat/>
    <w:rPr>
      <w:rFonts w:ascii="黑体" w:hAnsi="黑体" w:eastAsia="黑体" w:cs="Times New Roman"/>
      <w:b/>
      <w:sz w:val="32"/>
      <w:szCs w:val="24"/>
      <w:lang w:val="en-US" w:eastAsia="zh-CN" w:bidi="ar-SA"/>
    </w:rPr>
  </w:style>
  <w:style w:type="paragraph" w:styleId="872" w:customStyle="1">
    <w:name w:val="正文1"/>
    <w:uiPriority w:val="0"/>
    <w:qFormat/>
    <w:rPr>
      <w:rFonts w:ascii="Times New Roman" w:hAnsi="Times New Roman" w:eastAsia="Times New Roman" w:cs="Times New Roman"/>
      <w:sz w:val="24"/>
      <w:szCs w:val="24"/>
      <w:lang w:val="en-US" w:eastAsia="zh-CN" w:bidi="ar-SA"/>
    </w:rPr>
  </w:style>
  <w:style w:type="paragraph" w:styleId="873" w:customStyle="1">
    <w:name w:val="Normal_0_3"/>
    <w:uiPriority w:val="0"/>
    <w:qFormat/>
    <w:rPr>
      <w:rFonts w:ascii="黑体" w:hAnsi="黑体" w:eastAsia="黑体" w:cs="黑体"/>
      <w:b/>
      <w:sz w:val="32"/>
      <w:szCs w:val="24"/>
      <w:lang w:val="en-US" w:eastAsia="zh-CN" w:bidi="ar-SA"/>
    </w:rPr>
  </w:style>
  <w:style w:type="paragraph" w:styleId="874" w:customStyle="1">
    <w:name w:val="正文_16"/>
    <w:next w:val="875"/>
    <w:uiPriority w:val="0"/>
    <w:qFormat/>
    <w:pPr>
      <w:jc w:val="both"/>
      <w:widowControl w:val="off"/>
    </w:pPr>
    <w:rPr>
      <w:rFonts w:ascii="Calibri" w:hAnsi="Calibri" w:eastAsia="宋体" w:cs="Times New Roman"/>
      <w:sz w:val="21"/>
      <w:szCs w:val="22"/>
      <w:lang w:val="en-US" w:eastAsia="zh-CN" w:bidi="ar-SA"/>
    </w:rPr>
  </w:style>
  <w:style w:type="paragraph" w:styleId="875" w:customStyle="1">
    <w:name w:val="正文缩进_1"/>
    <w:basedOn w:val="876"/>
    <w:uiPriority w:val="0"/>
    <w:qFormat/>
    <w:pPr>
      <w:ind w:firstLine="420"/>
    </w:pPr>
    <w:rPr>
      <w:rFonts w:ascii="宋体"/>
      <w:color w:val="000000"/>
      <w:sz w:val="24"/>
      <w:szCs w:val="20"/>
    </w:rPr>
  </w:style>
  <w:style w:type="paragraph" w:styleId="876" w:customStyle="1">
    <w:name w:val="正文_2"/>
    <w:next w:val="877"/>
    <w:uiPriority w:val="0"/>
    <w:qFormat/>
    <w:pPr>
      <w:jc w:val="both"/>
      <w:widowControl w:val="off"/>
    </w:pPr>
    <w:rPr>
      <w:rFonts w:ascii="Calibri" w:hAnsi="Calibri" w:eastAsia="宋体" w:cs="Times New Roman"/>
      <w:sz w:val="21"/>
      <w:szCs w:val="22"/>
      <w:lang w:val="en-US" w:eastAsia="zh-CN" w:bidi="ar-SA"/>
    </w:rPr>
  </w:style>
  <w:style w:type="paragraph" w:styleId="877" w:customStyle="1">
    <w:name w:val="正文1_1"/>
    <w:basedOn w:val="878"/>
    <w:uiPriority w:val="0"/>
    <w:qFormat/>
    <w:pPr>
      <w:jc w:val="both"/>
      <w:widowControl w:val="off"/>
    </w:pPr>
    <w:rPr>
      <w:sz w:val="20"/>
      <w:szCs w:val="20"/>
    </w:rPr>
  </w:style>
  <w:style w:type="paragraph" w:styleId="878" w:customStyle="1">
    <w:name w:val="Normal_8_0"/>
    <w:uiPriority w:val="0"/>
    <w:qFormat/>
    <w:rPr>
      <w:rFonts w:ascii="Times New Roman" w:hAnsi="Times New Roman" w:eastAsia="Times New Roman" w:cs="Times New Roman"/>
      <w:sz w:val="24"/>
      <w:szCs w:val="24"/>
      <w:lang w:val="en-US" w:eastAsia="zh-CN" w:bidi="ar-SA"/>
    </w:rPr>
  </w:style>
  <w:style w:type="paragraph" w:styleId="879" w:customStyle="1">
    <w:name w:val="Normal_0_2"/>
    <w:uiPriority w:val="0"/>
    <w:qFormat/>
    <w:rPr>
      <w:rFonts w:ascii="黑体" w:hAnsi="黑体" w:eastAsia="黑体" w:cs="黑体"/>
      <w:b/>
      <w:sz w:val="32"/>
      <w:szCs w:val="24"/>
      <w:lang w:val="en-US" w:eastAsia="zh-CN" w:bidi="ar-SA"/>
    </w:rPr>
  </w:style>
  <w:style w:type="paragraph" w:styleId="880" w:customStyle="1">
    <w:name w:val="Normal_1_2"/>
    <w:uiPriority w:val="0"/>
    <w:qFormat/>
    <w:rPr>
      <w:rFonts w:ascii="Times New Roman" w:hAnsi="Times New Roman" w:eastAsia="Times New Roman" w:cs="Times New Roman"/>
      <w:sz w:val="24"/>
      <w:szCs w:val="24"/>
      <w:lang w:val="en-US" w:eastAsia="zh-CN" w:bidi="ar-SA"/>
    </w:rPr>
  </w:style>
  <w:style w:type="paragraph" w:styleId="881" w:customStyle="1">
    <w:name w:val="Normal_0_1"/>
    <w:uiPriority w:val="0"/>
    <w:qFormat/>
    <w:rPr>
      <w:rFonts w:ascii="黑体" w:hAnsi="黑体" w:eastAsia="黑体" w:cs="黑体"/>
      <w:b/>
      <w:sz w:val="32"/>
      <w:szCs w:val="24"/>
      <w:lang w:val="en-US" w:eastAsia="zh-CN" w:bidi="ar-SA"/>
    </w:rPr>
  </w:style>
  <w:style w:type="paragraph" w:styleId="882" w:customStyle="1">
    <w:name w:val="正文文本缩进_0"/>
    <w:basedOn w:val="876"/>
    <w:uiPriority w:val="0"/>
    <w:qFormat/>
    <w:pPr>
      <w:ind w:firstLine="225"/>
    </w:pPr>
    <w:rPr>
      <w:rFonts w:ascii="仿宋_GB2312" w:eastAsia="仿宋_GB2312"/>
      <w:sz w:val="32"/>
    </w:rPr>
  </w:style>
  <w:style w:type="paragraph" w:styleId="883" w:customStyle="1">
    <w:name w:val="Normal_1_1"/>
    <w:uiPriority w:val="0"/>
    <w:qFormat/>
    <w:rPr>
      <w:rFonts w:ascii="黑体" w:hAnsi="黑体" w:eastAsia="黑体" w:cs="黑体"/>
      <w:b/>
      <w:sz w:val="32"/>
      <w:szCs w:val="24"/>
      <w:lang w:val="en-US" w:eastAsia="zh-CN" w:bidi="ar-SA"/>
    </w:rPr>
  </w:style>
  <w:style w:type="paragraph" w:styleId="884"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885"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886" w:customStyle="1">
    <w:name w:val="Normal_2_0"/>
    <w:uiPriority w:val="0"/>
    <w:qFormat/>
    <w:rPr>
      <w:rFonts w:ascii="黑体" w:hAnsi="黑体" w:eastAsia="黑体" w:cs="黑体"/>
      <w:b/>
      <w:sz w:val="32"/>
      <w:szCs w:val="24"/>
      <w:lang w:val="en-US" w:eastAsia="zh-CN" w:bidi="ar-SA"/>
    </w:rPr>
  </w:style>
  <w:style w:type="paragraph" w:styleId="887"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Normal_4_0"/>
    <w:uiPriority w:val="0"/>
    <w:qFormat/>
    <w:rPr>
      <w:rFonts w:ascii="黑体" w:hAnsi="黑体" w:eastAsia="黑体" w:cs="黑体"/>
      <w:b/>
      <w:sz w:val="32"/>
      <w:szCs w:val="24"/>
      <w:lang w:val="en-US" w:eastAsia="zh-CN" w:bidi="ar-SA"/>
    </w:rPr>
  </w:style>
  <w:style w:type="paragraph" w:styleId="889"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Normal_6_0"/>
    <w:uiPriority w:val="0"/>
    <w:qFormat/>
    <w:rPr>
      <w:rFonts w:ascii="黑体" w:hAnsi="黑体" w:eastAsia="黑体" w:cs="黑体"/>
      <w:b/>
      <w:sz w:val="32"/>
      <w:szCs w:val="24"/>
      <w:lang w:val="en-US" w:eastAsia="zh-CN" w:bidi="ar-SA"/>
    </w:rPr>
  </w:style>
  <w:style w:type="paragraph" w:styleId="89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89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89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894" w:customStyle="1">
    <w:name w:val="Normal_7_0"/>
    <w:uiPriority w:val="0"/>
    <w:qFormat/>
    <w:rPr>
      <w:rFonts w:ascii="黑体" w:hAnsi="黑体" w:eastAsia="黑体" w:cs="黑体"/>
      <w:b/>
      <w:sz w:val="32"/>
      <w:szCs w:val="24"/>
      <w:lang w:val="en-US" w:eastAsia="zh-CN" w:bidi="ar-SA"/>
    </w:rPr>
  </w:style>
  <w:style w:type="paragraph" w:styleId="895" w:customStyle="1">
    <w:name w:val="Normal_9_0"/>
    <w:uiPriority w:val="0"/>
    <w:qFormat/>
    <w:rPr>
      <w:rFonts w:ascii="Times New Roman" w:hAnsi="Times New Roman" w:eastAsia="Times New Roman" w:cs="Times New Roman"/>
      <w:sz w:val="24"/>
      <w:szCs w:val="24"/>
      <w:lang w:val="en-US" w:eastAsia="zh-CN" w:bidi="ar-SA"/>
    </w:rPr>
  </w:style>
  <w:style w:type="paragraph" w:styleId="896" w:customStyle="1">
    <w:name w:val="Normal_10_0"/>
    <w:uiPriority w:val="0"/>
    <w:qFormat/>
    <w:rPr>
      <w:rFonts w:ascii="黑体" w:hAnsi="黑体" w:eastAsia="黑体" w:cs="黑体"/>
      <w:b/>
      <w:sz w:val="32"/>
      <w:szCs w:val="24"/>
      <w:lang w:val="en-US" w:eastAsia="zh-CN" w:bidi="ar-SA"/>
    </w:rPr>
  </w:style>
  <w:style w:type="paragraph" w:styleId="897" w:customStyle="1">
    <w:name w:val="正文_3"/>
    <w:next w:val="898"/>
    <w:uiPriority w:val="0"/>
    <w:qFormat/>
    <w:pPr>
      <w:jc w:val="both"/>
      <w:widowControl w:val="off"/>
    </w:pPr>
    <w:rPr>
      <w:rFonts w:ascii="Calibri" w:hAnsi="Calibri" w:eastAsia="宋体" w:cs="Times New Roman"/>
      <w:sz w:val="21"/>
      <w:szCs w:val="22"/>
      <w:lang w:val="en-US" w:eastAsia="zh-CN" w:bidi="ar-SA"/>
    </w:rPr>
  </w:style>
  <w:style w:type="paragraph" w:styleId="898" w:customStyle="1">
    <w:name w:val="正文首行缩进 2_1"/>
    <w:basedOn w:val="899"/>
    <w:next w:val="901"/>
    <w:uiPriority w:val="0"/>
    <w:qFormat/>
    <w:pPr>
      <w:ind w:left="200" w:firstLine="200"/>
      <w:spacing w:after="120"/>
    </w:pPr>
    <w:rPr>
      <w:rFonts w:ascii="Times New Roman"/>
      <w:szCs w:val="24"/>
    </w:rPr>
  </w:style>
  <w:style w:type="paragraph" w:styleId="899" w:customStyle="1">
    <w:name w:val="正文文本缩进_1"/>
    <w:basedOn w:val="900"/>
    <w:next w:val="898"/>
    <w:uiPriority w:val="0"/>
    <w:qFormat/>
    <w:pPr>
      <w:ind w:firstLine="225"/>
    </w:pPr>
    <w:rPr>
      <w:rFonts w:ascii="仿宋_GB2312" w:eastAsia="仿宋_GB2312"/>
      <w:sz w:val="32"/>
    </w:rPr>
  </w:style>
  <w:style w:type="paragraph" w:styleId="900" w:customStyle="1">
    <w:name w:val="正文_18"/>
    <w:next w:val="899"/>
    <w:uiPriority w:val="0"/>
    <w:qFormat/>
    <w:pPr>
      <w:jc w:val="both"/>
      <w:widowControl w:val="off"/>
    </w:pPr>
    <w:rPr>
      <w:rFonts w:ascii="Calibri" w:hAnsi="Calibri" w:eastAsia="宋体" w:cs="Times New Roman"/>
      <w:sz w:val="21"/>
      <w:szCs w:val="22"/>
      <w:lang w:val="en-US" w:eastAsia="zh-CN" w:bidi="ar-SA"/>
    </w:rPr>
  </w:style>
  <w:style w:type="paragraph" w:styleId="901" w:customStyle="1">
    <w:name w:val="xl53_0"/>
    <w:next w:val="897"/>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ascii="宋体" w:hAnsi="宋体" w:eastAsia="宋体" w:cs="Times New Roman"/>
      <w:b/>
      <w:bCs/>
      <w:lang w:val="en-US" w:eastAsia="zh-CN" w:bidi="ar-SA"/>
    </w:rPr>
  </w:style>
  <w:style w:type="paragraph" w:styleId="902"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903" w:customStyle="1">
    <w:name w:val="Normal_11_0"/>
    <w:uiPriority w:val="0"/>
    <w:qFormat/>
    <w:rPr>
      <w:rFonts w:ascii="黑体" w:hAnsi="黑体" w:eastAsia="黑体" w:cs="黑体"/>
      <w:b/>
      <w:sz w:val="32"/>
      <w:szCs w:val="24"/>
      <w:lang w:val="en-US" w:eastAsia="zh-CN" w:bidi="ar-SA"/>
    </w:rPr>
  </w:style>
  <w:style w:type="paragraph" w:styleId="90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90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90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90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908" w:customStyle="1">
    <w:name w:val="列出段落_2"/>
    <w:basedOn w:val="906"/>
    <w:uiPriority w:val="34"/>
    <w:qFormat/>
    <w:pPr>
      <w:ind w:firstLine="420"/>
    </w:pPr>
  </w:style>
  <w:style w:type="paragraph" w:styleId="909" w:customStyle="1">
    <w:name w:val="Normal_13_0"/>
    <w:uiPriority w:val="0"/>
    <w:qFormat/>
    <w:rPr>
      <w:rFonts w:ascii="黑体" w:hAnsi="黑体" w:eastAsia="黑体" w:cs="黑体"/>
      <w:b/>
      <w:sz w:val="32"/>
      <w:szCs w:val="24"/>
      <w:lang w:val="en-US" w:eastAsia="zh-CN" w:bidi="ar-SA"/>
    </w:rPr>
  </w:style>
  <w:style w:type="paragraph" w:styleId="910"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911" w:customStyle="1">
    <w:name w:val="纯文本_0_0"/>
    <w:basedOn w:val="910"/>
    <w:uiPriority w:val="0"/>
    <w:unhideWhenUsed/>
    <w:qFormat/>
    <w:rPr>
      <w:rFonts w:ascii="宋体" w:hAnsi="Courier New"/>
      <w:szCs w:val="21"/>
    </w:rPr>
  </w:style>
  <w:style w:type="paragraph" w:styleId="912"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913" w:customStyle="1">
    <w:name w:val="Normal_14_0"/>
    <w:uiPriority w:val="0"/>
    <w:qFormat/>
    <w:rPr>
      <w:rFonts w:ascii="黑体" w:hAnsi="黑体" w:eastAsia="黑体" w:cs="黑体"/>
      <w:b/>
      <w:sz w:val="32"/>
      <w:szCs w:val="24"/>
      <w:lang w:val="en-US" w:eastAsia="zh-CN" w:bidi="ar-SA"/>
    </w:rPr>
  </w:style>
  <w:style w:type="paragraph" w:styleId="914"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915" w:customStyle="1">
    <w:name w:val="Normal_15_0"/>
    <w:uiPriority w:val="0"/>
    <w:qFormat/>
    <w:rPr>
      <w:rFonts w:ascii="黑体" w:hAnsi="黑体" w:eastAsia="黑体" w:cs="黑体"/>
      <w:b/>
      <w:sz w:val="32"/>
      <w:szCs w:val="24"/>
      <w:lang w:val="en-US" w:eastAsia="zh-CN" w:bidi="ar-SA"/>
    </w:rPr>
  </w:style>
  <w:style w:type="paragraph" w:styleId="916"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917"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918" w:customStyle="1">
    <w:name w:val="Normal_16_0"/>
    <w:uiPriority w:val="0"/>
    <w:qFormat/>
    <w:rPr>
      <w:rFonts w:ascii="黑体" w:hAnsi="黑体" w:eastAsia="黑体" w:cs="黑体"/>
      <w:b/>
      <w:sz w:val="32"/>
      <w:szCs w:val="24"/>
      <w:lang w:val="en-US" w:eastAsia="zh-CN" w:bidi="ar-SA"/>
    </w:rPr>
  </w:style>
  <w:style w:type="paragraph" w:styleId="919"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920" w:customStyle="1">
    <w:name w:val="Normal_17_0"/>
    <w:uiPriority w:val="0"/>
    <w:qFormat/>
    <w:rPr>
      <w:rFonts w:ascii="黑体" w:hAnsi="黑体" w:eastAsia="黑体" w:cs="黑体"/>
      <w:b/>
      <w:sz w:val="32"/>
      <w:szCs w:val="24"/>
      <w:lang w:val="en-US" w:eastAsia="zh-CN" w:bidi="ar-SA"/>
    </w:rPr>
  </w:style>
  <w:style w:type="paragraph" w:styleId="921"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Normal_18_0"/>
    <w:uiPriority w:val="0"/>
    <w:qFormat/>
    <w:rPr>
      <w:rFonts w:ascii="黑体" w:hAnsi="黑体" w:eastAsia="黑体" w:cs="黑体"/>
      <w:b/>
      <w:sz w:val="32"/>
      <w:szCs w:val="24"/>
      <w:lang w:val="en-US" w:eastAsia="zh-CN" w:bidi="ar-SA"/>
    </w:rPr>
  </w:style>
  <w:style w:type="paragraph" w:styleId="923"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924"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925" w:customStyle="1">
    <w:name w:val="Normal_14_0_0"/>
    <w:uiPriority w:val="0"/>
    <w:qFormat/>
    <w:rPr>
      <w:rFonts w:ascii="黑体" w:hAnsi="黑体" w:eastAsia="黑体" w:cs="Times New Roman"/>
      <w:b/>
      <w:sz w:val="32"/>
      <w:szCs w:val="24"/>
      <w:lang w:val="en-US" w:eastAsia="zh-CN" w:bidi="ar-SA"/>
    </w:rPr>
  </w:style>
  <w:style w:type="paragraph" w:styleId="926"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927"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928"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929"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930"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931"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932" w:customStyle="1">
    <w:name w:val="Normal_20"/>
    <w:next w:val="933"/>
    <w:uiPriority w:val="0"/>
    <w:qFormat/>
    <w:rPr>
      <w:rFonts w:ascii="黑体" w:hAnsi="黑体" w:eastAsia="黑体" w:cs="黑体"/>
      <w:b/>
      <w:sz w:val="32"/>
      <w:szCs w:val="24"/>
      <w:lang w:val="en-US" w:eastAsia="zh-CN" w:bidi="ar-SA"/>
    </w:rPr>
  </w:style>
  <w:style w:type="paragraph" w:styleId="933" w:customStyle="1">
    <w:name w:val="Heading 3_0"/>
    <w:basedOn w:val="932"/>
    <w:next w:val="932"/>
    <w:uiPriority w:val="0"/>
    <w:qFormat/>
    <w:pPr>
      <w:keepLines/>
      <w:keepNext/>
      <w:spacing w:before="260" w:after="260" w:line="413" w:lineRule="auto"/>
      <w:outlineLvl w:val="2"/>
    </w:pPr>
    <w:rPr>
      <w:rFonts w:ascii="Times New Roman" w:hAnsi="Times New Roman" w:eastAsia="Times New Roman"/>
      <w:szCs w:val="20"/>
    </w:rPr>
  </w:style>
  <w:style w:type="paragraph" w:styleId="934"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935" w:customStyle="1">
    <w:name w:val="正文2"/>
    <w:basedOn w:val="640"/>
    <w:uiPriority w:val="0"/>
    <w:qFormat/>
    <w:pPr>
      <w:ind w:firstLine="510"/>
      <w:spacing w:before="156" w:line="360" w:lineRule="auto"/>
    </w:pPr>
    <w:rPr>
      <w:sz w:val="24"/>
      <w:szCs w:val="20"/>
    </w:rPr>
  </w:style>
  <w:style w:type="character" w:styleId="936" w:customStyle="1">
    <w:name w:val="页眉 Char"/>
    <w:basedOn w:val="650"/>
    <w:link w:val="666"/>
    <w:uiPriority w:val="0"/>
    <w:qFormat/>
    <w:rPr>
      <w:rFonts w:ascii="Calibri" w:hAnsi="Calibri"/>
      <w:sz w:val="18"/>
      <w:szCs w:val="18"/>
    </w:rPr>
  </w:style>
  <w:style w:type="paragraph" w:styleId="937"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938" w:customStyle="1">
    <w:name w:val="Normal_19_1_0"/>
    <w:next w:val="939"/>
    <w:uiPriority w:val="0"/>
    <w:qFormat/>
    <w:pPr>
      <w:jc w:val="both"/>
      <w:widowControl w:val="off"/>
    </w:pPr>
    <w:rPr>
      <w:rFonts w:ascii="Calibri" w:hAnsi="Calibri" w:eastAsia="宋体" w:cs="Times New Roman"/>
      <w:szCs w:val="24"/>
      <w:lang w:val="en-US" w:eastAsia="zh-CN" w:bidi="ar-SA"/>
    </w:rPr>
  </w:style>
  <w:style w:type="paragraph" w:styleId="939" w:customStyle="1">
    <w:name w:val="正文_16_0"/>
    <w:basedOn w:val="900"/>
    <w:uiPriority w:val="0"/>
    <w:qFormat/>
    <w:rPr>
      <w:rFonts w:ascii="Times New Roman" w:hAnsi="Times New Roman"/>
    </w:rPr>
  </w:style>
  <w:style w:type="paragraph" w:styleId="940" w:customStyle="1">
    <w:name w:val="Normal_19_0"/>
    <w:basedOn w:val="652"/>
    <w:next w:val="941"/>
    <w:uiPriority w:val="0"/>
    <w:qFormat/>
    <w:rPr>
      <w:szCs w:val="24"/>
    </w:rPr>
  </w:style>
  <w:style w:type="paragraph" w:styleId="941" w:customStyle="1">
    <w:name w:val="Body Text_0"/>
    <w:basedOn w:val="932"/>
    <w:uiPriority w:val="0"/>
    <w:qFormat/>
    <w:pPr>
      <w:spacing w:line="60" w:lineRule="auto"/>
    </w:pPr>
    <w:rPr>
      <w:rFonts w:ascii="仿宋_GB2312" w:hAnsi="Calibri" w:eastAsia="仿宋_GB2312"/>
    </w:rPr>
  </w:style>
  <w:style w:type="paragraph" w:styleId="942" w:customStyle="1">
    <w:name w:val="Normal_19_1"/>
    <w:next w:val="874"/>
    <w:uiPriority w:val="0"/>
    <w:qFormat/>
    <w:pPr>
      <w:jc w:val="both"/>
      <w:widowControl w:val="off"/>
    </w:pPr>
    <w:rPr>
      <w:rFonts w:ascii="Calibri" w:hAnsi="Calibri" w:eastAsia="宋体" w:cs="Times New Roman"/>
      <w:szCs w:val="24"/>
      <w:lang w:val="en-US" w:eastAsia="zh-CN" w:bidi="ar-SA"/>
    </w:rPr>
  </w:style>
  <w:style w:type="paragraph" w:styleId="943" w:customStyle="1">
    <w:name w:val="正文_6_0_0"/>
    <w:uiPriority w:val="0"/>
    <w:qFormat/>
    <w:pPr>
      <w:jc w:val="both"/>
      <w:widowControl w:val="off"/>
    </w:pPr>
    <w:rPr>
      <w:rFonts w:ascii="Calibri" w:hAnsi="Calibri" w:eastAsia="宋体" w:cs="Times New Roman"/>
      <w:lang w:val="en-US" w:eastAsia="zh-CN" w:bidi="ar-SA"/>
    </w:rPr>
  </w:style>
  <w:style w:type="paragraph" w:styleId="944" w:customStyle="1">
    <w:name w:val="正文_7_1"/>
    <w:uiPriority w:val="0"/>
    <w:qFormat/>
    <w:pPr>
      <w:jc w:val="both"/>
      <w:widowControl w:val="off"/>
    </w:pPr>
    <w:rPr>
      <w:rFonts w:ascii="Calibri" w:hAnsi="Calibri" w:eastAsia="宋体" w:cs="Times New Roman"/>
      <w:lang w:val="en-US" w:eastAsia="zh-CN" w:bidi="ar-SA"/>
    </w:rPr>
  </w:style>
  <w:style w:type="paragraph" w:styleId="945" w:customStyle="1">
    <w:name w:val="Normal_8_0_0"/>
    <w:uiPriority w:val="0"/>
    <w:qFormat/>
    <w:rPr>
      <w:rFonts w:ascii="Times New Roman" w:hAnsi="Times New Roman" w:eastAsia="Times New Roman" w:cs="Times New Roman"/>
      <w:sz w:val="24"/>
      <w:szCs w:val="24"/>
      <w:lang w:val="en-US" w:eastAsia="zh-CN" w:bidi="ar-SA"/>
    </w:rPr>
  </w:style>
  <w:style w:type="paragraph" w:styleId="946" w:customStyle="1">
    <w:name w:val="Normal_8_0_0_0"/>
    <w:uiPriority w:val="0"/>
    <w:qFormat/>
    <w:pPr>
      <w:jc w:val="both"/>
      <w:widowControl w:val="off"/>
    </w:pPr>
    <w:rPr>
      <w:rFonts w:ascii="Calibri" w:hAnsi="Calibri" w:eastAsia="宋体" w:cs="Times New Roman"/>
      <w:lang w:val="en-US" w:eastAsia="zh-CN" w:bidi="ar-SA"/>
    </w:rPr>
  </w:style>
  <w:style w:type="paragraph" w:styleId="947" w:customStyle="1">
    <w:name w:val="Normal_16_1"/>
    <w:uiPriority w:val="0"/>
    <w:qFormat/>
    <w:rPr>
      <w:rFonts w:ascii="黑体" w:hAnsi="黑体" w:eastAsia="黑体" w:cs="Times New Roman"/>
      <w:b/>
      <w:sz w:val="32"/>
      <w:szCs w:val="24"/>
      <w:lang w:val="en-US" w:eastAsia="zh-CN" w:bidi="ar-SA"/>
    </w:rPr>
  </w:style>
  <w:style w:type="paragraph" w:styleId="948" w:customStyle="1">
    <w:name w:val="Normal_19_0_1"/>
    <w:uiPriority w:val="0"/>
    <w:qFormat/>
    <w:rPr>
      <w:rFonts w:ascii="Tahoma" w:hAnsi="Tahoma" w:eastAsia="微软雅黑" w:cs="Times New Roman"/>
      <w:lang w:val="en-US" w:eastAsia="zh-CN" w:bidi="ar-SA"/>
    </w:rPr>
  </w:style>
  <w:style w:type="paragraph" w:styleId="949" w:customStyle="1">
    <w:name w:val="Normal_16_0_0"/>
    <w:uiPriority w:val="0"/>
    <w:qFormat/>
    <w:pPr>
      <w:jc w:val="both"/>
      <w:widowControl w:val="off"/>
    </w:pPr>
    <w:rPr>
      <w:rFonts w:ascii="Calibri" w:hAnsi="Calibri" w:eastAsia="宋体" w:cs="Times New Roman"/>
      <w:lang w:val="en-US" w:eastAsia="zh-CN" w:bidi="ar-SA"/>
    </w:rPr>
  </w:style>
  <w:style w:type="paragraph" w:styleId="950" w:customStyle="1">
    <w:name w:val="Normal_22_0"/>
    <w:uiPriority w:val="0"/>
    <w:qFormat/>
    <w:pPr>
      <w:jc w:val="both"/>
      <w:widowControl w:val="off"/>
    </w:pPr>
    <w:rPr>
      <w:rFonts w:ascii="Calibri" w:hAnsi="Calibri" w:eastAsia="宋体" w:cs="Times New Roman"/>
      <w:szCs w:val="24"/>
      <w:lang w:val="en-US" w:eastAsia="zh-CN" w:bidi="ar-SA"/>
    </w:rPr>
  </w:style>
  <w:style w:type="paragraph" w:styleId="951" w:customStyle="1">
    <w:name w:val="Normal_17_0_0"/>
    <w:uiPriority w:val="0"/>
    <w:qFormat/>
    <w:rPr>
      <w:rFonts w:ascii="黑体" w:hAnsi="黑体" w:eastAsia="黑体" w:cs="Times New Roman"/>
      <w:b/>
      <w:sz w:val="32"/>
      <w:szCs w:val="24"/>
      <w:lang w:val="en-US" w:eastAsia="zh-CN" w:bidi="ar-SA"/>
    </w:rPr>
  </w:style>
  <w:style w:type="paragraph" w:styleId="952" w:customStyle="1">
    <w:name w:val="Normal_19_0_1_0"/>
    <w:uiPriority w:val="0"/>
    <w:qFormat/>
    <w:rPr>
      <w:rFonts w:ascii="Tahoma" w:hAnsi="Tahoma" w:eastAsia="微软雅黑" w:cs="Times New Roman"/>
      <w:lang w:val="en-US" w:eastAsia="zh-CN" w:bidi="ar-SA"/>
    </w:rPr>
  </w:style>
  <w:style w:type="paragraph" w:styleId="953" w:customStyle="1">
    <w:name w:val="Normal_19_3"/>
    <w:next w:val="954"/>
    <w:uiPriority w:val="0"/>
    <w:qFormat/>
    <w:pPr>
      <w:jc w:val="both"/>
      <w:widowControl w:val="off"/>
    </w:pPr>
    <w:rPr>
      <w:rFonts w:ascii="Calibri" w:hAnsi="Calibri" w:eastAsia="Times New Roman" w:cs="Times New Roman"/>
      <w:szCs w:val="24"/>
      <w:lang w:val="en-US" w:eastAsia="zh-CN" w:bidi="ar-SA"/>
    </w:rPr>
  </w:style>
  <w:style w:type="paragraph" w:styleId="954"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955"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956" w:customStyle="1">
    <w:name w:val="custom-tag-placeholder-class"/>
    <w:basedOn w:val="650"/>
    <w:uiPriority w:val="0"/>
    <w:qFormat/>
  </w:style>
  <w:style w:type="paragraph" w:styleId="957" w:customStyle="1">
    <w:name w:val="Normal_19_0_0"/>
    <w:basedOn w:val="932"/>
    <w:uiPriority w:val="0"/>
    <w:qFormat/>
    <w:rPr>
      <w:rFonts w:ascii="Calibri" w:hAnsi="Calibri" w:eastAsia="Times New Roman"/>
      <w:sz w:val="24"/>
    </w:rPr>
  </w:style>
  <w:style w:type="paragraph" w:styleId="958" w:customStyle="1">
    <w:name w:val="正文首行缩进1"/>
    <w:basedOn w:val="959"/>
    <w:uiPriority w:val="0"/>
    <w:qFormat/>
    <w:pPr>
      <w:ind w:firstLine="100"/>
      <w:spacing w:after="120" w:line="240" w:lineRule="auto"/>
    </w:pPr>
    <w:rPr>
      <w:rFonts w:ascii="Times New Roman" w:hAnsi="Times New Roman" w:eastAsia="宋体"/>
      <w:sz w:val="21"/>
    </w:rPr>
  </w:style>
  <w:style w:type="paragraph" w:styleId="959" w:customStyle="1">
    <w:name w:val="正文文本1"/>
    <w:basedOn w:val="640"/>
    <w:uiPriority w:val="0"/>
    <w:qFormat/>
    <w:pPr>
      <w:spacing w:line="60" w:lineRule="auto"/>
    </w:pPr>
    <w:rPr>
      <w:rFonts w:ascii="仿宋_GB2312" w:eastAsia="仿宋_GB2312"/>
      <w:sz w:val="32"/>
    </w:rPr>
  </w:style>
  <w:style w:type="paragraph" w:styleId="960" w:customStyle="1">
    <w:name w:val="标题 41"/>
    <w:basedOn w:val="932"/>
    <w:next w:val="93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61"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962" w:customStyle="1">
    <w:name w:val="List Paragraph_0"/>
    <w:basedOn w:val="876"/>
    <w:uiPriority w:val="0"/>
    <w:qFormat/>
    <w:pPr>
      <w:ind w:firstLine="420"/>
    </w:pPr>
  </w:style>
  <w:style w:type="paragraph" w:styleId="963" w:customStyle="1">
    <w:name w:val="纯文本_1"/>
    <w:basedOn w:val="961"/>
    <w:uiPriority w:val="0"/>
    <w:qFormat/>
    <w:rPr>
      <w:rFonts w:ascii="宋体" w:hAnsi="Times New Roman"/>
      <w:sz w:val="20"/>
      <w:szCs w:val="21"/>
    </w:rPr>
  </w:style>
  <w:style w:type="paragraph" w:styleId="964" w:customStyle="1">
    <w:name w:val="正文_16_0_0"/>
    <w:next w:val="965"/>
    <w:uiPriority w:val="0"/>
    <w:qFormat/>
    <w:pPr>
      <w:jc w:val="both"/>
      <w:widowControl w:val="off"/>
    </w:pPr>
    <w:rPr>
      <w:rFonts w:ascii="Calibri" w:hAnsi="Calibri" w:eastAsia="宋体" w:cs="Times New Roman"/>
      <w:sz w:val="21"/>
      <w:szCs w:val="22"/>
      <w:lang w:val="en-US" w:eastAsia="zh-CN" w:bidi="ar-SA"/>
    </w:rPr>
  </w:style>
  <w:style w:type="paragraph" w:styleId="965" w:customStyle="1">
    <w:name w:val="正文1_0"/>
    <w:basedOn w:val="961"/>
    <w:uiPriority w:val="0"/>
    <w:qFormat/>
    <w:pPr>
      <w:ind w:left="357" w:firstLine="420"/>
      <w:jc w:val="left"/>
      <w:spacing w:line="360" w:lineRule="auto"/>
      <w:widowControl/>
    </w:pPr>
    <w:rPr>
      <w:rFonts w:cs="Arial"/>
      <w:szCs w:val="20"/>
    </w:rPr>
  </w:style>
  <w:style w:type="paragraph" w:styleId="966" w:customStyle="1">
    <w:name w:val="正文_11_0"/>
    <w:basedOn w:val="710"/>
    <w:uiPriority w:val="0"/>
    <w:qFormat/>
    <w:rPr>
      <w:rFonts w:ascii="Calibri" w:hAnsi="Calibri"/>
      <w:szCs w:val="20"/>
    </w:rPr>
  </w:style>
  <w:style w:type="paragraph" w:styleId="967" w:customStyle="1">
    <w:name w:val="Normal_19_0_0_0"/>
    <w:basedOn w:val="652"/>
    <w:uiPriority w:val="0"/>
    <w:qFormat/>
    <w:rPr>
      <w:rFonts w:cs="黑体"/>
      <w:szCs w:val="24"/>
    </w:rPr>
  </w:style>
  <w:style w:type="paragraph" w:styleId="968" w:customStyle="1">
    <w:name w:val="无间隔1"/>
    <w:basedOn w:val="969"/>
    <w:uiPriority w:val="0"/>
    <w:qFormat/>
    <w:rPr>
      <w:rFonts w:ascii="Calibri" w:hAnsi="Calibri" w:cs="Calibri"/>
    </w:rPr>
  </w:style>
  <w:style w:type="paragraph" w:styleId="969" w:customStyle="1">
    <w:name w:val="正文3"/>
    <w:next w:val="970"/>
    <w:uiPriority w:val="0"/>
    <w:qFormat/>
    <w:rPr>
      <w:rFonts w:ascii="Times New Roman" w:hAnsi="Times New Roman" w:eastAsia="Times New Roman" w:cs="Times New Roman"/>
      <w:sz w:val="24"/>
      <w:szCs w:val="24"/>
      <w:lang w:val="en-US" w:eastAsia="zh-CN" w:bidi="ar-SA"/>
    </w:rPr>
  </w:style>
  <w:style w:type="paragraph" w:styleId="970" w:customStyle="1">
    <w:name w:val="标题 31"/>
    <w:basedOn w:val="969"/>
    <w:next w:val="969"/>
    <w:uiPriority w:val="0"/>
    <w:qFormat/>
    <w:pPr>
      <w:keepLines/>
      <w:keepNext/>
      <w:spacing w:before="260" w:after="260" w:line="413" w:lineRule="auto"/>
      <w:outlineLvl w:val="2"/>
    </w:pPr>
    <w:rPr>
      <w:b/>
      <w:sz w:val="32"/>
      <w:szCs w:val="20"/>
    </w:rPr>
  </w:style>
  <w:style w:type="character" w:styleId="971" w:customStyle="1">
    <w:name w:val="标题 2 Char_0"/>
    <w:link w:val="972"/>
    <w:uiPriority w:val="0"/>
    <w:qFormat/>
    <w:rPr>
      <w:rFonts w:ascii="Arial" w:hAnsi="Arial" w:eastAsia="黑体"/>
      <w:b/>
      <w:sz w:val="32"/>
      <w:szCs w:val="22"/>
    </w:rPr>
  </w:style>
  <w:style w:type="paragraph" w:styleId="972" w:customStyle="1">
    <w:name w:val="标题 21"/>
    <w:basedOn w:val="653"/>
    <w:next w:val="653"/>
    <w:link w:val="971"/>
    <w:uiPriority w:val="0"/>
    <w:unhideWhenUsed/>
    <w:qFormat/>
    <w:pPr>
      <w:keepLines/>
      <w:keepNext/>
      <w:spacing w:before="260" w:after="260" w:line="413" w:lineRule="auto"/>
      <w:outlineLvl w:val="1"/>
    </w:pPr>
    <w:rPr>
      <w:rFonts w:ascii="Arial" w:hAnsi="Arial"/>
      <w:szCs w:val="22"/>
    </w:rPr>
  </w:style>
  <w:style w:type="paragraph" w:styleId="973" w:customStyle="1">
    <w:name w:val="Normal_19_1_0_0"/>
    <w:next w:val="974"/>
    <w:uiPriority w:val="0"/>
    <w:qFormat/>
    <w:pPr>
      <w:jc w:val="both"/>
      <w:widowControl w:val="off"/>
    </w:pPr>
    <w:rPr>
      <w:rFonts w:ascii="Calibri" w:hAnsi="Calibri" w:eastAsia="宋体" w:cs="Times New Roman"/>
      <w:sz w:val="21"/>
      <w:szCs w:val="24"/>
      <w:lang w:val="en-US" w:eastAsia="zh-CN" w:bidi="ar-SA"/>
    </w:rPr>
  </w:style>
  <w:style w:type="paragraph" w:styleId="974"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975" w:customStyle="1">
    <w:name w:val="正文1_0_0"/>
    <w:basedOn w:val="653"/>
    <w:uiPriority w:val="0"/>
    <w:qFormat/>
    <w:pPr>
      <w:ind w:left="357" w:firstLine="420"/>
      <w:spacing w:line="360" w:lineRule="auto"/>
    </w:pPr>
    <w:rPr>
      <w:rFonts w:eastAsia="Times New Roman" w:cs="Arial"/>
    </w:rPr>
  </w:style>
  <w:style w:type="paragraph" w:styleId="976" w:customStyle="1">
    <w:name w:val="普通正文"/>
    <w:basedOn w:val="640"/>
    <w:uiPriority w:val="0"/>
    <w:qFormat/>
    <w:pPr>
      <w:ind w:firstLine="480"/>
      <w:jc w:val="left"/>
      <w:spacing w:before="120" w:after="120" w:line="360" w:lineRule="auto"/>
    </w:pPr>
    <w:rPr>
      <w:rFonts w:ascii="Arial" w:hAnsi="Arial"/>
      <w:sz w:val="24"/>
      <w:szCs w:val="24"/>
    </w:rPr>
  </w:style>
  <w:style w:type="paragraph" w:styleId="977" w:customStyle="1">
    <w:name w:val="正文空2字"/>
    <w:basedOn w:val="978"/>
    <w:uiPriority w:val="99"/>
    <w:qFormat/>
    <w:pPr>
      <w:ind w:firstLine="640"/>
      <w:spacing w:line="560" w:lineRule="exact"/>
      <w:widowControl w:val="off"/>
    </w:pPr>
    <w:rPr>
      <w:rFonts w:ascii="仿宋_GB2312" w:hAnsi="仿宋_GB2312" w:cs="仿宋_GB2312"/>
      <w:lang w:val="zh-TW"/>
    </w:rPr>
  </w:style>
  <w:style w:type="paragraph" w:styleId="978" w:customStyle="1">
    <w:name w:val="左对齐正文"/>
    <w:uiPriority w:val="99"/>
    <w:qFormat/>
    <w:rPr>
      <w:rFonts w:ascii="Calibri" w:hAnsi="Calibri" w:eastAsia="仿宋_GB2312" w:cs="Calibri"/>
      <w:sz w:val="32"/>
      <w:szCs w:val="32"/>
      <w:lang w:val="en-US" w:eastAsia="zh-CN" w:bidi="ar-SA"/>
    </w:rPr>
  </w:style>
  <w:style w:type="paragraph" w:styleId="979" w:customStyle="1">
    <w:name w:val="普通(网站)1"/>
    <w:basedOn w:val="640"/>
    <w:uiPriority w:val="0"/>
    <w:qFormat/>
    <w:rPr>
      <w:sz w:val="24"/>
    </w:rPr>
  </w:style>
  <w:style w:type="character" w:styleId="980" w:customStyle="1">
    <w:name w:val="16"/>
    <w:uiPriority w:val="0"/>
    <w:qFormat/>
    <w:rPr>
      <w:rFonts w:ascii="Times New Roman" w:hAnsi="Times New Roman"/>
      <w:sz w:val="21"/>
      <w:szCs w:val="21"/>
      <w:lang w:val="en-US" w:eastAsia="zh-CN" w:bidi="ar-SA"/>
    </w:rPr>
  </w:style>
  <w:style w:type="paragraph" w:styleId="981" w:customStyle="1">
    <w:name w:val="正文文本_0"/>
    <w:basedOn w:val="876"/>
    <w:next w:val="875"/>
    <w:uiPriority w:val="0"/>
    <w:qFormat/>
    <w:pPr>
      <w:spacing w:line="60" w:lineRule="auto"/>
    </w:pPr>
    <w:rPr>
      <w:rFonts w:ascii="仿宋_GB2312" w:eastAsia="仿宋_GB2312"/>
      <w:sz w:val="32"/>
    </w:rPr>
  </w:style>
  <w:style w:type="paragraph" w:styleId="982" w:customStyle="1">
    <w:name w:val="Table Paragraph"/>
    <w:basedOn w:val="932"/>
    <w:uiPriority w:val="1"/>
    <w:qFormat/>
    <w:rPr>
      <w:rFonts w:ascii="宋体" w:hAnsi="宋体" w:cs="宋体"/>
      <w:sz w:val="22"/>
      <w:lang w:val="zh-CN" w:bidi="zh-CN"/>
    </w:rPr>
  </w:style>
  <w:style w:type="paragraph" w:styleId="983" w:customStyle="1">
    <w:name w:val="Normal_19_2"/>
    <w:basedOn w:val="984"/>
    <w:uiPriority w:val="0"/>
    <w:qFormat/>
    <w:rPr>
      <w:rFonts w:ascii="Times New Roman" w:hAnsi="Times New Roman"/>
      <w:szCs w:val="21"/>
    </w:rPr>
  </w:style>
  <w:style w:type="paragraph" w:styleId="984"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正文文本2"/>
    <w:basedOn w:val="709"/>
    <w:uiPriority w:val="0"/>
    <w:qFormat/>
    <w:pPr>
      <w:spacing w:line="60" w:lineRule="auto"/>
    </w:pPr>
    <w:rPr>
      <w:rFonts w:ascii="仿宋_GB2312" w:eastAsia="仿宋_GB2312"/>
      <w:sz w:val="32"/>
      <w:szCs w:val="22"/>
    </w:rPr>
  </w:style>
  <w:style w:type="paragraph" w:styleId="986" w:customStyle="1">
    <w:name w:val="Normal_19_2_0"/>
    <w:basedOn w:val="987"/>
    <w:uiPriority w:val="0"/>
    <w:qFormat/>
    <w:rPr>
      <w:rFonts w:ascii="Times New Roman" w:hAnsi="Times New Roman"/>
      <w:szCs w:val="21"/>
    </w:rPr>
  </w:style>
  <w:style w:type="paragraph" w:styleId="987" w:customStyle="1">
    <w:name w:val="正文_3_1"/>
    <w:uiPriority w:val="0"/>
    <w:qFormat/>
    <w:pPr>
      <w:jc w:val="both"/>
      <w:widowControl w:val="off"/>
    </w:pPr>
    <w:rPr>
      <w:rFonts w:ascii="Calibri" w:hAnsi="Calibri" w:eastAsia="宋体" w:cs="Times New Roman"/>
      <w:sz w:val="21"/>
      <w:szCs w:val="22"/>
      <w:lang w:val="en-US" w:eastAsia="zh-CN" w:bidi="ar-SA"/>
    </w:rPr>
  </w:style>
  <w:style w:type="character" w:styleId="988" w:customStyle="1">
    <w:name w:val="fontstyle01"/>
    <w:uiPriority w:val="0"/>
    <w:qFormat/>
    <w:rPr>
      <w:rFonts w:hint="eastAsia" w:ascii="宋体" w:hAnsi="宋体" w:eastAsia="宋体"/>
      <w:color w:val="000000"/>
      <w:sz w:val="22"/>
      <w:szCs w:val="22"/>
    </w:rPr>
  </w:style>
  <w:style w:type="character" w:styleId="989" w:customStyle="1">
    <w:name w:val="fontstyle21"/>
    <w:uiPriority w:val="0"/>
    <w:qFormat/>
    <w:rPr>
      <w:rFonts w:hint="default" w:ascii="Calibri" w:hAnsi="Calibri" w:cs="Calibri"/>
      <w:color w:val="000000"/>
      <w:sz w:val="22"/>
      <w:szCs w:val="22"/>
    </w:rPr>
  </w:style>
  <w:style w:type="character" w:styleId="990" w:customStyle="1">
    <w:name w:val="font21"/>
    <w:basedOn w:val="650"/>
    <w:uiPriority w:val="0"/>
    <w:qFormat/>
    <w:rPr>
      <w:rFonts w:hint="eastAsia" w:ascii="宋体" w:hAnsi="宋体" w:eastAsia="宋体" w:cs="宋体"/>
      <w:color w:val="000000"/>
      <w:sz w:val="24"/>
      <w:szCs w:val="24"/>
      <w:u w:val="none"/>
    </w:rPr>
  </w:style>
  <w:style w:type="paragraph" w:styleId="991" w:customStyle="1">
    <w:name w:val="Normal Indent_0"/>
    <w:basedOn w:val="932"/>
    <w:uiPriority w:val="0"/>
    <w:qFormat/>
    <w:pPr>
      <w:ind w:firstLine="420"/>
    </w:pPr>
    <w:rPr>
      <w:rFonts w:ascii="宋体" w:eastAsia="Times New Roman"/>
      <w:color w:val="000000"/>
      <w:sz w:val="24"/>
      <w:szCs w:val="20"/>
    </w:rPr>
  </w:style>
  <w:style w:type="paragraph" w:styleId="992"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993" w:customStyle="1">
    <w:name w:val="Char"/>
    <w:basedOn w:val="640"/>
    <w:uiPriority w:val="0"/>
    <w:qFormat/>
    <w:pPr>
      <w:ind w:firstLine="200"/>
      <w:tabs>
        <w:tab w:val="left" w:pos="360" w:leader="none"/>
      </w:tabs>
    </w:pPr>
    <w:rPr>
      <w:sz w:val="28"/>
      <w:szCs w:val="30"/>
    </w:rPr>
  </w:style>
  <w:style w:type="paragraph" w:styleId="994" w:customStyle="1">
    <w:name w:val="正文_16_1"/>
    <w:uiPriority w:val="0"/>
    <w:qFormat/>
    <w:pPr>
      <w:jc w:val="both"/>
      <w:widowControl w:val="off"/>
    </w:pPr>
    <w:rPr>
      <w:rFonts w:ascii="Times New Roman" w:hAnsi="Times New Roman" w:eastAsia="宋体" w:cs="Times New Roman"/>
      <w:sz w:val="21"/>
      <w:szCs w:val="24"/>
      <w:lang w:val="en-US" w:eastAsia="zh-CN" w:bidi="ar-SA"/>
    </w:rPr>
  </w:style>
  <w:style w:type="paragraph" w:styleId="995" w:customStyle="1">
    <w:name w:val="列出段落3_0"/>
    <w:basedOn w:val="876"/>
    <w:uiPriority w:val="34"/>
    <w:qFormat/>
    <w:pPr>
      <w:ind w:firstLine="420"/>
      <w:widowControl/>
    </w:pPr>
    <w:rPr>
      <w:rFonts w:ascii="Times New Roman" w:hAnsi="Times New Roman"/>
      <w:szCs w:val="24"/>
    </w:rPr>
  </w:style>
  <w:style w:type="paragraph" w:styleId="996" w:customStyle="1">
    <w:name w:val="列出段落5_0"/>
    <w:basedOn w:val="876"/>
    <w:uiPriority w:val="34"/>
    <w:qFormat/>
    <w:pPr>
      <w:ind w:firstLine="420"/>
      <w:widowControl/>
    </w:pPr>
    <w:rPr>
      <w:rFonts w:ascii="Times New Roman" w:hAnsi="Times New Roman"/>
      <w:szCs w:val="24"/>
    </w:rPr>
  </w:style>
  <w:style w:type="character" w:styleId="997" w:customStyle="1">
    <w:name w:val="批注框文本 Char"/>
    <w:basedOn w:val="650"/>
    <w:link w:val="664"/>
    <w:uiPriority w:val="99"/>
    <w:semiHidden/>
    <w:qFormat/>
    <w:rPr>
      <w:rFonts w:ascii="Calibri" w:hAnsi="Calibri"/>
      <w:sz w:val="18"/>
      <w:szCs w:val="18"/>
    </w:rPr>
  </w:style>
  <w:style w:type="numbering" w:styleId="97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Organization</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宿迁政府采购.晗然</dc:creator>
  <cp:lastModifiedBy>张领</cp:lastModifiedBy>
  <cp:revision>4</cp:revision>
  <dcterms:created xsi:type="dcterms:W3CDTF">2024-08-21T02:39:00Z</dcterms:created>
  <dcterms:modified xsi:type="dcterms:W3CDTF">2024-09-02T10:21:00Z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E6F09E06531643A39395CCFC3C3A1482_13</vt:lpwstr>
  </property>
</Properties>
</file>