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60"/>
        <w:ind w:firstLine="0"/>
        <w:jc w:val="center"/>
        <w:rPr>
          <w:rFonts w:hint="eastAsia" w:ascii="宋体" w:hAnsi="宋体"/>
          <w:b/>
          <w:bCs/>
          <w:sz w:val="84"/>
        </w:rPr>
      </w:pPr>
      <w:r>
        <w:rPr>
          <w:rFonts w:hint="eastAsia" w:ascii="宋体" w:hAnsi="宋体"/>
          <w:b/>
          <w:bCs/>
          <w:sz w:val="84"/>
        </w:rPr>
      </w:r>
      <w:r/>
    </w:p>
    <w:p>
      <w:pPr>
        <w:pStyle w:val="1360"/>
        <w:ind w:firstLine="0"/>
        <w:jc w:val="center"/>
        <w:rPr>
          <w:rFonts w:ascii="宋体" w:hAnsi="宋体"/>
          <w:b/>
          <w:bCs/>
          <w:sz w:val="84"/>
        </w:rPr>
      </w:pPr>
      <w:r>
        <w:rPr>
          <w:rFonts w:ascii="宋体" w:hAnsi="宋体"/>
          <w:b/>
          <w:bCs/>
          <w:sz w:val="84"/>
        </w:rPr>
      </w:r>
      <w:r/>
    </w:p>
    <w:p>
      <w:pPr>
        <w:pStyle w:val="1360"/>
        <w:ind w:firstLine="0"/>
        <w:jc w:val="center"/>
        <w:rPr>
          <w:rFonts w:ascii="宋体" w:hAnsi="宋体"/>
          <w:b/>
          <w:bCs/>
          <w:sz w:val="84"/>
        </w:rPr>
      </w:pPr>
      <w:r>
        <w:rPr>
          <w:rFonts w:hint="eastAsia" w:ascii="宋体" w:hAnsi="宋体"/>
          <w:b/>
          <w:bCs/>
          <w:sz w:val="84"/>
        </w:rPr>
        <w:t xml:space="preserve">招　标　文　件</w:t>
      </w:r>
      <w:r>
        <w:rPr>
          <w:rFonts w:ascii="宋体" w:hAnsi="宋体"/>
          <w:b/>
          <w:bCs/>
          <w:sz w:val="84"/>
        </w:rPr>
      </w:r>
      <w:r/>
    </w:p>
    <w:p>
      <w:pPr>
        <w:pStyle w:val="1360"/>
        <w:ind w:firstLine="2249"/>
        <w:rPr>
          <w:rFonts w:ascii="宋体" w:hAnsi="宋体"/>
          <w:b/>
          <w:bCs/>
          <w:sz w:val="32"/>
        </w:rPr>
      </w:pPr>
      <w:r>
        <w:rPr>
          <w:rFonts w:ascii="宋体" w:hAnsi="宋体"/>
          <w:b/>
          <w:bCs/>
          <w:sz w:val="32"/>
        </w:rPr>
      </w:r>
      <w:r/>
    </w:p>
    <w:p>
      <w:pPr>
        <w:pStyle w:val="1360"/>
        <w:ind w:firstLine="0"/>
        <w:jc w:val="center"/>
        <w:rPr>
          <w:rFonts w:ascii="宋体" w:hAnsi="宋体"/>
          <w:b/>
          <w:bCs/>
          <w:sz w:val="32"/>
          <w:szCs w:val="21"/>
        </w:rPr>
      </w:pPr>
      <w:r>
        <w:rPr>
          <w:rFonts w:hint="eastAsia" w:ascii="宋体" w:hAnsi="宋体"/>
          <w:b/>
          <w:bCs/>
          <w:sz w:val="32"/>
          <w:szCs w:val="21"/>
        </w:rPr>
        <w:t xml:space="preserve">项目名称：</w:t>
      </w:r>
      <w:r>
        <w:rPr>
          <w:rFonts w:ascii="宋体" w:hAnsi="宋体"/>
          <w:b/>
          <w:bCs/>
          <w:sz w:val="32"/>
          <w:szCs w:val="21"/>
        </w:rPr>
        <w:t xml:space="preserve">江苏省人民医院</w:t>
      </w:r>
      <w:r>
        <w:rPr>
          <w:rFonts w:hint="eastAsia" w:ascii="宋体" w:hAnsi="宋体"/>
          <w:b/>
          <w:bCs/>
          <w:sz w:val="32"/>
          <w:szCs w:val="21"/>
        </w:rPr>
        <w:t xml:space="preserve">妇幼保健质控平台构建</w:t>
      </w:r>
      <w:r>
        <w:rPr>
          <w:rFonts w:ascii="宋体" w:hAnsi="宋体"/>
          <w:b/>
          <w:bCs/>
          <w:sz w:val="32"/>
          <w:szCs w:val="21"/>
        </w:rPr>
      </w:r>
      <w:r/>
    </w:p>
    <w:p>
      <w:pPr>
        <w:pStyle w:val="1038"/>
        <w:ind w:firstLine="800"/>
        <w:rPr>
          <w:rFonts w:ascii="宋体" w:hAnsi="宋体"/>
          <w:b/>
          <w:bCs/>
          <w:sz w:val="32"/>
        </w:rPr>
      </w:pPr>
      <w:r>
        <w:rPr>
          <w:rFonts w:hint="eastAsia" w:ascii="宋体" w:hAnsi="宋体"/>
          <w:b/>
          <w:bCs/>
          <w:sz w:val="32"/>
        </w:rPr>
        <w:t xml:space="preserve">项目编号：</w:t>
      </w:r>
      <w:r>
        <w:rPr>
          <w:rFonts w:ascii="宋体" w:hAnsi="宋体"/>
          <w:b/>
          <w:bCs/>
          <w:sz w:val="32"/>
        </w:rPr>
        <w:t xml:space="preserve">JSZC-320000-SCZX-G2025-0425</w:t>
      </w:r>
      <w:r>
        <w:rPr>
          <w:rFonts w:ascii="宋体" w:hAnsi="宋体"/>
          <w:b/>
          <w:bCs/>
          <w:sz w:val="32"/>
        </w:rPr>
      </w:r>
      <w:r/>
    </w:p>
    <w:p>
      <w:pPr>
        <w:pStyle w:val="1360"/>
        <w:ind w:firstLine="0"/>
        <w:spacing w:before="0" w:after="0"/>
        <w:rPr>
          <w:rFonts w:ascii="宋体" w:hAnsi="宋体"/>
        </w:rPr>
      </w:pPr>
      <w:r>
        <w:rPr>
          <w:rFonts w:ascii="宋体" w:hAnsi="宋体"/>
        </w:rPr>
      </w:r>
      <w:r/>
    </w:p>
    <w:p>
      <w:pPr>
        <w:pStyle w:val="1360"/>
        <w:ind w:firstLine="0"/>
        <w:spacing w:before="0" w:after="0"/>
        <w:rPr>
          <w:rFonts w:ascii="宋体" w:hAnsi="宋体"/>
        </w:rPr>
      </w:pPr>
      <w:r>
        <w:rPr>
          <w:rFonts w:ascii="宋体" w:hAnsi="宋体"/>
        </w:rPr>
      </w:r>
      <w:r/>
    </w:p>
    <w:p>
      <w:pPr>
        <w:pStyle w:val="1360"/>
        <w:ind w:firstLine="0"/>
        <w:spacing w:before="0" w:after="0"/>
        <w:rPr>
          <w:rFonts w:ascii="宋体" w:hAnsi="宋体"/>
        </w:rPr>
      </w:pPr>
      <w:r>
        <w:rPr>
          <w:rFonts w:ascii="宋体" w:hAnsi="宋体"/>
        </w:rPr>
      </w:r>
      <w:r/>
    </w:p>
    <w:p>
      <w:pPr>
        <w:pStyle w:val="1360"/>
        <w:ind w:firstLine="0"/>
        <w:spacing w:before="0" w:after="0"/>
        <w:rPr>
          <w:rFonts w:ascii="宋体" w:hAnsi="宋体"/>
        </w:rPr>
      </w:pPr>
      <w:r>
        <w:rPr>
          <w:rFonts w:ascii="宋体" w:hAnsi="宋体"/>
        </w:rPr>
      </w:r>
      <w:r/>
    </w:p>
    <w:p>
      <w:pPr>
        <w:pStyle w:val="1360"/>
        <w:ind w:firstLine="0"/>
        <w:spacing w:before="0" w:after="0"/>
        <w:rPr>
          <w:rFonts w:ascii="宋体" w:hAnsi="宋体"/>
        </w:rPr>
      </w:pPr>
      <w:r>
        <w:rPr>
          <w:rFonts w:ascii="宋体" w:hAnsi="宋体"/>
        </w:rPr>
      </w:r>
      <w:r/>
    </w:p>
    <w:p>
      <w:pPr>
        <w:pStyle w:val="1360"/>
        <w:ind w:firstLine="0"/>
        <w:spacing w:before="0" w:after="0"/>
        <w:rPr>
          <w:rFonts w:ascii="宋体" w:hAnsi="宋体"/>
        </w:rPr>
      </w:pPr>
      <w:r>
        <w:rPr>
          <w:rFonts w:ascii="宋体" w:hAnsi="宋体"/>
        </w:rPr>
      </w:r>
      <w:r/>
    </w:p>
    <w:p>
      <w:pPr>
        <w:pStyle w:val="1360"/>
        <w:ind w:firstLine="0"/>
        <w:spacing w:before="0" w:after="0"/>
        <w:rPr>
          <w:rFonts w:ascii="宋体" w:hAnsi="宋体"/>
        </w:rPr>
      </w:pPr>
      <w:r>
        <w:rPr>
          <w:rFonts w:ascii="宋体" w:hAnsi="宋体"/>
        </w:rPr>
      </w:r>
      <w:r/>
    </w:p>
    <w:p>
      <w:pPr>
        <w:pStyle w:val="1360"/>
        <w:ind w:firstLine="0"/>
        <w:jc w:val="center"/>
        <w:rPr>
          <w:rFonts w:ascii="宋体" w:hAnsi="宋体"/>
          <w:b/>
          <w:bCs/>
          <w:sz w:val="32"/>
        </w:rPr>
      </w:pPr>
      <w:r>
        <w:rPr>
          <w:rFonts w:hint="eastAsia" w:ascii="宋体" w:hAnsi="宋体"/>
          <w:b/>
          <w:bCs/>
          <w:sz w:val="32"/>
        </w:rPr>
        <w:t xml:space="preserve">江苏省政府采购中心</w:t>
      </w:r>
      <w:r>
        <w:rPr>
          <w:rFonts w:ascii="宋体" w:hAnsi="宋体"/>
          <w:b/>
          <w:bCs/>
          <w:sz w:val="32"/>
        </w:rPr>
      </w:r>
      <w:r/>
    </w:p>
    <w:p>
      <w:pPr>
        <w:pStyle w:val="1360"/>
        <w:ind w:firstLine="0"/>
        <w:jc w:val="center"/>
        <w:rPr>
          <w:rFonts w:ascii="宋体" w:hAnsi="宋体"/>
          <w:b/>
          <w:bCs/>
          <w:sz w:val="32"/>
        </w:rPr>
      </w:pPr>
      <w:r>
        <w:rPr>
          <w:rFonts w:hint="eastAsia" w:ascii="宋体" w:hAnsi="宋体"/>
          <w:b/>
          <w:bCs/>
          <w:sz w:val="32"/>
        </w:rPr>
        <w:t xml:space="preserve">2025年9月</w:t>
      </w:r>
      <w:r>
        <w:rPr>
          <w:rFonts w:ascii="宋体" w:hAnsi="宋体"/>
          <w:b/>
          <w:bCs/>
          <w:sz w:val="32"/>
        </w:rPr>
      </w:r>
      <w:r/>
    </w:p>
    <w:p>
      <w:pPr>
        <w:pStyle w:val="1360"/>
        <w:ind w:firstLine="0"/>
        <w:rPr>
          <w:rFonts w:ascii="宋体" w:hAnsi="宋体"/>
          <w:u w:val="single"/>
        </w:rPr>
      </w:pPr>
      <w:r>
        <w:rPr>
          <w:rFonts w:hint="eastAsia" w:ascii="宋体" w:hAnsi="宋体"/>
        </w:rPr>
        <w:t xml:space="preserve">                        </w:t>
      </w:r>
      <w:r>
        <w:rPr>
          <w:rFonts w:ascii="宋体" w:hAnsi="宋体"/>
          <w:u w:val="single"/>
        </w:rPr>
      </w:r>
      <w:r/>
    </w:p>
    <w:p>
      <w:pPr>
        <w:pStyle w:val="1360"/>
        <w:ind w:firstLine="0"/>
        <w:jc w:val="center"/>
        <w:rPr>
          <w:rFonts w:ascii="宋体" w:hAnsi="宋体"/>
        </w:rPr>
      </w:pPr>
      <w:r>
        <w:rPr>
          <w:rFonts w:ascii="宋体" w:hAnsi="宋体"/>
        </w:rPr>
      </w:r>
      <w:r/>
    </w:p>
    <w:p>
      <w:pPr>
        <w:pStyle w:val="1038"/>
        <w:jc w:val="center"/>
        <w:spacing w:line="480" w:lineRule="auto"/>
        <w:rPr>
          <w:rFonts w:ascii="宋体" w:hAnsi="宋体"/>
          <w:b/>
          <w:sz w:val="44"/>
        </w:rPr>
        <w:outlineLvl w:val="0"/>
      </w:pPr>
      <w:r>
        <w:rPr>
          <w:rFonts w:ascii="宋体" w:hAnsi="宋体"/>
        </w:rPr>
        <w:br w:type="page" w:clear="all"/>
      </w:r>
      <w:bookmarkStart w:id="0" w:name="_Toc120614210"/>
      <w:r/>
      <w:bookmarkStart w:id="1" w:name="_Toc513029200"/>
      <w:r/>
      <w:bookmarkStart w:id="2" w:name="_Toc479757206"/>
      <w:r/>
      <w:bookmarkStart w:id="3" w:name="_Toc16938516"/>
      <w:r/>
      <w:bookmarkStart w:id="4" w:name="_Toc20823272"/>
      <w:r/>
      <w:bookmarkStart w:id="5" w:name="_Toc523127445"/>
      <w:r>
        <w:rPr>
          <w:rFonts w:hint="eastAsia" w:ascii="宋体" w:hAnsi="宋体"/>
        </w:rPr>
        <w:t xml:space="preserve"> </w:t>
      </w:r>
      <w:r>
        <w:rPr>
          <w:rFonts w:hint="eastAsia" w:ascii="宋体" w:hAnsi="宋体"/>
          <w:b/>
          <w:sz w:val="44"/>
        </w:rPr>
        <w:t xml:space="preserve">总  目  录</w:t>
      </w:r>
      <w:r>
        <w:rPr>
          <w:rFonts w:ascii="宋体" w:hAnsi="宋体"/>
          <w:b/>
          <w:sz w:val="44"/>
        </w:rPr>
      </w:r>
      <w:r/>
    </w:p>
    <w:p>
      <w:pPr>
        <w:pStyle w:val="1038"/>
        <w:spacing w:line="480" w:lineRule="auto"/>
        <w:rPr>
          <w:rFonts w:ascii="宋体" w:hAnsi="宋体"/>
          <w:b/>
          <w:sz w:val="28"/>
        </w:rPr>
      </w:pPr>
      <w:r>
        <w:rPr>
          <w:rFonts w:ascii="宋体" w:hAnsi="宋体"/>
          <w:b/>
          <w:sz w:val="28"/>
        </w:rPr>
      </w:r>
      <w:r/>
    </w:p>
    <w:p>
      <w:pPr>
        <w:pStyle w:val="1038"/>
        <w:numPr>
          <w:ilvl w:val="0"/>
          <w:numId w:val="4"/>
        </w:numPr>
        <w:spacing w:line="480" w:lineRule="auto"/>
        <w:rPr>
          <w:rFonts w:ascii="宋体" w:hAnsi="宋体"/>
          <w:sz w:val="32"/>
        </w:rPr>
        <w:outlineLvl w:val="0"/>
      </w:pPr>
      <w:r>
        <w:rPr>
          <w:rFonts w:hint="eastAsia" w:ascii="宋体" w:hAnsi="宋体"/>
          <w:sz w:val="36"/>
        </w:rPr>
        <w:t xml:space="preserve">投标邀请……………………………………2 </w:t>
      </w:r>
      <w:r>
        <w:rPr>
          <w:rFonts w:ascii="宋体" w:hAnsi="宋体"/>
          <w:sz w:val="32"/>
        </w:rPr>
      </w:r>
      <w:r/>
    </w:p>
    <w:p>
      <w:pPr>
        <w:pStyle w:val="1038"/>
        <w:numPr>
          <w:ilvl w:val="0"/>
          <w:numId w:val="4"/>
        </w:numPr>
        <w:spacing w:line="480" w:lineRule="auto"/>
        <w:rPr>
          <w:rFonts w:ascii="宋体" w:hAnsi="宋体"/>
          <w:sz w:val="36"/>
        </w:rPr>
        <w:outlineLvl w:val="0"/>
      </w:pPr>
      <w:r>
        <w:rPr>
          <w:rFonts w:hint="eastAsia" w:ascii="宋体" w:hAnsi="宋体"/>
          <w:bCs/>
          <w:sz w:val="36"/>
          <w:szCs w:val="36"/>
        </w:rPr>
        <w:t xml:space="preserve">投标人须知</w:t>
      </w:r>
      <w:r>
        <w:rPr>
          <w:rFonts w:hint="eastAsia" w:ascii="宋体" w:hAnsi="宋体"/>
          <w:sz w:val="36"/>
          <w:szCs w:val="36"/>
        </w:rPr>
        <w:t xml:space="preserve">…</w:t>
      </w:r>
      <w:r>
        <w:rPr>
          <w:rFonts w:hint="eastAsia" w:ascii="宋体" w:hAnsi="宋体"/>
          <w:sz w:val="36"/>
        </w:rPr>
        <w:t xml:space="preserve">………………………………6  </w:t>
      </w:r>
      <w:r>
        <w:rPr>
          <w:rFonts w:ascii="宋体" w:hAnsi="宋体"/>
          <w:sz w:val="36"/>
        </w:rPr>
      </w:r>
      <w:r/>
    </w:p>
    <w:p>
      <w:pPr>
        <w:pStyle w:val="1038"/>
        <w:numPr>
          <w:ilvl w:val="0"/>
          <w:numId w:val="4"/>
        </w:numPr>
        <w:spacing w:line="480" w:lineRule="auto"/>
        <w:rPr>
          <w:rFonts w:ascii="宋体" w:hAnsi="宋体"/>
          <w:sz w:val="36"/>
        </w:rPr>
        <w:outlineLvl w:val="0"/>
      </w:pPr>
      <w:r>
        <w:rPr>
          <w:rFonts w:hint="eastAsia" w:ascii="宋体" w:hAnsi="宋体"/>
          <w:sz w:val="36"/>
        </w:rPr>
        <w:t xml:space="preserve">合同文本……………………………………17</w:t>
      </w:r>
      <w:r>
        <w:rPr>
          <w:rFonts w:ascii="宋体" w:hAnsi="宋体"/>
          <w:sz w:val="36"/>
        </w:rPr>
      </w:r>
      <w:r/>
    </w:p>
    <w:p>
      <w:pPr>
        <w:pStyle w:val="1038"/>
        <w:numPr>
          <w:ilvl w:val="0"/>
          <w:numId w:val="4"/>
        </w:numPr>
        <w:spacing w:line="480" w:lineRule="auto"/>
        <w:rPr>
          <w:rFonts w:ascii="宋体" w:hAnsi="宋体"/>
          <w:sz w:val="36"/>
        </w:rPr>
        <w:outlineLvl w:val="0"/>
      </w:pPr>
      <w:r>
        <w:rPr>
          <w:rFonts w:hint="eastAsia" w:ascii="宋体" w:hAnsi="宋体"/>
          <w:sz w:val="36"/>
        </w:rPr>
        <w:t xml:space="preserve">采购需求……………………………………22</w:t>
      </w:r>
      <w:r>
        <w:rPr>
          <w:rFonts w:ascii="宋体" w:hAnsi="宋体"/>
          <w:sz w:val="36"/>
        </w:rPr>
      </w:r>
      <w:r/>
    </w:p>
    <w:p>
      <w:pPr>
        <w:pStyle w:val="1038"/>
        <w:numPr>
          <w:ilvl w:val="0"/>
          <w:numId w:val="4"/>
        </w:numPr>
        <w:spacing w:line="480" w:lineRule="auto"/>
        <w:rPr>
          <w:rFonts w:ascii="宋体" w:hAnsi="宋体"/>
          <w:sz w:val="36"/>
        </w:rPr>
        <w:outlineLvl w:val="0"/>
      </w:pPr>
      <w:r>
        <w:rPr>
          <w:rFonts w:hint="eastAsia" w:ascii="宋体" w:hAnsi="宋体"/>
          <w:bCs/>
          <w:sz w:val="36"/>
          <w:szCs w:val="36"/>
        </w:rPr>
        <w:t xml:space="preserve">评标方法与评标标准</w:t>
      </w:r>
      <w:r>
        <w:rPr>
          <w:rFonts w:hint="eastAsia" w:ascii="宋体" w:hAnsi="宋体"/>
          <w:sz w:val="36"/>
        </w:rPr>
        <w:t xml:space="preserve">………………………58</w:t>
      </w:r>
      <w:r>
        <w:rPr>
          <w:rFonts w:ascii="宋体" w:hAnsi="宋体"/>
          <w:sz w:val="36"/>
        </w:rPr>
      </w:r>
      <w:r/>
    </w:p>
    <w:p>
      <w:pPr>
        <w:pStyle w:val="1038"/>
        <w:numPr>
          <w:ilvl w:val="0"/>
          <w:numId w:val="4"/>
        </w:numPr>
        <w:spacing w:line="480" w:lineRule="auto"/>
        <w:rPr>
          <w:rFonts w:ascii="宋体" w:hAnsi="宋体"/>
          <w:sz w:val="36"/>
        </w:rPr>
        <w:outlineLvl w:val="0"/>
      </w:pPr>
      <w:r>
        <w:rPr>
          <w:rFonts w:hint="eastAsia" w:ascii="宋体" w:hAnsi="宋体"/>
          <w:sz w:val="36"/>
        </w:rPr>
        <w:t xml:space="preserve">投标文件格式………………………………63</w:t>
      </w:r>
      <w:r>
        <w:rPr>
          <w:rFonts w:ascii="宋体" w:hAnsi="宋体"/>
          <w:sz w:val="36"/>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283"/>
        <w:rPr>
          <w:rFonts w:ascii="宋体" w:hAnsi="宋体" w:eastAsia="宋体"/>
          <w:bCs/>
          <w:sz w:val="44"/>
          <w:szCs w:val="44"/>
        </w:rPr>
      </w:pPr>
      <w:r>
        <w:rPr>
          <w:rFonts w:hint="eastAsia" w:ascii="宋体" w:hAnsi="宋体" w:eastAsia="宋体"/>
          <w:sz w:val="44"/>
          <w:szCs w:val="44"/>
        </w:rPr>
        <w:t xml:space="preserve">第一章  </w:t>
      </w:r>
      <w:bookmarkEnd w:id="0"/>
      <w:r>
        <w:rPr>
          <w:rFonts w:hint="eastAsia" w:ascii="宋体" w:hAnsi="宋体" w:eastAsia="宋体"/>
          <w:sz w:val="44"/>
          <w:szCs w:val="44"/>
        </w:rPr>
        <w:t xml:space="preserve">投标邀请</w:t>
      </w:r>
      <w:r>
        <w:rPr>
          <w:rFonts w:ascii="宋体" w:hAnsi="宋体" w:eastAsia="宋体"/>
          <w:bCs/>
          <w:sz w:val="44"/>
          <w:szCs w:val="44"/>
        </w:rPr>
      </w:r>
      <w:r/>
    </w:p>
    <w:p>
      <w:pPr>
        <w:pStyle w:val="1038"/>
        <w:ind w:firstLine="480"/>
        <w:rPr>
          <w:rFonts w:ascii="宋体" w:hAnsi="宋体"/>
          <w:sz w:val="24"/>
          <w:szCs w:val="24"/>
        </w:rPr>
      </w:pPr>
      <w:r>
        <w:rPr>
          <w:rFonts w:hint="eastAsia" w:ascii="宋体" w:hAnsi="宋体"/>
          <w:sz w:val="24"/>
          <w:szCs w:val="24"/>
        </w:rPr>
        <w:t xml:space="preserve">受江苏省人民医院的委托，江苏省政府采购中心就江苏省人民医院</w:t>
      </w:r>
      <w:r>
        <w:rPr>
          <w:rFonts w:ascii="宋体" w:hAnsi="宋体"/>
          <w:sz w:val="24"/>
          <w:szCs w:val="24"/>
        </w:rPr>
        <w:t xml:space="preserve">妇幼保健质控平台构建项目</w:t>
      </w:r>
      <w:r>
        <w:rPr>
          <w:rFonts w:hint="eastAsia" w:ascii="宋体" w:hAnsi="宋体"/>
          <w:sz w:val="24"/>
          <w:szCs w:val="24"/>
        </w:rPr>
        <w:t xml:space="preserve">(JSZC-320000-SCZX-G2025-0425)项目进行公开招标采购，欢迎符合条件的供应商投标。</w:t>
      </w:r>
      <w:r>
        <w:rPr>
          <w:rFonts w:ascii="宋体" w:hAnsi="宋体"/>
          <w:sz w:val="24"/>
          <w:szCs w:val="24"/>
        </w:rPr>
      </w:r>
      <w:r/>
    </w:p>
    <w:p>
      <w:pPr>
        <w:pStyle w:val="1038"/>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1038"/>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江苏省人民医院</w:t>
      </w:r>
      <w:r>
        <w:rPr>
          <w:rFonts w:ascii="宋体" w:hAnsi="宋体"/>
          <w:sz w:val="24"/>
          <w:szCs w:val="24"/>
          <w:u w:val="single"/>
        </w:rPr>
        <w:t xml:space="preserve">妇幼保健质控平台构建</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2025</w:t>
      </w:r>
      <w:r>
        <w:rPr>
          <w:rFonts w:hint="eastAsia" w:ascii="宋体" w:hAnsi="宋体"/>
          <w:bCs/>
          <w:sz w:val="24"/>
          <w:szCs w:val="24"/>
          <w:u w:val="single"/>
        </w:rPr>
        <w:t xml:space="preserve">年10月24日9点30分（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1285"/>
        <w:ind w:firstLine="498"/>
        <w:spacing w:before="145" w:after="145" w:line="360" w:lineRule="auto"/>
        <w:rPr>
          <w:rFonts w:ascii="宋体" w:hAnsi="宋体"/>
        </w:rPr>
      </w:pPr>
      <w:r/>
      <w:bookmarkStart w:id="6" w:name="_Hlk24379207"/>
      <w:r/>
      <w:bookmarkStart w:id="7" w:name="_Toc28359002"/>
      <w:r/>
      <w:bookmarkStart w:id="8" w:name="_Toc35393790"/>
      <w:r/>
      <w:bookmarkStart w:id="9" w:name="_Toc35393621"/>
      <w:r/>
      <w:bookmarkStart w:id="10" w:name="_Toc38985263"/>
      <w:r/>
      <w:bookmarkStart w:id="11" w:name="_Toc28359079"/>
      <w:r>
        <w:rPr>
          <w:rFonts w:hint="eastAsia" w:ascii="宋体" w:hAnsi="宋体"/>
        </w:rPr>
        <w:t xml:space="preserve">一、项目基本情况</w:t>
      </w:r>
      <w:bookmarkEnd w:id="6"/>
      <w:r/>
      <w:bookmarkEnd w:id="7"/>
      <w:r/>
      <w:bookmarkEnd w:id="8"/>
      <w:r/>
      <w:bookmarkEnd w:id="9"/>
      <w:r/>
      <w:bookmarkEnd w:id="10"/>
      <w:r/>
      <w:bookmarkEnd w:id="11"/>
      <w:r>
        <w:rPr>
          <w:rFonts w:ascii="宋体" w:hAnsi="宋体"/>
        </w:rPr>
      </w:r>
      <w:r/>
    </w:p>
    <w:p>
      <w:pPr>
        <w:pStyle w:val="1038"/>
        <w:ind w:firstLine="480"/>
        <w:rPr>
          <w:rFonts w:ascii="宋体" w:hAnsi="宋体"/>
          <w:sz w:val="24"/>
          <w:szCs w:val="24"/>
        </w:rPr>
      </w:pPr>
      <w:r>
        <w:rPr>
          <w:rFonts w:hint="eastAsia" w:ascii="宋体" w:hAnsi="宋体"/>
          <w:sz w:val="24"/>
          <w:szCs w:val="24"/>
        </w:rPr>
        <w:t xml:space="preserve">1.项目编号：JSZC-320000-SCZX-G2025-0425</w:t>
      </w:r>
      <w:r>
        <w:rPr>
          <w:rFonts w:ascii="宋体" w:hAnsi="宋体"/>
          <w:sz w:val="24"/>
          <w:szCs w:val="24"/>
        </w:rPr>
      </w:r>
      <w:r/>
    </w:p>
    <w:p>
      <w:pPr>
        <w:pStyle w:val="1038"/>
        <w:ind w:firstLine="480"/>
        <w:rPr>
          <w:rFonts w:ascii="宋体" w:hAnsi="宋体" w:cs="Segoe UI"/>
          <w:shd w:val="clear" w:color="auto" w:fill="fafafa"/>
        </w:rPr>
      </w:pPr>
      <w:r>
        <w:rPr>
          <w:rFonts w:hint="eastAsia" w:ascii="宋体" w:hAnsi="宋体"/>
          <w:sz w:val="24"/>
          <w:szCs w:val="24"/>
        </w:rPr>
        <w:t xml:space="preserve">2.项目名称：江苏省人民医院</w:t>
      </w:r>
      <w:r>
        <w:rPr>
          <w:rFonts w:ascii="宋体" w:hAnsi="宋体"/>
          <w:sz w:val="24"/>
          <w:szCs w:val="24"/>
        </w:rPr>
        <w:t xml:space="preserve">妇幼保健质控平台构建</w:t>
      </w:r>
      <w:r>
        <w:rPr>
          <w:rFonts w:ascii="宋体" w:hAnsi="宋体" w:cs="Segoe UI"/>
          <w:shd w:val="clear" w:color="auto" w:fill="fafafa"/>
        </w:rPr>
      </w:r>
      <w:r/>
    </w:p>
    <w:p>
      <w:pPr>
        <w:pStyle w:val="1038"/>
        <w:ind w:firstLine="480"/>
        <w:rPr>
          <w:rFonts w:ascii="宋体" w:hAnsi="宋体"/>
          <w:sz w:val="24"/>
          <w:szCs w:val="24"/>
        </w:rPr>
      </w:pPr>
      <w:r>
        <w:rPr>
          <w:rFonts w:hint="eastAsia" w:ascii="宋体" w:hAnsi="宋体"/>
          <w:sz w:val="24"/>
          <w:szCs w:val="24"/>
        </w:rPr>
        <w:t xml:space="preserve">3.预算金额</w:t>
      </w:r>
      <w:r>
        <w:rPr>
          <w:rFonts w:ascii="宋体" w:hAnsi="宋体"/>
          <w:sz w:val="24"/>
          <w:szCs w:val="24"/>
        </w:rPr>
      </w:r>
      <w:r/>
    </w:p>
    <w:tbl>
      <w:tblPr>
        <w:tblW w:w="3948"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1038"/>
              <w:jc w:val="center"/>
              <w:rPr>
                <w:rFonts w:ascii="宋体" w:hAnsi="宋体"/>
              </w:rPr>
            </w:pPr>
            <w:r>
              <w:rPr>
                <w:rFonts w:hint="eastAsia" w:ascii="宋体" w:hAnsi="宋体"/>
              </w:rPr>
              <w:t xml:space="preserve">分包</w:t>
            </w:r>
            <w:r>
              <w:rPr>
                <w:rFonts w:ascii="宋体" w:hAnsi="宋体"/>
              </w:rPr>
              <w:t xml:space="preserve">号</w:t>
            </w:r>
            <w:r>
              <w:rPr>
                <w:rFonts w:ascii="宋体" w:hAnsi="宋体"/>
              </w:rPr>
            </w:r>
            <w:r/>
          </w:p>
        </w:tc>
        <w:tc>
          <w:tcPr>
            <w:tcW w:w="2800" w:type="dxa"/>
            <w:vAlign w:val="top"/>
            <w:textDirection w:val="lrTb"/>
            <w:noWrap w:val="false"/>
          </w:tcPr>
          <w:p>
            <w:pPr>
              <w:pStyle w:val="1038"/>
              <w:jc w:val="center"/>
              <w:rPr>
                <w:rFonts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ascii="宋体" w:hAnsi="宋体"/>
              </w:rPr>
            </w:r>
            <w:r/>
          </w:p>
        </w:tc>
      </w:tr>
      <w:tr>
        <w:trPr/>
        <w:tc>
          <w:tcPr>
            <w:tcW w:w="1148" w:type="dxa"/>
            <w:vAlign w:val="top"/>
            <w:textDirection w:val="lrTb"/>
            <w:noWrap w:val="false"/>
          </w:tcPr>
          <w:p>
            <w:pPr>
              <w:pStyle w:val="1038"/>
              <w:jc w:val="center"/>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1038"/>
              <w:jc w:val="center"/>
              <w:rPr>
                <w:rFonts w:ascii="宋体" w:hAnsi="宋体"/>
              </w:rPr>
            </w:pPr>
            <w:r>
              <w:rPr>
                <w:rFonts w:hint="eastAsia" w:ascii="宋体" w:hAnsi="宋体"/>
              </w:rPr>
              <w:t xml:space="preserve">300</w:t>
            </w:r>
            <w:r>
              <w:rPr>
                <w:rFonts w:ascii="宋体" w:hAnsi="宋体"/>
              </w:rPr>
            </w:r>
            <w:r/>
          </w:p>
        </w:tc>
      </w:tr>
    </w:tbl>
    <w:p>
      <w:pPr>
        <w:pStyle w:val="1038"/>
        <w:ind w:firstLine="480"/>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7083"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1038"/>
              <w:jc w:val="center"/>
              <w:rPr>
                <w:rFonts w:ascii="宋体" w:hAnsi="宋体"/>
              </w:rPr>
            </w:pPr>
            <w:r>
              <w:rPr>
                <w:rFonts w:hint="eastAsia" w:ascii="宋体" w:hAnsi="宋体"/>
              </w:rPr>
              <w:t xml:space="preserve">分包</w:t>
            </w:r>
            <w:r>
              <w:rPr>
                <w:rFonts w:ascii="宋体" w:hAnsi="宋体"/>
              </w:rPr>
              <w:t xml:space="preserve">号</w:t>
            </w:r>
            <w:r>
              <w:rPr>
                <w:rFonts w:ascii="宋体" w:hAnsi="宋体"/>
              </w:rPr>
            </w:r>
            <w:r/>
          </w:p>
        </w:tc>
        <w:tc>
          <w:tcPr>
            <w:tcW w:w="2800" w:type="dxa"/>
            <w:vAlign w:val="top"/>
            <w:textDirection w:val="lrTb"/>
            <w:noWrap w:val="false"/>
          </w:tcPr>
          <w:p>
            <w:pPr>
              <w:pStyle w:val="1038"/>
              <w:jc w:val="center"/>
              <w:rPr>
                <w:rFonts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ascii="宋体" w:hAnsi="宋体"/>
              </w:rPr>
            </w:r>
            <w:r/>
          </w:p>
        </w:tc>
        <w:tc>
          <w:tcPr>
            <w:tcW w:w="3135" w:type="dxa"/>
            <w:vAlign w:val="top"/>
            <w:textDirection w:val="lrTb"/>
            <w:noWrap w:val="false"/>
          </w:tcPr>
          <w:p>
            <w:pPr>
              <w:pStyle w:val="1038"/>
              <w:jc w:val="center"/>
              <w:rPr>
                <w:rFonts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ascii="宋体" w:hAnsi="宋体"/>
              </w:rPr>
            </w:r>
            <w:r/>
          </w:p>
        </w:tc>
      </w:tr>
      <w:tr>
        <w:trPr/>
        <w:tc>
          <w:tcPr>
            <w:tcW w:w="1148" w:type="dxa"/>
            <w:vAlign w:val="top"/>
            <w:textDirection w:val="lrTb"/>
            <w:noWrap w:val="false"/>
          </w:tcPr>
          <w:p>
            <w:pPr>
              <w:pStyle w:val="1038"/>
              <w:jc w:val="center"/>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1038"/>
              <w:jc w:val="center"/>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1038"/>
              <w:jc w:val="center"/>
              <w:rPr>
                <w:rFonts w:ascii="宋体" w:hAnsi="宋体"/>
              </w:rPr>
            </w:pPr>
            <w:r>
              <w:rPr>
                <w:rFonts w:hint="eastAsia" w:ascii="宋体" w:hAnsi="宋体"/>
              </w:rPr>
              <w:t xml:space="preserve">300</w:t>
            </w:r>
            <w:r>
              <w:rPr>
                <w:rFonts w:ascii="宋体" w:hAnsi="宋体"/>
              </w:rPr>
            </w:r>
            <w:r/>
          </w:p>
        </w:tc>
      </w:tr>
    </w:tbl>
    <w:p>
      <w:pPr>
        <w:pStyle w:val="1038"/>
        <w:ind w:firstLine="480"/>
        <w:rPr>
          <w:rFonts w:ascii="宋体" w:hAnsi="宋体"/>
          <w:sz w:val="24"/>
          <w:szCs w:val="24"/>
        </w:rPr>
      </w:pPr>
      <w:r>
        <w:rPr>
          <w:rFonts w:ascii="宋体" w:hAnsi="宋体"/>
          <w:sz w:val="24"/>
          <w:szCs w:val="24"/>
        </w:rPr>
      </w:r>
      <w:r/>
    </w:p>
    <w:p>
      <w:pPr>
        <w:pStyle w:val="1038"/>
        <w:ind w:firstLine="480"/>
        <w:rPr>
          <w:rFonts w:ascii="宋体" w:hAnsi="宋体"/>
          <w:sz w:val="24"/>
          <w:szCs w:val="24"/>
          <w:u w:val="single"/>
        </w:rPr>
      </w:pPr>
      <w:r>
        <w:rPr>
          <w:rFonts w:hint="eastAsia" w:ascii="宋体" w:hAnsi="宋体"/>
          <w:sz w:val="24"/>
          <w:szCs w:val="24"/>
        </w:rPr>
        <w:t xml:space="preserve">5.采购需求（简介）：妇女保健科和儿童保健科是妇幼保健机构的重要一级科室。目前医院的相关管理文件或规范中尚无对妇女保健科和儿童保健科服务能力、服务质量、服务效果的进行综合评价的方法和手段。 妇女保健科、儿童保健科质控平台的建设和使用一是将丰富我院医疗保健全流程管理内涵，降本增效；二是将成为行政管理部门对妇女保健科和儿童保健科进行工作质量控制和绩效评价的工具和抓手；三是将加强妇女保健科和儿童保健科的科室管理、提高服务能力和服务质量，更好的为妇女儿童提供优质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1038"/>
        <w:ind w:firstLine="480"/>
        <w:rPr>
          <w:rFonts w:ascii="宋体" w:hAnsi="宋体"/>
          <w:sz w:val="24"/>
          <w:szCs w:val="24"/>
          <w:u w:val="single"/>
        </w:rPr>
      </w:pPr>
      <w:r>
        <w:rPr>
          <w:rFonts w:hint="eastAsia" w:ascii="宋体" w:hAnsi="宋体"/>
          <w:sz w:val="24"/>
          <w:szCs w:val="24"/>
        </w:rPr>
        <w:t xml:space="preserve">6.合同履行期限：项目按照“整体规划、分步推进”的原则开展，合同签订后中标方按照招标文件要求的实施步骤完成项目开发实施，实施工作须在合同签订之日起4个月内完成，符合各项验收指标，具备验收条件。</w:t>
      </w:r>
      <w:r>
        <w:rPr>
          <w:rFonts w:ascii="宋体" w:hAnsi="宋体"/>
          <w:sz w:val="24"/>
          <w:szCs w:val="24"/>
          <w:u w:val="single"/>
        </w:rPr>
      </w:r>
      <w:r/>
    </w:p>
    <w:p>
      <w:pPr>
        <w:pStyle w:val="1285"/>
        <w:ind w:firstLine="498"/>
        <w:spacing w:before="145" w:after="145" w:line="360" w:lineRule="auto"/>
        <w:rPr>
          <w:rFonts w:ascii="宋体" w:hAnsi="宋体"/>
        </w:rPr>
      </w:pPr>
      <w:r/>
      <w:bookmarkStart w:id="12" w:name="_Toc35393622"/>
      <w:r/>
      <w:bookmarkStart w:id="13" w:name="_Toc35393791"/>
      <w:r/>
      <w:bookmarkStart w:id="14" w:name="_Toc38985264"/>
      <w:r/>
      <w:bookmarkStart w:id="15" w:name="_Toc28359080"/>
      <w:r/>
      <w:bookmarkStart w:id="16" w:name="_Toc28359003"/>
      <w:r>
        <w:rPr>
          <w:rFonts w:hint="eastAsia" w:ascii="宋体" w:hAnsi="宋体"/>
        </w:rPr>
        <w:t xml:space="preserve">二、申请人的资格要求：</w:t>
      </w:r>
      <w:bookmarkEnd w:id="12"/>
      <w:r/>
      <w:bookmarkEnd w:id="13"/>
      <w:r/>
      <w:bookmarkEnd w:id="14"/>
      <w:r/>
      <w:bookmarkEnd w:id="15"/>
      <w:r/>
      <w:bookmarkEnd w:id="16"/>
      <w:r>
        <w:rPr>
          <w:rFonts w:ascii="宋体" w:hAnsi="宋体"/>
        </w:rPr>
      </w:r>
      <w:r/>
    </w:p>
    <w:p>
      <w:pPr>
        <w:pStyle w:val="1038"/>
        <w:ind w:firstLine="480"/>
        <w:rPr>
          <w:rFonts w:ascii="宋体" w:hAnsi="宋体"/>
          <w:sz w:val="24"/>
          <w:szCs w:val="24"/>
        </w:rPr>
      </w:pPr>
      <w:r/>
      <w:bookmarkStart w:id="17" w:name="_Toc28359004"/>
      <w:r/>
      <w:bookmarkStart w:id="18" w:name="_Toc35393623"/>
      <w:r/>
      <w:bookmarkStart w:id="19" w:name="_Toc28359081"/>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ascii="宋体" w:hAnsi="宋体"/>
          <w:sz w:val="24"/>
          <w:szCs w:val="24"/>
        </w:rPr>
      </w:r>
      <w:r/>
    </w:p>
    <w:p>
      <w:pPr>
        <w:pStyle w:val="1038"/>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1038"/>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1038"/>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1038"/>
        <w:ind w:firstLine="480"/>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sz w:val="24"/>
          <w:szCs w:val="24"/>
        </w:rPr>
      </w:r>
      <w:r/>
    </w:p>
    <w:p>
      <w:pPr>
        <w:pStyle w:val="1038"/>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1038"/>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1038"/>
        <w:ind w:firstLine="480"/>
        <w:rPr>
          <w:rFonts w:ascii="宋体" w:hAnsi="宋体"/>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36"/>
          <w:szCs w:val="36"/>
        </w:rPr>
      </w:r>
      <w:r/>
    </w:p>
    <w:p>
      <w:pPr>
        <w:pStyle w:val="1038"/>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1038"/>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7083"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rPr>
                <w:rFonts w:ascii="宋体" w:hAnsi="宋体"/>
                <w:sz w:val="24"/>
                <w:szCs w:val="24"/>
              </w:rPr>
            </w:r>
            <w:r/>
          </w:p>
        </w:tc>
        <w:tc>
          <w:tcPr>
            <w:tcW w:w="2968" w:type="dxa"/>
            <w:vAlign w:val="top"/>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1038"/>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ascii="宋体" w:hAnsi="宋体"/>
                <w:sz w:val="24"/>
                <w:szCs w:val="24"/>
              </w:rPr>
            </w:r>
            <w:r/>
          </w:p>
        </w:tc>
        <w:tc>
          <w:tcPr>
            <w:tcW w:w="2967" w:type="dxa"/>
            <w:vAlign w:val="top"/>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该</w:t>
            </w:r>
            <w:r>
              <w:rPr>
                <w:rFonts w:ascii="宋体" w:hAnsi="宋体"/>
                <w:sz w:val="24"/>
                <w:szCs w:val="24"/>
              </w:rPr>
              <w:t xml:space="preserve">分包</w:t>
            </w:r>
            <w:r>
              <w:rPr>
                <w:rFonts w:hint="eastAsia" w:ascii="宋体" w:hAnsi="宋体"/>
                <w:sz w:val="24"/>
                <w:szCs w:val="24"/>
              </w:rPr>
              <w:t xml:space="preserve">中</w:t>
            </w:r>
            <w:r>
              <w:rPr>
                <w:rFonts w:ascii="宋体" w:hAnsi="宋体"/>
                <w:sz w:val="24"/>
                <w:szCs w:val="24"/>
              </w:rPr>
              <w:t xml:space="preserve">联合体成员数量</w:t>
            </w:r>
            <w:r>
              <w:rPr>
                <w:rFonts w:hint="eastAsia" w:ascii="宋体" w:hAnsi="宋体"/>
                <w:sz w:val="24"/>
                <w:szCs w:val="24"/>
              </w:rPr>
              <w:t xml:space="preserve">上限</w:t>
            </w:r>
            <w:r>
              <w:rPr>
                <w:rFonts w:ascii="宋体" w:hAnsi="宋体"/>
                <w:sz w:val="24"/>
                <w:szCs w:val="24"/>
              </w:rPr>
            </w:r>
            <w:r/>
          </w:p>
        </w:tc>
      </w:tr>
      <w:tr>
        <w:trPr/>
        <w:tc>
          <w:tcPr>
            <w:tcW w:w="1148" w:type="dxa"/>
            <w:vAlign w:val="top"/>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967" w:type="dxa"/>
            <w:vAlign w:val="top"/>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1038"/>
        <w:ind w:firstLine="560"/>
        <w:spacing w:line="400" w:lineRule="exact"/>
        <w:rPr>
          <w:rFonts w:ascii="宋体" w:hAnsi="宋体"/>
          <w:sz w:val="28"/>
          <w:szCs w:val="28"/>
        </w:rPr>
      </w:pPr>
      <w:r>
        <w:rPr>
          <w:rFonts w:hint="eastAsia" w:ascii="宋体" w:hAnsi="宋体"/>
          <w:sz w:val="28"/>
          <w:szCs w:val="28"/>
        </w:rPr>
        <w:t xml:space="preserve">（二）本项目的特定资格要求</w:t>
      </w:r>
      <w:r>
        <w:rPr>
          <w:rFonts w:ascii="宋体" w:hAnsi="宋体"/>
          <w:sz w:val="28"/>
          <w:szCs w:val="28"/>
        </w:rPr>
      </w:r>
      <w:r/>
    </w:p>
    <w:tbl>
      <w:tblPr>
        <w:tblW w:w="7069"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rPr>
                <w:rFonts w:ascii="宋体" w:hAnsi="宋体"/>
                <w:sz w:val="24"/>
                <w:szCs w:val="24"/>
              </w:rPr>
            </w:r>
            <w:r/>
          </w:p>
        </w:tc>
        <w:tc>
          <w:tcPr>
            <w:tcW w:w="5921" w:type="dxa"/>
            <w:vAlign w:val="top"/>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ascii="宋体" w:hAnsi="宋体"/>
                <w:sz w:val="24"/>
                <w:szCs w:val="24"/>
              </w:rPr>
            </w:r>
            <w:r/>
          </w:p>
        </w:tc>
      </w:tr>
      <w:tr>
        <w:trPr/>
        <w:tc>
          <w:tcPr>
            <w:tcW w:w="1148" w:type="dxa"/>
            <w:vAlign w:val="top"/>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无</w:t>
            </w:r>
            <w:r>
              <w:rPr>
                <w:rFonts w:ascii="宋体" w:hAnsi="宋体"/>
                <w:sz w:val="24"/>
                <w:szCs w:val="24"/>
              </w:rPr>
            </w:r>
            <w:r/>
          </w:p>
        </w:tc>
      </w:tr>
    </w:tbl>
    <w:p>
      <w:pPr>
        <w:pStyle w:val="1285"/>
        <w:ind w:firstLine="498"/>
        <w:spacing w:before="145" w:after="145" w:line="360" w:lineRule="auto"/>
        <w:rPr>
          <w:rFonts w:ascii="宋体" w:hAnsi="宋体"/>
        </w:rPr>
      </w:pPr>
      <w:r>
        <w:rPr>
          <w:rFonts w:hint="eastAsia" w:ascii="宋体" w:hAnsi="宋体"/>
        </w:rPr>
        <w:t xml:space="preserve">三、获取招标文件</w:t>
      </w:r>
      <w:bookmarkEnd w:id="17"/>
      <w:r/>
      <w:bookmarkEnd w:id="18"/>
      <w:r/>
      <w:bookmarkEnd w:id="19"/>
      <w:r/>
      <w:bookmarkEnd w:id="20"/>
      <w:r/>
      <w:bookmarkEnd w:id="21"/>
      <w:r>
        <w:rPr>
          <w:rFonts w:ascii="宋体" w:hAnsi="宋体"/>
        </w:rPr>
      </w:r>
      <w:r/>
    </w:p>
    <w:p>
      <w:pPr>
        <w:pStyle w:val="1038"/>
        <w:ind w:firstLine="540"/>
        <w:spacing w:line="360"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1038"/>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1285"/>
        <w:ind w:firstLine="498"/>
        <w:spacing w:before="145" w:after="145" w:line="360" w:lineRule="auto"/>
        <w:rPr>
          <w:rFonts w:ascii="宋体" w:hAnsi="宋体"/>
        </w:rPr>
      </w:pPr>
      <w:r>
        <w:rPr>
          <w:rFonts w:hint="eastAsia" w:ascii="宋体" w:hAnsi="宋体"/>
        </w:rPr>
        <w:t xml:space="preserve">四、提交投标文件</w:t>
      </w:r>
      <w:bookmarkEnd w:id="22"/>
      <w:r/>
      <w:bookmarkEnd w:id="23"/>
      <w:r>
        <w:rPr>
          <w:rFonts w:hint="eastAsia" w:ascii="宋体" w:hAnsi="宋体"/>
        </w:rPr>
        <w:t xml:space="preserve">截止时间、开标时间和地点</w:t>
      </w:r>
      <w:bookmarkEnd w:id="24"/>
      <w:r/>
      <w:bookmarkEnd w:id="25"/>
      <w:r/>
      <w:bookmarkEnd w:id="26"/>
      <w:r>
        <w:rPr>
          <w:rFonts w:ascii="宋体" w:hAnsi="宋体"/>
        </w:rPr>
      </w:r>
      <w:r/>
    </w:p>
    <w:p>
      <w:pPr>
        <w:pStyle w:val="1038"/>
        <w:ind w:firstLine="480"/>
        <w:rPr>
          <w:rFonts w:ascii="宋体" w:hAnsi="宋体"/>
          <w:bCs/>
          <w:sz w:val="24"/>
          <w:szCs w:val="24"/>
          <w:u w:val="single"/>
        </w:rPr>
      </w:pPr>
      <w:r>
        <w:rPr>
          <w:rFonts w:hint="eastAsia" w:ascii="宋体" w:hAnsi="宋体"/>
          <w:bCs/>
          <w:sz w:val="24"/>
          <w:szCs w:val="24"/>
          <w:u w:val="single"/>
        </w:rPr>
        <w:t xml:space="preserve">1.2025年10月24日9点30分</w:t>
      </w:r>
      <w:r>
        <w:rPr>
          <w:rFonts w:hint="eastAsia" w:ascii="宋体" w:hAnsi="宋体"/>
          <w:bCs/>
          <w:sz w:val="24"/>
          <w:szCs w:val="24"/>
        </w:rPr>
        <w:t xml:space="preserve">（北京时间）</w:t>
      </w:r>
      <w:r>
        <w:rPr>
          <w:rFonts w:ascii="宋体" w:hAnsi="宋体"/>
          <w:bCs/>
          <w:sz w:val="24"/>
          <w:szCs w:val="24"/>
          <w:u w:val="single"/>
        </w:rPr>
      </w:r>
      <w:r/>
    </w:p>
    <w:p>
      <w:pPr>
        <w:pStyle w:val="1038"/>
        <w:ind w:firstLine="480"/>
        <w:rPr>
          <w:rFonts w:ascii="宋体" w:hAnsi="宋体"/>
          <w:bCs/>
          <w:sz w:val="24"/>
          <w:szCs w:val="24"/>
          <w:u w:val="single"/>
        </w:rPr>
      </w:pPr>
      <w:r>
        <w:rPr>
          <w:rFonts w:hint="eastAsia" w:ascii="宋体" w:hAnsi="宋体"/>
          <w:sz w:val="24"/>
          <w:szCs w:val="24"/>
        </w:rPr>
        <w:t xml:space="preserve">2.地点：“苏采云”政府采购交易系统网上开标大厅。</w:t>
      </w:r>
      <w:r>
        <w:rPr>
          <w:rFonts w:ascii="宋体" w:hAnsi="宋体"/>
          <w:bCs/>
          <w:sz w:val="24"/>
          <w:szCs w:val="24"/>
          <w:u w:val="single"/>
        </w:rPr>
      </w:r>
      <w:r/>
    </w:p>
    <w:p>
      <w:pPr>
        <w:pStyle w:val="1285"/>
        <w:ind w:firstLine="498"/>
        <w:spacing w:before="145" w:after="145" w:line="360" w:lineRule="auto"/>
        <w:rPr>
          <w:rFonts w:ascii="宋体" w:hAnsi="宋体"/>
        </w:rPr>
      </w:pPr>
      <w:r/>
      <w:bookmarkStart w:id="27" w:name="_Toc28359084"/>
      <w:r/>
      <w:bookmarkStart w:id="28" w:name="_Toc28359007"/>
      <w:r/>
      <w:bookmarkStart w:id="29" w:name="_Toc35393794"/>
      <w:r/>
      <w:bookmarkStart w:id="30" w:name="_Toc35393625"/>
      <w:r/>
      <w:bookmarkStart w:id="31" w:name="_Toc38985267"/>
      <w:r>
        <w:rPr>
          <w:rFonts w:hint="eastAsia" w:ascii="宋体" w:hAnsi="宋体"/>
        </w:rPr>
        <w:t xml:space="preserve">五、公告期限</w:t>
      </w:r>
      <w:bookmarkEnd w:id="27"/>
      <w:r/>
      <w:bookmarkEnd w:id="28"/>
      <w:r/>
      <w:bookmarkEnd w:id="29"/>
      <w:r/>
      <w:bookmarkEnd w:id="30"/>
      <w:r/>
      <w:bookmarkEnd w:id="31"/>
      <w:r>
        <w:rPr>
          <w:rFonts w:ascii="宋体" w:hAnsi="宋体"/>
        </w:rPr>
      </w:r>
      <w:r/>
    </w:p>
    <w:p>
      <w:pPr>
        <w:pStyle w:val="1038"/>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1285"/>
        <w:ind w:firstLine="498"/>
        <w:spacing w:before="145" w:after="145" w:line="360" w:lineRule="auto"/>
        <w:rPr>
          <w:rFonts w:ascii="宋体" w:hAnsi="宋体"/>
        </w:rPr>
      </w:pPr>
      <w:r>
        <w:rPr>
          <w:rFonts w:hint="eastAsia" w:ascii="宋体" w:hAnsi="宋体"/>
        </w:rPr>
        <w:t xml:space="preserve">六、其他补充事宜</w:t>
      </w:r>
      <w:bookmarkEnd w:id="32"/>
      <w:r/>
      <w:bookmarkEnd w:id="33"/>
      <w:r/>
      <w:bookmarkEnd w:id="34"/>
      <w:r>
        <w:rPr>
          <w:rFonts w:ascii="宋体" w:hAnsi="宋体"/>
        </w:rPr>
      </w:r>
      <w:r/>
    </w:p>
    <w:p>
      <w:pPr>
        <w:pStyle w:val="103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1285"/>
        <w:ind w:firstLine="498"/>
        <w:spacing w:before="145" w:after="145" w:line="360" w:lineRule="auto"/>
        <w:rPr>
          <w:rFonts w:ascii="宋体" w:hAnsi="宋体"/>
        </w:rPr>
      </w:pPr>
      <w:r/>
      <w:bookmarkStart w:id="35" w:name="_Toc28359008"/>
      <w:r/>
      <w:bookmarkStart w:id="36" w:name="_Toc35393627"/>
      <w:r/>
      <w:bookmarkStart w:id="37" w:name="_Toc28359085"/>
      <w:r/>
      <w:bookmarkStart w:id="38" w:name="_Toc38985269"/>
      <w:r/>
      <w:bookmarkStart w:id="39" w:name="_Toc35393796"/>
      <w:r>
        <w:rPr>
          <w:rFonts w:hint="eastAsia" w:ascii="宋体" w:hAnsi="宋体"/>
        </w:rPr>
        <w:t xml:space="preserve">七、本次招标联系方式</w:t>
      </w:r>
      <w:bookmarkEnd w:id="35"/>
      <w:r/>
      <w:bookmarkEnd w:id="36"/>
      <w:r/>
      <w:bookmarkEnd w:id="37"/>
      <w:r/>
      <w:bookmarkEnd w:id="38"/>
      <w:r/>
      <w:bookmarkEnd w:id="39"/>
      <w:r>
        <w:rPr>
          <w:rFonts w:ascii="宋体" w:hAnsi="宋体"/>
        </w:rPr>
      </w:r>
      <w:r/>
    </w:p>
    <w:p>
      <w:pPr>
        <w:pStyle w:val="1038"/>
        <w:ind w:firstLine="539"/>
        <w:jc w:val="left"/>
        <w:spacing w:line="360" w:lineRule="auto"/>
        <w:widowControl/>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1038"/>
        <w:ind w:firstLine="539"/>
        <w:jc w:val="left"/>
        <w:spacing w:line="360" w:lineRule="auto"/>
        <w:rPr>
          <w:rFonts w:ascii="宋体" w:hAnsi="宋体"/>
          <w:sz w:val="24"/>
          <w:szCs w:val="24"/>
        </w:rPr>
      </w:pPr>
      <w:r>
        <w:rPr>
          <w:rFonts w:hint="eastAsia" w:ascii="宋体" w:hAnsi="宋体"/>
          <w:sz w:val="24"/>
          <w:szCs w:val="24"/>
        </w:rPr>
        <w:t xml:space="preserve">名 称：江苏省人民医院</w:t>
      </w:r>
      <w:r>
        <w:rPr>
          <w:rFonts w:ascii="宋体" w:hAnsi="宋体"/>
          <w:sz w:val="24"/>
          <w:szCs w:val="24"/>
        </w:rPr>
      </w:r>
      <w:r/>
    </w:p>
    <w:p>
      <w:pPr>
        <w:pStyle w:val="1038"/>
        <w:ind w:firstLine="539"/>
        <w:jc w:val="left"/>
        <w:spacing w:line="360" w:lineRule="auto"/>
        <w:rPr>
          <w:rFonts w:ascii="宋体" w:hAnsi="宋体"/>
          <w:sz w:val="24"/>
          <w:szCs w:val="24"/>
        </w:rPr>
      </w:pPr>
      <w:r>
        <w:rPr>
          <w:rFonts w:hint="eastAsia" w:ascii="宋体" w:hAnsi="宋体"/>
          <w:sz w:val="24"/>
          <w:szCs w:val="24"/>
        </w:rPr>
        <w:t xml:space="preserve">地址： 江苏省南京市广州路300号</w:t>
      </w:r>
      <w:r>
        <w:rPr>
          <w:rFonts w:ascii="宋体" w:hAnsi="宋体"/>
          <w:sz w:val="24"/>
          <w:szCs w:val="24"/>
        </w:rPr>
      </w:r>
      <w:r/>
    </w:p>
    <w:p>
      <w:pPr>
        <w:pStyle w:val="1038"/>
        <w:ind w:firstLine="539"/>
        <w:jc w:val="left"/>
        <w:spacing w:line="360" w:lineRule="auto"/>
        <w:rPr>
          <w:rFonts w:ascii="宋体" w:hAnsi="宋体"/>
          <w:sz w:val="24"/>
          <w:szCs w:val="24"/>
        </w:rPr>
      </w:pPr>
      <w:r>
        <w:rPr>
          <w:rFonts w:hint="eastAsia" w:ascii="宋体" w:hAnsi="宋体"/>
          <w:sz w:val="24"/>
          <w:szCs w:val="24"/>
        </w:rPr>
        <w:t xml:space="preserve">联系人： </w:t>
      </w:r>
      <w:r>
        <w:rPr>
          <w:rFonts w:ascii="宋体" w:hAnsi="宋体"/>
          <w:sz w:val="24"/>
          <w:szCs w:val="24"/>
        </w:rPr>
        <w:t xml:space="preserve">缪</w:t>
      </w:r>
      <w:r>
        <w:rPr>
          <w:rFonts w:hint="eastAsia" w:ascii="宋体" w:hAnsi="宋体"/>
          <w:sz w:val="24"/>
          <w:szCs w:val="24"/>
        </w:rPr>
        <w:t xml:space="preserve">老师</w:t>
      </w:r>
      <w:r>
        <w:rPr>
          <w:rFonts w:ascii="宋体" w:hAnsi="宋体"/>
          <w:sz w:val="24"/>
          <w:szCs w:val="24"/>
        </w:rPr>
      </w:r>
      <w:r/>
    </w:p>
    <w:p>
      <w:pPr>
        <w:pStyle w:val="1038"/>
        <w:ind w:firstLine="539"/>
        <w:jc w:val="left"/>
        <w:spacing w:line="360" w:lineRule="auto"/>
        <w:rPr>
          <w:rFonts w:ascii="宋体" w:hAnsi="宋体"/>
          <w:sz w:val="24"/>
          <w:szCs w:val="24"/>
        </w:rPr>
      </w:pPr>
      <w:r>
        <w:rPr>
          <w:rFonts w:hint="eastAsia" w:ascii="宋体" w:hAnsi="宋体"/>
          <w:sz w:val="24"/>
          <w:szCs w:val="24"/>
        </w:rPr>
        <w:t xml:space="preserve">联系方式：025-6830</w:t>
      </w:r>
      <w:r>
        <w:rPr>
          <w:rFonts w:ascii="宋体" w:hAnsi="宋体"/>
          <w:sz w:val="24"/>
          <w:szCs w:val="24"/>
        </w:rPr>
        <w:t xml:space="preserve">7858</w:t>
      </w:r>
      <w:r>
        <w:rPr>
          <w:rFonts w:ascii="宋体" w:hAnsi="宋体"/>
          <w:sz w:val="24"/>
          <w:szCs w:val="24"/>
        </w:rPr>
      </w:r>
      <w:r/>
    </w:p>
    <w:p>
      <w:pPr>
        <w:pStyle w:val="1038"/>
        <w:ind w:firstLine="539"/>
        <w:jc w:val="left"/>
        <w:spacing w:line="360" w:lineRule="auto"/>
        <w:rPr>
          <w:rFonts w:ascii="宋体" w:hAnsi="宋体"/>
          <w:sz w:val="24"/>
        </w:rPr>
      </w:pPr>
      <w:r>
        <w:rPr>
          <w:rFonts w:hint="eastAsia" w:ascii="宋体" w:hAnsi="宋体"/>
          <w:sz w:val="24"/>
        </w:rPr>
        <w:t xml:space="preserve">2.江苏省政府采购中心信息</w:t>
      </w:r>
      <w:r>
        <w:rPr>
          <w:rFonts w:ascii="宋体" w:hAnsi="宋体"/>
          <w:sz w:val="24"/>
        </w:rPr>
      </w:r>
      <w:r/>
    </w:p>
    <w:p>
      <w:pPr>
        <w:pStyle w:val="1038"/>
        <w:ind w:firstLine="539"/>
        <w:spacing w:line="360" w:lineRule="auto"/>
        <w:rPr>
          <w:rFonts w:ascii="宋体" w:hAnsi="宋体"/>
          <w:sz w:val="24"/>
        </w:rPr>
      </w:pPr>
      <w:r>
        <w:rPr>
          <w:rFonts w:hint="eastAsia" w:ascii="宋体" w:hAnsi="宋体"/>
          <w:sz w:val="24"/>
        </w:rPr>
        <w:t xml:space="preserve">地　址：</w:t>
      </w:r>
      <w:r>
        <w:rPr>
          <w:rFonts w:ascii="宋体" w:hAnsi="宋体"/>
          <w:sz w:val="24"/>
          <w:u w:val="single"/>
        </w:rPr>
        <w:t xml:space="preserve">南京市汉中门大街</w:t>
      </w:r>
      <w:r>
        <w:rPr>
          <w:rFonts w:hint="eastAsia" w:ascii="宋体" w:hAnsi="宋体"/>
          <w:sz w:val="24"/>
          <w:u w:val="single"/>
        </w:rPr>
        <w:t xml:space="preserve">145号省政务中心二期3楼南区</w:t>
      </w:r>
      <w:r>
        <w:rPr>
          <w:rFonts w:hint="eastAsia" w:ascii="宋体" w:hAnsi="宋体"/>
          <w:sz w:val="24"/>
        </w:rPr>
        <w:t xml:space="preserve"> </w:t>
      </w:r>
      <w:r>
        <w:rPr>
          <w:rFonts w:ascii="宋体" w:hAnsi="宋体"/>
          <w:sz w:val="24"/>
        </w:rPr>
      </w:r>
      <w:r/>
    </w:p>
    <w:p>
      <w:pPr>
        <w:pStyle w:val="1038"/>
        <w:ind w:firstLine="539"/>
        <w:spacing w:line="360" w:lineRule="auto"/>
        <w:rPr>
          <w:rFonts w:ascii="宋体" w:hAnsi="宋体"/>
          <w:sz w:val="24"/>
        </w:rPr>
      </w:pPr>
      <w:r>
        <w:rPr>
          <w:rFonts w:hint="eastAsia" w:ascii="宋体" w:hAnsi="宋体"/>
          <w:sz w:val="24"/>
        </w:rPr>
        <w:t xml:space="preserve">联系人：乔秀善、付钢</w:t>
      </w:r>
      <w:r>
        <w:rPr>
          <w:rFonts w:ascii="宋体" w:hAnsi="宋体"/>
          <w:sz w:val="24"/>
        </w:rPr>
      </w:r>
      <w:r/>
    </w:p>
    <w:p>
      <w:pPr>
        <w:pStyle w:val="1038"/>
        <w:ind w:firstLine="539"/>
        <w:spacing w:line="360" w:lineRule="auto"/>
        <w:rPr>
          <w:rFonts w:ascii="宋体" w:hAnsi="宋体"/>
          <w:sz w:val="24"/>
        </w:rPr>
      </w:pPr>
      <w:r>
        <w:rPr>
          <w:rFonts w:hint="eastAsia" w:ascii="宋体" w:hAnsi="宋体"/>
          <w:sz w:val="24"/>
        </w:rPr>
        <w:t xml:space="preserve">联系方式：</w:t>
      </w:r>
      <w:bookmarkStart w:id="40" w:name="_Toc28359087"/>
      <w:r/>
      <w:bookmarkEnd w:id="40"/>
      <w:r/>
      <w:bookmarkStart w:id="41" w:name="_Toc28359010"/>
      <w:r/>
      <w:bookmarkEnd w:id="41"/>
      <w:r>
        <w:rPr>
          <w:rFonts w:hint="eastAsia" w:ascii="宋体" w:hAnsi="宋体"/>
          <w:sz w:val="24"/>
        </w:rPr>
        <w:t xml:space="preserve">025-83668530、83668520</w:t>
      </w:r>
      <w:r>
        <w:rPr>
          <w:rFonts w:ascii="宋体" w:hAnsi="宋体"/>
          <w:sz w:val="24"/>
        </w:rPr>
      </w:r>
      <w:r/>
    </w:p>
    <w:p>
      <w:pPr>
        <w:pStyle w:val="1285"/>
        <w:ind w:firstLine="498"/>
        <w:spacing w:before="145" w:after="145" w:line="360" w:lineRule="auto"/>
        <w:rPr>
          <w:rFonts w:ascii="宋体" w:hAnsi="宋体"/>
        </w:rPr>
      </w:pPr>
      <w:r>
        <w:rPr>
          <w:rFonts w:hint="eastAsia" w:ascii="宋体" w:hAnsi="宋体"/>
        </w:rPr>
        <w:t xml:space="preserve">八、其他</w:t>
      </w:r>
      <w:r>
        <w:rPr>
          <w:rFonts w:ascii="宋体" w:hAnsi="宋体"/>
        </w:rPr>
      </w:r>
      <w:r/>
    </w:p>
    <w:p>
      <w:pPr>
        <w:pStyle w:val="1038"/>
        <w:ind w:firstLine="480"/>
        <w:spacing w:line="56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rPr>
          <w:rFonts w:ascii="宋体" w:hAnsi="宋体"/>
          <w:bCs/>
          <w:sz w:val="24"/>
          <w:szCs w:val="24"/>
        </w:rPr>
      </w:r>
      <w:r/>
    </w:p>
    <w:p>
      <w:pPr>
        <w:pStyle w:val="1038"/>
        <w:ind w:firstLine="480"/>
        <w:spacing w:line="560" w:lineRule="exact"/>
        <w:tabs>
          <w:tab w:val="left" w:pos="900" w:leader="none"/>
        </w:tabs>
        <w:rPr>
          <w:rFonts w:ascii="宋体" w:hAnsi="宋体"/>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ascii="宋体" w:hAnsi="宋体"/>
          <w:sz w:val="24"/>
          <w:szCs w:val="24"/>
        </w:rPr>
      </w:r>
      <w:r/>
    </w:p>
    <w:p>
      <w:pPr>
        <w:pStyle w:val="1038"/>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ascii="宋体" w:hAnsi="宋体"/>
          <w:bCs/>
          <w:sz w:val="24"/>
          <w:szCs w:val="24"/>
        </w:rPr>
      </w:r>
      <w:r/>
    </w:p>
    <w:p>
      <w:pPr>
        <w:pStyle w:val="1038"/>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rPr>
          <w:rFonts w:ascii="宋体" w:hAnsi="宋体"/>
          <w:bCs/>
          <w:sz w:val="24"/>
          <w:szCs w:val="24"/>
        </w:rPr>
      </w:r>
      <w:r/>
    </w:p>
    <w:p>
      <w:pPr>
        <w:pStyle w:val="1038"/>
        <w:ind w:firstLine="480"/>
        <w:spacing w:line="560" w:lineRule="exact"/>
        <w:rPr>
          <w:rFonts w:ascii="宋体" w:hAnsi="宋体"/>
          <w:sz w:val="24"/>
        </w:rPr>
      </w:pPr>
      <w:r>
        <w:rPr>
          <w:rFonts w:ascii="宋体" w:hAnsi="宋体"/>
          <w:sz w:val="24"/>
        </w:rPr>
      </w:r>
      <w:r/>
    </w:p>
    <w:p>
      <w:pPr>
        <w:pStyle w:val="1038"/>
        <w:ind w:right="840"/>
        <w:rPr>
          <w:rFonts w:ascii="宋体" w:hAnsi="宋体"/>
          <w:sz w:val="24"/>
          <w:szCs w:val="24"/>
        </w:rPr>
      </w:pPr>
      <w:r>
        <w:rPr>
          <w:rFonts w:ascii="宋体" w:hAnsi="宋体"/>
          <w:sz w:val="24"/>
          <w:szCs w:val="24"/>
        </w:rPr>
      </w:r>
      <w:r/>
    </w:p>
    <w:p>
      <w:pPr>
        <w:pStyle w:val="1038"/>
        <w:ind w:right="840"/>
        <w:rPr>
          <w:rFonts w:ascii="宋体" w:hAnsi="宋体"/>
          <w:sz w:val="24"/>
          <w:szCs w:val="24"/>
        </w:rPr>
      </w:pPr>
      <w:r>
        <w:rPr>
          <w:rFonts w:ascii="宋体" w:hAnsi="宋体"/>
          <w:sz w:val="24"/>
          <w:szCs w:val="24"/>
        </w:rPr>
      </w:r>
      <w:r/>
    </w:p>
    <w:p>
      <w:pPr>
        <w:pStyle w:val="1038"/>
        <w:ind w:right="840"/>
        <w:rPr>
          <w:rFonts w:ascii="宋体" w:hAnsi="宋体"/>
          <w:sz w:val="24"/>
          <w:szCs w:val="24"/>
        </w:rPr>
      </w:pPr>
      <w:r>
        <w:rPr>
          <w:rFonts w:ascii="宋体" w:hAnsi="宋体"/>
          <w:sz w:val="24"/>
          <w:szCs w:val="24"/>
        </w:rPr>
      </w:r>
      <w:r/>
    </w:p>
    <w:p>
      <w:pPr>
        <w:pStyle w:val="1038"/>
        <w:ind w:right="840"/>
        <w:rPr>
          <w:rFonts w:ascii="宋体" w:hAnsi="宋体"/>
          <w:sz w:val="24"/>
          <w:szCs w:val="24"/>
        </w:rPr>
      </w:pPr>
      <w:r>
        <w:rPr>
          <w:rFonts w:ascii="宋体" w:hAnsi="宋体"/>
          <w:sz w:val="24"/>
          <w:szCs w:val="24"/>
        </w:rPr>
      </w:r>
      <w:r/>
    </w:p>
    <w:p>
      <w:pPr>
        <w:pStyle w:val="1038"/>
        <w:ind w:right="840"/>
        <w:rPr>
          <w:rFonts w:ascii="宋体" w:hAnsi="宋体"/>
          <w:sz w:val="24"/>
          <w:szCs w:val="24"/>
        </w:rPr>
      </w:pPr>
      <w:r>
        <w:rPr>
          <w:rFonts w:ascii="宋体" w:hAnsi="宋体"/>
          <w:sz w:val="24"/>
          <w:szCs w:val="24"/>
        </w:rPr>
      </w:r>
      <w:r/>
    </w:p>
    <w:p>
      <w:pPr>
        <w:pStyle w:val="1038"/>
        <w:ind w:right="840"/>
        <w:rPr>
          <w:rFonts w:ascii="宋体" w:hAnsi="宋体"/>
          <w:sz w:val="24"/>
          <w:szCs w:val="24"/>
        </w:rPr>
      </w:pPr>
      <w:r>
        <w:rPr>
          <w:rFonts w:ascii="宋体" w:hAnsi="宋体"/>
          <w:sz w:val="24"/>
          <w:szCs w:val="24"/>
        </w:rPr>
      </w:r>
      <w:r/>
    </w:p>
    <w:p>
      <w:pPr>
        <w:pStyle w:val="1038"/>
        <w:ind w:right="840"/>
        <w:rPr>
          <w:rFonts w:ascii="宋体" w:hAnsi="宋体"/>
          <w:sz w:val="24"/>
          <w:szCs w:val="24"/>
        </w:rPr>
      </w:pPr>
      <w:r>
        <w:rPr>
          <w:rFonts w:ascii="宋体" w:hAnsi="宋体"/>
          <w:sz w:val="24"/>
          <w:szCs w:val="24"/>
        </w:rPr>
      </w:r>
      <w:r/>
    </w:p>
    <w:p>
      <w:pPr>
        <w:pStyle w:val="1038"/>
        <w:ind w:right="840"/>
        <w:rPr>
          <w:rFonts w:ascii="宋体" w:hAnsi="宋体"/>
          <w:sz w:val="24"/>
          <w:szCs w:val="24"/>
        </w:rPr>
      </w:pPr>
      <w:r>
        <w:rPr>
          <w:rFonts w:ascii="宋体" w:hAnsi="宋体"/>
          <w:sz w:val="24"/>
          <w:szCs w:val="24"/>
        </w:rPr>
      </w:r>
      <w:r/>
    </w:p>
    <w:p>
      <w:pPr>
        <w:pStyle w:val="1038"/>
        <w:ind w:right="840"/>
        <w:rPr>
          <w:rFonts w:ascii="宋体" w:hAnsi="宋体"/>
          <w:sz w:val="24"/>
          <w:szCs w:val="24"/>
        </w:rPr>
      </w:pPr>
      <w:r>
        <w:rPr>
          <w:rFonts w:ascii="宋体" w:hAnsi="宋体"/>
          <w:sz w:val="24"/>
          <w:szCs w:val="24"/>
        </w:rPr>
      </w:r>
      <w:r/>
    </w:p>
    <w:p>
      <w:pPr>
        <w:pStyle w:val="1038"/>
        <w:ind w:right="840"/>
        <w:rPr>
          <w:rFonts w:ascii="宋体" w:hAnsi="宋体"/>
          <w:sz w:val="24"/>
          <w:szCs w:val="24"/>
        </w:rPr>
      </w:pPr>
      <w:r>
        <w:rPr>
          <w:rFonts w:ascii="宋体" w:hAnsi="宋体"/>
          <w:sz w:val="24"/>
          <w:szCs w:val="24"/>
        </w:rPr>
      </w:r>
      <w:r/>
    </w:p>
    <w:p>
      <w:pPr>
        <w:pStyle w:val="1038"/>
        <w:ind w:right="840"/>
        <w:rPr>
          <w:rFonts w:ascii="宋体" w:hAnsi="宋体"/>
          <w:sz w:val="24"/>
          <w:szCs w:val="24"/>
        </w:rPr>
      </w:pPr>
      <w:r>
        <w:rPr>
          <w:rFonts w:ascii="宋体" w:hAnsi="宋体"/>
          <w:sz w:val="24"/>
          <w:szCs w:val="24"/>
        </w:rPr>
      </w:r>
      <w:r/>
    </w:p>
    <w:p>
      <w:pPr>
        <w:pStyle w:val="1284"/>
        <w:ind w:firstLine="2429"/>
        <w:jc w:val="both"/>
        <w:rPr>
          <w:rFonts w:ascii="宋体" w:hAnsi="宋体" w:eastAsia="宋体"/>
          <w:b w:val="0"/>
          <w:bCs w:val="0"/>
        </w:rPr>
      </w:pPr>
      <w:r/>
      <w:bookmarkStart w:id="42" w:name="_Toc120614211"/>
      <w:r>
        <w:rPr>
          <w:rFonts w:hint="eastAsia" w:ascii="宋体" w:hAnsi="宋体" w:eastAsia="宋体"/>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宋体" w:hAnsi="宋体" w:eastAsia="宋体"/>
        </w:rPr>
        <w:t xml:space="preserve">投标人须知</w:t>
      </w:r>
      <w:bookmarkEnd w:id="43"/>
      <w:r/>
      <w:bookmarkEnd w:id="44"/>
      <w:r/>
      <w:bookmarkEnd w:id="45"/>
      <w:r/>
      <w:bookmarkEnd w:id="46"/>
      <w:r>
        <w:rPr>
          <w:rFonts w:ascii="宋体" w:hAnsi="宋体" w:eastAsia="宋体"/>
          <w:b w:val="0"/>
          <w:bCs w:val="0"/>
        </w:rPr>
      </w:r>
      <w:r/>
    </w:p>
    <w:p>
      <w:pPr>
        <w:pStyle w:val="1285"/>
        <w:ind w:firstLine="498"/>
        <w:spacing w:before="145" w:after="145" w:line="360" w:lineRule="auto"/>
        <w:rPr>
          <w:rFonts w:ascii="宋体" w:hAnsi="宋体"/>
        </w:rPr>
      </w:pPr>
      <w:r/>
      <w:bookmarkStart w:id="47" w:name="_Toc120614214"/>
      <w:r/>
      <w:bookmarkStart w:id="48" w:name="_Toc16938519"/>
      <w:r/>
      <w:bookmarkStart w:id="49" w:name="_Toc20823275"/>
      <w:r/>
      <w:bookmarkStart w:id="50" w:name="_Toc513029203"/>
      <w:r>
        <w:rPr>
          <w:rFonts w:hint="eastAsia" w:ascii="宋体" w:hAnsi="宋体"/>
        </w:rPr>
        <w:t xml:space="preserve">一、总则</w:t>
      </w:r>
      <w:bookmarkEnd w:id="47"/>
      <w:r/>
      <w:bookmarkEnd w:id="48"/>
      <w:r/>
      <w:bookmarkEnd w:id="49"/>
      <w:r/>
      <w:bookmarkEnd w:id="50"/>
      <w:r>
        <w:rPr>
          <w:rFonts w:ascii="宋体" w:hAnsi="宋体"/>
        </w:rPr>
      </w:r>
      <w:r/>
    </w:p>
    <w:p>
      <w:pPr>
        <w:pStyle w:val="1286"/>
        <w:ind w:firstLine="420"/>
        <w:spacing w:before="0" w:after="0" w:line="240" w:lineRule="auto"/>
        <w:rPr>
          <w:rFonts w:ascii="宋体" w:hAnsi="宋体" w:eastAsia="宋体"/>
          <w:b w:val="0"/>
          <w:bCs w:val="0"/>
        </w:rPr>
      </w:pPr>
      <w:r/>
      <w:bookmarkStart w:id="51" w:name="_Hlt16619475"/>
      <w:r/>
      <w:bookmarkEnd w:id="51"/>
      <w:r/>
      <w:bookmarkStart w:id="52" w:name="_Toc458694821"/>
      <w:r/>
      <w:bookmarkStart w:id="53" w:name="_Toc16938520"/>
      <w:r/>
      <w:bookmarkStart w:id="54" w:name="_Toc513029204"/>
      <w:r/>
      <w:bookmarkStart w:id="55" w:name="_Toc20823276"/>
      <w:r>
        <w:rPr>
          <w:rFonts w:hint="eastAsia" w:ascii="宋体" w:hAnsi="宋体" w:eastAsia="宋体"/>
          <w:b w:val="0"/>
          <w:bCs w:val="0"/>
        </w:rPr>
        <w:t xml:space="preserve">1</w:t>
      </w:r>
      <w:bookmarkEnd w:id="52"/>
      <w:r>
        <w:rPr>
          <w:rFonts w:hint="eastAsia" w:ascii="宋体" w:hAnsi="宋体" w:eastAsia="宋体"/>
          <w:b w:val="0"/>
          <w:bCs w:val="0"/>
        </w:rPr>
        <w:t xml:space="preserve">、招标方式</w:t>
      </w:r>
      <w:bookmarkEnd w:id="53"/>
      <w:r/>
      <w:bookmarkEnd w:id="54"/>
      <w:r/>
      <w:bookmarkEnd w:id="55"/>
      <w:r>
        <w:rPr>
          <w:rFonts w:ascii="宋体" w:hAnsi="宋体" w:eastAsia="宋体"/>
          <w:b w:val="0"/>
          <w:bCs w:val="0"/>
        </w:rPr>
      </w:r>
      <w:r/>
    </w:p>
    <w:p>
      <w:pPr>
        <w:pStyle w:val="1038"/>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1286"/>
        <w:ind w:firstLine="420"/>
        <w:spacing w:before="0" w:after="0" w:line="240" w:lineRule="auto"/>
        <w:rPr>
          <w:rFonts w:ascii="宋体" w:hAnsi="宋体" w:eastAsia="宋体"/>
          <w:b w:val="0"/>
          <w:bCs w:val="0"/>
        </w:rPr>
      </w:pPr>
      <w:r/>
      <w:bookmarkStart w:id="56" w:name="_Toc16938521"/>
      <w:r/>
      <w:bookmarkStart w:id="57" w:name="_Toc20823277"/>
      <w:r/>
      <w:bookmarkStart w:id="58" w:name="_Toc513029205"/>
      <w:r>
        <w:rPr>
          <w:rFonts w:hint="eastAsia" w:ascii="宋体" w:hAnsi="宋体" w:eastAsia="宋体"/>
          <w:b w:val="0"/>
          <w:bCs w:val="0"/>
        </w:rPr>
        <w:t xml:space="preserve">2、合格的投标人</w:t>
      </w:r>
      <w:bookmarkEnd w:id="56"/>
      <w:r/>
      <w:bookmarkEnd w:id="57"/>
      <w:r/>
      <w:bookmarkEnd w:id="58"/>
      <w:r>
        <w:rPr>
          <w:rFonts w:ascii="宋体" w:hAnsi="宋体" w:eastAsia="宋体"/>
          <w:b w:val="0"/>
          <w:bCs w:val="0"/>
        </w:rPr>
      </w:r>
      <w:r/>
    </w:p>
    <w:p>
      <w:pPr>
        <w:pStyle w:val="1038"/>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rPr>
          <w:rFonts w:ascii="宋体" w:hAnsi="宋体"/>
          <w:sz w:val="24"/>
          <w:szCs w:val="24"/>
        </w:rPr>
      </w:r>
      <w:r/>
    </w:p>
    <w:p>
      <w:pPr>
        <w:pStyle w:val="1038"/>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rPr>
          <w:rFonts w:ascii="宋体" w:hAnsi="宋体"/>
          <w:sz w:val="24"/>
          <w:szCs w:val="24"/>
        </w:rPr>
      </w:r>
      <w:r/>
    </w:p>
    <w:p>
      <w:pPr>
        <w:pStyle w:val="1286"/>
        <w:ind w:firstLine="420"/>
        <w:spacing w:before="0" w:after="0" w:line="240" w:lineRule="auto"/>
        <w:rPr>
          <w:rFonts w:ascii="宋体" w:hAnsi="宋体" w:eastAsia="宋体"/>
          <w:b w:val="0"/>
          <w:bCs w:val="0"/>
        </w:rPr>
      </w:pPr>
      <w:r/>
      <w:bookmarkStart w:id="59" w:name="_Toc513029206"/>
      <w:r/>
      <w:bookmarkStart w:id="60" w:name="_Toc16938522"/>
      <w:r/>
      <w:bookmarkStart w:id="61" w:name="_Toc20823278"/>
      <w:r>
        <w:rPr>
          <w:rFonts w:hint="eastAsia" w:ascii="宋体" w:hAnsi="宋体" w:eastAsia="宋体"/>
          <w:b w:val="0"/>
          <w:bCs w:val="0"/>
        </w:rPr>
        <w:t xml:space="preserve">3、适用法律</w:t>
      </w:r>
      <w:bookmarkEnd w:id="59"/>
      <w:r/>
      <w:bookmarkEnd w:id="60"/>
      <w:r/>
      <w:bookmarkEnd w:id="61"/>
      <w:r>
        <w:rPr>
          <w:rFonts w:ascii="宋体" w:hAnsi="宋体" w:eastAsia="宋体"/>
          <w:b w:val="0"/>
          <w:bCs w:val="0"/>
        </w:rPr>
      </w:r>
      <w:r/>
    </w:p>
    <w:p>
      <w:pPr>
        <w:pStyle w:val="1038"/>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1286"/>
        <w:ind w:firstLine="420"/>
        <w:spacing w:before="0" w:after="0" w:line="240" w:lineRule="auto"/>
        <w:rPr>
          <w:rFonts w:ascii="宋体" w:hAnsi="宋体" w:eastAsia="宋体"/>
          <w:b w:val="0"/>
          <w:bCs w:val="0"/>
        </w:rPr>
      </w:pPr>
      <w:r/>
      <w:bookmarkStart w:id="62" w:name="_Toc20823279"/>
      <w:r/>
      <w:bookmarkStart w:id="63" w:name="_Toc513029207"/>
      <w:r/>
      <w:bookmarkStart w:id="64" w:name="_Toc16938523"/>
      <w:r/>
      <w:bookmarkStart w:id="65" w:name="_Toc462564067"/>
      <w:r>
        <w:rPr>
          <w:rFonts w:hint="eastAsia" w:ascii="宋体" w:hAnsi="宋体" w:eastAsia="宋体"/>
          <w:b w:val="0"/>
          <w:bCs w:val="0"/>
        </w:rPr>
        <w:t xml:space="preserve">4、投标费用</w:t>
      </w:r>
      <w:bookmarkEnd w:id="62"/>
      <w:r/>
      <w:bookmarkEnd w:id="63"/>
      <w:r/>
      <w:bookmarkEnd w:id="64"/>
      <w:r/>
      <w:bookmarkEnd w:id="65"/>
      <w:r>
        <w:rPr>
          <w:rFonts w:ascii="宋体" w:hAnsi="宋体" w:eastAsia="宋体"/>
          <w:b w:val="0"/>
          <w:bCs w:val="0"/>
        </w:rPr>
      </w:r>
      <w:r/>
    </w:p>
    <w:p>
      <w:pPr>
        <w:pStyle w:val="1038"/>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ascii="宋体" w:hAnsi="宋体"/>
          <w:sz w:val="24"/>
        </w:rPr>
      </w:r>
      <w:r/>
    </w:p>
    <w:p>
      <w:pPr>
        <w:pStyle w:val="1038"/>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rPr>
          <w:rFonts w:ascii="宋体" w:hAnsi="宋体"/>
          <w:sz w:val="24"/>
        </w:rPr>
      </w:r>
      <w:r/>
    </w:p>
    <w:p>
      <w:pPr>
        <w:pStyle w:val="1286"/>
        <w:ind w:firstLine="602"/>
        <w:spacing w:before="0" w:after="0" w:line="480" w:lineRule="exact"/>
        <w:rPr>
          <w:rFonts w:ascii="宋体" w:hAnsi="宋体" w:eastAsia="宋体"/>
          <w:b w:val="0"/>
          <w:bCs w:val="0"/>
        </w:rPr>
      </w:pPr>
      <w:r>
        <w:rPr>
          <w:rFonts w:hint="eastAsia" w:ascii="宋体" w:hAnsi="宋体" w:eastAsia="宋体"/>
          <w:sz w:val="30"/>
        </w:rPr>
        <w:t xml:space="preserve">5、</w:t>
      </w:r>
      <w:r>
        <w:rPr>
          <w:rFonts w:hint="eastAsia" w:ascii="宋体" w:hAnsi="宋体" w:eastAsia="宋体"/>
          <w:b w:val="0"/>
          <w:bCs w:val="0"/>
        </w:rPr>
        <w:t xml:space="preserve">招标文件的约束力</w:t>
      </w:r>
      <w:r>
        <w:rPr>
          <w:rFonts w:ascii="宋体" w:hAnsi="宋体" w:eastAsia="宋体"/>
          <w:b w:val="0"/>
          <w:bCs w:val="0"/>
        </w:rPr>
      </w:r>
      <w:r/>
    </w:p>
    <w:p>
      <w:pPr>
        <w:pStyle w:val="1038"/>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ascii="宋体" w:hAnsi="宋体"/>
          <w:sz w:val="24"/>
          <w:szCs w:val="24"/>
        </w:rPr>
      </w:r>
      <w:r/>
    </w:p>
    <w:p>
      <w:pPr>
        <w:pStyle w:val="1285"/>
        <w:ind w:firstLine="321"/>
        <w:spacing w:before="145" w:after="145" w:line="360" w:lineRule="auto"/>
        <w:rPr>
          <w:rFonts w:ascii="宋体" w:hAnsi="宋体"/>
        </w:rPr>
      </w:pPr>
      <w:r/>
      <w:bookmarkStart w:id="66" w:name="_Toc20823281"/>
      <w:r/>
      <w:bookmarkStart w:id="67" w:name="_Toc513029209"/>
      <w:r/>
      <w:bookmarkStart w:id="68" w:name="_Toc16938525"/>
      <w:r/>
      <w:bookmarkStart w:id="69" w:name="_Toc120614215"/>
      <w:r>
        <w:rPr>
          <w:rFonts w:hint="eastAsia" w:ascii="宋体" w:hAnsi="宋体"/>
        </w:rPr>
        <w:t xml:space="preserve">二、招标文件</w:t>
      </w:r>
      <w:bookmarkEnd w:id="66"/>
      <w:r/>
      <w:bookmarkEnd w:id="67"/>
      <w:r/>
      <w:bookmarkEnd w:id="68"/>
      <w:r/>
      <w:bookmarkEnd w:id="69"/>
      <w:r>
        <w:rPr>
          <w:rFonts w:ascii="宋体" w:hAnsi="宋体"/>
        </w:rPr>
      </w:r>
      <w:r/>
    </w:p>
    <w:p>
      <w:pPr>
        <w:pStyle w:val="1286"/>
        <w:ind w:firstLine="420"/>
        <w:spacing w:before="0" w:after="0" w:line="240" w:lineRule="auto"/>
        <w:rPr>
          <w:rFonts w:ascii="宋体" w:hAnsi="宋体" w:eastAsia="宋体"/>
          <w:b w:val="0"/>
          <w:bCs w:val="0"/>
        </w:rPr>
      </w:pPr>
      <w:r/>
      <w:bookmarkStart w:id="70" w:name="_Toc513029210"/>
      <w:r/>
      <w:bookmarkStart w:id="71" w:name="_Toc20823282"/>
      <w:r/>
      <w:bookmarkStart w:id="72" w:name="_Toc16938526"/>
      <w:r>
        <w:rPr>
          <w:rFonts w:hint="eastAsia" w:ascii="宋体" w:hAnsi="宋体" w:eastAsia="宋体"/>
          <w:b w:val="0"/>
          <w:bCs w:val="0"/>
        </w:rPr>
        <w:t xml:space="preserve">6、招标文件构成</w:t>
      </w:r>
      <w:bookmarkEnd w:id="70"/>
      <w:r/>
      <w:bookmarkEnd w:id="71"/>
      <w:r/>
      <w:bookmarkEnd w:id="72"/>
      <w:r>
        <w:rPr>
          <w:rFonts w:ascii="宋体" w:hAnsi="宋体" w:eastAsia="宋体"/>
          <w:b w:val="0"/>
          <w:bCs w:val="0"/>
        </w:rPr>
      </w:r>
      <w:r/>
    </w:p>
    <w:p>
      <w:pPr>
        <w:pStyle w:val="1038"/>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1038"/>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ascii="宋体" w:hAnsi="宋体"/>
          <w:sz w:val="24"/>
          <w:szCs w:val="24"/>
        </w:rPr>
      </w:r>
      <w:r/>
    </w:p>
    <w:p>
      <w:pPr>
        <w:pStyle w:val="1038"/>
        <w:ind w:firstLine="360"/>
        <w:spacing w:line="400" w:lineRule="exact"/>
        <w:rPr>
          <w:rFonts w:ascii="宋体" w:hAnsi="宋体"/>
          <w:sz w:val="24"/>
          <w:szCs w:val="24"/>
        </w:rPr>
      </w:pPr>
      <w:r>
        <w:rPr>
          <w:rFonts w:hint="eastAsia" w:ascii="宋体" w:hAnsi="宋体"/>
          <w:sz w:val="24"/>
          <w:szCs w:val="24"/>
        </w:rPr>
        <w:t xml:space="preserve">（2）投标人须知</w:t>
      </w:r>
      <w:r>
        <w:rPr>
          <w:rFonts w:ascii="宋体" w:hAnsi="宋体"/>
          <w:sz w:val="24"/>
          <w:szCs w:val="24"/>
        </w:rPr>
      </w:r>
      <w:r/>
    </w:p>
    <w:p>
      <w:pPr>
        <w:pStyle w:val="1038"/>
        <w:ind w:firstLine="360"/>
        <w:spacing w:line="400" w:lineRule="exact"/>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1038"/>
        <w:ind w:firstLine="360"/>
        <w:spacing w:line="400" w:lineRule="exact"/>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1038"/>
        <w:ind w:firstLine="360"/>
        <w:spacing w:line="400" w:lineRule="exact"/>
        <w:rPr>
          <w:rFonts w:ascii="宋体" w:hAnsi="宋体"/>
          <w:sz w:val="24"/>
          <w:szCs w:val="24"/>
        </w:rPr>
      </w:pPr>
      <w:r>
        <w:rPr>
          <w:rFonts w:hint="eastAsia" w:ascii="宋体" w:hAnsi="宋体"/>
          <w:sz w:val="24"/>
          <w:szCs w:val="24"/>
        </w:rPr>
        <w:t xml:space="preserve">（5）评标方法与评标标准</w:t>
      </w:r>
      <w:r>
        <w:rPr>
          <w:rFonts w:ascii="宋体" w:hAnsi="宋体"/>
          <w:sz w:val="24"/>
          <w:szCs w:val="24"/>
        </w:rPr>
      </w:r>
      <w:r/>
    </w:p>
    <w:p>
      <w:pPr>
        <w:pStyle w:val="1038"/>
        <w:ind w:firstLine="360"/>
        <w:spacing w:line="400" w:lineRule="exact"/>
        <w:rPr>
          <w:rFonts w:ascii="宋体" w:hAnsi="宋体"/>
          <w:sz w:val="24"/>
          <w:szCs w:val="24"/>
        </w:rPr>
      </w:pPr>
      <w:r>
        <w:rPr>
          <w:rFonts w:hint="eastAsia" w:ascii="宋体" w:hAnsi="宋体"/>
          <w:sz w:val="24"/>
          <w:szCs w:val="24"/>
        </w:rPr>
        <w:t xml:space="preserve">（6）投标文件格式</w:t>
      </w:r>
      <w:r>
        <w:rPr>
          <w:rFonts w:ascii="宋体" w:hAnsi="宋体"/>
          <w:sz w:val="24"/>
          <w:szCs w:val="24"/>
        </w:rPr>
      </w:r>
      <w:r/>
    </w:p>
    <w:p>
      <w:pPr>
        <w:pStyle w:val="1038"/>
        <w:ind w:firstLine="480"/>
        <w:spacing w:line="500" w:lineRule="exact"/>
        <w:rPr>
          <w:rFonts w:ascii="宋体" w:hAnsi="宋体"/>
          <w:sz w:val="24"/>
        </w:rPr>
      </w:pPr>
      <w:r>
        <w:rPr>
          <w:rFonts w:hint="eastAsia" w:ascii="宋体" w:hAnsi="宋体"/>
          <w:sz w:val="24"/>
        </w:rPr>
        <w:t xml:space="preserve">请仔细检查招标文件是否齐全，如有缺漏请立即与采购中心联系解决。</w:t>
      </w:r>
      <w:r>
        <w:rPr>
          <w:rFonts w:ascii="宋体" w:hAnsi="宋体"/>
          <w:sz w:val="24"/>
        </w:rPr>
      </w:r>
      <w:r/>
    </w:p>
    <w:p>
      <w:pPr>
        <w:pStyle w:val="1038"/>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1286"/>
        <w:ind w:firstLine="560"/>
        <w:spacing w:before="0" w:after="0" w:line="240" w:lineRule="auto"/>
        <w:rPr>
          <w:rFonts w:ascii="宋体" w:hAnsi="宋体" w:eastAsia="宋体"/>
          <w:b w:val="0"/>
          <w:bCs w:val="0"/>
        </w:rPr>
      </w:pPr>
      <w:r/>
      <w:bookmarkStart w:id="73" w:name="_Toc16938527"/>
      <w:r/>
      <w:bookmarkStart w:id="74" w:name="_Toc462564070"/>
      <w:r/>
      <w:bookmarkStart w:id="75" w:name="_Toc513029211"/>
      <w:r/>
      <w:bookmarkStart w:id="76" w:name="_Toc20823283"/>
      <w:r>
        <w:rPr>
          <w:rFonts w:hint="eastAsia" w:ascii="宋体" w:hAnsi="宋体" w:eastAsia="宋体"/>
          <w:b w:val="0"/>
          <w:bCs w:val="0"/>
        </w:rPr>
        <w:t xml:space="preserve">7、招标文件的澄清</w:t>
      </w:r>
      <w:bookmarkEnd w:id="73"/>
      <w:r/>
      <w:bookmarkEnd w:id="74"/>
      <w:r/>
      <w:bookmarkEnd w:id="75"/>
      <w:r/>
      <w:bookmarkEnd w:id="76"/>
      <w:r>
        <w:rPr>
          <w:rFonts w:ascii="宋体" w:hAnsi="宋体" w:eastAsia="宋体"/>
          <w:b w:val="0"/>
          <w:bCs w:val="0"/>
        </w:rPr>
      </w:r>
      <w:r/>
    </w:p>
    <w:p>
      <w:pPr>
        <w:pStyle w:val="1038"/>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宋体" w:hAnsi="宋体"/>
          <w:b/>
          <w:sz w:val="24"/>
          <w:szCs w:val="24"/>
        </w:rPr>
        <w:t xml:space="preserve">十日</w:t>
      </w:r>
      <w:r>
        <w:rPr>
          <w:rFonts w:hint="eastAsia" w:ascii="宋体" w:hAnsi="宋体"/>
          <w:sz w:val="24"/>
          <w:szCs w:val="24"/>
        </w:rPr>
        <w:t xml:space="preserve">前</w:t>
      </w:r>
      <w:r>
        <w:rPr>
          <w:rFonts w:hint="eastAsia" w:ascii="宋体" w:hAnsi="宋体"/>
          <w:sz w:val="24"/>
        </w:rPr>
        <w:t xml:space="preserve">按招标公告中的通讯地址，以书面形式通知采购中心。</w:t>
      </w:r>
      <w:r>
        <w:rPr>
          <w:rFonts w:ascii="宋体" w:hAnsi="宋体"/>
          <w:sz w:val="24"/>
          <w:szCs w:val="24"/>
        </w:rPr>
      </w:r>
      <w:r/>
    </w:p>
    <w:p>
      <w:pPr>
        <w:pStyle w:val="1286"/>
        <w:ind w:firstLine="560"/>
        <w:spacing w:before="0" w:after="0" w:line="240" w:lineRule="auto"/>
        <w:rPr>
          <w:rFonts w:ascii="宋体" w:hAnsi="宋体" w:eastAsia="宋体"/>
          <w:b w:val="0"/>
          <w:bCs w:val="0"/>
        </w:rPr>
      </w:pPr>
      <w:r/>
      <w:bookmarkStart w:id="77" w:name="_Toc462564071"/>
      <w:r/>
      <w:bookmarkStart w:id="78" w:name="_Toc513029212"/>
      <w:r/>
      <w:bookmarkStart w:id="79" w:name="_Toc20823284"/>
      <w:r/>
      <w:bookmarkStart w:id="80" w:name="_Toc16938528"/>
      <w:r>
        <w:rPr>
          <w:rFonts w:hint="eastAsia" w:ascii="宋体" w:hAnsi="宋体" w:eastAsia="宋体"/>
          <w:b w:val="0"/>
          <w:bCs w:val="0"/>
        </w:rPr>
        <w:t xml:space="preserve">8、招标文件的修改</w:t>
      </w:r>
      <w:bookmarkEnd w:id="77"/>
      <w:r/>
      <w:bookmarkEnd w:id="78"/>
      <w:r/>
      <w:bookmarkEnd w:id="79"/>
      <w:r/>
      <w:bookmarkEnd w:id="80"/>
      <w:r>
        <w:rPr>
          <w:rFonts w:ascii="宋体" w:hAnsi="宋体" w:eastAsia="宋体"/>
          <w:b w:val="0"/>
          <w:bCs w:val="0"/>
        </w:rPr>
      </w:r>
      <w:r/>
    </w:p>
    <w:p>
      <w:pPr>
        <w:pStyle w:val="1038"/>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在投标截止时间前，采购中心可以对招标文件进行修改。</w:t>
      </w:r>
      <w:r>
        <w:rPr>
          <w:rFonts w:ascii="宋体" w:hAnsi="宋体"/>
          <w:sz w:val="24"/>
        </w:rPr>
      </w:r>
      <w:r/>
    </w:p>
    <w:p>
      <w:pPr>
        <w:pStyle w:val="1038"/>
        <w:ind w:firstLine="480"/>
        <w:spacing w:line="500" w:lineRule="exact"/>
        <w:rPr>
          <w:rFonts w:ascii="宋体" w:hAnsi="宋体"/>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ascii="宋体" w:hAnsi="宋体"/>
          <w:sz w:val="28"/>
        </w:rPr>
      </w:r>
      <w:r/>
    </w:p>
    <w:p>
      <w:pPr>
        <w:pStyle w:val="1038"/>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ascii="宋体" w:hAnsi="宋体"/>
          <w:sz w:val="24"/>
        </w:rPr>
      </w:r>
      <w:r/>
    </w:p>
    <w:p>
      <w:pPr>
        <w:pStyle w:val="1285"/>
        <w:ind w:firstLine="482"/>
        <w:spacing w:before="145" w:after="145" w:line="360" w:lineRule="auto"/>
        <w:rPr>
          <w:rFonts w:ascii="宋体" w:hAnsi="宋体"/>
        </w:rPr>
      </w:pPr>
      <w:r/>
      <w:bookmarkStart w:id="81" w:name="_Toc16938529"/>
      <w:r/>
      <w:bookmarkStart w:id="82" w:name="_Toc20823285"/>
      <w:r/>
      <w:bookmarkStart w:id="83" w:name="_Toc513029213"/>
      <w:r/>
      <w:bookmarkStart w:id="84" w:name="_Toc120614216"/>
      <w:r/>
      <w:bookmarkStart w:id="85" w:name="_Toc462564072"/>
      <w:r>
        <w:rPr>
          <w:rFonts w:hint="eastAsia" w:ascii="宋体" w:hAnsi="宋体"/>
        </w:rPr>
        <w:t xml:space="preserve">三、投标文件的编制</w:t>
      </w:r>
      <w:bookmarkEnd w:id="81"/>
      <w:r/>
      <w:bookmarkEnd w:id="82"/>
      <w:r/>
      <w:bookmarkEnd w:id="83"/>
      <w:r/>
      <w:bookmarkEnd w:id="84"/>
      <w:r/>
      <w:bookmarkEnd w:id="85"/>
      <w:r>
        <w:rPr>
          <w:rFonts w:ascii="宋体" w:hAnsi="宋体"/>
        </w:rPr>
      </w:r>
      <w:r/>
    </w:p>
    <w:p>
      <w:pPr>
        <w:pStyle w:val="1286"/>
        <w:ind w:firstLine="560"/>
        <w:spacing w:before="0" w:after="0" w:line="240" w:lineRule="auto"/>
        <w:rPr>
          <w:rFonts w:ascii="宋体" w:hAnsi="宋体" w:eastAsia="宋体"/>
          <w:bCs w:val="0"/>
        </w:rPr>
      </w:pPr>
      <w:r/>
      <w:bookmarkStart w:id="86" w:name="_Toc462564073"/>
      <w:r/>
      <w:bookmarkStart w:id="87" w:name="_Toc513029214"/>
      <w:r/>
      <w:bookmarkStart w:id="88" w:name="_Toc16938530"/>
      <w:r/>
      <w:bookmarkStart w:id="89" w:name="_Toc20823286"/>
      <w:r>
        <w:rPr>
          <w:rFonts w:hint="eastAsia" w:ascii="宋体" w:hAnsi="宋体" w:eastAsia="宋体"/>
          <w:b w:val="0"/>
          <w:bCs w:val="0"/>
        </w:rPr>
        <w:t xml:space="preserve">9、投标文件的语言及度量衡单位</w:t>
      </w:r>
      <w:bookmarkEnd w:id="86"/>
      <w:r/>
      <w:bookmarkEnd w:id="87"/>
      <w:r/>
      <w:bookmarkEnd w:id="88"/>
      <w:r/>
      <w:bookmarkEnd w:id="89"/>
      <w:r>
        <w:rPr>
          <w:rFonts w:ascii="宋体" w:hAnsi="宋体" w:eastAsia="宋体"/>
          <w:bCs w:val="0"/>
        </w:rPr>
      </w:r>
      <w:r/>
    </w:p>
    <w:p>
      <w:pPr>
        <w:pStyle w:val="1038"/>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1038"/>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1286"/>
        <w:ind w:firstLine="420"/>
        <w:spacing w:before="0" w:after="0" w:line="240" w:lineRule="auto"/>
        <w:rPr>
          <w:rFonts w:ascii="宋体" w:hAnsi="宋体" w:eastAsia="宋体"/>
          <w:b w:val="0"/>
          <w:bCs w:val="0"/>
        </w:rPr>
      </w:pPr>
      <w:r/>
      <w:bookmarkStart w:id="90" w:name="_Toc16938531"/>
      <w:r/>
      <w:bookmarkStart w:id="91" w:name="_Toc462564074"/>
      <w:r/>
      <w:bookmarkStart w:id="92" w:name="_Toc20823287"/>
      <w:r/>
      <w:bookmarkStart w:id="93" w:name="_Toc513029215"/>
      <w:r>
        <w:rPr>
          <w:rFonts w:hint="eastAsia" w:ascii="宋体" w:hAnsi="宋体" w:eastAsia="宋体"/>
          <w:b w:val="0"/>
          <w:bCs w:val="0"/>
        </w:rPr>
        <w:t xml:space="preserve">10、投标文件构成</w:t>
      </w:r>
      <w:bookmarkEnd w:id="90"/>
      <w:r/>
      <w:bookmarkEnd w:id="91"/>
      <w:r/>
      <w:bookmarkEnd w:id="92"/>
      <w:r/>
      <w:bookmarkEnd w:id="93"/>
      <w:r>
        <w:rPr>
          <w:rFonts w:ascii="宋体" w:hAnsi="宋体" w:eastAsia="宋体"/>
          <w:b w:val="0"/>
          <w:bCs w:val="0"/>
        </w:rPr>
      </w:r>
      <w:r/>
    </w:p>
    <w:p>
      <w:pPr>
        <w:pStyle w:val="1038"/>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ascii="宋体" w:hAnsi="宋体"/>
          <w:sz w:val="24"/>
        </w:rPr>
      </w:r>
      <w:r/>
    </w:p>
    <w:p>
      <w:pPr>
        <w:pStyle w:val="1038"/>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ascii="宋体" w:hAnsi="宋体"/>
          <w:sz w:val="24"/>
        </w:rPr>
      </w:r>
      <w:r/>
    </w:p>
    <w:p>
      <w:pPr>
        <w:pStyle w:val="1286"/>
        <w:ind w:firstLine="420"/>
        <w:spacing w:before="0" w:after="0" w:line="240" w:lineRule="auto"/>
        <w:rPr>
          <w:rFonts w:ascii="宋体" w:hAnsi="宋体" w:eastAsia="宋体"/>
          <w:b w:val="0"/>
          <w:bCs w:val="0"/>
        </w:rPr>
      </w:pPr>
      <w:r/>
      <w:bookmarkStart w:id="94" w:name="_Hlt26668975"/>
      <w:r/>
      <w:bookmarkEnd w:id="94"/>
      <w:r/>
      <w:bookmarkStart w:id="95" w:name="_Hlt26954838"/>
      <w:r/>
      <w:bookmarkEnd w:id="95"/>
      <w:r/>
      <w:bookmarkStart w:id="96" w:name="_Hlt26670360"/>
      <w:r/>
      <w:bookmarkEnd w:id="96"/>
      <w:r/>
      <w:bookmarkStart w:id="97" w:name="_Toc14577357"/>
      <w:r/>
      <w:bookmarkStart w:id="98" w:name="_Toc513029216"/>
      <w:r/>
      <w:bookmarkStart w:id="99" w:name="_Toc49090507"/>
      <w:r/>
      <w:bookmarkStart w:id="100" w:name="_Toc49090509"/>
      <w:r/>
      <w:bookmarkStart w:id="101" w:name="_Toc14577354"/>
      <w:r/>
      <w:bookmarkStart w:id="102" w:name="_Toc513029219"/>
      <w:r>
        <w:rPr>
          <w:rFonts w:hint="eastAsia" w:ascii="宋体" w:hAnsi="宋体" w:eastAsia="宋体"/>
          <w:b w:val="0"/>
          <w:bCs w:val="0"/>
        </w:rPr>
        <w:t xml:space="preserve">11、证明投标人及投标标的符合招标文件规定的文件</w:t>
      </w:r>
      <w:bookmarkEnd w:id="97"/>
      <w:r/>
      <w:bookmarkEnd w:id="98"/>
      <w:r/>
      <w:bookmarkEnd w:id="99"/>
      <w:r/>
      <w:bookmarkEnd w:id="100"/>
      <w:r/>
      <w:bookmarkEnd w:id="101"/>
      <w:r/>
      <w:bookmarkEnd w:id="102"/>
      <w:r>
        <w:rPr>
          <w:rFonts w:ascii="宋体" w:hAnsi="宋体" w:eastAsia="宋体"/>
          <w:b w:val="0"/>
          <w:bCs w:val="0"/>
        </w:rPr>
      </w:r>
      <w:r/>
    </w:p>
    <w:p>
      <w:pPr>
        <w:pStyle w:val="1038"/>
        <w:spacing w:line="480" w:lineRule="exact"/>
        <w:rPr>
          <w:rFonts w:ascii="宋体" w:hAnsi="宋体"/>
          <w:sz w:val="24"/>
          <w:szCs w:val="24"/>
        </w:rPr>
      </w:pPr>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ascii="宋体" w:hAnsi="宋体"/>
          <w:sz w:val="24"/>
          <w:szCs w:val="24"/>
        </w:rPr>
      </w:r>
      <w:r/>
    </w:p>
    <w:p>
      <w:pPr>
        <w:pStyle w:val="1286"/>
        <w:ind w:firstLine="420"/>
        <w:spacing w:before="0" w:after="0" w:line="240" w:lineRule="auto"/>
        <w:rPr>
          <w:rFonts w:ascii="宋体" w:hAnsi="宋体" w:eastAsia="宋体"/>
          <w:b w:val="0"/>
          <w:bCs w:val="0"/>
        </w:rPr>
      </w:pPr>
      <w:r>
        <w:rPr>
          <w:rFonts w:hint="eastAsia" w:ascii="宋体" w:hAnsi="宋体" w:eastAsia="宋体"/>
          <w:b w:val="0"/>
          <w:bCs w:val="0"/>
        </w:rPr>
        <w:t xml:space="preserve">12、投标分项报价</w:t>
      </w:r>
      <w:bookmarkEnd w:id="103"/>
      <w:r/>
      <w:bookmarkStart w:id="105" w:name="_Hlt26670373"/>
      <w:r/>
      <w:bookmarkEnd w:id="105"/>
      <w:r>
        <w:rPr>
          <w:rFonts w:hint="eastAsia" w:ascii="宋体" w:hAnsi="宋体" w:eastAsia="宋体"/>
          <w:b w:val="0"/>
          <w:bCs w:val="0"/>
        </w:rPr>
        <w:t xml:space="preserve">表</w:t>
      </w:r>
      <w:bookmarkEnd w:id="104"/>
      <w:r>
        <w:rPr>
          <w:rFonts w:ascii="宋体" w:hAnsi="宋体" w:eastAsia="宋体"/>
          <w:b w:val="0"/>
          <w:bCs w:val="0"/>
        </w:rPr>
      </w:r>
      <w:r/>
    </w:p>
    <w:p>
      <w:pPr>
        <w:pStyle w:val="1038"/>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标人按照招标文件规定格式填报投标分项报价表</w:t>
      </w:r>
      <w:bookmarkStart w:id="107" w:name="_Hlt26670399"/>
      <w:r/>
      <w:bookmarkEnd w:id="107"/>
      <w:r>
        <w:rPr>
          <w:rFonts w:hint="eastAsia" w:ascii="宋体" w:hAnsi="宋体"/>
          <w:sz w:val="24"/>
        </w:rPr>
        <w:t xml:space="preserve">。</w:t>
      </w:r>
      <w:r>
        <w:rPr>
          <w:rFonts w:ascii="宋体" w:hAnsi="宋体"/>
          <w:bCs/>
          <w:sz w:val="24"/>
        </w:rPr>
      </w:r>
      <w:r/>
    </w:p>
    <w:p>
      <w:pPr>
        <w:pStyle w:val="1038"/>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ascii="宋体" w:hAnsi="宋体"/>
          <w:bCs/>
          <w:sz w:val="24"/>
        </w:rPr>
      </w:r>
      <w:r/>
    </w:p>
    <w:p>
      <w:pPr>
        <w:pStyle w:val="1286"/>
        <w:ind w:firstLine="420"/>
        <w:spacing w:before="0" w:after="0" w:line="240" w:lineRule="auto"/>
        <w:rPr>
          <w:rFonts w:ascii="宋体" w:hAnsi="宋体" w:eastAsia="宋体"/>
          <w:b w:val="0"/>
          <w:bCs w:val="0"/>
        </w:rPr>
      </w:pPr>
      <w:r/>
      <w:bookmarkStart w:id="108" w:name="_Hlt26954731"/>
      <w:r/>
      <w:bookmarkEnd w:id="108"/>
      <w:r/>
      <w:bookmarkStart w:id="109" w:name="_Hlt26954842"/>
      <w:r/>
      <w:bookmarkEnd w:id="109"/>
      <w:r/>
      <w:bookmarkStart w:id="110" w:name="_Hlt26670425"/>
      <w:r/>
      <w:bookmarkEnd w:id="110"/>
      <w:r/>
      <w:bookmarkStart w:id="111" w:name="_Hlt26954848"/>
      <w:r/>
      <w:bookmarkEnd w:id="111"/>
      <w:r/>
      <w:bookmarkStart w:id="112" w:name="_Hlt26668983"/>
      <w:r/>
      <w:bookmarkEnd w:id="112"/>
      <w:r/>
      <w:bookmarkStart w:id="113" w:name="_Hlt26954846"/>
      <w:r/>
      <w:bookmarkEnd w:id="113"/>
      <w:r/>
      <w:bookmarkStart w:id="114" w:name="_Hlt26954844"/>
      <w:r/>
      <w:bookmarkEnd w:id="114"/>
      <w:r/>
      <w:bookmarkStart w:id="115" w:name="_Hlt26670403"/>
      <w:r/>
      <w:bookmarkEnd w:id="115"/>
      <w:r/>
      <w:bookmarkStart w:id="116" w:name="_Hlt26670486"/>
      <w:r/>
      <w:bookmarkEnd w:id="116"/>
      <w:r/>
      <w:bookmarkStart w:id="117" w:name="_Hlt26670482"/>
      <w:r/>
      <w:bookmarkEnd w:id="117"/>
      <w:r>
        <w:rPr>
          <w:rFonts w:hint="eastAsia" w:ascii="宋体" w:hAnsi="宋体" w:eastAsia="宋体"/>
          <w:b w:val="0"/>
          <w:bCs w:val="0"/>
        </w:rPr>
        <w:t xml:space="preserve">13、技术要求响应及偏离表、商务要求响应及偏离表</w:t>
      </w:r>
      <w:r>
        <w:rPr>
          <w:rFonts w:ascii="宋体" w:hAnsi="宋体" w:eastAsia="宋体"/>
          <w:b w:val="0"/>
          <w:bCs w:val="0"/>
        </w:rPr>
      </w:r>
      <w:r/>
    </w:p>
    <w:p>
      <w:pPr>
        <w:pStyle w:val="1038"/>
        <w:ind w:firstLine="480"/>
        <w:spacing w:line="500" w:lineRule="exact"/>
        <w:rPr>
          <w:rFonts w:ascii="宋体" w:hAnsi="宋体" w:cs="宋体"/>
          <w:sz w:val="24"/>
          <w:lang w:val="zh-CN"/>
        </w:rPr>
      </w:pPr>
      <w:r>
        <w:rPr>
          <w:rFonts w:ascii="宋体" w:hAnsi="宋体" w:cs="宋体"/>
          <w:bCs/>
          <w:sz w:val="24"/>
          <w:lang w:val="zh-CN"/>
        </w:rPr>
        <w:t xml:space="preserve">1</w:t>
      </w:r>
      <w:r>
        <w:rPr>
          <w:rFonts w:hint="eastAsia" w:ascii="宋体" w:hAnsi="宋体" w:cs="宋体"/>
          <w:bCs/>
          <w:sz w:val="24"/>
          <w:lang w:val="zh-CN"/>
        </w:rPr>
        <w:t xml:space="preserve">3</w:t>
      </w:r>
      <w:r>
        <w:rPr>
          <w:rFonts w:ascii="宋体" w:hAnsi="宋体" w:cs="宋体"/>
          <w:bCs/>
          <w:sz w:val="24"/>
          <w:lang w:val="zh-CN"/>
        </w:rPr>
        <w:t xml:space="preserve">.1</w:t>
      </w:r>
      <w:r>
        <w:rPr>
          <w:rFonts w:ascii="宋体" w:hAnsi="宋体" w:cs="宋体"/>
          <w:sz w:val="24"/>
          <w:lang w:val="zh-CN"/>
        </w:rPr>
        <w:t xml:space="preserve"> </w:t>
      </w:r>
      <w:r>
        <w:rPr>
          <w:rFonts w:hint="eastAsia" w:ascii="宋体" w:hAnsi="宋体" w:cs="宋体"/>
          <w:sz w:val="24"/>
          <w:lang w:val="zh-CN"/>
        </w:rPr>
        <w:t xml:space="preserve">投标人需对招标文件中的技术要求与商务要求逐项作出响应或偏离，并说明原因。</w:t>
      </w:r>
      <w:r>
        <w:rPr>
          <w:rFonts w:ascii="宋体" w:hAnsi="宋体" w:cs="宋体"/>
          <w:sz w:val="24"/>
          <w:lang w:val="zh-CN"/>
        </w:rPr>
      </w:r>
      <w:r/>
    </w:p>
    <w:p>
      <w:pPr>
        <w:pStyle w:val="1038"/>
        <w:ind w:firstLine="480"/>
        <w:spacing w:line="500" w:lineRule="exact"/>
        <w:rPr>
          <w:rFonts w:ascii="宋体" w:hAnsi="宋体" w:cs="宋体"/>
          <w:sz w:val="24"/>
          <w:lang w:val="zh-CN"/>
        </w:rPr>
      </w:pPr>
      <w:r/>
      <w:bookmarkStart w:id="118" w:name="_Toc14577359"/>
      <w:r/>
      <w:bookmarkStart w:id="119" w:name="_Toc49090510"/>
      <w:r>
        <w:rPr>
          <w:rFonts w:hint="eastAsia" w:ascii="宋体" w:hAnsi="宋体" w:cs="宋体"/>
          <w:sz w:val="24"/>
          <w:lang w:val="zh-CN"/>
        </w:rPr>
        <w:t xml:space="preserve">13.2 投标人需按照招标文件要求，在投标文件中提供与技术要求和商务要求相关的证明材料。</w:t>
      </w:r>
      <w:r>
        <w:rPr>
          <w:rFonts w:ascii="宋体" w:hAnsi="宋体" w:cs="宋体"/>
          <w:sz w:val="24"/>
          <w:lang w:val="zh-CN"/>
        </w:rPr>
      </w:r>
      <w:r/>
    </w:p>
    <w:p>
      <w:pPr>
        <w:pStyle w:val="1286"/>
        <w:ind w:firstLine="420"/>
        <w:spacing w:before="0" w:after="0" w:line="240" w:lineRule="auto"/>
        <w:rPr>
          <w:rFonts w:ascii="宋体" w:hAnsi="宋体" w:eastAsia="宋体"/>
          <w:b w:val="0"/>
          <w:bCs w:val="0"/>
        </w:rPr>
      </w:pPr>
      <w:r>
        <w:rPr>
          <w:rFonts w:hint="eastAsia" w:ascii="宋体" w:hAnsi="宋体" w:eastAsia="宋体"/>
          <w:b w:val="0"/>
          <w:bCs w:val="0"/>
        </w:rPr>
        <w:t xml:space="preserve">14、投标函和开标一览表</w:t>
      </w:r>
      <w:r>
        <w:rPr>
          <w:rFonts w:ascii="宋体" w:hAnsi="宋体" w:eastAsia="宋体"/>
          <w:b w:val="0"/>
          <w:bCs w:val="0"/>
        </w:rPr>
      </w:r>
      <w:r/>
    </w:p>
    <w:p>
      <w:pPr>
        <w:pStyle w:val="1038"/>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ascii="宋体" w:hAnsi="宋体"/>
          <w:sz w:val="24"/>
        </w:rPr>
      </w:r>
      <w:r/>
    </w:p>
    <w:p>
      <w:pPr>
        <w:pStyle w:val="1038"/>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8"/>
      <w:r/>
      <w:bookmarkEnd w:id="119"/>
      <w:r>
        <w:rPr>
          <w:rFonts w:ascii="宋体" w:hAnsi="宋体"/>
          <w:sz w:val="24"/>
        </w:rPr>
      </w:r>
      <w:r/>
    </w:p>
    <w:p>
      <w:pPr>
        <w:pStyle w:val="1286"/>
        <w:ind w:firstLine="420"/>
        <w:spacing w:before="0" w:after="0" w:line="240" w:lineRule="auto"/>
        <w:rPr>
          <w:rFonts w:ascii="宋体" w:hAnsi="宋体" w:eastAsia="宋体"/>
          <w:b w:val="0"/>
          <w:bCs w:val="0"/>
        </w:rPr>
      </w:pPr>
      <w:r/>
      <w:bookmarkStart w:id="120" w:name="_Hlt26954850"/>
      <w:r/>
      <w:bookmarkEnd w:id="120"/>
      <w:r/>
      <w:bookmarkStart w:id="121" w:name="_Hlt26954734"/>
      <w:r/>
      <w:bookmarkEnd w:id="121"/>
      <w:r/>
      <w:bookmarkStart w:id="122" w:name="_Hlt26670489"/>
      <w:r/>
      <w:bookmarkEnd w:id="122"/>
      <w:r/>
      <w:bookmarkStart w:id="123" w:name="_Toc14577360"/>
      <w:r/>
      <w:bookmarkStart w:id="124" w:name="_Toc49090511"/>
      <w:r>
        <w:rPr>
          <w:rFonts w:hint="eastAsia" w:ascii="宋体" w:hAnsi="宋体" w:eastAsia="宋体"/>
          <w:b w:val="0"/>
          <w:bCs w:val="0"/>
        </w:rPr>
        <w:t xml:space="preserve">15、投标有效期</w:t>
      </w:r>
      <w:bookmarkEnd w:id="123"/>
      <w:r/>
      <w:bookmarkEnd w:id="124"/>
      <w:r>
        <w:rPr>
          <w:rFonts w:ascii="宋体" w:hAnsi="宋体" w:eastAsia="宋体"/>
          <w:b w:val="0"/>
          <w:bCs w:val="0"/>
        </w:rPr>
      </w:r>
      <w:r/>
    </w:p>
    <w:p>
      <w:pPr>
        <w:pStyle w:val="1038"/>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ascii="宋体" w:hAnsi="宋体"/>
          <w:bCs/>
          <w:sz w:val="24"/>
        </w:rPr>
      </w:r>
      <w:r/>
    </w:p>
    <w:p>
      <w:pPr>
        <w:pStyle w:val="1286"/>
        <w:ind w:firstLine="420"/>
        <w:spacing w:before="0" w:after="0" w:line="240" w:lineRule="auto"/>
        <w:rPr>
          <w:rFonts w:ascii="宋体" w:hAnsi="宋体" w:eastAsia="宋体"/>
          <w:b w:val="0"/>
          <w:bCs w:val="0"/>
        </w:rPr>
      </w:pPr>
      <w:r>
        <w:rPr>
          <w:rFonts w:hint="eastAsia" w:ascii="宋体" w:hAnsi="宋体" w:eastAsia="宋体"/>
          <w:b w:val="0"/>
          <w:bCs w:val="0"/>
        </w:rPr>
        <w:t xml:space="preserve">16、投标有效期的延长</w:t>
      </w:r>
      <w:r>
        <w:rPr>
          <w:rFonts w:ascii="宋体" w:hAnsi="宋体" w:eastAsia="宋体"/>
          <w:b w:val="0"/>
          <w:bCs w:val="0"/>
        </w:rPr>
      </w:r>
      <w:r/>
    </w:p>
    <w:p>
      <w:pPr>
        <w:pStyle w:val="1038"/>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1285"/>
        <w:ind w:firstLine="482"/>
        <w:spacing w:before="145" w:after="145" w:line="360" w:lineRule="auto"/>
        <w:rPr>
          <w:rFonts w:ascii="宋体" w:hAnsi="宋体"/>
        </w:rPr>
      </w:pPr>
      <w:r/>
      <w:bookmarkStart w:id="125" w:name="_Hlt26954852"/>
      <w:r/>
      <w:bookmarkEnd w:id="125"/>
      <w:r/>
      <w:bookmarkStart w:id="126" w:name="_Hlt26954739"/>
      <w:r/>
      <w:bookmarkEnd w:id="126"/>
      <w:r/>
      <w:bookmarkStart w:id="127" w:name="_Toc120614217"/>
      <w:r/>
      <w:bookmarkStart w:id="128" w:name="_Toc16938540"/>
      <w:r/>
      <w:bookmarkStart w:id="129" w:name="_Toc513029224"/>
      <w:r/>
      <w:bookmarkStart w:id="130" w:name="_Toc20823296"/>
      <w:r>
        <w:rPr>
          <w:rFonts w:hint="eastAsia" w:ascii="宋体" w:hAnsi="宋体"/>
        </w:rPr>
        <w:t xml:space="preserve">四、投标文件的递交</w:t>
      </w:r>
      <w:bookmarkEnd w:id="127"/>
      <w:r/>
      <w:bookmarkEnd w:id="128"/>
      <w:r/>
      <w:bookmarkEnd w:id="129"/>
      <w:r/>
      <w:bookmarkEnd w:id="130"/>
      <w:r>
        <w:rPr>
          <w:rFonts w:ascii="宋体" w:hAnsi="宋体"/>
        </w:rPr>
      </w:r>
      <w:r/>
    </w:p>
    <w:p>
      <w:pPr>
        <w:pStyle w:val="1286"/>
        <w:ind w:firstLine="560"/>
        <w:spacing w:before="0" w:after="0" w:line="240" w:lineRule="auto"/>
        <w:rPr>
          <w:rFonts w:ascii="宋体" w:hAnsi="宋体" w:eastAsia="宋体"/>
          <w:b w:val="0"/>
          <w:bCs w:val="0"/>
        </w:rPr>
      </w:pPr>
      <w:r/>
      <w:bookmarkStart w:id="131" w:name="_Toc16938541"/>
      <w:r/>
      <w:bookmarkStart w:id="132" w:name="_Toc462564084"/>
      <w:r/>
      <w:bookmarkStart w:id="133" w:name="_Toc513029225"/>
      <w:r/>
      <w:bookmarkStart w:id="134" w:name="_Toc20823297"/>
      <w:r>
        <w:rPr>
          <w:rFonts w:hint="eastAsia" w:ascii="宋体" w:hAnsi="宋体" w:eastAsia="宋体"/>
          <w:b w:val="0"/>
          <w:bCs w:val="0"/>
        </w:rPr>
        <w:t xml:space="preserve">17、投标文件</w:t>
      </w:r>
      <w:bookmarkEnd w:id="131"/>
      <w:r/>
      <w:bookmarkEnd w:id="132"/>
      <w:r/>
      <w:bookmarkEnd w:id="133"/>
      <w:r/>
      <w:bookmarkEnd w:id="134"/>
      <w:r>
        <w:rPr>
          <w:rFonts w:hint="eastAsia" w:ascii="宋体" w:hAnsi="宋体" w:eastAsia="宋体"/>
          <w:b w:val="0"/>
          <w:bCs w:val="0"/>
        </w:rPr>
        <w:t xml:space="preserve">的递交</w:t>
      </w:r>
      <w:r>
        <w:rPr>
          <w:rFonts w:ascii="宋体" w:hAnsi="宋体" w:eastAsia="宋体"/>
          <w:b w:val="0"/>
          <w:bCs w:val="0"/>
        </w:rPr>
      </w:r>
      <w:r/>
    </w:p>
    <w:p>
      <w:pPr>
        <w:pStyle w:val="1038"/>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ascii="宋体" w:hAnsi="宋体"/>
          <w:bCs/>
          <w:sz w:val="24"/>
        </w:rPr>
      </w:r>
      <w:r/>
    </w:p>
    <w:p>
      <w:pPr>
        <w:pStyle w:val="1383"/>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20823298"/>
      <w:r/>
      <w:bookmarkStart w:id="137" w:name="_Toc16938542"/>
      <w:r>
        <w:rPr>
          <w:rFonts w:ascii="宋体" w:hAnsi="宋体"/>
          <w:bCs/>
          <w:sz w:val="24"/>
        </w:rPr>
      </w:r>
      <w:r/>
    </w:p>
    <w:p>
      <w:pPr>
        <w:pStyle w:val="1286"/>
        <w:ind w:firstLine="420"/>
        <w:rPr>
          <w:rFonts w:ascii="宋体" w:hAnsi="宋体" w:eastAsia="宋体"/>
          <w:b w:val="0"/>
        </w:rPr>
      </w:pPr>
      <w:r>
        <w:rPr>
          <w:rFonts w:hint="eastAsia" w:ascii="宋体" w:hAnsi="宋体" w:eastAsia="宋体"/>
          <w:b w:val="0"/>
        </w:rPr>
        <w:t xml:space="preserve">18、投标截止</w:t>
      </w:r>
      <w:bookmarkEnd w:id="135"/>
      <w:r/>
      <w:bookmarkEnd w:id="136"/>
      <w:r/>
      <w:bookmarkEnd w:id="137"/>
      <w:r>
        <w:rPr>
          <w:rFonts w:hint="eastAsia" w:ascii="宋体" w:hAnsi="宋体" w:eastAsia="宋体"/>
          <w:b w:val="0"/>
        </w:rPr>
        <w:t xml:space="preserve">时间</w:t>
      </w:r>
      <w:r>
        <w:rPr>
          <w:rFonts w:ascii="宋体" w:hAnsi="宋体" w:eastAsia="宋体"/>
          <w:b w:val="0"/>
        </w:rPr>
      </w:r>
      <w:r/>
    </w:p>
    <w:p>
      <w:pPr>
        <w:pStyle w:val="1038"/>
        <w:ind w:firstLine="480"/>
        <w:spacing w:line="500" w:lineRule="exact"/>
        <w:rPr>
          <w:rFonts w:ascii="宋体" w:hAnsi="宋体"/>
          <w:bCs/>
          <w:sz w:val="24"/>
        </w:rPr>
      </w:pPr>
      <w:r>
        <w:rPr>
          <w:rFonts w:hint="eastAsia" w:ascii="宋体" w:hAnsi="宋体"/>
          <w:sz w:val="24"/>
        </w:rPr>
        <w:t xml:space="preserve">18.1</w:t>
      </w:r>
      <w:r>
        <w:rPr>
          <w:rFonts w:hint="eastAsia" w:ascii="宋体" w:hAnsi="宋体"/>
          <w:bCs/>
          <w:sz w:val="24"/>
        </w:rPr>
        <w:t xml:space="preserve"> 投标人上传电子投标文件的时间不得迟于招标公告中规定的投标截止时间。</w:t>
      </w:r>
      <w:r>
        <w:rPr>
          <w:rFonts w:ascii="宋体" w:hAnsi="宋体"/>
          <w:bCs/>
          <w:sz w:val="24"/>
        </w:rPr>
      </w:r>
      <w:r/>
    </w:p>
    <w:p>
      <w:pPr>
        <w:pStyle w:val="1038"/>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ascii="宋体" w:hAnsi="宋体"/>
          <w:bCs/>
          <w:sz w:val="24"/>
        </w:rPr>
      </w:r>
      <w:r/>
    </w:p>
    <w:p>
      <w:pPr>
        <w:pStyle w:val="1038"/>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ascii="宋体" w:hAnsi="宋体"/>
          <w:bCs/>
          <w:sz w:val="24"/>
        </w:rPr>
      </w:r>
      <w:r/>
    </w:p>
    <w:p>
      <w:pPr>
        <w:pStyle w:val="1286"/>
        <w:ind w:firstLine="420"/>
        <w:spacing w:before="0" w:after="0" w:line="240" w:lineRule="auto"/>
        <w:rPr>
          <w:rFonts w:ascii="宋体" w:hAnsi="宋体" w:eastAsia="宋体"/>
          <w:b w:val="0"/>
          <w:bCs w:val="0"/>
        </w:rPr>
      </w:pPr>
      <w:r/>
      <w:bookmarkStart w:id="138" w:name="_Toc16938543"/>
      <w:r/>
      <w:bookmarkStart w:id="139" w:name="_Toc20823299"/>
      <w:r/>
      <w:bookmarkStart w:id="140" w:name="_Toc513029227"/>
      <w:r>
        <w:rPr>
          <w:rFonts w:hint="eastAsia" w:ascii="宋体" w:hAnsi="宋体" w:eastAsia="宋体"/>
          <w:b w:val="0"/>
          <w:bCs w:val="0"/>
        </w:rPr>
        <w:t xml:space="preserve">19、投标文件</w:t>
      </w:r>
      <w:bookmarkEnd w:id="138"/>
      <w:r/>
      <w:bookmarkEnd w:id="139"/>
      <w:r/>
      <w:bookmarkEnd w:id="140"/>
      <w:r>
        <w:rPr>
          <w:rFonts w:hint="eastAsia" w:ascii="宋体" w:hAnsi="宋体" w:eastAsia="宋体"/>
          <w:b w:val="0"/>
          <w:bCs w:val="0"/>
        </w:rPr>
        <w:t xml:space="preserve">的拒收</w:t>
      </w:r>
      <w:r>
        <w:rPr>
          <w:rFonts w:ascii="宋体" w:hAnsi="宋体" w:eastAsia="宋体"/>
          <w:b w:val="0"/>
          <w:bCs w:val="0"/>
        </w:rPr>
      </w:r>
      <w:r/>
    </w:p>
    <w:p>
      <w:pPr>
        <w:pStyle w:val="1038"/>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ascii="宋体" w:hAnsi="宋体"/>
          <w:bCs/>
          <w:sz w:val="24"/>
        </w:rPr>
      </w:r>
      <w:r/>
    </w:p>
    <w:p>
      <w:pPr>
        <w:pStyle w:val="1286"/>
        <w:ind w:firstLine="420"/>
        <w:spacing w:before="0" w:after="0" w:line="240" w:lineRule="auto"/>
        <w:rPr>
          <w:rFonts w:ascii="宋体" w:hAnsi="宋体" w:eastAsia="宋体"/>
          <w:b w:val="0"/>
          <w:bCs w:val="0"/>
        </w:rPr>
      </w:pPr>
      <w:r/>
      <w:bookmarkStart w:id="141" w:name="_Toc20823300"/>
      <w:r/>
      <w:bookmarkStart w:id="142" w:name="_Toc16938544"/>
      <w:r/>
      <w:bookmarkStart w:id="143" w:name="_Toc513029228"/>
      <w:r>
        <w:rPr>
          <w:rFonts w:hint="eastAsia" w:ascii="宋体" w:hAnsi="宋体" w:eastAsia="宋体"/>
          <w:b w:val="0"/>
          <w:bCs w:val="0"/>
        </w:rPr>
        <w:t xml:space="preserve">20、投标文件的撤回和修改</w:t>
      </w:r>
      <w:bookmarkEnd w:id="141"/>
      <w:r/>
      <w:bookmarkEnd w:id="142"/>
      <w:r/>
      <w:bookmarkEnd w:id="143"/>
      <w:r>
        <w:rPr>
          <w:rFonts w:ascii="宋体" w:hAnsi="宋体" w:eastAsia="宋体"/>
          <w:b w:val="0"/>
          <w:bCs w:val="0"/>
        </w:rPr>
      </w:r>
      <w:r/>
    </w:p>
    <w:p>
      <w:pPr>
        <w:pStyle w:val="1038"/>
        <w:ind w:firstLine="480"/>
        <w:spacing w:line="480" w:lineRule="exact"/>
        <w:rPr>
          <w:rFonts w:ascii="宋体" w:hAnsi="宋体"/>
          <w:sz w:val="24"/>
        </w:rPr>
      </w:pPr>
      <w:r>
        <w:rPr>
          <w:rFonts w:hint="eastAsia" w:ascii="宋体" w:hAnsi="宋体"/>
          <w:sz w:val="24"/>
        </w:rPr>
        <w:t xml:space="preserve">20.1 投标文件的撤回</w:t>
      </w:r>
      <w:r>
        <w:rPr>
          <w:rFonts w:ascii="宋体" w:hAnsi="宋体"/>
          <w:sz w:val="24"/>
        </w:rPr>
      </w:r>
      <w:r/>
    </w:p>
    <w:p>
      <w:pPr>
        <w:pStyle w:val="1038"/>
        <w:ind w:firstLine="480"/>
        <w:spacing w:line="480" w:lineRule="exact"/>
        <w:rPr>
          <w:rFonts w:ascii="宋体" w:hAnsi="宋体"/>
          <w:sz w:val="24"/>
        </w:rPr>
      </w:pPr>
      <w:r>
        <w:rPr>
          <w:rFonts w:hint="eastAsia" w:ascii="宋体" w:hAnsi="宋体"/>
          <w:sz w:val="24"/>
        </w:rPr>
        <w:t xml:space="preserve">21.1.1 电子投标文件的撤回</w:t>
      </w:r>
      <w:r>
        <w:rPr>
          <w:rFonts w:ascii="宋体" w:hAnsi="宋体"/>
          <w:sz w:val="24"/>
        </w:rPr>
      </w:r>
      <w:r/>
    </w:p>
    <w:p>
      <w:pPr>
        <w:pStyle w:val="1038"/>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rPr>
          <w:rFonts w:ascii="宋体" w:hAnsi="宋体"/>
          <w:sz w:val="24"/>
        </w:rPr>
      </w:r>
      <w:r/>
    </w:p>
    <w:p>
      <w:pPr>
        <w:pStyle w:val="1038"/>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20.2 投标文件的修改</w:t>
      </w:r>
      <w:r>
        <w:rPr>
          <w:rFonts w:ascii="宋体" w:hAnsi="宋体"/>
          <w:sz w:val="24"/>
          <w:szCs w:val="24"/>
        </w:rPr>
      </w:r>
      <w:r/>
    </w:p>
    <w:p>
      <w:pPr>
        <w:pStyle w:val="1038"/>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rPr>
          <w:rFonts w:ascii="宋体" w:hAnsi="宋体"/>
          <w:sz w:val="24"/>
        </w:rPr>
      </w:r>
      <w:r/>
    </w:p>
    <w:p>
      <w:pPr>
        <w:pStyle w:val="1038"/>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ascii="宋体" w:hAnsi="宋体"/>
          <w:bCs/>
          <w:sz w:val="24"/>
        </w:rPr>
      </w:r>
      <w:r/>
    </w:p>
    <w:p>
      <w:pPr>
        <w:pStyle w:val="1038"/>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ascii="宋体" w:hAnsi="宋体"/>
          <w:bCs/>
          <w:sz w:val="24"/>
        </w:rPr>
      </w:r>
      <w:r/>
    </w:p>
    <w:p>
      <w:pPr>
        <w:pStyle w:val="1285"/>
        <w:ind w:firstLine="482"/>
        <w:spacing w:before="145" w:after="145" w:line="360" w:lineRule="auto"/>
        <w:rPr>
          <w:rFonts w:ascii="宋体" w:hAnsi="宋体"/>
        </w:rPr>
      </w:pPr>
      <w:r/>
      <w:bookmarkStart w:id="144" w:name="_Toc120614218"/>
      <w:r/>
      <w:bookmarkStart w:id="145" w:name="_Toc16938545"/>
      <w:r/>
      <w:bookmarkStart w:id="146" w:name="_Toc20823301"/>
      <w:r/>
      <w:bookmarkStart w:id="147" w:name="_Toc513029229"/>
      <w:r>
        <w:rPr>
          <w:rFonts w:hint="eastAsia" w:ascii="宋体" w:hAnsi="宋体"/>
        </w:rPr>
        <w:t xml:space="preserve">五、开标与评标</w:t>
      </w:r>
      <w:bookmarkEnd w:id="144"/>
      <w:r/>
      <w:bookmarkEnd w:id="145"/>
      <w:r/>
      <w:bookmarkEnd w:id="146"/>
      <w:r/>
      <w:bookmarkEnd w:id="147"/>
      <w:r>
        <w:rPr>
          <w:rFonts w:ascii="宋体" w:hAnsi="宋体"/>
        </w:rPr>
      </w:r>
      <w:r/>
    </w:p>
    <w:p>
      <w:pPr>
        <w:pStyle w:val="1286"/>
        <w:ind w:firstLine="420"/>
        <w:spacing w:before="0" w:after="0" w:line="240" w:lineRule="auto"/>
        <w:rPr>
          <w:rFonts w:ascii="宋体" w:hAnsi="宋体" w:eastAsia="宋体"/>
          <w:b w:val="0"/>
          <w:bCs w:val="0"/>
        </w:rPr>
      </w:pPr>
      <w:r/>
      <w:bookmarkStart w:id="148" w:name="_Toc513029230"/>
      <w:r/>
      <w:bookmarkStart w:id="149" w:name="_Toc20823302"/>
      <w:r/>
      <w:bookmarkStart w:id="150" w:name="_Toc16938546"/>
      <w:r>
        <w:rPr>
          <w:rFonts w:hint="eastAsia" w:ascii="宋体" w:hAnsi="宋体" w:eastAsia="宋体"/>
          <w:b w:val="0"/>
          <w:bCs w:val="0"/>
        </w:rPr>
        <w:t xml:space="preserve">21、开标</w:t>
      </w:r>
      <w:bookmarkEnd w:id="148"/>
      <w:r/>
      <w:bookmarkEnd w:id="149"/>
      <w:r/>
      <w:bookmarkEnd w:id="150"/>
      <w:r>
        <w:rPr>
          <w:rFonts w:ascii="宋体" w:hAnsi="宋体" w:eastAsia="宋体"/>
          <w:b w:val="0"/>
          <w:bCs w:val="0"/>
        </w:rPr>
      </w:r>
      <w:r/>
    </w:p>
    <w:p>
      <w:pPr>
        <w:pStyle w:val="1038"/>
        <w:ind w:firstLine="480"/>
        <w:rPr>
          <w:rFonts w:ascii="宋体" w:hAnsi="宋体"/>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ascii="宋体" w:hAnsi="宋体"/>
        </w:rPr>
      </w:r>
      <w:r/>
    </w:p>
    <w:p>
      <w:pPr>
        <w:pStyle w:val="1038"/>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ascii="宋体" w:hAnsi="宋体"/>
          <w:sz w:val="24"/>
          <w:szCs w:val="24"/>
        </w:rPr>
      </w:r>
      <w:r/>
    </w:p>
    <w:p>
      <w:pPr>
        <w:pStyle w:val="1038"/>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ascii="宋体" w:hAnsi="宋体"/>
          <w:sz w:val="24"/>
          <w:szCs w:val="24"/>
        </w:rPr>
      </w:r>
      <w:r/>
    </w:p>
    <w:p>
      <w:pPr>
        <w:pStyle w:val="1038"/>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1286"/>
        <w:ind w:firstLine="420"/>
        <w:spacing w:before="0" w:after="0" w:line="240" w:lineRule="auto"/>
        <w:rPr>
          <w:rFonts w:ascii="宋体" w:hAnsi="宋体" w:eastAsia="宋体"/>
          <w:b w:val="0"/>
          <w:bCs w:val="0"/>
        </w:rPr>
      </w:pPr>
      <w:r/>
      <w:bookmarkStart w:id="151" w:name="_Toc513029231"/>
      <w:r/>
      <w:bookmarkStart w:id="152" w:name="_Toc16938547"/>
      <w:r/>
      <w:bookmarkStart w:id="153" w:name="_Toc20823303"/>
      <w:r>
        <w:rPr>
          <w:rFonts w:hint="eastAsia" w:ascii="宋体" w:hAnsi="宋体" w:eastAsia="宋体"/>
          <w:b w:val="0"/>
          <w:bCs w:val="0"/>
        </w:rPr>
        <w:t xml:space="preserve">22、评标委员会</w:t>
      </w:r>
      <w:r>
        <w:rPr>
          <w:rFonts w:ascii="宋体" w:hAnsi="宋体" w:eastAsia="宋体"/>
          <w:b w:val="0"/>
          <w:bCs w:val="0"/>
        </w:rPr>
      </w:r>
      <w:r/>
    </w:p>
    <w:p>
      <w:pPr>
        <w:pStyle w:val="1038"/>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ascii="宋体" w:hAnsi="宋体"/>
          <w:b/>
          <w:sz w:val="24"/>
          <w:szCs w:val="24"/>
        </w:rPr>
      </w:r>
      <w:r/>
    </w:p>
    <w:p>
      <w:pPr>
        <w:pStyle w:val="1038"/>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ascii="宋体" w:hAnsi="宋体"/>
          <w:sz w:val="24"/>
          <w:szCs w:val="24"/>
        </w:rPr>
      </w:r>
      <w:r/>
    </w:p>
    <w:p>
      <w:pPr>
        <w:pStyle w:val="1038"/>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ascii="宋体" w:hAnsi="宋体"/>
          <w:sz w:val="24"/>
          <w:szCs w:val="24"/>
        </w:rPr>
      </w:r>
      <w:r/>
    </w:p>
    <w:p>
      <w:pPr>
        <w:pStyle w:val="1286"/>
        <w:ind w:firstLine="420"/>
        <w:spacing w:before="0" w:after="0" w:line="240" w:lineRule="auto"/>
        <w:rPr>
          <w:rFonts w:ascii="宋体" w:hAnsi="宋体" w:eastAsia="宋体"/>
          <w:b w:val="0"/>
          <w:bCs w:val="0"/>
        </w:rPr>
      </w:pPr>
      <w:r>
        <w:rPr>
          <w:rFonts w:hint="eastAsia" w:ascii="宋体" w:hAnsi="宋体" w:eastAsia="宋体"/>
          <w:b w:val="0"/>
          <w:bCs w:val="0"/>
        </w:rPr>
        <w:t xml:space="preserve">23、评标过程的保密与公正</w:t>
      </w:r>
      <w:bookmarkEnd w:id="151"/>
      <w:r/>
      <w:bookmarkEnd w:id="152"/>
      <w:r/>
      <w:bookmarkEnd w:id="153"/>
      <w:r>
        <w:rPr>
          <w:rFonts w:ascii="宋体" w:hAnsi="宋体" w:eastAsia="宋体"/>
          <w:b w:val="0"/>
          <w:bCs w:val="0"/>
        </w:rPr>
      </w:r>
      <w:r/>
    </w:p>
    <w:p>
      <w:pPr>
        <w:pStyle w:val="1038"/>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ascii="宋体" w:hAnsi="宋体"/>
          <w:bCs/>
          <w:sz w:val="24"/>
        </w:rPr>
      </w:r>
      <w:r/>
    </w:p>
    <w:p>
      <w:pPr>
        <w:pStyle w:val="1038"/>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1286"/>
        <w:ind w:firstLine="420"/>
        <w:spacing w:before="0" w:after="0" w:line="240" w:lineRule="auto"/>
        <w:rPr>
          <w:rFonts w:ascii="宋体" w:hAnsi="宋体" w:eastAsia="宋体"/>
          <w:b w:val="0"/>
          <w:bCs w:val="0"/>
        </w:rPr>
      </w:pPr>
      <w:r/>
      <w:bookmarkStart w:id="154" w:name="_Toc20823304"/>
      <w:r/>
      <w:bookmarkStart w:id="155" w:name="_Toc16938548"/>
      <w:r/>
      <w:bookmarkStart w:id="156" w:name="_Toc513029232"/>
      <w:r>
        <w:rPr>
          <w:rFonts w:hint="eastAsia" w:ascii="宋体" w:hAnsi="宋体" w:eastAsia="宋体"/>
          <w:b w:val="0"/>
          <w:bCs w:val="0"/>
        </w:rPr>
        <w:t xml:space="preserve">24、投标文件的澄清</w:t>
      </w:r>
      <w:bookmarkEnd w:id="154"/>
      <w:r/>
      <w:bookmarkEnd w:id="155"/>
      <w:r/>
      <w:bookmarkEnd w:id="156"/>
      <w:r>
        <w:rPr>
          <w:rFonts w:ascii="宋体" w:hAnsi="宋体" w:eastAsia="宋体"/>
          <w:b w:val="0"/>
          <w:bCs w:val="0"/>
        </w:rPr>
      </w:r>
      <w:r/>
    </w:p>
    <w:p>
      <w:pPr>
        <w:pStyle w:val="1038"/>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1038"/>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ascii="宋体" w:hAnsi="宋体"/>
          <w:sz w:val="24"/>
          <w:szCs w:val="24"/>
        </w:rPr>
      </w:r>
      <w:r/>
    </w:p>
    <w:p>
      <w:pPr>
        <w:pStyle w:val="1286"/>
        <w:ind w:firstLine="420"/>
        <w:spacing w:before="0" w:after="0" w:line="240" w:lineRule="auto"/>
        <w:rPr>
          <w:rFonts w:ascii="宋体" w:hAnsi="宋体" w:eastAsia="宋体"/>
          <w:b w:val="0"/>
          <w:bCs w:val="0"/>
        </w:rPr>
      </w:pPr>
      <w:r/>
      <w:bookmarkStart w:id="157" w:name="_Toc20823305"/>
      <w:r/>
      <w:bookmarkStart w:id="158" w:name="_Toc513029233"/>
      <w:r/>
      <w:bookmarkStart w:id="159" w:name="_Toc16938549"/>
      <w:r>
        <w:rPr>
          <w:rFonts w:hint="eastAsia" w:ascii="宋体" w:hAnsi="宋体" w:eastAsia="宋体"/>
          <w:b w:val="0"/>
          <w:bCs w:val="0"/>
        </w:rPr>
        <w:t xml:space="preserve">25、对投标文件的初审</w:t>
      </w:r>
      <w:bookmarkEnd w:id="157"/>
      <w:r/>
      <w:bookmarkEnd w:id="158"/>
      <w:r/>
      <w:bookmarkEnd w:id="159"/>
      <w:r>
        <w:rPr>
          <w:rFonts w:ascii="宋体" w:hAnsi="宋体" w:eastAsia="宋体"/>
          <w:b w:val="0"/>
          <w:bCs w:val="0"/>
        </w:rPr>
      </w:r>
      <w:r/>
    </w:p>
    <w:p>
      <w:pPr>
        <w:pStyle w:val="1038"/>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ascii="宋体" w:hAnsi="宋体"/>
          <w:bCs/>
          <w:sz w:val="24"/>
        </w:rPr>
      </w:r>
      <w:r/>
    </w:p>
    <w:p>
      <w:pPr>
        <w:pStyle w:val="1038"/>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ascii="宋体" w:hAnsi="宋体"/>
          <w:bCs/>
          <w:sz w:val="24"/>
        </w:rPr>
      </w:r>
      <w:r/>
    </w:p>
    <w:p>
      <w:pPr>
        <w:pStyle w:val="1038"/>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ascii="宋体" w:hAnsi="宋体"/>
          <w:bCs/>
          <w:sz w:val="24"/>
        </w:rPr>
      </w:r>
      <w:r/>
    </w:p>
    <w:p>
      <w:pPr>
        <w:pStyle w:val="1038"/>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 w:val="24"/>
        </w:rPr>
      </w:r>
      <w:r/>
    </w:p>
    <w:p>
      <w:pPr>
        <w:pStyle w:val="1038"/>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1038"/>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ascii="宋体" w:hAnsi="宋体"/>
          <w:bCs/>
          <w:sz w:val="24"/>
        </w:rPr>
      </w:r>
      <w:r/>
    </w:p>
    <w:p>
      <w:pPr>
        <w:pStyle w:val="1038"/>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1038"/>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sz w:val="24"/>
        </w:rPr>
      </w:r>
      <w:r/>
    </w:p>
    <w:p>
      <w:pPr>
        <w:pStyle w:val="1038"/>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1038"/>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ascii="宋体" w:hAnsi="宋体"/>
          <w:bCs/>
          <w:sz w:val="24"/>
        </w:rPr>
      </w:r>
      <w:r/>
    </w:p>
    <w:p>
      <w:pPr>
        <w:pStyle w:val="1038"/>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1038"/>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1038"/>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1038"/>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1038"/>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1038"/>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1038"/>
        <w:ind w:firstLine="420"/>
        <w:spacing w:line="460" w:lineRule="exact"/>
        <w:rPr>
          <w:rFonts w:ascii="宋体" w:hAnsi="宋体"/>
          <w:sz w:val="24"/>
        </w:rPr>
      </w:pPr>
      <w:r/>
      <w:bookmarkStart w:id="160" w:name="_Toc20823306"/>
      <w:r/>
      <w:bookmarkStart w:id="161" w:name="_Toc16938550"/>
      <w:r/>
      <w:bookmarkStart w:id="162" w:name="_Toc513029234"/>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1286"/>
        <w:ind w:firstLine="420"/>
        <w:spacing w:before="0" w:after="0" w:line="240" w:lineRule="auto"/>
        <w:rPr>
          <w:rFonts w:ascii="宋体" w:hAnsi="宋体" w:eastAsia="宋体"/>
          <w:b w:val="0"/>
          <w:bCs w:val="0"/>
        </w:rPr>
      </w:pPr>
      <w:r>
        <w:rPr>
          <w:rFonts w:hint="eastAsia" w:ascii="宋体" w:hAnsi="宋体" w:eastAsia="宋体"/>
          <w:b w:val="0"/>
          <w:bCs w:val="0"/>
        </w:rPr>
        <w:t xml:space="preserve">26、</w:t>
      </w:r>
      <w:bookmarkEnd w:id="160"/>
      <w:r/>
      <w:bookmarkEnd w:id="161"/>
      <w:r/>
      <w:bookmarkEnd w:id="162"/>
      <w:r>
        <w:rPr>
          <w:rFonts w:hint="eastAsia" w:ascii="宋体" w:hAnsi="宋体" w:eastAsia="宋体"/>
          <w:b w:val="0"/>
          <w:bCs w:val="0"/>
        </w:rPr>
        <w:t xml:space="preserve">无效投标条款和废标条款</w:t>
      </w:r>
      <w:r>
        <w:rPr>
          <w:rFonts w:ascii="宋体" w:hAnsi="宋体" w:eastAsia="宋体"/>
          <w:b w:val="0"/>
          <w:bCs w:val="0"/>
        </w:rPr>
      </w:r>
      <w:r/>
    </w:p>
    <w:p>
      <w:pPr>
        <w:pStyle w:val="1038"/>
        <w:ind w:left="479"/>
        <w:spacing w:line="440" w:lineRule="exact"/>
        <w:rPr>
          <w:rFonts w:ascii="宋体" w:hAnsi="宋体"/>
          <w:bCs/>
          <w:sz w:val="24"/>
        </w:rPr>
      </w:pPr>
      <w:r/>
      <w:bookmarkStart w:id="163" w:name="_Toc16938551"/>
      <w:r/>
      <w:bookmarkStart w:id="164" w:name="_Toc20823307"/>
      <w:r/>
      <w:bookmarkStart w:id="165" w:name="_Toc513029235"/>
      <w:r>
        <w:rPr>
          <w:rFonts w:hint="eastAsia" w:ascii="宋体" w:hAnsi="宋体"/>
          <w:bCs/>
          <w:sz w:val="24"/>
        </w:rPr>
        <w:t xml:space="preserve">26.1无效投标条款</w:t>
      </w:r>
      <w:r>
        <w:rPr>
          <w:rFonts w:ascii="宋体" w:hAnsi="宋体"/>
          <w:bCs/>
          <w:sz w:val="24"/>
        </w:rPr>
      </w:r>
      <w:r/>
    </w:p>
    <w:p>
      <w:pPr>
        <w:pStyle w:val="1038"/>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ascii="宋体" w:hAnsi="宋体"/>
          <w:bCs/>
          <w:sz w:val="24"/>
          <w:szCs w:val="24"/>
        </w:rPr>
      </w:r>
      <w:r/>
    </w:p>
    <w:p>
      <w:pPr>
        <w:pStyle w:val="1038"/>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rPr>
          <w:rFonts w:ascii="宋体" w:hAnsi="宋体"/>
          <w:bCs/>
          <w:sz w:val="24"/>
        </w:rPr>
      </w:r>
      <w:r/>
    </w:p>
    <w:p>
      <w:pPr>
        <w:pStyle w:val="1038"/>
        <w:ind w:left="479"/>
        <w:spacing w:line="440" w:lineRule="exact"/>
        <w:rPr>
          <w:rFonts w:ascii="宋体" w:hAnsi="宋体"/>
          <w:bCs/>
          <w:sz w:val="24"/>
        </w:rPr>
      </w:pPr>
      <w:r>
        <w:rPr>
          <w:rFonts w:hint="eastAsia" w:ascii="宋体" w:hAnsi="宋体"/>
          <w:bCs/>
          <w:sz w:val="24"/>
        </w:rPr>
        <w:t xml:space="preserve">26.1.3 投标人同一</w:t>
      </w:r>
      <w:r>
        <w:rPr>
          <w:rFonts w:ascii="宋体" w:hAnsi="宋体"/>
          <w:bCs/>
          <w:sz w:val="24"/>
        </w:rPr>
        <w:t xml:space="preserve">分包</w:t>
      </w:r>
      <w:r>
        <w:rPr>
          <w:rFonts w:hint="eastAsia" w:ascii="宋体" w:hAnsi="宋体"/>
          <w:bCs/>
          <w:sz w:val="24"/>
        </w:rPr>
        <w:t xml:space="preserve">提交两个（含两个）以上不同的投标报价的。</w:t>
      </w:r>
      <w:r>
        <w:rPr>
          <w:rFonts w:ascii="宋体" w:hAnsi="宋体"/>
          <w:bCs/>
          <w:sz w:val="24"/>
        </w:rPr>
      </w:r>
      <w:r/>
    </w:p>
    <w:p>
      <w:pPr>
        <w:pStyle w:val="1038"/>
        <w:ind w:left="479"/>
        <w:spacing w:line="440" w:lineRule="exact"/>
        <w:rPr>
          <w:rFonts w:ascii="宋体" w:hAnsi="宋体"/>
          <w:bCs/>
          <w:sz w:val="24"/>
        </w:rPr>
      </w:pPr>
      <w:r>
        <w:rPr>
          <w:rFonts w:hint="eastAsia" w:ascii="宋体" w:hAnsi="宋体"/>
          <w:bCs/>
          <w:sz w:val="24"/>
        </w:rPr>
        <w:t xml:space="preserve">26.1.4投标人不具备招标文件中规定资格要求的。</w:t>
      </w:r>
      <w:r>
        <w:rPr>
          <w:rFonts w:ascii="宋体" w:hAnsi="宋体"/>
          <w:bCs/>
          <w:sz w:val="24"/>
        </w:rPr>
      </w:r>
      <w:r/>
    </w:p>
    <w:p>
      <w:pPr>
        <w:pStyle w:val="1038"/>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rPr>
          <w:rFonts w:ascii="宋体" w:hAnsi="宋体"/>
          <w:bCs/>
          <w:sz w:val="24"/>
        </w:rPr>
      </w:r>
      <w:r/>
    </w:p>
    <w:p>
      <w:pPr>
        <w:pStyle w:val="1038"/>
        <w:ind w:firstLine="480"/>
        <w:spacing w:line="440" w:lineRule="exact"/>
        <w:rPr>
          <w:rFonts w:ascii="宋体" w:hAnsi="宋体"/>
          <w:bCs/>
          <w:i/>
          <w:sz w:val="24"/>
          <w:u w:val="single"/>
        </w:rPr>
      </w:pPr>
      <w:r>
        <w:rPr>
          <w:rFonts w:hint="eastAsia" w:ascii="宋体" w:hAnsi="宋体"/>
          <w:bCs/>
          <w:sz w:val="24"/>
        </w:rPr>
        <w:t xml:space="preserve">26.1.6未通过符合性审查的。</w:t>
      </w:r>
      <w:r>
        <w:rPr>
          <w:rFonts w:ascii="宋体" w:hAnsi="宋体"/>
          <w:bCs/>
          <w:i/>
          <w:sz w:val="24"/>
          <w:u w:val="single"/>
        </w:rPr>
      </w:r>
      <w:r/>
    </w:p>
    <w:p>
      <w:pPr>
        <w:pStyle w:val="1038"/>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26.1.7不符合招标文件中规定的实质性要求的（</w:t>
      </w:r>
      <w:r>
        <w:rPr>
          <w:rFonts w:hint="eastAsia" w:ascii="宋体" w:hAnsi="宋体"/>
          <w:bCs/>
          <w:i/>
          <w:sz w:val="24"/>
          <w:u w:val="single"/>
        </w:rPr>
        <w:t xml:space="preserve">本招标文件中斜体且有下划线部分为实质性要求）。</w:t>
      </w:r>
      <w:r>
        <w:rPr>
          <w:rFonts w:ascii="宋体" w:hAnsi="宋体"/>
          <w:bCs/>
          <w:i/>
          <w:sz w:val="24"/>
          <w:u w:val="single"/>
        </w:rPr>
      </w:r>
      <w:r/>
    </w:p>
    <w:p>
      <w:pPr>
        <w:pStyle w:val="1038"/>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1038"/>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rPr>
          <w:rFonts w:ascii="宋体" w:hAnsi="宋体"/>
          <w:bCs/>
          <w:sz w:val="24"/>
        </w:rPr>
      </w:r>
      <w:r/>
    </w:p>
    <w:p>
      <w:pPr>
        <w:pStyle w:val="1038"/>
        <w:ind w:firstLine="480"/>
        <w:spacing w:line="44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ascii="宋体" w:hAnsi="宋体"/>
          <w:bCs/>
          <w:sz w:val="24"/>
        </w:rPr>
      </w:r>
      <w:r/>
    </w:p>
    <w:p>
      <w:pPr>
        <w:pStyle w:val="1038"/>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ascii="宋体" w:hAnsi="宋体"/>
          <w:bCs/>
          <w:sz w:val="24"/>
        </w:rPr>
      </w:r>
      <w:r/>
    </w:p>
    <w:p>
      <w:pPr>
        <w:pStyle w:val="1038"/>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rPr>
          <w:rFonts w:ascii="宋体" w:hAnsi="宋体"/>
          <w:bCs/>
          <w:sz w:val="24"/>
        </w:rPr>
      </w:r>
      <w:r/>
    </w:p>
    <w:p>
      <w:pPr>
        <w:pStyle w:val="1038"/>
        <w:ind w:left="479"/>
        <w:spacing w:line="440" w:lineRule="exact"/>
        <w:rPr>
          <w:rFonts w:ascii="宋体" w:hAnsi="宋体"/>
          <w:bCs/>
          <w:sz w:val="24"/>
        </w:rPr>
      </w:pPr>
      <w:r>
        <w:rPr>
          <w:rFonts w:hint="eastAsia" w:ascii="宋体" w:hAnsi="宋体"/>
          <w:bCs/>
          <w:sz w:val="24"/>
        </w:rPr>
        <w:t xml:space="preserve">26.2废标条款</w:t>
      </w:r>
      <w:r>
        <w:rPr>
          <w:rFonts w:ascii="宋体" w:hAnsi="宋体"/>
          <w:bCs/>
          <w:sz w:val="24"/>
        </w:rPr>
      </w:r>
      <w:r/>
    </w:p>
    <w:p>
      <w:pPr>
        <w:pStyle w:val="1038"/>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ascii="宋体" w:hAnsi="宋体"/>
          <w:bCs/>
          <w:sz w:val="24"/>
        </w:rPr>
      </w:r>
      <w:r/>
    </w:p>
    <w:p>
      <w:pPr>
        <w:pStyle w:val="1038"/>
        <w:ind w:left="479"/>
        <w:spacing w:line="440" w:lineRule="exact"/>
        <w:rPr>
          <w:rFonts w:ascii="宋体" w:hAnsi="宋体"/>
          <w:bCs/>
          <w:sz w:val="24"/>
        </w:rPr>
      </w:pPr>
      <w:r>
        <w:rPr>
          <w:rFonts w:hint="eastAsia" w:ascii="宋体" w:hAnsi="宋体"/>
          <w:bCs/>
          <w:sz w:val="24"/>
        </w:rPr>
        <w:t xml:space="preserve">26.2.3因重大变故，采购任务取消的。</w:t>
      </w:r>
      <w:r>
        <w:rPr>
          <w:rFonts w:ascii="宋体" w:hAnsi="宋体"/>
          <w:bCs/>
          <w:sz w:val="24"/>
        </w:rPr>
      </w:r>
      <w:r/>
    </w:p>
    <w:p>
      <w:pPr>
        <w:pStyle w:val="1038"/>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1038"/>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ascii="宋体" w:hAnsi="宋体"/>
          <w:bCs/>
          <w:sz w:val="24"/>
        </w:rPr>
      </w:r>
      <w:r/>
    </w:p>
    <w:p>
      <w:pPr>
        <w:pStyle w:val="1038"/>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rPr>
          <w:rFonts w:ascii="宋体" w:hAnsi="宋体"/>
          <w:bCs/>
          <w:sz w:val="24"/>
        </w:rPr>
      </w:r>
      <w:r/>
    </w:p>
    <w:p>
      <w:pPr>
        <w:pStyle w:val="1038"/>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ascii="宋体" w:hAnsi="宋体"/>
          <w:bCs/>
          <w:sz w:val="24"/>
        </w:rPr>
      </w:r>
      <w:r/>
    </w:p>
    <w:p>
      <w:pPr>
        <w:pStyle w:val="1285"/>
        <w:ind w:firstLine="482"/>
        <w:spacing w:before="145" w:after="145" w:line="360" w:lineRule="auto"/>
        <w:rPr>
          <w:rFonts w:ascii="宋体" w:hAnsi="宋体"/>
        </w:rPr>
      </w:pPr>
      <w:r/>
      <w:bookmarkStart w:id="166" w:name="_Toc120614219"/>
      <w:r>
        <w:rPr>
          <w:rFonts w:hint="eastAsia" w:ascii="宋体" w:hAnsi="宋体"/>
        </w:rPr>
        <w:t xml:space="preserve">六、</w:t>
      </w:r>
      <w:bookmarkEnd w:id="163"/>
      <w:r/>
      <w:bookmarkEnd w:id="164"/>
      <w:r/>
      <w:bookmarkEnd w:id="165"/>
      <w:r>
        <w:rPr>
          <w:rFonts w:hint="eastAsia" w:ascii="宋体" w:hAnsi="宋体"/>
        </w:rPr>
        <w:t xml:space="preserve">定标</w:t>
      </w:r>
      <w:bookmarkEnd w:id="166"/>
      <w:r>
        <w:rPr>
          <w:rFonts w:ascii="宋体" w:hAnsi="宋体"/>
        </w:rPr>
      </w:r>
      <w:r/>
    </w:p>
    <w:p>
      <w:pPr>
        <w:pStyle w:val="1286"/>
        <w:ind w:firstLine="600"/>
        <w:spacing w:before="0" w:after="0" w:line="240" w:lineRule="auto"/>
        <w:rPr>
          <w:rFonts w:ascii="宋体" w:hAnsi="宋体" w:eastAsia="宋体" w:cs="Times New Roman"/>
          <w:b w:val="0"/>
          <w:sz w:val="30"/>
          <w:szCs w:val="30"/>
        </w:rPr>
      </w:pPr>
      <w:r/>
      <w:bookmarkStart w:id="167" w:name="_Toc513029238"/>
      <w:r/>
      <w:bookmarkStart w:id="168" w:name="_Toc16938554"/>
      <w:r/>
      <w:bookmarkStart w:id="169" w:name="_Toc20823310"/>
      <w:r>
        <w:rPr>
          <w:rFonts w:hint="eastAsia" w:ascii="宋体" w:hAnsi="宋体" w:eastAsia="宋体" w:cs="Times New Roman"/>
          <w:b w:val="0"/>
          <w:sz w:val="30"/>
          <w:szCs w:val="30"/>
        </w:rPr>
        <w:t xml:space="preserve">27、</w:t>
      </w:r>
      <w:bookmarkEnd w:id="167"/>
      <w:r>
        <w:rPr>
          <w:rFonts w:hint="eastAsia" w:ascii="宋体" w:hAnsi="宋体" w:eastAsia="宋体" w:cs="Times New Roman"/>
          <w:b w:val="0"/>
          <w:sz w:val="30"/>
          <w:szCs w:val="30"/>
        </w:rPr>
        <w:t xml:space="preserve">确定</w:t>
      </w:r>
      <w:bookmarkEnd w:id="168"/>
      <w:r/>
      <w:bookmarkEnd w:id="169"/>
      <w:r>
        <w:rPr>
          <w:rFonts w:hint="eastAsia" w:ascii="宋体" w:hAnsi="宋体" w:eastAsia="宋体" w:cs="Times New Roman"/>
          <w:b w:val="0"/>
          <w:sz w:val="30"/>
          <w:szCs w:val="30"/>
        </w:rPr>
        <w:t xml:space="preserve">中标单位</w:t>
      </w:r>
      <w:r>
        <w:rPr>
          <w:rFonts w:ascii="宋体" w:hAnsi="宋体" w:eastAsia="宋体" w:cs="Times New Roman"/>
          <w:b w:val="0"/>
          <w:sz w:val="30"/>
          <w:szCs w:val="30"/>
        </w:rPr>
      </w:r>
      <w:r/>
    </w:p>
    <w:p>
      <w:pPr>
        <w:pStyle w:val="1038"/>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rPr>
          <w:rFonts w:ascii="宋体" w:hAnsi="宋体"/>
          <w:bCs/>
          <w:sz w:val="24"/>
        </w:rPr>
      </w:r>
      <w:r/>
    </w:p>
    <w:p>
      <w:pPr>
        <w:pStyle w:val="1038"/>
        <w:ind w:firstLine="480"/>
        <w:spacing w:line="440" w:lineRule="exact"/>
        <w:rPr>
          <w:rFonts w:ascii="宋体" w:hAnsi="宋体"/>
          <w:bCs/>
          <w:sz w:val="24"/>
        </w:rPr>
      </w:pPr>
      <w:r>
        <w:rPr>
          <w:rFonts w:hint="eastAsia" w:ascii="宋体" w:hAnsi="宋体"/>
          <w:bCs/>
          <w:sz w:val="24"/>
        </w:rPr>
        <w:t xml:space="preserve">27.2 采购人应根据评委会推荐的中标候选人确定中标人。</w:t>
      </w:r>
      <w:r>
        <w:rPr>
          <w:rFonts w:ascii="宋体" w:hAnsi="宋体"/>
          <w:bCs/>
          <w:sz w:val="24"/>
        </w:rPr>
      </w:r>
      <w:r/>
    </w:p>
    <w:p>
      <w:pPr>
        <w:pStyle w:val="1038"/>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27.4.1提供虚假材料谋取中标的。</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rPr>
          <w:rFonts w:ascii="宋体" w:hAnsi="宋体"/>
          <w:sz w:val="24"/>
          <w:szCs w:val="24"/>
        </w:rPr>
      </w:r>
      <w:r/>
    </w:p>
    <w:p>
      <w:pPr>
        <w:pStyle w:val="1038"/>
        <w:ind w:firstLine="480"/>
        <w:spacing w:line="480" w:lineRule="exact"/>
        <w:rPr>
          <w:rFonts w:ascii="宋体" w:hAnsi="宋体"/>
          <w:sz w:val="24"/>
          <w:szCs w:val="24"/>
        </w:rPr>
      </w:pPr>
      <w:r/>
      <w:bookmarkStart w:id="170" w:name="_Toc200451960"/>
      <w:r>
        <w:rPr>
          <w:rFonts w:hint="eastAsia" w:ascii="宋体" w:hAnsi="宋体"/>
          <w:sz w:val="24"/>
          <w:szCs w:val="24"/>
        </w:rPr>
        <w:t xml:space="preserve">27.5 </w:t>
      </w:r>
      <w:r>
        <w:rPr>
          <w:rFonts w:ascii="宋体" w:hAnsi="宋体" w:cs="宋体"/>
          <w:sz w:val="24"/>
          <w:szCs w:val="24"/>
        </w:rPr>
        <w:t xml:space="preserve">有下列情形之一的，</w:t>
      </w:r>
      <w:r>
        <w:rPr>
          <w:rFonts w:hint="eastAsia" w:ascii="宋体" w:hAnsi="宋体" w:cs="宋体"/>
          <w:sz w:val="24"/>
          <w:szCs w:val="24"/>
        </w:rPr>
        <w:t xml:space="preserve">视为投标人</w:t>
      </w:r>
      <w:r>
        <w:rPr>
          <w:rFonts w:ascii="宋体" w:hAnsi="宋体" w:cs="宋体"/>
          <w:sz w:val="24"/>
          <w:szCs w:val="24"/>
        </w:rPr>
        <w:t xml:space="preserve">串通</w:t>
      </w:r>
      <w:r>
        <w:rPr>
          <w:rFonts w:hint="eastAsia" w:ascii="宋体" w:hAnsi="宋体" w:cs="宋体"/>
          <w:sz w:val="24"/>
          <w:szCs w:val="24"/>
        </w:rPr>
        <w:t xml:space="preserve">投标，投标无效：</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1286"/>
        <w:ind w:firstLine="600"/>
        <w:spacing w:before="0" w:after="0" w:line="240" w:lineRule="auto"/>
        <w:rPr>
          <w:rFonts w:ascii="宋体" w:hAnsi="宋体" w:eastAsia="宋体" w:cs="Times New Roman"/>
          <w:b w:val="0"/>
          <w:sz w:val="30"/>
          <w:szCs w:val="30"/>
        </w:rPr>
      </w:pPr>
      <w:r>
        <w:rPr>
          <w:rFonts w:hint="eastAsia" w:ascii="宋体" w:hAnsi="宋体" w:eastAsia="宋体" w:cs="Times New Roman"/>
          <w:b w:val="0"/>
          <w:sz w:val="30"/>
          <w:szCs w:val="30"/>
        </w:rPr>
        <w:t xml:space="preserve">28、质疑处理</w:t>
      </w:r>
      <w:bookmarkEnd w:id="170"/>
      <w:r>
        <w:rPr>
          <w:rFonts w:ascii="宋体" w:hAnsi="宋体" w:eastAsia="宋体" w:cs="Times New Roman"/>
          <w:b w:val="0"/>
          <w:sz w:val="30"/>
          <w:szCs w:val="30"/>
        </w:rPr>
      </w:r>
      <w:r/>
    </w:p>
    <w:p>
      <w:pPr>
        <w:pStyle w:val="1038"/>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ascii="宋体" w:hAnsi="宋体"/>
          <w:sz w:val="24"/>
          <w:szCs w:val="24"/>
        </w:rPr>
      </w:r>
      <w:r/>
    </w:p>
    <w:p>
      <w:pPr>
        <w:pStyle w:val="1038"/>
        <w:ind w:firstLine="480"/>
        <w:spacing w:line="480" w:lineRule="exact"/>
        <w:rPr>
          <w:rFonts w:ascii="宋体" w:hAnsi="宋体" w:cs="宋体"/>
          <w:sz w:val="24"/>
          <w:szCs w:val="24"/>
        </w:rPr>
      </w:pPr>
      <w:r>
        <w:rPr>
          <w:rFonts w:hint="eastAsia" w:ascii="宋体" w:hAnsi="宋体"/>
          <w:sz w:val="24"/>
          <w:szCs w:val="24"/>
        </w:rPr>
        <w:t xml:space="preserve">28.2.1</w:t>
      </w:r>
      <w:r>
        <w:rPr>
          <w:rFonts w:ascii="宋体" w:hAnsi="宋体" w:cs="宋体"/>
          <w:sz w:val="24"/>
          <w:szCs w:val="24"/>
        </w:rPr>
        <w:t xml:space="preserve">对可以质疑的采购文件提出质疑的，为收到采购文件之日或者采购文件公告期限届满之日；</w:t>
      </w:r>
      <w:r>
        <w:rPr>
          <w:rFonts w:ascii="宋体" w:hAnsi="宋体" w:cs="宋体"/>
          <w:sz w:val="24"/>
          <w:szCs w:val="24"/>
        </w:rPr>
      </w:r>
      <w:r/>
    </w:p>
    <w:p>
      <w:pPr>
        <w:pStyle w:val="1038"/>
        <w:ind w:firstLine="480"/>
        <w:spacing w:line="480" w:lineRule="exact"/>
        <w:rPr>
          <w:rFonts w:ascii="宋体" w:hAnsi="宋体" w:cs="宋体"/>
          <w:sz w:val="24"/>
          <w:szCs w:val="24"/>
        </w:rPr>
      </w:pPr>
      <w:r>
        <w:rPr>
          <w:rFonts w:hint="eastAsia" w:ascii="宋体" w:hAnsi="宋体"/>
          <w:sz w:val="24"/>
          <w:szCs w:val="24"/>
        </w:rPr>
        <w:t xml:space="preserve">28.2.2</w:t>
      </w:r>
      <w:r>
        <w:rPr>
          <w:rFonts w:ascii="宋体" w:hAnsi="宋体" w:cs="宋体"/>
          <w:sz w:val="24"/>
          <w:szCs w:val="24"/>
        </w:rPr>
        <w:t xml:space="preserve">对采购过程提出质疑的，为各采购程序环节结束之日；</w:t>
      </w:r>
      <w:r>
        <w:rPr>
          <w:rFonts w:ascii="宋体" w:hAnsi="宋体" w:cs="宋体"/>
          <w:sz w:val="24"/>
          <w:szCs w:val="24"/>
        </w:rPr>
      </w:r>
      <w:r/>
    </w:p>
    <w:p>
      <w:pPr>
        <w:pStyle w:val="1038"/>
        <w:ind w:firstLine="480"/>
        <w:spacing w:line="480" w:lineRule="exact"/>
        <w:rPr>
          <w:rFonts w:ascii="宋体" w:hAnsi="宋体" w:cs="宋体"/>
          <w:sz w:val="24"/>
          <w:szCs w:val="24"/>
        </w:rPr>
      </w:pPr>
      <w:r>
        <w:rPr>
          <w:rFonts w:hint="eastAsia" w:ascii="宋体" w:hAnsi="宋体"/>
          <w:sz w:val="24"/>
          <w:szCs w:val="24"/>
        </w:rPr>
        <w:t xml:space="preserve">28.2.3</w:t>
      </w:r>
      <w:r>
        <w:rPr>
          <w:rFonts w:ascii="宋体" w:hAnsi="宋体" w:cs="宋体"/>
          <w:sz w:val="24"/>
          <w:szCs w:val="24"/>
        </w:rPr>
        <w:t xml:space="preserve">对中标或者成交结果提出质疑的，为中标或者成交结果公告期限届满之日。</w:t>
      </w:r>
      <w:r>
        <w:rPr>
          <w:rFonts w:ascii="宋体" w:hAnsi="宋体" w:cs="宋体"/>
          <w:sz w:val="24"/>
          <w:szCs w:val="24"/>
        </w:rPr>
      </w:r>
      <w:r/>
    </w:p>
    <w:p>
      <w:pPr>
        <w:pStyle w:val="1038"/>
        <w:ind w:firstLine="480"/>
        <w:spacing w:line="48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宋体" w:hAnsi="宋体" w:cs="宋体"/>
          <w:sz w:val="24"/>
          <w:szCs w:val="24"/>
        </w:rPr>
        <w:t xml:space="preserve">采购人</w:t>
      </w:r>
      <w:r>
        <w:rPr>
          <w:rFonts w:hint="eastAsia" w:ascii="宋体" w:hAnsi="宋体" w:cs="宋体"/>
          <w:sz w:val="24"/>
          <w:szCs w:val="24"/>
        </w:rPr>
        <w:t xml:space="preserve">将只对供应商第一次质疑作出答复。</w:t>
      </w:r>
      <w:r>
        <w:rPr>
          <w:rFonts w:ascii="宋体" w:hAnsi="宋体" w:cs="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szCs w:val="24"/>
        </w:rPr>
      </w:r>
      <w:r/>
    </w:p>
    <w:p>
      <w:pPr>
        <w:pStyle w:val="1038"/>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28.5 以下情形的质疑不予受理</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ascii="宋体" w:hAnsi="宋体"/>
          <w:sz w:val="24"/>
          <w:szCs w:val="24"/>
        </w:rPr>
      </w:r>
      <w:r/>
    </w:p>
    <w:p>
      <w:pPr>
        <w:pStyle w:val="1038"/>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sz w:val="24"/>
          <w:szCs w:val="24"/>
        </w:rPr>
      </w:r>
      <w:r/>
    </w:p>
    <w:p>
      <w:pPr>
        <w:pStyle w:val="1286"/>
        <w:ind w:firstLine="600"/>
        <w:spacing w:before="0" w:after="0" w:line="240" w:lineRule="auto"/>
        <w:rPr>
          <w:rFonts w:ascii="宋体" w:hAnsi="宋体" w:eastAsia="宋体" w:cs="Times New Roman"/>
          <w:b w:val="0"/>
          <w:sz w:val="30"/>
          <w:szCs w:val="30"/>
        </w:rPr>
      </w:pPr>
      <w:r>
        <w:rPr>
          <w:rFonts w:hint="eastAsia" w:ascii="宋体" w:hAnsi="宋体" w:eastAsia="宋体" w:cs="Times New Roman"/>
          <w:b w:val="0"/>
          <w:sz w:val="30"/>
          <w:szCs w:val="30"/>
        </w:rPr>
        <w:t xml:space="preserve">29、中标通知书</w:t>
      </w:r>
      <w:r>
        <w:rPr>
          <w:rFonts w:ascii="宋体" w:hAnsi="宋体" w:eastAsia="宋体" w:cs="Times New Roman"/>
          <w:b w:val="0"/>
          <w:sz w:val="30"/>
          <w:szCs w:val="30"/>
        </w:rPr>
      </w:r>
      <w:r/>
    </w:p>
    <w:p>
      <w:pPr>
        <w:pStyle w:val="1038"/>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sz w:val="24"/>
          <w:szCs w:val="24"/>
        </w:rPr>
      </w:r>
      <w:r/>
    </w:p>
    <w:p>
      <w:pPr>
        <w:pStyle w:val="1038"/>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ascii="宋体" w:hAnsi="宋体"/>
          <w:sz w:val="24"/>
          <w:szCs w:val="24"/>
        </w:rPr>
      </w:r>
      <w:r/>
    </w:p>
    <w:p>
      <w:pPr>
        <w:pStyle w:val="1285"/>
        <w:spacing w:before="145" w:after="145" w:line="360" w:lineRule="auto"/>
        <w:rPr>
          <w:rFonts w:ascii="宋体" w:hAnsi="宋体"/>
        </w:rPr>
      </w:pPr>
      <w:r/>
      <w:bookmarkStart w:id="171" w:name="_Toc20823308"/>
      <w:r/>
      <w:bookmarkStart w:id="172" w:name="_Toc120614220"/>
      <w:r/>
      <w:bookmarkStart w:id="173" w:name="_Toc16938552"/>
      <w:r/>
      <w:bookmarkStart w:id="174" w:name="_Toc513029236"/>
      <w:r>
        <w:rPr>
          <w:rFonts w:hint="eastAsia" w:ascii="宋体" w:hAnsi="宋体"/>
        </w:rPr>
        <w:t xml:space="preserve">七、授予合同</w:t>
      </w:r>
      <w:bookmarkEnd w:id="171"/>
      <w:r/>
      <w:bookmarkEnd w:id="172"/>
      <w:r/>
      <w:bookmarkEnd w:id="173"/>
      <w:r/>
      <w:bookmarkEnd w:id="174"/>
      <w:r>
        <w:rPr>
          <w:rFonts w:ascii="宋体" w:hAnsi="宋体"/>
        </w:rPr>
      </w:r>
      <w:r/>
    </w:p>
    <w:p>
      <w:pPr>
        <w:pStyle w:val="1286"/>
        <w:ind w:firstLine="600"/>
        <w:spacing w:before="0" w:after="0" w:line="240" w:lineRule="auto"/>
        <w:rPr>
          <w:rFonts w:ascii="宋体" w:hAnsi="宋体" w:eastAsia="宋体" w:cs="Times New Roman"/>
          <w:b w:val="0"/>
          <w:sz w:val="30"/>
          <w:szCs w:val="30"/>
        </w:rPr>
      </w:pPr>
      <w:r/>
      <w:bookmarkStart w:id="175" w:name="_Toc20823309"/>
      <w:r/>
      <w:bookmarkStart w:id="176" w:name="_Toc513029237"/>
      <w:r/>
      <w:bookmarkStart w:id="177" w:name="_Toc16938553"/>
      <w:r>
        <w:rPr>
          <w:rFonts w:hint="eastAsia" w:ascii="宋体" w:hAnsi="宋体" w:eastAsia="宋体" w:cs="Times New Roman"/>
          <w:b w:val="0"/>
          <w:sz w:val="30"/>
          <w:szCs w:val="30"/>
        </w:rPr>
        <w:t xml:space="preserve">30. 签订合同</w:t>
      </w:r>
      <w:r>
        <w:rPr>
          <w:rFonts w:ascii="宋体" w:hAnsi="宋体" w:eastAsia="宋体" w:cs="Times New Roman"/>
          <w:b w:val="0"/>
          <w:sz w:val="30"/>
          <w:szCs w:val="30"/>
        </w:rPr>
      </w:r>
      <w:r/>
    </w:p>
    <w:p>
      <w:pPr>
        <w:pStyle w:val="1038"/>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ascii="宋体" w:hAnsi="宋体"/>
          <w:sz w:val="24"/>
          <w:szCs w:val="24"/>
        </w:rPr>
      </w:r>
      <w:r/>
    </w:p>
    <w:p>
      <w:pPr>
        <w:pStyle w:val="1038"/>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ascii="宋体" w:hAnsi="宋体"/>
          <w:sz w:val="24"/>
          <w:szCs w:val="24"/>
        </w:rPr>
      </w:r>
      <w:r/>
    </w:p>
    <w:p>
      <w:pPr>
        <w:pStyle w:val="1038"/>
        <w:ind w:firstLine="600"/>
        <w:spacing w:line="480" w:lineRule="exact"/>
        <w:rPr>
          <w:rFonts w:ascii="宋体" w:hAnsi="宋体"/>
          <w:sz w:val="24"/>
          <w:szCs w:val="24"/>
        </w:rPr>
      </w:pPr>
      <w:r>
        <w:rPr>
          <w:rFonts w:hint="eastAsia" w:ascii="宋体" w:hAnsi="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sz w:val="24"/>
          <w:szCs w:val="24"/>
        </w:rPr>
      </w:r>
      <w:r/>
    </w:p>
    <w:p>
      <w:pPr>
        <w:pStyle w:val="1286"/>
        <w:ind w:firstLine="600"/>
        <w:spacing w:before="0" w:after="0" w:line="240" w:lineRule="auto"/>
        <w:rPr>
          <w:rFonts w:ascii="宋体" w:hAnsi="宋体" w:eastAsia="宋体" w:cs="Times New Roman"/>
          <w:b w:val="0"/>
          <w:sz w:val="30"/>
          <w:szCs w:val="30"/>
        </w:rPr>
      </w:pPr>
      <w:r>
        <w:rPr>
          <w:rFonts w:hint="eastAsia" w:ascii="宋体" w:hAnsi="宋体" w:eastAsia="宋体" w:cs="Times New Roman"/>
          <w:b w:val="0"/>
          <w:sz w:val="30"/>
          <w:szCs w:val="30"/>
        </w:rPr>
        <w:t xml:space="preserve">31、服务（包含与服务相关的货物）的追加</w:t>
      </w:r>
      <w:r>
        <w:rPr>
          <w:rFonts w:ascii="宋体" w:hAnsi="宋体" w:eastAsia="宋体" w:cs="Times New Roman"/>
          <w:b w:val="0"/>
          <w:sz w:val="30"/>
          <w:szCs w:val="30"/>
        </w:rPr>
      </w:r>
      <w:r/>
    </w:p>
    <w:p>
      <w:pPr>
        <w:pStyle w:val="1038"/>
        <w:ind w:firstLine="480"/>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5"/>
      <w:r/>
      <w:bookmarkEnd w:id="176"/>
      <w:r/>
      <w:bookmarkEnd w:id="177"/>
      <w:r>
        <w:rPr>
          <w:rFonts w:ascii="宋体" w:hAnsi="宋体"/>
          <w:sz w:val="24"/>
          <w:szCs w:val="24"/>
        </w:rPr>
      </w:r>
      <w:r/>
    </w:p>
    <w:p>
      <w:pPr>
        <w:pStyle w:val="1286"/>
        <w:ind w:firstLine="600"/>
        <w:spacing w:before="0" w:after="0" w:line="240" w:lineRule="auto"/>
        <w:rPr>
          <w:rFonts w:ascii="宋体" w:hAnsi="宋体" w:eastAsia="宋体" w:cs="Times New Roman"/>
          <w:b w:val="0"/>
          <w:sz w:val="30"/>
          <w:szCs w:val="30"/>
        </w:rPr>
      </w:pPr>
      <w:r/>
      <w:bookmarkStart w:id="178" w:name="_Toc120614221"/>
      <w:r/>
      <w:bookmarkStart w:id="179" w:name="_Toc479757207"/>
      <w:r/>
      <w:bookmarkStart w:id="180" w:name="_Toc513029242"/>
      <w:r/>
      <w:bookmarkStart w:id="181" w:name="_Toc16938558"/>
      <w:r/>
      <w:bookmarkStart w:id="182" w:name="_Toc20823314"/>
      <w:r>
        <w:rPr>
          <w:rFonts w:hint="eastAsia" w:ascii="宋体" w:hAnsi="宋体" w:eastAsia="宋体" w:cs="Times New Roman"/>
          <w:b w:val="0"/>
          <w:sz w:val="30"/>
          <w:szCs w:val="30"/>
        </w:rPr>
        <w:t xml:space="preserve">32、政府采购履约资金扶持政策</w:t>
      </w:r>
      <w:r>
        <w:rPr>
          <w:rFonts w:ascii="宋体" w:hAnsi="宋体" w:eastAsia="宋体" w:cs="Times New Roman"/>
          <w:b w:val="0"/>
          <w:sz w:val="30"/>
          <w:szCs w:val="30"/>
        </w:rPr>
      </w:r>
      <w:r/>
    </w:p>
    <w:p>
      <w:pPr>
        <w:pStyle w:val="1288"/>
        <w:rPr>
          <w:rFonts w:ascii="宋体" w:hAnsi="宋体"/>
        </w:rPr>
      </w:pPr>
      <w:r>
        <w:rPr>
          <w:rFonts w:hint="eastAsia" w:ascii="宋体" w:hAnsi="宋体"/>
          <w:bCs/>
          <w:sz w:val="24"/>
        </w:rPr>
        <w:t xml:space="preserve">中标人可凭政府采购合同办理融资贷款，详情请见江苏政府采购网“政采贷”专栏。</w:t>
      </w:r>
      <w:r>
        <w:rPr>
          <w:rFonts w:ascii="宋体" w:hAnsi="宋体"/>
        </w:rPr>
      </w:r>
      <w:r/>
    </w:p>
    <w:p>
      <w:pPr>
        <w:pStyle w:val="128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316"/>
        <w:rPr>
          <w:rFonts w:ascii="宋体" w:hAnsi="宋体"/>
        </w:rPr>
      </w:pPr>
      <w:r>
        <w:rPr>
          <w:rFonts w:ascii="宋体" w:hAnsi="宋体"/>
        </w:rPr>
      </w:r>
      <w:r/>
    </w:p>
    <w:p>
      <w:pPr>
        <w:pStyle w:val="1038"/>
        <w:rPr>
          <w:rFonts w:ascii="宋体" w:hAnsi="宋体"/>
        </w:rPr>
      </w:pPr>
      <w:r>
        <w:rPr>
          <w:rFonts w:ascii="宋体" w:hAnsi="宋体"/>
        </w:rPr>
      </w:r>
      <w:r/>
    </w:p>
    <w:p>
      <w:pPr>
        <w:pStyle w:val="1316"/>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rPr>
      </w:pPr>
      <w:r>
        <w:rPr>
          <w:rFonts w:ascii="宋体" w:hAnsi="宋体"/>
        </w:rPr>
      </w:r>
      <w:r/>
    </w:p>
    <w:p>
      <w:pPr>
        <w:pStyle w:val="1038"/>
        <w:rPr>
          <w:rFonts w:ascii="宋体" w:hAnsi="宋体"/>
          <w:bCs/>
          <w:sz w:val="44"/>
        </w:rPr>
      </w:pPr>
      <w:r>
        <w:rPr>
          <w:rFonts w:hint="eastAsia" w:ascii="宋体" w:hAnsi="宋体"/>
          <w:bCs/>
          <w:sz w:val="44"/>
        </w:rPr>
        <w:br w:type="page" w:clear="all"/>
      </w:r>
      <w:r>
        <w:rPr>
          <w:rFonts w:ascii="宋体" w:hAnsi="宋体"/>
          <w:bCs/>
          <w:sz w:val="44"/>
        </w:rPr>
      </w:r>
      <w:r/>
    </w:p>
    <w:p>
      <w:pPr>
        <w:pStyle w:val="1283"/>
        <w:rPr>
          <w:rFonts w:ascii="宋体" w:hAnsi="宋体" w:eastAsia="宋体"/>
          <w:bCs/>
          <w:sz w:val="44"/>
        </w:rPr>
      </w:pPr>
      <w:r>
        <w:rPr>
          <w:rFonts w:hint="eastAsia" w:ascii="宋体" w:hAnsi="宋体" w:eastAsia="宋体"/>
          <w:bCs/>
          <w:sz w:val="44"/>
        </w:rPr>
        <w:t xml:space="preserve">第三章  合同</w:t>
      </w:r>
      <w:bookmarkEnd w:id="178"/>
      <w:r/>
      <w:bookmarkEnd w:id="179"/>
      <w:r/>
      <w:bookmarkEnd w:id="180"/>
      <w:r/>
      <w:bookmarkEnd w:id="181"/>
      <w:r/>
      <w:bookmarkEnd w:id="182"/>
      <w:r>
        <w:rPr>
          <w:rFonts w:hint="eastAsia" w:ascii="宋体" w:hAnsi="宋体" w:eastAsia="宋体"/>
          <w:bCs/>
          <w:sz w:val="44"/>
        </w:rPr>
        <w:t xml:space="preserve">文本</w:t>
      </w:r>
      <w:r>
        <w:rPr>
          <w:rFonts w:ascii="宋体" w:hAnsi="宋体" w:eastAsia="宋体"/>
          <w:bCs/>
          <w:sz w:val="44"/>
        </w:rPr>
      </w:r>
      <w:r/>
    </w:p>
    <w:p>
      <w:pPr>
        <w:pStyle w:val="1038"/>
        <w:ind w:firstLine="480"/>
        <w:spacing w:line="500" w:lineRule="exact"/>
        <w:rPr>
          <w:rFonts w:ascii="宋体" w:hAnsi="宋体"/>
          <w:bCs/>
          <w:sz w:val="24"/>
        </w:rPr>
      </w:pPr>
      <w:r/>
      <w:bookmarkStart w:id="183" w:name="_Toc513029243"/>
      <w:r/>
      <w:bookmarkStart w:id="184" w:name="_Toc16938559"/>
      <w:r/>
      <w:bookmarkStart w:id="185" w:name="_Toc20823315"/>
      <w:r>
        <w:rPr>
          <w:rFonts w:hint="eastAsia" w:ascii="宋体" w:hAnsi="宋体"/>
          <w:bCs/>
          <w:sz w:val="24"/>
        </w:rPr>
        <w:t xml:space="preserve">以下为中标后签定本项目合同的通用条款，中标人不得提出实质性的修改。</w:t>
      </w:r>
      <w:r>
        <w:rPr>
          <w:rFonts w:ascii="宋体" w:hAnsi="宋体"/>
          <w:bCs/>
          <w:sz w:val="24"/>
        </w:rPr>
      </w:r>
      <w:r/>
    </w:p>
    <w:p>
      <w:pPr>
        <w:pStyle w:val="1038"/>
        <w:jc w:val="center"/>
        <w:spacing w:before="145" w:after="145"/>
        <w:rPr>
          <w:rFonts w:ascii="宋体" w:hAnsi="宋体"/>
          <w:b/>
          <w:sz w:val="30"/>
        </w:rPr>
      </w:pPr>
      <w:r>
        <w:rPr>
          <w:rFonts w:ascii="宋体" w:hAnsi="宋体"/>
          <w:b/>
          <w:sz w:val="30"/>
        </w:rPr>
      </w:r>
      <w:r/>
    </w:p>
    <w:p>
      <w:pPr>
        <w:pStyle w:val="1360"/>
        <w:ind w:firstLine="0"/>
        <w:jc w:val="center"/>
        <w:rPr>
          <w:rFonts w:ascii="宋体" w:hAnsi="宋体"/>
          <w:b/>
          <w:bCs/>
          <w:sz w:val="36"/>
          <w:szCs w:val="36"/>
        </w:rPr>
      </w:pPr>
      <w:r>
        <w:rPr>
          <w:rFonts w:ascii="宋体" w:hAnsi="宋体"/>
          <w:b/>
          <w:sz w:val="36"/>
          <w:szCs w:val="36"/>
        </w:rPr>
        <w:t xml:space="preserve">江苏省政府采购合同（服务）（合同编号）</w:t>
      </w:r>
      <w:r>
        <w:rPr>
          <w:rFonts w:ascii="宋体" w:hAnsi="宋体"/>
          <w:b/>
          <w:bCs/>
          <w:sz w:val="36"/>
          <w:szCs w:val="36"/>
        </w:rPr>
      </w:r>
      <w:r/>
    </w:p>
    <w:p>
      <w:pPr>
        <w:pStyle w:val="1317"/>
        <w:ind w:firstLine="600"/>
        <w:spacing w:line="480" w:lineRule="exact"/>
        <w:rPr>
          <w:rFonts w:hAnsi="宋体" w:cs="Times New Roman"/>
          <w:sz w:val="24"/>
          <w:szCs w:val="24"/>
        </w:rPr>
      </w:pPr>
      <w:r>
        <w:rPr>
          <w:rFonts w:hAnsi="宋体" w:cs="Times New Roman"/>
          <w:sz w:val="24"/>
          <w:szCs w:val="24"/>
        </w:rPr>
        <w:t xml:space="preserve">项目名称：_________</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项目编号：_________</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甲方：（买方）</w:t>
      </w:r>
      <w:r>
        <w:rPr>
          <w:rFonts w:hint="eastAsia" w:hAnsi="宋体" w:cs="Times New Roman"/>
          <w:sz w:val="24"/>
          <w:szCs w:val="24"/>
        </w:rPr>
        <w:t xml:space="preserve">江苏省</w:t>
      </w:r>
      <w:r>
        <w:rPr>
          <w:rFonts w:hAnsi="宋体" w:cs="Times New Roman"/>
          <w:sz w:val="24"/>
          <w:szCs w:val="24"/>
        </w:rPr>
        <w:t xml:space="preserve">人民医院</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乙方：（卖方）_________</w:t>
      </w:r>
      <w:r>
        <w:rPr>
          <w:rFonts w:hAnsi="宋体" w:cs="Times New Roman"/>
          <w:sz w:val="24"/>
          <w:szCs w:val="24"/>
        </w:rPr>
      </w:r>
      <w:r/>
    </w:p>
    <w:p>
      <w:pPr>
        <w:pStyle w:val="1317"/>
        <w:ind w:firstLine="600"/>
        <w:spacing w:line="480" w:lineRule="exact"/>
        <w:rPr>
          <w:rFonts w:hAnsi="宋体" w:cs="Times New Roman"/>
          <w:b/>
          <w:sz w:val="24"/>
          <w:szCs w:val="24"/>
        </w:rPr>
      </w:pPr>
      <w:r>
        <w:rPr>
          <w:rFonts w:hAnsi="宋体" w:cs="Times New Roman"/>
          <w:sz w:val="24"/>
          <w:szCs w:val="24"/>
        </w:rPr>
        <w:t xml:space="preserve">甲、乙双方根据江苏省政府采购中心</w:t>
      </w:r>
      <w:r>
        <w:rPr>
          <w:rFonts w:hAnsi="宋体" w:cs="Times New Roman"/>
          <w:sz w:val="24"/>
          <w:szCs w:val="24"/>
          <w:u w:val="single"/>
        </w:rPr>
        <w:t xml:space="preserve">         </w:t>
      </w:r>
      <w:r>
        <w:rPr>
          <w:rFonts w:hAnsi="宋体" w:cs="Times New Roman"/>
          <w:sz w:val="24"/>
          <w:szCs w:val="24"/>
        </w:rPr>
        <w:t xml:space="preserve">项目公开招标的结果，签署本合同。</w:t>
      </w:r>
      <w:r>
        <w:rPr>
          <w:rFonts w:hAnsi="宋体" w:cs="Times New Roman"/>
          <w:b/>
          <w:sz w:val="24"/>
          <w:szCs w:val="24"/>
        </w:rPr>
      </w:r>
      <w:r/>
    </w:p>
    <w:p>
      <w:pPr>
        <w:pStyle w:val="1286"/>
        <w:ind w:firstLine="602"/>
        <w:spacing w:before="0" w:after="0" w:line="240" w:lineRule="auto"/>
        <w:rPr>
          <w:rFonts w:ascii="宋体" w:hAnsi="宋体" w:eastAsia="宋体" w:cs="Times New Roman"/>
          <w:sz w:val="30"/>
          <w:szCs w:val="30"/>
        </w:rPr>
      </w:pPr>
      <w:r>
        <w:rPr>
          <w:rFonts w:hint="eastAsia" w:ascii="宋体" w:hAnsi="宋体" w:eastAsia="宋体" w:cs="Times New Roman"/>
          <w:sz w:val="30"/>
          <w:szCs w:val="30"/>
        </w:rPr>
        <w:t xml:space="preserve">一、合同内容</w:t>
      </w:r>
      <w:r>
        <w:rPr>
          <w:rFonts w:ascii="宋体" w:hAnsi="宋体" w:eastAsia="宋体" w:cs="Times New Roman"/>
          <w:sz w:val="30"/>
          <w:szCs w:val="30"/>
        </w:rPr>
      </w:r>
      <w:r/>
    </w:p>
    <w:p>
      <w:pPr>
        <w:pStyle w:val="1317"/>
        <w:ind w:firstLine="600"/>
        <w:spacing w:line="480" w:lineRule="exact"/>
        <w:rPr>
          <w:rFonts w:hAnsi="宋体" w:cs="Times New Roman"/>
          <w:sz w:val="24"/>
          <w:szCs w:val="24"/>
        </w:rPr>
      </w:pPr>
      <w:r>
        <w:rPr>
          <w:rFonts w:hAnsi="宋体" w:cs="Times New Roman"/>
          <w:sz w:val="24"/>
          <w:szCs w:val="24"/>
        </w:rPr>
        <w:t xml:space="preserve">1.1 标的名称：_________</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1.2 标的质量： _________</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1.3 标的数量（规模）：_________</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1.4 履行时间（期限）：_________</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1.5 履行地点：_________</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1.6 履行方式：_________</w:t>
      </w:r>
      <w:r>
        <w:rPr>
          <w:rFonts w:hAnsi="宋体" w:cs="Times New Roman"/>
          <w:sz w:val="24"/>
          <w:szCs w:val="24"/>
        </w:rPr>
      </w:r>
      <w:r/>
    </w:p>
    <w:p>
      <w:pPr>
        <w:pStyle w:val="1286"/>
        <w:ind w:firstLine="602"/>
        <w:spacing w:before="0" w:after="0" w:line="240" w:lineRule="auto"/>
        <w:rPr>
          <w:rFonts w:ascii="宋体" w:hAnsi="宋体" w:eastAsia="宋体" w:cs="Times New Roman"/>
          <w:sz w:val="30"/>
          <w:szCs w:val="30"/>
        </w:rPr>
      </w:pPr>
      <w:r>
        <w:rPr>
          <w:rFonts w:hint="eastAsia" w:ascii="宋体" w:hAnsi="宋体" w:eastAsia="宋体" w:cs="Times New Roman"/>
          <w:sz w:val="30"/>
          <w:szCs w:val="30"/>
        </w:rPr>
        <w:t xml:space="preserve">二、合同金额</w:t>
      </w:r>
      <w:r>
        <w:rPr>
          <w:rFonts w:ascii="宋体" w:hAnsi="宋体" w:eastAsia="宋体" w:cs="Times New Roman"/>
          <w:sz w:val="30"/>
          <w:szCs w:val="30"/>
        </w:rPr>
      </w:r>
      <w:r/>
    </w:p>
    <w:p>
      <w:pPr>
        <w:pStyle w:val="1317"/>
        <w:ind w:firstLine="600"/>
        <w:spacing w:line="480" w:lineRule="exact"/>
        <w:rPr>
          <w:rFonts w:hAnsi="宋体" w:cs="Times New Roman"/>
          <w:sz w:val="24"/>
          <w:szCs w:val="24"/>
        </w:rPr>
      </w:pPr>
      <w:r>
        <w:rPr>
          <w:rFonts w:hAnsi="宋体" w:cs="Times New Roman"/>
          <w:sz w:val="24"/>
          <w:szCs w:val="24"/>
        </w:rPr>
        <w:t xml:space="preserve">2.1 本合同金额为（大写）：____________________________________圆（_______________元）人民币。</w:t>
      </w:r>
      <w:r>
        <w:rPr>
          <w:rFonts w:hAnsi="宋体" w:cs="Times New Roman"/>
          <w:sz w:val="24"/>
          <w:szCs w:val="24"/>
        </w:rPr>
      </w:r>
      <w:r/>
    </w:p>
    <w:p>
      <w:pPr>
        <w:pStyle w:val="1286"/>
        <w:ind w:firstLine="602"/>
        <w:spacing w:before="0" w:after="0" w:line="240" w:lineRule="auto"/>
        <w:rPr>
          <w:rFonts w:ascii="宋体" w:hAnsi="宋体" w:eastAsia="宋体" w:cs="Times New Roman"/>
          <w:sz w:val="30"/>
          <w:szCs w:val="30"/>
        </w:rPr>
      </w:pPr>
      <w:r>
        <w:rPr>
          <w:rFonts w:hint="eastAsia" w:ascii="宋体" w:hAnsi="宋体" w:eastAsia="宋体" w:cs="Times New Roman"/>
          <w:sz w:val="30"/>
          <w:szCs w:val="30"/>
        </w:rPr>
        <w:t xml:space="preserve">三、技术资料</w:t>
      </w:r>
      <w:r>
        <w:rPr>
          <w:rFonts w:ascii="宋体" w:hAnsi="宋体" w:eastAsia="宋体" w:cs="Times New Roman"/>
          <w:sz w:val="30"/>
          <w:szCs w:val="30"/>
        </w:rPr>
      </w:r>
      <w:r/>
    </w:p>
    <w:p>
      <w:pPr>
        <w:pStyle w:val="1317"/>
        <w:ind w:firstLine="600"/>
        <w:spacing w:line="480" w:lineRule="exact"/>
        <w:rPr>
          <w:rFonts w:hAnsi="宋体" w:cs="Times New Roman"/>
          <w:sz w:val="24"/>
          <w:szCs w:val="24"/>
        </w:rPr>
      </w:pPr>
      <w:r>
        <w:rPr>
          <w:rFonts w:hAnsi="宋体" w:cs="Times New Roman"/>
          <w:sz w:val="24"/>
          <w:szCs w:val="24"/>
        </w:rPr>
        <w:t xml:space="preserve">3.1乙方应按招标文件规定的时间向甲方提供服务（包含与服务相关的货物）的有关技术资料。</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s="Times New Roman"/>
          <w:sz w:val="24"/>
          <w:szCs w:val="24"/>
        </w:rPr>
      </w:r>
      <w:r/>
    </w:p>
    <w:p>
      <w:pPr>
        <w:pStyle w:val="1286"/>
        <w:ind w:firstLine="602"/>
        <w:spacing w:before="0" w:after="0" w:line="240" w:lineRule="auto"/>
        <w:rPr>
          <w:rFonts w:ascii="宋体" w:hAnsi="宋体" w:eastAsia="宋体" w:cs="Times New Roman"/>
          <w:sz w:val="30"/>
          <w:szCs w:val="30"/>
        </w:rPr>
      </w:pPr>
      <w:r>
        <w:rPr>
          <w:rFonts w:hint="eastAsia" w:ascii="宋体" w:hAnsi="宋体" w:eastAsia="宋体" w:cs="Times New Roman"/>
          <w:sz w:val="30"/>
          <w:szCs w:val="30"/>
        </w:rPr>
        <w:t xml:space="preserve">四、知识产权</w:t>
      </w:r>
      <w:r>
        <w:rPr>
          <w:rFonts w:ascii="宋体" w:hAnsi="宋体" w:eastAsia="宋体" w:cs="Times New Roman"/>
          <w:sz w:val="30"/>
          <w:szCs w:val="30"/>
        </w:rPr>
      </w:r>
      <w:r/>
    </w:p>
    <w:p>
      <w:pPr>
        <w:pStyle w:val="1317"/>
        <w:ind w:firstLine="600"/>
        <w:spacing w:line="480" w:lineRule="exact"/>
        <w:rPr>
          <w:rFonts w:hAnsi="宋体" w:cs="Times New Roman"/>
          <w:sz w:val="24"/>
          <w:szCs w:val="24"/>
        </w:rPr>
      </w:pPr>
      <w:r>
        <w:rPr>
          <w:rFonts w:hAnsi="宋体"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Ansi="宋体" w:cs="Times New Roman"/>
          <w:sz w:val="24"/>
          <w:szCs w:val="24"/>
        </w:rPr>
      </w:r>
      <w:r/>
    </w:p>
    <w:p>
      <w:pPr>
        <w:pStyle w:val="1286"/>
        <w:ind w:firstLine="602"/>
        <w:spacing w:before="0" w:after="0" w:line="240" w:lineRule="auto"/>
        <w:rPr>
          <w:rFonts w:ascii="宋体" w:hAnsi="宋体" w:eastAsia="宋体" w:cs="Times New Roman"/>
          <w:sz w:val="30"/>
          <w:szCs w:val="30"/>
        </w:rPr>
      </w:pPr>
      <w:r>
        <w:rPr>
          <w:rFonts w:hint="eastAsia" w:ascii="宋体" w:hAnsi="宋体" w:eastAsia="宋体" w:cs="Times New Roman"/>
          <w:sz w:val="30"/>
          <w:szCs w:val="30"/>
        </w:rPr>
        <w:t xml:space="preserve">五、产权担保</w:t>
      </w:r>
      <w:r>
        <w:rPr>
          <w:rFonts w:ascii="宋体" w:hAnsi="宋体" w:eastAsia="宋体" w:cs="Times New Roman"/>
          <w:sz w:val="30"/>
          <w:szCs w:val="30"/>
        </w:rPr>
      </w:r>
      <w:r/>
    </w:p>
    <w:p>
      <w:pPr>
        <w:pStyle w:val="1317"/>
        <w:ind w:firstLine="600"/>
        <w:spacing w:line="480" w:lineRule="exact"/>
        <w:rPr>
          <w:rFonts w:hAnsi="宋体" w:cs="Times New Roman"/>
          <w:sz w:val="24"/>
          <w:szCs w:val="24"/>
          <w:u w:val="single"/>
        </w:rPr>
      </w:pPr>
      <w:r>
        <w:rPr>
          <w:rFonts w:hAnsi="宋体" w:cs="Times New Roman"/>
          <w:sz w:val="24"/>
          <w:szCs w:val="24"/>
        </w:rPr>
        <w:t xml:space="preserve">5.1 乙方保证所交付的服务（包含与服务相关的货物）的所有权完全属于乙方且无任何抵押、查封等产权瑕疵。</w:t>
      </w:r>
      <w:r>
        <w:rPr>
          <w:rFonts w:hAnsi="宋体" w:cs="Times New Roman"/>
          <w:sz w:val="24"/>
          <w:szCs w:val="24"/>
          <w:u w:val="single"/>
        </w:rPr>
      </w:r>
      <w:r/>
    </w:p>
    <w:p>
      <w:pPr>
        <w:pStyle w:val="1286"/>
        <w:ind w:firstLine="602"/>
        <w:spacing w:before="0" w:after="0" w:line="240" w:lineRule="auto"/>
        <w:rPr>
          <w:rFonts w:ascii="宋体" w:hAnsi="宋体" w:eastAsia="宋体" w:cs="Times New Roman"/>
          <w:sz w:val="30"/>
          <w:szCs w:val="30"/>
        </w:rPr>
      </w:pPr>
      <w:r>
        <w:rPr>
          <w:rFonts w:hint="eastAsia" w:ascii="宋体" w:hAnsi="宋体" w:eastAsia="宋体" w:cs="Times New Roman"/>
          <w:sz w:val="30"/>
          <w:szCs w:val="30"/>
        </w:rPr>
        <w:t xml:space="preserve">六、履约保证金</w:t>
      </w:r>
      <w:r>
        <w:rPr>
          <w:rFonts w:ascii="宋体" w:hAnsi="宋体" w:eastAsia="宋体" w:cs="Times New Roman"/>
          <w:sz w:val="30"/>
          <w:szCs w:val="30"/>
        </w:rPr>
      </w:r>
      <w:r/>
    </w:p>
    <w:p>
      <w:pPr>
        <w:pStyle w:val="1317"/>
        <w:ind w:firstLine="600"/>
        <w:spacing w:line="360" w:lineRule="auto"/>
        <w:rPr>
          <w:rFonts w:hAnsi="宋体" w:cs="Times New Roman"/>
          <w:sz w:val="24"/>
          <w:szCs w:val="24"/>
        </w:rPr>
      </w:pPr>
      <w:r>
        <w:rPr>
          <w:rFonts w:hint="eastAsia" w:hAnsi="宋体" w:cs="Times New Roman"/>
          <w:sz w:val="24"/>
          <w:szCs w:val="24"/>
        </w:rPr>
        <w:t xml:space="preserve">本项目不收取履约保证金</w:t>
      </w:r>
      <w:r>
        <w:rPr>
          <w:rFonts w:hAnsi="宋体" w:cs="Times New Roman"/>
          <w:sz w:val="24"/>
          <w:szCs w:val="24"/>
        </w:rPr>
        <w:t xml:space="preserve">。</w:t>
      </w:r>
      <w:r>
        <w:rPr>
          <w:rFonts w:hAnsi="宋体" w:cs="Times New Roman"/>
          <w:sz w:val="24"/>
          <w:szCs w:val="24"/>
        </w:rPr>
      </w:r>
      <w:r/>
    </w:p>
    <w:p>
      <w:pPr>
        <w:pStyle w:val="1286"/>
        <w:ind w:firstLine="602"/>
        <w:spacing w:before="0" w:after="0" w:line="240" w:lineRule="auto"/>
        <w:rPr>
          <w:rFonts w:ascii="宋体" w:hAnsi="宋体" w:eastAsia="宋体" w:cs="Times New Roman"/>
          <w:sz w:val="30"/>
          <w:szCs w:val="30"/>
        </w:rPr>
      </w:pPr>
      <w:r>
        <w:rPr>
          <w:rFonts w:hint="eastAsia" w:ascii="宋体" w:hAnsi="宋体" w:eastAsia="宋体" w:cs="Times New Roman"/>
          <w:sz w:val="30"/>
          <w:szCs w:val="30"/>
        </w:rPr>
        <w:t xml:space="preserve">七、合同转包或分包</w:t>
      </w:r>
      <w:r>
        <w:rPr>
          <w:rFonts w:ascii="宋体" w:hAnsi="宋体" w:eastAsia="宋体" w:cs="Times New Roman"/>
          <w:sz w:val="30"/>
          <w:szCs w:val="30"/>
        </w:rPr>
      </w:r>
      <w:r/>
    </w:p>
    <w:p>
      <w:pPr>
        <w:pStyle w:val="1038"/>
        <w:ind w:firstLine="600"/>
        <w:spacing w:line="480" w:lineRule="exact"/>
        <w:rPr>
          <w:rFonts w:ascii="宋体" w:hAnsi="宋体"/>
          <w:sz w:val="24"/>
          <w:szCs w:val="24"/>
        </w:rPr>
      </w:pPr>
      <w:r>
        <w:rPr>
          <w:rFonts w:ascii="宋体" w:hAnsi="宋体"/>
          <w:sz w:val="24"/>
          <w:szCs w:val="24"/>
        </w:rPr>
        <w:t xml:space="preserve">7.1乙方不得将合同标的转包给他人履行。</w:t>
      </w:r>
      <w:r>
        <w:rPr>
          <w:rFonts w:ascii="宋体" w:hAnsi="宋体"/>
          <w:sz w:val="24"/>
          <w:szCs w:val="24"/>
        </w:rPr>
      </w:r>
      <w:r/>
    </w:p>
    <w:p>
      <w:pPr>
        <w:pStyle w:val="1038"/>
        <w:ind w:firstLine="600"/>
        <w:spacing w:line="480" w:lineRule="exact"/>
        <w:rPr>
          <w:rFonts w:ascii="宋体" w:hAnsi="宋体"/>
          <w:sz w:val="24"/>
          <w:szCs w:val="24"/>
        </w:rPr>
      </w:pPr>
      <w:r>
        <w:rPr>
          <w:rFonts w:ascii="宋体" w:hAnsi="宋体"/>
          <w:sz w:val="24"/>
          <w:szCs w:val="24"/>
        </w:rPr>
        <w:t xml:space="preserve">7.2乙方不得将合同标的分包给他人履行。</w:t>
      </w:r>
      <w:r>
        <w:rPr>
          <w:rFonts w:ascii="宋体" w:hAnsi="宋体"/>
          <w:sz w:val="24"/>
          <w:szCs w:val="24"/>
        </w:rPr>
      </w:r>
      <w:r/>
    </w:p>
    <w:p>
      <w:pPr>
        <w:pStyle w:val="1038"/>
        <w:ind w:firstLine="600"/>
        <w:spacing w:line="480" w:lineRule="exact"/>
        <w:rPr>
          <w:rFonts w:ascii="宋体" w:hAnsi="宋体"/>
          <w:sz w:val="24"/>
          <w:szCs w:val="24"/>
        </w:rPr>
      </w:pPr>
      <w:r>
        <w:rPr>
          <w:rFonts w:ascii="宋体" w:hAnsi="宋体"/>
          <w:sz w:val="24"/>
          <w:szCs w:val="24"/>
        </w:rPr>
        <w:t xml:space="preserve">7.3乙方如有转包或未经甲方同意的分包行为，甲方有权解除合同。</w:t>
      </w:r>
      <w:r>
        <w:rPr>
          <w:rFonts w:ascii="宋体" w:hAnsi="宋体"/>
          <w:sz w:val="24"/>
          <w:szCs w:val="24"/>
        </w:rPr>
      </w:r>
      <w:r/>
    </w:p>
    <w:p>
      <w:pPr>
        <w:pStyle w:val="1286"/>
        <w:ind w:firstLine="602"/>
        <w:spacing w:before="0" w:after="0" w:line="240" w:lineRule="auto"/>
        <w:rPr>
          <w:rFonts w:ascii="宋体" w:hAnsi="宋体" w:eastAsia="宋体" w:cs="Times New Roman"/>
          <w:sz w:val="30"/>
          <w:szCs w:val="30"/>
        </w:rPr>
      </w:pPr>
      <w:r>
        <w:rPr>
          <w:rFonts w:hint="eastAsia" w:ascii="宋体" w:hAnsi="宋体" w:eastAsia="宋体" w:cs="Times New Roman"/>
          <w:sz w:val="30"/>
          <w:szCs w:val="30"/>
        </w:rPr>
        <w:t xml:space="preserve">八、质保期</w:t>
      </w:r>
      <w:r>
        <w:rPr>
          <w:rFonts w:ascii="宋体" w:hAnsi="宋体" w:eastAsia="宋体" w:cs="Times New Roman"/>
          <w:sz w:val="30"/>
          <w:szCs w:val="30"/>
        </w:rPr>
      </w:r>
      <w:r/>
    </w:p>
    <w:p>
      <w:pPr>
        <w:pStyle w:val="1038"/>
        <w:ind w:firstLine="600"/>
        <w:spacing w:line="480" w:lineRule="exact"/>
        <w:rPr>
          <w:rFonts w:ascii="宋体" w:hAnsi="宋体"/>
          <w:sz w:val="24"/>
          <w:szCs w:val="24"/>
        </w:rPr>
      </w:pPr>
      <w:r>
        <w:rPr>
          <w:rFonts w:ascii="宋体" w:hAnsi="宋体"/>
          <w:sz w:val="24"/>
          <w:szCs w:val="24"/>
        </w:rPr>
        <w:t xml:space="preserve">质保期</w:t>
      </w:r>
      <w:r>
        <w:rPr>
          <w:rFonts w:hint="eastAsia" w:ascii="宋体" w:hAnsi="宋体"/>
          <w:sz w:val="24"/>
          <w:szCs w:val="24"/>
          <w:u w:val="single"/>
        </w:rPr>
        <w:t xml:space="preserve">1</w:t>
      </w:r>
      <w:r>
        <w:rPr>
          <w:rFonts w:ascii="宋体" w:hAnsi="宋体"/>
          <w:sz w:val="24"/>
          <w:szCs w:val="24"/>
        </w:rPr>
        <w:t xml:space="preserve">年。（自项目验收合格之日起计）。</w:t>
      </w:r>
      <w:r>
        <w:rPr>
          <w:rFonts w:ascii="宋体" w:hAnsi="宋体"/>
          <w:sz w:val="24"/>
          <w:szCs w:val="24"/>
        </w:rPr>
      </w:r>
      <w:r/>
    </w:p>
    <w:p>
      <w:pPr>
        <w:pStyle w:val="1286"/>
        <w:ind w:firstLine="602"/>
        <w:spacing w:before="0" w:after="0" w:line="240" w:lineRule="auto"/>
        <w:rPr>
          <w:rFonts w:ascii="宋体" w:hAnsi="宋体" w:eastAsia="宋体" w:cs="Times New Roman"/>
          <w:sz w:val="30"/>
          <w:szCs w:val="30"/>
        </w:rPr>
      </w:pPr>
      <w:r>
        <w:rPr>
          <w:rFonts w:hint="eastAsia" w:ascii="宋体" w:hAnsi="宋体" w:eastAsia="宋体" w:cs="Times New Roman"/>
          <w:sz w:val="30"/>
          <w:szCs w:val="30"/>
        </w:rPr>
        <w:t xml:space="preserve">九、合同款项支付</w:t>
      </w:r>
      <w:r>
        <w:rPr>
          <w:rFonts w:ascii="宋体" w:hAnsi="宋体" w:eastAsia="宋体" w:cs="Times New Roman"/>
          <w:sz w:val="30"/>
          <w:szCs w:val="30"/>
        </w:rPr>
      </w:r>
      <w:r/>
    </w:p>
    <w:p>
      <w:pPr>
        <w:pStyle w:val="1317"/>
        <w:ind w:firstLine="600"/>
        <w:spacing w:line="480" w:lineRule="exact"/>
        <w:rPr>
          <w:rFonts w:hAnsi="宋体" w:cs="Times New Roman"/>
          <w:sz w:val="24"/>
          <w:szCs w:val="24"/>
          <w:u w:val="single"/>
        </w:rPr>
      </w:pPr>
      <w:r>
        <w:rPr>
          <w:rFonts w:hAnsi="宋体" w:cs="Times New Roman"/>
          <w:sz w:val="24"/>
          <w:szCs w:val="24"/>
        </w:rPr>
        <w:t xml:space="preserve">付款方式：合同生效且收到发票后支付30%，验收合格且收到发票后支付60%，验收合格半年后且收到发票后支付10%。</w:t>
      </w:r>
      <w:r>
        <w:rPr>
          <w:rFonts w:hAnsi="宋体" w:cs="Times New Roman"/>
          <w:sz w:val="24"/>
          <w:szCs w:val="24"/>
          <w:u w:val="single"/>
        </w:rPr>
      </w:r>
      <w:r/>
    </w:p>
    <w:p>
      <w:pPr>
        <w:pStyle w:val="1038"/>
        <w:ind w:firstLine="602"/>
        <w:rPr>
          <w:rFonts w:ascii="宋体" w:hAnsi="宋体"/>
          <w:b/>
          <w:bCs/>
          <w:sz w:val="30"/>
          <w:szCs w:val="30"/>
        </w:rPr>
      </w:pPr>
      <w:r>
        <w:rPr>
          <w:rFonts w:hint="eastAsia" w:ascii="宋体" w:hAnsi="宋体"/>
          <w:b/>
          <w:bCs/>
          <w:sz w:val="30"/>
          <w:szCs w:val="30"/>
        </w:rPr>
        <w:t xml:space="preserve">十、税费</w:t>
      </w:r>
      <w:r>
        <w:rPr>
          <w:rFonts w:ascii="宋体" w:hAnsi="宋体"/>
          <w:b/>
          <w:bCs/>
          <w:sz w:val="30"/>
          <w:szCs w:val="30"/>
        </w:rPr>
      </w:r>
      <w:r/>
    </w:p>
    <w:p>
      <w:pPr>
        <w:pStyle w:val="1038"/>
        <w:ind w:firstLine="600"/>
        <w:spacing w:line="480" w:lineRule="exact"/>
        <w:rPr>
          <w:rFonts w:ascii="宋体" w:hAnsi="宋体"/>
          <w:sz w:val="24"/>
          <w:szCs w:val="24"/>
        </w:rPr>
      </w:pPr>
      <w:r>
        <w:rPr>
          <w:rFonts w:ascii="宋体" w:hAnsi="宋体"/>
          <w:sz w:val="24"/>
          <w:szCs w:val="24"/>
        </w:rPr>
        <w:t xml:space="preserve">本合同执行中相关的一切税费均由乙方负担。</w:t>
      </w:r>
      <w:r>
        <w:rPr>
          <w:rFonts w:ascii="宋体" w:hAnsi="宋体"/>
          <w:sz w:val="24"/>
          <w:szCs w:val="24"/>
        </w:rPr>
      </w:r>
      <w:r/>
    </w:p>
    <w:p>
      <w:pPr>
        <w:pStyle w:val="1038"/>
        <w:ind w:firstLine="602"/>
        <w:rPr>
          <w:rFonts w:ascii="宋体" w:hAnsi="宋体"/>
          <w:b/>
          <w:bCs/>
          <w:sz w:val="30"/>
          <w:szCs w:val="30"/>
        </w:rPr>
      </w:pPr>
      <w:r>
        <w:rPr>
          <w:rFonts w:hint="eastAsia" w:ascii="宋体" w:hAnsi="宋体"/>
          <w:b/>
          <w:bCs/>
          <w:sz w:val="30"/>
          <w:szCs w:val="30"/>
        </w:rPr>
        <w:t xml:space="preserve">十一、项目验收</w:t>
      </w:r>
      <w:r>
        <w:rPr>
          <w:rFonts w:ascii="宋体" w:hAnsi="宋体"/>
          <w:b/>
          <w:bCs/>
          <w:sz w:val="30"/>
          <w:szCs w:val="30"/>
        </w:rPr>
      </w:r>
      <w:r/>
    </w:p>
    <w:p>
      <w:pPr>
        <w:pStyle w:val="1317"/>
        <w:ind w:firstLine="600"/>
        <w:spacing w:line="480" w:lineRule="exact"/>
        <w:rPr>
          <w:rFonts w:hAnsi="宋体" w:cs="Times New Roman"/>
          <w:sz w:val="24"/>
          <w:szCs w:val="24"/>
        </w:rPr>
      </w:pPr>
      <w:r>
        <w:rPr>
          <w:rFonts w:hAnsi="宋体" w:cs="Times New Roman"/>
          <w:sz w:val="24"/>
          <w:szCs w:val="24"/>
        </w:rPr>
        <w:t xml:space="preserve">11.1 </w:t>
      </w:r>
      <w:r>
        <w:rPr>
          <w:rFonts w:hint="eastAsia" w:hAnsi="宋体" w:cs="Times New Roman"/>
          <w:sz w:val="24"/>
          <w:szCs w:val="24"/>
        </w:rPr>
        <w:t xml:space="preserve">乙方发起验收申请，</w:t>
      </w:r>
      <w:r>
        <w:rPr>
          <w:rFonts w:hAnsi="宋体" w:cs="Times New Roman"/>
          <w:sz w:val="24"/>
          <w:szCs w:val="24"/>
        </w:rPr>
        <w:t xml:space="preserve">甲方组织履约验收工作。</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11.3 对于实际使用人和甲方分离的项目，甲方邀请实际使用人参与验收。</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11.4 如有必要，甲方邀请参加本项目的其他供应商或第三方专业机构及专家参与验收，相关意见将作为验收书的参考资料。</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11.7 本合同包含</w:t>
      </w:r>
      <w:r>
        <w:rPr>
          <w:rFonts w:hAnsi="宋体" w:cs="Times New Roman"/>
          <w:sz w:val="24"/>
          <w:szCs w:val="24"/>
          <w:u w:val="single"/>
        </w:rPr>
        <w:t xml:space="preserve">    </w:t>
      </w:r>
      <w:r>
        <w:rPr>
          <w:rFonts w:hAnsi="宋体" w:cs="Times New Roman"/>
          <w:sz w:val="24"/>
          <w:szCs w:val="24"/>
        </w:rPr>
        <w:t xml:space="preserve">年的免费维保服务，自项目验收之日起。</w:t>
      </w:r>
      <w:r>
        <w:rPr>
          <w:rFonts w:hAnsi="宋体" w:cs="Times New Roman"/>
          <w:sz w:val="24"/>
          <w:szCs w:val="24"/>
        </w:rPr>
      </w:r>
      <w:r/>
    </w:p>
    <w:p>
      <w:pPr>
        <w:pStyle w:val="1038"/>
        <w:ind w:firstLine="602"/>
        <w:rPr>
          <w:rFonts w:ascii="宋体" w:hAnsi="宋体"/>
          <w:b/>
          <w:bCs/>
          <w:sz w:val="30"/>
          <w:szCs w:val="30"/>
        </w:rPr>
      </w:pPr>
      <w:r>
        <w:rPr>
          <w:rFonts w:hint="eastAsia" w:ascii="宋体" w:hAnsi="宋体"/>
          <w:b/>
          <w:bCs/>
          <w:sz w:val="30"/>
          <w:szCs w:val="30"/>
        </w:rPr>
        <w:t xml:space="preserve">十二、质量保修范围和保修期及售后服务</w:t>
      </w:r>
      <w:r>
        <w:rPr>
          <w:rFonts w:ascii="宋体" w:hAnsi="宋体"/>
          <w:b/>
          <w:bCs/>
          <w:sz w:val="30"/>
          <w:szCs w:val="30"/>
        </w:rPr>
      </w:r>
      <w:r/>
    </w:p>
    <w:p>
      <w:pPr>
        <w:pStyle w:val="1317"/>
        <w:ind w:firstLine="600"/>
        <w:spacing w:line="480" w:lineRule="exact"/>
        <w:rPr>
          <w:rFonts w:hAnsi="宋体" w:cs="Times New Roman"/>
          <w:sz w:val="24"/>
          <w:szCs w:val="24"/>
        </w:rPr>
      </w:pPr>
      <w:r>
        <w:rPr>
          <w:rFonts w:hAnsi="宋体" w:cs="Times New Roman"/>
          <w:sz w:val="24"/>
          <w:szCs w:val="24"/>
        </w:rPr>
        <w:t xml:space="preserve">12.1乙方应按采购文件规定和响应文件承诺的性能、技术要求、质量标准向甲方提供产品或服务。</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12.2乙方提供的产品或服务在质保期内因其本身出现质量问题，根据实际情况，经双方协商，可按以下办法处理：</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（1）更换：由乙方承担所发生的全部费用。</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（2）合同终止处理：合同终止，并退还甲方支付的合同款，同时应承担由此产生的所有费用，甲方不承担发生任何费用。</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12.3如在使用过程中发生质量问题，乙方在接到甲方通知后在</w:t>
      </w:r>
      <w:r>
        <w:rPr>
          <w:rFonts w:hAnsi="宋体" w:cs="Times New Roman"/>
          <w:sz w:val="24"/>
          <w:szCs w:val="24"/>
          <w:u w:val="single"/>
        </w:rPr>
        <w:t xml:space="preserve">     </w:t>
      </w:r>
      <w:r>
        <w:rPr>
          <w:rFonts w:hAnsi="宋体" w:cs="Times New Roman"/>
          <w:sz w:val="24"/>
          <w:szCs w:val="24"/>
        </w:rPr>
        <w:t xml:space="preserve">小时内到达甲方现场。</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12.4在质保期内，乙方应对产品或服务出现的质量及安全问题负责处理解决并承担一切费用。</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12.5合同标的对质量保证和售后服务另有要求的，按采购文件中的相关要求处理。</w:t>
      </w:r>
      <w:r>
        <w:rPr>
          <w:rFonts w:hAnsi="宋体" w:cs="Times New Roman"/>
          <w:sz w:val="24"/>
          <w:szCs w:val="24"/>
        </w:rPr>
      </w:r>
      <w:r/>
    </w:p>
    <w:p>
      <w:pPr>
        <w:pStyle w:val="1038"/>
        <w:ind w:firstLine="602"/>
        <w:rPr>
          <w:rFonts w:ascii="宋体" w:hAnsi="宋体"/>
          <w:b/>
          <w:bCs/>
          <w:sz w:val="30"/>
          <w:szCs w:val="30"/>
        </w:rPr>
      </w:pPr>
      <w:r>
        <w:rPr>
          <w:rFonts w:hint="eastAsia" w:ascii="宋体" w:hAnsi="宋体"/>
          <w:b/>
          <w:bCs/>
          <w:sz w:val="30"/>
          <w:szCs w:val="30"/>
        </w:rPr>
        <w:t xml:space="preserve">十三、验收、交付标准和方法</w:t>
      </w:r>
      <w:r>
        <w:rPr>
          <w:rFonts w:ascii="宋体" w:hAnsi="宋体"/>
          <w:b/>
          <w:bCs/>
          <w:sz w:val="30"/>
          <w:szCs w:val="30"/>
        </w:rPr>
      </w:r>
      <w:r/>
    </w:p>
    <w:p>
      <w:pPr>
        <w:pStyle w:val="1317"/>
        <w:ind w:firstLine="600"/>
        <w:spacing w:line="480" w:lineRule="exact"/>
        <w:rPr>
          <w:rFonts w:hAnsi="宋体" w:cs="Times New Roman"/>
          <w:sz w:val="24"/>
          <w:szCs w:val="24"/>
        </w:rPr>
      </w:pPr>
      <w:r>
        <w:rPr>
          <w:rFonts w:hAnsi="宋体" w:cs="Times New Roman"/>
          <w:sz w:val="24"/>
          <w:szCs w:val="24"/>
        </w:rPr>
        <w:t xml:space="preserve">13.1甲方对乙方提交的产品或服务依据采购文件上的项目需求要求、乙方响应文件及国家有关质量标准进行验收。</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13.2乙方交货前应对产品或服务作出全面检查和对验收文件进行整理，并列出清单，作为甲方验收和使用的技术条件依据，检验的结果应随服务一起提交甲方。</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13.3甲方对乙方提供的产品或服务在使用前，乙方需负责培训甲方的使用操作人员，并协助甲方一起试用，直到符合技术要求，甲方才做最终验收。</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13.4对技术复杂的产品或服务，甲方可请国家认可的专业检测机构参与初步验收及最终验收，并由其出具质量检测报告。</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13.5验收时乙方必须在现场，验收完毕后作出验收结果报告。</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13.6合同标的对验收另有要求的，按采购文件中的相关要求执行。</w:t>
      </w:r>
      <w:r>
        <w:rPr>
          <w:rFonts w:hAnsi="宋体" w:cs="Times New Roman"/>
          <w:sz w:val="24"/>
          <w:szCs w:val="24"/>
        </w:rPr>
      </w:r>
      <w:r/>
    </w:p>
    <w:p>
      <w:pPr>
        <w:pStyle w:val="1317"/>
        <w:ind w:firstLine="602"/>
        <w:rPr>
          <w:rFonts w:hAnsi="宋体" w:cs="Times New Roman"/>
          <w:b/>
          <w:bCs/>
          <w:sz w:val="30"/>
          <w:szCs w:val="30"/>
        </w:rPr>
      </w:pPr>
      <w:r>
        <w:rPr>
          <w:rFonts w:hint="eastAsia" w:hAnsi="宋体" w:cs="Times New Roman"/>
          <w:b/>
          <w:bCs/>
          <w:sz w:val="30"/>
          <w:szCs w:val="30"/>
        </w:rPr>
        <w:t xml:space="preserve">十四、违约责任</w:t>
      </w:r>
      <w:r>
        <w:rPr>
          <w:rFonts w:hAnsi="宋体" w:cs="Times New Roman"/>
          <w:b/>
          <w:bCs/>
          <w:sz w:val="30"/>
          <w:szCs w:val="30"/>
        </w:rPr>
      </w:r>
      <w:r/>
    </w:p>
    <w:p>
      <w:pPr>
        <w:pStyle w:val="1317"/>
        <w:ind w:firstLine="600"/>
        <w:spacing w:line="480" w:lineRule="exact"/>
        <w:rPr>
          <w:rFonts w:hAnsi="宋体" w:cs="Times New Roman"/>
          <w:sz w:val="24"/>
          <w:szCs w:val="24"/>
        </w:rPr>
      </w:pPr>
      <w:r>
        <w:rPr>
          <w:rFonts w:hAnsi="宋体" w:cs="Times New Roman"/>
          <w:sz w:val="24"/>
          <w:szCs w:val="24"/>
        </w:rPr>
        <w:t xml:space="preserve">14.1 甲方无正当理由拒绝接受乙方提供服务的，甲方向乙方偿付拒绝接受服务合同价款总值</w:t>
      </w:r>
      <w:r>
        <w:rPr>
          <w:rFonts w:hAnsi="宋体" w:cs="Times New Roman"/>
          <w:sz w:val="24"/>
          <w:szCs w:val="24"/>
          <w:u w:val="single"/>
        </w:rPr>
        <w:t xml:space="preserve">    </w:t>
      </w:r>
      <w:r>
        <w:rPr>
          <w:rFonts w:hAnsi="宋体" w:cs="Times New Roman"/>
          <w:sz w:val="24"/>
          <w:szCs w:val="24"/>
        </w:rPr>
        <w:t xml:space="preserve">的违约金。</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14.2 甲方无故逾期验收和办理合同款项支付手续的,甲方应按逾期付款总额</w:t>
      </w:r>
      <w:r>
        <w:rPr>
          <w:rFonts w:hAnsi="宋体" w:cs="Times New Roman"/>
          <w:sz w:val="24"/>
          <w:szCs w:val="24"/>
          <w:u w:val="single"/>
        </w:rPr>
        <w:t xml:space="preserve">    </w:t>
      </w:r>
      <w:r>
        <w:rPr>
          <w:rFonts w:hAnsi="宋体" w:cs="Times New Roman"/>
          <w:sz w:val="24"/>
          <w:szCs w:val="24"/>
        </w:rPr>
        <w:t xml:space="preserve">每日向乙方支付违约金。</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14.3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Ansi="宋体" w:cs="Times New Roman"/>
          <w:sz w:val="24"/>
          <w:szCs w:val="24"/>
          <w:u w:val="single"/>
        </w:rPr>
        <w:t xml:space="preserve">     </w:t>
      </w:r>
      <w:r>
        <w:rPr>
          <w:rFonts w:hAnsi="宋体" w:cs="Times New Roman"/>
          <w:sz w:val="24"/>
          <w:szCs w:val="24"/>
        </w:rPr>
        <w:t xml:space="preserve">的违约金，如造成甲方损失超过违约金的，超出部分由乙方继续承担赔偿责任。 </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14.4 乙方所提供服务的标准不符合合同规定及招标文件规定标准的，甲方有权拒绝接受服务，并可单方面解除合同。</w:t>
      </w:r>
      <w:r>
        <w:rPr>
          <w:rFonts w:hAnsi="宋体" w:cs="Times New Roman"/>
          <w:sz w:val="24"/>
          <w:szCs w:val="24"/>
        </w:rPr>
      </w:r>
      <w:r/>
    </w:p>
    <w:p>
      <w:pPr>
        <w:pStyle w:val="1317"/>
        <w:ind w:firstLine="602"/>
        <w:rPr>
          <w:rFonts w:hAnsi="宋体" w:cs="Times New Roman"/>
          <w:b/>
          <w:bCs/>
          <w:sz w:val="30"/>
          <w:szCs w:val="30"/>
        </w:rPr>
      </w:pPr>
      <w:r>
        <w:rPr>
          <w:rFonts w:hint="eastAsia" w:hAnsi="宋体" w:cs="Times New Roman"/>
          <w:b/>
          <w:bCs/>
          <w:sz w:val="30"/>
          <w:szCs w:val="30"/>
        </w:rPr>
        <w:t xml:space="preserve">十五、不可抗力事件处理</w:t>
      </w:r>
      <w:r>
        <w:rPr>
          <w:rFonts w:hAnsi="宋体" w:cs="Times New Roman"/>
          <w:b/>
          <w:bCs/>
          <w:sz w:val="30"/>
          <w:szCs w:val="30"/>
        </w:rPr>
      </w:r>
      <w:r/>
    </w:p>
    <w:p>
      <w:pPr>
        <w:pStyle w:val="1317"/>
        <w:ind w:firstLine="600"/>
        <w:spacing w:line="480" w:lineRule="exact"/>
        <w:rPr>
          <w:rFonts w:hAnsi="宋体" w:cs="Times New Roman"/>
          <w:sz w:val="24"/>
          <w:szCs w:val="24"/>
        </w:rPr>
      </w:pPr>
      <w:r>
        <w:rPr>
          <w:rFonts w:hAnsi="宋体" w:cs="Times New Roman"/>
          <w:sz w:val="24"/>
          <w:szCs w:val="24"/>
        </w:rPr>
        <w:t xml:space="preserve">15.1 在合同有效期内，任何一方因不可抗力事件导致不能履行合同，则合同履行期可延长，其延长期与不可抗力影响 期相同。</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15.2 不可抗力事件发生后，应立即通知对方，并寄送有关权威机构出具的证明。</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15.3 不可抗力事件延续120天以上，双方应通过友好协商，确定是否继续履行合同。</w:t>
      </w:r>
      <w:r>
        <w:rPr>
          <w:rFonts w:hAnsi="宋体" w:cs="Times New Roman"/>
          <w:sz w:val="24"/>
          <w:szCs w:val="24"/>
        </w:rPr>
      </w:r>
      <w:r/>
    </w:p>
    <w:p>
      <w:pPr>
        <w:pStyle w:val="1317"/>
        <w:ind w:firstLine="602"/>
        <w:rPr>
          <w:rFonts w:hAnsi="宋体" w:cs="Times New Roman"/>
          <w:b/>
          <w:bCs/>
          <w:sz w:val="30"/>
          <w:szCs w:val="30"/>
        </w:rPr>
      </w:pPr>
      <w:r>
        <w:rPr>
          <w:rFonts w:hint="eastAsia" w:hAnsi="宋体" w:cs="Times New Roman"/>
          <w:b/>
          <w:bCs/>
          <w:sz w:val="30"/>
          <w:szCs w:val="30"/>
        </w:rPr>
        <w:t xml:space="preserve">十六、解决争议的方法</w:t>
      </w:r>
      <w:r>
        <w:rPr>
          <w:rFonts w:hAnsi="宋体" w:cs="Times New Roman"/>
          <w:b/>
          <w:bCs/>
          <w:sz w:val="30"/>
          <w:szCs w:val="30"/>
        </w:rPr>
      </w:r>
      <w:r/>
    </w:p>
    <w:p>
      <w:pPr>
        <w:pStyle w:val="1317"/>
        <w:ind w:firstLine="600"/>
        <w:spacing w:line="480" w:lineRule="exact"/>
        <w:rPr>
          <w:rFonts w:hAnsi="宋体" w:cs="Times New Roman"/>
          <w:sz w:val="24"/>
          <w:szCs w:val="24"/>
        </w:rPr>
      </w:pPr>
      <w:r>
        <w:rPr>
          <w:rFonts w:hAnsi="宋体" w:cs="Times New Roman"/>
          <w:sz w:val="24"/>
          <w:szCs w:val="24"/>
        </w:rPr>
        <w:t xml:space="preserve">16.1双方在签订、履行合同中所发生的一切争议，应通过友好协商解决。如协商不成，由甲方住所地人民法院管辖。</w:t>
      </w:r>
      <w:r>
        <w:rPr>
          <w:rFonts w:hAnsi="宋体" w:cs="Times New Roman"/>
          <w:sz w:val="24"/>
          <w:szCs w:val="24"/>
        </w:rPr>
      </w:r>
      <w:r/>
    </w:p>
    <w:p>
      <w:pPr>
        <w:pStyle w:val="1317"/>
        <w:ind w:firstLine="602"/>
        <w:rPr>
          <w:rFonts w:hAnsi="宋体" w:cs="Times New Roman"/>
          <w:b/>
          <w:bCs/>
          <w:sz w:val="30"/>
          <w:szCs w:val="30"/>
        </w:rPr>
      </w:pPr>
      <w:r>
        <w:rPr>
          <w:rFonts w:hint="eastAsia" w:hAnsi="宋体" w:cs="Times New Roman"/>
          <w:b/>
          <w:bCs/>
          <w:sz w:val="30"/>
          <w:szCs w:val="30"/>
        </w:rPr>
        <w:t xml:space="preserve">十七、合同生效及其它</w:t>
      </w:r>
      <w:r>
        <w:rPr>
          <w:rFonts w:hAnsi="宋体" w:cs="Times New Roman"/>
          <w:b/>
          <w:bCs/>
          <w:sz w:val="30"/>
          <w:szCs w:val="30"/>
        </w:rPr>
      </w:r>
      <w:r/>
    </w:p>
    <w:p>
      <w:pPr>
        <w:pStyle w:val="1317"/>
        <w:ind w:firstLine="600"/>
        <w:spacing w:line="480" w:lineRule="exact"/>
        <w:rPr>
          <w:rFonts w:hAnsi="宋体" w:cs="Times New Roman"/>
          <w:sz w:val="24"/>
          <w:szCs w:val="24"/>
        </w:rPr>
      </w:pPr>
      <w:r>
        <w:rPr>
          <w:rFonts w:hAnsi="宋体" w:cs="Times New Roman"/>
          <w:sz w:val="24"/>
          <w:szCs w:val="24"/>
        </w:rPr>
        <w:t xml:space="preserve">17.1 合同经双方法定代表人或授权委托代表人签字并加盖单位公章后生效。</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17.2本合同未尽事宜，遵照《中华人民共和国民法典》《中华人民共和国政府采购法》有关条文执行。</w:t>
      </w:r>
      <w:r>
        <w:rPr>
          <w:rFonts w:hAnsi="宋体" w:cs="Times New Roman"/>
          <w:sz w:val="24"/>
          <w:szCs w:val="24"/>
        </w:rPr>
      </w:r>
      <w:r/>
    </w:p>
    <w:p>
      <w:pPr>
        <w:pStyle w:val="1317"/>
        <w:ind w:firstLine="600"/>
        <w:spacing w:line="480" w:lineRule="exact"/>
        <w:rPr>
          <w:rFonts w:hAnsi="宋体" w:cs="Times New Roman"/>
          <w:sz w:val="24"/>
          <w:szCs w:val="24"/>
        </w:rPr>
      </w:pPr>
      <w:r>
        <w:rPr>
          <w:rFonts w:hAnsi="宋体" w:cs="Times New Roman"/>
          <w:sz w:val="24"/>
          <w:szCs w:val="24"/>
        </w:rPr>
        <w:t xml:space="preserve">17.3 本合同正本一式</w:t>
      </w:r>
      <w:r>
        <w:rPr>
          <w:rFonts w:hint="eastAsia" w:hAnsi="宋体" w:cs="Times New Roman"/>
          <w:sz w:val="24"/>
          <w:szCs w:val="24"/>
          <w:u w:val="single"/>
        </w:rPr>
        <w:t xml:space="preserve"> </w:t>
      </w:r>
      <w:r>
        <w:rPr>
          <w:rFonts w:hAnsi="宋体" w:cs="Times New Roman"/>
          <w:sz w:val="24"/>
          <w:szCs w:val="24"/>
          <w:u w:val="single"/>
        </w:rPr>
        <w:t xml:space="preserve">   </w:t>
      </w:r>
      <w:r>
        <w:rPr>
          <w:rFonts w:hAnsi="宋体" w:cs="Times New Roman"/>
          <w:sz w:val="24"/>
          <w:szCs w:val="24"/>
        </w:rPr>
        <w:t xml:space="preserve">份，具有同等法律效力，甲方、乙方及财政监管部门各执一份。</w:t>
      </w:r>
      <w:r>
        <w:rPr>
          <w:rFonts w:hAnsi="宋体" w:cs="Times New Roman"/>
          <w:sz w:val="24"/>
          <w:szCs w:val="24"/>
        </w:rPr>
      </w:r>
      <w:r/>
    </w:p>
    <w:p>
      <w:pPr>
        <w:pStyle w:val="1317"/>
        <w:ind w:firstLine="480"/>
        <w:spacing w:before="120" w:after="120" w:line="360" w:lineRule="auto"/>
        <w:rPr>
          <w:rFonts w:hAnsi="宋体" w:cs="Times New Roman"/>
          <w:sz w:val="24"/>
          <w:szCs w:val="24"/>
        </w:rPr>
      </w:pPr>
      <w:r>
        <w:rPr>
          <w:rFonts w:hAnsi="宋体" w:cs="Times New Roman"/>
          <w:sz w:val="24"/>
          <w:szCs w:val="24"/>
        </w:rPr>
        <w:t xml:space="preserve">  </w:t>
      </w:r>
      <w:r>
        <w:rPr>
          <w:rFonts w:hAnsi="宋体" w:cs="Times New Roman"/>
          <w:sz w:val="24"/>
          <w:szCs w:val="24"/>
        </w:rPr>
      </w:r>
      <w:r/>
    </w:p>
    <w:p>
      <w:pPr>
        <w:pStyle w:val="1317"/>
        <w:ind w:firstLine="240"/>
        <w:spacing w:line="480" w:lineRule="exact"/>
        <w:rPr>
          <w:rFonts w:hAnsi="宋体" w:cs="Times New Roman"/>
          <w:sz w:val="24"/>
          <w:szCs w:val="24"/>
        </w:rPr>
      </w:pPr>
      <w:r>
        <w:rPr>
          <w:rFonts w:hAnsi="宋体" w:cs="Times New Roman"/>
          <w:sz w:val="24"/>
          <w:szCs w:val="24"/>
        </w:rPr>
        <w:t xml:space="preserve">甲方（盖章）：江苏省人民医院              乙方（盖章）： </w:t>
      </w:r>
      <w:r>
        <w:rPr>
          <w:rFonts w:hAnsi="宋体" w:cs="Times New Roman"/>
          <w:sz w:val="24"/>
          <w:szCs w:val="24"/>
        </w:rPr>
      </w:r>
      <w:r/>
    </w:p>
    <w:p>
      <w:pPr>
        <w:pStyle w:val="1317"/>
        <w:ind w:firstLine="240"/>
        <w:spacing w:line="480" w:lineRule="exact"/>
        <w:rPr>
          <w:rFonts w:hAnsi="宋体" w:cs="Times New Roman"/>
          <w:sz w:val="24"/>
          <w:szCs w:val="24"/>
        </w:rPr>
      </w:pPr>
      <w:r>
        <w:rPr>
          <w:rFonts w:hAnsi="宋体" w:cs="Times New Roman"/>
          <w:sz w:val="24"/>
          <w:szCs w:val="24"/>
        </w:rPr>
        <w:t xml:space="preserve">地址：江苏省南京市鼓楼区广州路</w:t>
      </w:r>
      <w:r>
        <w:rPr>
          <w:rFonts w:hint="eastAsia" w:hAnsi="宋体" w:cs="Times New Roman"/>
          <w:sz w:val="24"/>
          <w:szCs w:val="24"/>
        </w:rPr>
        <w:t xml:space="preserve">3</w:t>
      </w:r>
      <w:r>
        <w:rPr>
          <w:rFonts w:hAnsi="宋体" w:cs="Times New Roman"/>
          <w:sz w:val="24"/>
          <w:szCs w:val="24"/>
        </w:rPr>
        <w:t xml:space="preserve">00号     地址： </w:t>
      </w:r>
      <w:r>
        <w:rPr>
          <w:rFonts w:hAnsi="宋体" w:cs="Times New Roman"/>
          <w:sz w:val="24"/>
          <w:szCs w:val="24"/>
        </w:rPr>
      </w:r>
      <w:r/>
    </w:p>
    <w:p>
      <w:pPr>
        <w:pStyle w:val="1317"/>
        <w:ind w:firstLine="240"/>
        <w:spacing w:line="480" w:lineRule="exact"/>
        <w:rPr>
          <w:rFonts w:hAnsi="宋体" w:cs="Times New Roman"/>
          <w:sz w:val="24"/>
          <w:szCs w:val="24"/>
        </w:rPr>
      </w:pPr>
      <w:r>
        <w:rPr>
          <w:rFonts w:hAnsi="宋体" w:cs="Times New Roman"/>
          <w:sz w:val="24"/>
          <w:szCs w:val="24"/>
        </w:rPr>
        <w:t xml:space="preserve">法定代表人或授权代表：                   法定代表人或授权代表：</w:t>
      </w:r>
      <w:r>
        <w:rPr>
          <w:rFonts w:hAnsi="宋体" w:cs="Times New Roman"/>
          <w:sz w:val="24"/>
          <w:szCs w:val="24"/>
        </w:rPr>
      </w:r>
      <w:r/>
    </w:p>
    <w:p>
      <w:pPr>
        <w:pStyle w:val="1317"/>
        <w:ind w:firstLine="240"/>
        <w:spacing w:line="480" w:lineRule="exact"/>
        <w:rPr>
          <w:rFonts w:hAnsi="宋体" w:cs="Times New Roman"/>
          <w:sz w:val="24"/>
          <w:szCs w:val="24"/>
        </w:rPr>
      </w:pPr>
      <w:r>
        <w:rPr>
          <w:rFonts w:hAnsi="宋体" w:cs="Times New Roman"/>
          <w:sz w:val="24"/>
          <w:szCs w:val="24"/>
        </w:rPr>
        <w:t xml:space="preserve">信息处负责人：</w:t>
      </w:r>
      <w:r>
        <w:rPr>
          <w:rFonts w:hAnsi="宋体" w:cs="Times New Roman"/>
          <w:sz w:val="24"/>
          <w:szCs w:val="24"/>
        </w:rPr>
      </w:r>
      <w:r/>
    </w:p>
    <w:p>
      <w:pPr>
        <w:pStyle w:val="1317"/>
        <w:spacing w:line="480" w:lineRule="exact"/>
        <w:rPr>
          <w:rFonts w:hAnsi="宋体" w:cs="Times New Roman"/>
          <w:sz w:val="24"/>
          <w:szCs w:val="24"/>
        </w:rPr>
      </w:pPr>
      <w:r>
        <w:rPr>
          <w:rFonts w:hAnsi="宋体" w:cs="Times New Roman"/>
          <w:sz w:val="24"/>
          <w:szCs w:val="24"/>
        </w:rPr>
        <w:t xml:space="preserve">  经办人：</w:t>
      </w:r>
      <w:r>
        <w:rPr>
          <w:rFonts w:hint="eastAsia" w:hAnsi="宋体" w:cs="Times New Roman"/>
          <w:sz w:val="24"/>
          <w:szCs w:val="24"/>
        </w:rPr>
        <w:t xml:space="preserve"> </w:t>
      </w:r>
      <w:r>
        <w:rPr>
          <w:rFonts w:hAnsi="宋体" w:cs="Times New Roman"/>
          <w:sz w:val="24"/>
          <w:szCs w:val="24"/>
        </w:rPr>
        <w:t xml:space="preserve">                                经办人：</w:t>
      </w:r>
      <w:r>
        <w:rPr>
          <w:rFonts w:hAnsi="宋体" w:cs="Times New Roman"/>
          <w:sz w:val="24"/>
          <w:szCs w:val="24"/>
        </w:rPr>
      </w:r>
      <w:r/>
    </w:p>
    <w:p>
      <w:pPr>
        <w:pStyle w:val="1317"/>
        <w:ind w:firstLine="240"/>
        <w:spacing w:line="480" w:lineRule="exact"/>
        <w:rPr>
          <w:rFonts w:hAnsi="宋体" w:cs="Times New Roman"/>
          <w:sz w:val="24"/>
          <w:szCs w:val="24"/>
        </w:rPr>
      </w:pPr>
      <w:r>
        <w:rPr>
          <w:rFonts w:hAnsi="宋体" w:cs="Times New Roman"/>
          <w:sz w:val="24"/>
          <w:szCs w:val="24"/>
        </w:rPr>
        <w:t xml:space="preserve">联系电话：                               联系电话：          </w:t>
      </w:r>
      <w:r>
        <w:rPr>
          <w:rFonts w:hAnsi="宋体" w:cs="Times New Roman"/>
          <w:sz w:val="24"/>
          <w:szCs w:val="24"/>
        </w:rPr>
      </w:r>
      <w:r/>
    </w:p>
    <w:p>
      <w:pPr>
        <w:pStyle w:val="1317"/>
        <w:ind w:firstLine="480"/>
        <w:jc w:val="center"/>
        <w:spacing w:before="120" w:after="120" w:line="360" w:lineRule="auto"/>
        <w:rPr>
          <w:rFonts w:hAnsi="宋体" w:cs="Times New Roman"/>
          <w:sz w:val="24"/>
          <w:szCs w:val="24"/>
        </w:rPr>
      </w:pPr>
      <w:r>
        <w:rPr>
          <w:rFonts w:hAnsi="宋体" w:cs="Times New Roman"/>
          <w:sz w:val="24"/>
          <w:szCs w:val="24"/>
        </w:rPr>
        <w:t xml:space="preserve">                                         </w:t>
      </w:r>
      <w:r>
        <w:rPr>
          <w:rFonts w:hAnsi="宋体" w:cs="Times New Roman"/>
          <w:sz w:val="24"/>
          <w:szCs w:val="24"/>
        </w:rPr>
      </w:r>
      <w:r/>
    </w:p>
    <w:p>
      <w:pPr>
        <w:pStyle w:val="1317"/>
        <w:ind w:firstLine="480"/>
        <w:jc w:val="center"/>
        <w:spacing w:before="120" w:after="120" w:line="360" w:lineRule="auto"/>
        <w:rPr>
          <w:rFonts w:hAnsi="宋体" w:cs="Times New Roman"/>
          <w:sz w:val="24"/>
          <w:szCs w:val="24"/>
        </w:rPr>
      </w:pPr>
      <w:r>
        <w:rPr>
          <w:rFonts w:hAnsi="宋体" w:cs="Times New Roman"/>
          <w:sz w:val="24"/>
          <w:szCs w:val="24"/>
        </w:rPr>
      </w:r>
      <w:r/>
    </w:p>
    <w:p>
      <w:pPr>
        <w:pStyle w:val="1317"/>
        <w:ind w:firstLine="480"/>
        <w:jc w:val="center"/>
        <w:spacing w:line="480" w:lineRule="exact"/>
        <w:rPr>
          <w:rFonts w:hAnsi="宋体" w:cs="Times New Roman"/>
          <w:sz w:val="24"/>
          <w:szCs w:val="24"/>
        </w:rPr>
      </w:pPr>
      <w:r>
        <w:rPr>
          <w:rFonts w:hAnsi="宋体" w:cs="Times New Roman"/>
          <w:sz w:val="24"/>
          <w:szCs w:val="24"/>
        </w:rPr>
        <w:t xml:space="preserve">                                    签订日期：      年    月   日</w:t>
      </w:r>
      <w:bookmarkEnd w:id="183"/>
      <w:r/>
      <w:bookmarkEnd w:id="184"/>
      <w:r/>
      <w:bookmarkEnd w:id="185"/>
      <w:r>
        <w:rPr>
          <w:rFonts w:hAnsi="宋体" w:cs="Times New Roman"/>
          <w:sz w:val="24"/>
          <w:szCs w:val="24"/>
        </w:rPr>
      </w:r>
      <w:r/>
    </w:p>
    <w:p>
      <w:pPr>
        <w:pStyle w:val="1317"/>
        <w:jc w:val="center"/>
        <w:spacing w:before="120" w:after="120" w:line="0" w:lineRule="atLeast"/>
        <w:rPr>
          <w:rFonts w:hAnsi="宋体"/>
          <w:bCs/>
          <w:sz w:val="44"/>
        </w:rPr>
      </w:pPr>
      <w:r/>
      <w:bookmarkStart w:id="186" w:name="_Hlt16619350"/>
      <w:r/>
      <w:bookmarkStart w:id="187" w:name="_Toc20823346"/>
      <w:r/>
      <w:bookmarkStart w:id="188" w:name="_Toc120614244"/>
      <w:r/>
      <w:bookmarkStart w:id="189" w:name="_Toc16938590"/>
      <w:r/>
      <w:bookmarkStart w:id="190" w:name="_Toc479757211"/>
      <w:r/>
      <w:bookmarkStart w:id="191" w:name="_Toc462564139"/>
      <w:r>
        <w:rPr>
          <w:rFonts w:hAnsi="宋体"/>
          <w:bCs/>
          <w:sz w:val="44"/>
        </w:rPr>
      </w:r>
      <w:r/>
    </w:p>
    <w:p>
      <w:pPr>
        <w:pStyle w:val="1317"/>
        <w:jc w:val="center"/>
        <w:spacing w:before="120" w:after="120" w:line="0" w:lineRule="atLeast"/>
        <w:rPr>
          <w:rFonts w:hAnsi="宋体"/>
          <w:bCs/>
          <w:sz w:val="44"/>
        </w:rPr>
      </w:pPr>
      <w:r>
        <w:rPr>
          <w:rFonts w:hAnsi="宋体"/>
          <w:bCs/>
          <w:sz w:val="44"/>
        </w:rPr>
      </w:r>
      <w:r/>
    </w:p>
    <w:p>
      <w:pPr>
        <w:pStyle w:val="1317"/>
        <w:jc w:val="center"/>
        <w:spacing w:before="120" w:after="120" w:line="0" w:lineRule="atLeast"/>
        <w:rPr>
          <w:rFonts w:hAnsi="宋体"/>
          <w:bCs/>
          <w:sz w:val="44"/>
        </w:rPr>
      </w:pPr>
      <w:r>
        <w:rPr>
          <w:rFonts w:hAnsi="宋体"/>
          <w:bCs/>
          <w:sz w:val="44"/>
        </w:rPr>
      </w:r>
      <w:r/>
    </w:p>
    <w:p>
      <w:pPr>
        <w:pStyle w:val="1317"/>
        <w:jc w:val="center"/>
        <w:spacing w:before="120" w:after="120" w:line="0" w:lineRule="atLeast"/>
        <w:rPr>
          <w:rFonts w:hAnsi="宋体"/>
          <w:bCs/>
          <w:sz w:val="44"/>
        </w:rPr>
      </w:pPr>
      <w:r>
        <w:rPr>
          <w:rFonts w:hAnsi="宋体"/>
          <w:bCs/>
          <w:sz w:val="44"/>
        </w:rPr>
      </w:r>
      <w:r/>
    </w:p>
    <w:p>
      <w:pPr>
        <w:pStyle w:val="1317"/>
        <w:jc w:val="center"/>
        <w:spacing w:before="120" w:after="120" w:line="0" w:lineRule="atLeast"/>
        <w:rPr>
          <w:rFonts w:hAnsi="宋体"/>
          <w:bCs/>
          <w:sz w:val="44"/>
        </w:rPr>
      </w:pPr>
      <w:r>
        <w:rPr>
          <w:rFonts w:hAnsi="宋体"/>
          <w:bCs/>
          <w:sz w:val="44"/>
        </w:rPr>
      </w:r>
      <w:r/>
    </w:p>
    <w:p>
      <w:pPr>
        <w:pStyle w:val="1317"/>
        <w:jc w:val="center"/>
        <w:spacing w:before="120" w:after="120" w:line="0" w:lineRule="atLeast"/>
        <w:rPr>
          <w:rFonts w:hAnsi="宋体"/>
          <w:bCs/>
          <w:sz w:val="44"/>
        </w:rPr>
      </w:pPr>
      <w:r>
        <w:rPr>
          <w:rFonts w:hAnsi="宋体"/>
          <w:bCs/>
          <w:sz w:val="44"/>
        </w:rPr>
      </w:r>
      <w:r/>
    </w:p>
    <w:p>
      <w:pPr>
        <w:pStyle w:val="1317"/>
        <w:jc w:val="center"/>
        <w:spacing w:before="120" w:after="120" w:line="0" w:lineRule="atLeast"/>
        <w:rPr>
          <w:rFonts w:hAnsi="宋体"/>
          <w:bCs/>
          <w:sz w:val="44"/>
        </w:rPr>
      </w:pPr>
      <w:r>
        <w:rPr>
          <w:rFonts w:hAnsi="宋体"/>
          <w:bCs/>
          <w:sz w:val="44"/>
        </w:rPr>
      </w:r>
      <w:r/>
    </w:p>
    <w:p>
      <w:pPr>
        <w:pStyle w:val="1317"/>
        <w:jc w:val="center"/>
        <w:spacing w:before="120" w:after="120" w:line="0" w:lineRule="atLeast"/>
        <w:rPr>
          <w:rFonts w:hAnsi="宋体"/>
          <w:bCs/>
          <w:sz w:val="44"/>
        </w:rPr>
      </w:pPr>
      <w:r>
        <w:rPr>
          <w:rFonts w:hAnsi="宋体"/>
          <w:bCs/>
          <w:sz w:val="44"/>
        </w:rPr>
      </w:r>
      <w:r/>
    </w:p>
    <w:p>
      <w:pPr>
        <w:pStyle w:val="1317"/>
        <w:jc w:val="center"/>
        <w:spacing w:before="120" w:after="120" w:line="0" w:lineRule="atLeast"/>
        <w:rPr>
          <w:rFonts w:hAnsi="宋体"/>
          <w:bCs/>
          <w:sz w:val="44"/>
        </w:rPr>
      </w:pPr>
      <w:r>
        <w:rPr>
          <w:rFonts w:hAnsi="宋体"/>
          <w:bCs/>
          <w:sz w:val="44"/>
        </w:rPr>
      </w:r>
      <w:r/>
    </w:p>
    <w:p>
      <w:pPr>
        <w:pStyle w:val="1317"/>
        <w:jc w:val="center"/>
        <w:spacing w:before="120" w:after="120" w:line="0" w:lineRule="atLeast"/>
        <w:rPr>
          <w:rFonts w:hAnsi="宋体"/>
          <w:bCs/>
          <w:sz w:val="44"/>
        </w:rPr>
      </w:pPr>
      <w:r>
        <w:rPr>
          <w:rFonts w:hAnsi="宋体"/>
          <w:bCs/>
          <w:sz w:val="44"/>
        </w:rPr>
      </w:r>
      <w:r/>
    </w:p>
    <w:p>
      <w:pPr>
        <w:pStyle w:val="1317"/>
        <w:jc w:val="center"/>
        <w:spacing w:before="120" w:after="120" w:line="0" w:lineRule="atLeast"/>
        <w:rPr>
          <w:rFonts w:hAnsi="宋体"/>
          <w:bCs/>
          <w:sz w:val="44"/>
        </w:rPr>
      </w:pPr>
      <w:r>
        <w:rPr>
          <w:rFonts w:hAnsi="宋体"/>
          <w:bCs/>
          <w:sz w:val="44"/>
        </w:rPr>
      </w:r>
      <w:r/>
    </w:p>
    <w:p>
      <w:pPr>
        <w:pStyle w:val="1038"/>
        <w:rPr>
          <w:rFonts w:ascii="宋体" w:hAnsi="宋体"/>
          <w:bCs/>
          <w:sz w:val="44"/>
        </w:rPr>
      </w:pPr>
      <w:r>
        <w:rPr>
          <w:rFonts w:hint="eastAsia" w:ascii="宋体" w:hAnsi="宋体"/>
          <w:bCs/>
          <w:sz w:val="44"/>
        </w:rPr>
        <w:br w:type="page" w:clear="all"/>
      </w:r>
      <w:r>
        <w:rPr>
          <w:rFonts w:ascii="宋体" w:hAnsi="宋体"/>
          <w:bCs/>
          <w:sz w:val="44"/>
        </w:rPr>
      </w:r>
      <w:r/>
    </w:p>
    <w:p>
      <w:pPr>
        <w:pStyle w:val="1283"/>
        <w:rPr>
          <w:rFonts w:ascii="宋体" w:hAnsi="宋体" w:eastAsia="宋体"/>
          <w:bCs/>
          <w:sz w:val="44"/>
        </w:rPr>
      </w:pPr>
      <w:r>
        <w:rPr>
          <w:rFonts w:hint="eastAsia" w:ascii="宋体" w:hAnsi="宋体" w:eastAsia="宋体"/>
          <w:bCs/>
          <w:sz w:val="44"/>
        </w:rPr>
        <w:t xml:space="preserve">第</w:t>
      </w:r>
      <w:bookmarkEnd w:id="186"/>
      <w:r>
        <w:rPr>
          <w:rFonts w:hint="eastAsia" w:ascii="宋体" w:hAnsi="宋体" w:eastAsia="宋体"/>
          <w:bCs/>
          <w:sz w:val="44"/>
        </w:rPr>
        <w:t xml:space="preserve">四章 采购需求</w:t>
      </w:r>
      <w:bookmarkEnd w:id="187"/>
      <w:r/>
      <w:bookmarkEnd w:id="188"/>
      <w:r/>
      <w:bookmarkEnd w:id="189"/>
      <w:r>
        <w:rPr>
          <w:rFonts w:ascii="宋体" w:hAnsi="宋体" w:eastAsia="宋体"/>
          <w:bCs/>
          <w:sz w:val="44"/>
        </w:rPr>
      </w:r>
      <w:r/>
    </w:p>
    <w:p>
      <w:pPr>
        <w:pStyle w:val="1038"/>
        <w:spacing w:line="0" w:lineRule="atLeast"/>
        <w:tabs>
          <w:tab w:val="left" w:pos="3649" w:leader="none"/>
        </w:tabs>
        <w:rPr>
          <w:rFonts w:ascii="宋体" w:hAnsi="宋体"/>
          <w:b/>
          <w:sz w:val="24"/>
          <w:szCs w:val="24"/>
        </w:rPr>
        <w:outlineLvl w:val="1"/>
      </w:pPr>
      <w:r/>
      <w:bookmarkStart w:id="192" w:name="_Toc49090575"/>
      <w:r/>
      <w:bookmarkStart w:id="193" w:name="_Toc26554093"/>
      <w:r>
        <w:rPr>
          <w:rFonts w:hint="eastAsia" w:ascii="宋体" w:hAnsi="宋体"/>
          <w:b/>
          <w:sz w:val="24"/>
          <w:szCs w:val="24"/>
        </w:rPr>
        <w:t xml:space="preserve">一、采购标的清单</w:t>
        <w:tab/>
      </w:r>
      <w:r>
        <w:rPr>
          <w:rFonts w:ascii="宋体" w:hAnsi="宋体"/>
          <w:b/>
          <w:sz w:val="24"/>
          <w:szCs w:val="24"/>
        </w:rPr>
      </w:r>
      <w:r/>
    </w:p>
    <w:tbl>
      <w:tblPr>
        <w:tblW w:w="83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965"/>
        <w:gridCol w:w="3920"/>
        <w:gridCol w:w="2789"/>
      </w:tblGrid>
      <w:tr>
        <w:trPr>
          <w:cantSplit/>
        </w:trPr>
        <w:tc>
          <w:tcPr>
            <w:tcW w:w="725" w:type="dxa"/>
            <w:vAlign w:val="center"/>
            <w:textDirection w:val="lrTb"/>
            <w:noWrap w:val="false"/>
          </w:tcPr>
          <w:p>
            <w:pPr>
              <w:pStyle w:val="1038"/>
              <w:jc w:val="center"/>
              <w:spacing w:line="240" w:lineRule="exact"/>
              <w:rPr>
                <w:rFonts w:ascii="宋体" w:hAnsi="宋体"/>
                <w:sz w:val="24"/>
                <w:szCs w:val="24"/>
              </w:rPr>
            </w:pPr>
            <w:r>
              <w:rPr>
                <w:rFonts w:hint="eastAsia" w:ascii="宋体" w:hAnsi="宋体"/>
                <w:sz w:val="24"/>
                <w:szCs w:val="24"/>
              </w:rPr>
              <w:t xml:space="preserve">分包</w:t>
            </w:r>
            <w:r>
              <w:rPr>
                <w:rFonts w:ascii="宋体" w:hAnsi="宋体"/>
                <w:sz w:val="24"/>
                <w:szCs w:val="24"/>
              </w:rPr>
            </w:r>
            <w:r/>
          </w:p>
        </w:tc>
        <w:tc>
          <w:tcPr>
            <w:tcW w:w="965" w:type="dxa"/>
            <w:vAlign w:val="center"/>
            <w:textDirection w:val="lrTb"/>
            <w:noWrap w:val="false"/>
          </w:tcPr>
          <w:p>
            <w:pPr>
              <w:pStyle w:val="1038"/>
              <w:jc w:val="center"/>
              <w:spacing w:line="2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920" w:type="dxa"/>
            <w:vAlign w:val="center"/>
            <w:textDirection w:val="lrTb"/>
            <w:noWrap w:val="false"/>
          </w:tcPr>
          <w:p>
            <w:pPr>
              <w:pStyle w:val="1038"/>
              <w:jc w:val="center"/>
              <w:spacing w:line="24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789" w:type="dxa"/>
            <w:vAlign w:val="center"/>
            <w:textDirection w:val="lrTb"/>
            <w:noWrap w:val="false"/>
          </w:tcPr>
          <w:p>
            <w:pPr>
              <w:pStyle w:val="1038"/>
              <w:jc w:val="center"/>
              <w:spacing w:line="240" w:lineRule="exac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595"/>
        </w:trPr>
        <w:tc>
          <w:tcPr>
            <w:tcW w:w="725" w:type="dxa"/>
            <w:vAlign w:val="center"/>
            <w:textDirection w:val="lrTb"/>
            <w:noWrap w:val="false"/>
          </w:tcPr>
          <w:p>
            <w:pPr>
              <w:pStyle w:val="1038"/>
              <w:jc w:val="center"/>
              <w:spacing w:line="2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965" w:type="dxa"/>
            <w:vAlign w:val="center"/>
            <w:textDirection w:val="lrTb"/>
            <w:noWrap w:val="false"/>
          </w:tcPr>
          <w:p>
            <w:pPr>
              <w:pStyle w:val="1038"/>
              <w:jc w:val="center"/>
              <w:spacing w:line="2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920" w:type="dxa"/>
            <w:vAlign w:val="center"/>
            <w:textDirection w:val="lrTb"/>
            <w:noWrap w:val="false"/>
          </w:tcPr>
          <w:p>
            <w:pPr>
              <w:pStyle w:val="1038"/>
              <w:jc w:val="center"/>
              <w:spacing w:line="240" w:lineRule="exact"/>
              <w:tabs>
                <w:tab w:val="left" w:pos="2020" w:leader="none"/>
              </w:tabs>
              <w:rPr>
                <w:rFonts w:ascii="宋体" w:hAnsi="宋体"/>
                <w:sz w:val="24"/>
                <w:szCs w:val="24"/>
              </w:rPr>
            </w:pPr>
            <w:r>
              <w:rPr>
                <w:rFonts w:ascii="宋体" w:hAnsi="宋体"/>
                <w:sz w:val="24"/>
                <w:szCs w:val="24"/>
              </w:rPr>
              <w:t xml:space="preserve">妇幼保健质控平台构建</w:t>
            </w:r>
            <w:r>
              <w:rPr>
                <w:rFonts w:ascii="宋体" w:hAnsi="宋体"/>
                <w:sz w:val="24"/>
                <w:szCs w:val="24"/>
              </w:rPr>
            </w:r>
            <w:r/>
          </w:p>
        </w:tc>
        <w:tc>
          <w:tcPr>
            <w:tcW w:w="2789" w:type="dxa"/>
            <w:vAlign w:val="center"/>
            <w:textDirection w:val="lrTb"/>
            <w:noWrap w:val="false"/>
          </w:tcPr>
          <w:p>
            <w:pPr>
              <w:pStyle w:val="1038"/>
              <w:jc w:val="center"/>
              <w:spacing w:line="240" w:lineRule="exact"/>
              <w:rPr>
                <w:rFonts w:ascii="宋体" w:hAnsi="宋体"/>
                <w:sz w:val="24"/>
                <w:szCs w:val="24"/>
              </w:rPr>
            </w:pPr>
            <w:r>
              <w:fldChar w:fldCharType="begin"/>
            </w:r>
            <w:r>
              <w:instrText xml:space="preserve"> HYPERLINK "https://baike.baidu.com/item/%E8%BD%AF%E4%BB%B6%E5%92%8C</w:instrText>
            </w:r>
            <w:r>
              <w:instrText xml:space="preserve">%E4%BF%A1%E6%81%AF%E6%8A%80%E6%9C%AF%E6%9C%8D%E5%8A%A1%E4%B8%9A/60200450?fromModule=lemma_inlink" \o "https://baike.baidu.com/item/%E8%BD%AF%E4%BB%B6%E5%92%8C%E4%BF%A1%E6%81%AF%E6%8A%80%E6%9C%AF%E6%9C%8D%E5%8A%A1%E4%B8%9A/60200450?fromModule=lemma_inlink" </w:instrText>
            </w:r>
            <w:r>
              <w:fldChar w:fldCharType="separate"/>
            </w:r>
            <w:r>
              <w:rPr>
                <w:rFonts w:ascii="宋体" w:hAnsi="宋体"/>
                <w:sz w:val="24"/>
                <w:szCs w:val="24"/>
              </w:rPr>
              <w:t xml:space="preserve">软件和信息技术服务业</w:t>
            </w:r>
            <w:r>
              <w:rPr>
                <w:rFonts w:ascii="宋体" w:hAnsi="宋体"/>
                <w:sz w:val="24"/>
                <w:szCs w:val="24"/>
              </w:rPr>
              <w:fldChar w:fldCharType="end"/>
            </w:r>
            <w:r>
              <w:rPr>
                <w:rFonts w:ascii="宋体" w:hAnsi="宋体"/>
                <w:sz w:val="24"/>
                <w:szCs w:val="24"/>
              </w:rPr>
            </w:r>
            <w:r/>
          </w:p>
        </w:tc>
      </w:tr>
    </w:tbl>
    <w:p>
      <w:pPr>
        <w:pStyle w:val="1038"/>
        <w:spacing w:line="0" w:lineRule="atLeast"/>
        <w:rPr>
          <w:rFonts w:ascii="宋体" w:hAnsi="宋体"/>
          <w:b/>
          <w:sz w:val="24"/>
          <w:szCs w:val="24"/>
        </w:rPr>
      </w:pPr>
      <w:r>
        <w:rPr>
          <w:rFonts w:ascii="宋体" w:hAnsi="宋体"/>
          <w:b/>
          <w:sz w:val="24"/>
          <w:szCs w:val="24"/>
        </w:rPr>
      </w:r>
      <w:r/>
    </w:p>
    <w:p>
      <w:pPr>
        <w:pStyle w:val="1038"/>
        <w:spacing w:line="360" w:lineRule="auto"/>
        <w:rPr>
          <w:rFonts w:ascii="宋体" w:hAnsi="宋体" w:cs="宋体"/>
          <w:b/>
          <w:sz w:val="24"/>
          <w:szCs w:val="24"/>
        </w:rPr>
        <w:outlineLvl w:val="1"/>
      </w:pPr>
      <w:r>
        <w:rPr>
          <w:rFonts w:hint="eastAsia" w:ascii="宋体" w:hAnsi="宋体" w:cs="宋体"/>
          <w:b/>
          <w:sz w:val="24"/>
          <w:szCs w:val="24"/>
        </w:rPr>
        <w:t xml:space="preserve">二、技术要求</w:t>
      </w:r>
      <w:r>
        <w:rPr>
          <w:rFonts w:ascii="宋体" w:hAnsi="宋体" w:cs="宋体"/>
          <w:b/>
          <w:sz w:val="24"/>
          <w:szCs w:val="24"/>
        </w:rPr>
      </w:r>
      <w:r/>
    </w:p>
    <w:p>
      <w:pPr>
        <w:pStyle w:val="1038"/>
        <w:ind w:firstLine="480"/>
        <w:spacing w:line="360" w:lineRule="auto"/>
        <w:rPr>
          <w:rFonts w:ascii="宋体" w:hAnsi="宋体" w:cs="宋体"/>
          <w:bCs/>
          <w:sz w:val="24"/>
          <w:szCs w:val="24"/>
        </w:rPr>
      </w:pPr>
      <w:r>
        <w:rPr>
          <w:rFonts w:hint="eastAsia" w:ascii="宋体" w:hAnsi="宋体" w:cs="宋体"/>
          <w:bCs/>
          <w:i/>
          <w:sz w:val="24"/>
          <w:szCs w:val="24"/>
          <w:u w:val="single"/>
        </w:rPr>
        <w:t xml:space="preserve">其中</w:t>
      </w:r>
      <w:r>
        <w:rPr>
          <w:rFonts w:hint="eastAsia" w:ascii="宋体" w:hAnsi="宋体" w:cs="宋体"/>
          <w:i/>
          <w:sz w:val="24"/>
          <w:szCs w:val="24"/>
          <w:u w:val="single"/>
        </w:rPr>
        <w:t xml:space="preserve">必须满足的实质性要求加斜体下划线。</w:t>
      </w:r>
      <w:r>
        <w:rPr>
          <w:rFonts w:hint="eastAsia" w:ascii="宋体" w:hAnsi="宋体" w:cs="宋体"/>
          <w:bCs/>
          <w:sz w:val="24"/>
          <w:szCs w:val="24"/>
        </w:rPr>
        <w:t xml:space="preserve">采购功能模块清单如下：</w:t>
      </w:r>
      <w:r>
        <w:rPr>
          <w:rFonts w:ascii="宋体" w:hAnsi="宋体" w:cs="宋体"/>
          <w:bCs/>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00"/>
        <w:gridCol w:w="2600"/>
        <w:gridCol w:w="3660"/>
      </w:tblGrid>
      <w:tr>
        <w:trPr>
          <w:trHeight w:val="400"/>
        </w:trPr>
        <w:tc>
          <w:tcPr>
            <w:tcW w:w="2500" w:type="dxa"/>
            <w:vAlign w:val="top"/>
            <w:textDirection w:val="lrTb"/>
            <w:noWrap/>
          </w:tcPr>
          <w:p>
            <w:pPr>
              <w:pStyle w:val="1038"/>
              <w:spacing w:line="360" w:lineRule="auto"/>
              <w:rPr>
                <w:rFonts w:ascii="宋体" w:hAnsi="宋体" w:cs="宋体"/>
                <w:b/>
                <w:bCs/>
                <w:sz w:val="24"/>
                <w:szCs w:val="24"/>
              </w:rPr>
            </w:pPr>
            <w:r>
              <w:rPr>
                <w:rFonts w:hint="eastAsia" w:ascii="宋体" w:hAnsi="宋体" w:cs="宋体"/>
                <w:b/>
                <w:bCs/>
                <w:sz w:val="24"/>
                <w:szCs w:val="24"/>
              </w:rPr>
              <w:t xml:space="preserve">分类</w:t>
            </w:r>
            <w:r>
              <w:rPr>
                <w:rFonts w:ascii="宋体" w:hAnsi="宋体" w:cs="宋体"/>
                <w:b/>
                <w:bCs/>
                <w:sz w:val="24"/>
                <w:szCs w:val="24"/>
              </w:rPr>
            </w:r>
            <w:r/>
          </w:p>
        </w:tc>
        <w:tc>
          <w:tcPr>
            <w:tcW w:w="2600" w:type="dxa"/>
            <w:vAlign w:val="top"/>
            <w:textDirection w:val="lrTb"/>
            <w:noWrap/>
          </w:tcPr>
          <w:p>
            <w:pPr>
              <w:pStyle w:val="1038"/>
              <w:spacing w:line="360" w:lineRule="auto"/>
              <w:rPr>
                <w:rFonts w:ascii="宋体" w:hAnsi="宋体" w:cs="宋体"/>
                <w:b/>
                <w:bCs/>
                <w:sz w:val="24"/>
                <w:szCs w:val="24"/>
              </w:rPr>
            </w:pPr>
            <w:r>
              <w:rPr>
                <w:rFonts w:hint="eastAsia" w:ascii="宋体" w:hAnsi="宋体" w:cs="宋体"/>
                <w:b/>
                <w:bCs/>
                <w:sz w:val="24"/>
                <w:szCs w:val="24"/>
              </w:rPr>
              <w:t xml:space="preserve">系统</w:t>
            </w: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
                <w:bCs/>
                <w:sz w:val="24"/>
                <w:szCs w:val="24"/>
              </w:rPr>
            </w:pPr>
            <w:r>
              <w:rPr>
                <w:rFonts w:hint="eastAsia" w:ascii="宋体" w:hAnsi="宋体" w:cs="宋体"/>
                <w:b/>
                <w:bCs/>
                <w:sz w:val="24"/>
                <w:szCs w:val="24"/>
              </w:rPr>
              <w:t xml:space="preserve">功能项</w:t>
            </w:r>
            <w:r>
              <w:rPr>
                <w:rFonts w:ascii="宋体" w:hAnsi="宋体" w:cs="宋体"/>
                <w:b/>
                <w:bCs/>
                <w:sz w:val="24"/>
                <w:szCs w:val="24"/>
              </w:rPr>
            </w:r>
            <w:r/>
          </w:p>
        </w:tc>
      </w:tr>
      <w:tr>
        <w:trPr>
          <w:cantSplit/>
          <w:trHeight w:val="400"/>
        </w:trPr>
        <w:tc>
          <w:tcPr>
            <w:tcW w:w="2500" w:type="dxa"/>
            <w:vAlign w:val="top"/>
            <w:vMerge w:val="restart"/>
            <w:textDirection w:val="lrTb"/>
            <w:noWrap/>
          </w:tcPr>
          <w:p>
            <w:pPr>
              <w:pStyle w:val="1038"/>
              <w:spacing w:line="360" w:lineRule="auto"/>
              <w:rPr>
                <w:rFonts w:ascii="宋体" w:hAnsi="宋体" w:cs="宋体"/>
                <w:b/>
                <w:bCs/>
                <w:sz w:val="24"/>
                <w:szCs w:val="24"/>
              </w:rPr>
            </w:pPr>
            <w:r>
              <w:rPr>
                <w:rFonts w:hint="eastAsia" w:ascii="宋体" w:hAnsi="宋体" w:cs="宋体"/>
                <w:b/>
                <w:bCs/>
                <w:sz w:val="24"/>
                <w:szCs w:val="24"/>
              </w:rPr>
              <w:t xml:space="preserve">高质量发展底座</w:t>
            </w:r>
            <w:r>
              <w:rPr>
                <w:rFonts w:ascii="宋体" w:hAnsi="宋体" w:cs="宋体"/>
                <w:b/>
                <w:bCs/>
                <w:sz w:val="24"/>
                <w:szCs w:val="24"/>
              </w:rPr>
            </w:r>
            <w:r/>
          </w:p>
        </w:tc>
        <w:tc>
          <w:tcPr>
            <w:tcW w:w="2600" w:type="dxa"/>
            <w:vAlign w:val="top"/>
            <w:vMerge w:val="restart"/>
            <w:textDirection w:val="lrTb"/>
            <w:noWrap/>
          </w:tcPr>
          <w:p>
            <w:pPr>
              <w:pStyle w:val="1038"/>
              <w:spacing w:line="360" w:lineRule="auto"/>
              <w:rPr>
                <w:rFonts w:ascii="宋体" w:hAnsi="宋体" w:cs="宋体"/>
                <w:b/>
                <w:bCs/>
                <w:sz w:val="24"/>
                <w:szCs w:val="24"/>
              </w:rPr>
            </w:pPr>
            <w:r>
              <w:rPr>
                <w:rFonts w:hint="eastAsia" w:ascii="宋体" w:hAnsi="宋体" w:cs="宋体"/>
                <w:b/>
                <w:bCs/>
                <w:sz w:val="24"/>
                <w:szCs w:val="24"/>
              </w:rPr>
              <w:t xml:space="preserve">大数据融合共享</w:t>
            </w: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数据标准化管理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数据共享</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数据治理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数据整合服务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restart"/>
            <w:textDirection w:val="lrTb"/>
            <w:noWrap/>
          </w:tcPr>
          <w:p>
            <w:pPr>
              <w:pStyle w:val="1038"/>
              <w:spacing w:line="360" w:lineRule="auto"/>
              <w:rPr>
                <w:rFonts w:ascii="宋体" w:hAnsi="宋体" w:cs="宋体"/>
                <w:b/>
                <w:bCs/>
                <w:sz w:val="24"/>
                <w:szCs w:val="24"/>
              </w:rPr>
            </w:pPr>
            <w:r>
              <w:rPr>
                <w:rFonts w:hint="eastAsia" w:ascii="宋体" w:hAnsi="宋体" w:cs="宋体"/>
                <w:b/>
                <w:bCs/>
                <w:sz w:val="24"/>
                <w:szCs w:val="24"/>
              </w:rPr>
              <w:t xml:space="preserve">大模型应用</w:t>
            </w: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大模型流程编辑器</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RAG 知识库配置服务 </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开源大模型管理与配置服务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智能随访智能体</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智能医疗质量管理智能体</w:t>
            </w:r>
            <w:r>
              <w:rPr>
                <w:rFonts w:ascii="宋体" w:hAnsi="宋体" w:cs="宋体"/>
                <w:bCs/>
                <w:sz w:val="24"/>
                <w:szCs w:val="24"/>
              </w:rPr>
            </w:r>
            <w:r/>
          </w:p>
        </w:tc>
      </w:tr>
      <w:tr>
        <w:trPr>
          <w:cantSplit/>
          <w:trHeight w:val="400"/>
        </w:trPr>
        <w:tc>
          <w:tcPr>
            <w:tcW w:w="2500" w:type="dxa"/>
            <w:vAlign w:val="top"/>
            <w:vMerge w:val="restart"/>
            <w:textDirection w:val="lrTb"/>
            <w:noWrap/>
          </w:tcPr>
          <w:p>
            <w:pPr>
              <w:pStyle w:val="1038"/>
              <w:spacing w:line="360" w:lineRule="auto"/>
              <w:rPr>
                <w:rFonts w:ascii="宋体" w:hAnsi="宋体" w:cs="宋体"/>
                <w:b/>
                <w:bCs/>
                <w:sz w:val="24"/>
                <w:szCs w:val="24"/>
              </w:rPr>
            </w:pPr>
            <w:r>
              <w:rPr>
                <w:rFonts w:hint="eastAsia" w:ascii="宋体" w:hAnsi="宋体" w:cs="宋体"/>
                <w:b/>
                <w:bCs/>
                <w:color w:val="000000"/>
                <w:sz w:val="24"/>
                <w:szCs w:val="24"/>
              </w:rPr>
              <w:t xml:space="preserve">专科高质量发展</w:t>
            </w:r>
            <w:r>
              <w:rPr>
                <w:rFonts w:ascii="宋体" w:hAnsi="宋体" w:cs="宋体"/>
                <w:b/>
                <w:bCs/>
                <w:sz w:val="24"/>
                <w:szCs w:val="24"/>
              </w:rPr>
            </w:r>
            <w:r/>
          </w:p>
        </w:tc>
        <w:tc>
          <w:tcPr>
            <w:tcW w:w="2600" w:type="dxa"/>
            <w:vAlign w:val="top"/>
            <w:vMerge w:val="restart"/>
            <w:textDirection w:val="lrTb"/>
            <w:noWrap/>
          </w:tcPr>
          <w:p>
            <w:pPr>
              <w:pStyle w:val="1038"/>
              <w:spacing w:line="360" w:lineRule="auto"/>
              <w:rPr>
                <w:rFonts w:ascii="宋体" w:hAnsi="宋体" w:cs="宋体"/>
                <w:b/>
                <w:bCs/>
                <w:sz w:val="24"/>
                <w:szCs w:val="24"/>
              </w:rPr>
            </w:pPr>
            <w:r>
              <w:rPr>
                <w:rFonts w:hint="eastAsia" w:ascii="宋体" w:hAnsi="宋体" w:cs="宋体"/>
                <w:b/>
                <w:bCs/>
                <w:color w:val="000000"/>
                <w:sz w:val="24"/>
                <w:szCs w:val="24"/>
              </w:rPr>
              <w:t xml:space="preserve">宫颈癌管理</w:t>
            </w: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专病模型管理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专病数据清洗与治理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专病数据对接</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数据检索服务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专病数据应用服务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高危因素与专项筛查管理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数据统计与分析</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restart"/>
            <w:textDirection w:val="lrTb"/>
            <w:noWrap w:val="false"/>
          </w:tcPr>
          <w:p>
            <w:pPr>
              <w:pStyle w:val="1038"/>
              <w:spacing w:line="360" w:lineRule="auto"/>
              <w:rPr>
                <w:rFonts w:ascii="宋体" w:hAnsi="宋体" w:cs="宋体"/>
                <w:b/>
                <w:bCs/>
                <w:sz w:val="24"/>
                <w:szCs w:val="24"/>
              </w:rPr>
            </w:pPr>
            <w:r>
              <w:rPr>
                <w:rFonts w:hint="eastAsia" w:ascii="宋体" w:hAnsi="宋体" w:cs="宋体"/>
                <w:b/>
                <w:bCs/>
                <w:color w:val="000000"/>
                <w:sz w:val="24"/>
                <w:szCs w:val="24"/>
              </w:rPr>
              <w:t xml:space="preserve">乳腺癌管理</w:t>
            </w: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专病模型管理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专病数据清洗与治理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专病数据对接</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数据检索服务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专病数据应用服务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高危因素与专项筛查管理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数据统计与分析</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restart"/>
            <w:textDirection w:val="lrTb"/>
            <w:noWrap/>
          </w:tcPr>
          <w:p>
            <w:pPr>
              <w:pStyle w:val="1038"/>
              <w:spacing w:line="360" w:lineRule="auto"/>
              <w:rPr>
                <w:rFonts w:ascii="宋体" w:hAnsi="宋体" w:cs="宋体"/>
                <w:b/>
                <w:bCs/>
                <w:sz w:val="24"/>
                <w:szCs w:val="24"/>
              </w:rPr>
            </w:pPr>
            <w:r>
              <w:rPr>
                <w:rFonts w:hint="eastAsia" w:ascii="宋体" w:hAnsi="宋体" w:cs="宋体"/>
                <w:b/>
                <w:bCs/>
                <w:color w:val="000000"/>
                <w:sz w:val="24"/>
                <w:szCs w:val="24"/>
              </w:rPr>
              <w:t xml:space="preserve">危重孕产妇救治管理</w:t>
            </w: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专病模型管理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专病数据清洗与治理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专病数据对接</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数据检索服务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专病数据应用服务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高风险预警与干预管理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数据统计与分析</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restart"/>
            <w:textDirection w:val="lrTb"/>
            <w:noWrap w:val="false"/>
          </w:tcPr>
          <w:p>
            <w:pPr>
              <w:pStyle w:val="1038"/>
              <w:spacing w:line="360" w:lineRule="auto"/>
              <w:rPr>
                <w:rFonts w:ascii="宋体" w:hAnsi="宋体" w:cs="宋体"/>
                <w:b/>
                <w:bCs/>
                <w:sz w:val="24"/>
                <w:szCs w:val="24"/>
              </w:rPr>
            </w:pPr>
            <w:r>
              <w:rPr>
                <w:rFonts w:hint="eastAsia" w:ascii="宋体" w:hAnsi="宋体" w:cs="宋体"/>
                <w:b/>
                <w:bCs/>
                <w:color w:val="000000"/>
                <w:sz w:val="24"/>
                <w:szCs w:val="24"/>
              </w:rPr>
              <w:t xml:space="preserve">更年期管理</w:t>
            </w: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专病模型管理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专病数据清洗与治理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专病数据对接</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数据检索服务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专病数据应用服务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量表管理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干预方案分组与统计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数据统计与分析</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restart"/>
            <w:textDirection w:val="lrTb"/>
            <w:noWrap w:val="false"/>
          </w:tcPr>
          <w:p>
            <w:pPr>
              <w:pStyle w:val="1038"/>
              <w:spacing w:line="360" w:lineRule="auto"/>
              <w:rPr>
                <w:rFonts w:ascii="宋体" w:hAnsi="宋体" w:cs="宋体"/>
                <w:b/>
                <w:bCs/>
                <w:sz w:val="24"/>
                <w:szCs w:val="24"/>
              </w:rPr>
            </w:pPr>
            <w:r>
              <w:rPr>
                <w:rFonts w:hint="eastAsia" w:ascii="宋体" w:hAnsi="宋体" w:cs="宋体"/>
                <w:b/>
                <w:bCs/>
                <w:color w:val="000000"/>
                <w:sz w:val="24"/>
                <w:szCs w:val="24"/>
              </w:rPr>
              <w:t xml:space="preserve">青春期管理</w:t>
            </w: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专病模型管理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专病数据清洗与治理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专病数据对接</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数据检索服务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专病数据应用服务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专项分析与统计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数据统计与分析</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restart"/>
            <w:textDirection w:val="lrTb"/>
            <w:noWrap w:val="false"/>
          </w:tcPr>
          <w:p>
            <w:pPr>
              <w:pStyle w:val="1038"/>
              <w:spacing w:line="360" w:lineRule="auto"/>
              <w:rPr>
                <w:rFonts w:ascii="宋体" w:hAnsi="宋体" w:cs="宋体"/>
                <w:b/>
                <w:bCs/>
                <w:sz w:val="24"/>
                <w:szCs w:val="24"/>
              </w:rPr>
            </w:pPr>
            <w:r>
              <w:rPr>
                <w:rFonts w:hint="eastAsia" w:ascii="宋体" w:hAnsi="宋体" w:cs="宋体"/>
                <w:b/>
                <w:bCs/>
                <w:color w:val="000000"/>
                <w:sz w:val="24"/>
                <w:szCs w:val="24"/>
              </w:rPr>
              <w:t xml:space="preserve">儿童营养管理</w:t>
            </w: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专病模型管理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专病数据清洗与治理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专病数据对接</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数据检索服务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专病数据应用服务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数据统计与分析</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restart"/>
            <w:textDirection w:val="lrTb"/>
            <w:noWrap w:val="false"/>
          </w:tcPr>
          <w:p>
            <w:pPr>
              <w:pStyle w:val="1038"/>
              <w:spacing w:line="360" w:lineRule="auto"/>
              <w:rPr>
                <w:rFonts w:ascii="宋体" w:hAnsi="宋体" w:cs="宋体"/>
                <w:b/>
                <w:bCs/>
                <w:sz w:val="24"/>
                <w:szCs w:val="24"/>
              </w:rPr>
            </w:pPr>
            <w:r>
              <w:rPr>
                <w:rFonts w:hint="eastAsia" w:ascii="宋体" w:hAnsi="宋体" w:cs="宋体"/>
                <w:b/>
                <w:bCs/>
                <w:color w:val="000000"/>
                <w:sz w:val="24"/>
                <w:szCs w:val="24"/>
              </w:rPr>
              <w:t xml:space="preserve">妇女心理健康管理</w:t>
            </w: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专病模型管理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专病数据清洗与治理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专病数据对接</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数据检索服务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专病数据应用服务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数据统计与分析</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restart"/>
            <w:textDirection w:val="lrTb"/>
            <w:noWrap w:val="false"/>
          </w:tcPr>
          <w:p>
            <w:pPr>
              <w:pStyle w:val="1038"/>
              <w:spacing w:line="360" w:lineRule="auto"/>
              <w:rPr>
                <w:rFonts w:ascii="宋体" w:hAnsi="宋体" w:cs="宋体"/>
                <w:b/>
                <w:bCs/>
                <w:sz w:val="24"/>
                <w:szCs w:val="24"/>
              </w:rPr>
            </w:pPr>
            <w:r>
              <w:rPr>
                <w:rFonts w:hint="eastAsia" w:ascii="宋体" w:hAnsi="宋体" w:cs="宋体"/>
                <w:b/>
                <w:bCs/>
                <w:color w:val="000000"/>
                <w:sz w:val="24"/>
                <w:szCs w:val="24"/>
              </w:rPr>
              <w:t xml:space="preserve">妇女营养管理</w:t>
            </w: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专病模型管理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专病数据清洗与治理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专病数据对接</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数据检索服务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专病数据应用服务</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color w:val="000000"/>
                <w:sz w:val="24"/>
                <w:szCs w:val="24"/>
              </w:rPr>
              <w:t xml:space="preserve">数据统计与分析</w:t>
            </w:r>
            <w:r>
              <w:rPr>
                <w:rFonts w:ascii="宋体" w:hAnsi="宋体" w:cs="宋体"/>
                <w:bCs/>
                <w:sz w:val="24"/>
                <w:szCs w:val="24"/>
              </w:rPr>
            </w:r>
            <w:r/>
          </w:p>
        </w:tc>
      </w:tr>
      <w:tr>
        <w:trPr>
          <w:cantSplit/>
          <w:trHeight w:val="400"/>
        </w:trPr>
        <w:tc>
          <w:tcPr>
            <w:tcW w:w="2500" w:type="dxa"/>
            <w:vAlign w:val="top"/>
            <w:vMerge w:val="restart"/>
            <w:textDirection w:val="lrTb"/>
            <w:noWrap/>
          </w:tcPr>
          <w:p>
            <w:pPr>
              <w:pStyle w:val="1038"/>
              <w:spacing w:line="360" w:lineRule="auto"/>
              <w:rPr>
                <w:rFonts w:ascii="宋体" w:hAnsi="宋体" w:cs="宋体"/>
                <w:b/>
                <w:bCs/>
                <w:sz w:val="24"/>
                <w:szCs w:val="24"/>
              </w:rPr>
            </w:pPr>
            <w:r>
              <w:rPr>
                <w:rFonts w:hint="eastAsia" w:ascii="宋体" w:hAnsi="宋体" w:cs="宋体"/>
                <w:b/>
                <w:bCs/>
                <w:sz w:val="24"/>
                <w:szCs w:val="24"/>
              </w:rPr>
              <w:t xml:space="preserve">服务高质量发展</w:t>
            </w:r>
            <w:r>
              <w:rPr>
                <w:rFonts w:ascii="宋体" w:hAnsi="宋体" w:cs="宋体"/>
                <w:b/>
                <w:bCs/>
                <w:sz w:val="24"/>
                <w:szCs w:val="24"/>
              </w:rPr>
            </w:r>
            <w:r/>
          </w:p>
        </w:tc>
        <w:tc>
          <w:tcPr>
            <w:tcW w:w="2600" w:type="dxa"/>
            <w:vAlign w:val="top"/>
            <w:vMerge w:val="restart"/>
            <w:textDirection w:val="lrTb"/>
            <w:noWrap/>
          </w:tcPr>
          <w:p>
            <w:pPr>
              <w:pStyle w:val="1038"/>
              <w:spacing w:line="360" w:lineRule="auto"/>
              <w:rPr>
                <w:rFonts w:ascii="宋体" w:hAnsi="宋体" w:cs="宋体"/>
                <w:b/>
                <w:bCs/>
                <w:sz w:val="24"/>
                <w:szCs w:val="24"/>
              </w:rPr>
            </w:pPr>
            <w:r>
              <w:rPr>
                <w:rFonts w:hint="eastAsia" w:ascii="宋体" w:hAnsi="宋体" w:cs="宋体"/>
                <w:b/>
                <w:bCs/>
                <w:sz w:val="24"/>
                <w:szCs w:val="24"/>
              </w:rPr>
              <w:t xml:space="preserve">专科个案管理</w:t>
            </w: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在线咨询</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专科随访</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健康宣教</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restart"/>
            <w:textDirection w:val="lrTb"/>
            <w:noWrap/>
          </w:tcPr>
          <w:p>
            <w:pPr>
              <w:pStyle w:val="1038"/>
              <w:spacing w:line="360" w:lineRule="auto"/>
              <w:rPr>
                <w:rFonts w:ascii="宋体" w:hAnsi="宋体" w:cs="宋体"/>
                <w:b/>
                <w:bCs/>
                <w:sz w:val="24"/>
                <w:szCs w:val="24"/>
              </w:rPr>
            </w:pPr>
            <w:r>
              <w:rPr>
                <w:rFonts w:hint="eastAsia" w:ascii="宋体" w:hAnsi="宋体" w:cs="宋体"/>
                <w:b/>
                <w:bCs/>
                <w:sz w:val="24"/>
                <w:szCs w:val="24"/>
              </w:rPr>
              <w:t xml:space="preserve">平台对接服务</w:t>
            </w: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互联网平台对接</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临床系统对接</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其他接口对接</w:t>
            </w:r>
            <w:r>
              <w:rPr>
                <w:rFonts w:ascii="宋体" w:hAnsi="宋体" w:cs="宋体"/>
                <w:bCs/>
                <w:sz w:val="24"/>
                <w:szCs w:val="24"/>
              </w:rPr>
            </w:r>
            <w:r/>
          </w:p>
        </w:tc>
      </w:tr>
      <w:tr>
        <w:trPr>
          <w:cantSplit/>
          <w:trHeight w:val="400"/>
        </w:trPr>
        <w:tc>
          <w:tcPr>
            <w:tcW w:w="2500" w:type="dxa"/>
            <w:vAlign w:val="top"/>
            <w:vMerge w:val="restart"/>
            <w:textDirection w:val="lrTb"/>
            <w:noWrap/>
          </w:tcPr>
          <w:p>
            <w:pPr>
              <w:pStyle w:val="1038"/>
              <w:spacing w:line="360" w:lineRule="auto"/>
              <w:rPr>
                <w:rFonts w:ascii="宋体" w:hAnsi="宋体" w:cs="宋体"/>
                <w:b/>
                <w:bCs/>
                <w:sz w:val="24"/>
                <w:szCs w:val="24"/>
              </w:rPr>
            </w:pPr>
            <w:r>
              <w:rPr>
                <w:rFonts w:hint="eastAsia" w:ascii="宋体" w:hAnsi="宋体" w:cs="宋体"/>
                <w:b/>
                <w:bCs/>
                <w:sz w:val="24"/>
                <w:szCs w:val="24"/>
              </w:rPr>
              <w:t xml:space="preserve">质量分析平台</w:t>
            </w:r>
            <w:r>
              <w:rPr>
                <w:rFonts w:ascii="宋体" w:hAnsi="宋体" w:cs="宋体"/>
                <w:b/>
                <w:bCs/>
                <w:sz w:val="24"/>
                <w:szCs w:val="24"/>
              </w:rPr>
            </w:r>
            <w:r/>
          </w:p>
        </w:tc>
        <w:tc>
          <w:tcPr>
            <w:tcW w:w="2600" w:type="dxa"/>
            <w:vAlign w:val="top"/>
            <w:vMerge w:val="restart"/>
            <w:textDirection w:val="lrTb"/>
            <w:noWrap/>
          </w:tcPr>
          <w:p>
            <w:pPr>
              <w:pStyle w:val="1038"/>
              <w:spacing w:line="360" w:lineRule="auto"/>
              <w:rPr>
                <w:rFonts w:ascii="宋体" w:hAnsi="宋体" w:cs="宋体"/>
                <w:b/>
                <w:bCs/>
                <w:sz w:val="24"/>
                <w:szCs w:val="24"/>
              </w:rPr>
            </w:pPr>
            <w:r>
              <w:rPr>
                <w:rFonts w:hint="eastAsia" w:ascii="宋体" w:hAnsi="宋体" w:cs="宋体"/>
                <w:b/>
                <w:bCs/>
                <w:sz w:val="24"/>
                <w:szCs w:val="24"/>
              </w:rPr>
              <w:t xml:space="preserve">质量分析</w:t>
            </w: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质控标准与指标管理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质量指标管理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质控督导管理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质控报告管理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tcPr>
          <w:p>
            <w:pPr>
              <w:pStyle w:val="1038"/>
              <w:spacing w:line="360" w:lineRule="auto"/>
              <w:rPr>
                <w:rFonts w:ascii="宋体" w:hAnsi="宋体" w:cs="宋体"/>
                <w:bCs/>
                <w:sz w:val="24"/>
                <w:szCs w:val="24"/>
              </w:rPr>
            </w:pPr>
            <w:r>
              <w:rPr>
                <w:rFonts w:hint="eastAsia" w:ascii="宋体" w:hAnsi="宋体" w:cs="宋体"/>
                <w:bCs/>
                <w:sz w:val="24"/>
                <w:szCs w:val="24"/>
              </w:rPr>
              <w:t xml:space="preserve">移动端数据监控与分析</w:t>
            </w:r>
            <w:r>
              <w:rPr>
                <w:rFonts w:ascii="宋体" w:hAnsi="宋体" w:cs="宋体"/>
                <w:bCs/>
                <w:sz w:val="24"/>
                <w:szCs w:val="24"/>
              </w:rPr>
            </w:r>
            <w:r/>
          </w:p>
        </w:tc>
      </w:tr>
      <w:tr>
        <w:trPr>
          <w:cantSplit/>
          <w:trHeight w:val="400"/>
        </w:trPr>
        <w:tc>
          <w:tcPr>
            <w:tcW w:w="2500" w:type="dxa"/>
            <w:vAlign w:val="top"/>
            <w:vMerge w:val="restart"/>
            <w:textDirection w:val="lrTb"/>
            <w:noWrap/>
          </w:tcPr>
          <w:p>
            <w:pPr>
              <w:pStyle w:val="1038"/>
              <w:spacing w:line="360" w:lineRule="auto"/>
              <w:rPr>
                <w:rFonts w:ascii="宋体" w:hAnsi="宋体" w:cs="宋体"/>
                <w:b/>
                <w:bCs/>
                <w:sz w:val="24"/>
                <w:szCs w:val="24"/>
              </w:rPr>
            </w:pPr>
            <w:r>
              <w:rPr>
                <w:rFonts w:hint="eastAsia" w:ascii="宋体" w:hAnsi="宋体" w:cs="宋体"/>
                <w:b/>
                <w:bCs/>
                <w:sz w:val="24"/>
                <w:szCs w:val="24"/>
              </w:rPr>
              <w:t xml:space="preserve">基础维护</w:t>
            </w:r>
            <w:r>
              <w:rPr>
                <w:rFonts w:ascii="宋体" w:hAnsi="宋体" w:cs="宋体"/>
                <w:b/>
                <w:bCs/>
                <w:sz w:val="24"/>
                <w:szCs w:val="24"/>
              </w:rPr>
            </w:r>
            <w:r/>
          </w:p>
        </w:tc>
        <w:tc>
          <w:tcPr>
            <w:tcW w:w="2600" w:type="dxa"/>
            <w:vAlign w:val="top"/>
            <w:vMerge w:val="restart"/>
            <w:textDirection w:val="lrTb"/>
            <w:noWrap w:val="false"/>
          </w:tcPr>
          <w:p>
            <w:pPr>
              <w:pStyle w:val="1038"/>
              <w:spacing w:line="360" w:lineRule="auto"/>
              <w:rPr>
                <w:rFonts w:ascii="宋体" w:hAnsi="宋体" w:cs="宋体"/>
                <w:b/>
                <w:bCs/>
                <w:sz w:val="24"/>
                <w:szCs w:val="24"/>
              </w:rPr>
            </w:pPr>
            <w:r>
              <w:rPr>
                <w:rFonts w:hint="eastAsia" w:ascii="宋体" w:hAnsi="宋体" w:cs="宋体"/>
                <w:b/>
                <w:bCs/>
                <w:sz w:val="24"/>
                <w:szCs w:val="24"/>
              </w:rPr>
              <w:t xml:space="preserve">基础信息维护</w:t>
            </w:r>
            <w:r>
              <w:rPr>
                <w:rFonts w:ascii="宋体" w:hAnsi="宋体" w:cs="宋体"/>
                <w:b/>
                <w:bCs/>
                <w:sz w:val="24"/>
                <w:szCs w:val="24"/>
              </w:rPr>
            </w:r>
            <w:r/>
          </w:p>
        </w:tc>
        <w:tc>
          <w:tcPr>
            <w:tcW w:w="3660" w:type="dxa"/>
            <w:vAlign w:val="top"/>
            <w:textDirection w:val="lrTb"/>
            <w:noWrap w:val="false"/>
          </w:tcPr>
          <w:p>
            <w:pPr>
              <w:pStyle w:val="1038"/>
              <w:spacing w:line="360" w:lineRule="auto"/>
              <w:rPr>
                <w:rFonts w:ascii="宋体" w:hAnsi="宋体" w:cs="宋体"/>
                <w:bCs/>
                <w:sz w:val="24"/>
                <w:szCs w:val="24"/>
              </w:rPr>
            </w:pPr>
            <w:r>
              <w:rPr>
                <w:rFonts w:hint="eastAsia" w:ascii="宋体" w:hAnsi="宋体" w:cs="宋体"/>
                <w:bCs/>
                <w:sz w:val="24"/>
                <w:szCs w:val="24"/>
              </w:rPr>
              <w:t xml:space="preserve">人员机构管理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val="false"/>
          </w:tcPr>
          <w:p>
            <w:pPr>
              <w:pStyle w:val="1038"/>
              <w:spacing w:line="360" w:lineRule="auto"/>
              <w:rPr>
                <w:rFonts w:ascii="宋体" w:hAnsi="宋体" w:cs="宋体"/>
                <w:bCs/>
                <w:sz w:val="24"/>
                <w:szCs w:val="24"/>
              </w:rPr>
            </w:pPr>
            <w:r>
              <w:rPr>
                <w:rFonts w:hint="eastAsia" w:ascii="宋体" w:hAnsi="宋体" w:cs="宋体"/>
                <w:bCs/>
                <w:sz w:val="24"/>
                <w:szCs w:val="24"/>
              </w:rPr>
              <w:t xml:space="preserve">用户权限分级管理</w:t>
            </w:r>
            <w:r>
              <w:rPr>
                <w:rFonts w:ascii="宋体" w:hAnsi="宋体" w:cs="宋体"/>
                <w:bCs/>
                <w:sz w:val="24"/>
                <w:szCs w:val="24"/>
              </w:rPr>
            </w:r>
            <w:r/>
          </w:p>
        </w:tc>
      </w:tr>
      <w:tr>
        <w:trPr>
          <w:cantSplit/>
          <w:trHeight w:val="400"/>
        </w:trPr>
        <w:tc>
          <w:tcPr>
            <w:tcW w:w="25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2600" w:type="dxa"/>
            <w:vAlign w:val="top"/>
            <w:vMerge w:val="continue"/>
            <w:textDirection w:val="lrTb"/>
            <w:noWrap w:val="false"/>
          </w:tcPr>
          <w:p>
            <w:pPr>
              <w:pStyle w:val="1038"/>
              <w:spacing w:line="360" w:lineRule="auto"/>
              <w:rPr>
                <w:rFonts w:ascii="宋体" w:hAnsi="宋体" w:cs="宋体"/>
                <w:b/>
                <w:bCs/>
                <w:sz w:val="24"/>
                <w:szCs w:val="24"/>
              </w:rPr>
            </w:pPr>
            <w:r>
              <w:rPr>
                <w:rFonts w:ascii="宋体" w:hAnsi="宋体" w:cs="宋体"/>
                <w:b/>
                <w:bCs/>
                <w:sz w:val="24"/>
                <w:szCs w:val="24"/>
              </w:rPr>
            </w:r>
            <w:r/>
          </w:p>
        </w:tc>
        <w:tc>
          <w:tcPr>
            <w:tcW w:w="3660" w:type="dxa"/>
            <w:vAlign w:val="top"/>
            <w:textDirection w:val="lrTb"/>
            <w:noWrap w:val="false"/>
          </w:tcPr>
          <w:p>
            <w:pPr>
              <w:pStyle w:val="1038"/>
              <w:spacing w:line="360" w:lineRule="auto"/>
              <w:rPr>
                <w:rFonts w:ascii="宋体" w:hAnsi="宋体" w:cs="宋体"/>
                <w:bCs/>
                <w:sz w:val="24"/>
                <w:szCs w:val="24"/>
              </w:rPr>
            </w:pPr>
            <w:r>
              <w:rPr>
                <w:rFonts w:hint="eastAsia" w:ascii="宋体" w:hAnsi="宋体" w:cs="宋体"/>
                <w:bCs/>
                <w:sz w:val="24"/>
                <w:szCs w:val="24"/>
              </w:rPr>
              <w:t xml:space="preserve">系统流程审计与记录</w:t>
            </w:r>
            <w:r>
              <w:rPr>
                <w:rFonts w:ascii="宋体" w:hAnsi="宋体" w:cs="宋体"/>
                <w:bCs/>
                <w:sz w:val="24"/>
                <w:szCs w:val="24"/>
              </w:rPr>
            </w:r>
            <w:r/>
          </w:p>
        </w:tc>
      </w:tr>
    </w:tbl>
    <w:p>
      <w:pPr>
        <w:pStyle w:val="1038"/>
        <w:spacing w:line="360" w:lineRule="auto"/>
        <w:rPr>
          <w:rFonts w:ascii="宋体" w:hAnsi="宋体" w:cs="宋体"/>
          <w:bCs/>
          <w:sz w:val="24"/>
          <w:szCs w:val="24"/>
        </w:rPr>
      </w:pPr>
      <w:r>
        <w:rPr>
          <w:rFonts w:ascii="宋体" w:hAnsi="宋体" w:cs="宋体"/>
          <w:bCs/>
          <w:sz w:val="24"/>
          <w:szCs w:val="24"/>
        </w:rPr>
      </w:r>
      <w:r/>
    </w:p>
    <w:p>
      <w:pPr>
        <w:pStyle w:val="1038"/>
        <w:numPr>
          <w:ilvl w:val="1"/>
          <w:numId w:val="5"/>
        </w:numPr>
        <w:ind w:left="0" w:firstLine="0"/>
        <w:keepLines/>
        <w:keepNext/>
        <w:spacing w:line="360" w:lineRule="auto"/>
        <w:rPr>
          <w:rFonts w:ascii="宋体" w:hAnsi="宋体" w:cs="宋体"/>
          <w:b/>
          <w:bCs/>
          <w:sz w:val="24"/>
          <w:szCs w:val="24"/>
        </w:rPr>
        <w:outlineLvl w:val="2"/>
      </w:pPr>
      <w:r>
        <w:rPr>
          <w:rFonts w:hint="eastAsia" w:ascii="宋体" w:hAnsi="宋体" w:cs="宋体"/>
          <w:b/>
          <w:bCs/>
          <w:sz w:val="24"/>
          <w:szCs w:val="24"/>
        </w:rPr>
        <w:t xml:space="preserve">高质量发展底座</w:t>
      </w:r>
      <w:r>
        <w:rPr>
          <w:rFonts w:ascii="宋体" w:hAnsi="宋体" w:cs="宋体"/>
          <w:b/>
          <w:bCs/>
          <w:sz w:val="24"/>
          <w:szCs w:val="24"/>
        </w:rPr>
      </w:r>
      <w:r/>
    </w:p>
    <w:p>
      <w:pPr>
        <w:pStyle w:val="1038"/>
        <w:numPr>
          <w:ilvl w:val="2"/>
          <w:numId w:val="5"/>
        </w:numPr>
        <w:ind w:left="0" w:firstLine="0"/>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大数据融合共享</w:t>
      </w:r>
      <w:r>
        <w:rPr>
          <w:rFonts w:ascii="宋体" w:hAnsi="宋体" w:cs="宋体"/>
          <w:b/>
          <w:bCs/>
          <w:sz w:val="24"/>
          <w:szCs w:val="24"/>
        </w:rPr>
      </w:r>
      <w:r/>
    </w:p>
    <w:p>
      <w:pPr>
        <w:pStyle w:val="1043"/>
        <w:spacing w:before="0" w:after="0" w:line="360" w:lineRule="auto"/>
        <w:rPr>
          <w:rFonts w:ascii="宋体" w:hAnsi="宋体" w:cs="宋体"/>
        </w:rPr>
      </w:pPr>
      <w:r>
        <w:rPr>
          <w:rFonts w:hint="eastAsia" w:ascii="宋体" w:hAnsi="宋体" w:cs="宋体"/>
        </w:rPr>
        <w:t xml:space="preserve">2.1.1.1 数据标准化管理</w:t>
      </w:r>
      <w:r>
        <w:rPr>
          <w:rFonts w:ascii="宋体" w:hAnsi="宋体" w:cs="宋体"/>
        </w:rPr>
      </w:r>
      <w:r/>
    </w:p>
    <w:p>
      <w:pPr>
        <w:pStyle w:val="1163"/>
        <w:numPr>
          <w:ilvl w:val="0"/>
          <w:numId w:val="5"/>
        </w:numPr>
        <w:contextualSpacing w:val="0"/>
        <w:keepLines/>
        <w:keepNext/>
        <w:spacing w:line="360" w:lineRule="auto"/>
        <w:rPr>
          <w:rFonts w:ascii="宋体" w:hAnsi="宋体" w:cs="宋体"/>
          <w:b/>
          <w:bCs/>
          <w:vanish/>
          <w:sz w:val="24"/>
          <w:szCs w:val="24"/>
        </w:rPr>
        <w:outlineLvl w:val="4"/>
      </w:pPr>
      <w:r>
        <w:rPr>
          <w:rFonts w:ascii="宋体" w:hAnsi="宋体" w:cs="宋体"/>
          <w:b/>
          <w:bCs/>
          <w:vanish/>
          <w:sz w:val="24"/>
          <w:szCs w:val="24"/>
        </w:rPr>
      </w:r>
      <w:r/>
    </w:p>
    <w:p>
      <w:pPr>
        <w:pStyle w:val="1163"/>
        <w:numPr>
          <w:ilvl w:val="1"/>
          <w:numId w:val="5"/>
        </w:numPr>
        <w:contextualSpacing w:val="0"/>
        <w:keepLines/>
        <w:keepNext/>
        <w:spacing w:line="360" w:lineRule="auto"/>
        <w:rPr>
          <w:rFonts w:ascii="宋体" w:hAnsi="宋体" w:cs="宋体"/>
          <w:b/>
          <w:bCs/>
          <w:vanish/>
          <w:sz w:val="24"/>
          <w:szCs w:val="24"/>
        </w:rPr>
        <w:outlineLvl w:val="4"/>
      </w:pPr>
      <w:r>
        <w:rPr>
          <w:rFonts w:ascii="宋体" w:hAnsi="宋体" w:cs="宋体"/>
          <w:b/>
          <w:bCs/>
          <w:vanish/>
          <w:sz w:val="24"/>
          <w:szCs w:val="24"/>
        </w:rPr>
      </w:r>
      <w:r/>
    </w:p>
    <w:p>
      <w:pPr>
        <w:pStyle w:val="1163"/>
        <w:numPr>
          <w:ilvl w:val="2"/>
          <w:numId w:val="5"/>
        </w:numPr>
        <w:contextualSpacing w:val="0"/>
        <w:keepLines/>
        <w:keepNext/>
        <w:spacing w:line="360" w:lineRule="auto"/>
        <w:rPr>
          <w:rFonts w:ascii="宋体" w:hAnsi="宋体" w:cs="宋体"/>
          <w:b/>
          <w:bCs/>
          <w:vanish/>
          <w:sz w:val="24"/>
          <w:szCs w:val="24"/>
        </w:rPr>
        <w:outlineLvl w:val="4"/>
      </w:pPr>
      <w:r>
        <w:rPr>
          <w:rFonts w:ascii="宋体" w:hAnsi="宋体" w:cs="宋体"/>
          <w:b/>
          <w:bCs/>
          <w:vanish/>
          <w:sz w:val="24"/>
          <w:szCs w:val="24"/>
        </w:rPr>
      </w:r>
      <w:r/>
    </w:p>
    <w:p>
      <w:pPr>
        <w:pStyle w:val="1163"/>
        <w:numPr>
          <w:ilvl w:val="3"/>
          <w:numId w:val="5"/>
        </w:numPr>
        <w:contextualSpacing w:val="0"/>
        <w:keepLines/>
        <w:keepNext/>
        <w:spacing w:line="360" w:lineRule="auto"/>
        <w:rPr>
          <w:rFonts w:ascii="宋体" w:hAnsi="宋体" w:cs="宋体"/>
          <w:b/>
          <w:bCs/>
          <w:vanish/>
          <w:sz w:val="24"/>
          <w:szCs w:val="24"/>
        </w:rPr>
        <w:outlineLvl w:val="4"/>
      </w:pPr>
      <w:r>
        <w:rPr>
          <w:rFonts w:ascii="宋体" w:hAnsi="宋体" w:cs="宋体"/>
          <w:b/>
          <w:bCs/>
          <w:vanish/>
          <w:sz w:val="24"/>
          <w:szCs w:val="24"/>
        </w:rPr>
      </w:r>
      <w:r/>
    </w:p>
    <w:p>
      <w:pPr>
        <w:pStyle w:val="1038"/>
        <w:numPr>
          <w:ilvl w:val="0"/>
          <w:numId w:val="6"/>
        </w:numPr>
        <w:ind w:left="0" w:firstLine="480"/>
        <w:spacing w:line="360" w:lineRule="auto"/>
        <w:rPr>
          <w:rFonts w:ascii="宋体" w:hAnsi="宋体" w:cs="宋体"/>
          <w:sz w:val="24"/>
          <w:szCs w:val="24"/>
        </w:rPr>
      </w:pPr>
      <w:r>
        <w:rPr>
          <w:rFonts w:hint="eastAsia" w:ascii="宋体" w:hAnsi="宋体" w:cs="宋体"/>
          <w:sz w:val="24"/>
          <w:szCs w:val="24"/>
        </w:rPr>
        <w:t xml:space="preserve">支持科室、人员、疾病编码、药品、医嘱编码等字典维护与管理；</w:t>
      </w:r>
      <w:r>
        <w:rPr>
          <w:rFonts w:ascii="宋体" w:hAnsi="宋体" w:cs="宋体"/>
          <w:sz w:val="24"/>
          <w:szCs w:val="24"/>
        </w:rPr>
      </w:r>
      <w:r/>
    </w:p>
    <w:p>
      <w:pPr>
        <w:pStyle w:val="1038"/>
        <w:numPr>
          <w:ilvl w:val="0"/>
          <w:numId w:val="6"/>
        </w:numPr>
        <w:ind w:left="0" w:firstLine="480"/>
        <w:spacing w:line="360" w:lineRule="auto"/>
        <w:rPr>
          <w:rFonts w:ascii="宋体" w:hAnsi="宋体" w:cs="宋体"/>
          <w:sz w:val="24"/>
          <w:szCs w:val="24"/>
        </w:rPr>
      </w:pPr>
      <w:r>
        <w:rPr>
          <w:rFonts w:hint="eastAsia" w:ascii="宋体" w:hAnsi="宋体" w:cs="宋体"/>
          <w:sz w:val="24"/>
          <w:szCs w:val="24"/>
        </w:rPr>
        <w:t xml:space="preserve">支持异构系统字段与医院标准间映射、清洗、格式转换与一致性校验；</w:t>
      </w:r>
      <w:r>
        <w:rPr>
          <w:rFonts w:ascii="宋体" w:hAnsi="宋体" w:cs="宋体"/>
          <w:sz w:val="24"/>
          <w:szCs w:val="24"/>
        </w:rPr>
      </w:r>
      <w:r/>
    </w:p>
    <w:p>
      <w:pPr>
        <w:pStyle w:val="1038"/>
        <w:numPr>
          <w:ilvl w:val="0"/>
          <w:numId w:val="6"/>
        </w:numPr>
        <w:ind w:left="0" w:firstLine="480"/>
        <w:spacing w:line="360" w:lineRule="auto"/>
        <w:rPr>
          <w:rFonts w:ascii="宋体" w:hAnsi="宋体" w:cs="宋体"/>
          <w:sz w:val="24"/>
          <w:szCs w:val="24"/>
        </w:rPr>
      </w:pPr>
      <w:r>
        <w:rPr>
          <w:rFonts w:hint="eastAsia" w:ascii="宋体" w:hAnsi="宋体" w:cs="宋体"/>
          <w:sz w:val="24"/>
          <w:szCs w:val="24"/>
        </w:rPr>
        <w:t xml:space="preserve">支持对接《HL7》、《ICD-10》、《LOINC》、《WS/T》、《电子病历基本规范》等行业标准，确保与省级平台和国家系统的互联互通；</w:t>
      </w:r>
      <w:r>
        <w:rPr>
          <w:rFonts w:ascii="宋体" w:hAnsi="宋体" w:cs="宋体"/>
          <w:sz w:val="24"/>
          <w:szCs w:val="24"/>
        </w:rPr>
      </w:r>
      <w:r/>
    </w:p>
    <w:p>
      <w:pPr>
        <w:pStyle w:val="1038"/>
        <w:numPr>
          <w:ilvl w:val="0"/>
          <w:numId w:val="6"/>
        </w:numPr>
        <w:ind w:left="0" w:firstLine="480"/>
        <w:spacing w:line="360" w:lineRule="auto"/>
        <w:rPr>
          <w:rFonts w:ascii="宋体" w:hAnsi="宋体" w:cs="宋体"/>
          <w:sz w:val="24"/>
          <w:szCs w:val="24"/>
        </w:rPr>
      </w:pPr>
      <w:r>
        <w:rPr>
          <w:rFonts w:hint="eastAsia" w:ascii="宋体" w:hAnsi="宋体" w:cs="宋体"/>
          <w:sz w:val="24"/>
          <w:szCs w:val="24"/>
        </w:rPr>
        <w:t xml:space="preserve">支持未来新增数据类型、业务系统的快速纳管与标准绑定，保障系统的可扩展性与兼容性。</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2.1.1.2 数据共享</w:t>
      </w:r>
      <w:r>
        <w:rPr>
          <w:rFonts w:ascii="宋体" w:hAnsi="宋体" w:cs="宋体"/>
        </w:rPr>
      </w:r>
      <w:r/>
    </w:p>
    <w:p>
      <w:pPr>
        <w:pStyle w:val="1038"/>
        <w:numPr>
          <w:ilvl w:val="0"/>
          <w:numId w:val="7"/>
        </w:numPr>
        <w:ind w:left="-420" w:firstLine="420"/>
        <w:spacing w:line="360" w:lineRule="auto"/>
        <w:rPr>
          <w:rFonts w:ascii="宋体" w:hAnsi="宋体" w:cs="宋体"/>
          <w:sz w:val="24"/>
          <w:szCs w:val="24"/>
        </w:rPr>
      </w:pPr>
      <w:r>
        <w:rPr>
          <w:rFonts w:hint="eastAsia" w:ascii="宋体" w:hAnsi="宋体" w:cs="宋体"/>
          <w:sz w:val="24"/>
          <w:szCs w:val="24"/>
        </w:rPr>
        <w:t xml:space="preserve">数据共享服务：</w:t>
      </w:r>
      <w:r>
        <w:rPr>
          <w:rFonts w:ascii="宋体" w:hAnsi="宋体" w:cs="宋体"/>
          <w:sz w:val="24"/>
          <w:szCs w:val="24"/>
        </w:rPr>
      </w:r>
      <w:r/>
    </w:p>
    <w:p>
      <w:pPr>
        <w:pStyle w:val="1038"/>
        <w:numPr>
          <w:ilvl w:val="0"/>
          <w:numId w:val="8"/>
        </w:numPr>
        <w:spacing w:line="360" w:lineRule="auto"/>
        <w:rPr>
          <w:rFonts w:ascii="宋体" w:hAnsi="宋体" w:cs="宋体"/>
          <w:sz w:val="24"/>
          <w:szCs w:val="24"/>
        </w:rPr>
      </w:pPr>
      <w:r>
        <w:rPr>
          <w:rFonts w:hint="eastAsia" w:ascii="宋体" w:hAnsi="宋体" w:cs="宋体"/>
          <w:sz w:val="24"/>
          <w:szCs w:val="24"/>
        </w:rPr>
        <w:t xml:space="preserve">支持对接多种数据源，如区域数据中心、临床数据中心，数据内容包括结构化、非结构化数据；</w:t>
      </w:r>
      <w:r>
        <w:rPr>
          <w:rFonts w:ascii="宋体" w:hAnsi="宋体" w:cs="宋体"/>
          <w:sz w:val="24"/>
          <w:szCs w:val="24"/>
        </w:rPr>
      </w:r>
      <w:r/>
    </w:p>
    <w:p>
      <w:pPr>
        <w:pStyle w:val="1038"/>
        <w:numPr>
          <w:ilvl w:val="0"/>
          <w:numId w:val="8"/>
        </w:numPr>
        <w:spacing w:line="360" w:lineRule="auto"/>
        <w:rPr>
          <w:rFonts w:ascii="宋体" w:hAnsi="宋体" w:cs="宋体"/>
          <w:sz w:val="24"/>
          <w:szCs w:val="24"/>
        </w:rPr>
      </w:pPr>
      <w:r>
        <w:rPr>
          <w:rFonts w:hint="eastAsia" w:ascii="宋体" w:hAnsi="宋体" w:cs="宋体"/>
          <w:sz w:val="24"/>
          <w:szCs w:val="24"/>
        </w:rPr>
        <w:t xml:space="preserve">支持提供标准API服务、Web Service、Kafka消息队列等多种共享方式；</w:t>
      </w:r>
      <w:r>
        <w:rPr>
          <w:rFonts w:ascii="宋体" w:hAnsi="宋体" w:cs="宋体"/>
          <w:sz w:val="24"/>
          <w:szCs w:val="24"/>
        </w:rPr>
      </w:r>
      <w:r/>
    </w:p>
    <w:p>
      <w:pPr>
        <w:pStyle w:val="1038"/>
        <w:numPr>
          <w:ilvl w:val="0"/>
          <w:numId w:val="9"/>
        </w:numPr>
        <w:ind w:left="-420" w:firstLine="420"/>
        <w:spacing w:line="360" w:lineRule="auto"/>
        <w:rPr>
          <w:rFonts w:ascii="宋体" w:hAnsi="宋体" w:cs="宋体"/>
          <w:sz w:val="24"/>
          <w:szCs w:val="24"/>
        </w:rPr>
      </w:pPr>
      <w:r>
        <w:rPr>
          <w:rFonts w:hint="eastAsia" w:ascii="宋体" w:hAnsi="宋体" w:cs="宋体"/>
          <w:sz w:val="24"/>
          <w:szCs w:val="24"/>
        </w:rPr>
        <w:t xml:space="preserve">系统间数据集成交换机制：</w:t>
      </w:r>
      <w:r>
        <w:rPr>
          <w:rFonts w:ascii="宋体" w:hAnsi="宋体" w:cs="宋体"/>
          <w:sz w:val="24"/>
          <w:szCs w:val="24"/>
        </w:rPr>
      </w:r>
      <w:r/>
    </w:p>
    <w:p>
      <w:pPr>
        <w:pStyle w:val="1038"/>
        <w:numPr>
          <w:ilvl w:val="0"/>
          <w:numId w:val="10"/>
        </w:numPr>
        <w:spacing w:line="360" w:lineRule="auto"/>
        <w:rPr>
          <w:rFonts w:ascii="宋体" w:hAnsi="宋体" w:cs="宋体"/>
          <w:sz w:val="24"/>
          <w:szCs w:val="24"/>
        </w:rPr>
      </w:pPr>
      <w:r>
        <w:rPr>
          <w:rFonts w:hint="eastAsia" w:ascii="宋体" w:hAnsi="宋体" w:cs="宋体"/>
          <w:sz w:val="24"/>
          <w:szCs w:val="24"/>
        </w:rPr>
        <w:t xml:space="preserve">支持数据批量交换、实时推送与事件驱动共享；</w:t>
      </w:r>
      <w:r>
        <w:rPr>
          <w:rFonts w:ascii="宋体" w:hAnsi="宋体" w:cs="宋体"/>
          <w:sz w:val="24"/>
          <w:szCs w:val="24"/>
        </w:rPr>
      </w:r>
      <w:r/>
    </w:p>
    <w:p>
      <w:pPr>
        <w:pStyle w:val="1038"/>
        <w:numPr>
          <w:ilvl w:val="0"/>
          <w:numId w:val="10"/>
        </w:numPr>
        <w:spacing w:line="360" w:lineRule="auto"/>
        <w:rPr>
          <w:rFonts w:ascii="宋体" w:hAnsi="宋体" w:cs="宋体"/>
          <w:sz w:val="24"/>
          <w:szCs w:val="24"/>
        </w:rPr>
      </w:pPr>
      <w:r>
        <w:rPr>
          <w:rFonts w:hint="eastAsia" w:ascii="宋体" w:hAnsi="宋体" w:cs="宋体"/>
          <w:sz w:val="24"/>
          <w:szCs w:val="24"/>
        </w:rPr>
        <w:t xml:space="preserve">支持多格式（XML、JSON、HL7等）数据内容的转换与封装。</w:t>
      </w:r>
      <w:r>
        <w:rPr>
          <w:rFonts w:ascii="宋体" w:hAnsi="宋体" w:cs="宋体"/>
          <w:sz w:val="24"/>
          <w:szCs w:val="24"/>
        </w:rPr>
      </w:r>
      <w:r/>
    </w:p>
    <w:p>
      <w:pPr>
        <w:pStyle w:val="1038"/>
        <w:numPr>
          <w:ilvl w:val="0"/>
          <w:numId w:val="11"/>
        </w:numPr>
        <w:ind w:left="-420" w:firstLine="420"/>
        <w:spacing w:line="360" w:lineRule="auto"/>
        <w:rPr>
          <w:rFonts w:ascii="宋体" w:hAnsi="宋体" w:cs="宋体"/>
          <w:sz w:val="24"/>
          <w:szCs w:val="24"/>
        </w:rPr>
      </w:pPr>
      <w:r>
        <w:rPr>
          <w:rFonts w:hint="eastAsia" w:ascii="宋体" w:hAnsi="宋体" w:cs="宋体"/>
          <w:sz w:val="24"/>
          <w:szCs w:val="24"/>
        </w:rPr>
        <w:t xml:space="preserve">外部数据接口服务层：</w:t>
      </w:r>
      <w:r>
        <w:rPr>
          <w:rFonts w:ascii="宋体" w:hAnsi="宋体" w:cs="宋体"/>
          <w:sz w:val="24"/>
          <w:szCs w:val="24"/>
        </w:rPr>
      </w:r>
      <w:r/>
    </w:p>
    <w:p>
      <w:pPr>
        <w:pStyle w:val="1038"/>
        <w:numPr>
          <w:ilvl w:val="0"/>
          <w:numId w:val="12"/>
        </w:numPr>
        <w:spacing w:line="360" w:lineRule="auto"/>
        <w:rPr>
          <w:rFonts w:ascii="宋体" w:hAnsi="宋体" w:cs="宋体"/>
          <w:sz w:val="24"/>
          <w:szCs w:val="24"/>
        </w:rPr>
      </w:pPr>
      <w:r>
        <w:rPr>
          <w:rFonts w:hint="eastAsia" w:ascii="宋体" w:hAnsi="宋体" w:cs="宋体"/>
          <w:sz w:val="24"/>
          <w:szCs w:val="24"/>
        </w:rPr>
        <w:t xml:space="preserve">支持按需推送、数据回传、业务验证机制；</w:t>
      </w:r>
      <w:r>
        <w:rPr>
          <w:rFonts w:ascii="宋体" w:hAnsi="宋体" w:cs="宋体"/>
          <w:sz w:val="24"/>
          <w:szCs w:val="24"/>
        </w:rPr>
      </w:r>
      <w:r/>
    </w:p>
    <w:p>
      <w:pPr>
        <w:pStyle w:val="1038"/>
        <w:numPr>
          <w:ilvl w:val="0"/>
          <w:numId w:val="13"/>
        </w:numPr>
        <w:ind w:left="-420" w:firstLine="420"/>
        <w:spacing w:line="360" w:lineRule="auto"/>
        <w:rPr>
          <w:rFonts w:ascii="宋体" w:hAnsi="宋体" w:cs="宋体"/>
          <w:sz w:val="24"/>
          <w:szCs w:val="24"/>
        </w:rPr>
      </w:pPr>
      <w:r>
        <w:rPr>
          <w:rFonts w:hint="eastAsia" w:ascii="宋体" w:hAnsi="宋体" w:cs="宋体"/>
          <w:sz w:val="24"/>
          <w:szCs w:val="24"/>
        </w:rPr>
        <w:t xml:space="preserve">权限控制与审计能力：</w:t>
      </w:r>
      <w:r>
        <w:rPr>
          <w:rFonts w:ascii="宋体" w:hAnsi="宋体" w:cs="宋体"/>
          <w:sz w:val="24"/>
          <w:szCs w:val="24"/>
        </w:rPr>
      </w:r>
      <w:r/>
    </w:p>
    <w:p>
      <w:pPr>
        <w:pStyle w:val="1038"/>
        <w:numPr>
          <w:ilvl w:val="0"/>
          <w:numId w:val="14"/>
        </w:numPr>
        <w:spacing w:line="360" w:lineRule="auto"/>
        <w:rPr>
          <w:rFonts w:ascii="宋体" w:hAnsi="宋体" w:cs="宋体"/>
          <w:sz w:val="24"/>
          <w:szCs w:val="24"/>
        </w:rPr>
      </w:pPr>
      <w:r>
        <w:rPr>
          <w:rFonts w:hint="eastAsia" w:ascii="宋体" w:hAnsi="宋体" w:cs="宋体"/>
          <w:sz w:val="24"/>
          <w:szCs w:val="24"/>
        </w:rPr>
        <w:t xml:space="preserve">实现数据使用行为审计、日志追踪与异常告警。</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数据共享全过程安全：</w:t>
      </w:r>
      <w:r>
        <w:rPr>
          <w:rFonts w:ascii="宋体" w:hAnsi="宋体" w:cs="宋体"/>
          <w:sz w:val="24"/>
          <w:szCs w:val="24"/>
        </w:rPr>
      </w:r>
      <w:r/>
    </w:p>
    <w:p>
      <w:pPr>
        <w:pStyle w:val="1038"/>
        <w:numPr>
          <w:ilvl w:val="0"/>
          <w:numId w:val="16"/>
        </w:numPr>
        <w:spacing w:line="360" w:lineRule="auto"/>
        <w:rPr>
          <w:rFonts w:ascii="宋体" w:hAnsi="宋体" w:cs="宋体"/>
          <w:sz w:val="24"/>
          <w:szCs w:val="24"/>
        </w:rPr>
      </w:pPr>
      <w:r>
        <w:rPr>
          <w:rFonts w:hint="eastAsia" w:ascii="宋体" w:hAnsi="宋体" w:cs="宋体"/>
          <w:sz w:val="24"/>
          <w:szCs w:val="24"/>
        </w:rPr>
        <w:t xml:space="preserve">支持数据传输加密、身份认证；</w:t>
      </w:r>
      <w:r>
        <w:rPr>
          <w:rFonts w:ascii="宋体" w:hAnsi="宋体" w:cs="宋体"/>
          <w:sz w:val="24"/>
          <w:szCs w:val="24"/>
        </w:rPr>
      </w:r>
      <w:r/>
    </w:p>
    <w:p>
      <w:pPr>
        <w:pStyle w:val="1038"/>
        <w:numPr>
          <w:ilvl w:val="0"/>
          <w:numId w:val="16"/>
        </w:numPr>
        <w:spacing w:line="360" w:lineRule="auto"/>
        <w:rPr>
          <w:rFonts w:ascii="宋体" w:hAnsi="宋体" w:cs="宋体"/>
          <w:sz w:val="24"/>
          <w:szCs w:val="24"/>
        </w:rPr>
      </w:pPr>
      <w:r>
        <w:rPr>
          <w:rFonts w:hint="eastAsia" w:ascii="宋体" w:hAnsi="宋体" w:cs="宋体"/>
          <w:sz w:val="24"/>
          <w:szCs w:val="24"/>
        </w:rPr>
        <w:t xml:space="preserve">支持对数据共享服务实施运行监控、性能评估。</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2.1.1.3 数据治理</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数据治理服务</w:t>
      </w:r>
      <w:r>
        <w:rPr>
          <w:rFonts w:ascii="宋体" w:hAnsi="宋体" w:cs="宋体"/>
          <w:sz w:val="24"/>
          <w:szCs w:val="24"/>
        </w:rPr>
      </w:r>
      <w:r/>
    </w:p>
    <w:p>
      <w:pPr>
        <w:pStyle w:val="1038"/>
        <w:numPr>
          <w:ilvl w:val="0"/>
          <w:numId w:val="17"/>
        </w:numPr>
        <w:spacing w:line="360" w:lineRule="auto"/>
        <w:rPr>
          <w:rFonts w:ascii="宋体" w:hAnsi="宋体" w:cs="宋体"/>
          <w:sz w:val="24"/>
          <w:szCs w:val="24"/>
        </w:rPr>
      </w:pPr>
      <w:r>
        <w:rPr>
          <w:rFonts w:hint="eastAsia" w:ascii="宋体" w:hAnsi="宋体" w:cs="宋体"/>
          <w:sz w:val="24"/>
          <w:szCs w:val="24"/>
        </w:rPr>
        <w:t xml:space="preserve">支持提供可视化的数据质量评估工具，支持自定义数据质控脚本，通过脚本执行质控规则，对不同数据集数据进行数据质量比对，进行数据质量结果的呈现；</w:t>
      </w:r>
      <w:r>
        <w:rPr>
          <w:rFonts w:ascii="宋体" w:hAnsi="宋体" w:cs="宋体"/>
          <w:sz w:val="24"/>
          <w:szCs w:val="24"/>
        </w:rPr>
      </w:r>
      <w:r/>
    </w:p>
    <w:p>
      <w:pPr>
        <w:pStyle w:val="1038"/>
        <w:numPr>
          <w:ilvl w:val="0"/>
          <w:numId w:val="17"/>
        </w:numPr>
        <w:spacing w:line="360" w:lineRule="auto"/>
        <w:rPr>
          <w:rFonts w:ascii="宋体" w:hAnsi="宋体" w:cs="宋体"/>
          <w:sz w:val="24"/>
          <w:szCs w:val="24"/>
        </w:rPr>
      </w:pPr>
      <w:r>
        <w:rPr>
          <w:rFonts w:hint="eastAsia" w:ascii="宋体" w:hAnsi="宋体" w:cs="宋体"/>
          <w:sz w:val="24"/>
          <w:szCs w:val="24"/>
        </w:rPr>
        <w:t xml:space="preserve">支持数据质量问题自动识别与修复策略配置。</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主数据管理机制</w:t>
      </w:r>
      <w:r>
        <w:rPr>
          <w:rFonts w:ascii="宋体" w:hAnsi="宋体" w:cs="宋体"/>
          <w:sz w:val="24"/>
          <w:szCs w:val="24"/>
        </w:rPr>
      </w:r>
      <w:r/>
    </w:p>
    <w:p>
      <w:pPr>
        <w:pStyle w:val="1038"/>
        <w:numPr>
          <w:ilvl w:val="0"/>
          <w:numId w:val="18"/>
        </w:numPr>
        <w:spacing w:line="360" w:lineRule="auto"/>
        <w:rPr>
          <w:rFonts w:ascii="宋体" w:hAnsi="宋体" w:cs="宋体"/>
          <w:sz w:val="24"/>
          <w:szCs w:val="24"/>
        </w:rPr>
      </w:pPr>
      <w:r>
        <w:rPr>
          <w:rFonts w:hint="eastAsia" w:ascii="宋体" w:hAnsi="宋体" w:cs="宋体"/>
          <w:sz w:val="24"/>
          <w:szCs w:val="24"/>
        </w:rPr>
        <w:t xml:space="preserve">▲支持跨区域的主数据维护管理，主数据管理系统可以管理两个院区的基础数据，包括ICD、医嘱、科室信息。</w:t>
      </w:r>
      <w:r>
        <w:rPr>
          <w:rFonts w:ascii="宋体" w:hAnsi="宋体" w:cs="宋体"/>
          <w:sz w:val="24"/>
          <w:szCs w:val="24"/>
        </w:rPr>
      </w:r>
      <w:r/>
    </w:p>
    <w:p>
      <w:pPr>
        <w:pStyle w:val="1038"/>
        <w:numPr>
          <w:ilvl w:val="0"/>
          <w:numId w:val="18"/>
        </w:numPr>
        <w:spacing w:line="360" w:lineRule="auto"/>
        <w:rPr>
          <w:rFonts w:ascii="宋体" w:hAnsi="宋体" w:cs="宋体"/>
          <w:sz w:val="24"/>
          <w:szCs w:val="24"/>
        </w:rPr>
      </w:pPr>
      <w:r>
        <w:rPr>
          <w:rFonts w:hint="eastAsia" w:ascii="宋体" w:hAnsi="宋体" w:cs="宋体"/>
          <w:sz w:val="24"/>
          <w:szCs w:val="24"/>
        </w:rPr>
        <w:t xml:space="preserve">支持建立主数据标准库和主数据维护流程，支持数据唯一标识、版本管理与变更记录；</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2.1.1.4 数据整合服务</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统一的数据整合引擎平台</w:t>
      </w:r>
      <w:r>
        <w:rPr>
          <w:rFonts w:ascii="宋体" w:hAnsi="宋体" w:cs="宋体"/>
          <w:sz w:val="24"/>
          <w:szCs w:val="24"/>
        </w:rPr>
      </w:r>
      <w:r/>
    </w:p>
    <w:p>
      <w:pPr>
        <w:pStyle w:val="1038"/>
        <w:numPr>
          <w:ilvl w:val="0"/>
          <w:numId w:val="19"/>
        </w:numPr>
        <w:spacing w:line="360" w:lineRule="auto"/>
        <w:rPr>
          <w:rFonts w:ascii="宋体" w:hAnsi="宋体" w:cs="宋体"/>
          <w:sz w:val="24"/>
          <w:szCs w:val="24"/>
        </w:rPr>
      </w:pPr>
      <w:r>
        <w:rPr>
          <w:rFonts w:hint="eastAsia" w:ascii="宋体" w:hAnsi="宋体" w:cs="宋体"/>
          <w:sz w:val="24"/>
          <w:szCs w:val="24"/>
        </w:rPr>
        <w:t xml:space="preserve">支持多种数据源的接入与整合，包括数据库、API接口、文件系统、日志等；</w:t>
      </w:r>
      <w:r>
        <w:rPr>
          <w:rFonts w:ascii="宋体" w:hAnsi="宋体" w:cs="宋体"/>
          <w:sz w:val="24"/>
          <w:szCs w:val="24"/>
        </w:rPr>
      </w:r>
      <w:r/>
    </w:p>
    <w:p>
      <w:pPr>
        <w:pStyle w:val="1038"/>
        <w:numPr>
          <w:ilvl w:val="0"/>
          <w:numId w:val="19"/>
        </w:numPr>
        <w:spacing w:line="360" w:lineRule="auto"/>
        <w:rPr>
          <w:rFonts w:ascii="宋体" w:hAnsi="宋体" w:cs="宋体"/>
          <w:sz w:val="24"/>
          <w:szCs w:val="24"/>
        </w:rPr>
      </w:pPr>
      <w:r>
        <w:rPr>
          <w:rFonts w:hint="eastAsia" w:ascii="宋体" w:hAnsi="宋体" w:cs="宋体"/>
          <w:sz w:val="24"/>
          <w:szCs w:val="24"/>
        </w:rPr>
        <w:t xml:space="preserve">支持提供数据抽取（ETL）、标准化处理、结构转换与统一加载能力；</w:t>
      </w:r>
      <w:r>
        <w:rPr>
          <w:rFonts w:ascii="宋体" w:hAnsi="宋体" w:cs="宋体"/>
          <w:sz w:val="24"/>
          <w:szCs w:val="24"/>
        </w:rPr>
      </w:r>
      <w:r/>
    </w:p>
    <w:p>
      <w:pPr>
        <w:pStyle w:val="1038"/>
        <w:numPr>
          <w:ilvl w:val="0"/>
          <w:numId w:val="19"/>
        </w:numPr>
        <w:spacing w:line="360" w:lineRule="auto"/>
        <w:rPr>
          <w:rFonts w:ascii="宋体" w:hAnsi="宋体" w:cs="宋体"/>
          <w:sz w:val="24"/>
          <w:szCs w:val="24"/>
        </w:rPr>
      </w:pPr>
      <w:r>
        <w:rPr>
          <w:rFonts w:hint="eastAsia" w:ascii="宋体" w:hAnsi="宋体" w:cs="宋体"/>
          <w:sz w:val="24"/>
          <w:szCs w:val="24"/>
        </w:rPr>
        <w:t xml:space="preserve">支持多种数据整合方式，如批处理、实时同步、事件驱动等。</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结构化与非结构化数据融合</w:t>
      </w:r>
      <w:r>
        <w:rPr>
          <w:rFonts w:ascii="宋体" w:hAnsi="宋体" w:cs="宋体"/>
          <w:sz w:val="24"/>
          <w:szCs w:val="24"/>
        </w:rPr>
      </w:r>
      <w:r/>
    </w:p>
    <w:p>
      <w:pPr>
        <w:pStyle w:val="1038"/>
        <w:numPr>
          <w:ilvl w:val="0"/>
          <w:numId w:val="20"/>
        </w:numPr>
        <w:spacing w:line="360" w:lineRule="auto"/>
        <w:rPr>
          <w:rFonts w:ascii="宋体" w:hAnsi="宋体" w:cs="宋体"/>
          <w:sz w:val="24"/>
          <w:szCs w:val="24"/>
        </w:rPr>
      </w:pPr>
      <w:r>
        <w:rPr>
          <w:rFonts w:hint="eastAsia" w:ascii="宋体" w:hAnsi="宋体" w:cs="宋体"/>
          <w:sz w:val="24"/>
          <w:szCs w:val="24"/>
        </w:rPr>
        <w:t xml:space="preserve">▲支持利用自然语言处理（NLP）、模型解析等技术，将非结构化数据转化为高质量发展平台可分析的结构化数据；</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标准化数据服务接口</w:t>
      </w:r>
      <w:r>
        <w:rPr>
          <w:rFonts w:ascii="宋体" w:hAnsi="宋体" w:cs="宋体"/>
          <w:sz w:val="24"/>
          <w:szCs w:val="24"/>
        </w:rPr>
      </w:r>
      <w:r/>
    </w:p>
    <w:p>
      <w:pPr>
        <w:pStyle w:val="1038"/>
        <w:numPr>
          <w:ilvl w:val="0"/>
          <w:numId w:val="21"/>
        </w:numPr>
        <w:spacing w:line="360" w:lineRule="auto"/>
        <w:rPr>
          <w:rFonts w:ascii="宋体" w:hAnsi="宋体" w:cs="宋体"/>
          <w:sz w:val="24"/>
          <w:szCs w:val="24"/>
        </w:rPr>
      </w:pPr>
      <w:r>
        <w:rPr>
          <w:rFonts w:hint="eastAsia" w:ascii="宋体" w:hAnsi="宋体" w:cs="宋体"/>
          <w:sz w:val="24"/>
          <w:szCs w:val="24"/>
        </w:rPr>
        <w:t xml:space="preserve">建设数据服务中间层，提供 RESTful API、WebService 等标准接口；</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安全与质量可控</w:t>
      </w:r>
      <w:r>
        <w:rPr>
          <w:rFonts w:ascii="宋体" w:hAnsi="宋体" w:cs="宋体"/>
          <w:sz w:val="24"/>
          <w:szCs w:val="24"/>
        </w:rPr>
      </w:r>
      <w:r/>
    </w:p>
    <w:p>
      <w:pPr>
        <w:pStyle w:val="1038"/>
        <w:numPr>
          <w:ilvl w:val="0"/>
          <w:numId w:val="22"/>
        </w:numPr>
        <w:spacing w:line="360" w:lineRule="auto"/>
        <w:rPr>
          <w:rFonts w:ascii="宋体" w:hAnsi="宋体" w:cs="宋体"/>
          <w:sz w:val="24"/>
          <w:szCs w:val="24"/>
        </w:rPr>
      </w:pPr>
      <w:r>
        <w:rPr>
          <w:rFonts w:hint="eastAsia" w:ascii="宋体" w:hAnsi="宋体" w:cs="宋体"/>
          <w:sz w:val="24"/>
          <w:szCs w:val="24"/>
        </w:rPr>
        <w:t xml:space="preserve">支持与数据治理平台联动，实现质量问题联动整改与反馈。</w:t>
      </w:r>
      <w:r>
        <w:rPr>
          <w:rFonts w:ascii="宋体" w:hAnsi="宋体" w:cs="宋体"/>
          <w:sz w:val="24"/>
          <w:szCs w:val="24"/>
        </w:rPr>
      </w:r>
      <w:r/>
    </w:p>
    <w:p>
      <w:pPr>
        <w:pStyle w:val="1038"/>
        <w:numPr>
          <w:ilvl w:val="2"/>
          <w:numId w:val="5"/>
        </w:numPr>
        <w:ind w:left="0" w:firstLine="0"/>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大模型应用</w:t>
      </w:r>
      <w:r>
        <w:rPr>
          <w:rFonts w:ascii="宋体" w:hAnsi="宋体" w:cs="宋体"/>
          <w:b/>
          <w:bCs/>
          <w:sz w:val="24"/>
          <w:szCs w:val="24"/>
        </w:rPr>
      </w:r>
      <w:r/>
    </w:p>
    <w:p>
      <w:pPr>
        <w:pStyle w:val="1043"/>
        <w:spacing w:before="0" w:after="0" w:line="360" w:lineRule="auto"/>
        <w:rPr>
          <w:rFonts w:ascii="宋体" w:hAnsi="宋体" w:cs="宋体"/>
        </w:rPr>
      </w:pPr>
      <w:r>
        <w:rPr>
          <w:rFonts w:hint="eastAsia" w:ascii="宋体" w:hAnsi="宋体" w:cs="宋体"/>
        </w:rPr>
        <w:t xml:space="preserve">2.1.2.1 大模型流程编辑器</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流程设计与拖拽式编辑器</w:t>
      </w:r>
      <w:r>
        <w:rPr>
          <w:rFonts w:ascii="宋体" w:hAnsi="宋体" w:cs="宋体"/>
          <w:sz w:val="24"/>
          <w:szCs w:val="24"/>
        </w:rPr>
      </w:r>
      <w:r/>
    </w:p>
    <w:p>
      <w:pPr>
        <w:pStyle w:val="1038"/>
        <w:numPr>
          <w:ilvl w:val="0"/>
          <w:numId w:val="23"/>
        </w:numPr>
        <w:spacing w:line="360" w:lineRule="auto"/>
        <w:rPr>
          <w:rFonts w:ascii="宋体" w:hAnsi="宋体" w:cs="宋体"/>
          <w:sz w:val="24"/>
          <w:szCs w:val="24"/>
        </w:rPr>
      </w:pPr>
      <w:r>
        <w:rPr>
          <w:rFonts w:hint="eastAsia" w:ascii="宋体" w:hAnsi="宋体" w:cs="宋体"/>
          <w:sz w:val="24"/>
          <w:szCs w:val="24"/>
        </w:rPr>
        <w:t xml:space="preserve">▲支持提供节点式可视化编辑界面，支持拖拽方式添加“模型调用”、“条件判断”、“用户输入”、“消息通知”等流程节点；</w:t>
      </w:r>
      <w:r>
        <w:rPr>
          <w:rFonts w:ascii="宋体" w:hAnsi="宋体" w:cs="宋体"/>
          <w:sz w:val="24"/>
          <w:szCs w:val="24"/>
        </w:rPr>
      </w:r>
      <w:r/>
    </w:p>
    <w:p>
      <w:pPr>
        <w:pStyle w:val="1038"/>
        <w:numPr>
          <w:ilvl w:val="0"/>
          <w:numId w:val="23"/>
        </w:numPr>
        <w:spacing w:line="360" w:lineRule="auto"/>
        <w:rPr>
          <w:rFonts w:ascii="宋体" w:hAnsi="宋体" w:cs="宋体"/>
          <w:sz w:val="24"/>
          <w:szCs w:val="24"/>
        </w:rPr>
      </w:pPr>
      <w:r>
        <w:rPr>
          <w:rFonts w:hint="eastAsia" w:ascii="宋体" w:hAnsi="宋体" w:cs="宋体"/>
          <w:sz w:val="24"/>
          <w:szCs w:val="24"/>
        </w:rPr>
        <w:t xml:space="preserve">节点支持连接、跳转、循环、分支、汇聚等流程逻辑操作；</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模型能力组件化管理</w:t>
      </w:r>
      <w:r>
        <w:rPr>
          <w:rFonts w:ascii="宋体" w:hAnsi="宋体" w:cs="宋体"/>
          <w:sz w:val="24"/>
          <w:szCs w:val="24"/>
        </w:rPr>
      </w:r>
      <w:r/>
    </w:p>
    <w:p>
      <w:pPr>
        <w:pStyle w:val="1038"/>
        <w:numPr>
          <w:ilvl w:val="0"/>
          <w:numId w:val="24"/>
        </w:numPr>
        <w:spacing w:line="360" w:lineRule="auto"/>
        <w:rPr>
          <w:rFonts w:ascii="宋体" w:hAnsi="宋体" w:cs="宋体"/>
          <w:sz w:val="24"/>
          <w:szCs w:val="24"/>
        </w:rPr>
      </w:pPr>
      <w:r>
        <w:rPr>
          <w:rFonts w:hint="eastAsia" w:ascii="宋体" w:hAnsi="宋体" w:cs="宋体"/>
          <w:sz w:val="24"/>
          <w:szCs w:val="24"/>
        </w:rPr>
        <w:t xml:space="preserve">支持将大模型能力按问答生成、摘要提取、文本纠错、情绪识别等进行标准化封装；</w:t>
      </w:r>
      <w:r>
        <w:rPr>
          <w:rFonts w:ascii="宋体" w:hAnsi="宋体" w:cs="宋体"/>
          <w:sz w:val="24"/>
          <w:szCs w:val="24"/>
        </w:rPr>
      </w:r>
      <w:r/>
    </w:p>
    <w:p>
      <w:pPr>
        <w:pStyle w:val="1038"/>
        <w:numPr>
          <w:ilvl w:val="0"/>
          <w:numId w:val="24"/>
        </w:numPr>
        <w:spacing w:line="360" w:lineRule="auto"/>
        <w:rPr>
          <w:rFonts w:ascii="宋体" w:hAnsi="宋体" w:cs="宋体"/>
          <w:sz w:val="24"/>
          <w:szCs w:val="24"/>
        </w:rPr>
      </w:pPr>
      <w:r>
        <w:rPr>
          <w:rFonts w:hint="eastAsia" w:ascii="宋体" w:hAnsi="宋体" w:cs="宋体"/>
          <w:sz w:val="24"/>
          <w:szCs w:val="24"/>
        </w:rPr>
        <w:t xml:space="preserve">支持每个组件支持设置输入输出参数、数据源绑定与错误回退策略；</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参数配置与数据绑定能力</w:t>
      </w:r>
      <w:r>
        <w:rPr>
          <w:rFonts w:ascii="宋体" w:hAnsi="宋体" w:cs="宋体"/>
          <w:sz w:val="24"/>
          <w:szCs w:val="24"/>
        </w:rPr>
      </w:r>
      <w:r/>
    </w:p>
    <w:p>
      <w:pPr>
        <w:pStyle w:val="1038"/>
        <w:numPr>
          <w:ilvl w:val="0"/>
          <w:numId w:val="25"/>
        </w:numPr>
        <w:spacing w:line="360" w:lineRule="auto"/>
        <w:rPr>
          <w:rFonts w:ascii="宋体" w:hAnsi="宋体" w:cs="宋体"/>
          <w:sz w:val="24"/>
          <w:szCs w:val="24"/>
        </w:rPr>
      </w:pPr>
      <w:r>
        <w:rPr>
          <w:rFonts w:hint="eastAsia" w:ascii="宋体" w:hAnsi="宋体" w:cs="宋体"/>
          <w:sz w:val="24"/>
          <w:szCs w:val="24"/>
        </w:rPr>
        <w:t xml:space="preserve">支持配置模型输入字段（如用户问题、上下文内容、检索文档等）与输出结果；</w:t>
      </w:r>
      <w:r>
        <w:rPr>
          <w:rFonts w:ascii="宋体" w:hAnsi="宋体" w:cs="宋体"/>
          <w:sz w:val="24"/>
          <w:szCs w:val="24"/>
        </w:rPr>
      </w:r>
      <w:r/>
    </w:p>
    <w:p>
      <w:pPr>
        <w:pStyle w:val="1038"/>
        <w:numPr>
          <w:ilvl w:val="0"/>
          <w:numId w:val="25"/>
        </w:numPr>
        <w:spacing w:line="360" w:lineRule="auto"/>
        <w:rPr>
          <w:rFonts w:ascii="宋体" w:hAnsi="宋体" w:cs="宋体"/>
          <w:sz w:val="24"/>
          <w:szCs w:val="24"/>
        </w:rPr>
      </w:pPr>
      <w:r>
        <w:rPr>
          <w:rFonts w:hint="eastAsia" w:ascii="宋体" w:hAnsi="宋体" w:cs="宋体"/>
          <w:sz w:val="24"/>
          <w:szCs w:val="24"/>
        </w:rPr>
        <w:t xml:space="preserve">支持可绑定内部数据库、外部接口、知识库像等多种数据源；</w:t>
      </w:r>
      <w:r>
        <w:rPr>
          <w:rFonts w:ascii="宋体" w:hAnsi="宋体" w:cs="宋体"/>
          <w:sz w:val="24"/>
          <w:szCs w:val="24"/>
        </w:rPr>
      </w:r>
      <w:r/>
    </w:p>
    <w:p>
      <w:pPr>
        <w:pStyle w:val="1038"/>
        <w:numPr>
          <w:ilvl w:val="0"/>
          <w:numId w:val="25"/>
        </w:numPr>
        <w:spacing w:line="360" w:lineRule="auto"/>
        <w:rPr>
          <w:rFonts w:ascii="宋体" w:hAnsi="宋体" w:cs="宋体"/>
          <w:sz w:val="24"/>
          <w:szCs w:val="24"/>
        </w:rPr>
      </w:pPr>
      <w:r>
        <w:rPr>
          <w:rFonts w:hint="eastAsia" w:ascii="宋体" w:hAnsi="宋体" w:cs="宋体"/>
          <w:sz w:val="24"/>
          <w:szCs w:val="24"/>
        </w:rPr>
        <w:t xml:space="preserve">支持条件触发、变量传递与格式转换功能。</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流程调试与版本控制功能</w:t>
      </w:r>
      <w:r>
        <w:rPr>
          <w:rFonts w:ascii="宋体" w:hAnsi="宋体" w:cs="宋体"/>
          <w:sz w:val="24"/>
          <w:szCs w:val="24"/>
        </w:rPr>
      </w:r>
      <w:r/>
    </w:p>
    <w:p>
      <w:pPr>
        <w:pStyle w:val="1038"/>
        <w:numPr>
          <w:ilvl w:val="0"/>
          <w:numId w:val="26"/>
        </w:numPr>
        <w:spacing w:line="360" w:lineRule="auto"/>
        <w:rPr>
          <w:rFonts w:ascii="宋体" w:hAnsi="宋体" w:cs="宋体"/>
          <w:sz w:val="24"/>
          <w:szCs w:val="24"/>
        </w:rPr>
      </w:pPr>
      <w:r>
        <w:rPr>
          <w:rFonts w:hint="eastAsia" w:ascii="宋体" w:hAnsi="宋体" w:cs="宋体"/>
          <w:sz w:val="24"/>
          <w:szCs w:val="24"/>
        </w:rPr>
        <w:t xml:space="preserve">支持流程调试模式，可逐步查看每个节点执行结果与异常信息；</w:t>
      </w:r>
      <w:r>
        <w:rPr>
          <w:rFonts w:ascii="宋体" w:hAnsi="宋体" w:cs="宋体"/>
          <w:sz w:val="24"/>
          <w:szCs w:val="24"/>
        </w:rPr>
      </w:r>
      <w:r/>
    </w:p>
    <w:p>
      <w:pPr>
        <w:pStyle w:val="1038"/>
        <w:numPr>
          <w:ilvl w:val="0"/>
          <w:numId w:val="26"/>
        </w:numPr>
        <w:spacing w:line="360" w:lineRule="auto"/>
        <w:rPr>
          <w:rFonts w:ascii="宋体" w:hAnsi="宋体" w:cs="宋体"/>
          <w:sz w:val="24"/>
          <w:szCs w:val="24"/>
        </w:rPr>
      </w:pPr>
      <w:r>
        <w:rPr>
          <w:rFonts w:hint="eastAsia" w:ascii="宋体" w:hAnsi="宋体" w:cs="宋体"/>
          <w:sz w:val="24"/>
          <w:szCs w:val="24"/>
        </w:rPr>
        <w:t xml:space="preserve">每条流程支持版本历史管理、对比、恢复与多版本并行运行；</w:t>
      </w:r>
      <w:r>
        <w:rPr>
          <w:rFonts w:ascii="宋体" w:hAnsi="宋体" w:cs="宋体"/>
          <w:sz w:val="24"/>
          <w:szCs w:val="24"/>
        </w:rPr>
      </w:r>
      <w:r/>
    </w:p>
    <w:p>
      <w:pPr>
        <w:pStyle w:val="1038"/>
        <w:numPr>
          <w:ilvl w:val="0"/>
          <w:numId w:val="26"/>
        </w:numPr>
        <w:spacing w:line="360" w:lineRule="auto"/>
        <w:rPr>
          <w:rFonts w:ascii="宋体" w:hAnsi="宋体" w:cs="宋体"/>
          <w:sz w:val="24"/>
          <w:szCs w:val="24"/>
        </w:rPr>
      </w:pPr>
      <w:r>
        <w:rPr>
          <w:rFonts w:hint="eastAsia" w:ascii="宋体" w:hAnsi="宋体" w:cs="宋体"/>
          <w:sz w:val="24"/>
          <w:szCs w:val="24"/>
        </w:rPr>
        <w:t xml:space="preserve">支持流程克隆、模板保存与场景迁移。</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权限与运行安全管理</w:t>
      </w:r>
      <w:r>
        <w:rPr>
          <w:rFonts w:ascii="宋体" w:hAnsi="宋体" w:cs="宋体"/>
          <w:sz w:val="24"/>
          <w:szCs w:val="24"/>
        </w:rPr>
      </w:r>
      <w:r/>
    </w:p>
    <w:p>
      <w:pPr>
        <w:pStyle w:val="1038"/>
        <w:numPr>
          <w:ilvl w:val="0"/>
          <w:numId w:val="27"/>
        </w:numPr>
        <w:spacing w:line="360" w:lineRule="auto"/>
        <w:rPr>
          <w:rFonts w:ascii="宋体" w:hAnsi="宋体" w:cs="宋体"/>
          <w:sz w:val="24"/>
          <w:szCs w:val="24"/>
        </w:rPr>
      </w:pPr>
      <w:r>
        <w:rPr>
          <w:rFonts w:hint="eastAsia" w:ascii="宋体" w:hAnsi="宋体" w:cs="宋体"/>
          <w:sz w:val="24"/>
          <w:szCs w:val="24"/>
        </w:rPr>
        <w:t xml:space="preserve">支持对流程配置、发布、调用设置多级权限控制；</w:t>
      </w:r>
      <w:r>
        <w:rPr>
          <w:rFonts w:ascii="宋体" w:hAnsi="宋体" w:cs="宋体"/>
          <w:sz w:val="24"/>
          <w:szCs w:val="24"/>
        </w:rPr>
      </w:r>
      <w:r/>
    </w:p>
    <w:p>
      <w:pPr>
        <w:pStyle w:val="1038"/>
        <w:numPr>
          <w:ilvl w:val="0"/>
          <w:numId w:val="27"/>
        </w:numPr>
        <w:spacing w:line="360" w:lineRule="auto"/>
        <w:rPr>
          <w:rFonts w:ascii="宋体" w:hAnsi="宋体" w:cs="宋体"/>
          <w:sz w:val="24"/>
          <w:szCs w:val="24"/>
        </w:rPr>
      </w:pPr>
      <w:r>
        <w:rPr>
          <w:rFonts w:hint="eastAsia" w:ascii="宋体" w:hAnsi="宋体" w:cs="宋体"/>
          <w:sz w:val="24"/>
          <w:szCs w:val="24"/>
        </w:rPr>
        <w:t xml:space="preserve">支持流程调用时限、异常回退、访问授权机制保障业务连续性与数据安全。</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2.1.2.2 RAG知识库配置服务</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知识资源接入与解析</w:t>
      </w:r>
      <w:r>
        <w:rPr>
          <w:rFonts w:ascii="宋体" w:hAnsi="宋体" w:cs="宋体"/>
          <w:sz w:val="24"/>
          <w:szCs w:val="24"/>
        </w:rPr>
      </w:r>
      <w:r/>
    </w:p>
    <w:p>
      <w:pPr>
        <w:pStyle w:val="1038"/>
        <w:numPr>
          <w:ilvl w:val="0"/>
          <w:numId w:val="28"/>
        </w:numPr>
        <w:spacing w:line="360" w:lineRule="auto"/>
        <w:rPr>
          <w:rFonts w:ascii="宋体" w:hAnsi="宋体" w:cs="宋体"/>
          <w:sz w:val="24"/>
          <w:szCs w:val="24"/>
        </w:rPr>
      </w:pPr>
      <w:r>
        <w:rPr>
          <w:rFonts w:hint="eastAsia" w:ascii="宋体" w:hAnsi="宋体" w:cs="宋体"/>
          <w:sz w:val="24"/>
          <w:szCs w:val="24"/>
        </w:rPr>
        <w:t xml:space="preserve">支持从数据库、Word、PDF、网页等多格式文档导入知识；</w:t>
      </w:r>
      <w:r>
        <w:rPr>
          <w:rFonts w:ascii="宋体" w:hAnsi="宋体" w:cs="宋体"/>
          <w:sz w:val="24"/>
          <w:szCs w:val="24"/>
        </w:rPr>
      </w:r>
      <w:r/>
    </w:p>
    <w:p>
      <w:pPr>
        <w:pStyle w:val="1038"/>
        <w:numPr>
          <w:ilvl w:val="0"/>
          <w:numId w:val="28"/>
        </w:numPr>
        <w:spacing w:line="360" w:lineRule="auto"/>
        <w:rPr>
          <w:rFonts w:ascii="宋体" w:hAnsi="宋体" w:cs="宋体"/>
          <w:sz w:val="24"/>
          <w:szCs w:val="24"/>
        </w:rPr>
      </w:pPr>
      <w:r>
        <w:rPr>
          <w:rFonts w:hint="eastAsia" w:ascii="宋体" w:hAnsi="宋体" w:cs="宋体"/>
          <w:sz w:val="24"/>
          <w:szCs w:val="24"/>
        </w:rPr>
        <w:t xml:space="preserve">支持知识字段向量化转换与内容清洗处理。</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向量索引与语义检索服务</w:t>
      </w:r>
      <w:r>
        <w:rPr>
          <w:rFonts w:ascii="宋体" w:hAnsi="宋体" w:cs="宋体"/>
          <w:sz w:val="24"/>
          <w:szCs w:val="24"/>
        </w:rPr>
      </w:r>
      <w:r/>
    </w:p>
    <w:p>
      <w:pPr>
        <w:pStyle w:val="1038"/>
        <w:numPr>
          <w:ilvl w:val="0"/>
          <w:numId w:val="29"/>
        </w:numPr>
        <w:spacing w:line="360" w:lineRule="auto"/>
        <w:rPr>
          <w:rFonts w:ascii="宋体" w:hAnsi="宋体" w:cs="宋体"/>
          <w:sz w:val="24"/>
          <w:szCs w:val="24"/>
        </w:rPr>
      </w:pPr>
      <w:r>
        <w:rPr>
          <w:rFonts w:hint="eastAsia" w:ascii="宋体" w:hAnsi="宋体" w:cs="宋体"/>
          <w:sz w:val="24"/>
          <w:szCs w:val="24"/>
        </w:rPr>
        <w:t xml:space="preserve">支持多模型嵌入方式生成知识向量；</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大模型集成与增强问答能力</w:t>
      </w:r>
      <w:r>
        <w:rPr>
          <w:rFonts w:ascii="宋体" w:hAnsi="宋体" w:cs="宋体"/>
          <w:sz w:val="24"/>
          <w:szCs w:val="24"/>
        </w:rPr>
      </w:r>
      <w:r/>
    </w:p>
    <w:p>
      <w:pPr>
        <w:pStyle w:val="1038"/>
        <w:numPr>
          <w:ilvl w:val="0"/>
          <w:numId w:val="30"/>
        </w:numPr>
        <w:spacing w:line="360" w:lineRule="auto"/>
        <w:rPr>
          <w:rFonts w:ascii="宋体" w:hAnsi="宋体" w:cs="宋体"/>
          <w:sz w:val="24"/>
          <w:szCs w:val="24"/>
        </w:rPr>
      </w:pPr>
      <w:r>
        <w:rPr>
          <w:rFonts w:hint="eastAsia" w:ascii="宋体" w:hAnsi="宋体" w:cs="宋体"/>
          <w:sz w:val="24"/>
          <w:szCs w:val="24"/>
        </w:rPr>
        <w:t xml:space="preserve">支持对知识库检索的相关组件内的搜索参数进行配置，通过选择对应知识库，实现通过对话模式对知识库内容进行访问和快速检索；</w:t>
      </w:r>
      <w:r>
        <w:rPr>
          <w:rFonts w:ascii="宋体" w:hAnsi="宋体" w:cs="宋体"/>
          <w:sz w:val="24"/>
          <w:szCs w:val="24"/>
        </w:rPr>
      </w:r>
      <w:r/>
    </w:p>
    <w:p>
      <w:pPr>
        <w:pStyle w:val="1038"/>
        <w:numPr>
          <w:ilvl w:val="0"/>
          <w:numId w:val="30"/>
        </w:numPr>
        <w:spacing w:line="360" w:lineRule="auto"/>
        <w:rPr>
          <w:rFonts w:ascii="宋体" w:hAnsi="宋体" w:cs="宋体"/>
          <w:sz w:val="24"/>
          <w:szCs w:val="24"/>
        </w:rPr>
      </w:pPr>
      <w:r>
        <w:rPr>
          <w:rFonts w:hint="eastAsia" w:ascii="宋体" w:hAnsi="宋体" w:cs="宋体"/>
          <w:sz w:val="24"/>
          <w:szCs w:val="24"/>
        </w:rPr>
        <w:t xml:space="preserve">支持将检索到的文段动态注入到智能体中，引导生成专业化回复；</w:t>
      </w:r>
      <w:r>
        <w:rPr>
          <w:rFonts w:ascii="宋体" w:hAnsi="宋体" w:cs="宋体"/>
          <w:sz w:val="24"/>
          <w:szCs w:val="24"/>
        </w:rPr>
      </w:r>
      <w:r/>
    </w:p>
    <w:p>
      <w:pPr>
        <w:pStyle w:val="1038"/>
        <w:numPr>
          <w:ilvl w:val="0"/>
          <w:numId w:val="30"/>
        </w:numPr>
        <w:spacing w:line="360" w:lineRule="auto"/>
        <w:rPr>
          <w:rFonts w:ascii="宋体" w:hAnsi="宋体" w:cs="宋体"/>
          <w:sz w:val="24"/>
          <w:szCs w:val="24"/>
        </w:rPr>
      </w:pPr>
      <w:r>
        <w:rPr>
          <w:rFonts w:hint="eastAsia" w:ascii="宋体" w:hAnsi="宋体" w:cs="宋体"/>
          <w:sz w:val="24"/>
          <w:szCs w:val="24"/>
        </w:rPr>
        <w:t xml:space="preserve">支持上下文链路跟踪、参考资料显式标注、回答依据显示功能；</w:t>
      </w:r>
      <w:r>
        <w:rPr>
          <w:rFonts w:ascii="宋体" w:hAnsi="宋体" w:cs="宋体"/>
          <w:sz w:val="24"/>
          <w:szCs w:val="24"/>
        </w:rPr>
      </w:r>
      <w:r/>
    </w:p>
    <w:p>
      <w:pPr>
        <w:pStyle w:val="1038"/>
        <w:numPr>
          <w:ilvl w:val="0"/>
          <w:numId w:val="30"/>
        </w:numPr>
        <w:spacing w:line="360" w:lineRule="auto"/>
        <w:rPr>
          <w:rFonts w:ascii="宋体" w:hAnsi="宋体" w:cs="宋体"/>
          <w:sz w:val="24"/>
          <w:szCs w:val="24"/>
        </w:rPr>
      </w:pPr>
      <w:r>
        <w:rPr>
          <w:rFonts w:hint="eastAsia" w:ascii="宋体" w:hAnsi="宋体" w:cs="宋体"/>
          <w:sz w:val="24"/>
          <w:szCs w:val="24"/>
        </w:rPr>
        <w:t xml:space="preserve">支持组合式 Prompt 模板配置，根据不同业务场景定义问答行为。</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知识权限、安全与审校管理</w:t>
      </w:r>
      <w:r>
        <w:rPr>
          <w:rFonts w:ascii="宋体" w:hAnsi="宋体" w:cs="宋体"/>
          <w:sz w:val="24"/>
          <w:szCs w:val="24"/>
        </w:rPr>
      </w:r>
      <w:r/>
    </w:p>
    <w:p>
      <w:pPr>
        <w:pStyle w:val="1038"/>
        <w:numPr>
          <w:ilvl w:val="0"/>
          <w:numId w:val="31"/>
        </w:numPr>
        <w:spacing w:line="360" w:lineRule="auto"/>
        <w:rPr>
          <w:rFonts w:ascii="宋体" w:hAnsi="宋体" w:cs="宋体"/>
          <w:sz w:val="24"/>
          <w:szCs w:val="24"/>
        </w:rPr>
      </w:pPr>
      <w:r>
        <w:rPr>
          <w:rFonts w:hint="eastAsia" w:ascii="宋体" w:hAnsi="宋体" w:cs="宋体"/>
          <w:sz w:val="24"/>
          <w:szCs w:val="24"/>
        </w:rPr>
        <w:t xml:space="preserve">支持对知识内容分级分类授权访问（如临床、管理、科研、科室私有）；</w:t>
      </w:r>
      <w:r>
        <w:rPr>
          <w:rFonts w:ascii="宋体" w:hAnsi="宋体" w:cs="宋体"/>
          <w:sz w:val="24"/>
          <w:szCs w:val="24"/>
        </w:rPr>
      </w:r>
      <w:r/>
    </w:p>
    <w:p>
      <w:pPr>
        <w:pStyle w:val="1038"/>
        <w:numPr>
          <w:ilvl w:val="0"/>
          <w:numId w:val="31"/>
        </w:numPr>
        <w:spacing w:line="360" w:lineRule="auto"/>
        <w:rPr>
          <w:rFonts w:ascii="宋体" w:hAnsi="宋体" w:cs="宋体"/>
          <w:sz w:val="24"/>
          <w:szCs w:val="24"/>
        </w:rPr>
      </w:pPr>
      <w:r>
        <w:rPr>
          <w:rFonts w:hint="eastAsia" w:ascii="宋体" w:hAnsi="宋体" w:cs="宋体"/>
          <w:sz w:val="24"/>
          <w:szCs w:val="24"/>
        </w:rPr>
        <w:t xml:space="preserve">提供知识内容审核流，支持审核状态管理、版本溯源与操作日志追踪；</w:t>
      </w:r>
      <w:r>
        <w:rPr>
          <w:rFonts w:ascii="宋体" w:hAnsi="宋体" w:cs="宋体"/>
          <w:sz w:val="24"/>
          <w:szCs w:val="24"/>
        </w:rPr>
      </w:r>
      <w:r/>
    </w:p>
    <w:p>
      <w:pPr>
        <w:pStyle w:val="1038"/>
        <w:numPr>
          <w:ilvl w:val="0"/>
          <w:numId w:val="31"/>
        </w:numPr>
        <w:spacing w:line="360" w:lineRule="auto"/>
        <w:rPr>
          <w:rFonts w:ascii="宋体" w:hAnsi="宋体" w:cs="宋体"/>
          <w:sz w:val="24"/>
          <w:szCs w:val="24"/>
        </w:rPr>
      </w:pPr>
      <w:r>
        <w:rPr>
          <w:rFonts w:hint="eastAsia" w:ascii="宋体" w:hAnsi="宋体" w:cs="宋体"/>
          <w:sz w:val="24"/>
          <w:szCs w:val="24"/>
        </w:rPr>
        <w:t xml:space="preserve">支持对过期、失效、错误知识内容自动下架与替换机制。</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配置平台与运行监控界面</w:t>
      </w:r>
      <w:r>
        <w:rPr>
          <w:rFonts w:ascii="宋体" w:hAnsi="宋体" w:cs="宋体"/>
          <w:sz w:val="24"/>
          <w:szCs w:val="24"/>
        </w:rPr>
      </w:r>
      <w:r/>
    </w:p>
    <w:p>
      <w:pPr>
        <w:pStyle w:val="1038"/>
        <w:numPr>
          <w:ilvl w:val="0"/>
          <w:numId w:val="32"/>
        </w:numPr>
        <w:spacing w:line="360" w:lineRule="auto"/>
        <w:rPr>
          <w:rFonts w:ascii="宋体" w:hAnsi="宋体" w:cs="宋体"/>
          <w:sz w:val="24"/>
          <w:szCs w:val="24"/>
        </w:rPr>
      </w:pPr>
      <w:r>
        <w:rPr>
          <w:rFonts w:hint="eastAsia" w:ascii="宋体" w:hAnsi="宋体" w:cs="宋体"/>
          <w:sz w:val="24"/>
          <w:szCs w:val="24"/>
        </w:rPr>
        <w:t xml:space="preserve">提供可视化知识配置平台，支持知识源切换、索引刷新、召回策略调整；</w:t>
      </w:r>
      <w:r>
        <w:rPr>
          <w:rFonts w:ascii="宋体" w:hAnsi="宋体" w:cs="宋体"/>
          <w:sz w:val="24"/>
          <w:szCs w:val="24"/>
        </w:rPr>
      </w:r>
      <w:r/>
    </w:p>
    <w:p>
      <w:pPr>
        <w:pStyle w:val="1038"/>
        <w:numPr>
          <w:ilvl w:val="0"/>
          <w:numId w:val="32"/>
        </w:numPr>
        <w:spacing w:line="360" w:lineRule="auto"/>
        <w:rPr>
          <w:rFonts w:ascii="宋体" w:hAnsi="宋体" w:cs="宋体"/>
          <w:sz w:val="24"/>
          <w:szCs w:val="24"/>
        </w:rPr>
      </w:pPr>
      <w:r>
        <w:rPr>
          <w:rFonts w:hint="eastAsia" w:ascii="宋体" w:hAnsi="宋体" w:cs="宋体"/>
          <w:sz w:val="24"/>
          <w:szCs w:val="24"/>
        </w:rPr>
        <w:t xml:space="preserve">支持用户使用率、错误反馈等多维度使用统计；</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2.1.2.3 开源大模型管理与配置服务</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模型注册与多源接入支持</w:t>
      </w:r>
      <w:r>
        <w:rPr>
          <w:rFonts w:ascii="宋体" w:hAnsi="宋体" w:cs="宋体"/>
          <w:sz w:val="24"/>
          <w:szCs w:val="24"/>
        </w:rPr>
      </w:r>
      <w:r/>
    </w:p>
    <w:p>
      <w:pPr>
        <w:pStyle w:val="1038"/>
        <w:numPr>
          <w:ilvl w:val="0"/>
          <w:numId w:val="33"/>
        </w:numPr>
        <w:spacing w:line="360" w:lineRule="auto"/>
        <w:rPr>
          <w:rFonts w:ascii="宋体" w:hAnsi="宋体" w:cs="宋体"/>
          <w:sz w:val="24"/>
          <w:szCs w:val="24"/>
        </w:rPr>
      </w:pPr>
      <w:r>
        <w:rPr>
          <w:rFonts w:hint="eastAsia" w:ascii="宋体" w:hAnsi="宋体" w:cs="宋体"/>
          <w:sz w:val="24"/>
          <w:szCs w:val="24"/>
        </w:rPr>
        <w:t xml:space="preserve">协助医院完成本地部署模型（如DeepSeek、Qwen）或远程模型 API 注册；</w:t>
      </w:r>
      <w:r>
        <w:rPr>
          <w:rFonts w:ascii="宋体" w:hAnsi="宋体" w:cs="宋体"/>
          <w:sz w:val="24"/>
          <w:szCs w:val="24"/>
        </w:rPr>
      </w:r>
      <w:r/>
    </w:p>
    <w:p>
      <w:pPr>
        <w:pStyle w:val="1038"/>
        <w:numPr>
          <w:ilvl w:val="0"/>
          <w:numId w:val="33"/>
        </w:numPr>
        <w:spacing w:line="360" w:lineRule="auto"/>
        <w:rPr>
          <w:rFonts w:ascii="宋体" w:hAnsi="宋体" w:cs="宋体"/>
          <w:sz w:val="24"/>
          <w:szCs w:val="24"/>
        </w:rPr>
      </w:pPr>
      <w:r>
        <w:rPr>
          <w:rFonts w:hint="eastAsia" w:ascii="宋体" w:hAnsi="宋体" w:cs="宋体"/>
          <w:sz w:val="24"/>
          <w:szCs w:val="24"/>
        </w:rPr>
        <w:t xml:space="preserve">支持协助完成模型信息维护功能（模型名称、版本、资源占用、适用场景、调用路径）；</w:t>
      </w:r>
      <w:r>
        <w:rPr>
          <w:rFonts w:ascii="宋体" w:hAnsi="宋体" w:cs="宋体"/>
          <w:sz w:val="24"/>
          <w:szCs w:val="24"/>
        </w:rPr>
      </w:r>
      <w:r/>
    </w:p>
    <w:p>
      <w:pPr>
        <w:pStyle w:val="1038"/>
        <w:numPr>
          <w:ilvl w:val="0"/>
          <w:numId w:val="33"/>
        </w:numPr>
        <w:spacing w:line="360" w:lineRule="auto"/>
        <w:rPr>
          <w:rFonts w:ascii="宋体" w:hAnsi="宋体" w:cs="宋体"/>
          <w:sz w:val="24"/>
          <w:szCs w:val="24"/>
        </w:rPr>
      </w:pPr>
      <w:r>
        <w:rPr>
          <w:rFonts w:hint="eastAsia" w:ascii="宋体" w:hAnsi="宋体" w:cs="宋体"/>
          <w:sz w:val="24"/>
          <w:szCs w:val="24"/>
        </w:rPr>
        <w:t xml:space="preserve">支持模型状态切换（启用/禁用）、热更新与多版本并行维护。</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Prompt 工程与模板管理</w:t>
      </w:r>
      <w:r>
        <w:rPr>
          <w:rFonts w:ascii="宋体" w:hAnsi="宋体" w:cs="宋体"/>
          <w:sz w:val="24"/>
          <w:szCs w:val="24"/>
        </w:rPr>
      </w:r>
      <w:r/>
    </w:p>
    <w:p>
      <w:pPr>
        <w:pStyle w:val="1038"/>
        <w:numPr>
          <w:ilvl w:val="0"/>
          <w:numId w:val="34"/>
        </w:numPr>
        <w:spacing w:line="360" w:lineRule="auto"/>
        <w:rPr>
          <w:rFonts w:ascii="宋体" w:hAnsi="宋体" w:cs="宋体"/>
          <w:sz w:val="24"/>
          <w:szCs w:val="24"/>
        </w:rPr>
      </w:pPr>
      <w:r>
        <w:rPr>
          <w:rFonts w:hint="eastAsia" w:ascii="宋体" w:hAnsi="宋体" w:cs="宋体"/>
          <w:sz w:val="24"/>
          <w:szCs w:val="24"/>
        </w:rPr>
        <w:t xml:space="preserve">支持业务场景下的 Prompt 模板配置（如随访问答、统计分析等）；</w:t>
      </w:r>
      <w:r>
        <w:rPr>
          <w:rFonts w:ascii="宋体" w:hAnsi="宋体" w:cs="宋体"/>
          <w:sz w:val="24"/>
          <w:szCs w:val="24"/>
        </w:rPr>
      </w:r>
      <w:r/>
    </w:p>
    <w:p>
      <w:pPr>
        <w:pStyle w:val="1038"/>
        <w:numPr>
          <w:ilvl w:val="0"/>
          <w:numId w:val="34"/>
        </w:numPr>
        <w:spacing w:line="360" w:lineRule="auto"/>
        <w:rPr>
          <w:rFonts w:ascii="宋体" w:hAnsi="宋体" w:cs="宋体"/>
          <w:sz w:val="24"/>
          <w:szCs w:val="24"/>
        </w:rPr>
      </w:pPr>
      <w:r>
        <w:rPr>
          <w:rFonts w:hint="eastAsia" w:ascii="宋体" w:hAnsi="宋体" w:cs="宋体"/>
          <w:sz w:val="24"/>
          <w:szCs w:val="24"/>
        </w:rPr>
        <w:t xml:space="preserve">支持自定义 Prompt，或在不同节点中通过多个Prompt进行处理流程配置。</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运行监控与调用分析功能</w:t>
      </w:r>
      <w:r>
        <w:rPr>
          <w:rFonts w:ascii="宋体" w:hAnsi="宋体" w:cs="宋体"/>
          <w:sz w:val="24"/>
          <w:szCs w:val="24"/>
        </w:rPr>
      </w:r>
      <w:r/>
    </w:p>
    <w:p>
      <w:pPr>
        <w:pStyle w:val="1038"/>
        <w:numPr>
          <w:ilvl w:val="0"/>
          <w:numId w:val="35"/>
        </w:numPr>
        <w:spacing w:line="360" w:lineRule="auto"/>
        <w:rPr>
          <w:rFonts w:ascii="宋体" w:hAnsi="宋体" w:cs="宋体"/>
          <w:sz w:val="24"/>
          <w:szCs w:val="24"/>
        </w:rPr>
      </w:pPr>
      <w:r>
        <w:rPr>
          <w:rFonts w:hint="eastAsia" w:ascii="宋体" w:hAnsi="宋体" w:cs="宋体"/>
          <w:sz w:val="24"/>
          <w:szCs w:val="24"/>
        </w:rPr>
        <w:t xml:space="preserve">支持实现模型运行状态实时监控，展示调用次数、响应时间、成功率、异常日志等；</w:t>
      </w:r>
      <w:r>
        <w:rPr>
          <w:rFonts w:ascii="宋体" w:hAnsi="宋体" w:cs="宋体"/>
          <w:sz w:val="24"/>
          <w:szCs w:val="24"/>
        </w:rPr>
      </w:r>
      <w:r/>
    </w:p>
    <w:p>
      <w:pPr>
        <w:pStyle w:val="1038"/>
        <w:numPr>
          <w:ilvl w:val="0"/>
          <w:numId w:val="35"/>
        </w:numPr>
        <w:spacing w:line="360" w:lineRule="auto"/>
        <w:rPr>
          <w:rFonts w:ascii="宋体" w:hAnsi="宋体" w:cs="宋体"/>
          <w:sz w:val="24"/>
          <w:szCs w:val="24"/>
        </w:rPr>
      </w:pPr>
      <w:r>
        <w:rPr>
          <w:rFonts w:hint="eastAsia" w:ascii="宋体" w:hAnsi="宋体" w:cs="宋体"/>
          <w:sz w:val="24"/>
          <w:szCs w:val="24"/>
        </w:rPr>
        <w:t xml:space="preserve">支持提供接口级调用日志、输出追踪、失败重试记录；</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内容输出审计与合规风控机制</w:t>
      </w:r>
      <w:r>
        <w:rPr>
          <w:rFonts w:ascii="宋体" w:hAnsi="宋体" w:cs="宋体"/>
          <w:sz w:val="24"/>
          <w:szCs w:val="24"/>
        </w:rPr>
      </w:r>
      <w:r/>
    </w:p>
    <w:p>
      <w:pPr>
        <w:pStyle w:val="1038"/>
        <w:numPr>
          <w:ilvl w:val="0"/>
          <w:numId w:val="36"/>
        </w:numPr>
        <w:spacing w:line="360" w:lineRule="auto"/>
        <w:rPr>
          <w:rFonts w:ascii="宋体" w:hAnsi="宋体" w:cs="宋体"/>
          <w:sz w:val="24"/>
          <w:szCs w:val="24"/>
        </w:rPr>
      </w:pPr>
      <w:r>
        <w:rPr>
          <w:rFonts w:hint="eastAsia" w:ascii="宋体" w:hAnsi="宋体" w:cs="宋体"/>
          <w:sz w:val="24"/>
          <w:szCs w:val="24"/>
        </w:rPr>
        <w:t xml:space="preserve">支持对模型输出内容进行敏感词识别、标签过滤、可解释性分析；</w:t>
      </w:r>
      <w:r>
        <w:rPr>
          <w:rFonts w:ascii="宋体" w:hAnsi="宋体" w:cs="宋体"/>
          <w:sz w:val="24"/>
          <w:szCs w:val="24"/>
        </w:rPr>
      </w:r>
      <w:r/>
    </w:p>
    <w:p>
      <w:pPr>
        <w:pStyle w:val="1038"/>
        <w:numPr>
          <w:ilvl w:val="0"/>
          <w:numId w:val="36"/>
        </w:numPr>
        <w:spacing w:line="360" w:lineRule="auto"/>
        <w:rPr>
          <w:rFonts w:ascii="宋体" w:hAnsi="宋体" w:cs="宋体"/>
          <w:sz w:val="24"/>
          <w:szCs w:val="24"/>
        </w:rPr>
      </w:pPr>
      <w:r>
        <w:rPr>
          <w:rFonts w:hint="eastAsia" w:ascii="宋体" w:hAnsi="宋体" w:cs="宋体"/>
          <w:sz w:val="24"/>
          <w:szCs w:val="24"/>
        </w:rPr>
        <w:t xml:space="preserve">支持数据脱敏处理、场景审批流程、访问权限管理与行为审计。</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2.1.2.4 智能随访智能体</w:t>
      </w:r>
      <w:r>
        <w:rPr>
          <w:rFonts w:ascii="宋体" w:hAnsi="宋体" w:cs="宋体"/>
        </w:rPr>
      </w:r>
      <w:r/>
    </w:p>
    <w:p>
      <w:pPr>
        <w:pStyle w:val="1038"/>
        <w:ind w:firstLine="480"/>
        <w:spacing w:line="360" w:lineRule="auto"/>
        <w:rPr>
          <w:rFonts w:ascii="宋体" w:hAnsi="宋体" w:cs="宋体"/>
          <w:sz w:val="24"/>
          <w:szCs w:val="24"/>
        </w:rPr>
      </w:pPr>
      <w:r>
        <w:rPr>
          <w:rFonts w:hint="eastAsia" w:ascii="宋体" w:hAnsi="宋体" w:cs="宋体"/>
          <w:sz w:val="24"/>
          <w:szCs w:val="24"/>
        </w:rPr>
        <w:t xml:space="preserve">智能随访智能体基于开源大模型与医院业务规则，构建面向不同人群的智能化随访服务。通过自然语言对话、任务提醒、健康问答、指标采集等方式，模拟医护人员随访行为，实现“自动化随访+智能化反馈”的双重能力。其核心是利用大模型的语义理解和生成能力，结合院内数据、随访模板与质控要求，完成诊后患者及重点人群的全周期健康管理。</w:t>
      </w:r>
      <w:r>
        <w:rPr>
          <w:rFonts w:ascii="宋体" w:hAnsi="宋体" w:cs="宋体"/>
          <w:sz w:val="24"/>
          <w:szCs w:val="24"/>
        </w:rPr>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具体实现路径要求如下：</w:t>
      </w:r>
      <w:r>
        <w:rPr>
          <w:rFonts w:ascii="宋体" w:hAnsi="宋体" w:cs="宋体"/>
          <w:sz w:val="24"/>
          <w:szCs w:val="24"/>
        </w:rPr>
      </w:r>
      <w:r/>
    </w:p>
    <w:p>
      <w:pPr>
        <w:pStyle w:val="1052"/>
        <w:numPr>
          <w:ilvl w:val="0"/>
          <w:numId w:val="37"/>
        </w:numPr>
        <w:spacing w:line="360" w:lineRule="auto"/>
        <w:rPr>
          <w:rFonts w:ascii="宋体" w:hAnsi="宋体" w:cs="宋体"/>
          <w:sz w:val="24"/>
          <w:szCs w:val="24"/>
        </w:rPr>
      </w:pPr>
      <w:r>
        <w:rPr>
          <w:rFonts w:hint="eastAsia" w:ascii="宋体" w:hAnsi="宋体" w:cs="宋体"/>
          <w:sz w:val="24"/>
          <w:szCs w:val="24"/>
        </w:rPr>
        <w:t xml:space="preserve">数据对接与知识配置：</w:t>
      </w:r>
      <w:r>
        <w:rPr>
          <w:rFonts w:ascii="宋体" w:hAnsi="宋体" w:cs="宋体"/>
          <w:sz w:val="24"/>
          <w:szCs w:val="24"/>
        </w:rPr>
      </w:r>
      <w:r/>
    </w:p>
    <w:p>
      <w:pPr>
        <w:pStyle w:val="1038"/>
        <w:numPr>
          <w:ilvl w:val="0"/>
          <w:numId w:val="38"/>
        </w:numPr>
        <w:spacing w:line="360" w:lineRule="auto"/>
        <w:rPr>
          <w:rFonts w:ascii="宋体" w:hAnsi="宋体" w:cs="宋体"/>
          <w:sz w:val="24"/>
          <w:szCs w:val="24"/>
        </w:rPr>
      </w:pPr>
      <w:r>
        <w:rPr>
          <w:rFonts w:hint="eastAsia" w:ascii="宋体" w:hAnsi="宋体" w:cs="宋体"/>
          <w:sz w:val="24"/>
          <w:szCs w:val="24"/>
        </w:rPr>
        <w:t xml:space="preserve">接入院内HIS、EMR、LIS、随访系统等数据；</w:t>
      </w:r>
      <w:r>
        <w:rPr>
          <w:rFonts w:ascii="宋体" w:hAnsi="宋体" w:cs="宋体"/>
          <w:sz w:val="24"/>
          <w:szCs w:val="24"/>
        </w:rPr>
      </w:r>
      <w:r/>
    </w:p>
    <w:p>
      <w:pPr>
        <w:pStyle w:val="1038"/>
        <w:numPr>
          <w:ilvl w:val="0"/>
          <w:numId w:val="38"/>
        </w:numPr>
        <w:spacing w:line="360" w:lineRule="auto"/>
        <w:rPr>
          <w:rFonts w:ascii="宋体" w:hAnsi="宋体" w:cs="宋体"/>
          <w:sz w:val="24"/>
          <w:szCs w:val="24"/>
        </w:rPr>
      </w:pPr>
      <w:r>
        <w:rPr>
          <w:rFonts w:hint="eastAsia" w:ascii="宋体" w:hAnsi="宋体" w:cs="宋体"/>
          <w:sz w:val="24"/>
          <w:szCs w:val="24"/>
        </w:rPr>
        <w:t xml:space="preserve">配置随访路径模板（不同病种/不同人群的随访周期、内容、触发条件）；</w:t>
      </w:r>
      <w:r>
        <w:rPr>
          <w:rFonts w:ascii="宋体" w:hAnsi="宋体" w:cs="宋体"/>
          <w:sz w:val="24"/>
          <w:szCs w:val="24"/>
        </w:rPr>
      </w:r>
      <w:r/>
    </w:p>
    <w:p>
      <w:pPr>
        <w:pStyle w:val="1038"/>
        <w:numPr>
          <w:ilvl w:val="0"/>
          <w:numId w:val="38"/>
        </w:numPr>
        <w:spacing w:line="360" w:lineRule="auto"/>
        <w:rPr>
          <w:rFonts w:ascii="宋体" w:hAnsi="宋体" w:cs="宋体"/>
          <w:sz w:val="24"/>
          <w:szCs w:val="24"/>
        </w:rPr>
      </w:pPr>
      <w:r>
        <w:rPr>
          <w:rFonts w:hint="eastAsia" w:ascii="宋体" w:hAnsi="宋体" w:cs="宋体"/>
          <w:sz w:val="24"/>
          <w:szCs w:val="24"/>
        </w:rPr>
        <w:t xml:space="preserve">对接宣教知识库、指标库，作为对话支撑数据源。</w:t>
      </w:r>
      <w:r>
        <w:rPr>
          <w:rFonts w:ascii="宋体" w:hAnsi="宋体" w:cs="宋体"/>
          <w:sz w:val="24"/>
          <w:szCs w:val="24"/>
        </w:rPr>
      </w:r>
      <w:r/>
    </w:p>
    <w:p>
      <w:pPr>
        <w:pStyle w:val="1052"/>
        <w:numPr>
          <w:ilvl w:val="0"/>
          <w:numId w:val="37"/>
        </w:numPr>
        <w:rPr>
          <w:rFonts w:ascii="宋体" w:hAnsi="宋体" w:cs="宋体"/>
          <w:sz w:val="24"/>
          <w:szCs w:val="24"/>
        </w:rPr>
      </w:pPr>
      <w:r>
        <w:rPr>
          <w:rFonts w:hint="eastAsia" w:ascii="宋体" w:hAnsi="宋体" w:cs="宋体"/>
          <w:sz w:val="24"/>
          <w:szCs w:val="24"/>
        </w:rPr>
        <w:t xml:space="preserve">大模型能力封装：</w:t>
      </w:r>
      <w:r>
        <w:rPr>
          <w:rFonts w:ascii="宋体" w:hAnsi="宋体" w:cs="宋体"/>
          <w:sz w:val="24"/>
          <w:szCs w:val="24"/>
        </w:rPr>
      </w:r>
      <w:r/>
    </w:p>
    <w:p>
      <w:pPr>
        <w:pStyle w:val="1038"/>
        <w:numPr>
          <w:ilvl w:val="0"/>
          <w:numId w:val="39"/>
        </w:numPr>
        <w:spacing w:line="360" w:lineRule="auto"/>
        <w:rPr>
          <w:rFonts w:ascii="宋体" w:hAnsi="宋体" w:cs="宋体"/>
          <w:sz w:val="24"/>
          <w:szCs w:val="24"/>
        </w:rPr>
      </w:pPr>
      <w:r>
        <w:rPr>
          <w:rFonts w:hint="eastAsia" w:ascii="宋体" w:hAnsi="宋体" w:cs="宋体"/>
          <w:sz w:val="24"/>
          <w:szCs w:val="24"/>
        </w:rPr>
        <w:t xml:space="preserve">将问答、提醒、健康教育、风险评估等能力模块进行封装，实现对应知识库；</w:t>
      </w:r>
      <w:r>
        <w:rPr>
          <w:rFonts w:ascii="宋体" w:hAnsi="宋体" w:cs="宋体"/>
          <w:sz w:val="24"/>
          <w:szCs w:val="24"/>
        </w:rPr>
      </w:r>
      <w:r/>
    </w:p>
    <w:p>
      <w:pPr>
        <w:pStyle w:val="1038"/>
        <w:numPr>
          <w:ilvl w:val="0"/>
          <w:numId w:val="39"/>
        </w:numPr>
        <w:spacing w:line="360" w:lineRule="auto"/>
        <w:rPr>
          <w:rFonts w:ascii="宋体" w:hAnsi="宋体" w:cs="宋体"/>
          <w:sz w:val="24"/>
          <w:szCs w:val="24"/>
        </w:rPr>
      </w:pPr>
      <w:r>
        <w:rPr>
          <w:rFonts w:hint="eastAsia" w:ascii="宋体" w:hAnsi="宋体" w:cs="宋体"/>
          <w:sz w:val="24"/>
          <w:szCs w:val="24"/>
        </w:rPr>
        <w:t xml:space="preserve">支持文字、语音等多模态交互。</w:t>
      </w:r>
      <w:r>
        <w:rPr>
          <w:rFonts w:ascii="宋体" w:hAnsi="宋体" w:cs="宋体"/>
          <w:sz w:val="24"/>
          <w:szCs w:val="24"/>
        </w:rPr>
      </w:r>
      <w:r/>
    </w:p>
    <w:p>
      <w:pPr>
        <w:pStyle w:val="1052"/>
        <w:numPr>
          <w:ilvl w:val="0"/>
          <w:numId w:val="37"/>
        </w:numPr>
        <w:rPr>
          <w:rFonts w:ascii="宋体" w:hAnsi="宋体" w:cs="宋体"/>
          <w:sz w:val="24"/>
          <w:szCs w:val="24"/>
        </w:rPr>
      </w:pPr>
      <w:r>
        <w:rPr>
          <w:rFonts w:hint="eastAsia" w:ascii="宋体" w:hAnsi="宋体" w:cs="宋体"/>
          <w:sz w:val="24"/>
          <w:szCs w:val="24"/>
        </w:rPr>
        <w:t xml:space="preserve">随访任务对接与执行：</w:t>
      </w:r>
      <w:r>
        <w:rPr>
          <w:rFonts w:ascii="宋体" w:hAnsi="宋体" w:cs="宋体"/>
          <w:sz w:val="24"/>
          <w:szCs w:val="24"/>
        </w:rPr>
      </w:r>
      <w:r/>
    </w:p>
    <w:p>
      <w:pPr>
        <w:pStyle w:val="1038"/>
        <w:numPr>
          <w:ilvl w:val="0"/>
          <w:numId w:val="40"/>
        </w:numPr>
        <w:spacing w:line="360" w:lineRule="auto"/>
        <w:rPr>
          <w:rFonts w:ascii="宋体" w:hAnsi="宋体" w:cs="宋体"/>
          <w:sz w:val="24"/>
          <w:szCs w:val="24"/>
        </w:rPr>
      </w:pPr>
      <w:r>
        <w:rPr>
          <w:rFonts w:hint="eastAsia" w:ascii="宋体" w:hAnsi="宋体" w:cs="宋体"/>
          <w:sz w:val="24"/>
          <w:szCs w:val="24"/>
        </w:rPr>
        <w:t xml:space="preserve">智能体根据诊疗规范或用户提出的任务出发条件，自动推荐随访任务；</w:t>
      </w:r>
      <w:r>
        <w:rPr>
          <w:rFonts w:ascii="宋体" w:hAnsi="宋体" w:cs="宋体"/>
          <w:sz w:val="24"/>
          <w:szCs w:val="24"/>
        </w:rPr>
      </w:r>
      <w:r/>
    </w:p>
    <w:p>
      <w:pPr>
        <w:pStyle w:val="1038"/>
        <w:numPr>
          <w:ilvl w:val="0"/>
          <w:numId w:val="40"/>
        </w:numPr>
        <w:spacing w:line="360" w:lineRule="auto"/>
        <w:rPr>
          <w:rFonts w:ascii="宋体" w:hAnsi="宋体" w:cs="宋体"/>
          <w:sz w:val="24"/>
          <w:szCs w:val="24"/>
        </w:rPr>
      </w:pPr>
      <w:r>
        <w:rPr>
          <w:rFonts w:hint="eastAsia" w:ascii="宋体" w:hAnsi="宋体" w:cs="宋体"/>
          <w:sz w:val="24"/>
          <w:szCs w:val="24"/>
        </w:rPr>
        <w:t xml:space="preserve">按计划主动发起对话，收集患者健康数据（症状、用药、生活习惯等）；</w:t>
      </w:r>
      <w:r>
        <w:rPr>
          <w:rFonts w:ascii="宋体" w:hAnsi="宋体" w:cs="宋体"/>
          <w:sz w:val="24"/>
          <w:szCs w:val="24"/>
        </w:rPr>
      </w:r>
      <w:r/>
    </w:p>
    <w:p>
      <w:pPr>
        <w:pStyle w:val="1038"/>
        <w:numPr>
          <w:ilvl w:val="0"/>
          <w:numId w:val="40"/>
        </w:numPr>
        <w:spacing w:line="360" w:lineRule="auto"/>
        <w:rPr>
          <w:rFonts w:ascii="宋体" w:hAnsi="宋体" w:cs="宋体"/>
          <w:sz w:val="24"/>
          <w:szCs w:val="24"/>
        </w:rPr>
      </w:pPr>
      <w:r>
        <w:rPr>
          <w:rFonts w:hint="eastAsia" w:ascii="宋体" w:hAnsi="宋体" w:cs="宋体"/>
          <w:sz w:val="24"/>
          <w:szCs w:val="24"/>
        </w:rPr>
        <w:t xml:space="preserve">根据回答触发宣教、干预或转人工服务。</w:t>
      </w:r>
      <w:r>
        <w:rPr>
          <w:rFonts w:ascii="宋体" w:hAnsi="宋体" w:cs="宋体"/>
          <w:sz w:val="24"/>
          <w:szCs w:val="24"/>
        </w:rPr>
      </w:r>
      <w:r/>
    </w:p>
    <w:p>
      <w:pPr>
        <w:pStyle w:val="1052"/>
        <w:numPr>
          <w:ilvl w:val="0"/>
          <w:numId w:val="37"/>
        </w:numPr>
        <w:rPr>
          <w:rFonts w:ascii="宋体" w:hAnsi="宋体" w:cs="宋体"/>
          <w:sz w:val="24"/>
          <w:szCs w:val="24"/>
        </w:rPr>
      </w:pPr>
      <w:r>
        <w:rPr>
          <w:rFonts w:hint="eastAsia" w:ascii="宋体" w:hAnsi="宋体" w:cs="宋体"/>
          <w:sz w:val="24"/>
          <w:szCs w:val="24"/>
        </w:rPr>
        <w:t xml:space="preserve">随访结果处理：</w:t>
      </w:r>
      <w:r>
        <w:rPr>
          <w:rFonts w:ascii="宋体" w:hAnsi="宋体" w:cs="宋体"/>
          <w:sz w:val="24"/>
          <w:szCs w:val="24"/>
        </w:rPr>
      </w:r>
      <w:r/>
    </w:p>
    <w:p>
      <w:pPr>
        <w:pStyle w:val="1038"/>
        <w:numPr>
          <w:ilvl w:val="0"/>
          <w:numId w:val="41"/>
        </w:numPr>
        <w:spacing w:line="360" w:lineRule="auto"/>
        <w:rPr>
          <w:rFonts w:ascii="宋体" w:hAnsi="宋体" w:cs="宋体"/>
          <w:sz w:val="24"/>
          <w:szCs w:val="24"/>
        </w:rPr>
      </w:pPr>
      <w:r>
        <w:rPr>
          <w:rFonts w:hint="eastAsia" w:ascii="宋体" w:hAnsi="宋体" w:cs="宋体"/>
          <w:sz w:val="24"/>
          <w:szCs w:val="24"/>
        </w:rPr>
        <w:t xml:space="preserve">自动结构化存储随访结果；</w:t>
      </w:r>
      <w:r>
        <w:rPr>
          <w:rFonts w:ascii="宋体" w:hAnsi="宋体" w:cs="宋体"/>
          <w:sz w:val="24"/>
          <w:szCs w:val="24"/>
        </w:rPr>
      </w:r>
      <w:r/>
    </w:p>
    <w:p>
      <w:pPr>
        <w:pStyle w:val="1038"/>
        <w:numPr>
          <w:ilvl w:val="0"/>
          <w:numId w:val="41"/>
        </w:numPr>
        <w:spacing w:line="360" w:lineRule="auto"/>
        <w:rPr>
          <w:rFonts w:ascii="宋体" w:hAnsi="宋体" w:cs="宋体"/>
          <w:sz w:val="24"/>
          <w:szCs w:val="24"/>
        </w:rPr>
      </w:pPr>
      <w:r>
        <w:rPr>
          <w:rFonts w:hint="eastAsia" w:ascii="宋体" w:hAnsi="宋体" w:cs="宋体"/>
          <w:sz w:val="24"/>
          <w:szCs w:val="24"/>
        </w:rPr>
        <w:t xml:space="preserve">对异常指标发出预警，推送至责任医生；</w:t>
      </w:r>
      <w:r>
        <w:rPr>
          <w:rFonts w:ascii="宋体" w:hAnsi="宋体" w:cs="宋体"/>
          <w:sz w:val="24"/>
          <w:szCs w:val="24"/>
        </w:rPr>
      </w:r>
      <w:r/>
    </w:p>
    <w:p>
      <w:pPr>
        <w:pStyle w:val="1038"/>
        <w:numPr>
          <w:ilvl w:val="0"/>
          <w:numId w:val="41"/>
        </w:numPr>
        <w:spacing w:line="360" w:lineRule="auto"/>
        <w:rPr>
          <w:rFonts w:ascii="宋体" w:hAnsi="宋体" w:cs="宋体"/>
          <w:sz w:val="24"/>
          <w:szCs w:val="24"/>
        </w:rPr>
      </w:pPr>
      <w:r>
        <w:rPr>
          <w:rFonts w:hint="eastAsia" w:ascii="宋体" w:hAnsi="宋体" w:cs="宋体"/>
          <w:sz w:val="24"/>
          <w:szCs w:val="24"/>
        </w:rPr>
        <w:t xml:space="preserve">将随访数据回流至质控与科研模块，形成闭环。</w:t>
      </w:r>
      <w:r>
        <w:rPr>
          <w:rFonts w:ascii="宋体" w:hAnsi="宋体" w:cs="宋体"/>
          <w:sz w:val="24"/>
          <w:szCs w:val="24"/>
        </w:rPr>
      </w:r>
      <w:r/>
    </w:p>
    <w:p>
      <w:pPr>
        <w:pStyle w:val="1052"/>
        <w:numPr>
          <w:ilvl w:val="0"/>
          <w:numId w:val="37"/>
        </w:numPr>
        <w:rPr>
          <w:rFonts w:ascii="宋体" w:hAnsi="宋体" w:cs="宋体"/>
          <w:sz w:val="24"/>
          <w:szCs w:val="24"/>
        </w:rPr>
      </w:pPr>
      <w:r>
        <w:rPr>
          <w:rFonts w:hint="eastAsia" w:ascii="宋体" w:hAnsi="宋体" w:cs="宋体"/>
          <w:sz w:val="24"/>
          <w:szCs w:val="24"/>
        </w:rPr>
        <w:t xml:space="preserve">场景需求：</w:t>
      </w:r>
      <w:r>
        <w:rPr>
          <w:rFonts w:ascii="宋体" w:hAnsi="宋体" w:cs="宋体"/>
          <w:sz w:val="24"/>
          <w:szCs w:val="24"/>
        </w:rPr>
      </w:r>
      <w:r/>
    </w:p>
    <w:p>
      <w:pPr>
        <w:pStyle w:val="1038"/>
        <w:numPr>
          <w:ilvl w:val="0"/>
          <w:numId w:val="42"/>
        </w:numPr>
        <w:spacing w:line="360" w:lineRule="auto"/>
        <w:rPr>
          <w:rFonts w:ascii="宋体" w:hAnsi="宋体" w:cs="宋体"/>
          <w:sz w:val="24"/>
          <w:szCs w:val="24"/>
        </w:rPr>
      </w:pPr>
      <w:r>
        <w:rPr>
          <w:rFonts w:hint="eastAsia" w:ascii="宋体" w:hAnsi="宋体" w:cs="宋体"/>
          <w:sz w:val="24"/>
          <w:szCs w:val="24"/>
        </w:rPr>
        <w:t xml:space="preserve">依据妇幼高质量专科发展要求，定制与实现不少于4个专科方向的随访智能体；</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2.1.2.5 智能医疗质量管理智能体</w:t>
      </w:r>
      <w:r>
        <w:rPr>
          <w:rFonts w:ascii="宋体" w:hAnsi="宋体" w:cs="宋体"/>
        </w:rPr>
      </w:r>
      <w:r/>
    </w:p>
    <w:p>
      <w:pPr>
        <w:pStyle w:val="1038"/>
        <w:ind w:firstLine="480"/>
        <w:spacing w:line="360" w:lineRule="auto"/>
        <w:rPr>
          <w:rFonts w:ascii="宋体" w:hAnsi="宋体" w:cs="宋体"/>
          <w:sz w:val="24"/>
          <w:szCs w:val="24"/>
        </w:rPr>
      </w:pPr>
      <w:r>
        <w:rPr>
          <w:rFonts w:hint="eastAsia" w:ascii="宋体" w:hAnsi="宋体" w:cs="宋体"/>
          <w:sz w:val="24"/>
          <w:szCs w:val="24"/>
        </w:rPr>
        <w:t xml:space="preserve">智能医疗质量管理智能体基于大模型与妇保、儿保质控标准库，面向医疗质量全过程，提供指标计算、异常识别、问题溯源与改进建议等功能。其核心在于结合医院质控平台的数据与行业规范，实现对医疗行为、服务流程、诊疗结果的智能分析与评估，从而辅助管理者发现质量问题、优化医疗流程、提升服务水平。</w:t>
      </w:r>
      <w:r>
        <w:rPr>
          <w:rFonts w:ascii="宋体" w:hAnsi="宋体" w:cs="宋体"/>
          <w:sz w:val="24"/>
          <w:szCs w:val="24"/>
        </w:rPr>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具体实现路径要求如下：</w:t>
      </w:r>
      <w:r>
        <w:rPr>
          <w:rFonts w:ascii="宋体" w:hAnsi="宋体" w:cs="宋体"/>
          <w:sz w:val="24"/>
          <w:szCs w:val="24"/>
        </w:rPr>
      </w:r>
      <w:r/>
    </w:p>
    <w:p>
      <w:pPr>
        <w:pStyle w:val="1052"/>
        <w:numPr>
          <w:ilvl w:val="0"/>
          <w:numId w:val="43"/>
        </w:numPr>
        <w:spacing w:line="360" w:lineRule="auto"/>
        <w:rPr>
          <w:rFonts w:ascii="宋体" w:hAnsi="宋体" w:cs="宋体"/>
          <w:sz w:val="24"/>
          <w:szCs w:val="24"/>
        </w:rPr>
      </w:pPr>
      <w:r>
        <w:rPr>
          <w:rFonts w:hint="eastAsia" w:ascii="宋体" w:hAnsi="宋体" w:cs="宋体"/>
          <w:sz w:val="24"/>
          <w:szCs w:val="24"/>
        </w:rPr>
        <w:t xml:space="preserve">数据对接与指标映射：</w:t>
      </w:r>
      <w:r>
        <w:rPr>
          <w:rFonts w:ascii="宋体" w:hAnsi="宋体" w:cs="宋体"/>
          <w:sz w:val="24"/>
          <w:szCs w:val="24"/>
        </w:rPr>
      </w:r>
      <w:r/>
    </w:p>
    <w:p>
      <w:pPr>
        <w:pStyle w:val="1038"/>
        <w:numPr>
          <w:ilvl w:val="0"/>
          <w:numId w:val="44"/>
        </w:numPr>
        <w:spacing w:line="360" w:lineRule="auto"/>
        <w:rPr>
          <w:rFonts w:ascii="宋体" w:hAnsi="宋体" w:cs="宋体"/>
          <w:sz w:val="24"/>
          <w:szCs w:val="24"/>
        </w:rPr>
      </w:pPr>
      <w:r>
        <w:rPr>
          <w:rFonts w:hint="eastAsia" w:ascii="宋体" w:hAnsi="宋体" w:cs="宋体"/>
          <w:sz w:val="24"/>
          <w:szCs w:val="24"/>
        </w:rPr>
        <w:t xml:space="preserve">接入EMR、HIS、随访、医院区域数据中心、CDR等多源数据；</w:t>
      </w:r>
      <w:r>
        <w:rPr>
          <w:rFonts w:ascii="宋体" w:hAnsi="宋体" w:cs="宋体"/>
          <w:sz w:val="24"/>
          <w:szCs w:val="24"/>
        </w:rPr>
      </w:r>
      <w:r/>
    </w:p>
    <w:p>
      <w:pPr>
        <w:pStyle w:val="1038"/>
        <w:numPr>
          <w:ilvl w:val="0"/>
          <w:numId w:val="44"/>
        </w:numPr>
        <w:spacing w:line="360" w:lineRule="auto"/>
        <w:rPr>
          <w:rFonts w:ascii="宋体" w:hAnsi="宋体" w:cs="宋体"/>
          <w:sz w:val="24"/>
          <w:szCs w:val="24"/>
        </w:rPr>
      </w:pPr>
      <w:r>
        <w:rPr>
          <w:rFonts w:hint="eastAsia" w:ascii="宋体" w:hAnsi="宋体" w:cs="宋体"/>
          <w:sz w:val="24"/>
          <w:szCs w:val="24"/>
        </w:rPr>
        <w:t xml:space="preserve">对接质控指标库，基于大模型MCP能力实现指标分析。</w:t>
      </w:r>
      <w:r>
        <w:rPr>
          <w:rFonts w:ascii="宋体" w:hAnsi="宋体" w:cs="宋体"/>
          <w:sz w:val="24"/>
          <w:szCs w:val="24"/>
        </w:rPr>
      </w:r>
      <w:r/>
    </w:p>
    <w:p>
      <w:pPr>
        <w:pStyle w:val="1052"/>
        <w:numPr>
          <w:ilvl w:val="0"/>
          <w:numId w:val="43"/>
        </w:numPr>
        <w:spacing w:line="360" w:lineRule="auto"/>
        <w:rPr>
          <w:rFonts w:ascii="宋体" w:hAnsi="宋体" w:cs="宋体"/>
          <w:sz w:val="24"/>
          <w:szCs w:val="24"/>
        </w:rPr>
      </w:pPr>
      <w:r>
        <w:rPr>
          <w:rFonts w:hint="eastAsia" w:ascii="宋体" w:hAnsi="宋体" w:cs="宋体"/>
          <w:sz w:val="24"/>
          <w:szCs w:val="24"/>
        </w:rPr>
        <w:t xml:space="preserve">大模型质控能力封装：</w:t>
      </w:r>
      <w:r>
        <w:rPr>
          <w:rFonts w:ascii="宋体" w:hAnsi="宋体" w:cs="宋体"/>
          <w:sz w:val="24"/>
          <w:szCs w:val="24"/>
        </w:rPr>
      </w:r>
      <w:r/>
    </w:p>
    <w:p>
      <w:pPr>
        <w:pStyle w:val="1038"/>
        <w:numPr>
          <w:ilvl w:val="0"/>
          <w:numId w:val="45"/>
        </w:numPr>
        <w:spacing w:line="360" w:lineRule="auto"/>
        <w:rPr>
          <w:rFonts w:ascii="宋体" w:hAnsi="宋体" w:cs="宋体"/>
          <w:sz w:val="24"/>
          <w:szCs w:val="24"/>
        </w:rPr>
      </w:pPr>
      <w:r>
        <w:rPr>
          <w:rFonts w:hint="eastAsia" w:ascii="宋体" w:hAnsi="宋体" w:cs="宋体"/>
          <w:sz w:val="24"/>
          <w:szCs w:val="24"/>
        </w:rPr>
        <w:t xml:space="preserve">封装指标解析、异常分析、问题分类等功能；</w:t>
      </w:r>
      <w:r>
        <w:rPr>
          <w:rFonts w:ascii="宋体" w:hAnsi="宋体" w:cs="宋体"/>
          <w:sz w:val="24"/>
          <w:szCs w:val="24"/>
        </w:rPr>
      </w:r>
      <w:r/>
    </w:p>
    <w:p>
      <w:pPr>
        <w:pStyle w:val="1038"/>
        <w:numPr>
          <w:ilvl w:val="0"/>
          <w:numId w:val="45"/>
        </w:numPr>
        <w:spacing w:line="360" w:lineRule="auto"/>
        <w:rPr>
          <w:rFonts w:ascii="宋体" w:hAnsi="宋体" w:cs="宋体"/>
          <w:sz w:val="24"/>
          <w:szCs w:val="24"/>
        </w:rPr>
      </w:pPr>
      <w:r>
        <w:rPr>
          <w:rFonts w:hint="eastAsia" w:ascii="宋体" w:hAnsi="宋体" w:cs="宋体"/>
          <w:sz w:val="24"/>
          <w:szCs w:val="24"/>
        </w:rPr>
        <w:t xml:space="preserve">支持对质控结果进行智能问答和解释。</w:t>
      </w:r>
      <w:r>
        <w:rPr>
          <w:rFonts w:ascii="宋体" w:hAnsi="宋体" w:cs="宋体"/>
          <w:sz w:val="24"/>
          <w:szCs w:val="24"/>
        </w:rPr>
      </w:r>
      <w:r/>
    </w:p>
    <w:p>
      <w:pPr>
        <w:pStyle w:val="1052"/>
        <w:numPr>
          <w:ilvl w:val="0"/>
          <w:numId w:val="43"/>
        </w:numPr>
        <w:spacing w:line="360" w:lineRule="auto"/>
        <w:rPr>
          <w:rFonts w:ascii="宋体" w:hAnsi="宋体" w:cs="宋体"/>
          <w:sz w:val="24"/>
          <w:szCs w:val="24"/>
        </w:rPr>
      </w:pPr>
      <w:r>
        <w:rPr>
          <w:rFonts w:hint="eastAsia" w:ascii="宋体" w:hAnsi="宋体" w:cs="宋体"/>
          <w:sz w:val="24"/>
          <w:szCs w:val="24"/>
        </w:rPr>
        <w:t xml:space="preserve">问题识别与预警：</w:t>
      </w:r>
      <w:r>
        <w:rPr>
          <w:rFonts w:ascii="宋体" w:hAnsi="宋体" w:cs="宋体"/>
          <w:sz w:val="24"/>
          <w:szCs w:val="24"/>
        </w:rPr>
      </w:r>
      <w:r/>
    </w:p>
    <w:p>
      <w:pPr>
        <w:pStyle w:val="1038"/>
        <w:numPr>
          <w:ilvl w:val="0"/>
          <w:numId w:val="46"/>
        </w:numPr>
        <w:spacing w:line="360" w:lineRule="auto"/>
        <w:rPr>
          <w:rFonts w:ascii="宋体" w:hAnsi="宋体" w:cs="宋体"/>
          <w:sz w:val="24"/>
          <w:szCs w:val="24"/>
        </w:rPr>
      </w:pPr>
      <w:r>
        <w:rPr>
          <w:rFonts w:hint="eastAsia" w:ascii="宋体" w:hAnsi="宋体" w:cs="宋体"/>
          <w:sz w:val="24"/>
          <w:szCs w:val="24"/>
        </w:rPr>
        <w:t xml:space="preserve">自动对比质控指标与目标值，识别异常；</w:t>
      </w:r>
      <w:r>
        <w:rPr>
          <w:rFonts w:ascii="宋体" w:hAnsi="宋体" w:cs="宋体"/>
          <w:sz w:val="24"/>
          <w:szCs w:val="24"/>
        </w:rPr>
      </w:r>
      <w:r/>
    </w:p>
    <w:p>
      <w:pPr>
        <w:pStyle w:val="1052"/>
        <w:numPr>
          <w:ilvl w:val="0"/>
          <w:numId w:val="43"/>
        </w:numPr>
        <w:spacing w:line="360" w:lineRule="auto"/>
        <w:rPr>
          <w:rFonts w:ascii="宋体" w:hAnsi="宋体" w:cs="宋体"/>
          <w:sz w:val="24"/>
          <w:szCs w:val="24"/>
        </w:rPr>
      </w:pPr>
      <w:r>
        <w:rPr>
          <w:rFonts w:hint="eastAsia" w:ascii="宋体" w:hAnsi="宋体" w:cs="宋体"/>
          <w:sz w:val="24"/>
          <w:szCs w:val="24"/>
        </w:rPr>
        <w:t xml:space="preserve">改进建议与闭环管理：</w:t>
      </w:r>
      <w:r>
        <w:rPr>
          <w:rFonts w:ascii="宋体" w:hAnsi="宋体" w:cs="宋体"/>
          <w:sz w:val="24"/>
          <w:szCs w:val="24"/>
        </w:rPr>
      </w:r>
      <w:r/>
    </w:p>
    <w:p>
      <w:pPr>
        <w:pStyle w:val="1038"/>
        <w:numPr>
          <w:ilvl w:val="0"/>
          <w:numId w:val="47"/>
        </w:numPr>
        <w:spacing w:line="360" w:lineRule="auto"/>
        <w:rPr>
          <w:rFonts w:ascii="宋体" w:hAnsi="宋体" w:cs="宋体"/>
          <w:sz w:val="24"/>
          <w:szCs w:val="24"/>
        </w:rPr>
      </w:pPr>
      <w:r>
        <w:rPr>
          <w:rFonts w:hint="eastAsia" w:ascii="宋体" w:hAnsi="宋体" w:cs="宋体"/>
          <w:sz w:val="24"/>
          <w:szCs w:val="24"/>
        </w:rPr>
        <w:t xml:space="preserve">根据历史案例、质控要求或绩效管理要求，给出改进建议；</w:t>
      </w:r>
      <w:r>
        <w:rPr>
          <w:rFonts w:ascii="宋体" w:hAnsi="宋体" w:cs="宋体"/>
          <w:sz w:val="24"/>
          <w:szCs w:val="24"/>
        </w:rPr>
      </w:r>
      <w:r/>
    </w:p>
    <w:p>
      <w:pPr>
        <w:pStyle w:val="1038"/>
        <w:numPr>
          <w:ilvl w:val="0"/>
          <w:numId w:val="47"/>
        </w:numPr>
        <w:spacing w:line="360" w:lineRule="auto"/>
        <w:rPr>
          <w:rFonts w:ascii="宋体" w:hAnsi="宋体" w:cs="宋体"/>
          <w:sz w:val="24"/>
          <w:szCs w:val="24"/>
        </w:rPr>
      </w:pPr>
      <w:r>
        <w:rPr>
          <w:rFonts w:hint="eastAsia" w:ascii="宋体" w:hAnsi="宋体" w:cs="宋体"/>
          <w:sz w:val="24"/>
          <w:szCs w:val="24"/>
        </w:rPr>
        <w:t xml:space="preserve">支持整改任务分配、进度跟踪与结果反馈，形成质量闭环。</w:t>
      </w:r>
      <w:r>
        <w:rPr>
          <w:rFonts w:ascii="宋体" w:hAnsi="宋体" w:cs="宋体"/>
          <w:sz w:val="24"/>
          <w:szCs w:val="24"/>
        </w:rPr>
      </w:r>
      <w:r/>
    </w:p>
    <w:p>
      <w:pPr>
        <w:pStyle w:val="1052"/>
        <w:ind w:firstLine="240"/>
        <w:spacing w:line="360" w:lineRule="auto"/>
        <w:rPr>
          <w:rFonts w:ascii="宋体" w:hAnsi="宋体" w:cs="宋体"/>
          <w:sz w:val="24"/>
          <w:szCs w:val="24"/>
        </w:rPr>
      </w:pPr>
      <w:r>
        <w:rPr>
          <w:rFonts w:hint="eastAsia" w:ascii="宋体" w:hAnsi="宋体" w:cs="宋体"/>
          <w:sz w:val="24"/>
          <w:szCs w:val="24"/>
        </w:rPr>
        <w:t xml:space="preserve">应用场景如下：</w:t>
      </w:r>
      <w:r>
        <w:rPr>
          <w:rFonts w:ascii="宋体" w:hAnsi="宋体" w:cs="宋体"/>
          <w:sz w:val="24"/>
          <w:szCs w:val="24"/>
        </w:rPr>
      </w:r>
      <w:r/>
    </w:p>
    <w:p>
      <w:pPr>
        <w:pStyle w:val="1052"/>
        <w:numPr>
          <w:ilvl w:val="0"/>
          <w:numId w:val="48"/>
        </w:numPr>
        <w:ind w:firstLine="480"/>
        <w:spacing w:line="360" w:lineRule="auto"/>
        <w:rPr>
          <w:rFonts w:ascii="宋体" w:hAnsi="宋体" w:cs="宋体"/>
          <w:sz w:val="24"/>
          <w:szCs w:val="24"/>
        </w:rPr>
      </w:pPr>
      <w:r>
        <w:rPr>
          <w:rFonts w:hint="eastAsia" w:ascii="宋体" w:hAnsi="宋体" w:cs="宋体"/>
          <w:sz w:val="24"/>
          <w:szCs w:val="24"/>
        </w:rPr>
        <w:t xml:space="preserve">院内质控管理：</w:t>
      </w:r>
      <w:r>
        <w:rPr>
          <w:rFonts w:ascii="宋体" w:hAnsi="宋体" w:cs="宋体"/>
          <w:sz w:val="24"/>
          <w:szCs w:val="24"/>
        </w:rPr>
      </w:r>
      <w:r/>
    </w:p>
    <w:p>
      <w:pPr>
        <w:pStyle w:val="1052"/>
        <w:ind w:firstLine="240"/>
        <w:spacing w:line="360" w:lineRule="auto"/>
        <w:rPr>
          <w:rFonts w:ascii="宋体" w:hAnsi="宋体" w:cs="宋体"/>
          <w:sz w:val="24"/>
          <w:szCs w:val="24"/>
        </w:rPr>
      </w:pPr>
      <w:r>
        <w:rPr>
          <w:rFonts w:hint="eastAsia" w:ascii="宋体" w:hAnsi="宋体" w:cs="宋体"/>
          <w:sz w:val="24"/>
          <w:szCs w:val="24"/>
        </w:rPr>
        <w:t xml:space="preserve">  定期分析诊疗环节的关键指标，及时发现问题。</w:t>
      </w:r>
      <w:r>
        <w:rPr>
          <w:rFonts w:ascii="宋体" w:hAnsi="宋体" w:cs="宋体"/>
          <w:sz w:val="24"/>
          <w:szCs w:val="24"/>
        </w:rPr>
      </w:r>
      <w:r/>
    </w:p>
    <w:p>
      <w:pPr>
        <w:pStyle w:val="1052"/>
        <w:numPr>
          <w:ilvl w:val="0"/>
          <w:numId w:val="48"/>
        </w:numPr>
        <w:ind w:firstLine="480"/>
        <w:spacing w:line="360" w:lineRule="auto"/>
        <w:rPr>
          <w:rFonts w:ascii="宋体" w:hAnsi="宋体" w:cs="宋体"/>
          <w:sz w:val="24"/>
          <w:szCs w:val="24"/>
        </w:rPr>
      </w:pPr>
      <w:r>
        <w:rPr>
          <w:rFonts w:hint="eastAsia" w:ascii="宋体" w:hAnsi="宋体" w:cs="宋体"/>
          <w:sz w:val="24"/>
          <w:szCs w:val="24"/>
        </w:rPr>
        <w:t xml:space="preserve">专科质量提升：</w:t>
      </w:r>
      <w:r>
        <w:rPr>
          <w:rFonts w:ascii="宋体" w:hAnsi="宋体" w:cs="宋体"/>
          <w:sz w:val="24"/>
          <w:szCs w:val="24"/>
        </w:rPr>
      </w:r>
      <w:r/>
    </w:p>
    <w:p>
      <w:pPr>
        <w:pStyle w:val="1052"/>
        <w:ind w:firstLine="480"/>
        <w:spacing w:line="360" w:lineRule="auto"/>
        <w:rPr>
          <w:rFonts w:ascii="宋体" w:hAnsi="宋体" w:cs="宋体"/>
          <w:sz w:val="24"/>
          <w:szCs w:val="24"/>
        </w:rPr>
      </w:pPr>
      <w:r>
        <w:rPr>
          <w:rFonts w:hint="eastAsia" w:ascii="宋体" w:hAnsi="宋体" w:cs="宋体"/>
          <w:sz w:val="24"/>
          <w:szCs w:val="24"/>
        </w:rPr>
        <w:t xml:space="preserve">围绕妇保、儿保定制的质控指标集，进行指标预测，智能分析与提示指标趋势与质控风险。</w:t>
      </w:r>
      <w:r>
        <w:rPr>
          <w:rFonts w:ascii="宋体" w:hAnsi="宋体" w:cs="宋体"/>
          <w:sz w:val="24"/>
          <w:szCs w:val="24"/>
        </w:rPr>
      </w:r>
      <w:r/>
    </w:p>
    <w:p>
      <w:pPr>
        <w:pStyle w:val="1052"/>
        <w:numPr>
          <w:ilvl w:val="0"/>
          <w:numId w:val="48"/>
        </w:numPr>
        <w:ind w:firstLine="480"/>
        <w:spacing w:line="360" w:lineRule="auto"/>
        <w:rPr>
          <w:rFonts w:ascii="宋体" w:hAnsi="宋体" w:cs="宋体"/>
          <w:sz w:val="24"/>
          <w:szCs w:val="24"/>
        </w:rPr>
      </w:pPr>
      <w:r>
        <w:rPr>
          <w:rFonts w:hint="eastAsia" w:ascii="宋体" w:hAnsi="宋体" w:cs="宋体"/>
          <w:sz w:val="24"/>
          <w:szCs w:val="24"/>
        </w:rPr>
        <w:t xml:space="preserve">绩效与监管对接：</w:t>
      </w:r>
      <w:r>
        <w:rPr>
          <w:rFonts w:ascii="宋体" w:hAnsi="宋体" w:cs="宋体"/>
          <w:sz w:val="24"/>
          <w:szCs w:val="24"/>
        </w:rPr>
      </w:r>
      <w:r/>
    </w:p>
    <w:p>
      <w:pPr>
        <w:pStyle w:val="1052"/>
        <w:ind w:firstLine="240"/>
        <w:spacing w:line="360" w:lineRule="auto"/>
        <w:rPr>
          <w:rFonts w:ascii="宋体" w:hAnsi="宋体" w:cs="宋体"/>
          <w:sz w:val="24"/>
          <w:szCs w:val="24"/>
        </w:rPr>
      </w:pPr>
      <w:r>
        <w:rPr>
          <w:rFonts w:hint="eastAsia" w:ascii="宋体" w:hAnsi="宋体" w:cs="宋体"/>
          <w:sz w:val="24"/>
          <w:szCs w:val="24"/>
        </w:rPr>
        <w:t xml:space="preserve">  将质控结果与绩效考核挂钩，并自动生成监管所需报表，支持上级部门检查与评估。</w:t>
      </w:r>
      <w:r>
        <w:rPr>
          <w:rFonts w:ascii="宋体" w:hAnsi="宋体" w:cs="宋体"/>
          <w:sz w:val="24"/>
          <w:szCs w:val="24"/>
        </w:rPr>
      </w:r>
      <w:r/>
    </w:p>
    <w:p>
      <w:pPr>
        <w:pStyle w:val="1052"/>
        <w:numPr>
          <w:ilvl w:val="0"/>
          <w:numId w:val="48"/>
        </w:numPr>
        <w:ind w:firstLine="480"/>
        <w:spacing w:line="360" w:lineRule="auto"/>
        <w:rPr>
          <w:rFonts w:ascii="宋体" w:hAnsi="宋体" w:cs="宋体"/>
          <w:sz w:val="24"/>
          <w:szCs w:val="24"/>
        </w:rPr>
      </w:pPr>
      <w:r>
        <w:rPr>
          <w:rFonts w:hint="eastAsia" w:ascii="宋体" w:hAnsi="宋体" w:cs="宋体"/>
          <w:sz w:val="24"/>
          <w:szCs w:val="24"/>
        </w:rPr>
        <w:t xml:space="preserve">患者安全与风险预防：</w:t>
      </w:r>
      <w:r>
        <w:rPr>
          <w:rFonts w:ascii="宋体" w:hAnsi="宋体" w:cs="宋体"/>
          <w:sz w:val="24"/>
          <w:szCs w:val="24"/>
        </w:rPr>
      </w:r>
      <w:r/>
    </w:p>
    <w:p>
      <w:pPr>
        <w:pStyle w:val="1052"/>
        <w:ind w:firstLine="240"/>
        <w:spacing w:line="360" w:lineRule="auto"/>
        <w:rPr>
          <w:rFonts w:ascii="宋体" w:hAnsi="宋体" w:cs="宋体"/>
          <w:sz w:val="24"/>
          <w:szCs w:val="24"/>
        </w:rPr>
      </w:pPr>
      <w:r>
        <w:rPr>
          <w:rFonts w:hint="eastAsia" w:ascii="宋体" w:hAnsi="宋体" w:cs="宋体"/>
          <w:sz w:val="24"/>
          <w:szCs w:val="24"/>
        </w:rPr>
        <w:t xml:space="preserve">  通过分析个案信息与随访数据，识别潜在风险点，减少医疗纠纷与不良事件。</w:t>
      </w:r>
      <w:r>
        <w:rPr>
          <w:rFonts w:ascii="宋体" w:hAnsi="宋体" w:cs="宋体"/>
          <w:sz w:val="24"/>
          <w:szCs w:val="24"/>
        </w:rPr>
      </w:r>
      <w:r/>
    </w:p>
    <w:p>
      <w:pPr>
        <w:pStyle w:val="1052"/>
        <w:ind w:firstLine="0"/>
        <w:spacing w:line="360" w:lineRule="auto"/>
        <w:rPr>
          <w:rFonts w:ascii="宋体" w:hAnsi="宋体" w:cs="宋体"/>
          <w:sz w:val="24"/>
          <w:szCs w:val="24"/>
        </w:rPr>
      </w:pPr>
      <w:r>
        <w:rPr>
          <w:rFonts w:hint="eastAsia" w:ascii="宋体" w:hAnsi="宋体" w:cs="宋体"/>
          <w:sz w:val="24"/>
          <w:szCs w:val="24"/>
        </w:rPr>
        <w:t xml:space="preserve">    智能医疗质量管理智能体通过对质控指标的自动化分析与智能解读，推动了病种管理的科学化与精细化。</w:t>
      </w:r>
      <w:r>
        <w:rPr>
          <w:rFonts w:ascii="宋体" w:hAnsi="宋体" w:cs="宋体"/>
          <w:sz w:val="24"/>
          <w:szCs w:val="24"/>
        </w:rPr>
      </w:r>
      <w:r/>
    </w:p>
    <w:p>
      <w:pPr>
        <w:pStyle w:val="1038"/>
        <w:numPr>
          <w:ilvl w:val="1"/>
          <w:numId w:val="5"/>
        </w:numPr>
        <w:ind w:left="0" w:firstLine="0"/>
        <w:keepLines/>
        <w:keepNext/>
        <w:spacing w:line="360" w:lineRule="auto"/>
        <w:rPr>
          <w:rFonts w:ascii="宋体" w:hAnsi="宋体" w:cs="宋体"/>
          <w:b/>
          <w:bCs/>
          <w:sz w:val="24"/>
          <w:szCs w:val="24"/>
        </w:rPr>
        <w:outlineLvl w:val="2"/>
      </w:pPr>
      <w:r>
        <w:rPr>
          <w:rFonts w:hint="eastAsia" w:ascii="宋体" w:hAnsi="宋体" w:cs="宋体"/>
          <w:b/>
          <w:bCs/>
          <w:sz w:val="24"/>
          <w:szCs w:val="24"/>
        </w:rPr>
        <w:t xml:space="preserve">专科高质量发展</w:t>
      </w:r>
      <w:r>
        <w:rPr>
          <w:rFonts w:ascii="宋体" w:hAnsi="宋体" w:cs="宋体"/>
          <w:b/>
          <w:bCs/>
          <w:sz w:val="24"/>
          <w:szCs w:val="24"/>
        </w:rPr>
      </w:r>
      <w:r/>
    </w:p>
    <w:p>
      <w:pPr>
        <w:pStyle w:val="1038"/>
        <w:numPr>
          <w:ilvl w:val="2"/>
          <w:numId w:val="5"/>
        </w:numPr>
        <w:ind w:left="0" w:firstLine="0"/>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宫颈癌管理</w:t>
      </w:r>
      <w:r>
        <w:rPr>
          <w:rFonts w:ascii="宋体" w:hAnsi="宋体" w:cs="宋体"/>
          <w:b/>
          <w:bCs/>
          <w:sz w:val="24"/>
          <w:szCs w:val="24"/>
        </w:rPr>
      </w:r>
      <w:r/>
    </w:p>
    <w:p>
      <w:pPr>
        <w:pStyle w:val="1043"/>
        <w:spacing w:before="0" w:after="0" w:line="360" w:lineRule="auto"/>
        <w:rPr>
          <w:rFonts w:ascii="宋体" w:hAnsi="宋体" w:cs="宋体"/>
        </w:rPr>
      </w:pPr>
      <w:r>
        <w:rPr>
          <w:rFonts w:hint="eastAsia" w:ascii="宋体" w:hAnsi="宋体" w:cs="宋体"/>
        </w:rPr>
        <w:t xml:space="preserve">2.2.1.1 专病模型管理</w:t>
      </w:r>
      <w:r>
        <w:rPr>
          <w:rFonts w:ascii="宋体" w:hAnsi="宋体" w:cs="宋体"/>
        </w:rPr>
      </w:r>
      <w:r/>
    </w:p>
    <w:p>
      <w:pPr>
        <w:pStyle w:val="1038"/>
        <w:numPr>
          <w:ilvl w:val="0"/>
          <w:numId w:val="49"/>
        </w:numPr>
        <w:spacing w:line="360" w:lineRule="auto"/>
        <w:rPr>
          <w:rFonts w:ascii="宋体" w:hAnsi="宋体" w:cs="宋体"/>
          <w:sz w:val="24"/>
          <w:szCs w:val="24"/>
        </w:rPr>
      </w:pPr>
      <w:r>
        <w:rPr>
          <w:rFonts w:hint="eastAsia" w:ascii="宋体" w:hAnsi="宋体" w:cs="宋体"/>
          <w:sz w:val="24"/>
          <w:szCs w:val="24"/>
        </w:rPr>
        <w:t xml:space="preserve">围绕“宫颈癌”相关数据与研究范围，搭建专病模型体系；</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其他功能性要求</w:t>
      </w:r>
      <w:r>
        <w:rPr>
          <w:rFonts w:ascii="宋体" w:hAnsi="宋体" w:cs="宋体"/>
          <w:sz w:val="24"/>
          <w:szCs w:val="24"/>
        </w:rPr>
      </w:r>
      <w:r/>
    </w:p>
    <w:p>
      <w:pPr>
        <w:pStyle w:val="1038"/>
        <w:numPr>
          <w:ilvl w:val="0"/>
          <w:numId w:val="50"/>
        </w:numPr>
        <w:spacing w:line="360" w:lineRule="auto"/>
        <w:rPr>
          <w:rFonts w:ascii="宋体" w:hAnsi="宋体" w:cs="宋体"/>
          <w:sz w:val="24"/>
          <w:szCs w:val="24"/>
        </w:rPr>
      </w:pPr>
      <w:r>
        <w:rPr>
          <w:rFonts w:hint="eastAsia" w:ascii="宋体" w:hAnsi="宋体" w:cs="宋体"/>
          <w:sz w:val="24"/>
          <w:szCs w:val="24"/>
        </w:rPr>
        <w:t xml:space="preserve">支持多种数据源的选择，通过编辑数据实体之间的关系，自定义配置数据模型的同步服务，并通过分步作业的模式进行数据同步服务；</w:t>
      </w:r>
      <w:r>
        <w:rPr>
          <w:rFonts w:ascii="宋体" w:hAnsi="宋体" w:cs="宋体"/>
          <w:sz w:val="24"/>
          <w:szCs w:val="24"/>
        </w:rPr>
      </w:r>
      <w:r/>
    </w:p>
    <w:p>
      <w:pPr>
        <w:pStyle w:val="1038"/>
        <w:numPr>
          <w:ilvl w:val="0"/>
          <w:numId w:val="50"/>
        </w:numPr>
        <w:spacing w:line="360" w:lineRule="auto"/>
        <w:rPr>
          <w:rFonts w:ascii="宋体" w:hAnsi="宋体" w:cs="宋体"/>
          <w:sz w:val="24"/>
          <w:szCs w:val="24"/>
        </w:rPr>
      </w:pPr>
      <w:r>
        <w:rPr>
          <w:rFonts w:hint="eastAsia" w:ascii="宋体" w:hAnsi="宋体" w:cs="宋体"/>
          <w:sz w:val="24"/>
          <w:szCs w:val="24"/>
        </w:rPr>
        <w:t xml:space="preserve">▲支持模型配置，并对历史模型版本进行归档管控。</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2.2.1.2 专病数据清洗与治理</w:t>
      </w:r>
      <w:r>
        <w:rPr>
          <w:rFonts w:ascii="宋体" w:hAnsi="宋体" w:cs="宋体"/>
        </w:rPr>
      </w:r>
      <w:r/>
    </w:p>
    <w:p>
      <w:pPr>
        <w:pStyle w:val="1038"/>
        <w:spacing w:line="360" w:lineRule="auto"/>
        <w:rPr>
          <w:rFonts w:ascii="宋体" w:hAnsi="宋体" w:cs="宋体"/>
          <w:sz w:val="24"/>
          <w:szCs w:val="24"/>
        </w:rPr>
      </w:pPr>
      <w:r>
        <w:rPr>
          <w:rFonts w:hint="eastAsia" w:ascii="宋体" w:hAnsi="宋体" w:cs="宋体"/>
          <w:sz w:val="24"/>
          <w:szCs w:val="24"/>
        </w:rPr>
        <w:t xml:space="preserve">    支持针对宫颈癌管理中的重点字段（如HPV分型、TCT结果、阴道镜图文描述、病理诊断等级、治疗类型等），设立字段必填率、值域合法性等校验规则；</w:t>
      </w:r>
      <w:r>
        <w:rPr>
          <w:rFonts w:ascii="宋体" w:hAnsi="宋体" w:cs="宋体"/>
          <w:sz w:val="24"/>
          <w:szCs w:val="24"/>
        </w:rPr>
      </w:r>
      <w:r/>
    </w:p>
    <w:p>
      <w:pPr>
        <w:pStyle w:val="1038"/>
      </w:p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其他功能性要求</w:t>
      </w:r>
      <w:r>
        <w:rPr>
          <w:rFonts w:ascii="宋体" w:hAnsi="宋体" w:cs="宋体"/>
          <w:sz w:val="24"/>
          <w:szCs w:val="24"/>
        </w:rPr>
      </w:r>
      <w:r/>
    </w:p>
    <w:p>
      <w:pPr>
        <w:pStyle w:val="1038"/>
        <w:numPr>
          <w:ilvl w:val="0"/>
          <w:numId w:val="51"/>
        </w:numPr>
        <w:spacing w:line="360" w:lineRule="auto"/>
        <w:rPr>
          <w:rFonts w:ascii="宋体" w:hAnsi="宋体" w:cs="宋体"/>
          <w:sz w:val="24"/>
          <w:szCs w:val="24"/>
        </w:rPr>
      </w:pPr>
      <w:r>
        <w:rPr>
          <w:rFonts w:hint="eastAsia" w:ascii="宋体" w:hAnsi="宋体" w:cs="宋体"/>
          <w:sz w:val="24"/>
          <w:szCs w:val="24"/>
        </w:rPr>
        <w:t xml:space="preserve">支持建立统一的数据接入通道；</w:t>
      </w:r>
      <w:r>
        <w:rPr>
          <w:rFonts w:ascii="宋体" w:hAnsi="宋体" w:cs="宋体"/>
          <w:sz w:val="24"/>
          <w:szCs w:val="24"/>
        </w:rPr>
      </w:r>
      <w:r/>
    </w:p>
    <w:p>
      <w:pPr>
        <w:pStyle w:val="1038"/>
        <w:numPr>
          <w:ilvl w:val="0"/>
          <w:numId w:val="51"/>
        </w:numPr>
        <w:spacing w:line="360" w:lineRule="auto"/>
        <w:rPr>
          <w:rFonts w:ascii="宋体" w:hAnsi="宋体" w:cs="宋体"/>
          <w:sz w:val="24"/>
          <w:szCs w:val="24"/>
        </w:rPr>
      </w:pPr>
      <w:r>
        <w:rPr>
          <w:rFonts w:hint="eastAsia" w:ascii="宋体" w:hAnsi="宋体" w:cs="宋体"/>
          <w:sz w:val="24"/>
          <w:szCs w:val="24"/>
        </w:rPr>
        <w:t xml:space="preserve">支持对接HIS、EMR、LIS、PACS、随访系统等多种数据源；</w:t>
      </w:r>
      <w:r>
        <w:rPr>
          <w:rFonts w:ascii="宋体" w:hAnsi="宋体" w:cs="宋体"/>
          <w:sz w:val="24"/>
          <w:szCs w:val="24"/>
        </w:rPr>
      </w:r>
      <w:r/>
    </w:p>
    <w:p>
      <w:pPr>
        <w:pStyle w:val="1038"/>
        <w:numPr>
          <w:ilvl w:val="0"/>
          <w:numId w:val="51"/>
        </w:numPr>
        <w:spacing w:line="360" w:lineRule="auto"/>
        <w:rPr>
          <w:rFonts w:ascii="宋体" w:hAnsi="宋体" w:cs="宋体"/>
          <w:sz w:val="24"/>
          <w:szCs w:val="24"/>
        </w:rPr>
      </w:pPr>
      <w:r>
        <w:rPr>
          <w:rFonts w:hint="eastAsia" w:ascii="宋体" w:hAnsi="宋体" w:cs="宋体"/>
          <w:sz w:val="24"/>
          <w:szCs w:val="24"/>
        </w:rPr>
        <w:t xml:space="preserve">支持构建覆盖缺失值补全、重复数据剔除、异常逻辑校验的清洗机制；</w:t>
      </w:r>
      <w:r>
        <w:rPr>
          <w:rFonts w:ascii="宋体" w:hAnsi="宋体" w:cs="宋体"/>
          <w:sz w:val="24"/>
          <w:szCs w:val="24"/>
        </w:rPr>
      </w:r>
      <w:r/>
    </w:p>
    <w:p>
      <w:pPr>
        <w:pStyle w:val="1038"/>
        <w:numPr>
          <w:ilvl w:val="0"/>
          <w:numId w:val="51"/>
        </w:numPr>
        <w:spacing w:line="360" w:lineRule="auto"/>
        <w:rPr>
          <w:rFonts w:ascii="宋体" w:hAnsi="宋体" w:cs="宋体"/>
          <w:sz w:val="24"/>
          <w:szCs w:val="24"/>
        </w:rPr>
      </w:pPr>
      <w:r>
        <w:rPr>
          <w:rFonts w:hint="eastAsia" w:ascii="宋体" w:hAnsi="宋体" w:cs="宋体"/>
          <w:sz w:val="24"/>
          <w:szCs w:val="24"/>
        </w:rPr>
        <w:t xml:space="preserve">支持与医院数据治理平台进行对接，实现质量评估，从完整性、一致性、及时性、准确性等维度为专病数据打分。</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2.2.1.3 专病数据对接</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其他功能性要求</w:t>
      </w:r>
      <w:r>
        <w:rPr>
          <w:rFonts w:ascii="宋体" w:hAnsi="宋体" w:cs="宋体"/>
          <w:sz w:val="24"/>
          <w:szCs w:val="24"/>
        </w:rPr>
      </w:r>
      <w:r/>
    </w:p>
    <w:p>
      <w:pPr>
        <w:pStyle w:val="1038"/>
        <w:numPr>
          <w:ilvl w:val="0"/>
          <w:numId w:val="52"/>
        </w:numPr>
        <w:spacing w:line="360" w:lineRule="auto"/>
        <w:rPr>
          <w:rFonts w:ascii="宋体" w:hAnsi="宋体" w:cs="宋体"/>
          <w:sz w:val="24"/>
          <w:szCs w:val="24"/>
        </w:rPr>
      </w:pPr>
      <w:r>
        <w:rPr>
          <w:rFonts w:hint="eastAsia" w:ascii="宋体" w:hAnsi="宋体" w:cs="宋体"/>
          <w:sz w:val="24"/>
          <w:szCs w:val="24"/>
        </w:rPr>
        <w:t xml:space="preserve">对接包括区域数据中心、CDR、HIS、LIS、手术管理、健康随访在内的第三方系统信息，进行专病的进一步数据汇总与提炼；</w:t>
      </w:r>
      <w:r>
        <w:rPr>
          <w:rFonts w:ascii="宋体" w:hAnsi="宋体" w:cs="宋体"/>
          <w:sz w:val="24"/>
          <w:szCs w:val="24"/>
        </w:rPr>
      </w:r>
      <w:r/>
    </w:p>
    <w:p>
      <w:pPr>
        <w:pStyle w:val="1038"/>
        <w:numPr>
          <w:ilvl w:val="0"/>
          <w:numId w:val="52"/>
        </w:numPr>
        <w:spacing w:line="360" w:lineRule="auto"/>
        <w:rPr>
          <w:rFonts w:ascii="宋体" w:hAnsi="宋体" w:cs="宋体"/>
          <w:sz w:val="24"/>
          <w:szCs w:val="24"/>
        </w:rPr>
      </w:pPr>
      <w:r>
        <w:rPr>
          <w:rFonts w:hint="eastAsia" w:ascii="宋体" w:hAnsi="宋体" w:cs="宋体"/>
          <w:sz w:val="24"/>
          <w:szCs w:val="24"/>
        </w:rPr>
        <w:t xml:space="preserve">支持按照国家和行业标准，统一数据交换格式、字段定义、编码规范；</w:t>
      </w:r>
      <w:r>
        <w:rPr>
          <w:rFonts w:ascii="宋体" w:hAnsi="宋体" w:cs="宋体"/>
          <w:sz w:val="24"/>
          <w:szCs w:val="24"/>
        </w:rPr>
      </w:r>
      <w:r/>
    </w:p>
    <w:p>
      <w:pPr>
        <w:pStyle w:val="1038"/>
        <w:numPr>
          <w:ilvl w:val="0"/>
          <w:numId w:val="52"/>
        </w:numPr>
        <w:spacing w:line="360" w:lineRule="auto"/>
        <w:rPr>
          <w:rFonts w:ascii="宋体" w:hAnsi="宋体" w:cs="宋体"/>
          <w:sz w:val="24"/>
          <w:szCs w:val="24"/>
        </w:rPr>
      </w:pPr>
      <w:r>
        <w:rPr>
          <w:rFonts w:hint="eastAsia" w:ascii="宋体" w:hAnsi="宋体" w:cs="宋体"/>
          <w:sz w:val="24"/>
          <w:szCs w:val="24"/>
        </w:rPr>
        <w:t xml:space="preserve">支持构建统一的数据对接API服务层，实现与院内外业务系统的稳定连接与双向数据同步。</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2.2.1.4 数据检索服务</w:t>
      </w:r>
      <w:r>
        <w:rPr>
          <w:rFonts w:ascii="宋体" w:hAnsi="宋体" w:cs="宋体"/>
        </w:rPr>
      </w:r>
      <w:r/>
    </w:p>
    <w:p>
      <w:pPr>
        <w:pStyle w:val="1038"/>
        <w:numPr>
          <w:ilvl w:val="0"/>
          <w:numId w:val="53"/>
        </w:numPr>
        <w:spacing w:line="360" w:lineRule="auto"/>
        <w:rPr>
          <w:rFonts w:ascii="宋体" w:hAnsi="宋体" w:cs="宋体"/>
          <w:sz w:val="24"/>
          <w:szCs w:val="24"/>
        </w:rPr>
      </w:pPr>
      <w:r>
        <w:rPr>
          <w:rFonts w:hint="eastAsia" w:ascii="宋体" w:hAnsi="宋体" w:cs="宋体"/>
          <w:sz w:val="24"/>
          <w:szCs w:val="24"/>
        </w:rPr>
        <w:t xml:space="preserve">支持基于患者基本信息（姓名、身份证、就诊号）、标签（如“HPV阳性”“TCT ASC-H”）等条件进行个案检索；</w:t>
      </w:r>
      <w:r>
        <w:rPr>
          <w:rFonts w:ascii="宋体" w:hAnsi="宋体" w:cs="宋体"/>
          <w:sz w:val="24"/>
          <w:szCs w:val="24"/>
        </w:rPr>
      </w:r>
      <w:r/>
    </w:p>
    <w:p>
      <w:pPr>
        <w:pStyle w:val="1038"/>
        <w:numPr>
          <w:ilvl w:val="0"/>
          <w:numId w:val="53"/>
        </w:numPr>
        <w:spacing w:line="360" w:lineRule="auto"/>
        <w:rPr>
          <w:rFonts w:ascii="宋体" w:hAnsi="宋体" w:cs="宋体"/>
          <w:sz w:val="24"/>
          <w:szCs w:val="24"/>
        </w:rPr>
      </w:pPr>
      <w:r>
        <w:rPr>
          <w:rFonts w:hint="eastAsia" w:ascii="宋体" w:hAnsi="宋体" w:cs="宋体"/>
          <w:sz w:val="24"/>
          <w:szCs w:val="24"/>
        </w:rPr>
        <w:t xml:space="preserve">支持通过对话方式快速检索对应信息，如输入“提供宫颈癌患者清单”，系统识别用户意图，进行向量检索。提供满足检索要求的患者基础数据，包括脱敏后的患者基本信息、患者年龄、患者性别、患者唯一标识号；</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其他功能性要求</w:t>
      </w:r>
      <w:r>
        <w:rPr>
          <w:rFonts w:ascii="宋体" w:hAnsi="宋体" w:cs="宋体"/>
          <w:sz w:val="24"/>
          <w:szCs w:val="24"/>
        </w:rPr>
      </w:r>
      <w:r/>
    </w:p>
    <w:p>
      <w:pPr>
        <w:pStyle w:val="1038"/>
        <w:numPr>
          <w:ilvl w:val="0"/>
          <w:numId w:val="54"/>
        </w:numPr>
        <w:spacing w:line="360" w:lineRule="auto"/>
        <w:rPr>
          <w:rFonts w:ascii="宋体" w:hAnsi="宋体" w:cs="宋体"/>
          <w:sz w:val="24"/>
          <w:szCs w:val="24"/>
        </w:rPr>
      </w:pPr>
      <w:r>
        <w:rPr>
          <w:rFonts w:hint="eastAsia" w:ascii="宋体" w:hAnsi="宋体" w:cs="宋体"/>
          <w:sz w:val="24"/>
          <w:szCs w:val="24"/>
        </w:rPr>
        <w:t xml:space="preserve">▲支持将专病模型所需字段注册为检索服务项，配置检索索引，实现“即用即调”的字段检索服务化。</w:t>
      </w:r>
      <w:r>
        <w:rPr>
          <w:rFonts w:ascii="宋体" w:hAnsi="宋体" w:cs="宋体"/>
          <w:sz w:val="24"/>
          <w:szCs w:val="24"/>
        </w:rPr>
      </w:r>
      <w:r/>
    </w:p>
    <w:p>
      <w:pPr>
        <w:pStyle w:val="1038"/>
        <w:numPr>
          <w:ilvl w:val="0"/>
          <w:numId w:val="54"/>
        </w:numPr>
        <w:spacing w:line="360" w:lineRule="auto"/>
        <w:rPr>
          <w:rFonts w:ascii="宋体" w:hAnsi="宋体" w:cs="宋体"/>
          <w:sz w:val="24"/>
          <w:szCs w:val="24"/>
        </w:rPr>
      </w:pPr>
      <w:r>
        <w:rPr>
          <w:rFonts w:hint="eastAsia" w:ascii="宋体" w:hAnsi="宋体" w:cs="宋体"/>
          <w:sz w:val="24"/>
          <w:szCs w:val="24"/>
        </w:rPr>
        <w:t xml:space="preserve">支持以“个案ID”为主键，支持围绕主题数据进行统一封装检索，整合来自HIS、随访系统等分散数据，构建一体化检索视图，支撑模型快速加载所需数据上下文。</w:t>
      </w:r>
      <w:r>
        <w:rPr>
          <w:rFonts w:ascii="宋体" w:hAnsi="宋体" w:cs="宋体"/>
          <w:sz w:val="24"/>
          <w:szCs w:val="24"/>
        </w:rPr>
      </w:r>
      <w:r/>
    </w:p>
    <w:p>
      <w:pPr>
        <w:pStyle w:val="1038"/>
        <w:numPr>
          <w:ilvl w:val="0"/>
          <w:numId w:val="54"/>
        </w:numPr>
        <w:spacing w:line="360" w:lineRule="auto"/>
        <w:rPr>
          <w:rFonts w:ascii="宋体" w:hAnsi="宋体" w:cs="宋体"/>
          <w:sz w:val="24"/>
          <w:szCs w:val="24"/>
        </w:rPr>
      </w:pPr>
      <w:r>
        <w:rPr>
          <w:rFonts w:hint="eastAsia" w:ascii="宋体" w:hAnsi="宋体" w:cs="宋体"/>
          <w:sz w:val="24"/>
          <w:szCs w:val="24"/>
        </w:rPr>
        <w:t xml:space="preserve">针对高频调用字段，配置索引加速与本地缓存机制，提升模型执行与页面响应速度。</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2.2.1.5 专病数据应用服务</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智能随访与干预提醒服务</w:t>
      </w:r>
      <w:r>
        <w:rPr>
          <w:rFonts w:ascii="宋体" w:hAnsi="宋体" w:cs="宋体"/>
          <w:sz w:val="24"/>
          <w:szCs w:val="24"/>
        </w:rPr>
      </w:r>
      <w:r/>
    </w:p>
    <w:p>
      <w:pPr>
        <w:pStyle w:val="1038"/>
        <w:numPr>
          <w:ilvl w:val="0"/>
          <w:numId w:val="55"/>
        </w:numPr>
        <w:spacing w:line="360" w:lineRule="auto"/>
        <w:rPr>
          <w:rFonts w:ascii="宋体" w:hAnsi="宋体" w:cs="宋体"/>
          <w:sz w:val="24"/>
          <w:szCs w:val="24"/>
        </w:rPr>
      </w:pPr>
      <w:r>
        <w:rPr>
          <w:rFonts w:hint="eastAsia" w:ascii="宋体" w:hAnsi="宋体" w:cs="宋体"/>
          <w:sz w:val="24"/>
          <w:szCs w:val="24"/>
        </w:rPr>
        <w:t xml:space="preserve">支持按照病理级别、治疗方式与随访计划，系统可推送随访任务提醒；</w:t>
      </w:r>
      <w:r>
        <w:rPr>
          <w:rFonts w:ascii="宋体" w:hAnsi="宋体" w:cs="宋体"/>
          <w:sz w:val="24"/>
          <w:szCs w:val="24"/>
        </w:rPr>
      </w:r>
      <w:r/>
    </w:p>
    <w:p>
      <w:pPr>
        <w:pStyle w:val="1038"/>
        <w:numPr>
          <w:ilvl w:val="0"/>
          <w:numId w:val="55"/>
        </w:numPr>
        <w:spacing w:line="360" w:lineRule="auto"/>
        <w:rPr>
          <w:rFonts w:ascii="宋体" w:hAnsi="宋体" w:cs="宋体"/>
          <w:sz w:val="24"/>
          <w:szCs w:val="24"/>
        </w:rPr>
      </w:pPr>
      <w:r>
        <w:rPr>
          <w:rFonts w:hint="eastAsia" w:ascii="宋体" w:hAnsi="宋体" w:cs="宋体"/>
          <w:sz w:val="24"/>
          <w:szCs w:val="24"/>
        </w:rPr>
        <w:t xml:space="preserve">支持短信、微信、APP通知等多渠道触达患者或医生，内容可包括检查时间、注意事项、地点指引等，提升随访及时率与到诊率。</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个案宣教内容推送与记录</w:t>
      </w:r>
      <w:r>
        <w:rPr>
          <w:rFonts w:ascii="宋体" w:hAnsi="宋体" w:cs="宋体"/>
          <w:sz w:val="24"/>
          <w:szCs w:val="24"/>
        </w:rPr>
      </w:r>
      <w:r/>
    </w:p>
    <w:p>
      <w:pPr>
        <w:pStyle w:val="1038"/>
        <w:numPr>
          <w:ilvl w:val="0"/>
          <w:numId w:val="56"/>
        </w:numPr>
        <w:spacing w:line="360" w:lineRule="auto"/>
        <w:rPr>
          <w:rFonts w:ascii="宋体" w:hAnsi="宋体" w:cs="宋体"/>
          <w:sz w:val="24"/>
          <w:szCs w:val="24"/>
        </w:rPr>
      </w:pPr>
      <w:r>
        <w:rPr>
          <w:rFonts w:hint="eastAsia" w:ascii="宋体" w:hAnsi="宋体" w:cs="宋体"/>
          <w:sz w:val="24"/>
          <w:szCs w:val="24"/>
        </w:rPr>
        <w:t xml:space="preserve">支持根据个体状态（如“HPV阳性”“CIN”），自动推送匹配的宣教视频、图文资料；</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多角色服务协同机制</w:t>
      </w:r>
      <w:r>
        <w:rPr>
          <w:rFonts w:ascii="宋体" w:hAnsi="宋体" w:cs="宋体"/>
          <w:sz w:val="24"/>
          <w:szCs w:val="24"/>
        </w:rPr>
      </w:r>
      <w:r/>
    </w:p>
    <w:p>
      <w:pPr>
        <w:pStyle w:val="1038"/>
        <w:numPr>
          <w:ilvl w:val="0"/>
          <w:numId w:val="57"/>
        </w:numPr>
        <w:spacing w:line="360" w:lineRule="auto"/>
        <w:rPr>
          <w:rFonts w:ascii="宋体" w:hAnsi="宋体" w:cs="宋体"/>
          <w:sz w:val="24"/>
          <w:szCs w:val="24"/>
        </w:rPr>
      </w:pPr>
      <w:r>
        <w:rPr>
          <w:rFonts w:hint="eastAsia" w:ascii="宋体" w:hAnsi="宋体" w:cs="宋体"/>
          <w:sz w:val="24"/>
          <w:szCs w:val="24"/>
        </w:rPr>
        <w:t xml:space="preserve">支持对不同角色推送提醒待办，如医务人员、健康管理人员、公共卫生人员等多角色协同处理模型输出个案，医生审核诊断与治疗计划，公共卫生人员推动随访与动员，形成跨团队闭环机制。</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2.2.1.6 高危因素与专项筛查管理</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高危因素结构化采集与评估</w:t>
      </w:r>
      <w:r>
        <w:rPr>
          <w:rFonts w:ascii="宋体" w:hAnsi="宋体" w:cs="宋体"/>
          <w:sz w:val="24"/>
          <w:szCs w:val="24"/>
        </w:rPr>
      </w:r>
      <w:r/>
    </w:p>
    <w:p>
      <w:pPr>
        <w:pStyle w:val="1038"/>
        <w:numPr>
          <w:ilvl w:val="0"/>
          <w:numId w:val="58"/>
        </w:numPr>
        <w:spacing w:line="360" w:lineRule="auto"/>
        <w:rPr>
          <w:rFonts w:ascii="宋体" w:hAnsi="宋体" w:cs="宋体"/>
          <w:sz w:val="24"/>
          <w:szCs w:val="24"/>
        </w:rPr>
      </w:pPr>
      <w:r>
        <w:rPr>
          <w:rFonts w:hint="eastAsia" w:ascii="宋体" w:hAnsi="宋体" w:cs="宋体"/>
          <w:sz w:val="24"/>
          <w:szCs w:val="24"/>
        </w:rPr>
        <w:t xml:space="preserve">支持对HPV感染史（分型+持续感染）、首次性生活年龄、性伴侣数量、生育史、避孕方式、吸烟习惯、免疫抑制状态等高危因素进行标准化录入；</w:t>
      </w:r>
      <w:r>
        <w:rPr>
          <w:rFonts w:ascii="宋体" w:hAnsi="宋体" w:cs="宋体"/>
          <w:sz w:val="24"/>
          <w:szCs w:val="24"/>
        </w:rPr>
      </w:r>
      <w:r/>
    </w:p>
    <w:p>
      <w:pPr>
        <w:pStyle w:val="1038"/>
        <w:numPr>
          <w:ilvl w:val="0"/>
          <w:numId w:val="58"/>
        </w:numPr>
        <w:spacing w:line="360" w:lineRule="auto"/>
        <w:rPr>
          <w:rFonts w:ascii="宋体" w:hAnsi="宋体" w:cs="宋体"/>
          <w:sz w:val="24"/>
          <w:szCs w:val="24"/>
        </w:rPr>
      </w:pPr>
      <w:r>
        <w:rPr>
          <w:rFonts w:hint="eastAsia" w:ascii="宋体" w:hAnsi="宋体" w:cs="宋体"/>
          <w:sz w:val="24"/>
          <w:szCs w:val="24"/>
        </w:rPr>
        <w:t xml:space="preserve">支持内置风险评分模型评估个案宫颈癌发病风险，并打标“高危”标签。</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筛查结果结构化记录与预警</w:t>
      </w:r>
      <w:r>
        <w:rPr>
          <w:rFonts w:ascii="宋体" w:hAnsi="宋体" w:cs="宋体"/>
          <w:sz w:val="24"/>
          <w:szCs w:val="24"/>
        </w:rPr>
      </w:r>
      <w:r/>
    </w:p>
    <w:p>
      <w:pPr>
        <w:pStyle w:val="1038"/>
        <w:numPr>
          <w:ilvl w:val="0"/>
          <w:numId w:val="59"/>
        </w:numPr>
        <w:spacing w:line="360" w:lineRule="auto"/>
        <w:rPr>
          <w:rFonts w:ascii="宋体" w:hAnsi="宋体" w:cs="宋体"/>
          <w:sz w:val="24"/>
          <w:szCs w:val="24"/>
        </w:rPr>
      </w:pPr>
      <w:r>
        <w:rPr>
          <w:rFonts w:hint="eastAsia" w:ascii="宋体" w:hAnsi="宋体" w:cs="宋体"/>
          <w:sz w:val="24"/>
          <w:szCs w:val="24"/>
        </w:rPr>
        <w:t xml:space="preserve">支持自动接入已有数据并人工录入其他筛查结果；</w:t>
      </w:r>
      <w:r>
        <w:rPr>
          <w:rFonts w:ascii="宋体" w:hAnsi="宋体" w:cs="宋体"/>
          <w:sz w:val="24"/>
          <w:szCs w:val="24"/>
        </w:rPr>
      </w:r>
      <w:r/>
    </w:p>
    <w:p>
      <w:pPr>
        <w:pStyle w:val="1038"/>
        <w:numPr>
          <w:ilvl w:val="0"/>
          <w:numId w:val="59"/>
        </w:numPr>
        <w:spacing w:line="360" w:lineRule="auto"/>
        <w:rPr>
          <w:rFonts w:ascii="宋体" w:hAnsi="宋体" w:cs="宋体"/>
          <w:sz w:val="24"/>
          <w:szCs w:val="24"/>
        </w:rPr>
      </w:pPr>
      <w:r>
        <w:rPr>
          <w:rFonts w:hint="eastAsia" w:ascii="宋体" w:hAnsi="宋体" w:cs="宋体"/>
          <w:sz w:val="24"/>
          <w:szCs w:val="24"/>
        </w:rPr>
        <w:t xml:space="preserve">支持依据模型规则自动标记异常结果，发起预警并联动后续检查任务。</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异常结果的分级处理机制</w:t>
      </w:r>
      <w:r>
        <w:rPr>
          <w:rFonts w:ascii="宋体" w:hAnsi="宋体" w:cs="宋体"/>
          <w:sz w:val="24"/>
          <w:szCs w:val="24"/>
        </w:rPr>
      </w:r>
      <w:r/>
    </w:p>
    <w:p>
      <w:pPr>
        <w:pStyle w:val="1038"/>
        <w:numPr>
          <w:ilvl w:val="0"/>
          <w:numId w:val="60"/>
        </w:numPr>
        <w:spacing w:line="360" w:lineRule="auto"/>
        <w:rPr>
          <w:rFonts w:ascii="宋体" w:hAnsi="宋体" w:cs="宋体"/>
          <w:sz w:val="24"/>
          <w:szCs w:val="24"/>
        </w:rPr>
      </w:pPr>
      <w:r>
        <w:rPr>
          <w:rFonts w:hint="eastAsia" w:ascii="宋体" w:hAnsi="宋体" w:cs="宋体"/>
          <w:sz w:val="24"/>
          <w:szCs w:val="24"/>
        </w:rPr>
        <w:t xml:space="preserve">支持针对筛查异常结果，平台依据严重程度自动分级管理（如强阳性、待复查、需立即转诊等），</w:t>
      </w:r>
      <w:r>
        <w:rPr>
          <w:rFonts w:ascii="宋体" w:hAnsi="宋体" w:cs="宋体"/>
          <w:sz w:val="24"/>
          <w:szCs w:val="24"/>
        </w:rPr>
      </w:r>
      <w:r/>
    </w:p>
    <w:p>
      <w:pPr>
        <w:pStyle w:val="1038"/>
        <w:numPr>
          <w:ilvl w:val="0"/>
          <w:numId w:val="60"/>
        </w:numPr>
        <w:spacing w:line="360" w:lineRule="auto"/>
        <w:rPr>
          <w:rFonts w:ascii="宋体" w:hAnsi="宋体" w:cs="宋体"/>
          <w:sz w:val="24"/>
          <w:szCs w:val="24"/>
        </w:rPr>
      </w:pPr>
      <w:r>
        <w:rPr>
          <w:rFonts w:hint="eastAsia" w:ascii="宋体" w:hAnsi="宋体" w:cs="宋体"/>
          <w:sz w:val="24"/>
          <w:szCs w:val="24"/>
        </w:rPr>
        <w:t xml:space="preserve">支持配置下步处理策略，提升管理响应速度与科学性。</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2.2.1.7 数据统计与分析</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筛查阶段指标统计分析</w:t>
      </w:r>
      <w:r>
        <w:rPr>
          <w:rFonts w:ascii="宋体" w:hAnsi="宋体" w:cs="宋体"/>
          <w:sz w:val="24"/>
          <w:szCs w:val="24"/>
        </w:rPr>
      </w:r>
      <w:r/>
    </w:p>
    <w:p>
      <w:pPr>
        <w:pStyle w:val="1038"/>
        <w:numPr>
          <w:ilvl w:val="0"/>
          <w:numId w:val="61"/>
        </w:numPr>
        <w:spacing w:line="360" w:lineRule="auto"/>
        <w:rPr>
          <w:rFonts w:ascii="宋体" w:hAnsi="宋体" w:cs="宋体"/>
          <w:sz w:val="24"/>
          <w:szCs w:val="24"/>
        </w:rPr>
      </w:pPr>
      <w:r>
        <w:rPr>
          <w:rFonts w:hint="eastAsia" w:ascii="宋体" w:hAnsi="宋体" w:cs="宋体"/>
          <w:sz w:val="24"/>
          <w:szCs w:val="24"/>
        </w:rPr>
        <w:t xml:space="preserve">▲提供专病库管理首页，展示入筛受试者、入组受试者、表单、访视阶段、病种库患者数、患者病例数；</w:t>
      </w:r>
      <w:r>
        <w:rPr>
          <w:rFonts w:ascii="宋体" w:hAnsi="宋体" w:cs="宋体"/>
          <w:sz w:val="24"/>
          <w:szCs w:val="24"/>
        </w:rPr>
      </w:r>
      <w:r/>
    </w:p>
    <w:p>
      <w:pPr>
        <w:pStyle w:val="1038"/>
        <w:numPr>
          <w:ilvl w:val="0"/>
          <w:numId w:val="61"/>
        </w:numPr>
        <w:spacing w:line="360" w:lineRule="auto"/>
        <w:rPr>
          <w:rFonts w:ascii="宋体" w:hAnsi="宋体" w:cs="宋体"/>
          <w:sz w:val="24"/>
          <w:szCs w:val="24"/>
        </w:rPr>
      </w:pPr>
      <w:r>
        <w:rPr>
          <w:rFonts w:hint="eastAsia" w:ascii="宋体" w:hAnsi="宋体" w:cs="宋体"/>
          <w:sz w:val="24"/>
          <w:szCs w:val="24"/>
        </w:rPr>
        <w:t xml:space="preserve">支持自动统计筛查人群覆盖、筛查依从、HPV阳性率、细胞学异常率等关键前端指标，评估筛查工作的执行广度与阳性发现能力。</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诊断与转诊效果评估</w:t>
      </w:r>
      <w:r>
        <w:rPr>
          <w:rFonts w:ascii="宋体" w:hAnsi="宋体" w:cs="宋体"/>
          <w:sz w:val="24"/>
          <w:szCs w:val="24"/>
        </w:rPr>
      </w:r>
      <w:r/>
    </w:p>
    <w:p>
      <w:pPr>
        <w:pStyle w:val="1038"/>
        <w:numPr>
          <w:ilvl w:val="0"/>
          <w:numId w:val="62"/>
        </w:numPr>
        <w:spacing w:line="360" w:lineRule="auto"/>
        <w:rPr>
          <w:rFonts w:ascii="宋体" w:hAnsi="宋体" w:cs="宋体"/>
          <w:sz w:val="24"/>
          <w:szCs w:val="24"/>
        </w:rPr>
      </w:pPr>
      <w:r>
        <w:rPr>
          <w:rFonts w:hint="eastAsia" w:ascii="宋体" w:hAnsi="宋体" w:cs="宋体"/>
          <w:sz w:val="24"/>
          <w:szCs w:val="24"/>
        </w:rPr>
        <w:t xml:space="preserve">支持统计筛查异常人群中完成阴道镜检查率、转诊及时率、阴道镜异常检出率，反映中间环节的路径推进效率与诊断有效性。</w:t>
      </w:r>
      <w:r>
        <w:rPr>
          <w:rFonts w:ascii="宋体" w:hAnsi="宋体" w:cs="宋体"/>
          <w:sz w:val="24"/>
          <w:szCs w:val="24"/>
        </w:rPr>
      </w:r>
      <w:r/>
    </w:p>
    <w:p>
      <w:pPr>
        <w:pStyle w:val="1038"/>
        <w:numPr>
          <w:ilvl w:val="0"/>
          <w:numId w:val="62"/>
        </w:numPr>
        <w:spacing w:line="360" w:lineRule="auto"/>
        <w:rPr>
          <w:rFonts w:ascii="宋体" w:hAnsi="宋体" w:cs="宋体"/>
          <w:sz w:val="24"/>
          <w:szCs w:val="24"/>
        </w:rPr>
      </w:pPr>
      <w:r>
        <w:rPr>
          <w:rFonts w:hint="eastAsia" w:ascii="宋体" w:hAnsi="宋体" w:cs="宋体"/>
          <w:sz w:val="24"/>
          <w:szCs w:val="24"/>
        </w:rPr>
        <w:t xml:space="preserve">▲提供可配置的图表组件（柱状图、折线图、雷达图、趋势图等）；</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治疗与随访环节分析</w:t>
      </w:r>
      <w:r>
        <w:rPr>
          <w:rFonts w:ascii="宋体" w:hAnsi="宋体" w:cs="宋体"/>
          <w:sz w:val="24"/>
          <w:szCs w:val="24"/>
        </w:rPr>
      </w:r>
      <w:r/>
    </w:p>
    <w:p>
      <w:pPr>
        <w:pStyle w:val="1038"/>
        <w:numPr>
          <w:ilvl w:val="0"/>
          <w:numId w:val="63"/>
        </w:numPr>
        <w:spacing w:line="360" w:lineRule="auto"/>
        <w:rPr>
          <w:rFonts w:ascii="宋体" w:hAnsi="宋体" w:cs="宋体"/>
          <w:sz w:val="24"/>
          <w:szCs w:val="24"/>
        </w:rPr>
      </w:pPr>
      <w:r>
        <w:rPr>
          <w:rFonts w:hint="eastAsia" w:ascii="宋体" w:hAnsi="宋体" w:cs="宋体"/>
          <w:sz w:val="24"/>
          <w:szCs w:val="24"/>
        </w:rPr>
        <w:t xml:space="preserve">支持汇总CIN II</w:t>
      </w:r>
      <w:r>
        <w:rPr>
          <w:rFonts w:ascii="宋体" w:hAnsi="宋体" w:cs="宋体"/>
          <w:sz w:val="24"/>
          <w:szCs w:val="24"/>
        </w:rPr>
        <w:t xml:space="preserve">级</w:t>
      </w:r>
      <w:r>
        <w:rPr>
          <w:rFonts w:hint="eastAsia" w:ascii="宋体" w:hAnsi="宋体" w:cs="宋体"/>
          <w:sz w:val="24"/>
          <w:szCs w:val="24"/>
        </w:rPr>
        <w:t xml:space="preserve">及以上人群中接受治疗比例、治疗方式分析、术后复查完成率、复发监测率，构建完整闭环管理质量评价模型。</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分级分区分析能力</w:t>
      </w:r>
      <w:r>
        <w:rPr>
          <w:rFonts w:ascii="宋体" w:hAnsi="宋体" w:cs="宋体"/>
          <w:sz w:val="24"/>
          <w:szCs w:val="24"/>
        </w:rPr>
      </w:r>
      <w:r/>
    </w:p>
    <w:p>
      <w:pPr>
        <w:pStyle w:val="1038"/>
        <w:ind w:left="845" w:hanging="425"/>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所有指标支持按区域、机构、人群类型（年龄段、风险等级等）分类统计，辅助管理部门识别薄弱环节与重点人群，实现分级管理与资源倾斜。</w:t>
      </w:r>
      <w:r>
        <w:rPr>
          <w:rFonts w:ascii="宋体" w:hAnsi="宋体" w:cs="宋体"/>
          <w:sz w:val="24"/>
          <w:szCs w:val="24"/>
        </w:rPr>
      </w:r>
      <w:r/>
    </w:p>
    <w:p>
      <w:pPr>
        <w:pStyle w:val="1038"/>
        <w:numPr>
          <w:ilvl w:val="2"/>
          <w:numId w:val="5"/>
        </w:numPr>
        <w:ind w:left="0" w:firstLine="0"/>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乳腺癌管理</w:t>
      </w:r>
      <w:r>
        <w:rPr>
          <w:rFonts w:ascii="宋体" w:hAnsi="宋体" w:cs="宋体"/>
          <w:b/>
          <w:bCs/>
          <w:sz w:val="24"/>
          <w:szCs w:val="24"/>
        </w:rPr>
      </w:r>
      <w:r/>
    </w:p>
    <w:p>
      <w:pPr>
        <w:pStyle w:val="1043"/>
        <w:spacing w:before="0" w:after="0" w:line="360" w:lineRule="auto"/>
        <w:rPr>
          <w:rFonts w:ascii="宋体" w:hAnsi="宋体" w:cs="宋体"/>
        </w:rPr>
      </w:pPr>
      <w:r>
        <w:rPr>
          <w:rFonts w:hint="eastAsia" w:ascii="宋体" w:hAnsi="宋体" w:cs="宋体"/>
        </w:rPr>
        <w:t xml:space="preserve">2.2.2.1 专病模型管理</w:t>
      </w:r>
      <w:r>
        <w:rPr>
          <w:rFonts w:ascii="宋体" w:hAnsi="宋体" w:cs="宋体"/>
        </w:rPr>
      </w:r>
      <w:r/>
    </w:p>
    <w:p>
      <w:pPr>
        <w:pStyle w:val="1038"/>
        <w:numPr>
          <w:ilvl w:val="0"/>
          <w:numId w:val="64"/>
        </w:numPr>
        <w:ind w:hanging="5"/>
        <w:spacing w:line="360" w:lineRule="auto"/>
        <w:rPr>
          <w:rFonts w:ascii="宋体" w:hAnsi="宋体" w:cs="宋体"/>
          <w:sz w:val="24"/>
          <w:szCs w:val="24"/>
        </w:rPr>
      </w:pPr>
      <w:r>
        <w:rPr>
          <w:rFonts w:hint="eastAsia" w:ascii="宋体" w:hAnsi="宋体" w:cs="宋体"/>
          <w:sz w:val="24"/>
          <w:szCs w:val="24"/>
        </w:rPr>
        <w:t xml:space="preserve">围绕“乳腺癌”相关数据与研究范围，搭建专病模型体系；</w:t>
      </w:r>
      <w:r>
        <w:rPr>
          <w:rFonts w:ascii="宋体" w:hAnsi="宋体" w:cs="宋体"/>
          <w:sz w:val="24"/>
          <w:szCs w:val="24"/>
        </w:rPr>
      </w:r>
      <w:r/>
    </w:p>
    <w:p>
      <w:pPr>
        <w:pStyle w:val="1038"/>
        <w:numPr>
          <w:ilvl w:val="0"/>
          <w:numId w:val="64"/>
        </w:numPr>
        <w:ind w:hanging="5"/>
        <w:spacing w:line="360" w:lineRule="auto"/>
        <w:rPr>
          <w:rFonts w:ascii="宋体" w:hAnsi="宋体" w:cs="宋体"/>
          <w:sz w:val="24"/>
          <w:szCs w:val="24"/>
        </w:rPr>
      </w:pPr>
      <w:r>
        <w:rPr>
          <w:rFonts w:hint="eastAsia" w:ascii="宋体" w:hAnsi="宋体" w:cs="宋体"/>
          <w:sz w:val="24"/>
          <w:szCs w:val="24"/>
        </w:rPr>
        <w:t xml:space="preserve">其他系统功能参看“</w:t>
      </w:r>
      <w:r>
        <w:rPr>
          <w:rFonts w:hint="eastAsia" w:ascii="宋体" w:hAnsi="宋体" w:cs="宋体"/>
          <w:b/>
          <w:bCs/>
          <w:sz w:val="24"/>
          <w:szCs w:val="24"/>
        </w:rPr>
        <w:t xml:space="preserve">宫颈癌管理</w:t>
      </w:r>
      <w:r>
        <w:rPr>
          <w:rFonts w:hint="eastAsia" w:ascii="宋体" w:hAnsi="宋体" w:cs="宋体"/>
          <w:sz w:val="24"/>
          <w:szCs w:val="24"/>
        </w:rPr>
        <w:t xml:space="preserve">-专病模型管理-其他功能性要求”内功能要求。</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2.2.2.2 专病数据清洗与治理</w:t>
      </w:r>
      <w:r>
        <w:rPr>
          <w:rFonts w:ascii="宋体" w:hAnsi="宋体" w:cs="宋体"/>
        </w:rPr>
      </w:r>
      <w:r/>
    </w:p>
    <w:p>
      <w:pPr>
        <w:pStyle w:val="1038"/>
        <w:ind w:left="845" w:hanging="425"/>
        <w:spacing w:line="360" w:lineRule="auto"/>
        <w:rPr>
          <w:rFonts w:ascii="宋体" w:hAnsi="宋体" w:cs="宋体"/>
          <w:sz w:val="24"/>
          <w:szCs w:val="24"/>
        </w:rPr>
      </w:pPr>
      <w:r>
        <w:rPr>
          <w:rFonts w:hint="eastAsia" w:ascii="宋体" w:hAnsi="宋体" w:cs="宋体"/>
          <w:sz w:val="24"/>
          <w:szCs w:val="24"/>
        </w:rPr>
        <w:t xml:space="preserve">1) 支持针对乳腺癌管理中的重点字段（如BI-RADS分级、钼靶影像描述、超声检查结果、病理诊断等级、治疗类型等），设立字段必填率、值域合法等校验规则；</w:t>
      </w:r>
      <w:r>
        <w:rPr>
          <w:rFonts w:ascii="宋体" w:hAnsi="宋体" w:cs="宋体"/>
          <w:sz w:val="24"/>
          <w:szCs w:val="24"/>
        </w:rPr>
      </w:r>
      <w:r/>
    </w:p>
    <w:p>
      <w:pPr>
        <w:pStyle w:val="1038"/>
        <w:ind w:left="845" w:hanging="425"/>
        <w:spacing w:line="360" w:lineRule="auto"/>
        <w:rPr>
          <w:rFonts w:ascii="宋体" w:hAnsi="宋体" w:cs="宋体"/>
          <w:sz w:val="24"/>
          <w:szCs w:val="24"/>
        </w:rPr>
      </w:pPr>
      <w:r>
        <w:rPr>
          <w:rFonts w:hint="eastAsia" w:ascii="宋体" w:hAnsi="宋体" w:cs="宋体"/>
          <w:sz w:val="24"/>
          <w:szCs w:val="24"/>
        </w:rPr>
        <w:t xml:space="preserve">2) 其他系统功能参看“</w:t>
      </w:r>
      <w:r>
        <w:rPr>
          <w:rFonts w:hint="eastAsia" w:ascii="宋体" w:hAnsi="宋体" w:cs="宋体"/>
          <w:b/>
          <w:bCs/>
          <w:sz w:val="24"/>
          <w:szCs w:val="24"/>
        </w:rPr>
        <w:t xml:space="preserve">宫颈癌管理</w:t>
      </w:r>
      <w:r>
        <w:rPr>
          <w:rFonts w:hint="eastAsia" w:ascii="宋体" w:hAnsi="宋体" w:cs="宋体"/>
          <w:sz w:val="24"/>
          <w:szCs w:val="24"/>
        </w:rPr>
        <w:t xml:space="preserve">-专病数据清洗与治理-其他功能性要求”内功能要求。</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2.2.2.3 专病数据对接</w:t>
      </w:r>
      <w:r>
        <w:rPr>
          <w:rFonts w:ascii="宋体" w:hAnsi="宋体" w:cs="宋体"/>
        </w:rPr>
      </w:r>
      <w:r/>
    </w:p>
    <w:p>
      <w:pPr>
        <w:pStyle w:val="1038"/>
        <w:numPr>
          <w:ilvl w:val="0"/>
          <w:numId w:val="65"/>
        </w:numPr>
        <w:ind w:left="845"/>
        <w:spacing w:line="360" w:lineRule="auto"/>
        <w:rPr>
          <w:rFonts w:ascii="宋体" w:hAnsi="宋体" w:cs="宋体"/>
          <w:sz w:val="24"/>
          <w:szCs w:val="24"/>
        </w:rPr>
      </w:pPr>
      <w:r>
        <w:rPr>
          <w:rFonts w:hint="eastAsia" w:ascii="宋体" w:hAnsi="宋体" w:cs="宋体"/>
          <w:sz w:val="24"/>
          <w:szCs w:val="24"/>
        </w:rPr>
        <w:t xml:space="preserve">围绕乳腺癌管理中的需求对接的系统数据，对接包括区域数据中心、CDR、HIS、LIS、影像管理系统、健康随访在内的第三方系统信息；</w:t>
      </w:r>
      <w:r>
        <w:rPr>
          <w:rFonts w:ascii="宋体" w:hAnsi="宋体" w:cs="宋体"/>
          <w:sz w:val="24"/>
          <w:szCs w:val="24"/>
        </w:rPr>
      </w:r>
      <w:r/>
    </w:p>
    <w:p>
      <w:pPr>
        <w:pStyle w:val="1038"/>
        <w:numPr>
          <w:ilvl w:val="0"/>
          <w:numId w:val="65"/>
        </w:numPr>
        <w:ind w:left="845"/>
        <w:spacing w:line="360" w:lineRule="auto"/>
        <w:rPr>
          <w:rFonts w:ascii="宋体" w:hAnsi="宋体" w:cs="宋体"/>
          <w:sz w:val="24"/>
          <w:szCs w:val="24"/>
        </w:rPr>
      </w:pPr>
      <w:r>
        <w:rPr>
          <w:rFonts w:hint="eastAsia" w:ascii="宋体" w:hAnsi="宋体" w:cs="宋体"/>
          <w:sz w:val="24"/>
          <w:szCs w:val="24"/>
        </w:rPr>
        <w:t xml:space="preserve">其他系统功能参看“</w:t>
      </w:r>
      <w:r>
        <w:rPr>
          <w:rFonts w:hint="eastAsia" w:ascii="宋体" w:hAnsi="宋体" w:cs="宋体"/>
          <w:b/>
          <w:bCs/>
          <w:sz w:val="24"/>
          <w:szCs w:val="24"/>
        </w:rPr>
        <w:t xml:space="preserve">宫颈癌管理</w:t>
      </w:r>
      <w:r>
        <w:rPr>
          <w:rFonts w:hint="eastAsia" w:ascii="宋体" w:hAnsi="宋体" w:cs="宋体"/>
          <w:sz w:val="24"/>
          <w:szCs w:val="24"/>
        </w:rPr>
        <w:t xml:space="preserve">-专病数据对接-其他功能性要求”内功能要求。</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2.2.2.4 数据检索服务</w:t>
      </w:r>
      <w:r>
        <w:rPr>
          <w:rFonts w:ascii="宋体" w:hAnsi="宋体" w:cs="宋体"/>
        </w:rPr>
      </w:r>
      <w:r/>
    </w:p>
    <w:p>
      <w:pPr>
        <w:pStyle w:val="1051"/>
        <w:numPr>
          <w:ilvl w:val="0"/>
          <w:numId w:val="66"/>
        </w:numPr>
        <w:ind w:left="845"/>
        <w:rPr>
          <w:rFonts w:ascii="宋体" w:hAnsi="宋体" w:cs="宋体"/>
          <w:sz w:val="24"/>
          <w:szCs w:val="24"/>
        </w:rPr>
      </w:pPr>
      <w:r>
        <w:rPr>
          <w:rFonts w:hint="eastAsia" w:ascii="宋体" w:hAnsi="宋体" w:cs="宋体"/>
          <w:sz w:val="24"/>
          <w:szCs w:val="24"/>
        </w:rPr>
        <w:t xml:space="preserve">支持基于患者基本信息（姓名、身份证、就诊号）、标签（如“BI-RADS 4”“钼靶异常”）等条件进行个案检索；</w:t>
      </w:r>
      <w:r>
        <w:rPr>
          <w:rFonts w:ascii="宋体" w:hAnsi="宋体" w:cs="宋体"/>
          <w:sz w:val="24"/>
          <w:szCs w:val="24"/>
        </w:rPr>
      </w:r>
      <w:r/>
    </w:p>
    <w:p>
      <w:pPr>
        <w:pStyle w:val="1051"/>
        <w:numPr>
          <w:ilvl w:val="0"/>
          <w:numId w:val="66"/>
        </w:numPr>
        <w:ind w:left="845"/>
        <w:rPr>
          <w:rFonts w:ascii="宋体" w:hAnsi="宋体" w:cs="宋体"/>
          <w:sz w:val="24"/>
          <w:szCs w:val="24"/>
        </w:rPr>
      </w:pPr>
      <w:r>
        <w:rPr>
          <w:rFonts w:hint="eastAsia" w:ascii="宋体" w:hAnsi="宋体" w:cs="宋体"/>
          <w:sz w:val="24"/>
          <w:szCs w:val="24"/>
        </w:rPr>
        <w:t xml:space="preserve">其他系统功能参看“</w:t>
      </w:r>
      <w:r>
        <w:rPr>
          <w:rFonts w:hint="eastAsia" w:ascii="宋体" w:hAnsi="宋体" w:cs="宋体"/>
          <w:b/>
          <w:bCs/>
          <w:sz w:val="24"/>
          <w:szCs w:val="24"/>
        </w:rPr>
        <w:t xml:space="preserve">宫颈癌管理</w:t>
      </w:r>
      <w:r>
        <w:rPr>
          <w:rFonts w:hint="eastAsia" w:ascii="宋体" w:hAnsi="宋体" w:cs="宋体"/>
          <w:sz w:val="24"/>
          <w:szCs w:val="24"/>
        </w:rPr>
        <w:t xml:space="preserve">-数据检索服务-其他功能性要求”内功能要求。</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2.2.2.5 专病数据应用服务</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智能随访与干预提醒服务</w:t>
      </w:r>
      <w:r>
        <w:rPr>
          <w:rFonts w:ascii="宋体" w:hAnsi="宋体" w:cs="宋体"/>
          <w:sz w:val="24"/>
          <w:szCs w:val="24"/>
        </w:rPr>
      </w:r>
      <w:r/>
    </w:p>
    <w:p>
      <w:pPr>
        <w:pStyle w:val="1038"/>
        <w:numPr>
          <w:ilvl w:val="0"/>
          <w:numId w:val="67"/>
        </w:numPr>
        <w:ind w:left="845"/>
        <w:spacing w:line="360" w:lineRule="auto"/>
        <w:rPr>
          <w:rFonts w:ascii="宋体" w:hAnsi="宋体" w:cs="宋体"/>
          <w:sz w:val="24"/>
          <w:szCs w:val="24"/>
        </w:rPr>
      </w:pPr>
      <w:r>
        <w:rPr>
          <w:rFonts w:hint="eastAsia" w:ascii="宋体" w:hAnsi="宋体" w:cs="宋体"/>
          <w:sz w:val="24"/>
          <w:szCs w:val="24"/>
        </w:rPr>
        <w:t xml:space="preserve">支持按照病理级别、治疗方式与随访计划，系统可推送随访任务提醒；</w:t>
      </w:r>
      <w:r>
        <w:rPr>
          <w:rFonts w:ascii="宋体" w:hAnsi="宋体" w:cs="宋体"/>
          <w:sz w:val="24"/>
          <w:szCs w:val="24"/>
        </w:rPr>
      </w:r>
      <w:r/>
    </w:p>
    <w:p>
      <w:pPr>
        <w:pStyle w:val="1038"/>
        <w:numPr>
          <w:ilvl w:val="0"/>
          <w:numId w:val="67"/>
        </w:numPr>
        <w:ind w:left="845"/>
        <w:spacing w:line="360" w:lineRule="auto"/>
        <w:rPr>
          <w:rFonts w:ascii="宋体" w:hAnsi="宋体" w:cs="宋体"/>
          <w:sz w:val="24"/>
          <w:szCs w:val="24"/>
        </w:rPr>
      </w:pPr>
      <w:r>
        <w:rPr>
          <w:rFonts w:hint="eastAsia" w:ascii="宋体" w:hAnsi="宋体" w:cs="宋体"/>
          <w:sz w:val="24"/>
          <w:szCs w:val="24"/>
        </w:rPr>
        <w:t xml:space="preserve">支持短信、微信、APP通知等多渠道触达患者或医生，内容可包括检查时间、注意事项、地点指引等，提升随访及时率与到诊率。</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个案宣教内容推送与记录</w:t>
      </w:r>
      <w:r>
        <w:rPr>
          <w:rFonts w:ascii="宋体" w:hAnsi="宋体" w:cs="宋体"/>
          <w:sz w:val="24"/>
          <w:szCs w:val="24"/>
        </w:rPr>
      </w:r>
      <w:r/>
    </w:p>
    <w:p>
      <w:pPr>
        <w:pStyle w:val="1038"/>
        <w:numPr>
          <w:ilvl w:val="0"/>
          <w:numId w:val="68"/>
        </w:numPr>
        <w:ind w:left="845"/>
        <w:spacing w:line="360" w:lineRule="auto"/>
        <w:rPr>
          <w:rFonts w:ascii="宋体" w:hAnsi="宋体" w:cs="宋体"/>
          <w:sz w:val="24"/>
          <w:szCs w:val="24"/>
        </w:rPr>
      </w:pPr>
      <w:r>
        <w:rPr>
          <w:rFonts w:hint="eastAsia" w:ascii="宋体" w:hAnsi="宋体" w:cs="宋体"/>
          <w:sz w:val="24"/>
          <w:szCs w:val="24"/>
        </w:rPr>
        <w:t xml:space="preserve">支持根据个体状态（如“BI-RADS 4”“乳腺结节”），自动推送匹配的宣教视频、图文资料；</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多角色服务协同机制</w:t>
      </w:r>
      <w:r>
        <w:rPr>
          <w:rFonts w:ascii="宋体" w:hAnsi="宋体" w:cs="宋体"/>
          <w:sz w:val="24"/>
          <w:szCs w:val="24"/>
        </w:rPr>
      </w:r>
      <w:r/>
    </w:p>
    <w:p>
      <w:pPr>
        <w:pStyle w:val="1038"/>
        <w:numPr>
          <w:ilvl w:val="0"/>
          <w:numId w:val="69"/>
        </w:numPr>
        <w:ind w:left="845"/>
        <w:spacing w:line="360" w:lineRule="auto"/>
        <w:rPr>
          <w:rFonts w:ascii="宋体" w:hAnsi="宋体" w:cs="宋体"/>
          <w:sz w:val="24"/>
          <w:szCs w:val="24"/>
        </w:rPr>
      </w:pPr>
      <w:r>
        <w:rPr>
          <w:rFonts w:hint="eastAsia" w:ascii="宋体" w:hAnsi="宋体" w:cs="宋体"/>
          <w:sz w:val="24"/>
          <w:szCs w:val="24"/>
        </w:rPr>
        <w:t xml:space="preserve">支持对不同角色推送提醒待办，如医务人员、健康管理人员、公共卫生人员等多角色协同处理模型输出个案，医生审核诊断与治疗计划，公共卫生人员推动随访与动员，形成跨团队闭环机制。</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2.2.2.6 高危因素与专项筛查管理</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高危因素结构化采集与评估</w:t>
      </w:r>
      <w:r>
        <w:rPr>
          <w:rFonts w:ascii="宋体" w:hAnsi="宋体" w:cs="宋体"/>
          <w:sz w:val="24"/>
          <w:szCs w:val="24"/>
        </w:rPr>
      </w:r>
      <w:r/>
    </w:p>
    <w:p>
      <w:pPr>
        <w:pStyle w:val="1038"/>
        <w:numPr>
          <w:ilvl w:val="0"/>
          <w:numId w:val="70"/>
        </w:numPr>
        <w:ind w:left="845"/>
        <w:spacing w:line="360" w:lineRule="auto"/>
        <w:rPr>
          <w:rFonts w:ascii="宋体" w:hAnsi="宋体" w:cs="宋体"/>
          <w:sz w:val="24"/>
          <w:szCs w:val="24"/>
        </w:rPr>
      </w:pPr>
      <w:r>
        <w:rPr>
          <w:rFonts w:hint="eastAsia" w:ascii="宋体" w:hAnsi="宋体" w:cs="宋体"/>
          <w:sz w:val="24"/>
          <w:szCs w:val="24"/>
        </w:rPr>
        <w:t xml:space="preserve">支持对家族史（一级亲属患乳腺癌）、月经初潮年龄、绝经年龄、生育史、哺乳史、肥胖程度、激素替代治疗史等高危因素进行标准化录入；</w:t>
      </w:r>
      <w:r>
        <w:rPr>
          <w:rFonts w:ascii="宋体" w:hAnsi="宋体" w:cs="宋体"/>
          <w:sz w:val="24"/>
          <w:szCs w:val="24"/>
        </w:rPr>
      </w:r>
      <w:r/>
    </w:p>
    <w:p>
      <w:pPr>
        <w:pStyle w:val="1038"/>
        <w:numPr>
          <w:ilvl w:val="0"/>
          <w:numId w:val="70"/>
        </w:numPr>
        <w:ind w:left="845"/>
        <w:spacing w:line="360" w:lineRule="auto"/>
        <w:rPr>
          <w:rFonts w:ascii="宋体" w:hAnsi="宋体" w:cs="宋体"/>
          <w:sz w:val="24"/>
          <w:szCs w:val="24"/>
        </w:rPr>
      </w:pPr>
      <w:r>
        <w:rPr>
          <w:rFonts w:hint="eastAsia" w:ascii="宋体" w:hAnsi="宋体" w:cs="宋体"/>
          <w:sz w:val="24"/>
          <w:szCs w:val="24"/>
        </w:rPr>
        <w:t xml:space="preserve">支持内置风险评分模型评估个案乳腺癌发病风险，并打标“高危”标签。</w:t>
      </w:r>
      <w:r>
        <w:rPr>
          <w:rFonts w:ascii="宋体" w:hAnsi="宋体" w:cs="宋体"/>
          <w:sz w:val="24"/>
          <w:szCs w:val="24"/>
        </w:rPr>
      </w:r>
      <w:r/>
    </w:p>
    <w:p>
      <w:pPr>
        <w:pStyle w:val="1038"/>
        <w:numPr>
          <w:ilvl w:val="0"/>
          <w:numId w:val="70"/>
        </w:numPr>
        <w:ind w:left="845"/>
        <w:spacing w:line="360" w:lineRule="auto"/>
        <w:rPr>
          <w:rFonts w:ascii="宋体" w:hAnsi="宋体" w:cs="宋体"/>
          <w:sz w:val="24"/>
          <w:szCs w:val="24"/>
        </w:rPr>
      </w:pPr>
      <w:r>
        <w:rPr>
          <w:rFonts w:hint="eastAsia" w:ascii="宋体" w:hAnsi="宋体" w:cs="宋体"/>
          <w:sz w:val="24"/>
          <w:szCs w:val="24"/>
        </w:rPr>
        <w:t xml:space="preserve">自动推荐筛查路径与频次</w:t>
      </w:r>
      <w:r>
        <w:rPr>
          <w:rFonts w:ascii="宋体" w:hAnsi="宋体" w:cs="宋体"/>
          <w:sz w:val="24"/>
          <w:szCs w:val="24"/>
        </w:rPr>
      </w:r>
      <w:r/>
    </w:p>
    <w:p>
      <w:pPr>
        <w:pStyle w:val="1038"/>
        <w:numPr>
          <w:ilvl w:val="0"/>
          <w:numId w:val="70"/>
        </w:numPr>
        <w:ind w:left="845"/>
        <w:spacing w:line="360" w:lineRule="auto"/>
        <w:rPr>
          <w:rFonts w:ascii="宋体" w:hAnsi="宋体" w:cs="宋体"/>
          <w:sz w:val="24"/>
          <w:szCs w:val="24"/>
        </w:rPr>
      </w:pPr>
      <w:r>
        <w:rPr>
          <w:rFonts w:hint="eastAsia" w:ascii="宋体" w:hAnsi="宋体" w:cs="宋体"/>
          <w:sz w:val="24"/>
          <w:szCs w:val="24"/>
        </w:rPr>
        <w:t xml:space="preserve">支持基于模型评估结果、年龄段、病史状态等，系统定制筛查策略（钼靶检查、超声检查、联合筛查），支持设定筛查提醒频次（每年/两年）；</w:t>
      </w:r>
      <w:r>
        <w:rPr>
          <w:rFonts w:ascii="宋体" w:hAnsi="宋体" w:cs="宋体"/>
          <w:sz w:val="24"/>
          <w:szCs w:val="24"/>
        </w:rPr>
      </w:r>
      <w:r/>
    </w:p>
    <w:p>
      <w:pPr>
        <w:pStyle w:val="1038"/>
        <w:numPr>
          <w:ilvl w:val="0"/>
          <w:numId w:val="70"/>
        </w:numPr>
        <w:ind w:left="845"/>
        <w:spacing w:line="360" w:lineRule="auto"/>
        <w:rPr>
          <w:rFonts w:ascii="宋体" w:hAnsi="宋体" w:cs="宋体"/>
          <w:sz w:val="24"/>
          <w:szCs w:val="24"/>
        </w:rPr>
      </w:pPr>
      <w:r>
        <w:rPr>
          <w:rFonts w:hint="eastAsia" w:ascii="宋体" w:hAnsi="宋体" w:cs="宋体"/>
          <w:sz w:val="24"/>
          <w:szCs w:val="24"/>
        </w:rPr>
        <w:t xml:space="preserve">支持生成个性化筛查任务，避免过度或遗漏筛查。</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筛查计划任务管理与提醒</w:t>
      </w:r>
      <w:r>
        <w:rPr>
          <w:rFonts w:ascii="宋体" w:hAnsi="宋体" w:cs="宋体"/>
          <w:sz w:val="24"/>
          <w:szCs w:val="24"/>
        </w:rPr>
      </w:r>
      <w:r/>
    </w:p>
    <w:p>
      <w:pPr>
        <w:pStyle w:val="1038"/>
        <w:numPr>
          <w:ilvl w:val="0"/>
          <w:numId w:val="71"/>
        </w:numPr>
        <w:ind w:left="845"/>
        <w:spacing w:line="360" w:lineRule="auto"/>
        <w:rPr>
          <w:rFonts w:ascii="宋体" w:hAnsi="宋体" w:cs="宋体"/>
          <w:sz w:val="24"/>
          <w:szCs w:val="24"/>
        </w:rPr>
      </w:pPr>
      <w:r>
        <w:rPr>
          <w:rFonts w:hint="eastAsia" w:ascii="宋体" w:hAnsi="宋体" w:cs="宋体"/>
          <w:sz w:val="24"/>
          <w:szCs w:val="24"/>
        </w:rPr>
        <w:t xml:space="preserve">支持对纳入管理的女性用户，系统可按计划生成筛查任务清单，并推送至责任医生或患者本人；</w:t>
      </w:r>
      <w:r>
        <w:rPr>
          <w:rFonts w:ascii="宋体" w:hAnsi="宋体" w:cs="宋体"/>
          <w:sz w:val="24"/>
          <w:szCs w:val="24"/>
        </w:rPr>
      </w:r>
      <w:r/>
    </w:p>
    <w:p>
      <w:pPr>
        <w:pStyle w:val="1038"/>
        <w:numPr>
          <w:ilvl w:val="0"/>
          <w:numId w:val="71"/>
        </w:numPr>
        <w:ind w:left="845"/>
        <w:spacing w:line="360" w:lineRule="auto"/>
        <w:rPr>
          <w:rFonts w:ascii="宋体" w:hAnsi="宋体" w:cs="宋体"/>
          <w:sz w:val="24"/>
          <w:szCs w:val="24"/>
        </w:rPr>
      </w:pPr>
      <w:r>
        <w:rPr>
          <w:rFonts w:hint="eastAsia" w:ascii="宋体" w:hAnsi="宋体" w:cs="宋体"/>
          <w:sz w:val="24"/>
          <w:szCs w:val="24"/>
        </w:rPr>
        <w:t xml:space="preserve">支持短信、微信、院内提醒等方式，提升筛查依从性与覆盖率。</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筛查结果结构化记录与预警</w:t>
      </w:r>
      <w:r>
        <w:rPr>
          <w:rFonts w:ascii="宋体" w:hAnsi="宋体" w:cs="宋体"/>
          <w:sz w:val="24"/>
          <w:szCs w:val="24"/>
        </w:rPr>
      </w:r>
      <w:r/>
    </w:p>
    <w:p>
      <w:pPr>
        <w:pStyle w:val="1038"/>
        <w:numPr>
          <w:ilvl w:val="0"/>
          <w:numId w:val="72"/>
        </w:numPr>
        <w:ind w:left="845"/>
        <w:spacing w:line="360" w:lineRule="auto"/>
        <w:rPr>
          <w:rFonts w:ascii="宋体" w:hAnsi="宋体" w:cs="宋体"/>
          <w:sz w:val="24"/>
          <w:szCs w:val="24"/>
        </w:rPr>
      </w:pPr>
      <w:r>
        <w:rPr>
          <w:rFonts w:hint="eastAsia" w:ascii="宋体" w:hAnsi="宋体" w:cs="宋体"/>
          <w:sz w:val="24"/>
          <w:szCs w:val="24"/>
        </w:rPr>
        <w:t xml:space="preserve">支持自动接入已有数据并人工录入其他筛查结果；</w:t>
      </w:r>
      <w:r>
        <w:rPr>
          <w:rFonts w:ascii="宋体" w:hAnsi="宋体" w:cs="宋体"/>
          <w:sz w:val="24"/>
          <w:szCs w:val="24"/>
        </w:rPr>
      </w:r>
      <w:r/>
    </w:p>
    <w:p>
      <w:pPr>
        <w:pStyle w:val="1038"/>
        <w:numPr>
          <w:ilvl w:val="0"/>
          <w:numId w:val="72"/>
        </w:numPr>
        <w:ind w:left="845"/>
        <w:spacing w:line="360" w:lineRule="auto"/>
        <w:rPr>
          <w:rFonts w:ascii="宋体" w:hAnsi="宋体" w:cs="宋体"/>
          <w:sz w:val="24"/>
          <w:szCs w:val="24"/>
        </w:rPr>
      </w:pPr>
      <w:r>
        <w:rPr>
          <w:rFonts w:hint="eastAsia" w:ascii="宋体" w:hAnsi="宋体" w:cs="宋体"/>
          <w:sz w:val="24"/>
          <w:szCs w:val="24"/>
        </w:rPr>
        <w:t xml:space="preserve">支持依据模型规则自动标记异常结果，发起预警并联动后续检查任务。</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异常结果的分级处理机制</w:t>
      </w:r>
      <w:r>
        <w:rPr>
          <w:rFonts w:ascii="宋体" w:hAnsi="宋体" w:cs="宋体"/>
          <w:sz w:val="24"/>
          <w:szCs w:val="24"/>
        </w:rPr>
      </w:r>
      <w:r/>
    </w:p>
    <w:p>
      <w:pPr>
        <w:pStyle w:val="1038"/>
        <w:numPr>
          <w:ilvl w:val="0"/>
          <w:numId w:val="73"/>
        </w:numPr>
        <w:ind w:left="845"/>
        <w:spacing w:line="360" w:lineRule="auto"/>
        <w:rPr>
          <w:rFonts w:ascii="宋体" w:hAnsi="宋体" w:cs="宋体"/>
          <w:sz w:val="24"/>
          <w:szCs w:val="24"/>
        </w:rPr>
      </w:pPr>
      <w:r>
        <w:rPr>
          <w:rFonts w:hint="eastAsia" w:ascii="宋体" w:hAnsi="宋体" w:cs="宋体"/>
          <w:sz w:val="24"/>
          <w:szCs w:val="24"/>
        </w:rPr>
        <w:t xml:space="preserve">支持针对筛查异常结果，平台依据严重程度自动分级管理（如强阳性、待复查、需立即转诊等）；</w:t>
      </w:r>
      <w:r>
        <w:rPr>
          <w:rFonts w:ascii="宋体" w:hAnsi="宋体" w:cs="宋体"/>
          <w:sz w:val="24"/>
          <w:szCs w:val="24"/>
        </w:rPr>
      </w:r>
      <w:r/>
    </w:p>
    <w:p>
      <w:pPr>
        <w:pStyle w:val="1038"/>
        <w:numPr>
          <w:ilvl w:val="0"/>
          <w:numId w:val="73"/>
        </w:numPr>
        <w:ind w:left="845"/>
        <w:spacing w:line="360" w:lineRule="auto"/>
        <w:rPr>
          <w:rFonts w:ascii="宋体" w:hAnsi="宋体" w:cs="宋体"/>
          <w:sz w:val="24"/>
          <w:szCs w:val="24"/>
        </w:rPr>
      </w:pPr>
      <w:r>
        <w:rPr>
          <w:rFonts w:hint="eastAsia" w:ascii="宋体" w:hAnsi="宋体" w:cs="宋体"/>
          <w:sz w:val="24"/>
          <w:szCs w:val="24"/>
        </w:rPr>
        <w:t xml:space="preserve">支持配置下步处理策略，提升管理响应速度与科学性。</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2.2.2.7 数据统计与分析</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筛查阶段指标统计分析</w:t>
      </w:r>
      <w:r>
        <w:rPr>
          <w:rFonts w:ascii="宋体" w:hAnsi="宋体" w:cs="宋体"/>
          <w:sz w:val="24"/>
          <w:szCs w:val="24"/>
        </w:rPr>
      </w:r>
      <w:r/>
    </w:p>
    <w:p>
      <w:pPr>
        <w:pStyle w:val="1038"/>
        <w:numPr>
          <w:ilvl w:val="0"/>
          <w:numId w:val="74"/>
        </w:numPr>
        <w:ind w:left="845"/>
        <w:spacing w:line="360" w:lineRule="auto"/>
        <w:rPr>
          <w:rFonts w:ascii="宋体" w:hAnsi="宋体" w:cs="宋体"/>
          <w:sz w:val="24"/>
          <w:szCs w:val="24"/>
        </w:rPr>
      </w:pPr>
      <w:r>
        <w:rPr>
          <w:rFonts w:hint="eastAsia" w:ascii="宋体" w:hAnsi="宋体" w:cs="宋体"/>
          <w:sz w:val="24"/>
          <w:szCs w:val="24"/>
        </w:rPr>
        <w:t xml:space="preserve">支持自动统计筛查人群覆盖、筛查依从、BI-RADS异常率、钼靶阳性率等关键前端指标，评估筛查工作的执行广度与阳性发现能力。</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诊断与转诊效果评估</w:t>
      </w:r>
      <w:r>
        <w:rPr>
          <w:rFonts w:ascii="宋体" w:hAnsi="宋体" w:cs="宋体"/>
          <w:sz w:val="24"/>
          <w:szCs w:val="24"/>
        </w:rPr>
      </w:r>
      <w:r/>
    </w:p>
    <w:p>
      <w:pPr>
        <w:pStyle w:val="1038"/>
        <w:numPr>
          <w:ilvl w:val="0"/>
          <w:numId w:val="75"/>
        </w:numPr>
        <w:ind w:left="845"/>
        <w:spacing w:line="360" w:lineRule="auto"/>
        <w:rPr>
          <w:rFonts w:ascii="宋体" w:hAnsi="宋体" w:cs="宋体"/>
          <w:sz w:val="24"/>
          <w:szCs w:val="24"/>
        </w:rPr>
      </w:pPr>
      <w:r>
        <w:rPr>
          <w:rFonts w:hint="eastAsia" w:ascii="宋体" w:hAnsi="宋体" w:cs="宋体"/>
          <w:sz w:val="24"/>
          <w:szCs w:val="24"/>
        </w:rPr>
        <w:t xml:space="preserve">支持统计筛查异常人群中完成超声检查率、转诊及时率、超声异常检出率，反映中间环节的路径推进效率与诊断有效性。</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治疗与随访环节分析</w:t>
      </w:r>
      <w:r>
        <w:rPr>
          <w:rFonts w:ascii="宋体" w:hAnsi="宋体" w:cs="宋体"/>
          <w:sz w:val="24"/>
          <w:szCs w:val="24"/>
        </w:rPr>
      </w:r>
      <w:r/>
    </w:p>
    <w:p>
      <w:pPr>
        <w:pStyle w:val="1038"/>
        <w:numPr>
          <w:ilvl w:val="0"/>
          <w:numId w:val="76"/>
        </w:numPr>
        <w:ind w:left="845"/>
        <w:spacing w:line="360" w:lineRule="auto"/>
        <w:rPr>
          <w:rFonts w:ascii="宋体" w:hAnsi="宋体" w:cs="宋体"/>
          <w:sz w:val="24"/>
          <w:szCs w:val="24"/>
        </w:rPr>
      </w:pPr>
      <w:r>
        <w:rPr>
          <w:rFonts w:hint="eastAsia" w:ascii="宋体" w:hAnsi="宋体" w:cs="宋体"/>
          <w:sz w:val="24"/>
          <w:szCs w:val="24"/>
        </w:rPr>
        <w:t xml:space="preserve">支持汇总乳腺癌确诊人群中接受手术比例、化疗比例、术后复查完成率、复发监测率，构建完整闭环管理质量评价模型。</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分级分区分析能力</w:t>
      </w:r>
      <w:r>
        <w:rPr>
          <w:rFonts w:ascii="宋体" w:hAnsi="宋体" w:cs="宋体"/>
          <w:sz w:val="24"/>
          <w:szCs w:val="24"/>
        </w:rPr>
      </w:r>
      <w:r/>
    </w:p>
    <w:p>
      <w:pPr>
        <w:pStyle w:val="1038"/>
        <w:numPr>
          <w:ilvl w:val="0"/>
          <w:numId w:val="77"/>
        </w:numPr>
        <w:ind w:left="845"/>
        <w:spacing w:line="360" w:lineRule="auto"/>
        <w:rPr>
          <w:rFonts w:ascii="宋体" w:hAnsi="宋体" w:cs="宋体"/>
          <w:sz w:val="24"/>
          <w:szCs w:val="24"/>
        </w:rPr>
      </w:pPr>
      <w:r>
        <w:rPr>
          <w:rFonts w:hint="eastAsia" w:ascii="宋体" w:hAnsi="宋体" w:cs="宋体"/>
          <w:sz w:val="24"/>
          <w:szCs w:val="24"/>
        </w:rPr>
        <w:t xml:space="preserve">所有指标支持按区域、机构、人群类型（年龄段、风险等级等）分类统计，辅助管理部门识别薄弱环节与重点人群，实现分级管理与资源倾斜。</w:t>
      </w:r>
      <w:r>
        <w:rPr>
          <w:rFonts w:ascii="宋体" w:hAnsi="宋体" w:cs="宋体"/>
          <w:sz w:val="24"/>
          <w:szCs w:val="24"/>
        </w:rPr>
      </w:r>
      <w:r/>
    </w:p>
    <w:p>
      <w:pPr>
        <w:pStyle w:val="1042"/>
        <w:rPr>
          <w:rFonts w:ascii="宋体" w:hAnsi="宋体" w:eastAsia="宋体" w:cs="宋体"/>
          <w:sz w:val="24"/>
          <w:szCs w:val="24"/>
        </w:rPr>
      </w:pPr>
      <w:r>
        <w:rPr>
          <w:rFonts w:hint="eastAsia" w:ascii="宋体" w:hAnsi="宋体" w:eastAsia="宋体" w:cs="宋体"/>
          <w:sz w:val="24"/>
          <w:szCs w:val="24"/>
        </w:rPr>
        <w:t xml:space="preserve">2.2.3 危重孕产妇救治管理</w:t>
      </w:r>
      <w:r>
        <w:rPr>
          <w:rFonts w:ascii="宋体" w:hAnsi="宋体" w:eastAsia="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2.2.3</w:t>
      </w:r>
      <w:r>
        <w:rPr>
          <w:rFonts w:ascii="宋体" w:hAnsi="宋体" w:cs="宋体"/>
        </w:rPr>
        <w:t xml:space="preserve">.1 专病模型管理</w:t>
      </w:r>
      <w:r>
        <w:rPr>
          <w:rFonts w:ascii="宋体" w:hAnsi="宋体" w:cs="宋体"/>
        </w:rPr>
      </w:r>
      <w:r/>
    </w:p>
    <w:p>
      <w:pPr>
        <w:pStyle w:val="1038"/>
        <w:numPr>
          <w:ilvl w:val="0"/>
          <w:numId w:val="78"/>
        </w:numPr>
        <w:ind w:left="840" w:hanging="420"/>
        <w:spacing w:line="360" w:lineRule="auto"/>
        <w:rPr>
          <w:rFonts w:ascii="宋体" w:hAnsi="宋体" w:cs="宋体"/>
          <w:sz w:val="24"/>
          <w:szCs w:val="24"/>
        </w:rPr>
      </w:pPr>
      <w:r>
        <w:rPr>
          <w:rFonts w:ascii="宋体" w:hAnsi="宋体" w:cs="宋体"/>
          <w:sz w:val="24"/>
          <w:szCs w:val="24"/>
        </w:rPr>
        <w:t xml:space="preserve">基于医院电子病历（EMR）数据，构建“危重孕产妇”识别模型，支持从产前检查、住院记录、手术记录、护理记录、检验检查报告中自动提取高危因素与危重症诊断；</w:t>
      </w:r>
      <w:r>
        <w:rPr>
          <w:rFonts w:ascii="宋体" w:hAnsi="宋体" w:cs="宋体"/>
          <w:sz w:val="24"/>
          <w:szCs w:val="24"/>
        </w:rPr>
      </w:r>
      <w:r/>
    </w:p>
    <w:p>
      <w:pPr>
        <w:pStyle w:val="1038"/>
        <w:numPr>
          <w:ilvl w:val="0"/>
          <w:numId w:val="78"/>
        </w:numPr>
        <w:ind w:left="840" w:hanging="420"/>
        <w:spacing w:line="360" w:lineRule="auto"/>
        <w:rPr>
          <w:rFonts w:ascii="宋体" w:hAnsi="宋体" w:cs="宋体"/>
          <w:sz w:val="24"/>
          <w:szCs w:val="24"/>
        </w:rPr>
      </w:pPr>
      <w:r>
        <w:rPr>
          <w:rFonts w:ascii="宋体" w:hAnsi="宋体" w:cs="宋体"/>
          <w:sz w:val="24"/>
          <w:szCs w:val="24"/>
        </w:rPr>
        <w:t xml:space="preserve">支持根据《孕产妇妊娠风险评估表》自动识别并标注“橙色”“红色”“紫色”高风险孕产妇，纳入重点管理队列；</w:t>
      </w:r>
      <w:r>
        <w:rPr>
          <w:rFonts w:ascii="宋体" w:hAnsi="宋体" w:cs="宋体"/>
          <w:sz w:val="24"/>
          <w:szCs w:val="24"/>
        </w:rPr>
      </w:r>
      <w:r/>
    </w:p>
    <w:p>
      <w:pPr>
        <w:pStyle w:val="1038"/>
        <w:numPr>
          <w:ilvl w:val="0"/>
          <w:numId w:val="78"/>
        </w:numPr>
        <w:ind w:left="840" w:hanging="420"/>
        <w:spacing w:line="360" w:lineRule="auto"/>
        <w:rPr>
          <w:rFonts w:ascii="宋体" w:hAnsi="宋体" w:cs="宋体"/>
          <w:sz w:val="24"/>
          <w:szCs w:val="24"/>
        </w:rPr>
      </w:pPr>
      <w:r>
        <w:rPr>
          <w:rFonts w:ascii="宋体" w:hAnsi="宋体" w:cs="宋体"/>
          <w:sz w:val="24"/>
          <w:szCs w:val="24"/>
        </w:rPr>
        <w:t xml:space="preserve">支持内置危重孕产妇判定规则库（如产后出血≥1000ml、子痫发作、HELLP综合征、羊水栓塞、DIC、急性心衰等），当病历中出现相关诊断或关键指标异常时，系统自动触发“危重孕产妇”标签；</w:t>
      </w:r>
      <w:r>
        <w:rPr>
          <w:rFonts w:ascii="宋体" w:hAnsi="宋体" w:cs="宋体"/>
          <w:sz w:val="24"/>
          <w:szCs w:val="24"/>
        </w:rPr>
      </w:r>
      <w:r/>
    </w:p>
    <w:p>
      <w:pPr>
        <w:pStyle w:val="1038"/>
        <w:numPr>
          <w:ilvl w:val="0"/>
          <w:numId w:val="78"/>
        </w:numPr>
        <w:ind w:left="840" w:hanging="420"/>
        <w:spacing w:line="360" w:lineRule="auto"/>
        <w:rPr>
          <w:rFonts w:ascii="宋体" w:hAnsi="宋体" w:cs="宋体"/>
          <w:sz w:val="24"/>
          <w:szCs w:val="24"/>
        </w:rPr>
      </w:pPr>
      <w:r>
        <w:rPr>
          <w:rFonts w:ascii="宋体" w:hAnsi="宋体" w:cs="宋体"/>
          <w:sz w:val="24"/>
          <w:szCs w:val="24"/>
        </w:rPr>
        <w:t xml:space="preserve">支持模型规则可配置、可扩展，便于医院根据临床路径和质控要求动态调整。</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2.2.3</w:t>
      </w:r>
      <w:r>
        <w:rPr>
          <w:rFonts w:ascii="宋体" w:hAnsi="宋体" w:cs="宋体"/>
        </w:rPr>
        <w:t xml:space="preserve">.2 专病数据清洗与治理</w:t>
      </w:r>
      <w:r>
        <w:rPr>
          <w:rFonts w:ascii="宋体" w:hAnsi="宋体" w:cs="宋体"/>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支持对以下关键字段进行数据质控与逻辑校验：</w:t>
      </w:r>
      <w:r>
        <w:rPr>
          <w:rFonts w:ascii="宋体" w:hAnsi="宋体" w:cs="宋体"/>
          <w:sz w:val="24"/>
          <w:szCs w:val="24"/>
        </w:rPr>
      </w:r>
      <w:r/>
    </w:p>
    <w:p>
      <w:pPr>
        <w:pStyle w:val="1038"/>
        <w:ind w:left="42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妊娠风险评估等级（是否完成评估、等级是否合理）</w:t>
      </w:r>
      <w:r>
        <w:rPr>
          <w:rFonts w:hint="eastAsia" w:ascii="宋体" w:hAnsi="宋体" w:cs="宋体"/>
          <w:sz w:val="24"/>
          <w:szCs w:val="24"/>
        </w:rPr>
        <w:t xml:space="preserve">2）</w:t>
      </w:r>
      <w:r>
        <w:rPr>
          <w:rFonts w:ascii="宋体" w:hAnsi="宋体" w:cs="宋体"/>
          <w:sz w:val="24"/>
          <w:szCs w:val="24"/>
        </w:rPr>
        <w:t xml:space="preserve">危重症诊断名称与时间（是否规范填写）</w:t>
      </w:r>
      <w:r>
        <w:rPr>
          <w:rFonts w:hint="eastAsia" w:ascii="宋体" w:hAnsi="宋体" w:cs="宋体"/>
          <w:sz w:val="24"/>
          <w:szCs w:val="24"/>
        </w:rPr>
        <w:t xml:space="preserve">3）</w:t>
      </w:r>
      <w:r>
        <w:rPr>
          <w:rFonts w:ascii="宋体" w:hAnsi="宋体" w:cs="宋体"/>
          <w:sz w:val="24"/>
          <w:szCs w:val="24"/>
        </w:rPr>
        <w:t xml:space="preserve">出血量记录（是否≥500ml或≥1000ml）</w:t>
      </w:r>
      <w:r>
        <w:rPr>
          <w:rFonts w:hint="eastAsia" w:ascii="宋体" w:hAnsi="宋体" w:cs="宋体"/>
          <w:sz w:val="24"/>
          <w:szCs w:val="24"/>
        </w:rPr>
        <w:t xml:space="preserve">4）</w:t>
      </w:r>
      <w:r>
        <w:rPr>
          <w:rFonts w:ascii="宋体" w:hAnsi="宋体" w:cs="宋体"/>
          <w:sz w:val="24"/>
          <w:szCs w:val="24"/>
        </w:rPr>
        <w:t xml:space="preserve">DDI时间（决定手术至胎儿娩出）</w:t>
      </w:r>
      <w:r>
        <w:rPr>
          <w:rFonts w:hint="eastAsia" w:ascii="宋体" w:hAnsi="宋体" w:cs="宋体"/>
          <w:sz w:val="24"/>
          <w:szCs w:val="24"/>
        </w:rPr>
        <w:t xml:space="preserve">5）</w:t>
      </w:r>
      <w:r>
        <w:rPr>
          <w:rFonts w:ascii="宋体" w:hAnsi="宋体" w:cs="宋体"/>
          <w:sz w:val="24"/>
          <w:szCs w:val="24"/>
        </w:rPr>
        <w:t xml:space="preserve">紧急用血申请与输注时间</w:t>
      </w:r>
      <w:r>
        <w:rPr>
          <w:rFonts w:hint="eastAsia" w:ascii="宋体" w:hAnsi="宋体" w:cs="宋体"/>
          <w:sz w:val="24"/>
          <w:szCs w:val="24"/>
        </w:rPr>
        <w:t xml:space="preserve">6）</w:t>
      </w:r>
      <w:r>
        <w:rPr>
          <w:rFonts w:ascii="宋体" w:hAnsi="宋体" w:cs="宋体"/>
          <w:sz w:val="24"/>
          <w:szCs w:val="24"/>
        </w:rPr>
        <w:t xml:space="preserve">快速反应团队（RRT）呼叫与到位时间</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支持设置必填项提醒、值域校验（如出血量不能为负数）、时间逻辑校验（如“胎儿娩出时间”不能早于“决定手术时间”），异常数据自动预警并提示补录；</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其他系统功能参看“群体保健管理-专病数据清洗与治理”内功能要求。</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2.2.3</w:t>
      </w:r>
      <w:r>
        <w:rPr>
          <w:rFonts w:ascii="宋体" w:hAnsi="宋体" w:cs="宋体"/>
        </w:rPr>
        <w:t xml:space="preserve">.3 专病数据对接</w:t>
      </w:r>
      <w:r>
        <w:rPr>
          <w:rFonts w:ascii="宋体" w:hAnsi="宋体" w:cs="宋体"/>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对接医院HIS、EMR、LIS、PACS、手术麻醉系统、血库管理系统、护理系统、产科病历系统，实现危重孕产妇相关数据的自动采集；</w:t>
      </w:r>
      <w:r>
        <w:rPr>
          <w:rFonts w:ascii="宋体" w:hAnsi="宋体" w:cs="宋体"/>
          <w:sz w:val="24"/>
          <w:szCs w:val="24"/>
        </w:rPr>
      </w:r>
      <w:r/>
    </w:p>
    <w:p>
      <w:pPr>
        <w:pStyle w:val="1038"/>
        <w:numPr>
          <w:ilvl w:val="0"/>
          <w:numId w:val="79"/>
        </w:numPr>
        <w:ind w:left="420"/>
        <w:spacing w:line="360" w:lineRule="auto"/>
        <w:rPr>
          <w:rFonts w:ascii="宋体" w:hAnsi="宋体" w:cs="宋体"/>
          <w:sz w:val="24"/>
          <w:szCs w:val="24"/>
        </w:rPr>
      </w:pPr>
      <w:r>
        <w:rPr>
          <w:rFonts w:ascii="宋体" w:hAnsi="宋体" w:cs="宋体"/>
          <w:sz w:val="24"/>
          <w:szCs w:val="24"/>
        </w:rPr>
        <w:t xml:space="preserve">支持从EMR中自动提取：</w:t>
      </w:r>
      <w:r>
        <w:rPr>
          <w:rFonts w:hint="eastAsia" w:ascii="宋体" w:hAnsi="宋体" w:cs="宋体"/>
          <w:sz w:val="24"/>
          <w:szCs w:val="24"/>
        </w:rPr>
        <w:t xml:space="preserve">1）</w:t>
      </w:r>
      <w:r>
        <w:rPr>
          <w:rFonts w:ascii="宋体" w:hAnsi="宋体" w:cs="宋体"/>
          <w:sz w:val="24"/>
          <w:szCs w:val="24"/>
        </w:rPr>
        <w:t xml:space="preserve">高危因素（高龄、疤痕子宫、妊娠期高血压、糖尿病等）</w:t>
      </w:r>
      <w:r>
        <w:rPr>
          <w:rFonts w:hint="eastAsia" w:ascii="宋体" w:hAnsi="宋体" w:cs="宋体"/>
          <w:sz w:val="24"/>
          <w:szCs w:val="24"/>
        </w:rPr>
        <w:t xml:space="preserve">2）</w:t>
      </w:r>
      <w:r>
        <w:rPr>
          <w:rFonts w:ascii="宋体" w:hAnsi="宋体" w:cs="宋体"/>
          <w:sz w:val="24"/>
          <w:szCs w:val="24"/>
        </w:rPr>
        <w:t xml:space="preserve">危重症诊断与抢救记录</w:t>
      </w:r>
      <w:r>
        <w:rPr>
          <w:rFonts w:hint="eastAsia" w:ascii="宋体" w:hAnsi="宋体" w:cs="宋体"/>
          <w:sz w:val="24"/>
          <w:szCs w:val="24"/>
        </w:rPr>
        <w:t xml:space="preserve">3）</w:t>
      </w:r>
      <w:r>
        <w:rPr>
          <w:rFonts w:ascii="宋体" w:hAnsi="宋体" w:cs="宋体"/>
          <w:sz w:val="24"/>
          <w:szCs w:val="24"/>
        </w:rPr>
        <w:t xml:space="preserve">手术记录（含剖宫产类型、出血量、手术时长）</w:t>
      </w:r>
      <w:r>
        <w:rPr>
          <w:rFonts w:hint="eastAsia" w:ascii="宋体" w:hAnsi="宋体" w:cs="宋体"/>
          <w:sz w:val="24"/>
          <w:szCs w:val="24"/>
        </w:rPr>
        <w:t xml:space="preserve">4）</w:t>
      </w:r>
      <w:r>
        <w:rPr>
          <w:rFonts w:ascii="宋体" w:hAnsi="宋体" w:cs="宋体"/>
          <w:sz w:val="24"/>
          <w:szCs w:val="24"/>
        </w:rPr>
        <w:t xml:space="preserve">输血记录（血液品种、数量、输注时间）</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支持与血库系统对接，实现“紧急用血申请→血站响应→血液到位”全过程时间记录；</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支持与院内调度系统对接，记录急救车辆、多学科会诊（MDT）响应时间。</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2.2.3</w:t>
      </w:r>
      <w:r>
        <w:rPr>
          <w:rFonts w:ascii="宋体" w:hAnsi="宋体" w:cs="宋体"/>
        </w:rPr>
        <w:t xml:space="preserve">.4 数据检索服务</w:t>
      </w:r>
      <w:r>
        <w:rPr>
          <w:rFonts w:ascii="宋体" w:hAnsi="宋体" w:cs="宋体"/>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支持基于患者基本信息（姓名、住院号）、标签（如“红色预警”“产后出血≥1000ml”“DDI&gt;30min”“紧急用血超时”）进行个案检索；</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支持通过自然语言查询，如输入“查找近1个月DDI时间超过30分钟的剖宫产病例”，系统自动识别意图并返回符合条件的病例清单及关键时间节点；</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支持“未完成高危孕产妇评估”“外院转入未标记”等场景化查询；</w:t>
      </w:r>
      <w:r>
        <w:rPr>
          <w:rFonts w:ascii="宋体" w:hAnsi="宋体" w:cs="宋体"/>
          <w:sz w:val="24"/>
          <w:szCs w:val="24"/>
        </w:rPr>
      </w:r>
      <w:r/>
    </w:p>
    <w:p>
      <w:pPr>
        <w:pStyle w:val="1038"/>
        <w:numPr>
          <w:ilvl w:val="0"/>
          <w:numId w:val="79"/>
        </w:numPr>
        <w:ind w:left="-420" w:firstLine="420"/>
        <w:spacing w:line="360" w:lineRule="auto"/>
      </w:pPr>
      <w:r>
        <w:rPr>
          <w:rFonts w:ascii="宋体" w:hAnsi="宋体" w:cs="宋体"/>
          <w:sz w:val="24"/>
          <w:szCs w:val="24"/>
        </w:rPr>
        <w:t xml:space="preserve">其他系统功能参看“群体保健管理-数据检索服务”内功能要求。</w:t>
      </w:r>
      <w:r/>
    </w:p>
    <w:p>
      <w:pPr>
        <w:pStyle w:val="1043"/>
        <w:spacing w:before="0" w:after="0" w:line="360" w:lineRule="auto"/>
        <w:rPr>
          <w:rFonts w:ascii="宋体" w:hAnsi="宋体" w:cs="宋体"/>
        </w:rPr>
      </w:pPr>
      <w:r>
        <w:rPr>
          <w:rFonts w:hint="eastAsia" w:ascii="宋体" w:hAnsi="宋体" w:cs="宋体"/>
        </w:rPr>
        <w:t xml:space="preserve">2.2.3</w:t>
      </w:r>
      <w:r>
        <w:rPr>
          <w:rFonts w:ascii="宋体" w:hAnsi="宋体" w:cs="宋体"/>
        </w:rPr>
        <w:t xml:space="preserve">.5 专病数据应用服务</w:t>
      </w:r>
      <w:r>
        <w:rPr>
          <w:rFonts w:ascii="宋体" w:hAnsi="宋体" w:cs="宋体"/>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智能预警与快速响应</w:t>
      </w:r>
      <w:r>
        <w:rPr>
          <w:rFonts w:ascii="宋体" w:hAnsi="宋体" w:cs="宋体"/>
          <w:sz w:val="24"/>
          <w:szCs w:val="24"/>
        </w:rPr>
      </w:r>
      <w:r/>
    </w:p>
    <w:p>
      <w:pPr>
        <w:pStyle w:val="1052"/>
        <w:numPr>
          <w:ilvl w:val="0"/>
          <w:numId w:val="80"/>
        </w:numPr>
        <w:ind w:left="845"/>
        <w:rPr>
          <w:rFonts w:ascii="宋体" w:hAnsi="宋体" w:cs="宋体"/>
          <w:sz w:val="24"/>
          <w:szCs w:val="24"/>
        </w:rPr>
      </w:pPr>
      <w:r>
        <w:rPr>
          <w:rFonts w:ascii="宋体" w:hAnsi="宋体" w:cs="宋体"/>
          <w:sz w:val="24"/>
          <w:szCs w:val="24"/>
        </w:rPr>
        <w:t xml:space="preserve">当系统识别孕产妇风险升级为“橙色”及以上，或出现危重症诊断时，自动触发预警，推送至主管医生、产科主任、</w:t>
      </w:r>
      <w:r>
        <w:rPr>
          <w:rFonts w:hint="eastAsia" w:ascii="宋体" w:hAnsi="宋体" w:cs="宋体"/>
          <w:sz w:val="24"/>
          <w:szCs w:val="24"/>
        </w:rPr>
        <w:t xml:space="preserve">医务处</w:t>
      </w:r>
      <w:r>
        <w:rPr>
          <w:rFonts w:ascii="宋体" w:hAnsi="宋体" w:cs="宋体"/>
          <w:sz w:val="24"/>
          <w:szCs w:val="24"/>
        </w:rPr>
        <w:t xml:space="preserve">及产科安全管理办公室；</w:t>
      </w:r>
      <w:r>
        <w:rPr>
          <w:rFonts w:ascii="宋体" w:hAnsi="宋体" w:cs="宋体"/>
          <w:sz w:val="24"/>
          <w:szCs w:val="24"/>
        </w:rPr>
      </w:r>
      <w:r/>
    </w:p>
    <w:p>
      <w:pPr>
        <w:pStyle w:val="1052"/>
        <w:numPr>
          <w:ilvl w:val="0"/>
          <w:numId w:val="80"/>
        </w:numPr>
        <w:ind w:left="845"/>
        <w:rPr>
          <w:rFonts w:ascii="宋体" w:hAnsi="宋体" w:cs="宋体"/>
          <w:sz w:val="24"/>
          <w:szCs w:val="24"/>
        </w:rPr>
      </w:pPr>
      <w:r>
        <w:rPr>
          <w:rFonts w:ascii="宋体" w:hAnsi="宋体" w:cs="宋体"/>
          <w:sz w:val="24"/>
          <w:szCs w:val="24"/>
        </w:rPr>
        <w:t xml:space="preserve">支持“快速反应团队（RRT）”一键呼叫功能，系统自动记录呼叫时间，并支持人工录入团队到位时间，计算响应时长；</w:t>
      </w:r>
      <w:r>
        <w:rPr>
          <w:rFonts w:ascii="宋体" w:hAnsi="宋体" w:cs="宋体"/>
          <w:sz w:val="24"/>
          <w:szCs w:val="24"/>
        </w:rPr>
      </w:r>
      <w:r/>
    </w:p>
    <w:p>
      <w:pPr>
        <w:pStyle w:val="1052"/>
        <w:numPr>
          <w:ilvl w:val="0"/>
          <w:numId w:val="80"/>
        </w:numPr>
        <w:ind w:left="845"/>
        <w:rPr>
          <w:rFonts w:ascii="宋体" w:hAnsi="宋体" w:cs="宋体"/>
          <w:sz w:val="24"/>
          <w:szCs w:val="24"/>
        </w:rPr>
      </w:pPr>
      <w:r>
        <w:rPr>
          <w:rFonts w:ascii="宋体" w:hAnsi="宋体" w:cs="宋体"/>
          <w:sz w:val="24"/>
          <w:szCs w:val="24"/>
        </w:rPr>
        <w:t xml:space="preserve">支持“产科安全管理办公室”响应时间记录，用于内部质控考核。</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紧急剖宫产（DDI）时间监控</w:t>
      </w:r>
      <w:r>
        <w:rPr>
          <w:rFonts w:ascii="宋体" w:hAnsi="宋体" w:cs="宋体"/>
          <w:sz w:val="24"/>
          <w:szCs w:val="24"/>
        </w:rPr>
      </w:r>
      <w:r/>
    </w:p>
    <w:p>
      <w:pPr>
        <w:pStyle w:val="1052"/>
        <w:numPr>
          <w:ilvl w:val="0"/>
          <w:numId w:val="81"/>
        </w:numPr>
        <w:ind w:left="845"/>
        <w:rPr>
          <w:rFonts w:ascii="宋体" w:hAnsi="宋体" w:cs="宋体"/>
          <w:sz w:val="24"/>
          <w:szCs w:val="24"/>
        </w:rPr>
      </w:pPr>
      <w:r>
        <w:rPr>
          <w:rFonts w:ascii="宋体" w:hAnsi="宋体" w:cs="宋体"/>
          <w:sz w:val="24"/>
          <w:szCs w:val="24"/>
        </w:rPr>
        <w:t xml:space="preserve">支持记录“决定手术时间”与“胎儿娩出时间”，系统自动计算DDI时间；</w:t>
      </w:r>
      <w:r>
        <w:rPr>
          <w:rFonts w:ascii="宋体" w:hAnsi="宋体" w:cs="宋体"/>
          <w:sz w:val="24"/>
          <w:szCs w:val="24"/>
        </w:rPr>
      </w:r>
      <w:r/>
    </w:p>
    <w:p>
      <w:pPr>
        <w:pStyle w:val="1052"/>
        <w:numPr>
          <w:ilvl w:val="0"/>
          <w:numId w:val="81"/>
        </w:numPr>
        <w:ind w:left="845"/>
        <w:rPr>
          <w:rFonts w:ascii="宋体" w:hAnsi="宋体" w:cs="宋体"/>
          <w:sz w:val="24"/>
          <w:szCs w:val="24"/>
        </w:rPr>
      </w:pPr>
      <w:r>
        <w:rPr>
          <w:rFonts w:ascii="宋体" w:hAnsi="宋体" w:cs="宋体"/>
          <w:sz w:val="24"/>
          <w:szCs w:val="24"/>
        </w:rPr>
        <w:t xml:space="preserve">支持设置目标值（如≤30分钟），超时自动预警并生成质控事件；</w:t>
      </w:r>
      <w:r>
        <w:rPr>
          <w:rFonts w:ascii="宋体" w:hAnsi="宋体" w:cs="宋体"/>
          <w:sz w:val="24"/>
          <w:szCs w:val="24"/>
        </w:rPr>
      </w:r>
      <w:r/>
    </w:p>
    <w:p>
      <w:pPr>
        <w:pStyle w:val="1052"/>
        <w:numPr>
          <w:ilvl w:val="0"/>
          <w:numId w:val="81"/>
        </w:numPr>
        <w:ind w:left="845"/>
        <w:rPr>
          <w:rFonts w:ascii="宋体" w:hAnsi="宋体" w:cs="宋体"/>
          <w:sz w:val="24"/>
          <w:szCs w:val="24"/>
        </w:rPr>
      </w:pPr>
      <w:r>
        <w:rPr>
          <w:rFonts w:ascii="宋体" w:hAnsi="宋体" w:cs="宋体"/>
          <w:sz w:val="24"/>
          <w:szCs w:val="24"/>
        </w:rPr>
        <w:t xml:space="preserve">支持对DDI超时病例进行根因分析（如麻醉延迟、手术室占用、团队未及时到位），并启动整改流程。</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紧急用血全流程管理</w:t>
      </w:r>
      <w:r>
        <w:rPr>
          <w:rFonts w:ascii="宋体" w:hAnsi="宋体" w:cs="宋体"/>
          <w:sz w:val="24"/>
          <w:szCs w:val="24"/>
        </w:rPr>
      </w:r>
      <w:r/>
    </w:p>
    <w:p>
      <w:pPr>
        <w:pStyle w:val="1052"/>
        <w:numPr>
          <w:ilvl w:val="0"/>
          <w:numId w:val="82"/>
        </w:numPr>
        <w:ind w:left="845"/>
        <w:rPr>
          <w:rFonts w:ascii="宋体" w:hAnsi="宋体" w:cs="宋体"/>
          <w:sz w:val="24"/>
          <w:szCs w:val="24"/>
        </w:rPr>
      </w:pPr>
      <w:r>
        <w:rPr>
          <w:rFonts w:ascii="宋体" w:hAnsi="宋体" w:cs="宋体"/>
          <w:sz w:val="24"/>
          <w:szCs w:val="24"/>
        </w:rPr>
        <w:t xml:space="preserve">支持医生发起“紧急用血申请”，系统记录申请时间；</w:t>
      </w:r>
      <w:r>
        <w:rPr>
          <w:rFonts w:ascii="宋体" w:hAnsi="宋体" w:cs="宋体"/>
          <w:sz w:val="24"/>
          <w:szCs w:val="24"/>
        </w:rPr>
      </w:r>
      <w:r/>
    </w:p>
    <w:p>
      <w:pPr>
        <w:pStyle w:val="1052"/>
        <w:numPr>
          <w:ilvl w:val="0"/>
          <w:numId w:val="82"/>
        </w:numPr>
        <w:ind w:left="845"/>
        <w:rPr>
          <w:rFonts w:ascii="宋体" w:hAnsi="宋体" w:cs="宋体"/>
          <w:sz w:val="24"/>
          <w:szCs w:val="24"/>
        </w:rPr>
      </w:pPr>
      <w:r>
        <w:rPr>
          <w:rFonts w:ascii="宋体" w:hAnsi="宋体" w:cs="宋体"/>
          <w:sz w:val="24"/>
          <w:szCs w:val="24"/>
        </w:rPr>
        <w:t xml:space="preserve">支持与血库系统对接或人工录入“血站同意取血时间”“血液制品到位时间”，系统自动计算“用血到位总时间”；</w:t>
      </w:r>
      <w:r>
        <w:rPr>
          <w:rFonts w:ascii="宋体" w:hAnsi="宋体" w:cs="宋体"/>
          <w:sz w:val="24"/>
          <w:szCs w:val="24"/>
        </w:rPr>
      </w:r>
      <w:r/>
    </w:p>
    <w:p>
      <w:pPr>
        <w:pStyle w:val="1052"/>
        <w:numPr>
          <w:ilvl w:val="0"/>
          <w:numId w:val="82"/>
        </w:numPr>
        <w:ind w:left="845"/>
        <w:rPr>
          <w:rFonts w:ascii="宋体" w:hAnsi="宋体" w:cs="宋体"/>
          <w:sz w:val="24"/>
          <w:szCs w:val="24"/>
        </w:rPr>
      </w:pPr>
      <w:r>
        <w:rPr>
          <w:rFonts w:ascii="宋体" w:hAnsi="宋体" w:cs="宋体"/>
          <w:sz w:val="24"/>
          <w:szCs w:val="24"/>
        </w:rPr>
        <w:t xml:space="preserve">支持对用血响应超时案例进行追溯分析，优化院内输血流程。</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外院转入孕产妇管理</w:t>
      </w:r>
      <w:r>
        <w:rPr>
          <w:rFonts w:ascii="宋体" w:hAnsi="宋体" w:cs="宋体"/>
          <w:sz w:val="24"/>
          <w:szCs w:val="24"/>
        </w:rPr>
      </w:r>
      <w:r/>
    </w:p>
    <w:p>
      <w:pPr>
        <w:pStyle w:val="1052"/>
        <w:numPr>
          <w:ilvl w:val="0"/>
          <w:numId w:val="83"/>
        </w:numPr>
        <w:ind w:left="845"/>
        <w:rPr>
          <w:rFonts w:ascii="宋体" w:hAnsi="宋体" w:cs="宋体"/>
          <w:sz w:val="24"/>
          <w:szCs w:val="24"/>
        </w:rPr>
      </w:pPr>
      <w:r>
        <w:rPr>
          <w:rFonts w:ascii="宋体" w:hAnsi="宋体" w:cs="宋体"/>
          <w:sz w:val="24"/>
          <w:szCs w:val="24"/>
        </w:rPr>
        <w:t xml:space="preserve">支持标记“外院转入”孕产妇，自动采集转入时间、原就诊机构、转诊原因等信息；</w:t>
      </w:r>
      <w:r>
        <w:rPr>
          <w:rFonts w:ascii="宋体" w:hAnsi="宋体" w:cs="宋体"/>
          <w:sz w:val="24"/>
          <w:szCs w:val="24"/>
        </w:rPr>
      </w:r>
      <w:r/>
    </w:p>
    <w:p>
      <w:pPr>
        <w:pStyle w:val="1052"/>
        <w:numPr>
          <w:ilvl w:val="0"/>
          <w:numId w:val="83"/>
        </w:numPr>
        <w:ind w:left="845"/>
        <w:rPr>
          <w:rFonts w:ascii="宋体" w:hAnsi="宋体" w:cs="宋体"/>
          <w:sz w:val="24"/>
          <w:szCs w:val="24"/>
        </w:rPr>
      </w:pPr>
      <w:r>
        <w:rPr>
          <w:rFonts w:ascii="宋体" w:hAnsi="宋体" w:cs="宋体"/>
          <w:sz w:val="24"/>
          <w:szCs w:val="24"/>
        </w:rPr>
        <w:t xml:space="preserve">系统自动计算“外院转入孕产妇比例”，用于院内质量分析（如反映本院作为转诊中心的能力）；</w:t>
      </w:r>
      <w:r>
        <w:rPr>
          <w:rFonts w:ascii="宋体" w:hAnsi="宋体" w:cs="宋体"/>
          <w:sz w:val="24"/>
          <w:szCs w:val="24"/>
        </w:rPr>
      </w:r>
      <w:r/>
    </w:p>
    <w:p>
      <w:pPr>
        <w:pStyle w:val="1052"/>
        <w:numPr>
          <w:ilvl w:val="0"/>
          <w:numId w:val="83"/>
        </w:numPr>
        <w:ind w:left="845"/>
        <w:rPr>
          <w:rFonts w:ascii="宋体" w:hAnsi="宋体" w:cs="宋体"/>
          <w:sz w:val="24"/>
          <w:szCs w:val="24"/>
        </w:rPr>
      </w:pPr>
      <w:r>
        <w:rPr>
          <w:rFonts w:ascii="宋体" w:hAnsi="宋体" w:cs="宋体"/>
          <w:sz w:val="24"/>
          <w:szCs w:val="24"/>
        </w:rPr>
        <w:t xml:space="preserve">支持对转入病例进行重点随访与质量追踪。</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2.2.3</w:t>
      </w:r>
      <w:r>
        <w:rPr>
          <w:rFonts w:ascii="宋体" w:hAnsi="宋体" w:cs="宋体"/>
        </w:rPr>
        <w:t xml:space="preserve">.</w:t>
      </w:r>
      <w:r>
        <w:rPr>
          <w:rFonts w:hint="eastAsia" w:ascii="宋体" w:hAnsi="宋体" w:cs="宋体"/>
        </w:rPr>
        <w:t xml:space="preserve">6</w:t>
      </w:r>
      <w:r>
        <w:rPr>
          <w:rFonts w:ascii="宋体" w:hAnsi="宋体" w:cs="宋体"/>
        </w:rPr>
        <w:t xml:space="preserve"> 高风险预警与干预管理</w:t>
      </w:r>
      <w:r>
        <w:rPr>
          <w:rFonts w:ascii="宋体" w:hAnsi="宋体" w:cs="宋体"/>
        </w:rPr>
      </w:r>
      <w:r/>
    </w:p>
    <w:p>
      <w:pPr>
        <w:pStyle w:val="1038"/>
        <w:numPr>
          <w:ilvl w:val="0"/>
          <w:numId w:val="79"/>
        </w:numPr>
        <w:ind w:left="-420" w:firstLine="420"/>
        <w:jc w:val="left"/>
        <w:spacing w:line="360" w:lineRule="auto"/>
        <w:rPr>
          <w:rFonts w:ascii="宋体" w:hAnsi="宋体" w:cs="宋体"/>
          <w:sz w:val="24"/>
          <w:szCs w:val="24"/>
        </w:rPr>
      </w:pPr>
      <w:r>
        <w:rPr>
          <w:rFonts w:ascii="宋体" w:hAnsi="宋体" w:cs="宋体"/>
          <w:sz w:val="24"/>
          <w:szCs w:val="24"/>
        </w:rPr>
        <w:t xml:space="preserve">高危因素结构化采集与风险评估</w:t>
      </w:r>
      <w:r>
        <w:rPr>
          <w:rFonts w:ascii="宋体" w:hAnsi="宋体" w:cs="宋体"/>
          <w:sz w:val="24"/>
          <w:szCs w:val="24"/>
        </w:rPr>
      </w:r>
      <w:r/>
    </w:p>
    <w:p>
      <w:pPr>
        <w:pStyle w:val="1052"/>
        <w:numPr>
          <w:ilvl w:val="0"/>
          <w:numId w:val="84"/>
        </w:numPr>
        <w:ind w:left="845"/>
        <w:jc w:val="left"/>
        <w:rPr>
          <w:rFonts w:ascii="宋体" w:hAnsi="宋体" w:cs="宋体"/>
          <w:sz w:val="24"/>
          <w:szCs w:val="24"/>
        </w:rPr>
      </w:pPr>
      <w:r>
        <w:rPr>
          <w:rFonts w:ascii="宋体" w:hAnsi="宋体" w:cs="宋体"/>
          <w:sz w:val="24"/>
          <w:szCs w:val="24"/>
        </w:rPr>
        <w:t xml:space="preserve">支持在产前检查、住院记录、门诊病历中对以下高危因素进行结构化录入或自动提取：</w:t>
        <w:br w:type="textWrapping" w:clear="all"/>
        <w:t xml:space="preserve">- 基础风险：年龄 ≥35岁（高龄）、BMI ≥28（肥胖）、未育或首次生育年龄 &gt;35岁</w:t>
        <w:br w:type="textWrapping" w:clear="all"/>
        <w:t xml:space="preserve">- 妊娠合并症：妊娠期高血压、子痫前期、妊娠期糖尿病、心脏病、甲状腺疾病、免疫系统疾病</w:t>
        <w:br w:type="textWrapping" w:clear="all"/>
        <w:t xml:space="preserve">- 产科病史：疤痕子宫、前置胎盘、胎盘植入、既往产后出血史、多次流产史</w:t>
        <w:br w:type="textWrapping" w:clear="all"/>
        <w:t xml:space="preserve">- 多胎妊娠：双胎及以上</w:t>
        <w:br w:type="textWrapping" w:clear="all"/>
        <w:t xml:space="preserve">- 辅助生殖：试管婴儿（ART）</w:t>
        <w:br w:type="textWrapping" w:clear="all"/>
        <w:t xml:space="preserve">- 社会心理因素：抑郁焦虑史、家庭支持不足</w:t>
      </w:r>
      <w:r>
        <w:rPr>
          <w:rFonts w:ascii="宋体" w:hAnsi="宋体" w:cs="宋体"/>
          <w:sz w:val="24"/>
          <w:szCs w:val="24"/>
        </w:rPr>
      </w:r>
      <w:r/>
    </w:p>
    <w:p>
      <w:pPr>
        <w:pStyle w:val="1052"/>
        <w:numPr>
          <w:ilvl w:val="0"/>
          <w:numId w:val="84"/>
        </w:numPr>
        <w:ind w:left="845"/>
        <w:jc w:val="left"/>
        <w:rPr>
          <w:rFonts w:ascii="宋体" w:hAnsi="宋体" w:cs="宋体"/>
          <w:sz w:val="24"/>
          <w:szCs w:val="24"/>
        </w:rPr>
      </w:pPr>
      <w:r>
        <w:rPr>
          <w:rFonts w:ascii="宋体" w:hAnsi="宋体" w:cs="宋体"/>
          <w:sz w:val="24"/>
          <w:szCs w:val="24"/>
        </w:rPr>
        <w:t xml:space="preserve">系统内置《孕产妇妊娠风险评估模型》，支持根据高危因素数量、类型、严重程度，自动计算个体风险等级（黄色、橙色、红色、紫色），并生成“高风险标签”；</w:t>
      </w:r>
      <w:r>
        <w:rPr>
          <w:rFonts w:ascii="宋体" w:hAnsi="宋体" w:cs="宋体"/>
          <w:sz w:val="24"/>
          <w:szCs w:val="24"/>
        </w:rPr>
      </w:r>
      <w:r/>
    </w:p>
    <w:p>
      <w:pPr>
        <w:pStyle w:val="1052"/>
        <w:numPr>
          <w:ilvl w:val="0"/>
          <w:numId w:val="84"/>
        </w:numPr>
        <w:ind w:left="845"/>
        <w:jc w:val="left"/>
        <w:rPr>
          <w:rFonts w:ascii="宋体" w:hAnsi="宋体" w:cs="宋体"/>
          <w:sz w:val="24"/>
          <w:szCs w:val="24"/>
        </w:rPr>
      </w:pPr>
      <w:r>
        <w:rPr>
          <w:rFonts w:ascii="宋体" w:hAnsi="宋体" w:cs="宋体"/>
          <w:sz w:val="24"/>
          <w:szCs w:val="24"/>
        </w:rPr>
        <w:t xml:space="preserve">支持风险动态更新：当新增检查结果（如超声提示胎盘植入）、病情变化（如血压升高至160/110mmHg）时，系统自动重新评估并升级风险等级。</w:t>
      </w:r>
      <w:r>
        <w:rPr>
          <w:rFonts w:ascii="宋体" w:hAnsi="宋体" w:cs="宋体"/>
          <w:sz w:val="24"/>
          <w:szCs w:val="24"/>
        </w:rPr>
      </w:r>
      <w:r/>
    </w:p>
    <w:p>
      <w:pPr>
        <w:pStyle w:val="1038"/>
        <w:numPr>
          <w:ilvl w:val="0"/>
          <w:numId w:val="79"/>
        </w:numPr>
        <w:ind w:left="-420" w:firstLine="420"/>
        <w:jc w:val="left"/>
        <w:spacing w:line="360" w:lineRule="auto"/>
      </w:pPr>
      <w:r>
        <w:rPr>
          <w:rFonts w:ascii="宋体" w:hAnsi="宋体" w:cs="宋体"/>
          <w:sz w:val="24"/>
          <w:szCs w:val="24"/>
        </w:rPr>
        <w:t xml:space="preserve">智能预警与分级响应机制</w:t>
      </w:r>
      <w:r>
        <w:rPr>
          <w:rFonts w:ascii="宋体" w:hAnsi="宋体" w:cs="宋体"/>
          <w:sz w:val="24"/>
          <w:szCs w:val="24"/>
        </w:rPr>
      </w:r>
      <w:r/>
    </w:p>
    <w:p>
      <w:pPr>
        <w:pStyle w:val="1052"/>
        <w:numPr>
          <w:ilvl w:val="0"/>
          <w:numId w:val="85"/>
        </w:numPr>
        <w:ind w:left="845"/>
        <w:jc w:val="left"/>
        <w:rPr>
          <w:rFonts w:ascii="宋体" w:hAnsi="宋体" w:cs="宋体"/>
          <w:sz w:val="24"/>
          <w:szCs w:val="24"/>
        </w:rPr>
      </w:pPr>
      <w:r>
        <w:rPr>
          <w:rFonts w:ascii="宋体" w:hAnsi="宋体" w:cs="宋体"/>
          <w:sz w:val="24"/>
          <w:szCs w:val="24"/>
        </w:rPr>
        <w:t xml:space="preserve">支持按风险等级触发分级预警：</w:t>
        <w:br w:type="textWrapping" w:clear="all"/>
        <w:t xml:space="preserve">- 黄色预警：系统自动提醒主管医生加强随访，建议增加产检频次；</w:t>
        <w:br w:type="textWrapping" w:clear="all"/>
        <w:t xml:space="preserve">- 橙色预警：推送至产科主任、高危门诊，建议组织多学科评估；</w:t>
        <w:br w:type="textWrapping" w:clear="all"/>
        <w:t xml:space="preserve">- 红色/紫色预警：自动推送至产科安全管理办公室、医务科、危重孕产妇救治小组，启动“高风险孕产妇专案管理”流程；</w:t>
      </w:r>
      <w:r>
        <w:rPr>
          <w:rFonts w:ascii="宋体" w:hAnsi="宋体" w:cs="宋体"/>
          <w:sz w:val="24"/>
          <w:szCs w:val="24"/>
        </w:rPr>
      </w:r>
      <w:r/>
    </w:p>
    <w:p>
      <w:pPr>
        <w:pStyle w:val="1052"/>
        <w:numPr>
          <w:ilvl w:val="0"/>
          <w:numId w:val="85"/>
        </w:numPr>
        <w:ind w:left="845"/>
        <w:jc w:val="left"/>
        <w:rPr>
          <w:rFonts w:ascii="宋体" w:hAnsi="宋体" w:cs="宋体"/>
          <w:sz w:val="24"/>
          <w:szCs w:val="24"/>
        </w:rPr>
      </w:pPr>
      <w:r>
        <w:rPr>
          <w:rFonts w:ascii="宋体" w:hAnsi="宋体" w:cs="宋体"/>
          <w:sz w:val="24"/>
          <w:szCs w:val="24"/>
        </w:rPr>
        <w:t xml:space="preserve">支持预警信息通过系统消息、短信、企业微信、APP等多渠道触达相关责任人，确保及时响应。</w:t>
      </w:r>
      <w:r>
        <w:rPr>
          <w:rFonts w:ascii="宋体" w:hAnsi="宋体" w:cs="宋体"/>
          <w:sz w:val="24"/>
          <w:szCs w:val="24"/>
        </w:rPr>
      </w:r>
      <w:r/>
    </w:p>
    <w:p>
      <w:pPr>
        <w:pStyle w:val="1038"/>
        <w:numPr>
          <w:ilvl w:val="0"/>
          <w:numId w:val="79"/>
        </w:numPr>
        <w:ind w:left="-420" w:firstLine="420"/>
        <w:jc w:val="left"/>
        <w:spacing w:line="360" w:lineRule="auto"/>
        <w:rPr>
          <w:rFonts w:ascii="宋体" w:hAnsi="宋体" w:cs="宋体"/>
          <w:sz w:val="24"/>
          <w:szCs w:val="24"/>
        </w:rPr>
      </w:pPr>
      <w:r>
        <w:rPr>
          <w:rFonts w:ascii="宋体" w:hAnsi="宋体" w:cs="宋体"/>
          <w:sz w:val="24"/>
          <w:szCs w:val="24"/>
        </w:rPr>
        <w:t xml:space="preserve">个性化干预路径推荐</w:t>
      </w:r>
      <w:r>
        <w:rPr>
          <w:rFonts w:ascii="宋体" w:hAnsi="宋体" w:cs="宋体"/>
          <w:sz w:val="24"/>
          <w:szCs w:val="24"/>
        </w:rPr>
      </w:r>
      <w:r/>
    </w:p>
    <w:p>
      <w:pPr>
        <w:pStyle w:val="1052"/>
        <w:numPr>
          <w:ilvl w:val="0"/>
          <w:numId w:val="86"/>
        </w:numPr>
        <w:ind w:left="845"/>
        <w:jc w:val="left"/>
        <w:rPr>
          <w:rFonts w:ascii="宋体" w:hAnsi="宋体" w:cs="宋体"/>
          <w:sz w:val="24"/>
          <w:szCs w:val="24"/>
        </w:rPr>
      </w:pPr>
      <w:r>
        <w:rPr>
          <w:rFonts w:ascii="宋体" w:hAnsi="宋体" w:cs="宋体"/>
          <w:sz w:val="24"/>
          <w:szCs w:val="24"/>
        </w:rPr>
        <w:t xml:space="preserve">系统根据风险类型自动推荐个性化管理路径，例如：</w:t>
        <w:br w:type="textWrapping" w:clear="all"/>
        <w:t xml:space="preserve">- 疤痕子宫+前置胎盘 → 建议提前住院、制定剖宫产+备血方案</w:t>
        <w:br w:type="textWrapping" w:clear="all"/>
        <w:t xml:space="preserve">- 妊娠期糖尿病 → 推送营养指导、血糖监测计划、产科与内分泌科联合随访</w:t>
        <w:br w:type="textWrapping" w:clear="all"/>
        <w:t xml:space="preserve">- 高龄+ART → 建议加强胎儿畸形筛查、心理支持干预</w:t>
      </w:r>
      <w:r>
        <w:rPr>
          <w:rFonts w:ascii="宋体" w:hAnsi="宋体" w:cs="宋体"/>
          <w:sz w:val="24"/>
          <w:szCs w:val="24"/>
        </w:rPr>
      </w:r>
      <w:r/>
    </w:p>
    <w:p>
      <w:pPr>
        <w:pStyle w:val="1052"/>
        <w:numPr>
          <w:ilvl w:val="0"/>
          <w:numId w:val="86"/>
        </w:numPr>
        <w:ind w:left="845"/>
        <w:jc w:val="left"/>
        <w:rPr>
          <w:rFonts w:ascii="宋体" w:hAnsi="宋体" w:cs="宋体"/>
          <w:sz w:val="24"/>
          <w:szCs w:val="24"/>
        </w:rPr>
      </w:pPr>
      <w:r>
        <w:rPr>
          <w:rFonts w:ascii="宋体" w:hAnsi="宋体" w:cs="宋体"/>
          <w:sz w:val="24"/>
          <w:szCs w:val="24"/>
        </w:rPr>
        <w:t xml:space="preserve">支持绑定标准化干预任务清单，包括：</w:t>
        <w:br w:type="textWrapping" w:clear="all"/>
        <w:t xml:space="preserve">- 检查项目（如超声评估胎盘位置、糖耐量复查）</w:t>
        <w:br w:type="textWrapping" w:clear="all"/>
        <w:t xml:space="preserve">- 会诊申请（如内科、麻醉科、输血科会诊）</w:t>
        <w:br w:type="textWrapping" w:clear="all"/>
        <w:t xml:space="preserve">- 健康宣教（推送妊娠期高血压防治视频）</w:t>
        <w:br w:type="textWrapping" w:clear="all"/>
        <w:t xml:space="preserve">- 家属告知（生成《高风险妊娠知情告知书》模板）</w:t>
      </w:r>
      <w:r>
        <w:rPr>
          <w:rFonts w:ascii="宋体" w:hAnsi="宋体" w:cs="宋体"/>
          <w:sz w:val="24"/>
          <w:szCs w:val="24"/>
        </w:rPr>
      </w:r>
      <w:r/>
    </w:p>
    <w:p>
      <w:pPr>
        <w:pStyle w:val="1038"/>
        <w:numPr>
          <w:ilvl w:val="0"/>
          <w:numId w:val="79"/>
        </w:numPr>
        <w:ind w:left="-420" w:firstLine="420"/>
        <w:jc w:val="left"/>
        <w:spacing w:line="360" w:lineRule="auto"/>
        <w:rPr>
          <w:rFonts w:ascii="宋体" w:hAnsi="宋体" w:cs="宋体"/>
          <w:sz w:val="24"/>
          <w:szCs w:val="24"/>
        </w:rPr>
      </w:pPr>
      <w:r>
        <w:rPr>
          <w:rFonts w:ascii="宋体" w:hAnsi="宋体" w:cs="宋体"/>
          <w:sz w:val="24"/>
          <w:szCs w:val="24"/>
        </w:rPr>
        <w:t xml:space="preserve">高风险孕产妇专案管理</w:t>
      </w:r>
      <w:r>
        <w:rPr>
          <w:rFonts w:ascii="宋体" w:hAnsi="宋体" w:cs="宋体"/>
          <w:sz w:val="24"/>
          <w:szCs w:val="24"/>
        </w:rPr>
      </w:r>
      <w:r/>
    </w:p>
    <w:p>
      <w:pPr>
        <w:pStyle w:val="1052"/>
        <w:numPr>
          <w:ilvl w:val="0"/>
          <w:numId w:val="87"/>
        </w:numPr>
        <w:ind w:left="845"/>
        <w:jc w:val="left"/>
        <w:rPr>
          <w:rFonts w:ascii="宋体" w:hAnsi="宋体" w:cs="宋体"/>
          <w:sz w:val="24"/>
          <w:szCs w:val="24"/>
        </w:rPr>
      </w:pPr>
      <w:r>
        <w:rPr>
          <w:rFonts w:ascii="宋体" w:hAnsi="宋体" w:cs="宋体"/>
          <w:sz w:val="24"/>
          <w:szCs w:val="24"/>
        </w:rPr>
        <w:t xml:space="preserve">对“橙色”及以上风险孕产妇，系统自动生成《高风险孕产妇专案管理档案》，包含：</w:t>
        <w:br w:type="textWrapping" w:clear="all"/>
        <w:t xml:space="preserve">- 风险因素清单</w:t>
        <w:br w:type="textWrapping" w:clear="all"/>
        <w:t xml:space="preserve">- 风险评估时间轴</w:t>
        <w:br w:type="textWrapping" w:clear="all"/>
        <w:t xml:space="preserve">- 干预计划与执行记录</w:t>
        <w:br w:type="textWrapping" w:clear="all"/>
        <w:t xml:space="preserve">- 多学科会诊意见</w:t>
        <w:br w:type="textWrapping" w:clear="all"/>
        <w:t xml:space="preserve">- 分娩预案（含手术方式、备血量、抢救团队配置）</w:t>
      </w:r>
      <w:r>
        <w:rPr>
          <w:rFonts w:ascii="宋体" w:hAnsi="宋体" w:cs="宋体"/>
          <w:sz w:val="24"/>
          <w:szCs w:val="24"/>
        </w:rPr>
      </w:r>
      <w:r/>
    </w:p>
    <w:p>
      <w:pPr>
        <w:pStyle w:val="1052"/>
        <w:numPr>
          <w:ilvl w:val="0"/>
          <w:numId w:val="87"/>
        </w:numPr>
        <w:ind w:left="845"/>
        <w:jc w:val="left"/>
        <w:rPr>
          <w:rFonts w:ascii="宋体" w:hAnsi="宋体" w:cs="宋体"/>
          <w:sz w:val="24"/>
          <w:szCs w:val="24"/>
        </w:rPr>
      </w:pPr>
      <w:r>
        <w:rPr>
          <w:rFonts w:ascii="宋体" w:hAnsi="宋体" w:cs="宋体"/>
          <w:sz w:val="24"/>
          <w:szCs w:val="24"/>
        </w:rPr>
        <w:t xml:space="preserve">支持专案档案在产前、产时、产后全过程共享，确保信息连续性。</w:t>
      </w:r>
      <w:r>
        <w:rPr>
          <w:rFonts w:ascii="宋体" w:hAnsi="宋体" w:cs="宋体"/>
          <w:sz w:val="24"/>
          <w:szCs w:val="24"/>
        </w:rPr>
      </w:r>
      <w:r/>
    </w:p>
    <w:p>
      <w:pPr>
        <w:pStyle w:val="1038"/>
        <w:numPr>
          <w:ilvl w:val="0"/>
          <w:numId w:val="79"/>
        </w:numPr>
        <w:ind w:left="-420" w:firstLine="420"/>
        <w:jc w:val="left"/>
        <w:spacing w:line="360" w:lineRule="auto"/>
        <w:rPr>
          <w:rFonts w:ascii="宋体" w:hAnsi="宋体" w:cs="宋体"/>
          <w:sz w:val="24"/>
          <w:szCs w:val="24"/>
        </w:rPr>
      </w:pPr>
      <w:r>
        <w:rPr>
          <w:rFonts w:ascii="宋体" w:hAnsi="宋体" w:cs="宋体"/>
          <w:sz w:val="24"/>
          <w:szCs w:val="24"/>
        </w:rPr>
        <w:t xml:space="preserve">异常指标自动识别与干预提醒</w:t>
      </w:r>
      <w:r>
        <w:rPr>
          <w:rFonts w:ascii="宋体" w:hAnsi="宋体" w:cs="宋体"/>
          <w:sz w:val="24"/>
          <w:szCs w:val="24"/>
        </w:rPr>
      </w:r>
      <w:r/>
    </w:p>
    <w:p>
      <w:pPr>
        <w:pStyle w:val="1052"/>
        <w:numPr>
          <w:ilvl w:val="0"/>
          <w:numId w:val="88"/>
        </w:numPr>
        <w:ind w:left="845"/>
        <w:jc w:val="left"/>
        <w:rPr>
          <w:rFonts w:ascii="宋体" w:hAnsi="宋体" w:cs="宋体"/>
          <w:sz w:val="24"/>
          <w:szCs w:val="24"/>
        </w:rPr>
      </w:pPr>
      <w:r>
        <w:rPr>
          <w:rFonts w:ascii="宋体" w:hAnsi="宋体" w:cs="宋体"/>
          <w:sz w:val="24"/>
          <w:szCs w:val="24"/>
        </w:rPr>
        <w:t xml:space="preserve">支持对接LIS、监护系统，自动识别异常指标并预警：</w:t>
        <w:br w:type="textWrapping" w:clear="all"/>
        <w:t xml:space="preserve">- 血红蛋白 &lt;70g/L（重度贫血）</w:t>
        <w:br w:type="textWrapping" w:clear="all"/>
        <w:t xml:space="preserve">- 血小板 &lt;100×10⁹/L</w:t>
        <w:br w:type="textWrapping" w:clear="all"/>
        <w:t xml:space="preserve">- 收缩压 ≥160mmHg 或 舒张压 ≥110mmHg</w:t>
        <w:br w:type="textWrapping" w:clear="all"/>
        <w:t xml:space="preserve">- 胎心监护异常（NST无反应型、变异减速）</w:t>
      </w:r>
      <w:r>
        <w:rPr>
          <w:rFonts w:ascii="宋体" w:hAnsi="宋体" w:cs="宋体"/>
          <w:sz w:val="24"/>
          <w:szCs w:val="24"/>
        </w:rPr>
      </w:r>
      <w:r/>
    </w:p>
    <w:p>
      <w:pPr>
        <w:pStyle w:val="1052"/>
        <w:numPr>
          <w:ilvl w:val="0"/>
          <w:numId w:val="88"/>
        </w:numPr>
        <w:ind w:left="845"/>
        <w:jc w:val="left"/>
        <w:rPr>
          <w:rFonts w:ascii="宋体" w:hAnsi="宋体" w:cs="宋体"/>
          <w:sz w:val="24"/>
          <w:szCs w:val="24"/>
        </w:rPr>
      </w:pPr>
      <w:r>
        <w:rPr>
          <w:rFonts w:ascii="宋体" w:hAnsi="宋体" w:cs="宋体"/>
          <w:sz w:val="24"/>
          <w:szCs w:val="24"/>
        </w:rPr>
        <w:t xml:space="preserve">系统自动触发干预提醒，如“建议启动子痫前期应急预案”“建议请麻醉科会诊评估麻醉风险”。</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2.2.3</w:t>
      </w:r>
      <w:r>
        <w:rPr>
          <w:rFonts w:ascii="宋体" w:hAnsi="宋体" w:cs="宋体"/>
        </w:rPr>
        <w:t xml:space="preserve">.</w:t>
      </w:r>
      <w:r>
        <w:rPr>
          <w:rFonts w:hint="eastAsia" w:ascii="宋体" w:hAnsi="宋体" w:cs="宋体"/>
        </w:rPr>
        <w:t xml:space="preserve">7</w:t>
      </w:r>
      <w:r>
        <w:rPr>
          <w:rFonts w:ascii="宋体" w:hAnsi="宋体" w:cs="宋体"/>
        </w:rPr>
        <w:t xml:space="preserve"> 数据统计与分析</w:t>
      </w:r>
      <w:r>
        <w:rPr>
          <w:rFonts w:ascii="宋体" w:hAnsi="宋体" w:cs="宋体"/>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核心质控指标自动统计</w:t>
      </w:r>
      <w:r>
        <w:rPr>
          <w:rFonts w:ascii="宋体" w:hAnsi="宋体" w:cs="宋体"/>
          <w:sz w:val="24"/>
          <w:szCs w:val="24"/>
        </w:rPr>
      </w:r>
      <w:r/>
    </w:p>
    <w:p>
      <w:pPr>
        <w:pStyle w:val="1052"/>
        <w:ind w:firstLine="0"/>
        <w:rPr>
          <w:rFonts w:ascii="宋体" w:hAnsi="宋体" w:cs="宋体"/>
          <w:sz w:val="24"/>
          <w:szCs w:val="24"/>
        </w:rPr>
      </w:pPr>
      <w:r>
        <w:rPr>
          <w:rFonts w:ascii="宋体" w:hAnsi="宋体" w:cs="宋体"/>
          <w:sz w:val="24"/>
          <w:szCs w:val="24"/>
        </w:rPr>
        <w:t xml:space="preserve">系统应支持自动计算以下院内可采集、可干预的质控指标：</w:t>
      </w:r>
      <w:r>
        <w:rPr>
          <w:rFonts w:ascii="宋体" w:hAnsi="宋体" w:cs="宋体"/>
          <w:sz w:val="24"/>
          <w:szCs w:val="24"/>
        </w:rPr>
      </w:r>
      <w:r/>
    </w:p>
    <w:p>
      <w:pPr>
        <w:pStyle w:val="1052"/>
        <w:numPr>
          <w:ilvl w:val="0"/>
          <w:numId w:val="89"/>
        </w:numPr>
        <w:ind w:left="845"/>
        <w:rPr>
          <w:rFonts w:ascii="宋体" w:hAnsi="宋体" w:cs="宋体"/>
          <w:sz w:val="24"/>
          <w:szCs w:val="24"/>
        </w:rPr>
      </w:pPr>
      <w:r>
        <w:rPr>
          <w:rFonts w:ascii="宋体" w:hAnsi="宋体" w:cs="宋体"/>
          <w:sz w:val="24"/>
          <w:szCs w:val="24"/>
        </w:rPr>
        <w:t xml:space="preserve">孕产妇妊娠风险筛查评估率</w:t>
      </w:r>
      <w:r>
        <w:rPr>
          <w:rFonts w:ascii="宋体" w:hAnsi="宋体" w:cs="宋体"/>
          <w:sz w:val="24"/>
          <w:szCs w:val="24"/>
        </w:rPr>
      </w:r>
      <w:r/>
    </w:p>
    <w:p>
      <w:pPr>
        <w:pStyle w:val="1052"/>
        <w:numPr>
          <w:ilvl w:val="0"/>
          <w:numId w:val="89"/>
        </w:numPr>
        <w:ind w:left="845"/>
        <w:rPr>
          <w:rFonts w:ascii="宋体" w:hAnsi="宋体" w:cs="宋体"/>
          <w:sz w:val="24"/>
          <w:szCs w:val="24"/>
        </w:rPr>
      </w:pPr>
      <w:r>
        <w:rPr>
          <w:rFonts w:ascii="宋体" w:hAnsi="宋体" w:cs="宋体"/>
          <w:sz w:val="24"/>
          <w:szCs w:val="24"/>
        </w:rPr>
        <w:t xml:space="preserve">高危孕产妇比例（橙色及以上）</w:t>
      </w:r>
      <w:r>
        <w:rPr>
          <w:rFonts w:ascii="宋体" w:hAnsi="宋体" w:cs="宋体"/>
          <w:sz w:val="24"/>
          <w:szCs w:val="24"/>
        </w:rPr>
      </w:r>
      <w:r/>
    </w:p>
    <w:p>
      <w:pPr>
        <w:pStyle w:val="1052"/>
        <w:numPr>
          <w:ilvl w:val="0"/>
          <w:numId w:val="89"/>
        </w:numPr>
        <w:ind w:left="845"/>
        <w:rPr>
          <w:rFonts w:ascii="宋体" w:hAnsi="宋体" w:cs="宋体"/>
          <w:sz w:val="24"/>
          <w:szCs w:val="24"/>
        </w:rPr>
      </w:pPr>
      <w:r>
        <w:rPr>
          <w:rFonts w:ascii="宋体" w:hAnsi="宋体" w:cs="宋体"/>
          <w:sz w:val="24"/>
          <w:szCs w:val="24"/>
        </w:rPr>
        <w:t xml:space="preserve">危重孕产妇比例</w:t>
      </w:r>
      <w:r>
        <w:rPr>
          <w:rFonts w:ascii="宋体" w:hAnsi="宋体" w:cs="宋体"/>
          <w:sz w:val="24"/>
          <w:szCs w:val="24"/>
        </w:rPr>
      </w:r>
      <w:r/>
    </w:p>
    <w:p>
      <w:pPr>
        <w:pStyle w:val="1052"/>
        <w:numPr>
          <w:ilvl w:val="0"/>
          <w:numId w:val="89"/>
        </w:numPr>
        <w:ind w:left="845"/>
        <w:rPr>
          <w:rFonts w:ascii="宋体" w:hAnsi="宋体" w:cs="宋体"/>
          <w:sz w:val="24"/>
          <w:szCs w:val="24"/>
        </w:rPr>
      </w:pPr>
      <w:r>
        <w:rPr>
          <w:rFonts w:ascii="宋体" w:hAnsi="宋体" w:cs="宋体"/>
          <w:sz w:val="24"/>
          <w:szCs w:val="24"/>
        </w:rPr>
        <w:t xml:space="preserve">外院转入孕产妇比例</w:t>
      </w:r>
      <w:r>
        <w:rPr>
          <w:rFonts w:ascii="宋体" w:hAnsi="宋体" w:cs="宋体"/>
          <w:sz w:val="24"/>
          <w:szCs w:val="24"/>
        </w:rPr>
      </w:r>
      <w:r/>
    </w:p>
    <w:p>
      <w:pPr>
        <w:pStyle w:val="1052"/>
        <w:numPr>
          <w:ilvl w:val="0"/>
          <w:numId w:val="89"/>
        </w:numPr>
        <w:ind w:left="845"/>
        <w:rPr>
          <w:rFonts w:ascii="宋体" w:hAnsi="宋体" w:cs="宋体"/>
          <w:sz w:val="24"/>
          <w:szCs w:val="24"/>
        </w:rPr>
      </w:pPr>
      <w:r>
        <w:rPr>
          <w:rFonts w:ascii="宋体" w:hAnsi="宋体" w:cs="宋体"/>
          <w:sz w:val="24"/>
          <w:szCs w:val="24"/>
        </w:rPr>
        <w:t xml:space="preserve">高风险预警响应率 = 及时响应预警数 / 总预警数</w:t>
      </w:r>
      <w:r>
        <w:rPr>
          <w:rFonts w:ascii="宋体" w:hAnsi="宋体" w:cs="宋体"/>
          <w:sz w:val="24"/>
          <w:szCs w:val="24"/>
        </w:rPr>
      </w:r>
      <w:r/>
    </w:p>
    <w:p>
      <w:pPr>
        <w:pStyle w:val="1052"/>
        <w:numPr>
          <w:ilvl w:val="0"/>
          <w:numId w:val="89"/>
        </w:numPr>
        <w:ind w:left="845"/>
        <w:rPr>
          <w:rFonts w:ascii="宋体" w:hAnsi="宋体" w:cs="宋体"/>
          <w:sz w:val="24"/>
          <w:szCs w:val="24"/>
        </w:rPr>
      </w:pPr>
      <w:r>
        <w:rPr>
          <w:rFonts w:ascii="宋体" w:hAnsi="宋体" w:cs="宋体"/>
          <w:sz w:val="24"/>
          <w:szCs w:val="24"/>
        </w:rPr>
        <w:t xml:space="preserve">DDI时间达标率（≤30分钟占比）</w:t>
      </w:r>
      <w:r>
        <w:rPr>
          <w:rFonts w:ascii="宋体" w:hAnsi="宋体" w:cs="宋体"/>
          <w:sz w:val="24"/>
          <w:szCs w:val="24"/>
        </w:rPr>
      </w:r>
      <w:r/>
    </w:p>
    <w:p>
      <w:pPr>
        <w:pStyle w:val="1052"/>
        <w:numPr>
          <w:ilvl w:val="0"/>
          <w:numId w:val="89"/>
        </w:numPr>
        <w:ind w:left="845"/>
        <w:rPr>
          <w:rFonts w:ascii="宋体" w:hAnsi="宋体" w:cs="宋体"/>
          <w:sz w:val="24"/>
          <w:szCs w:val="24"/>
        </w:rPr>
      </w:pPr>
      <w:r>
        <w:rPr>
          <w:rFonts w:ascii="宋体" w:hAnsi="宋体" w:cs="宋体"/>
          <w:sz w:val="24"/>
          <w:szCs w:val="24"/>
        </w:rPr>
        <w:t xml:space="preserve">紧急用血到位时间（平均值）</w:t>
      </w:r>
      <w:r>
        <w:rPr>
          <w:rFonts w:ascii="宋体" w:hAnsi="宋体" w:cs="宋体"/>
          <w:sz w:val="24"/>
          <w:szCs w:val="24"/>
        </w:rPr>
      </w:r>
      <w:r/>
    </w:p>
    <w:p>
      <w:pPr>
        <w:pStyle w:val="1052"/>
        <w:numPr>
          <w:ilvl w:val="0"/>
          <w:numId w:val="89"/>
        </w:numPr>
        <w:ind w:left="845"/>
        <w:rPr>
          <w:rFonts w:ascii="宋体" w:hAnsi="宋体" w:cs="宋体"/>
          <w:sz w:val="24"/>
          <w:szCs w:val="24"/>
        </w:rPr>
      </w:pPr>
      <w:r>
        <w:rPr>
          <w:rFonts w:ascii="宋体" w:hAnsi="宋体" w:cs="宋体"/>
          <w:sz w:val="24"/>
          <w:szCs w:val="24"/>
        </w:rPr>
        <w:t xml:space="preserve">快速反应团队反应时间（平均值）</w:t>
      </w:r>
      <w:r>
        <w:rPr>
          <w:rFonts w:ascii="宋体" w:hAnsi="宋体" w:cs="宋体"/>
          <w:sz w:val="24"/>
          <w:szCs w:val="24"/>
        </w:rPr>
      </w:r>
      <w:r/>
    </w:p>
    <w:p>
      <w:pPr>
        <w:pStyle w:val="1052"/>
        <w:numPr>
          <w:ilvl w:val="0"/>
          <w:numId w:val="89"/>
        </w:numPr>
        <w:ind w:left="845"/>
        <w:rPr>
          <w:rFonts w:ascii="宋体" w:hAnsi="宋体" w:cs="宋体"/>
          <w:sz w:val="24"/>
          <w:szCs w:val="24"/>
        </w:rPr>
      </w:pPr>
      <w:r>
        <w:rPr>
          <w:rFonts w:ascii="宋体" w:hAnsi="宋体" w:cs="宋体"/>
          <w:sz w:val="24"/>
          <w:szCs w:val="24"/>
        </w:rPr>
        <w:t xml:space="preserve">产科安全管理办公室响应时间（平均值）</w:t>
      </w:r>
      <w:r>
        <w:rPr>
          <w:rFonts w:ascii="宋体" w:hAnsi="宋体" w:cs="宋体"/>
          <w:sz w:val="24"/>
          <w:szCs w:val="24"/>
        </w:rPr>
      </w:r>
      <w:r/>
    </w:p>
    <w:p>
      <w:pPr>
        <w:pStyle w:val="1052"/>
        <w:numPr>
          <w:ilvl w:val="0"/>
          <w:numId w:val="89"/>
        </w:numPr>
        <w:ind w:left="845"/>
        <w:rPr>
          <w:rFonts w:ascii="宋体" w:hAnsi="宋体" w:cs="宋体"/>
          <w:sz w:val="24"/>
          <w:szCs w:val="24"/>
        </w:rPr>
      </w:pPr>
      <w:r>
        <w:rPr>
          <w:rFonts w:ascii="宋体" w:hAnsi="宋体" w:cs="宋体"/>
          <w:sz w:val="24"/>
          <w:szCs w:val="24"/>
        </w:rPr>
        <w:t xml:space="preserve">足月新生儿窒息率（支持校正）</w:t>
      </w:r>
      <w:r>
        <w:rPr>
          <w:rFonts w:ascii="宋体" w:hAnsi="宋体" w:cs="宋体"/>
          <w:sz w:val="24"/>
          <w:szCs w:val="24"/>
        </w:rPr>
      </w:r>
      <w:r/>
    </w:p>
    <w:p>
      <w:pPr>
        <w:pStyle w:val="1052"/>
        <w:numPr>
          <w:ilvl w:val="0"/>
          <w:numId w:val="89"/>
        </w:numPr>
        <w:ind w:left="845"/>
        <w:rPr>
          <w:rFonts w:ascii="宋体" w:hAnsi="宋体" w:cs="宋体"/>
          <w:sz w:val="24"/>
          <w:szCs w:val="24"/>
        </w:rPr>
      </w:pPr>
      <w:r>
        <w:rPr>
          <w:rFonts w:ascii="宋体" w:hAnsi="宋体" w:cs="宋体"/>
          <w:sz w:val="24"/>
          <w:szCs w:val="24"/>
        </w:rPr>
        <w:t xml:space="preserve">早产率、巨大儿发生率（支持校正）</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多维分析与质控闭环</w:t>
      </w:r>
      <w:r>
        <w:rPr>
          <w:rFonts w:ascii="宋体" w:hAnsi="宋体" w:cs="宋体"/>
          <w:sz w:val="24"/>
          <w:szCs w:val="24"/>
        </w:rPr>
      </w:r>
      <w:r/>
    </w:p>
    <w:p>
      <w:pPr>
        <w:pStyle w:val="1052"/>
        <w:numPr>
          <w:ilvl w:val="0"/>
          <w:numId w:val="90"/>
        </w:numPr>
        <w:ind w:left="845"/>
        <w:rPr>
          <w:rFonts w:ascii="宋体" w:hAnsi="宋体" w:cs="宋体"/>
          <w:sz w:val="24"/>
          <w:szCs w:val="24"/>
        </w:rPr>
      </w:pPr>
      <w:r>
        <w:rPr>
          <w:rFonts w:ascii="宋体" w:hAnsi="宋体" w:cs="宋体"/>
          <w:sz w:val="24"/>
          <w:szCs w:val="24"/>
        </w:rPr>
        <w:t xml:space="preserve">所有指标支持按时间、科室、医生、风险等级、分娩方式等维度进行分类统计；</w:t>
      </w:r>
      <w:r>
        <w:rPr>
          <w:rFonts w:ascii="宋体" w:hAnsi="宋体" w:cs="宋体"/>
          <w:sz w:val="24"/>
          <w:szCs w:val="24"/>
        </w:rPr>
      </w:r>
      <w:r/>
    </w:p>
    <w:p>
      <w:pPr>
        <w:pStyle w:val="1052"/>
        <w:numPr>
          <w:ilvl w:val="0"/>
          <w:numId w:val="90"/>
        </w:numPr>
        <w:ind w:left="845"/>
        <w:rPr>
          <w:rFonts w:ascii="宋体" w:hAnsi="宋体" w:cs="宋体"/>
          <w:sz w:val="24"/>
          <w:szCs w:val="24"/>
        </w:rPr>
      </w:pPr>
      <w:r>
        <w:rPr>
          <w:rFonts w:ascii="宋体" w:hAnsi="宋体" w:cs="宋体"/>
          <w:sz w:val="24"/>
          <w:szCs w:val="24"/>
        </w:rPr>
        <w:t xml:space="preserve">支持生成《高风险孕产妇管理月报》《危重孕产妇救治质量分析报告》；</w:t>
      </w:r>
      <w:r>
        <w:rPr>
          <w:rFonts w:ascii="宋体" w:hAnsi="宋体" w:cs="宋体"/>
          <w:sz w:val="24"/>
          <w:szCs w:val="24"/>
        </w:rPr>
      </w:r>
      <w:r/>
    </w:p>
    <w:p>
      <w:pPr>
        <w:pStyle w:val="1052"/>
        <w:numPr>
          <w:ilvl w:val="0"/>
          <w:numId w:val="90"/>
        </w:numPr>
        <w:ind w:left="845"/>
      </w:pPr>
      <w:r>
        <w:rPr>
          <w:rFonts w:ascii="宋体" w:hAnsi="宋体" w:cs="宋体"/>
          <w:sz w:val="24"/>
          <w:szCs w:val="24"/>
        </w:rPr>
        <w:t xml:space="preserve">对低于目标值的指标（如DDI达标率&lt;90%、预警响应率&lt;95%），系统自动识别异常、生成督办任务、推送至责任科室，并支持整改反馈与效果验证，实现“数据异常 → 任务督办 → 整改反馈 → 效果验证”闭环管理。</w:t>
      </w:r>
      <w:r/>
    </w:p>
    <w:p>
      <w:pPr>
        <w:pStyle w:val="1038"/>
        <w:keepLines/>
        <w:keepNext/>
        <w:spacing w:line="360" w:lineRule="auto"/>
        <w:rPr>
          <w:rFonts w:ascii="宋体" w:hAnsi="宋体" w:cs="宋体"/>
          <w:b/>
          <w:bCs/>
          <w:color w:val="000000"/>
          <w:sz w:val="24"/>
          <w:szCs w:val="24"/>
        </w:rPr>
        <w:outlineLvl w:val="3"/>
      </w:pPr>
      <w:r>
        <w:rPr>
          <w:rFonts w:hint="eastAsia" w:ascii="宋体" w:hAnsi="宋体" w:cs="宋体"/>
          <w:b/>
          <w:bCs/>
          <w:color w:val="000000"/>
          <w:sz w:val="24"/>
          <w:szCs w:val="24"/>
        </w:rPr>
        <w:t xml:space="preserve">2.2.4 更年期管理</w:t>
      </w:r>
      <w:r>
        <w:rPr>
          <w:rFonts w:ascii="宋体" w:hAnsi="宋体" w:cs="宋体"/>
          <w:b/>
          <w:bCs/>
          <w:color w:val="000000"/>
          <w:sz w:val="24"/>
          <w:szCs w:val="24"/>
        </w:rPr>
      </w:r>
      <w:r/>
    </w:p>
    <w:p>
      <w:pPr>
        <w:pStyle w:val="1043"/>
        <w:spacing w:before="0" w:after="0" w:line="360" w:lineRule="auto"/>
        <w:rPr>
          <w:rFonts w:ascii="宋体" w:hAnsi="宋体" w:cs="宋体"/>
        </w:rPr>
      </w:pPr>
      <w:r>
        <w:rPr>
          <w:rFonts w:hint="eastAsia" w:ascii="宋体" w:hAnsi="宋体" w:cs="宋体"/>
        </w:rPr>
        <w:t xml:space="preserve">2.2.4.1 专病模型管理</w:t>
      </w:r>
      <w:r>
        <w:rPr>
          <w:rFonts w:ascii="宋体" w:hAnsi="宋体" w:cs="宋体"/>
        </w:rPr>
      </w:r>
      <w:r/>
    </w:p>
    <w:p>
      <w:pPr>
        <w:pStyle w:val="1038"/>
        <w:numPr>
          <w:ilvl w:val="0"/>
          <w:numId w:val="91"/>
        </w:numPr>
        <w:spacing w:line="360" w:lineRule="auto"/>
        <w:rPr>
          <w:rFonts w:ascii="宋体" w:hAnsi="宋体" w:cs="宋体"/>
          <w:sz w:val="24"/>
          <w:szCs w:val="24"/>
        </w:rPr>
      </w:pPr>
      <w:r>
        <w:rPr>
          <w:rFonts w:hint="eastAsia" w:ascii="宋体" w:hAnsi="宋体" w:cs="宋体"/>
          <w:sz w:val="24"/>
          <w:szCs w:val="24"/>
        </w:rPr>
        <w:t xml:space="preserve">围绕“更年期”相关数据与研究范围，搭建专病模型体系；</w:t>
      </w:r>
      <w:r>
        <w:rPr>
          <w:rFonts w:ascii="宋体" w:hAnsi="宋体" w:cs="宋体"/>
          <w:sz w:val="24"/>
          <w:szCs w:val="24"/>
        </w:rPr>
      </w:r>
      <w:r/>
    </w:p>
    <w:p>
      <w:pPr>
        <w:pStyle w:val="1038"/>
        <w:numPr>
          <w:ilvl w:val="0"/>
          <w:numId w:val="91"/>
        </w:numPr>
        <w:spacing w:line="360" w:lineRule="auto"/>
        <w:rPr>
          <w:rFonts w:ascii="宋体" w:hAnsi="宋体" w:cs="宋体"/>
          <w:sz w:val="24"/>
          <w:szCs w:val="24"/>
        </w:rPr>
      </w:pPr>
      <w:r>
        <w:rPr>
          <w:rFonts w:hint="eastAsia" w:ascii="宋体" w:hAnsi="宋体" w:cs="宋体"/>
          <w:sz w:val="24"/>
          <w:szCs w:val="24"/>
        </w:rPr>
        <w:t xml:space="preserve">其他系统功能参看“</w:t>
      </w:r>
      <w:r>
        <w:rPr>
          <w:rFonts w:hint="eastAsia" w:ascii="宋体" w:hAnsi="宋体" w:cs="宋体"/>
          <w:b/>
          <w:bCs/>
          <w:color w:val="000000"/>
          <w:sz w:val="24"/>
          <w:szCs w:val="24"/>
        </w:rPr>
        <w:t xml:space="preserve">宫颈癌管理</w:t>
      </w:r>
      <w:r>
        <w:rPr>
          <w:rFonts w:hint="eastAsia" w:ascii="宋体" w:hAnsi="宋体" w:cs="宋体"/>
          <w:sz w:val="24"/>
          <w:szCs w:val="24"/>
        </w:rPr>
        <w:t xml:space="preserve">-专病模型管理-其他功能性要求”内功能要求。</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2.2.4.2 专病数据清洗与治理</w:t>
      </w:r>
      <w:r>
        <w:rPr>
          <w:rFonts w:ascii="宋体" w:hAnsi="宋体" w:cs="宋体"/>
        </w:rPr>
      </w:r>
      <w:r/>
    </w:p>
    <w:p>
      <w:pPr>
        <w:pStyle w:val="1038"/>
        <w:numPr>
          <w:ilvl w:val="0"/>
          <w:numId w:val="92"/>
        </w:numPr>
        <w:spacing w:line="360" w:lineRule="auto"/>
        <w:rPr>
          <w:rFonts w:ascii="宋体" w:hAnsi="宋体" w:cs="宋体"/>
          <w:sz w:val="24"/>
          <w:szCs w:val="24"/>
        </w:rPr>
      </w:pPr>
      <w:r>
        <w:rPr>
          <w:rFonts w:hint="eastAsia" w:ascii="宋体" w:hAnsi="宋体" w:cs="宋体"/>
          <w:sz w:val="24"/>
          <w:szCs w:val="24"/>
        </w:rPr>
        <w:t xml:space="preserve">支持针对更年期中的重点字段，设立字段必填率、值域合法性、数据新鲜度等校验规则；</w:t>
      </w:r>
      <w:r>
        <w:rPr>
          <w:rFonts w:ascii="宋体" w:hAnsi="宋体" w:cs="宋体"/>
          <w:sz w:val="24"/>
          <w:szCs w:val="24"/>
        </w:rPr>
      </w:r>
      <w:r/>
    </w:p>
    <w:p>
      <w:pPr>
        <w:pStyle w:val="1038"/>
        <w:numPr>
          <w:ilvl w:val="0"/>
          <w:numId w:val="92"/>
        </w:numPr>
        <w:spacing w:line="360" w:lineRule="auto"/>
        <w:rPr>
          <w:rFonts w:ascii="宋体" w:hAnsi="宋体" w:cs="宋体"/>
          <w:sz w:val="24"/>
          <w:szCs w:val="24"/>
        </w:rPr>
      </w:pPr>
      <w:r>
        <w:rPr>
          <w:rFonts w:hint="eastAsia" w:ascii="宋体" w:hAnsi="宋体" w:cs="宋体"/>
          <w:sz w:val="24"/>
          <w:szCs w:val="24"/>
        </w:rPr>
        <w:t xml:space="preserve">其他系统功能参看“</w:t>
      </w:r>
      <w:r>
        <w:rPr>
          <w:rFonts w:hint="eastAsia" w:ascii="宋体" w:hAnsi="宋体" w:cs="宋体"/>
          <w:b/>
          <w:bCs/>
          <w:color w:val="000000"/>
          <w:sz w:val="24"/>
          <w:szCs w:val="24"/>
        </w:rPr>
        <w:t xml:space="preserve">宫颈癌管理</w:t>
      </w:r>
      <w:r>
        <w:rPr>
          <w:rFonts w:hint="eastAsia" w:ascii="宋体" w:hAnsi="宋体" w:cs="宋体"/>
          <w:sz w:val="24"/>
          <w:szCs w:val="24"/>
        </w:rPr>
        <w:t xml:space="preserve">-专病数据清洗与治理-其他功能性要求”内功能要求。</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2.2.4.3 专病数据对接</w:t>
      </w:r>
      <w:r>
        <w:rPr>
          <w:rFonts w:ascii="宋体" w:hAnsi="宋体" w:cs="宋体"/>
        </w:rPr>
      </w:r>
      <w:r/>
    </w:p>
    <w:p>
      <w:pPr>
        <w:pStyle w:val="1038"/>
        <w:numPr>
          <w:ilvl w:val="0"/>
          <w:numId w:val="93"/>
        </w:numPr>
        <w:spacing w:line="360" w:lineRule="auto"/>
        <w:rPr>
          <w:rFonts w:ascii="宋体" w:hAnsi="宋体" w:cs="宋体"/>
          <w:sz w:val="24"/>
          <w:szCs w:val="24"/>
        </w:rPr>
      </w:pPr>
      <w:r>
        <w:rPr>
          <w:rFonts w:hint="eastAsia" w:ascii="宋体" w:hAnsi="宋体" w:cs="宋体"/>
          <w:sz w:val="24"/>
          <w:szCs w:val="24"/>
        </w:rPr>
        <w:t xml:space="preserve">围绕更年期管理中的需求对接的系统数据，对接包括区域数据中心、CDR、HIS、评估量表、LIS、手术管理、健康随访在内的第三方系统信息；</w:t>
      </w:r>
      <w:r>
        <w:rPr>
          <w:rFonts w:ascii="宋体" w:hAnsi="宋体" w:cs="宋体"/>
          <w:sz w:val="24"/>
          <w:szCs w:val="24"/>
        </w:rPr>
      </w:r>
      <w:r/>
    </w:p>
    <w:p>
      <w:pPr>
        <w:pStyle w:val="1038"/>
        <w:numPr>
          <w:ilvl w:val="0"/>
          <w:numId w:val="93"/>
        </w:numPr>
        <w:spacing w:line="360" w:lineRule="auto"/>
        <w:rPr>
          <w:rFonts w:ascii="宋体" w:hAnsi="宋体" w:cs="宋体"/>
          <w:sz w:val="24"/>
          <w:szCs w:val="24"/>
        </w:rPr>
      </w:pPr>
      <w:r>
        <w:rPr>
          <w:rFonts w:hint="eastAsia" w:ascii="宋体" w:hAnsi="宋体" w:cs="宋体"/>
          <w:sz w:val="24"/>
          <w:szCs w:val="24"/>
        </w:rPr>
        <w:t xml:space="preserve">其他系统功能参看“</w:t>
      </w:r>
      <w:r>
        <w:rPr>
          <w:rFonts w:hint="eastAsia" w:ascii="宋体" w:hAnsi="宋体" w:cs="宋体"/>
          <w:b/>
          <w:bCs/>
          <w:color w:val="000000"/>
          <w:sz w:val="24"/>
          <w:szCs w:val="24"/>
        </w:rPr>
        <w:t xml:space="preserve">宫颈癌管理</w:t>
      </w:r>
      <w:r>
        <w:rPr>
          <w:rFonts w:hint="eastAsia" w:ascii="宋体" w:hAnsi="宋体" w:cs="宋体"/>
          <w:sz w:val="24"/>
          <w:szCs w:val="24"/>
        </w:rPr>
        <w:t xml:space="preserve">-专病数据对接-其他功能性要求”内功能要求。</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2.2.4.4 数据检索服务</w:t>
      </w:r>
      <w:r>
        <w:rPr>
          <w:rFonts w:ascii="宋体" w:hAnsi="宋体" w:cs="宋体"/>
        </w:rPr>
      </w:r>
      <w:r/>
    </w:p>
    <w:p>
      <w:pPr>
        <w:pStyle w:val="1038"/>
        <w:numPr>
          <w:ilvl w:val="0"/>
          <w:numId w:val="94"/>
        </w:numPr>
        <w:spacing w:line="360" w:lineRule="auto"/>
        <w:rPr>
          <w:rFonts w:ascii="宋体" w:hAnsi="宋体" w:cs="宋体"/>
          <w:sz w:val="24"/>
          <w:szCs w:val="24"/>
        </w:rPr>
      </w:pPr>
      <w:r>
        <w:rPr>
          <w:rFonts w:hint="eastAsia" w:ascii="宋体" w:hAnsi="宋体" w:cs="宋体"/>
          <w:sz w:val="24"/>
          <w:szCs w:val="24"/>
        </w:rPr>
        <w:t xml:space="preserve">系统功能参看“</w:t>
      </w:r>
      <w:r>
        <w:rPr>
          <w:rFonts w:hint="eastAsia" w:ascii="宋体" w:hAnsi="宋体" w:cs="宋体"/>
          <w:b/>
          <w:bCs/>
          <w:color w:val="000000"/>
          <w:sz w:val="24"/>
          <w:szCs w:val="24"/>
        </w:rPr>
        <w:t xml:space="preserve">宫颈癌管理</w:t>
      </w:r>
      <w:r>
        <w:rPr>
          <w:rFonts w:hint="eastAsia" w:ascii="宋体" w:hAnsi="宋体" w:cs="宋体"/>
          <w:sz w:val="24"/>
          <w:szCs w:val="24"/>
        </w:rPr>
        <w:t xml:space="preserve">-数据检索服务-其他功能性要求”内功能要求。</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2.2.4.5 专病数据应用服务</w:t>
      </w:r>
      <w:r>
        <w:rPr>
          <w:rFonts w:ascii="宋体" w:hAnsi="宋体" w:cs="宋体"/>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个体化健康画像与状态面板</w:t>
      </w:r>
      <w:r>
        <w:rPr>
          <w:rFonts w:ascii="宋体" w:hAnsi="宋体" w:cs="宋体"/>
          <w:sz w:val="24"/>
          <w:szCs w:val="24"/>
        </w:rPr>
      </w:r>
      <w:r/>
    </w:p>
    <w:p>
      <w:pPr>
        <w:pStyle w:val="1038"/>
        <w:numPr>
          <w:ilvl w:val="0"/>
          <w:numId w:val="95"/>
        </w:numPr>
        <w:spacing w:line="360" w:lineRule="auto"/>
        <w:rPr>
          <w:rFonts w:ascii="宋体" w:hAnsi="宋体" w:cs="宋体"/>
          <w:sz w:val="24"/>
          <w:szCs w:val="24"/>
        </w:rPr>
      </w:pPr>
      <w:r>
        <w:rPr>
          <w:rFonts w:hint="eastAsia" w:ascii="宋体" w:hAnsi="宋体" w:cs="宋体"/>
          <w:sz w:val="24"/>
          <w:szCs w:val="24"/>
        </w:rPr>
        <w:t xml:space="preserve">支持基于模型评估结果与时间序列数据，自动生成个体更年期健康画像，包括当前状态（围绝经期/绝经后）、主要症状等级、激素波动趋势、骨密度风险级别、干预依从性等，供医生在门诊或随访场景中一键获取关键信息。</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服务路径智能推荐与任务调度</w:t>
      </w:r>
      <w:r>
        <w:rPr>
          <w:rFonts w:ascii="宋体" w:hAnsi="宋体" w:cs="宋体"/>
          <w:sz w:val="24"/>
          <w:szCs w:val="24"/>
        </w:rPr>
      </w:r>
      <w:r/>
    </w:p>
    <w:p>
      <w:pPr>
        <w:pStyle w:val="1038"/>
        <w:numPr>
          <w:ilvl w:val="0"/>
          <w:numId w:val="96"/>
        </w:numPr>
        <w:spacing w:line="360" w:lineRule="auto"/>
        <w:rPr>
          <w:rFonts w:ascii="宋体" w:hAnsi="宋体" w:cs="宋体"/>
          <w:sz w:val="24"/>
          <w:szCs w:val="24"/>
        </w:rPr>
      </w:pPr>
      <w:r>
        <w:rPr>
          <w:rFonts w:hint="eastAsia" w:ascii="宋体" w:hAnsi="宋体" w:cs="宋体"/>
          <w:sz w:val="24"/>
          <w:szCs w:val="24"/>
        </w:rPr>
        <w:t xml:space="preserve">支持根据评估结果与管理策略库，系统支持用户配置后续管理路径（如进行定期消息推送、随访服务等），并分发至相关责任人（医师、宣教员）任务清单，确保干预“有据可依、有人执行、有时限要求”。</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风险预警与干预提醒机制</w:t>
      </w:r>
      <w:r>
        <w:rPr>
          <w:rFonts w:ascii="宋体" w:hAnsi="宋体" w:cs="宋体"/>
          <w:sz w:val="24"/>
          <w:szCs w:val="24"/>
        </w:rPr>
      </w:r>
      <w:r/>
    </w:p>
    <w:p>
      <w:pPr>
        <w:pStyle w:val="1038"/>
        <w:numPr>
          <w:ilvl w:val="0"/>
          <w:numId w:val="97"/>
        </w:numPr>
        <w:spacing w:line="360" w:lineRule="auto"/>
        <w:rPr>
          <w:rFonts w:ascii="宋体" w:hAnsi="宋体" w:cs="宋体"/>
          <w:sz w:val="24"/>
          <w:szCs w:val="24"/>
        </w:rPr>
      </w:pPr>
      <w:r>
        <w:rPr>
          <w:rFonts w:hint="eastAsia" w:ascii="宋体" w:hAnsi="宋体" w:cs="宋体"/>
          <w:sz w:val="24"/>
          <w:szCs w:val="24"/>
        </w:rPr>
        <w:t xml:space="preserve">支持模型识别出如“骨密度下降趋势加快”“症状复发可能性上升”“激素水平异常波动”等风险信号后，自动发出多级预警，提示医护人员及时复评或调整治疗策略，防止健康状况恶化。</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2.2.4.6 量表管理</w:t>
      </w:r>
      <w:r>
        <w:rPr>
          <w:rFonts w:ascii="宋体" w:hAnsi="宋体" w:cs="宋体"/>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量表库标准化建设</w:t>
      </w:r>
      <w:r>
        <w:rPr>
          <w:rFonts w:ascii="宋体" w:hAnsi="宋体" w:cs="宋体"/>
          <w:sz w:val="24"/>
          <w:szCs w:val="24"/>
        </w:rPr>
      </w:r>
      <w:r/>
    </w:p>
    <w:p>
      <w:pPr>
        <w:pStyle w:val="1038"/>
        <w:numPr>
          <w:ilvl w:val="0"/>
          <w:numId w:val="98"/>
        </w:numPr>
        <w:spacing w:line="360" w:lineRule="auto"/>
        <w:rPr>
          <w:rFonts w:ascii="宋体" w:hAnsi="宋体" w:cs="宋体"/>
          <w:sz w:val="24"/>
          <w:szCs w:val="24"/>
        </w:rPr>
      </w:pPr>
      <w:r>
        <w:rPr>
          <w:rFonts w:hint="eastAsia" w:ascii="宋体" w:hAnsi="宋体" w:cs="宋体"/>
          <w:sz w:val="24"/>
          <w:szCs w:val="24"/>
        </w:rPr>
        <w:t xml:space="preserve">支持结构化管理更年期常用量表，每个量表题目、选项、评分规则均标准建模；</w:t>
      </w:r>
      <w:r>
        <w:rPr>
          <w:rFonts w:ascii="宋体" w:hAnsi="宋体" w:cs="宋体"/>
          <w:sz w:val="24"/>
          <w:szCs w:val="24"/>
        </w:rPr>
      </w:r>
      <w:r/>
    </w:p>
    <w:p>
      <w:pPr>
        <w:pStyle w:val="1038"/>
        <w:numPr>
          <w:ilvl w:val="0"/>
          <w:numId w:val="98"/>
        </w:numPr>
        <w:spacing w:line="360" w:lineRule="auto"/>
        <w:rPr>
          <w:rFonts w:ascii="宋体" w:hAnsi="宋体" w:cs="宋体"/>
          <w:sz w:val="24"/>
          <w:szCs w:val="24"/>
        </w:rPr>
      </w:pPr>
      <w:r>
        <w:rPr>
          <w:rFonts w:hint="eastAsia" w:ascii="宋体" w:hAnsi="宋体" w:cs="宋体"/>
          <w:sz w:val="24"/>
          <w:szCs w:val="24"/>
        </w:rPr>
        <w:t xml:space="preserve">支持新增定制量表与版本管理。</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结构化填写与自动评分机制</w:t>
      </w:r>
      <w:r>
        <w:rPr>
          <w:rFonts w:ascii="宋体" w:hAnsi="宋体" w:cs="宋体"/>
          <w:sz w:val="24"/>
          <w:szCs w:val="24"/>
        </w:rPr>
      </w:r>
      <w:r/>
    </w:p>
    <w:p>
      <w:pPr>
        <w:pStyle w:val="1038"/>
        <w:numPr>
          <w:ilvl w:val="0"/>
          <w:numId w:val="99"/>
        </w:numPr>
        <w:spacing w:line="360" w:lineRule="auto"/>
        <w:rPr>
          <w:rFonts w:ascii="宋体" w:hAnsi="宋体" w:cs="宋体"/>
          <w:sz w:val="24"/>
          <w:szCs w:val="24"/>
        </w:rPr>
      </w:pPr>
      <w:r>
        <w:rPr>
          <w:rFonts w:hint="eastAsia" w:ascii="宋体" w:hAnsi="宋体" w:cs="宋体"/>
          <w:sz w:val="24"/>
          <w:szCs w:val="24"/>
        </w:rPr>
        <w:t xml:space="preserve">支持医生或个体在线填写或引导填写量表；</w:t>
      </w:r>
      <w:r>
        <w:rPr>
          <w:rFonts w:ascii="宋体" w:hAnsi="宋体" w:cs="宋体"/>
          <w:sz w:val="24"/>
          <w:szCs w:val="24"/>
        </w:rPr>
      </w:r>
      <w:r/>
    </w:p>
    <w:p>
      <w:pPr>
        <w:pStyle w:val="1038"/>
        <w:numPr>
          <w:ilvl w:val="0"/>
          <w:numId w:val="99"/>
        </w:numPr>
        <w:spacing w:line="360" w:lineRule="auto"/>
        <w:rPr>
          <w:rFonts w:ascii="宋体" w:hAnsi="宋体" w:cs="宋体"/>
          <w:sz w:val="24"/>
          <w:szCs w:val="24"/>
        </w:rPr>
      </w:pPr>
      <w:r>
        <w:rPr>
          <w:rFonts w:hint="eastAsia" w:ascii="宋体" w:hAnsi="宋体" w:cs="宋体"/>
          <w:sz w:val="24"/>
          <w:szCs w:val="24"/>
        </w:rPr>
        <w:t xml:space="preserve">支持系统自动完成评分计。</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评估结果多维呈现</w:t>
      </w:r>
      <w:r>
        <w:rPr>
          <w:rFonts w:ascii="宋体" w:hAnsi="宋体" w:cs="宋体"/>
          <w:sz w:val="24"/>
          <w:szCs w:val="24"/>
        </w:rPr>
      </w:r>
      <w:r/>
    </w:p>
    <w:p>
      <w:pPr>
        <w:pStyle w:val="1038"/>
        <w:numPr>
          <w:ilvl w:val="0"/>
          <w:numId w:val="100"/>
        </w:numPr>
        <w:spacing w:line="360" w:lineRule="auto"/>
        <w:rPr>
          <w:rFonts w:ascii="宋体" w:hAnsi="宋体" w:cs="宋体"/>
          <w:sz w:val="24"/>
          <w:szCs w:val="24"/>
        </w:rPr>
      </w:pPr>
      <w:r>
        <w:rPr>
          <w:rFonts w:hint="eastAsia" w:ascii="宋体" w:hAnsi="宋体" w:cs="宋体"/>
          <w:sz w:val="24"/>
          <w:szCs w:val="24"/>
        </w:rPr>
        <w:t xml:space="preserve">支持系统将自动对评分结果进行等级划分（如轻度、中度、重度），并结合历史评估形成趋势图</w:t>
      </w:r>
      <w:r>
        <w:rPr>
          <w:rFonts w:ascii="宋体" w:hAnsi="宋体" w:cs="宋体"/>
          <w:sz w:val="24"/>
          <w:szCs w:val="24"/>
        </w:rPr>
      </w:r>
      <w:r/>
    </w:p>
    <w:p>
      <w:pPr>
        <w:pStyle w:val="1038"/>
        <w:numPr>
          <w:ilvl w:val="0"/>
          <w:numId w:val="100"/>
        </w:numPr>
        <w:spacing w:line="360" w:lineRule="auto"/>
        <w:rPr>
          <w:rFonts w:ascii="宋体" w:hAnsi="宋体" w:cs="宋体"/>
          <w:sz w:val="24"/>
          <w:szCs w:val="24"/>
        </w:rPr>
      </w:pPr>
      <w:r>
        <w:rPr>
          <w:rFonts w:hint="eastAsia" w:ascii="宋体" w:hAnsi="宋体" w:cs="宋体"/>
          <w:sz w:val="24"/>
          <w:szCs w:val="24"/>
        </w:rPr>
        <w:t xml:space="preserve">支持医生快速判断病程演变与干预效果，模型也可据此动态调整个体管理路径。</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量表与宣教、服务联动机制</w:t>
      </w:r>
      <w:r>
        <w:rPr>
          <w:rFonts w:ascii="宋体" w:hAnsi="宋体" w:cs="宋体"/>
          <w:sz w:val="24"/>
          <w:szCs w:val="24"/>
        </w:rPr>
      </w:r>
      <w:r/>
    </w:p>
    <w:p>
      <w:pPr>
        <w:pStyle w:val="1038"/>
        <w:numPr>
          <w:ilvl w:val="0"/>
          <w:numId w:val="101"/>
        </w:numPr>
        <w:spacing w:line="360" w:lineRule="auto"/>
        <w:rPr>
          <w:rFonts w:ascii="宋体" w:hAnsi="宋体" w:cs="宋体"/>
          <w:sz w:val="24"/>
          <w:szCs w:val="24"/>
        </w:rPr>
      </w:pPr>
      <w:r>
        <w:rPr>
          <w:rFonts w:hint="eastAsia" w:ascii="宋体" w:hAnsi="宋体" w:cs="宋体"/>
          <w:sz w:val="24"/>
          <w:szCs w:val="24"/>
        </w:rPr>
        <w:t xml:space="preserve">根据量表评分结果，支持自动关联推荐相关宣教内容（如潮热缓解方案、情绪调节训练等）与个性化干预路径，推动评估结果与后续服务自然衔接。</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2.2.4.7 干预方案分组与统计</w:t>
      </w:r>
      <w:r>
        <w:rPr>
          <w:rFonts w:ascii="宋体" w:hAnsi="宋体" w:cs="宋体"/>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干预响应与疗效量化评估</w:t>
      </w:r>
      <w:r>
        <w:rPr>
          <w:rFonts w:ascii="宋体" w:hAnsi="宋体" w:cs="宋体"/>
          <w:sz w:val="24"/>
          <w:szCs w:val="24"/>
        </w:rPr>
      </w:r>
      <w:r/>
    </w:p>
    <w:p>
      <w:pPr>
        <w:pStyle w:val="1038"/>
        <w:numPr>
          <w:ilvl w:val="0"/>
          <w:numId w:val="102"/>
        </w:numPr>
        <w:spacing w:line="360" w:lineRule="auto"/>
        <w:rPr>
          <w:rFonts w:ascii="宋体" w:hAnsi="宋体" w:cs="宋体"/>
          <w:sz w:val="24"/>
          <w:szCs w:val="24"/>
        </w:rPr>
      </w:pPr>
      <w:r>
        <w:rPr>
          <w:rFonts w:hint="eastAsia" w:ascii="宋体" w:hAnsi="宋体" w:cs="宋体"/>
          <w:sz w:val="24"/>
          <w:szCs w:val="24"/>
        </w:rPr>
        <w:t xml:space="preserve">支持自动比对干预前后关键指标变化，形成可量化的疗效评估报告。</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人群分组对比与疗效归因</w:t>
      </w:r>
      <w:r>
        <w:rPr>
          <w:rFonts w:ascii="宋体" w:hAnsi="宋体" w:cs="宋体"/>
          <w:sz w:val="24"/>
          <w:szCs w:val="24"/>
        </w:rPr>
      </w:r>
      <w:r/>
    </w:p>
    <w:p>
      <w:pPr>
        <w:pStyle w:val="1038"/>
        <w:numPr>
          <w:ilvl w:val="0"/>
          <w:numId w:val="103"/>
        </w:numPr>
        <w:spacing w:line="360" w:lineRule="auto"/>
        <w:rPr>
          <w:rFonts w:ascii="宋体" w:hAnsi="宋体" w:cs="宋体"/>
          <w:sz w:val="24"/>
          <w:szCs w:val="24"/>
        </w:rPr>
      </w:pPr>
      <w:r>
        <w:rPr>
          <w:rFonts w:hint="eastAsia" w:ascii="宋体" w:hAnsi="宋体" w:cs="宋体"/>
          <w:sz w:val="24"/>
          <w:szCs w:val="24"/>
        </w:rPr>
        <w:t xml:space="preserve">支持对不同人群在不同干预策略下的疗效差异进行对比分析。</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2.2.4.8 数据统计与分析</w:t>
      </w:r>
      <w:r>
        <w:rPr>
          <w:rFonts w:ascii="宋体" w:hAnsi="宋体" w:cs="宋体"/>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关键指标自动统计与趋势追踪</w:t>
      </w:r>
      <w:r>
        <w:rPr>
          <w:rFonts w:ascii="宋体" w:hAnsi="宋体" w:cs="宋体"/>
          <w:sz w:val="24"/>
          <w:szCs w:val="24"/>
        </w:rPr>
      </w:r>
      <w:r/>
    </w:p>
    <w:p>
      <w:pPr>
        <w:pStyle w:val="1038"/>
        <w:numPr>
          <w:ilvl w:val="0"/>
          <w:numId w:val="104"/>
        </w:numPr>
        <w:spacing w:line="360" w:lineRule="auto"/>
        <w:rPr>
          <w:rFonts w:ascii="宋体" w:hAnsi="宋体" w:cs="宋体"/>
          <w:sz w:val="24"/>
          <w:szCs w:val="24"/>
        </w:rPr>
      </w:pPr>
      <w:r>
        <w:rPr>
          <w:rFonts w:hint="eastAsia" w:ascii="宋体" w:hAnsi="宋体" w:cs="宋体"/>
          <w:sz w:val="24"/>
          <w:szCs w:val="24"/>
        </w:rPr>
        <w:t xml:space="preserve">支持自动汇总更年期人群各类关键指标，包括：症状发生率与严重程度分、激素异常率、骨密度异常率、跌倒风险占比、不同阶段人群比例、干预覆盖率、依从率、中断率、缓解率；</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干预效果与路径效果对比分析</w:t>
      </w:r>
      <w:r>
        <w:rPr>
          <w:rFonts w:ascii="宋体" w:hAnsi="宋体" w:cs="宋体"/>
          <w:sz w:val="24"/>
          <w:szCs w:val="24"/>
        </w:rPr>
      </w:r>
      <w:r/>
    </w:p>
    <w:p>
      <w:pPr>
        <w:pStyle w:val="1038"/>
        <w:numPr>
          <w:ilvl w:val="0"/>
          <w:numId w:val="105"/>
        </w:numPr>
        <w:spacing w:line="360" w:lineRule="auto"/>
        <w:rPr>
          <w:rFonts w:ascii="宋体" w:hAnsi="宋体" w:cs="宋体"/>
          <w:sz w:val="24"/>
          <w:szCs w:val="24"/>
        </w:rPr>
      </w:pPr>
      <w:r>
        <w:rPr>
          <w:rFonts w:hint="eastAsia" w:ascii="宋体" w:hAnsi="宋体" w:cs="宋体"/>
          <w:sz w:val="24"/>
          <w:szCs w:val="24"/>
        </w:rPr>
        <w:t xml:space="preserve">支持基于模型识别和服务记录，系统可对不同干预策略在不同人群中的疗效进行对比分析，识别更优路径和敏感人群，支撑个性化服务优化。</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数据导出与科研接口支持</w:t>
      </w:r>
      <w:r>
        <w:rPr>
          <w:rFonts w:ascii="宋体" w:hAnsi="宋体" w:cs="宋体"/>
          <w:sz w:val="24"/>
          <w:szCs w:val="24"/>
        </w:rPr>
      </w:r>
      <w:r/>
    </w:p>
    <w:p>
      <w:pPr>
        <w:pStyle w:val="1038"/>
        <w:numPr>
          <w:ilvl w:val="0"/>
          <w:numId w:val="106"/>
        </w:numPr>
        <w:spacing w:line="360" w:lineRule="auto"/>
        <w:rPr>
          <w:rFonts w:ascii="宋体" w:hAnsi="宋体" w:cs="宋体"/>
          <w:sz w:val="24"/>
          <w:szCs w:val="24"/>
        </w:rPr>
      </w:pPr>
      <w:r>
        <w:rPr>
          <w:rFonts w:hint="eastAsia" w:ascii="宋体" w:hAnsi="宋体" w:cs="宋体"/>
          <w:sz w:val="24"/>
          <w:szCs w:val="24"/>
        </w:rPr>
        <w:t xml:space="preserve">支持所有统计数据可按需导出</w:t>
      </w:r>
      <w:r>
        <w:rPr>
          <w:rFonts w:ascii="宋体" w:hAnsi="宋体" w:cs="宋体"/>
          <w:sz w:val="24"/>
          <w:szCs w:val="24"/>
        </w:rPr>
      </w:r>
      <w:r/>
    </w:p>
    <w:p>
      <w:pPr>
        <w:pStyle w:val="1038"/>
        <w:numPr>
          <w:ilvl w:val="0"/>
          <w:numId w:val="106"/>
        </w:numPr>
        <w:spacing w:line="360" w:lineRule="auto"/>
        <w:rPr>
          <w:rFonts w:ascii="宋体" w:hAnsi="宋体" w:cs="宋体"/>
          <w:sz w:val="24"/>
          <w:szCs w:val="24"/>
        </w:rPr>
      </w:pPr>
      <w:r>
        <w:rPr>
          <w:rFonts w:hint="eastAsia" w:ascii="宋体" w:hAnsi="宋体" w:cs="宋体"/>
          <w:sz w:val="24"/>
          <w:szCs w:val="24"/>
        </w:rPr>
        <w:t xml:space="preserve">支持CSV、Excel、图表图片等多格式，同时预留科研接口，用于联合课题研究与区域妇女健康专题分析。</w:t>
      </w:r>
      <w:r>
        <w:rPr>
          <w:rFonts w:ascii="宋体" w:hAnsi="宋体" w:cs="宋体"/>
          <w:sz w:val="24"/>
          <w:szCs w:val="24"/>
        </w:rPr>
      </w:r>
      <w:r/>
    </w:p>
    <w:p>
      <w:pPr>
        <w:pStyle w:val="1042"/>
        <w:rPr>
          <w:rFonts w:ascii="宋体" w:hAnsi="宋体" w:eastAsia="宋体" w:cs="宋体"/>
          <w:b w:val="0"/>
          <w:bCs w:val="0"/>
          <w:sz w:val="24"/>
          <w:szCs w:val="24"/>
        </w:rPr>
      </w:pPr>
      <w:r>
        <w:rPr>
          <w:rFonts w:hint="eastAsia" w:ascii="宋体" w:hAnsi="宋体" w:eastAsia="宋体" w:cs="宋体"/>
          <w:sz w:val="24"/>
          <w:szCs w:val="24"/>
        </w:rPr>
        <w:t xml:space="preserve">2.2.5青春期管理</w:t>
      </w:r>
      <w:r>
        <w:rPr>
          <w:rFonts w:ascii="宋体" w:hAnsi="宋体" w:eastAsia="宋体" w:cs="宋体"/>
          <w:b w:val="0"/>
          <w:bCs w:val="0"/>
          <w:sz w:val="24"/>
          <w:szCs w:val="24"/>
        </w:rPr>
      </w:r>
      <w:r/>
    </w:p>
    <w:p>
      <w:pPr>
        <w:pStyle w:val="1043"/>
        <w:rPr>
          <w:rFonts w:ascii="宋体" w:hAnsi="宋体" w:cs="宋体"/>
        </w:rPr>
      </w:pPr>
      <w:r>
        <w:rPr>
          <w:rFonts w:hint="eastAsia" w:ascii="宋体" w:hAnsi="宋体" w:cs="宋体"/>
        </w:rPr>
        <w:t xml:space="preserve">2.2.5.1 专病模型管理</w:t>
      </w:r>
      <w:r>
        <w:rPr>
          <w:rFonts w:ascii="宋体" w:hAnsi="宋体" w:cs="宋体"/>
        </w:rPr>
      </w:r>
      <w:r/>
    </w:p>
    <w:p>
      <w:pPr>
        <w:pStyle w:val="1038"/>
        <w:numPr>
          <w:ilvl w:val="0"/>
          <w:numId w:val="107"/>
        </w:numPr>
        <w:spacing w:line="360" w:lineRule="auto"/>
        <w:rPr>
          <w:rFonts w:ascii="宋体" w:hAnsi="宋体" w:cs="宋体"/>
          <w:sz w:val="24"/>
          <w:szCs w:val="24"/>
        </w:rPr>
      </w:pPr>
      <w:r>
        <w:rPr>
          <w:rFonts w:hint="eastAsia" w:ascii="宋体" w:hAnsi="宋体" w:cs="宋体"/>
          <w:sz w:val="24"/>
          <w:szCs w:val="24"/>
        </w:rPr>
        <w:t xml:space="preserve">围绕“青春期”相关数据与研究范围，搭建专病模型体系；</w:t>
      </w:r>
      <w:r>
        <w:rPr>
          <w:rFonts w:ascii="宋体" w:hAnsi="宋体" w:cs="宋体"/>
          <w:sz w:val="24"/>
          <w:szCs w:val="24"/>
        </w:rPr>
      </w:r>
      <w:r/>
    </w:p>
    <w:p>
      <w:pPr>
        <w:pStyle w:val="1038"/>
        <w:numPr>
          <w:ilvl w:val="0"/>
          <w:numId w:val="107"/>
        </w:numPr>
        <w:spacing w:line="360" w:lineRule="auto"/>
        <w:rPr>
          <w:rFonts w:ascii="宋体" w:hAnsi="宋体" w:cs="宋体"/>
          <w:sz w:val="24"/>
          <w:szCs w:val="24"/>
        </w:rPr>
      </w:pPr>
      <w:r>
        <w:rPr>
          <w:rFonts w:hint="eastAsia" w:ascii="宋体" w:hAnsi="宋体" w:cs="宋体"/>
          <w:sz w:val="24"/>
          <w:szCs w:val="24"/>
        </w:rPr>
        <w:t xml:space="preserve">其他系统功能参看“</w:t>
      </w:r>
      <w:r>
        <w:rPr>
          <w:rFonts w:hint="eastAsia" w:ascii="宋体" w:hAnsi="宋体" w:cs="宋体"/>
          <w:b/>
          <w:bCs/>
          <w:color w:val="000000"/>
          <w:sz w:val="24"/>
          <w:szCs w:val="24"/>
        </w:rPr>
        <w:t xml:space="preserve">宫颈癌管理</w:t>
      </w:r>
      <w:r>
        <w:rPr>
          <w:rFonts w:hint="eastAsia" w:ascii="宋体" w:hAnsi="宋体" w:cs="宋体"/>
          <w:sz w:val="24"/>
          <w:szCs w:val="24"/>
        </w:rPr>
        <w:t xml:space="preserve">-专病模型管理-其他功能性要求”内功能要求。</w:t>
      </w:r>
      <w:r>
        <w:rPr>
          <w:rFonts w:ascii="宋体" w:hAnsi="宋体" w:cs="宋体"/>
          <w:sz w:val="24"/>
          <w:szCs w:val="24"/>
        </w:rPr>
      </w:r>
      <w:r/>
    </w:p>
    <w:p>
      <w:pPr>
        <w:pStyle w:val="1043"/>
        <w:rPr>
          <w:rFonts w:ascii="宋体" w:hAnsi="宋体" w:cs="宋体"/>
        </w:rPr>
      </w:pPr>
      <w:r>
        <w:rPr>
          <w:rFonts w:hint="eastAsia" w:ascii="宋体" w:hAnsi="宋体" w:cs="宋体"/>
        </w:rPr>
        <w:t xml:space="preserve">2.2.5.2 专病数据清洗与治理</w:t>
      </w:r>
      <w:r>
        <w:rPr>
          <w:rFonts w:ascii="宋体" w:hAnsi="宋体" w:cs="宋体"/>
        </w:rPr>
      </w:r>
      <w:r/>
    </w:p>
    <w:p>
      <w:pPr>
        <w:pStyle w:val="1038"/>
        <w:numPr>
          <w:ilvl w:val="0"/>
          <w:numId w:val="108"/>
        </w:numPr>
        <w:spacing w:line="360" w:lineRule="auto"/>
        <w:rPr>
          <w:rFonts w:ascii="宋体" w:hAnsi="宋体" w:cs="宋体"/>
          <w:sz w:val="24"/>
          <w:szCs w:val="24"/>
        </w:rPr>
      </w:pPr>
      <w:r>
        <w:rPr>
          <w:rFonts w:hint="eastAsia" w:ascii="宋体" w:hAnsi="宋体" w:cs="宋体"/>
          <w:sz w:val="24"/>
          <w:szCs w:val="24"/>
        </w:rPr>
        <w:t xml:space="preserve">支持针对青春期中的重点字段，设立字段必填率、值域合法性、数据新鲜度等校验规则；</w:t>
      </w:r>
      <w:r>
        <w:rPr>
          <w:rFonts w:ascii="宋体" w:hAnsi="宋体" w:cs="宋体"/>
          <w:sz w:val="24"/>
          <w:szCs w:val="24"/>
        </w:rPr>
      </w:r>
      <w:r/>
    </w:p>
    <w:p>
      <w:pPr>
        <w:pStyle w:val="1038"/>
        <w:numPr>
          <w:ilvl w:val="0"/>
          <w:numId w:val="108"/>
        </w:numPr>
        <w:spacing w:line="360" w:lineRule="auto"/>
        <w:rPr>
          <w:rFonts w:ascii="宋体" w:hAnsi="宋体" w:cs="宋体"/>
          <w:sz w:val="24"/>
          <w:szCs w:val="24"/>
        </w:rPr>
      </w:pPr>
      <w:r>
        <w:rPr>
          <w:rFonts w:hint="eastAsia" w:ascii="宋体" w:hAnsi="宋体" w:cs="宋体"/>
          <w:sz w:val="24"/>
          <w:szCs w:val="24"/>
        </w:rPr>
        <w:t xml:space="preserve">其他系统功能参看“</w:t>
      </w:r>
      <w:r>
        <w:rPr>
          <w:rFonts w:hint="eastAsia" w:ascii="宋体" w:hAnsi="宋体" w:cs="宋体"/>
          <w:b/>
          <w:bCs/>
          <w:color w:val="000000"/>
          <w:sz w:val="24"/>
          <w:szCs w:val="24"/>
        </w:rPr>
        <w:t xml:space="preserve">宫颈癌管理</w:t>
      </w:r>
      <w:r>
        <w:rPr>
          <w:rFonts w:hint="eastAsia" w:ascii="宋体" w:hAnsi="宋体" w:cs="宋体"/>
          <w:sz w:val="24"/>
          <w:szCs w:val="24"/>
        </w:rPr>
        <w:t xml:space="preserve">-专病数据清洗与治理-其他功能性要求”内功能要求。</w:t>
      </w:r>
      <w:r>
        <w:rPr>
          <w:rFonts w:ascii="宋体" w:hAnsi="宋体" w:cs="宋体"/>
          <w:sz w:val="24"/>
          <w:szCs w:val="24"/>
        </w:rPr>
      </w:r>
      <w:r/>
    </w:p>
    <w:p>
      <w:pPr>
        <w:pStyle w:val="1043"/>
        <w:rPr>
          <w:rFonts w:ascii="宋体" w:hAnsi="宋体" w:cs="宋体"/>
        </w:rPr>
      </w:pPr>
      <w:r>
        <w:rPr>
          <w:rFonts w:hint="eastAsia" w:ascii="宋体" w:hAnsi="宋体" w:cs="宋体"/>
        </w:rPr>
        <w:t xml:space="preserve">2.2.5.3 专病数据对接</w:t>
      </w:r>
      <w:r>
        <w:rPr>
          <w:rFonts w:ascii="宋体" w:hAnsi="宋体" w:cs="宋体"/>
        </w:rPr>
      </w:r>
      <w:r/>
    </w:p>
    <w:p>
      <w:pPr>
        <w:pStyle w:val="1038"/>
        <w:numPr>
          <w:ilvl w:val="0"/>
          <w:numId w:val="109"/>
        </w:numPr>
        <w:spacing w:line="360" w:lineRule="auto"/>
        <w:rPr>
          <w:rFonts w:ascii="宋体" w:hAnsi="宋体" w:cs="宋体"/>
          <w:sz w:val="24"/>
          <w:szCs w:val="24"/>
        </w:rPr>
      </w:pPr>
      <w:r>
        <w:rPr>
          <w:rFonts w:hint="eastAsia" w:ascii="宋体" w:hAnsi="宋体" w:cs="宋体"/>
          <w:sz w:val="24"/>
          <w:szCs w:val="24"/>
        </w:rPr>
        <w:t xml:space="preserve">围绕青春期管理中的需求对接的系统数据，对接包括区域数据中心、CDR、HIS、评估量表、LIS、手术管理、健康随访在内的第三方系统信息；</w:t>
      </w:r>
      <w:r>
        <w:rPr>
          <w:rFonts w:ascii="宋体" w:hAnsi="宋体" w:cs="宋体"/>
          <w:sz w:val="24"/>
          <w:szCs w:val="24"/>
        </w:rPr>
      </w:r>
      <w:r/>
    </w:p>
    <w:p>
      <w:pPr>
        <w:pStyle w:val="1038"/>
        <w:numPr>
          <w:ilvl w:val="0"/>
          <w:numId w:val="109"/>
        </w:numPr>
        <w:spacing w:line="360" w:lineRule="auto"/>
        <w:rPr>
          <w:rFonts w:ascii="宋体" w:hAnsi="宋体" w:cs="宋体"/>
          <w:sz w:val="24"/>
          <w:szCs w:val="24"/>
        </w:rPr>
      </w:pPr>
      <w:r>
        <w:rPr>
          <w:rFonts w:hint="eastAsia" w:ascii="宋体" w:hAnsi="宋体" w:cs="宋体"/>
          <w:sz w:val="24"/>
          <w:szCs w:val="24"/>
        </w:rPr>
        <w:t xml:space="preserve">其他系统功能参看“</w:t>
      </w:r>
      <w:r>
        <w:rPr>
          <w:rFonts w:hint="eastAsia" w:ascii="宋体" w:hAnsi="宋体" w:cs="宋体"/>
          <w:b/>
          <w:bCs/>
          <w:color w:val="000000"/>
          <w:sz w:val="24"/>
          <w:szCs w:val="24"/>
        </w:rPr>
        <w:t xml:space="preserve">宫颈癌管理</w:t>
      </w:r>
      <w:r>
        <w:rPr>
          <w:rFonts w:hint="eastAsia" w:ascii="宋体" w:hAnsi="宋体" w:cs="宋体"/>
          <w:sz w:val="24"/>
          <w:szCs w:val="24"/>
        </w:rPr>
        <w:t xml:space="preserve">-专病数据对接-其他功能性要求”内功能要求。</w:t>
      </w:r>
      <w:r>
        <w:rPr>
          <w:rFonts w:ascii="宋体" w:hAnsi="宋体" w:cs="宋体"/>
          <w:sz w:val="24"/>
          <w:szCs w:val="24"/>
        </w:rPr>
      </w:r>
      <w:r/>
    </w:p>
    <w:p>
      <w:pPr>
        <w:pStyle w:val="1043"/>
        <w:rPr>
          <w:rFonts w:ascii="宋体" w:hAnsi="宋体" w:cs="宋体"/>
        </w:rPr>
      </w:pPr>
      <w:r>
        <w:rPr>
          <w:rFonts w:hint="eastAsia" w:ascii="宋体" w:hAnsi="宋体" w:cs="宋体"/>
        </w:rPr>
        <w:t xml:space="preserve">2.2.5.4 数据检索服务</w:t>
      </w:r>
      <w:r>
        <w:rPr>
          <w:rFonts w:ascii="宋体" w:hAnsi="宋体" w:cs="宋体"/>
        </w:rPr>
      </w:r>
      <w:r/>
    </w:p>
    <w:p>
      <w:pPr>
        <w:pStyle w:val="1038"/>
        <w:numPr>
          <w:ilvl w:val="0"/>
          <w:numId w:val="110"/>
        </w:numPr>
        <w:spacing w:line="360" w:lineRule="auto"/>
        <w:rPr>
          <w:rFonts w:ascii="宋体" w:hAnsi="宋体" w:cs="宋体"/>
          <w:sz w:val="24"/>
          <w:szCs w:val="24"/>
        </w:rPr>
      </w:pPr>
      <w:r>
        <w:rPr>
          <w:rFonts w:hint="eastAsia" w:ascii="宋体" w:hAnsi="宋体" w:cs="宋体"/>
          <w:sz w:val="24"/>
          <w:szCs w:val="24"/>
        </w:rPr>
        <w:t xml:space="preserve">系统功能参看“</w:t>
      </w:r>
      <w:r>
        <w:rPr>
          <w:rFonts w:hint="eastAsia" w:ascii="宋体" w:hAnsi="宋体" w:cs="宋体"/>
          <w:b/>
          <w:bCs/>
          <w:color w:val="000000"/>
          <w:sz w:val="24"/>
          <w:szCs w:val="24"/>
        </w:rPr>
        <w:t xml:space="preserve">宫颈癌管理</w:t>
      </w:r>
      <w:r>
        <w:rPr>
          <w:rFonts w:hint="eastAsia" w:ascii="宋体" w:hAnsi="宋体" w:cs="宋体"/>
          <w:sz w:val="24"/>
          <w:szCs w:val="24"/>
        </w:rPr>
        <w:t xml:space="preserve">-数据检索服务-其他功能性要求”内功能要求。</w:t>
      </w:r>
      <w:r>
        <w:rPr>
          <w:rFonts w:ascii="宋体" w:hAnsi="宋体" w:cs="宋体"/>
          <w:sz w:val="24"/>
          <w:szCs w:val="24"/>
        </w:rPr>
      </w:r>
      <w:r/>
    </w:p>
    <w:p>
      <w:pPr>
        <w:pStyle w:val="1043"/>
        <w:rPr>
          <w:rFonts w:ascii="宋体" w:hAnsi="宋体" w:cs="宋体"/>
        </w:rPr>
      </w:pPr>
      <w:r>
        <w:rPr>
          <w:rFonts w:hint="eastAsia" w:ascii="宋体" w:hAnsi="宋体" w:cs="宋体"/>
        </w:rPr>
        <w:t xml:space="preserve">2.2.5.5专病数据应用服务</w:t>
      </w:r>
      <w:r>
        <w:rPr>
          <w:rFonts w:ascii="宋体" w:hAnsi="宋体" w:cs="宋体"/>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青春期个案健康画像生成</w:t>
      </w:r>
      <w:r>
        <w:rPr>
          <w:rFonts w:ascii="宋体" w:hAnsi="宋体" w:cs="宋体"/>
          <w:sz w:val="24"/>
          <w:szCs w:val="24"/>
        </w:rPr>
      </w:r>
      <w:r/>
    </w:p>
    <w:p>
      <w:pPr>
        <w:pStyle w:val="1038"/>
        <w:numPr>
          <w:ilvl w:val="0"/>
          <w:numId w:val="111"/>
        </w:numPr>
        <w:spacing w:line="360" w:lineRule="auto"/>
        <w:rPr>
          <w:rFonts w:ascii="宋体" w:hAnsi="宋体" w:cs="宋体"/>
          <w:sz w:val="24"/>
          <w:szCs w:val="24"/>
        </w:rPr>
      </w:pPr>
      <w:r>
        <w:rPr>
          <w:rFonts w:hint="eastAsia" w:ascii="宋体" w:hAnsi="宋体" w:cs="宋体"/>
          <w:sz w:val="24"/>
          <w:szCs w:val="24"/>
        </w:rPr>
        <w:t xml:space="preserve">病种库构建“青春期个体健康画像”，包含生长发育趋势图、性发育节律图、月经周期图、心理风险评分轨迹图等。</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青春期人群分级分类管理</w:t>
      </w:r>
      <w:r>
        <w:rPr>
          <w:rFonts w:ascii="宋体" w:hAnsi="宋体" w:cs="宋体"/>
          <w:sz w:val="24"/>
          <w:szCs w:val="24"/>
        </w:rPr>
      </w:r>
      <w:r/>
    </w:p>
    <w:p>
      <w:pPr>
        <w:pStyle w:val="1038"/>
        <w:numPr>
          <w:ilvl w:val="0"/>
          <w:numId w:val="112"/>
        </w:numPr>
        <w:spacing w:line="360" w:lineRule="auto"/>
        <w:rPr>
          <w:rFonts w:ascii="宋体" w:hAnsi="宋体" w:cs="宋体"/>
          <w:sz w:val="24"/>
          <w:szCs w:val="24"/>
        </w:rPr>
      </w:pPr>
      <w:r>
        <w:rPr>
          <w:rFonts w:hint="eastAsia" w:ascii="宋体" w:hAnsi="宋体" w:cs="宋体"/>
          <w:sz w:val="24"/>
          <w:szCs w:val="24"/>
        </w:rPr>
        <w:t xml:space="preserve">支持平台基于模型评分与标签体系，将人群划分为“常规关注”“重点随访”“转诊干预”等等级，</w:t>
      </w:r>
      <w:r>
        <w:rPr>
          <w:rFonts w:ascii="宋体" w:hAnsi="宋体" w:cs="宋体"/>
          <w:sz w:val="24"/>
          <w:szCs w:val="24"/>
        </w:rPr>
      </w:r>
      <w:r/>
    </w:p>
    <w:p>
      <w:pPr>
        <w:pStyle w:val="1038"/>
        <w:numPr>
          <w:ilvl w:val="0"/>
          <w:numId w:val="112"/>
        </w:numPr>
        <w:spacing w:line="360" w:lineRule="auto"/>
        <w:rPr>
          <w:rFonts w:ascii="宋体" w:hAnsi="宋体" w:cs="宋体"/>
          <w:sz w:val="24"/>
          <w:szCs w:val="24"/>
        </w:rPr>
      </w:pPr>
      <w:r>
        <w:rPr>
          <w:rFonts w:hint="eastAsia" w:ascii="宋体" w:hAnsi="宋体" w:cs="宋体"/>
          <w:sz w:val="24"/>
          <w:szCs w:val="24"/>
        </w:rPr>
        <w:t xml:space="preserve">支持与互联网医院、医院HIS系统联动，实现分层干预与资源精准投放，提升管理效能。</w:t>
      </w:r>
      <w:r>
        <w:rPr>
          <w:rFonts w:ascii="宋体" w:hAnsi="宋体" w:cs="宋体"/>
          <w:sz w:val="24"/>
          <w:szCs w:val="24"/>
        </w:rPr>
      </w:r>
      <w:r/>
    </w:p>
    <w:p>
      <w:pPr>
        <w:pStyle w:val="1043"/>
        <w:rPr>
          <w:rFonts w:ascii="宋体" w:hAnsi="宋体" w:cs="宋体"/>
        </w:rPr>
      </w:pPr>
      <w:r>
        <w:rPr>
          <w:rFonts w:hint="eastAsia" w:ascii="宋体" w:hAnsi="宋体" w:cs="宋体"/>
        </w:rPr>
        <w:t xml:space="preserve">2.2.5.6 专项分析与统计</w:t>
      </w:r>
      <w:r>
        <w:rPr>
          <w:rFonts w:ascii="宋体" w:hAnsi="宋体" w:cs="宋体"/>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青春期启动与发育特征分析</w:t>
      </w:r>
      <w:r>
        <w:rPr>
          <w:rFonts w:ascii="宋体" w:hAnsi="宋体" w:cs="宋体"/>
          <w:sz w:val="24"/>
          <w:szCs w:val="24"/>
        </w:rPr>
      </w:r>
      <w:r/>
    </w:p>
    <w:p>
      <w:pPr>
        <w:pStyle w:val="1038"/>
        <w:numPr>
          <w:ilvl w:val="0"/>
          <w:numId w:val="113"/>
        </w:numPr>
        <w:spacing w:line="360" w:lineRule="auto"/>
        <w:rPr>
          <w:rFonts w:ascii="宋体" w:hAnsi="宋体" w:cs="宋体"/>
          <w:sz w:val="24"/>
          <w:szCs w:val="24"/>
        </w:rPr>
      </w:pPr>
      <w:r>
        <w:rPr>
          <w:rFonts w:hint="eastAsia" w:ascii="宋体" w:hAnsi="宋体" w:cs="宋体"/>
          <w:sz w:val="24"/>
          <w:szCs w:val="24"/>
        </w:rPr>
        <w:t xml:space="preserve">支持青春期启动时间、生长发育速度、性发育节律等数据，进行不同人群（性别、年龄段、生活环境等）发育特征分析，识别性早熟或性发育迟缓的高发群体与发展趋势。</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多维交叉分析能力建设</w:t>
      </w:r>
      <w:r>
        <w:rPr>
          <w:rFonts w:ascii="宋体" w:hAnsi="宋体" w:cs="宋体"/>
          <w:sz w:val="24"/>
          <w:szCs w:val="24"/>
        </w:rPr>
      </w:r>
      <w:r/>
    </w:p>
    <w:p>
      <w:pPr>
        <w:pStyle w:val="1038"/>
        <w:numPr>
          <w:ilvl w:val="0"/>
          <w:numId w:val="114"/>
        </w:numPr>
        <w:spacing w:line="360" w:lineRule="auto"/>
        <w:rPr>
          <w:rFonts w:ascii="宋体" w:hAnsi="宋体" w:cs="宋体"/>
          <w:sz w:val="24"/>
          <w:szCs w:val="24"/>
        </w:rPr>
      </w:pPr>
      <w:r>
        <w:rPr>
          <w:rFonts w:hint="eastAsia" w:ascii="宋体" w:hAnsi="宋体" w:cs="宋体"/>
          <w:sz w:val="24"/>
          <w:szCs w:val="24"/>
        </w:rPr>
        <w:t xml:space="preserve">支持按年龄段、性别等维度进行交叉分析，提供动态、分群、可视化的报表工具，用于科研、区域管理和社会宣传等多种场景。</w:t>
      </w:r>
      <w:r>
        <w:rPr>
          <w:rFonts w:ascii="宋体" w:hAnsi="宋体" w:cs="宋体"/>
          <w:sz w:val="24"/>
          <w:szCs w:val="24"/>
        </w:rPr>
      </w:r>
      <w:r/>
    </w:p>
    <w:p>
      <w:pPr>
        <w:pStyle w:val="1043"/>
        <w:rPr>
          <w:rFonts w:ascii="宋体" w:hAnsi="宋体" w:cs="宋体"/>
        </w:rPr>
      </w:pPr>
      <w:r>
        <w:rPr>
          <w:rFonts w:hint="eastAsia" w:ascii="宋体" w:hAnsi="宋体" w:cs="宋体"/>
        </w:rPr>
        <w:t xml:space="preserve">2.2.5.7 数据统计与分析</w:t>
      </w:r>
      <w:r>
        <w:rPr>
          <w:rFonts w:ascii="宋体" w:hAnsi="宋体" w:cs="宋体"/>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动态趋势与跨期比较分析</w:t>
      </w:r>
      <w:r>
        <w:rPr>
          <w:rFonts w:ascii="宋体" w:hAnsi="宋体" w:cs="宋体"/>
          <w:sz w:val="24"/>
          <w:szCs w:val="24"/>
        </w:rPr>
      </w:r>
      <w:r/>
    </w:p>
    <w:p>
      <w:pPr>
        <w:pStyle w:val="1038"/>
        <w:numPr>
          <w:ilvl w:val="0"/>
          <w:numId w:val="115"/>
        </w:numPr>
        <w:spacing w:line="360" w:lineRule="auto"/>
        <w:rPr>
          <w:rFonts w:ascii="宋体" w:hAnsi="宋体" w:cs="宋体"/>
          <w:sz w:val="24"/>
          <w:szCs w:val="24"/>
        </w:rPr>
      </w:pPr>
      <w:r>
        <w:rPr>
          <w:rFonts w:hint="eastAsia" w:ascii="宋体" w:hAnsi="宋体" w:cs="宋体"/>
          <w:sz w:val="24"/>
          <w:szCs w:val="24"/>
        </w:rPr>
        <w:t xml:space="preserve">支持按季度、学年、自然年等周期，对健康指标变化进行趋势分析；对比不同干预策略前后指标变化，评价措施有效性。</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多维可视化报表与导出功能</w:t>
      </w:r>
      <w:r>
        <w:rPr>
          <w:rFonts w:ascii="宋体" w:hAnsi="宋体" w:cs="宋体"/>
          <w:sz w:val="24"/>
          <w:szCs w:val="24"/>
        </w:rPr>
      </w:r>
      <w:r/>
    </w:p>
    <w:p>
      <w:pPr>
        <w:pStyle w:val="1038"/>
        <w:numPr>
          <w:ilvl w:val="0"/>
          <w:numId w:val="116"/>
        </w:numPr>
        <w:spacing w:line="360" w:lineRule="auto"/>
        <w:rPr>
          <w:rFonts w:ascii="宋体" w:hAnsi="宋体" w:cs="宋体"/>
          <w:sz w:val="24"/>
          <w:szCs w:val="24"/>
        </w:rPr>
      </w:pPr>
      <w:r>
        <w:rPr>
          <w:rFonts w:hint="eastAsia" w:ascii="宋体" w:hAnsi="宋体" w:cs="宋体"/>
          <w:sz w:val="24"/>
          <w:szCs w:val="24"/>
        </w:rPr>
        <w:t xml:space="preserve">支持提供柱状图、折线图、分布图等图表工具，按学校、机构、区域、年级等分类展示</w:t>
      </w:r>
      <w:r>
        <w:rPr>
          <w:rFonts w:ascii="宋体" w:hAnsi="宋体" w:cs="宋体"/>
          <w:sz w:val="24"/>
          <w:szCs w:val="24"/>
        </w:rPr>
      </w:r>
      <w:r/>
    </w:p>
    <w:p>
      <w:pPr>
        <w:pStyle w:val="1038"/>
        <w:numPr>
          <w:ilvl w:val="0"/>
          <w:numId w:val="116"/>
        </w:numPr>
        <w:spacing w:line="360" w:lineRule="auto"/>
        <w:rPr>
          <w:rFonts w:ascii="宋体" w:hAnsi="宋体" w:cs="宋体"/>
          <w:sz w:val="24"/>
          <w:szCs w:val="24"/>
        </w:rPr>
      </w:pPr>
      <w:r>
        <w:rPr>
          <w:rFonts w:hint="eastAsia" w:ascii="宋体" w:hAnsi="宋体" w:cs="宋体"/>
          <w:sz w:val="24"/>
          <w:szCs w:val="24"/>
        </w:rPr>
        <w:t xml:space="preserve">支持导出Excel、PDF等格式，供区域监管、学术研究与社会宣传使用。</w:t>
      </w:r>
      <w:r>
        <w:rPr>
          <w:rFonts w:ascii="宋体" w:hAnsi="宋体" w:cs="宋体"/>
          <w:sz w:val="24"/>
          <w:szCs w:val="24"/>
        </w:rPr>
      </w:r>
      <w:r/>
    </w:p>
    <w:p>
      <w:pPr>
        <w:pStyle w:val="1042"/>
        <w:rPr>
          <w:rFonts w:ascii="宋体" w:hAnsi="宋体" w:eastAsia="宋体" w:cs="宋体"/>
          <w:sz w:val="24"/>
          <w:szCs w:val="24"/>
        </w:rPr>
      </w:pPr>
      <w:r>
        <w:rPr>
          <w:rFonts w:hint="eastAsia" w:ascii="宋体" w:hAnsi="宋体" w:eastAsia="宋体" w:cs="宋体"/>
          <w:sz w:val="24"/>
          <w:szCs w:val="24"/>
        </w:rPr>
        <w:t xml:space="preserve">2.2.6 儿童营养管理</w:t>
      </w:r>
      <w:r>
        <w:rPr>
          <w:rFonts w:ascii="宋体" w:hAnsi="宋体" w:eastAsia="宋体" w:cs="宋体"/>
          <w:sz w:val="24"/>
          <w:szCs w:val="24"/>
        </w:rPr>
      </w:r>
      <w:r/>
    </w:p>
    <w:p>
      <w:pPr>
        <w:pStyle w:val="1043"/>
        <w:rPr>
          <w:rFonts w:ascii="宋体" w:hAnsi="宋体" w:cs="宋体"/>
        </w:rPr>
      </w:pPr>
      <w:r>
        <w:rPr>
          <w:rFonts w:hint="eastAsia" w:ascii="宋体" w:hAnsi="宋体" w:cs="宋体"/>
        </w:rPr>
        <w:t xml:space="preserve">2.2.6.1 专病模型管理</w:t>
      </w:r>
      <w:r>
        <w:rPr>
          <w:rFonts w:ascii="宋体" w:hAnsi="宋体" w:cs="宋体"/>
        </w:rPr>
      </w:r>
      <w:r/>
    </w:p>
    <w:p>
      <w:pPr>
        <w:pStyle w:val="1038"/>
        <w:numPr>
          <w:ilvl w:val="0"/>
          <w:numId w:val="117"/>
        </w:numPr>
        <w:ind w:left="840" w:hanging="420"/>
        <w:spacing w:line="360" w:lineRule="auto"/>
        <w:rPr>
          <w:rFonts w:ascii="宋体" w:hAnsi="宋体" w:cs="宋体"/>
          <w:sz w:val="24"/>
          <w:szCs w:val="24"/>
        </w:rPr>
      </w:pPr>
      <w:r>
        <w:rPr>
          <w:rFonts w:hint="eastAsia" w:ascii="宋体" w:hAnsi="宋体" w:cs="宋体"/>
          <w:sz w:val="24"/>
          <w:szCs w:val="24"/>
        </w:rPr>
        <w:t xml:space="preserve">围绕“儿童肥胖”“儿童营养不良”等重点问题，搭建专病数据模型体系，支持从HIS、EMR、儿童体检系统中自动提取身高、体重、BMI、喂养方式、辅食添加、膳食结构等关键字段；</w:t>
      </w:r>
      <w:r>
        <w:rPr>
          <w:rFonts w:ascii="宋体" w:hAnsi="宋体" w:cs="宋体"/>
          <w:sz w:val="24"/>
          <w:szCs w:val="24"/>
        </w:rPr>
      </w:r>
      <w:r/>
    </w:p>
    <w:p>
      <w:pPr>
        <w:pStyle w:val="1038"/>
        <w:numPr>
          <w:ilvl w:val="0"/>
          <w:numId w:val="117"/>
        </w:numPr>
        <w:ind w:left="840" w:hanging="420"/>
        <w:spacing w:line="360" w:lineRule="auto"/>
        <w:rPr>
          <w:rFonts w:ascii="宋体" w:hAnsi="宋体" w:cs="宋体"/>
        </w:rPr>
      </w:pPr>
      <w:r>
        <w:rPr>
          <w:rFonts w:hint="eastAsia" w:ascii="宋体" w:hAnsi="宋体" w:cs="宋体"/>
          <w:sz w:val="24"/>
          <w:szCs w:val="24"/>
        </w:rPr>
        <w:t xml:space="preserve">支持基于WHO生长标准自动判断营养状态（正常、超重、肥胖、消瘦、发育迟缓），并生成风险标签。</w:t>
      </w:r>
      <w:r>
        <w:rPr>
          <w:rFonts w:ascii="宋体" w:hAnsi="宋体" w:cs="宋体"/>
        </w:rPr>
      </w:r>
      <w:r/>
    </w:p>
    <w:p>
      <w:pPr>
        <w:pStyle w:val="1043"/>
        <w:rPr>
          <w:rFonts w:ascii="宋体" w:hAnsi="宋体" w:cs="宋体"/>
        </w:rPr>
      </w:pPr>
      <w:r>
        <w:rPr>
          <w:rFonts w:hint="eastAsia" w:ascii="宋体" w:hAnsi="宋体" w:cs="宋体"/>
        </w:rPr>
        <w:t xml:space="preserve">2.2.6.2 专病数据清洗与治理</w:t>
      </w:r>
      <w:r>
        <w:rPr>
          <w:rFonts w:ascii="宋体" w:hAnsi="宋体" w:cs="宋体"/>
        </w:rPr>
      </w:r>
      <w:r/>
    </w:p>
    <w:p>
      <w:pPr>
        <w:pStyle w:val="1038"/>
        <w:numPr>
          <w:ilvl w:val="0"/>
          <w:numId w:val="118"/>
        </w:numPr>
        <w:ind w:left="840" w:hanging="420"/>
        <w:spacing w:line="360" w:lineRule="auto"/>
        <w:rPr>
          <w:rFonts w:ascii="宋体" w:hAnsi="宋体" w:cs="宋体"/>
          <w:sz w:val="24"/>
          <w:szCs w:val="24"/>
        </w:rPr>
      </w:pPr>
      <w:r>
        <w:rPr>
          <w:rFonts w:hint="eastAsia" w:ascii="宋体" w:hAnsi="宋体" w:cs="宋体"/>
          <w:sz w:val="24"/>
          <w:szCs w:val="24"/>
        </w:rPr>
        <w:t xml:space="preserve">支持对儿童营养相关字段（如体重、身长、BMI Z-score、喂养方式、辅食添加时间）设立必填率、值域合法性、数据新鲜度等校验规则；</w:t>
      </w:r>
      <w:r>
        <w:rPr>
          <w:rFonts w:ascii="宋体" w:hAnsi="宋体" w:cs="宋体"/>
          <w:sz w:val="24"/>
          <w:szCs w:val="24"/>
        </w:rPr>
      </w:r>
      <w:r/>
    </w:p>
    <w:p>
      <w:pPr>
        <w:pStyle w:val="1038"/>
        <w:numPr>
          <w:ilvl w:val="0"/>
          <w:numId w:val="118"/>
        </w:numPr>
        <w:ind w:left="840" w:hanging="420"/>
        <w:spacing w:line="360" w:lineRule="auto"/>
        <w:rPr>
          <w:rFonts w:ascii="宋体" w:hAnsi="宋体" w:cs="宋体"/>
          <w:sz w:val="24"/>
          <w:szCs w:val="24"/>
        </w:rPr>
      </w:pPr>
      <w:r>
        <w:rPr>
          <w:rFonts w:hint="eastAsia" w:ascii="宋体" w:hAnsi="宋体" w:cs="宋体"/>
          <w:sz w:val="24"/>
          <w:szCs w:val="24"/>
        </w:rPr>
        <w:t xml:space="preserve">支持异常值自动识别与提醒（如BMI &gt; +2SD 或 &lt; -2SD）。</w:t>
      </w:r>
      <w:r>
        <w:rPr>
          <w:rFonts w:ascii="宋体" w:hAnsi="宋体" w:cs="宋体"/>
          <w:sz w:val="24"/>
          <w:szCs w:val="24"/>
        </w:rPr>
      </w:r>
      <w:r/>
    </w:p>
    <w:p>
      <w:pPr>
        <w:pStyle w:val="1043"/>
        <w:rPr>
          <w:rFonts w:ascii="宋体" w:hAnsi="宋体" w:cs="宋体"/>
        </w:rPr>
      </w:pPr>
      <w:r>
        <w:rPr>
          <w:rFonts w:hint="eastAsia" w:ascii="宋体" w:hAnsi="宋体" w:cs="宋体"/>
        </w:rPr>
        <w:t xml:space="preserve">2.2.6.3 专病数据对接</w:t>
      </w:r>
      <w:r>
        <w:rPr>
          <w:rFonts w:ascii="宋体" w:hAnsi="宋体" w:cs="宋体"/>
        </w:rPr>
      </w:r>
      <w:r/>
    </w:p>
    <w:p>
      <w:pPr>
        <w:pStyle w:val="1038"/>
        <w:numPr>
          <w:ilvl w:val="0"/>
          <w:numId w:val="119"/>
        </w:numPr>
        <w:ind w:left="840" w:hanging="420"/>
        <w:spacing w:line="360" w:lineRule="auto"/>
        <w:rPr>
          <w:rFonts w:ascii="宋体" w:hAnsi="宋体" w:cs="宋体"/>
          <w:sz w:val="24"/>
          <w:szCs w:val="24"/>
        </w:rPr>
      </w:pPr>
      <w:r>
        <w:rPr>
          <w:rFonts w:hint="eastAsia" w:ascii="宋体" w:hAnsi="宋体" w:cs="宋体"/>
          <w:sz w:val="24"/>
          <w:szCs w:val="24"/>
        </w:rPr>
        <w:t xml:space="preserve">对接HIS、电子病历、儿童体检系统、LIS等，实现儿童营养相关数据的自动采集；</w:t>
      </w:r>
      <w:r>
        <w:rPr>
          <w:rFonts w:ascii="宋体" w:hAnsi="宋体" w:cs="宋体"/>
          <w:sz w:val="24"/>
          <w:szCs w:val="24"/>
        </w:rPr>
      </w:r>
      <w:r/>
    </w:p>
    <w:p>
      <w:pPr>
        <w:pStyle w:val="1038"/>
        <w:numPr>
          <w:ilvl w:val="0"/>
          <w:numId w:val="119"/>
        </w:numPr>
        <w:ind w:left="840" w:hanging="420"/>
        <w:spacing w:line="360" w:lineRule="auto"/>
      </w:pPr>
      <w:r>
        <w:rPr>
          <w:rFonts w:hint="eastAsia" w:ascii="宋体" w:hAnsi="宋体" w:cs="宋体"/>
          <w:sz w:val="24"/>
          <w:szCs w:val="24"/>
        </w:rPr>
        <w:t xml:space="preserve">支持与儿童保健随访系统联动，实现筛查→评估→干预→随访的闭环管理。</w:t>
      </w:r>
      <w:r/>
    </w:p>
    <w:p>
      <w:pPr>
        <w:pStyle w:val="1052"/>
        <w:ind w:firstLine="210"/>
      </w:pPr>
      <w:r/>
      <w:r/>
    </w:p>
    <w:p>
      <w:pPr>
        <w:pStyle w:val="1043"/>
        <w:rPr>
          <w:rFonts w:ascii="宋体" w:hAnsi="宋体" w:cs="宋体"/>
        </w:rPr>
      </w:pPr>
      <w:r>
        <w:rPr>
          <w:rFonts w:hint="eastAsia" w:ascii="宋体" w:hAnsi="宋体" w:cs="宋体"/>
        </w:rPr>
        <w:t xml:space="preserve">2.2.6.4 数据检索服务</w:t>
      </w:r>
      <w:r>
        <w:rPr>
          <w:rFonts w:ascii="宋体" w:hAnsi="宋体" w:cs="宋体"/>
        </w:rPr>
      </w:r>
      <w:r/>
    </w:p>
    <w:p>
      <w:pPr>
        <w:pStyle w:val="1038"/>
        <w:numPr>
          <w:ilvl w:val="0"/>
          <w:numId w:val="120"/>
        </w:numPr>
        <w:ind w:left="840" w:hanging="420"/>
        <w:spacing w:line="360" w:lineRule="auto"/>
        <w:rPr>
          <w:rFonts w:ascii="宋体" w:hAnsi="宋体" w:cs="宋体"/>
          <w:sz w:val="24"/>
          <w:szCs w:val="24"/>
        </w:rPr>
      </w:pPr>
      <w:r>
        <w:rPr>
          <w:rFonts w:hint="eastAsia" w:ascii="宋体" w:hAnsi="宋体" w:cs="宋体"/>
          <w:sz w:val="24"/>
          <w:szCs w:val="24"/>
        </w:rPr>
        <w:t xml:space="preserve">支持按“肥胖儿童”“营养不良儿童”“超重趋势”等标签进行个案检索；</w:t>
      </w:r>
      <w:r>
        <w:rPr>
          <w:rFonts w:ascii="宋体" w:hAnsi="宋体" w:cs="宋体"/>
          <w:sz w:val="24"/>
          <w:szCs w:val="24"/>
        </w:rPr>
      </w:r>
      <w:r/>
    </w:p>
    <w:p>
      <w:pPr>
        <w:pStyle w:val="1038"/>
        <w:numPr>
          <w:ilvl w:val="0"/>
          <w:numId w:val="120"/>
        </w:numPr>
        <w:ind w:left="840" w:hanging="420"/>
        <w:spacing w:line="360" w:lineRule="auto"/>
        <w:rPr>
          <w:rFonts w:ascii="宋体" w:hAnsi="宋体" w:cs="宋体"/>
          <w:sz w:val="24"/>
          <w:szCs w:val="24"/>
        </w:rPr>
      </w:pPr>
      <w:r>
        <w:rPr>
          <w:rFonts w:hint="eastAsia" w:ascii="宋体" w:hAnsi="宋体" w:cs="宋体"/>
          <w:sz w:val="24"/>
          <w:szCs w:val="24"/>
        </w:rPr>
        <w:t xml:space="preserve">支持通过对话式搜索（如“近3个月BMI持续上升的学龄前儿童”）快速定位目标人群。</w:t>
      </w:r>
      <w:r>
        <w:rPr>
          <w:rFonts w:ascii="宋体" w:hAnsi="宋体" w:cs="宋体"/>
          <w:sz w:val="24"/>
          <w:szCs w:val="24"/>
        </w:rPr>
      </w:r>
      <w:r/>
    </w:p>
    <w:p>
      <w:pPr>
        <w:pStyle w:val="1043"/>
        <w:rPr>
          <w:rFonts w:ascii="宋体" w:hAnsi="宋体" w:cs="宋体"/>
        </w:rPr>
      </w:pPr>
      <w:r>
        <w:rPr>
          <w:rFonts w:hint="eastAsia" w:ascii="宋体" w:hAnsi="宋体" w:cs="宋体"/>
        </w:rPr>
        <w:t xml:space="preserve">2.2.6.5 专病数据应用服务</w:t>
      </w:r>
      <w:r>
        <w:rPr>
          <w:rFonts w:ascii="宋体" w:hAnsi="宋体" w:cs="宋体"/>
        </w:rPr>
      </w:r>
      <w:r/>
    </w:p>
    <w:p>
      <w:pPr>
        <w:pStyle w:val="1038"/>
        <w:numPr>
          <w:ilvl w:val="0"/>
          <w:numId w:val="121"/>
        </w:numPr>
        <w:ind w:left="840" w:hanging="420"/>
        <w:spacing w:line="360" w:lineRule="auto"/>
        <w:rPr>
          <w:rFonts w:ascii="宋体" w:hAnsi="宋体" w:cs="宋体"/>
          <w:sz w:val="24"/>
          <w:szCs w:val="24"/>
        </w:rPr>
      </w:pPr>
      <w:r>
        <w:rPr>
          <w:rFonts w:hint="eastAsia" w:ascii="宋体" w:hAnsi="宋体" w:cs="宋体"/>
          <w:sz w:val="24"/>
          <w:szCs w:val="24"/>
        </w:rPr>
        <w:t xml:space="preserve">支持自动生成营养风险筛查任务，推送至责任医生或营养师；</w:t>
      </w:r>
      <w:r>
        <w:rPr>
          <w:rFonts w:ascii="宋体" w:hAnsi="宋体" w:cs="宋体"/>
          <w:sz w:val="24"/>
          <w:szCs w:val="24"/>
        </w:rPr>
      </w:r>
      <w:r/>
    </w:p>
    <w:p>
      <w:pPr>
        <w:pStyle w:val="1038"/>
        <w:numPr>
          <w:ilvl w:val="0"/>
          <w:numId w:val="121"/>
        </w:numPr>
        <w:ind w:left="840" w:hanging="420"/>
        <w:spacing w:line="360" w:lineRule="auto"/>
        <w:rPr>
          <w:rFonts w:ascii="宋体" w:hAnsi="宋体" w:cs="宋体"/>
          <w:sz w:val="24"/>
          <w:szCs w:val="24"/>
        </w:rPr>
      </w:pPr>
      <w:r>
        <w:rPr>
          <w:rFonts w:hint="eastAsia" w:ascii="宋体" w:hAnsi="宋体" w:cs="宋体"/>
          <w:sz w:val="24"/>
          <w:szCs w:val="24"/>
        </w:rPr>
        <w:t xml:space="preserve">支持绑定个性化干预路径，包括膳食指导、运动建议、家长宣教、定期复测等；</w:t>
      </w:r>
      <w:r>
        <w:rPr>
          <w:rFonts w:ascii="宋体" w:hAnsi="宋体" w:cs="宋体"/>
          <w:sz w:val="24"/>
          <w:szCs w:val="24"/>
        </w:rPr>
      </w:r>
      <w:r/>
    </w:p>
    <w:p>
      <w:pPr>
        <w:pStyle w:val="1038"/>
        <w:numPr>
          <w:ilvl w:val="0"/>
          <w:numId w:val="121"/>
        </w:numPr>
        <w:ind w:left="840" w:hanging="420"/>
        <w:spacing w:line="360" w:lineRule="auto"/>
        <w:rPr>
          <w:rFonts w:ascii="宋体" w:hAnsi="宋体" w:cs="宋体"/>
          <w:sz w:val="24"/>
          <w:szCs w:val="24"/>
        </w:rPr>
      </w:pPr>
      <w:r>
        <w:rPr>
          <w:rFonts w:hint="eastAsia" w:ascii="宋体" w:hAnsi="宋体" w:cs="宋体"/>
          <w:sz w:val="24"/>
          <w:szCs w:val="24"/>
        </w:rPr>
        <w:t xml:space="preserve">支持干预效果跟踪，对比干预前后BMI、生长曲线变化，生成干预效果报告；</w:t>
      </w:r>
      <w:r>
        <w:rPr>
          <w:rFonts w:ascii="宋体" w:hAnsi="宋体" w:cs="宋体"/>
          <w:sz w:val="24"/>
          <w:szCs w:val="24"/>
        </w:rPr>
      </w:r>
      <w:r/>
    </w:p>
    <w:p>
      <w:pPr>
        <w:pStyle w:val="1038"/>
        <w:numPr>
          <w:ilvl w:val="0"/>
          <w:numId w:val="121"/>
        </w:numPr>
        <w:ind w:left="840" w:hanging="420"/>
        <w:spacing w:line="360" w:lineRule="auto"/>
        <w:rPr>
          <w:rFonts w:ascii="宋体" w:hAnsi="宋体" w:cs="宋体"/>
          <w:sz w:val="24"/>
          <w:szCs w:val="24"/>
        </w:rPr>
      </w:pPr>
      <w:r>
        <w:rPr>
          <w:rFonts w:hint="eastAsia" w:ascii="宋体" w:hAnsi="宋体" w:cs="宋体"/>
          <w:sz w:val="24"/>
          <w:szCs w:val="24"/>
        </w:rPr>
        <w:t xml:space="preserve">支持转介至儿童保健生长发育专科或儿童内分泌专科，并记录转介情况。</w:t>
      </w:r>
      <w:r>
        <w:rPr>
          <w:rFonts w:ascii="宋体" w:hAnsi="宋体" w:cs="宋体"/>
          <w:sz w:val="24"/>
          <w:szCs w:val="24"/>
        </w:rPr>
      </w:r>
      <w:r/>
    </w:p>
    <w:p>
      <w:pPr>
        <w:pStyle w:val="1043"/>
        <w:rPr>
          <w:rFonts w:ascii="宋体" w:hAnsi="宋体" w:cs="宋体"/>
        </w:rPr>
      </w:pPr>
      <w:r>
        <w:rPr>
          <w:rFonts w:hint="eastAsia" w:ascii="宋体" w:hAnsi="宋体" w:cs="宋体"/>
        </w:rPr>
        <w:t xml:space="preserve">2.2.6.6 数据统计与分析</w:t>
      </w:r>
      <w:r>
        <w:rPr>
          <w:rFonts w:ascii="宋体" w:hAnsi="宋体" w:cs="宋体"/>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支持自动统计：</w:t>
      </w:r>
      <w:r>
        <w:rPr>
          <w:rFonts w:ascii="宋体" w:hAnsi="宋体" w:cs="宋体"/>
          <w:sz w:val="24"/>
          <w:szCs w:val="24"/>
        </w:rPr>
      </w:r>
      <w:r/>
    </w:p>
    <w:p>
      <w:pPr>
        <w:pStyle w:val="1038"/>
        <w:numPr>
          <w:ilvl w:val="0"/>
          <w:numId w:val="122"/>
        </w:numPr>
        <w:ind w:firstLine="420"/>
        <w:spacing w:line="360" w:lineRule="auto"/>
        <w:rPr>
          <w:rFonts w:ascii="宋体" w:hAnsi="宋体" w:cs="宋体"/>
          <w:sz w:val="24"/>
          <w:szCs w:val="24"/>
        </w:rPr>
      </w:pPr>
      <w:r>
        <w:rPr>
          <w:rFonts w:hint="eastAsia" w:ascii="宋体" w:hAnsi="宋体" w:cs="宋体"/>
          <w:sz w:val="24"/>
          <w:szCs w:val="24"/>
        </w:rPr>
        <w:t xml:space="preserve">肥胖儿童营养风险筛查率 = 筛查人数 / 确诊人数</w:t>
      </w:r>
      <w:r>
        <w:rPr>
          <w:rFonts w:ascii="宋体" w:hAnsi="宋体" w:cs="宋体"/>
          <w:sz w:val="24"/>
          <w:szCs w:val="24"/>
        </w:rPr>
      </w:r>
      <w:r/>
    </w:p>
    <w:p>
      <w:pPr>
        <w:pStyle w:val="1038"/>
        <w:numPr>
          <w:ilvl w:val="0"/>
          <w:numId w:val="122"/>
        </w:numPr>
        <w:ind w:firstLine="420"/>
        <w:spacing w:line="360" w:lineRule="auto"/>
        <w:rPr>
          <w:rFonts w:ascii="宋体" w:hAnsi="宋体" w:cs="宋体"/>
          <w:sz w:val="24"/>
          <w:szCs w:val="24"/>
        </w:rPr>
      </w:pPr>
      <w:r>
        <w:rPr>
          <w:rFonts w:hint="eastAsia" w:ascii="宋体" w:hAnsi="宋体" w:cs="宋体"/>
          <w:sz w:val="24"/>
          <w:szCs w:val="24"/>
        </w:rPr>
        <w:t xml:space="preserve">肥胖儿童营养状况评估率 = 评估人数 / 确诊人数</w:t>
      </w:r>
      <w:r>
        <w:rPr>
          <w:rFonts w:ascii="宋体" w:hAnsi="宋体" w:cs="宋体"/>
          <w:sz w:val="24"/>
          <w:szCs w:val="24"/>
        </w:rPr>
      </w:r>
      <w:r/>
    </w:p>
    <w:p>
      <w:pPr>
        <w:pStyle w:val="1038"/>
        <w:numPr>
          <w:ilvl w:val="0"/>
          <w:numId w:val="122"/>
        </w:numPr>
        <w:ind w:firstLine="420"/>
        <w:spacing w:line="360" w:lineRule="auto"/>
        <w:rPr>
          <w:rFonts w:ascii="宋体" w:hAnsi="宋体" w:cs="宋体"/>
          <w:sz w:val="24"/>
          <w:szCs w:val="24"/>
        </w:rPr>
      </w:pPr>
      <w:r>
        <w:rPr>
          <w:rFonts w:hint="eastAsia" w:ascii="宋体" w:hAnsi="宋体" w:cs="宋体"/>
          <w:sz w:val="24"/>
          <w:szCs w:val="24"/>
        </w:rPr>
        <w:t xml:space="preserve">营养不良儿童营养风险筛查率与评估率</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支持按年龄、性别、区域、机构进行多维分析，生成趋势图与对比报表；</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支持专病管理人数统计与干预依从性分析。</w:t>
      </w:r>
      <w:r>
        <w:rPr>
          <w:rFonts w:ascii="宋体" w:hAnsi="宋体" w:cs="宋体"/>
          <w:sz w:val="24"/>
          <w:szCs w:val="24"/>
        </w:rPr>
      </w:r>
      <w:r/>
    </w:p>
    <w:p>
      <w:pPr>
        <w:pStyle w:val="1042"/>
        <w:rPr>
          <w:rFonts w:ascii="宋体" w:hAnsi="宋体" w:eastAsia="宋体" w:cs="宋体"/>
          <w:sz w:val="24"/>
          <w:szCs w:val="24"/>
        </w:rPr>
      </w:pPr>
      <w:r>
        <w:rPr>
          <w:rFonts w:hint="eastAsia" w:ascii="宋体" w:hAnsi="宋体" w:eastAsia="宋体" w:cs="宋体"/>
          <w:sz w:val="24"/>
          <w:szCs w:val="24"/>
        </w:rPr>
        <w:t xml:space="preserve">2.2.7 妇女心理健康管理</w:t>
      </w:r>
      <w:r>
        <w:rPr>
          <w:rFonts w:ascii="宋体" w:hAnsi="宋体" w:eastAsia="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2.2.7.1 专病模型管理</w:t>
      </w:r>
      <w:r>
        <w:rPr>
          <w:rFonts w:ascii="宋体" w:hAnsi="宋体" w:cs="宋体"/>
        </w:rPr>
      </w:r>
      <w:r/>
    </w:p>
    <w:p>
      <w:pPr>
        <w:pStyle w:val="1038"/>
        <w:numPr>
          <w:ilvl w:val="0"/>
          <w:numId w:val="123"/>
        </w:numPr>
        <w:ind w:left="840" w:hanging="420"/>
        <w:spacing w:line="360" w:lineRule="auto"/>
        <w:rPr>
          <w:rFonts w:ascii="宋体" w:hAnsi="宋体" w:cs="宋体"/>
          <w:sz w:val="24"/>
          <w:szCs w:val="24"/>
        </w:rPr>
      </w:pPr>
      <w:r>
        <w:rPr>
          <w:rFonts w:hint="eastAsia" w:ascii="宋体" w:hAnsi="宋体" w:cs="宋体"/>
          <w:sz w:val="24"/>
          <w:szCs w:val="24"/>
        </w:rPr>
        <w:t xml:space="preserve">建立妇女心理风险识别模型，支持基于EPDS、HADS等量表结果自动识别产后抑郁、更年期焦虑、情绪障碍等高风险人群；</w:t>
      </w:r>
      <w:r>
        <w:rPr>
          <w:rFonts w:ascii="宋体" w:hAnsi="宋体" w:cs="宋体"/>
          <w:sz w:val="24"/>
          <w:szCs w:val="24"/>
        </w:rPr>
      </w:r>
      <w:r/>
    </w:p>
    <w:p>
      <w:pPr>
        <w:pStyle w:val="1038"/>
        <w:numPr>
          <w:ilvl w:val="0"/>
          <w:numId w:val="123"/>
        </w:numPr>
        <w:ind w:left="840" w:hanging="420"/>
        <w:spacing w:line="360" w:lineRule="auto"/>
        <w:rPr>
          <w:rFonts w:ascii="宋体" w:hAnsi="宋体" w:cs="宋体"/>
          <w:sz w:val="24"/>
          <w:szCs w:val="24"/>
        </w:rPr>
      </w:pPr>
      <w:r>
        <w:rPr>
          <w:rFonts w:hint="eastAsia" w:ascii="宋体" w:hAnsi="宋体" w:cs="宋体"/>
          <w:sz w:val="24"/>
          <w:szCs w:val="24"/>
        </w:rPr>
        <w:t xml:space="preserve">支持从产科、妇科、更年期门诊系统中提取心理评估数据。</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2.2.7.2 专病数据清洗与治理</w:t>
      </w:r>
      <w:r>
        <w:rPr>
          <w:rFonts w:ascii="宋体" w:hAnsi="宋体" w:cs="宋体"/>
        </w:rPr>
      </w:r>
      <w:r/>
    </w:p>
    <w:p>
      <w:pPr>
        <w:pStyle w:val="1038"/>
        <w:numPr>
          <w:ilvl w:val="0"/>
          <w:numId w:val="124"/>
        </w:numPr>
        <w:ind w:left="840" w:hanging="420"/>
        <w:spacing w:line="360" w:lineRule="auto"/>
        <w:rPr>
          <w:rFonts w:ascii="宋体" w:hAnsi="宋体" w:cs="宋体"/>
          <w:sz w:val="24"/>
          <w:szCs w:val="24"/>
        </w:rPr>
      </w:pPr>
      <w:r>
        <w:rPr>
          <w:rFonts w:hint="eastAsia" w:ascii="宋体" w:hAnsi="宋体" w:cs="宋体"/>
          <w:sz w:val="24"/>
          <w:szCs w:val="24"/>
        </w:rPr>
        <w:t xml:space="preserve">支持对EPDS、HADS评分、主诉内容等字段进行完整性与逻辑性校验；</w:t>
      </w:r>
      <w:r>
        <w:rPr>
          <w:rFonts w:ascii="宋体" w:hAnsi="宋体" w:cs="宋体"/>
          <w:sz w:val="24"/>
          <w:szCs w:val="24"/>
        </w:rPr>
      </w:r>
      <w:r/>
    </w:p>
    <w:p>
      <w:pPr>
        <w:pStyle w:val="1038"/>
        <w:numPr>
          <w:ilvl w:val="0"/>
          <w:numId w:val="124"/>
        </w:numPr>
        <w:ind w:left="840" w:hanging="420"/>
        <w:spacing w:line="360" w:lineRule="auto"/>
        <w:rPr>
          <w:rFonts w:ascii="宋体" w:hAnsi="宋体" w:cs="宋体"/>
          <w:sz w:val="24"/>
          <w:szCs w:val="24"/>
        </w:rPr>
      </w:pPr>
      <w:r>
        <w:rPr>
          <w:rFonts w:hint="eastAsia" w:ascii="宋体" w:hAnsi="宋体" w:cs="宋体"/>
          <w:sz w:val="24"/>
          <w:szCs w:val="24"/>
        </w:rPr>
        <w:t xml:space="preserve">支持高风险妇女自动打标（如“产后抑郁高风险”“更年期焦虑”）。</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2.2.7.3 专病数据对接</w:t>
      </w:r>
      <w:r>
        <w:rPr>
          <w:rFonts w:ascii="宋体" w:hAnsi="宋体" w:cs="宋体"/>
        </w:rPr>
      </w:r>
      <w:r/>
    </w:p>
    <w:p>
      <w:pPr>
        <w:pStyle w:val="1038"/>
        <w:numPr>
          <w:ilvl w:val="0"/>
          <w:numId w:val="125"/>
        </w:numPr>
        <w:ind w:left="840" w:hanging="420"/>
        <w:spacing w:line="360" w:lineRule="auto"/>
        <w:rPr>
          <w:rFonts w:ascii="宋体" w:hAnsi="宋体" w:cs="宋体"/>
          <w:sz w:val="24"/>
          <w:szCs w:val="24"/>
        </w:rPr>
      </w:pPr>
      <w:r>
        <w:rPr>
          <w:rFonts w:hint="eastAsia" w:ascii="宋体" w:hAnsi="宋体" w:cs="宋体"/>
          <w:sz w:val="24"/>
          <w:szCs w:val="24"/>
        </w:rPr>
        <w:t xml:space="preserve">对接产科、妇科、心理科、更年期门诊系统，实现心理评估数据自动采集；</w:t>
      </w:r>
      <w:r>
        <w:rPr>
          <w:rFonts w:ascii="宋体" w:hAnsi="宋体" w:cs="宋体"/>
          <w:sz w:val="24"/>
          <w:szCs w:val="24"/>
        </w:rPr>
      </w:r>
      <w:r/>
    </w:p>
    <w:p>
      <w:pPr>
        <w:pStyle w:val="1038"/>
        <w:numPr>
          <w:ilvl w:val="0"/>
          <w:numId w:val="125"/>
        </w:numPr>
        <w:ind w:left="840" w:hanging="420"/>
        <w:spacing w:line="360" w:lineRule="auto"/>
        <w:rPr>
          <w:rFonts w:ascii="宋体" w:hAnsi="宋体" w:cs="宋体"/>
          <w:sz w:val="24"/>
          <w:szCs w:val="24"/>
        </w:rPr>
      </w:pPr>
      <w:r>
        <w:rPr>
          <w:rFonts w:hint="eastAsia" w:ascii="宋体" w:hAnsi="宋体" w:cs="宋体"/>
          <w:sz w:val="24"/>
          <w:szCs w:val="24"/>
        </w:rPr>
        <w:t xml:space="preserve">支持与心理卫生专科联动，实现转诊与随访。</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2.2.7.4 数据检索服务</w:t>
      </w:r>
      <w:r>
        <w:rPr>
          <w:rFonts w:ascii="宋体" w:hAnsi="宋体" w:cs="宋体"/>
        </w:rPr>
      </w:r>
      <w:r/>
    </w:p>
    <w:p>
      <w:pPr>
        <w:pStyle w:val="1038"/>
        <w:numPr>
          <w:ilvl w:val="0"/>
          <w:numId w:val="126"/>
        </w:numPr>
        <w:ind w:left="840" w:hanging="420"/>
        <w:spacing w:line="360" w:lineRule="auto"/>
        <w:rPr>
          <w:rFonts w:ascii="宋体" w:hAnsi="宋体" w:cs="宋体"/>
          <w:sz w:val="24"/>
          <w:szCs w:val="24"/>
        </w:rPr>
      </w:pPr>
      <w:r>
        <w:rPr>
          <w:rFonts w:hint="eastAsia" w:ascii="宋体" w:hAnsi="宋体" w:cs="宋体"/>
          <w:sz w:val="24"/>
          <w:szCs w:val="24"/>
        </w:rPr>
        <w:t xml:space="preserve">支持按“EPDS≥10分”“HADS焦虑阳性”“未完成随访”等标签检索妇女；</w:t>
      </w:r>
      <w:r>
        <w:rPr>
          <w:rFonts w:ascii="宋体" w:hAnsi="宋体" w:cs="宋体"/>
          <w:sz w:val="24"/>
          <w:szCs w:val="24"/>
        </w:rPr>
      </w:r>
      <w:r/>
    </w:p>
    <w:p>
      <w:pPr>
        <w:pStyle w:val="1038"/>
        <w:numPr>
          <w:ilvl w:val="0"/>
          <w:numId w:val="126"/>
        </w:numPr>
        <w:ind w:left="840" w:hanging="420"/>
        <w:spacing w:line="360" w:lineRule="auto"/>
        <w:rPr>
          <w:rFonts w:ascii="宋体" w:hAnsi="宋体" w:cs="宋体"/>
          <w:sz w:val="24"/>
          <w:szCs w:val="24"/>
        </w:rPr>
      </w:pPr>
      <w:r>
        <w:rPr>
          <w:rFonts w:hint="eastAsia" w:ascii="宋体" w:hAnsi="宋体" w:cs="宋体"/>
          <w:sz w:val="24"/>
          <w:szCs w:val="24"/>
        </w:rPr>
        <w:t xml:space="preserve">支持“产后6周未完成心理评估的产妇”等条件查询。</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2.2.7.5 专病数据应用服务</w:t>
      </w:r>
      <w:r>
        <w:rPr>
          <w:rFonts w:ascii="宋体" w:hAnsi="宋体" w:cs="宋体"/>
        </w:rPr>
      </w:r>
      <w:r/>
    </w:p>
    <w:p>
      <w:pPr>
        <w:pStyle w:val="1038"/>
        <w:numPr>
          <w:ilvl w:val="0"/>
          <w:numId w:val="127"/>
        </w:numPr>
        <w:ind w:left="840" w:hanging="420"/>
        <w:spacing w:line="360" w:lineRule="auto"/>
        <w:rPr>
          <w:rFonts w:ascii="宋体" w:hAnsi="宋体" w:cs="宋体"/>
          <w:sz w:val="24"/>
          <w:szCs w:val="24"/>
        </w:rPr>
      </w:pPr>
      <w:r>
        <w:rPr>
          <w:rFonts w:hint="eastAsia" w:ascii="宋体" w:hAnsi="宋体" w:cs="宋体"/>
          <w:sz w:val="24"/>
          <w:szCs w:val="24"/>
        </w:rPr>
        <w:t xml:space="preserve">支持自动生成心理评估任务，推送至责任医生或心理师；</w:t>
      </w:r>
      <w:r>
        <w:rPr>
          <w:rFonts w:ascii="宋体" w:hAnsi="宋体" w:cs="宋体"/>
          <w:sz w:val="24"/>
          <w:szCs w:val="24"/>
        </w:rPr>
      </w:r>
      <w:r/>
    </w:p>
    <w:p>
      <w:pPr>
        <w:pStyle w:val="1038"/>
        <w:numPr>
          <w:ilvl w:val="0"/>
          <w:numId w:val="127"/>
        </w:numPr>
        <w:ind w:left="840" w:hanging="420"/>
        <w:spacing w:line="360" w:lineRule="auto"/>
        <w:rPr>
          <w:rFonts w:ascii="宋体" w:hAnsi="宋体" w:cs="宋体"/>
          <w:sz w:val="24"/>
          <w:szCs w:val="24"/>
        </w:rPr>
      </w:pPr>
      <w:r>
        <w:rPr>
          <w:rFonts w:hint="eastAsia" w:ascii="宋体" w:hAnsi="宋体" w:cs="宋体"/>
          <w:sz w:val="24"/>
          <w:szCs w:val="24"/>
        </w:rPr>
        <w:t xml:space="preserve">支持绑定心理干预路径，包含初筛、复评、咨询、药物干预、随访等节点；</w:t>
      </w:r>
      <w:r>
        <w:rPr>
          <w:rFonts w:ascii="宋体" w:hAnsi="宋体" w:cs="宋体"/>
          <w:sz w:val="24"/>
          <w:szCs w:val="24"/>
        </w:rPr>
      </w:r>
      <w:r/>
    </w:p>
    <w:p>
      <w:pPr>
        <w:pStyle w:val="1038"/>
        <w:numPr>
          <w:ilvl w:val="0"/>
          <w:numId w:val="127"/>
        </w:numPr>
        <w:ind w:left="840" w:hanging="420"/>
        <w:spacing w:line="360" w:lineRule="auto"/>
        <w:rPr>
          <w:rFonts w:ascii="宋体" w:hAnsi="宋体" w:cs="宋体"/>
          <w:sz w:val="24"/>
          <w:szCs w:val="24"/>
        </w:rPr>
      </w:pPr>
      <w:r>
        <w:rPr>
          <w:rFonts w:hint="eastAsia" w:ascii="宋体" w:hAnsi="宋体" w:cs="宋体"/>
          <w:sz w:val="24"/>
          <w:szCs w:val="24"/>
        </w:rPr>
        <w:t xml:space="preserve">支持个性化宣教内容推送（如情绪调节、睡眠指导）；</w:t>
      </w:r>
      <w:r>
        <w:rPr>
          <w:rFonts w:ascii="宋体" w:hAnsi="宋体" w:cs="宋体"/>
          <w:sz w:val="24"/>
          <w:szCs w:val="24"/>
        </w:rPr>
      </w:r>
      <w:r/>
    </w:p>
    <w:p>
      <w:pPr>
        <w:pStyle w:val="1038"/>
        <w:numPr>
          <w:ilvl w:val="0"/>
          <w:numId w:val="127"/>
        </w:numPr>
        <w:ind w:left="840" w:hanging="420"/>
        <w:spacing w:line="360" w:lineRule="auto"/>
        <w:rPr>
          <w:rFonts w:ascii="宋体" w:hAnsi="宋体" w:cs="宋体"/>
          <w:sz w:val="24"/>
          <w:szCs w:val="24"/>
        </w:rPr>
      </w:pPr>
      <w:r>
        <w:rPr>
          <w:rFonts w:hint="eastAsia" w:ascii="宋体" w:hAnsi="宋体" w:cs="宋体"/>
          <w:sz w:val="24"/>
          <w:szCs w:val="24"/>
        </w:rPr>
        <w:t xml:space="preserve">支持多角色协同干预（医生、护士、心理咨询师）。</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2.2.7.6 数据统计与分析</w:t>
      </w:r>
      <w:r>
        <w:rPr>
          <w:rFonts w:ascii="宋体" w:hAnsi="宋体" w:cs="宋体"/>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支持自动统计：</w:t>
      </w:r>
      <w:r>
        <w:rPr>
          <w:rFonts w:ascii="宋体" w:hAnsi="宋体" w:cs="宋体"/>
          <w:sz w:val="24"/>
          <w:szCs w:val="24"/>
        </w:rPr>
      </w:r>
      <w:r/>
    </w:p>
    <w:p>
      <w:pPr>
        <w:pStyle w:val="1038"/>
        <w:numPr>
          <w:ilvl w:val="0"/>
          <w:numId w:val="128"/>
        </w:numPr>
        <w:ind w:firstLine="420"/>
        <w:spacing w:line="360" w:lineRule="auto"/>
        <w:rPr>
          <w:rFonts w:ascii="宋体" w:hAnsi="宋体" w:cs="宋体"/>
          <w:sz w:val="24"/>
          <w:szCs w:val="24"/>
        </w:rPr>
      </w:pPr>
      <w:r>
        <w:rPr>
          <w:rFonts w:hint="eastAsia" w:ascii="宋体" w:hAnsi="宋体" w:cs="宋体"/>
          <w:sz w:val="24"/>
          <w:szCs w:val="24"/>
        </w:rPr>
        <w:t xml:space="preserve">产后心理评估率</w:t>
      </w:r>
      <w:r>
        <w:rPr>
          <w:rFonts w:ascii="宋体" w:hAnsi="宋体" w:cs="宋体"/>
          <w:sz w:val="24"/>
          <w:szCs w:val="24"/>
        </w:rPr>
      </w:r>
      <w:r/>
    </w:p>
    <w:p>
      <w:pPr>
        <w:pStyle w:val="1038"/>
        <w:numPr>
          <w:ilvl w:val="0"/>
          <w:numId w:val="128"/>
        </w:numPr>
        <w:ind w:firstLine="420"/>
        <w:spacing w:line="360" w:lineRule="auto"/>
        <w:rPr>
          <w:rFonts w:ascii="宋体" w:hAnsi="宋体" w:cs="宋体"/>
          <w:sz w:val="24"/>
          <w:szCs w:val="24"/>
        </w:rPr>
      </w:pPr>
      <w:r>
        <w:rPr>
          <w:rFonts w:hint="eastAsia" w:ascii="宋体" w:hAnsi="宋体" w:cs="宋体"/>
          <w:sz w:val="24"/>
          <w:szCs w:val="24"/>
        </w:rPr>
        <w:t xml:space="preserve">更年期心理评估率</w:t>
      </w:r>
      <w:r>
        <w:rPr>
          <w:rFonts w:ascii="宋体" w:hAnsi="宋体" w:cs="宋体"/>
          <w:sz w:val="24"/>
          <w:szCs w:val="24"/>
        </w:rPr>
      </w:r>
      <w:r/>
    </w:p>
    <w:p>
      <w:pPr>
        <w:pStyle w:val="1038"/>
        <w:numPr>
          <w:ilvl w:val="0"/>
          <w:numId w:val="128"/>
        </w:numPr>
        <w:ind w:firstLine="420"/>
        <w:spacing w:line="360" w:lineRule="auto"/>
        <w:rPr>
          <w:rFonts w:ascii="宋体" w:hAnsi="宋体" w:cs="宋体"/>
          <w:sz w:val="24"/>
          <w:szCs w:val="24"/>
        </w:rPr>
      </w:pPr>
      <w:r>
        <w:rPr>
          <w:rFonts w:hint="eastAsia" w:ascii="宋体" w:hAnsi="宋体" w:cs="宋体"/>
          <w:sz w:val="24"/>
          <w:szCs w:val="24"/>
        </w:rPr>
        <w:t xml:space="preserve">心理干预覆盖率与随访率</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支持按年龄段、分娩方式、风险等级进行统计分析；</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hint="eastAsia" w:ascii="宋体" w:hAnsi="宋体" w:cs="宋体"/>
          <w:sz w:val="24"/>
          <w:szCs w:val="24"/>
        </w:rPr>
        <w:t xml:space="preserve">支持生成《妇女心理健康管理年报》，用于质量评估与政策支持。</w:t>
      </w:r>
      <w:r>
        <w:rPr>
          <w:rFonts w:ascii="宋体" w:hAnsi="宋体" w:cs="宋体"/>
          <w:sz w:val="24"/>
          <w:szCs w:val="24"/>
        </w:rPr>
      </w:r>
      <w:r/>
    </w:p>
    <w:p>
      <w:pPr>
        <w:pStyle w:val="1042"/>
        <w:rPr>
          <w:rFonts w:ascii="宋体" w:hAnsi="宋体" w:eastAsia="宋体" w:cs="宋体"/>
          <w:sz w:val="24"/>
          <w:szCs w:val="24"/>
        </w:rPr>
      </w:pPr>
      <w:r>
        <w:rPr>
          <w:rFonts w:hint="eastAsia" w:ascii="宋体" w:hAnsi="宋体" w:eastAsia="宋体" w:cs="宋体"/>
          <w:sz w:val="24"/>
          <w:szCs w:val="24"/>
        </w:rPr>
        <w:t xml:space="preserve">2.2.8 妇女营养管理</w:t>
      </w:r>
      <w:r>
        <w:rPr>
          <w:rFonts w:ascii="宋体" w:hAnsi="宋体" w:eastAsia="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2.2.8</w:t>
      </w:r>
      <w:r>
        <w:rPr>
          <w:rFonts w:ascii="宋体" w:hAnsi="宋体" w:cs="宋体"/>
        </w:rPr>
        <w:t xml:space="preserve">.1 专病模型管理</w:t>
      </w:r>
      <w:r>
        <w:rPr>
          <w:rFonts w:ascii="宋体" w:hAnsi="宋体" w:cs="宋体"/>
        </w:rPr>
      </w:r>
      <w:r/>
    </w:p>
    <w:p>
      <w:pPr>
        <w:pStyle w:val="1038"/>
        <w:numPr>
          <w:ilvl w:val="0"/>
          <w:numId w:val="129"/>
        </w:numPr>
        <w:ind w:left="840" w:hanging="420"/>
        <w:spacing w:line="360" w:lineRule="auto"/>
        <w:rPr>
          <w:rFonts w:ascii="宋体" w:hAnsi="宋体" w:cs="宋体"/>
          <w:sz w:val="24"/>
          <w:szCs w:val="24"/>
        </w:rPr>
      </w:pPr>
      <w:r>
        <w:rPr>
          <w:rFonts w:ascii="宋体" w:hAnsi="宋体" w:cs="宋体"/>
          <w:sz w:val="24"/>
          <w:szCs w:val="24"/>
        </w:rPr>
        <w:t xml:space="preserve">建立妇女营养风险识别模型，支持基于孕前BMI、孕期增重、血红蛋白、血糖等指标自动识别营养不良、贫血、妊娠期糖尿病等高风险人群；</w:t>
      </w:r>
      <w:r>
        <w:rPr>
          <w:rFonts w:ascii="宋体" w:hAnsi="宋体" w:cs="宋体"/>
          <w:sz w:val="24"/>
          <w:szCs w:val="24"/>
        </w:rPr>
      </w:r>
      <w:r/>
    </w:p>
    <w:p>
      <w:pPr>
        <w:pStyle w:val="1038"/>
        <w:numPr>
          <w:ilvl w:val="0"/>
          <w:numId w:val="129"/>
        </w:numPr>
        <w:ind w:left="840" w:hanging="420"/>
        <w:spacing w:line="360" w:lineRule="auto"/>
        <w:rPr>
          <w:rFonts w:ascii="宋体" w:hAnsi="宋体" w:cs="宋体"/>
          <w:sz w:val="24"/>
          <w:szCs w:val="24"/>
        </w:rPr>
      </w:pPr>
      <w:r>
        <w:rPr>
          <w:rFonts w:ascii="宋体" w:hAnsi="宋体" w:cs="宋体"/>
          <w:sz w:val="24"/>
          <w:szCs w:val="24"/>
        </w:rPr>
        <w:t xml:space="preserve">支持从产科、妇科、检验系统中提取营养相关数据。</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2.2.8</w:t>
      </w:r>
      <w:r>
        <w:rPr>
          <w:rFonts w:ascii="宋体" w:hAnsi="宋体" w:cs="宋体"/>
        </w:rPr>
        <w:t xml:space="preserve">.2 专病数据清洗与治理</w:t>
      </w:r>
      <w:r>
        <w:rPr>
          <w:rFonts w:ascii="宋体" w:hAnsi="宋体" w:cs="宋体"/>
        </w:rPr>
      </w:r>
      <w:r/>
    </w:p>
    <w:p>
      <w:pPr>
        <w:pStyle w:val="1038"/>
        <w:numPr>
          <w:ilvl w:val="0"/>
          <w:numId w:val="130"/>
        </w:numPr>
        <w:ind w:left="840" w:hanging="420"/>
        <w:spacing w:line="360" w:lineRule="auto"/>
        <w:rPr>
          <w:rFonts w:ascii="宋体" w:hAnsi="宋体" w:cs="宋体"/>
          <w:sz w:val="24"/>
          <w:szCs w:val="24"/>
        </w:rPr>
      </w:pPr>
      <w:r>
        <w:rPr>
          <w:rFonts w:ascii="宋体" w:hAnsi="宋体" w:cs="宋体"/>
          <w:sz w:val="24"/>
          <w:szCs w:val="24"/>
        </w:rPr>
        <w:t xml:space="preserve">支持对BMI、血红蛋白、空腹血糖、铁蛋白等字段进行值域校验与异常提醒；</w:t>
      </w:r>
      <w:r>
        <w:rPr>
          <w:rFonts w:ascii="宋体" w:hAnsi="宋体" w:cs="宋体"/>
          <w:sz w:val="24"/>
          <w:szCs w:val="24"/>
        </w:rPr>
      </w:r>
      <w:r/>
    </w:p>
    <w:p>
      <w:pPr>
        <w:pStyle w:val="1038"/>
        <w:numPr>
          <w:ilvl w:val="0"/>
          <w:numId w:val="130"/>
        </w:numPr>
        <w:ind w:left="840" w:hanging="420"/>
        <w:spacing w:line="360" w:lineRule="auto"/>
        <w:rPr>
          <w:rFonts w:ascii="宋体" w:hAnsi="宋体" w:cs="宋体"/>
          <w:sz w:val="24"/>
          <w:szCs w:val="24"/>
        </w:rPr>
      </w:pPr>
      <w:r>
        <w:rPr>
          <w:rFonts w:ascii="宋体" w:hAnsi="宋体" w:cs="宋体"/>
          <w:sz w:val="24"/>
          <w:szCs w:val="24"/>
        </w:rPr>
        <w:t xml:space="preserve">支持孕期营养风险分级管理。</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2.2.8</w:t>
      </w:r>
      <w:r>
        <w:rPr>
          <w:rFonts w:ascii="宋体" w:hAnsi="宋体" w:cs="宋体"/>
        </w:rPr>
        <w:t xml:space="preserve">.3 专病数据对接</w:t>
      </w:r>
      <w:r>
        <w:rPr>
          <w:rFonts w:ascii="宋体" w:hAnsi="宋体" w:cs="宋体"/>
        </w:rPr>
      </w:r>
      <w:r/>
    </w:p>
    <w:p>
      <w:pPr>
        <w:pStyle w:val="1038"/>
        <w:numPr>
          <w:ilvl w:val="0"/>
          <w:numId w:val="131"/>
        </w:numPr>
        <w:ind w:left="840" w:hanging="420"/>
        <w:spacing w:line="360" w:lineRule="auto"/>
        <w:rPr>
          <w:rFonts w:ascii="宋体" w:hAnsi="宋体" w:cs="宋体"/>
          <w:sz w:val="24"/>
          <w:szCs w:val="24"/>
        </w:rPr>
      </w:pPr>
      <w:r>
        <w:rPr>
          <w:rFonts w:ascii="宋体" w:hAnsi="宋体" w:cs="宋体"/>
          <w:sz w:val="24"/>
          <w:szCs w:val="24"/>
        </w:rPr>
        <w:t xml:space="preserve">对接HIS、LIS、产科系统、营养门诊系统，实现营养数据自动采集；</w:t>
      </w:r>
      <w:r>
        <w:rPr>
          <w:rFonts w:ascii="宋体" w:hAnsi="宋体" w:cs="宋体"/>
          <w:sz w:val="24"/>
          <w:szCs w:val="24"/>
        </w:rPr>
      </w:r>
      <w:r/>
    </w:p>
    <w:p>
      <w:pPr>
        <w:pStyle w:val="1038"/>
        <w:numPr>
          <w:ilvl w:val="0"/>
          <w:numId w:val="131"/>
        </w:numPr>
        <w:ind w:left="840" w:hanging="420"/>
        <w:spacing w:line="360" w:lineRule="auto"/>
        <w:rPr>
          <w:rFonts w:ascii="宋体" w:hAnsi="宋体" w:cs="宋体"/>
          <w:sz w:val="24"/>
          <w:szCs w:val="24"/>
        </w:rPr>
      </w:pPr>
      <w:r>
        <w:rPr>
          <w:rFonts w:ascii="宋体" w:hAnsi="宋体" w:cs="宋体"/>
          <w:sz w:val="24"/>
          <w:szCs w:val="24"/>
        </w:rPr>
        <w:t xml:space="preserve">支持与营养师系统联动，实现个性化膳食指导推送。</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2.2.8</w:t>
      </w:r>
      <w:r>
        <w:rPr>
          <w:rFonts w:ascii="宋体" w:hAnsi="宋体" w:cs="宋体"/>
        </w:rPr>
        <w:t xml:space="preserve">.4 数据检索服务</w:t>
      </w:r>
      <w:r>
        <w:rPr>
          <w:rFonts w:ascii="宋体" w:hAnsi="宋体" w:cs="宋体"/>
        </w:rPr>
      </w:r>
      <w:r/>
    </w:p>
    <w:p>
      <w:pPr>
        <w:pStyle w:val="1038"/>
        <w:numPr>
          <w:ilvl w:val="0"/>
          <w:numId w:val="132"/>
        </w:numPr>
        <w:ind w:left="840" w:hanging="420"/>
        <w:spacing w:line="360" w:lineRule="auto"/>
        <w:rPr>
          <w:rFonts w:ascii="宋体" w:hAnsi="宋体" w:cs="宋体"/>
          <w:sz w:val="24"/>
          <w:szCs w:val="24"/>
        </w:rPr>
      </w:pPr>
      <w:r>
        <w:rPr>
          <w:rFonts w:ascii="宋体" w:hAnsi="宋体" w:cs="宋体"/>
          <w:sz w:val="24"/>
          <w:szCs w:val="24"/>
        </w:rPr>
        <w:t xml:space="preserve">支持按“贫血”“GDM”“低蛋白血症”“营养不良”等标签检索妇女；</w:t>
      </w:r>
      <w:r>
        <w:rPr>
          <w:rFonts w:ascii="宋体" w:hAnsi="宋体" w:cs="宋体"/>
          <w:sz w:val="24"/>
          <w:szCs w:val="24"/>
        </w:rPr>
      </w:r>
      <w:r/>
    </w:p>
    <w:p>
      <w:pPr>
        <w:pStyle w:val="1038"/>
        <w:numPr>
          <w:ilvl w:val="0"/>
          <w:numId w:val="132"/>
        </w:numPr>
        <w:ind w:left="840" w:hanging="420"/>
        <w:spacing w:line="360" w:lineRule="auto"/>
        <w:rPr>
          <w:rFonts w:ascii="宋体" w:hAnsi="宋体" w:cs="宋体"/>
          <w:sz w:val="24"/>
          <w:szCs w:val="24"/>
        </w:rPr>
      </w:pPr>
      <w:r>
        <w:rPr>
          <w:rFonts w:ascii="宋体" w:hAnsi="宋体" w:cs="宋体"/>
          <w:sz w:val="24"/>
          <w:szCs w:val="24"/>
        </w:rPr>
        <w:t xml:space="preserve">支持“孕晚期未完成营养评估的孕妇”等条件查询。</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2.2.8</w:t>
      </w:r>
      <w:r>
        <w:rPr>
          <w:rFonts w:ascii="宋体" w:hAnsi="宋体" w:cs="宋体"/>
        </w:rPr>
        <w:t xml:space="preserve">.5 专病数据应用服务</w:t>
      </w:r>
      <w:r>
        <w:rPr>
          <w:rFonts w:ascii="宋体" w:hAnsi="宋体" w:cs="宋体"/>
        </w:rPr>
      </w:r>
      <w:r/>
    </w:p>
    <w:p>
      <w:pPr>
        <w:pStyle w:val="1038"/>
        <w:numPr>
          <w:ilvl w:val="0"/>
          <w:numId w:val="133"/>
        </w:numPr>
        <w:ind w:left="840" w:hanging="420"/>
        <w:spacing w:line="360" w:lineRule="auto"/>
        <w:rPr>
          <w:rFonts w:ascii="宋体" w:hAnsi="宋体" w:cs="宋体"/>
          <w:sz w:val="24"/>
          <w:szCs w:val="24"/>
        </w:rPr>
      </w:pPr>
      <w:r>
        <w:rPr>
          <w:rFonts w:ascii="宋体" w:hAnsi="宋体" w:cs="宋体"/>
          <w:sz w:val="24"/>
          <w:szCs w:val="24"/>
        </w:rPr>
        <w:t xml:space="preserve">支持自动生成营养评估任务，推送至营养师或产科医生；</w:t>
      </w:r>
      <w:r>
        <w:rPr>
          <w:rFonts w:ascii="宋体" w:hAnsi="宋体" w:cs="宋体"/>
          <w:sz w:val="24"/>
          <w:szCs w:val="24"/>
        </w:rPr>
      </w:r>
      <w:r/>
    </w:p>
    <w:p>
      <w:pPr>
        <w:pStyle w:val="1038"/>
        <w:numPr>
          <w:ilvl w:val="0"/>
          <w:numId w:val="133"/>
        </w:numPr>
        <w:ind w:left="840" w:hanging="420"/>
        <w:spacing w:line="360" w:lineRule="auto"/>
        <w:rPr>
          <w:rFonts w:ascii="宋体" w:hAnsi="宋体" w:cs="宋体"/>
          <w:sz w:val="24"/>
          <w:szCs w:val="24"/>
        </w:rPr>
      </w:pPr>
      <w:r>
        <w:rPr>
          <w:rFonts w:ascii="宋体" w:hAnsi="宋体" w:cs="宋体"/>
          <w:sz w:val="24"/>
          <w:szCs w:val="24"/>
        </w:rPr>
        <w:t xml:space="preserve">支持绑定营养干预路径，包含膳食指导、运动建议、定期复测等；</w:t>
      </w:r>
      <w:r>
        <w:rPr>
          <w:rFonts w:ascii="宋体" w:hAnsi="宋体" w:cs="宋体"/>
          <w:sz w:val="24"/>
          <w:szCs w:val="24"/>
        </w:rPr>
      </w:r>
      <w:r/>
    </w:p>
    <w:p>
      <w:pPr>
        <w:pStyle w:val="1038"/>
        <w:numPr>
          <w:ilvl w:val="0"/>
          <w:numId w:val="133"/>
        </w:numPr>
        <w:ind w:left="840" w:hanging="420"/>
        <w:spacing w:line="360" w:lineRule="auto"/>
        <w:rPr>
          <w:rFonts w:ascii="宋体" w:hAnsi="宋体" w:cs="宋体"/>
          <w:sz w:val="24"/>
          <w:szCs w:val="24"/>
        </w:rPr>
      </w:pPr>
      <w:r>
        <w:rPr>
          <w:rFonts w:ascii="宋体" w:hAnsi="宋体" w:cs="宋体"/>
          <w:sz w:val="24"/>
          <w:szCs w:val="24"/>
        </w:rPr>
        <w:t xml:space="preserve">支持营养干预后效果评估（如Hb提升、血糖控制、巨大儿出生率下降）；</w:t>
      </w:r>
      <w:r>
        <w:rPr>
          <w:rFonts w:ascii="宋体" w:hAnsi="宋体" w:cs="宋体"/>
          <w:sz w:val="24"/>
          <w:szCs w:val="24"/>
        </w:rPr>
      </w:r>
      <w:r/>
    </w:p>
    <w:p>
      <w:pPr>
        <w:pStyle w:val="1038"/>
        <w:numPr>
          <w:ilvl w:val="0"/>
          <w:numId w:val="133"/>
        </w:numPr>
        <w:ind w:left="840" w:hanging="420"/>
        <w:spacing w:line="360" w:lineRule="auto"/>
        <w:rPr>
          <w:rFonts w:ascii="宋体" w:hAnsi="宋体" w:cs="宋体"/>
          <w:sz w:val="24"/>
          <w:szCs w:val="24"/>
        </w:rPr>
      </w:pPr>
      <w:r>
        <w:rPr>
          <w:rFonts w:ascii="宋体" w:hAnsi="宋体" w:cs="宋体"/>
          <w:sz w:val="24"/>
          <w:szCs w:val="24"/>
        </w:rPr>
        <w:t xml:space="preserve">支持家庭营养指导内容推送。</w:t>
      </w:r>
      <w:r>
        <w:rPr>
          <w:rFonts w:ascii="宋体" w:hAnsi="宋体" w:cs="宋体"/>
          <w:sz w:val="24"/>
          <w:szCs w:val="24"/>
        </w:rPr>
      </w:r>
      <w:r/>
    </w:p>
    <w:p>
      <w:pPr>
        <w:pStyle w:val="1043"/>
        <w:spacing w:before="0" w:after="0" w:line="360" w:lineRule="auto"/>
        <w:rPr>
          <w:rFonts w:ascii="宋体" w:hAnsi="宋体" w:cs="宋体"/>
        </w:rPr>
      </w:pPr>
      <w:r>
        <w:rPr>
          <w:rFonts w:hint="eastAsia" w:ascii="宋体" w:hAnsi="宋体" w:cs="宋体"/>
        </w:rPr>
        <w:t xml:space="preserve">2.2.8</w:t>
      </w:r>
      <w:r>
        <w:rPr>
          <w:rFonts w:ascii="宋体" w:hAnsi="宋体" w:cs="宋体"/>
        </w:rPr>
        <w:t xml:space="preserve">.6 数据统计与分析</w:t>
      </w:r>
      <w:r>
        <w:rPr>
          <w:rFonts w:ascii="宋体" w:hAnsi="宋体" w:cs="宋体"/>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支持自动统计：</w:t>
      </w:r>
      <w:r>
        <w:rPr>
          <w:rFonts w:ascii="宋体" w:hAnsi="宋体" w:cs="宋体"/>
          <w:sz w:val="24"/>
          <w:szCs w:val="24"/>
        </w:rPr>
      </w:r>
      <w:r/>
    </w:p>
    <w:p>
      <w:pPr>
        <w:pStyle w:val="1038"/>
        <w:numPr>
          <w:ilvl w:val="0"/>
          <w:numId w:val="134"/>
        </w:numPr>
        <w:ind w:firstLine="420"/>
        <w:spacing w:line="360" w:lineRule="auto"/>
        <w:rPr>
          <w:rFonts w:ascii="宋体" w:hAnsi="宋体" w:cs="宋体"/>
          <w:sz w:val="24"/>
          <w:szCs w:val="24"/>
        </w:rPr>
      </w:pPr>
      <w:r>
        <w:rPr>
          <w:rFonts w:ascii="宋体" w:hAnsi="宋体" w:cs="宋体"/>
          <w:sz w:val="24"/>
          <w:szCs w:val="24"/>
        </w:rPr>
        <w:t xml:space="preserve">妊娠期糖尿病就诊率</w:t>
      </w:r>
      <w:r>
        <w:rPr>
          <w:rFonts w:ascii="宋体" w:hAnsi="宋体" w:cs="宋体"/>
          <w:sz w:val="24"/>
          <w:szCs w:val="24"/>
        </w:rPr>
      </w:r>
      <w:r/>
    </w:p>
    <w:p>
      <w:pPr>
        <w:pStyle w:val="1038"/>
        <w:numPr>
          <w:ilvl w:val="0"/>
          <w:numId w:val="134"/>
        </w:numPr>
        <w:ind w:firstLine="420"/>
        <w:spacing w:line="360" w:lineRule="auto"/>
        <w:rPr>
          <w:rFonts w:ascii="宋体" w:hAnsi="宋体" w:cs="宋体"/>
          <w:sz w:val="24"/>
          <w:szCs w:val="24"/>
        </w:rPr>
      </w:pPr>
      <w:r>
        <w:rPr>
          <w:rFonts w:ascii="宋体" w:hAnsi="宋体" w:cs="宋体"/>
          <w:sz w:val="24"/>
          <w:szCs w:val="24"/>
        </w:rPr>
        <w:t xml:space="preserve">营养干预后巨大儿出生率</w:t>
      </w:r>
      <w:r>
        <w:rPr>
          <w:rFonts w:ascii="宋体" w:hAnsi="宋体" w:cs="宋体"/>
          <w:sz w:val="24"/>
          <w:szCs w:val="24"/>
        </w:rPr>
      </w:r>
      <w:r/>
    </w:p>
    <w:p>
      <w:pPr>
        <w:pStyle w:val="1038"/>
        <w:numPr>
          <w:ilvl w:val="0"/>
          <w:numId w:val="134"/>
        </w:numPr>
        <w:ind w:firstLine="420"/>
        <w:spacing w:line="360" w:lineRule="auto"/>
        <w:rPr>
          <w:rFonts w:ascii="宋体" w:hAnsi="宋体" w:cs="宋体"/>
          <w:sz w:val="24"/>
          <w:szCs w:val="24"/>
        </w:rPr>
      </w:pPr>
      <w:r>
        <w:rPr>
          <w:rFonts w:ascii="宋体" w:hAnsi="宋体" w:cs="宋体"/>
          <w:sz w:val="24"/>
          <w:szCs w:val="24"/>
        </w:rPr>
        <w:t xml:space="preserve">贫血治疗率与改善率</w:t>
      </w:r>
      <w:r>
        <w:rPr>
          <w:rFonts w:ascii="宋体" w:hAnsi="宋体" w:cs="宋体"/>
          <w:sz w:val="24"/>
          <w:szCs w:val="24"/>
        </w:rPr>
      </w:r>
      <w:r/>
    </w:p>
    <w:p>
      <w:pPr>
        <w:pStyle w:val="1038"/>
        <w:numPr>
          <w:ilvl w:val="0"/>
          <w:numId w:val="79"/>
        </w:numPr>
        <w:ind w:left="-420" w:firstLine="420"/>
        <w:spacing w:line="360" w:lineRule="auto"/>
        <w:rPr>
          <w:rFonts w:ascii="宋体" w:hAnsi="宋体" w:cs="宋体"/>
          <w:sz w:val="24"/>
          <w:szCs w:val="24"/>
        </w:rPr>
      </w:pPr>
      <w:r>
        <w:rPr>
          <w:rFonts w:ascii="宋体" w:hAnsi="宋体" w:cs="宋体"/>
          <w:sz w:val="24"/>
          <w:szCs w:val="24"/>
        </w:rPr>
        <w:t xml:space="preserve">支持按孕周、年龄、风险等级进行多维分析；</w:t>
      </w:r>
      <w:r>
        <w:rPr>
          <w:rFonts w:ascii="宋体" w:hAnsi="宋体" w:cs="宋体"/>
          <w:sz w:val="24"/>
          <w:szCs w:val="24"/>
        </w:rPr>
      </w:r>
      <w:r/>
    </w:p>
    <w:p>
      <w:pPr>
        <w:pStyle w:val="1038"/>
        <w:numPr>
          <w:ilvl w:val="0"/>
          <w:numId w:val="79"/>
        </w:numPr>
        <w:ind w:left="-420" w:firstLine="420"/>
        <w:spacing w:line="360" w:lineRule="auto"/>
      </w:pPr>
      <w:r>
        <w:rPr>
          <w:rFonts w:ascii="宋体" w:hAnsi="宋体" w:cs="宋体"/>
          <w:sz w:val="24"/>
          <w:szCs w:val="24"/>
        </w:rPr>
        <w:t xml:space="preserve">支持生成《妇女营养管理质量报告》，用于临床改进与科研分析。</w:t>
      </w:r>
      <w:r/>
    </w:p>
    <w:p>
      <w:pPr>
        <w:pStyle w:val="1052"/>
        <w:ind w:firstLine="0"/>
      </w:pPr>
      <w:r/>
      <w:r/>
    </w:p>
    <w:p>
      <w:pPr>
        <w:pStyle w:val="1038"/>
        <w:numPr>
          <w:ilvl w:val="1"/>
          <w:numId w:val="5"/>
        </w:numPr>
        <w:ind w:left="0" w:firstLine="0"/>
        <w:keepLines/>
        <w:keepNext/>
        <w:spacing w:line="360" w:lineRule="auto"/>
        <w:rPr>
          <w:rFonts w:ascii="宋体" w:hAnsi="宋体" w:cs="宋体"/>
          <w:b/>
          <w:bCs/>
          <w:sz w:val="24"/>
          <w:szCs w:val="24"/>
        </w:rPr>
        <w:outlineLvl w:val="2"/>
      </w:pPr>
      <w:r>
        <w:rPr>
          <w:rFonts w:hint="eastAsia" w:ascii="宋体" w:hAnsi="宋体" w:cs="宋体"/>
          <w:b/>
          <w:bCs/>
          <w:sz w:val="24"/>
          <w:szCs w:val="24"/>
        </w:rPr>
        <w:t xml:space="preserve">服务高质量发展</w:t>
      </w:r>
      <w:r>
        <w:rPr>
          <w:rFonts w:ascii="宋体" w:hAnsi="宋体" w:cs="宋体"/>
          <w:b/>
          <w:bCs/>
          <w:sz w:val="24"/>
          <w:szCs w:val="24"/>
        </w:rPr>
      </w:r>
      <w:r/>
    </w:p>
    <w:p>
      <w:pPr>
        <w:pStyle w:val="1042"/>
        <w:rPr>
          <w:rFonts w:ascii="宋体" w:hAnsi="宋体" w:eastAsia="宋体" w:cs="宋体"/>
          <w:sz w:val="24"/>
          <w:szCs w:val="24"/>
        </w:rPr>
      </w:pPr>
      <w:r>
        <w:rPr>
          <w:rFonts w:hint="eastAsia" w:ascii="宋体" w:hAnsi="宋体" w:eastAsia="宋体" w:cs="宋体"/>
          <w:sz w:val="24"/>
          <w:szCs w:val="24"/>
        </w:rPr>
        <w:t xml:space="preserve">2.3.1</w:t>
      </w:r>
      <w:r>
        <w:rPr>
          <w:rFonts w:hint="eastAsia" w:ascii="宋体" w:hAnsi="宋体" w:cs="宋体"/>
          <w:sz w:val="24"/>
          <w:szCs w:val="24"/>
        </w:rPr>
        <w:t xml:space="preserve">专科个案管理</w:t>
      </w:r>
      <w:r>
        <w:rPr>
          <w:rFonts w:ascii="宋体" w:hAnsi="宋体" w:eastAsia="宋体" w:cs="宋体"/>
          <w:sz w:val="24"/>
          <w:szCs w:val="24"/>
        </w:rPr>
      </w:r>
      <w:r/>
    </w:p>
    <w:p>
      <w:pPr>
        <w:pStyle w:val="1043"/>
        <w:rPr>
          <w:rFonts w:ascii="宋体" w:hAnsi="宋体" w:cs="宋体"/>
        </w:rPr>
      </w:pPr>
      <w:r>
        <w:rPr>
          <w:rFonts w:hint="eastAsia" w:ascii="宋体" w:hAnsi="宋体" w:cs="宋体"/>
        </w:rPr>
        <w:t xml:space="preserve">2.3.1.1在线咨询</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构建基于个案的多角色在线沟通体系</w:t>
      </w:r>
      <w:r>
        <w:rPr>
          <w:rFonts w:ascii="宋体" w:hAnsi="宋体" w:cs="宋体"/>
          <w:sz w:val="24"/>
          <w:szCs w:val="24"/>
        </w:rPr>
      </w:r>
      <w:r/>
    </w:p>
    <w:p>
      <w:pPr>
        <w:pStyle w:val="1038"/>
        <w:numPr>
          <w:ilvl w:val="0"/>
          <w:numId w:val="135"/>
        </w:numPr>
        <w:spacing w:line="360" w:lineRule="auto"/>
        <w:rPr>
          <w:rFonts w:ascii="宋体" w:hAnsi="宋体" w:cs="宋体"/>
          <w:sz w:val="24"/>
          <w:szCs w:val="24"/>
        </w:rPr>
      </w:pPr>
      <w:r>
        <w:rPr>
          <w:rFonts w:hint="eastAsia" w:ascii="宋体" w:hAnsi="宋体" w:cs="宋体"/>
          <w:sz w:val="24"/>
          <w:szCs w:val="24"/>
        </w:rPr>
        <w:t xml:space="preserve">支持患者与医生、护士、康复师、营养师、心理师等多角色之间的线上沟通；</w:t>
      </w:r>
      <w:r>
        <w:rPr>
          <w:rFonts w:ascii="宋体" w:hAnsi="宋体" w:cs="宋体"/>
          <w:sz w:val="24"/>
          <w:szCs w:val="24"/>
        </w:rPr>
      </w:r>
      <w:r/>
    </w:p>
    <w:p>
      <w:pPr>
        <w:pStyle w:val="1038"/>
        <w:numPr>
          <w:ilvl w:val="0"/>
          <w:numId w:val="135"/>
        </w:numPr>
        <w:spacing w:line="360" w:lineRule="auto"/>
        <w:rPr>
          <w:rFonts w:ascii="宋体" w:hAnsi="宋体" w:cs="宋体"/>
          <w:sz w:val="24"/>
          <w:szCs w:val="24"/>
        </w:rPr>
      </w:pPr>
      <w:r>
        <w:rPr>
          <w:rFonts w:hint="eastAsia" w:ascii="宋体" w:hAnsi="宋体" w:cs="宋体"/>
          <w:sz w:val="24"/>
          <w:szCs w:val="24"/>
        </w:rPr>
        <w:t xml:space="preserve">▲支持图片、文档等多媒体消息，便于病情描述与资料补充。</w:t>
      </w:r>
      <w:r>
        <w:rPr>
          <w:rFonts w:ascii="宋体" w:hAnsi="宋体" w:cs="宋体"/>
          <w:sz w:val="24"/>
          <w:szCs w:val="24"/>
        </w:rPr>
      </w:r>
      <w:r/>
    </w:p>
    <w:p>
      <w:pPr>
        <w:pStyle w:val="1043"/>
        <w:rPr>
          <w:rFonts w:ascii="宋体" w:hAnsi="宋体" w:cs="宋体"/>
        </w:rPr>
      </w:pPr>
      <w:r>
        <w:rPr>
          <w:rFonts w:hint="eastAsia" w:ascii="宋体" w:hAnsi="宋体" w:cs="宋体"/>
        </w:rPr>
        <w:t xml:space="preserve">2.3.1.2 专科随访</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随访队列与计划管理</w:t>
      </w:r>
      <w:r>
        <w:rPr>
          <w:rFonts w:ascii="宋体" w:hAnsi="宋体" w:cs="宋体"/>
          <w:sz w:val="24"/>
          <w:szCs w:val="24"/>
        </w:rPr>
      </w:r>
      <w:r/>
    </w:p>
    <w:p>
      <w:pPr>
        <w:pStyle w:val="1038"/>
        <w:numPr>
          <w:ilvl w:val="0"/>
          <w:numId w:val="136"/>
        </w:numPr>
        <w:spacing w:line="360" w:lineRule="auto"/>
        <w:rPr>
          <w:rFonts w:ascii="宋体" w:hAnsi="宋体" w:cs="宋体"/>
          <w:sz w:val="24"/>
          <w:szCs w:val="24"/>
        </w:rPr>
      </w:pPr>
      <w:r>
        <w:rPr>
          <w:rFonts w:hint="eastAsia" w:ascii="宋体" w:hAnsi="宋体" w:cs="宋体"/>
          <w:sz w:val="24"/>
          <w:szCs w:val="24"/>
        </w:rPr>
        <w:t xml:space="preserve">▲支持按患者标签、特定规则、日期阶段等条件进行随访分组；</w:t>
      </w:r>
      <w:r>
        <w:rPr>
          <w:rFonts w:ascii="宋体" w:hAnsi="宋体" w:cs="宋体"/>
          <w:sz w:val="24"/>
          <w:szCs w:val="24"/>
        </w:rPr>
      </w:r>
      <w:r/>
    </w:p>
    <w:p>
      <w:pPr>
        <w:pStyle w:val="1038"/>
        <w:numPr>
          <w:ilvl w:val="0"/>
          <w:numId w:val="136"/>
        </w:numPr>
        <w:spacing w:line="360" w:lineRule="auto"/>
        <w:rPr>
          <w:rFonts w:ascii="宋体" w:hAnsi="宋体" w:cs="宋体"/>
          <w:sz w:val="24"/>
          <w:szCs w:val="24"/>
        </w:rPr>
      </w:pPr>
      <w:r>
        <w:rPr>
          <w:rFonts w:hint="eastAsia" w:ascii="宋体" w:hAnsi="宋体" w:cs="宋体"/>
          <w:sz w:val="24"/>
          <w:szCs w:val="24"/>
        </w:rPr>
        <w:t xml:space="preserve">支持自动或手动分配任务给指定特定用户或角色；</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随访内容与动态表单管理</w:t>
      </w:r>
      <w:r>
        <w:rPr>
          <w:rFonts w:ascii="宋体" w:hAnsi="宋体" w:cs="宋体"/>
          <w:sz w:val="24"/>
          <w:szCs w:val="24"/>
        </w:rPr>
      </w:r>
      <w:r/>
    </w:p>
    <w:p>
      <w:pPr>
        <w:pStyle w:val="1038"/>
        <w:numPr>
          <w:ilvl w:val="0"/>
          <w:numId w:val="137"/>
        </w:numPr>
        <w:spacing w:line="360" w:lineRule="auto"/>
        <w:rPr>
          <w:rFonts w:ascii="宋体" w:hAnsi="宋体" w:cs="宋体"/>
          <w:sz w:val="24"/>
          <w:szCs w:val="24"/>
        </w:rPr>
      </w:pPr>
      <w:r>
        <w:rPr>
          <w:rFonts w:hint="eastAsia" w:ascii="宋体" w:hAnsi="宋体" w:cs="宋体"/>
          <w:sz w:val="24"/>
          <w:szCs w:val="24"/>
        </w:rPr>
        <w:t xml:space="preserve">▲支持自定义表单，系统后台支持通过拖拽方式实现表单设计，用户可灵活配置随访问卷，系统应提供丰富的随访控件，如文本框、富文本框、下拉框等；</w:t>
      </w:r>
      <w:r>
        <w:rPr>
          <w:rFonts w:ascii="宋体" w:hAnsi="宋体" w:cs="宋体"/>
          <w:sz w:val="24"/>
          <w:szCs w:val="24"/>
        </w:rPr>
      </w:r>
      <w:r/>
    </w:p>
    <w:p>
      <w:pPr>
        <w:pStyle w:val="1038"/>
        <w:numPr>
          <w:ilvl w:val="0"/>
          <w:numId w:val="137"/>
        </w:numPr>
        <w:spacing w:line="360" w:lineRule="auto"/>
        <w:rPr>
          <w:rFonts w:ascii="宋体" w:hAnsi="宋体" w:cs="宋体"/>
          <w:sz w:val="24"/>
          <w:szCs w:val="24"/>
        </w:rPr>
      </w:pPr>
      <w:r>
        <w:rPr>
          <w:rFonts w:hint="eastAsia" w:ascii="宋体" w:hAnsi="宋体" w:cs="宋体"/>
          <w:sz w:val="24"/>
          <w:szCs w:val="24"/>
        </w:rPr>
        <w:t xml:space="preserve">支持根据表单设计的不同回答内容动态调整表单后续展示的问题与统计内容。</w:t>
      </w:r>
      <w:r>
        <w:rPr>
          <w:rFonts w:ascii="宋体" w:hAnsi="宋体" w:cs="宋体"/>
          <w:sz w:val="24"/>
          <w:szCs w:val="24"/>
        </w:rPr>
      </w:r>
      <w:r/>
    </w:p>
    <w:p>
      <w:pPr>
        <w:pStyle w:val="1043"/>
        <w:spacing w:line="240" w:lineRule="auto"/>
        <w:rPr>
          <w:rFonts w:ascii="宋体" w:hAnsi="宋体" w:cs="宋体"/>
        </w:rPr>
      </w:pPr>
      <w:r>
        <w:rPr>
          <w:rFonts w:hint="eastAsia" w:ascii="宋体" w:hAnsi="宋体" w:cs="宋体"/>
        </w:rPr>
        <w:t xml:space="preserve">2.3.1.3 健康宣教</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分层分类的宣教内容组织体系</w:t>
      </w:r>
      <w:r>
        <w:rPr>
          <w:rFonts w:ascii="宋体" w:hAnsi="宋体" w:cs="宋体"/>
          <w:sz w:val="24"/>
          <w:szCs w:val="24"/>
        </w:rPr>
      </w:r>
      <w:r/>
    </w:p>
    <w:p>
      <w:pPr>
        <w:pStyle w:val="1038"/>
        <w:numPr>
          <w:ilvl w:val="0"/>
          <w:numId w:val="138"/>
        </w:numPr>
        <w:spacing w:line="360" w:lineRule="auto"/>
        <w:rPr>
          <w:rFonts w:ascii="宋体" w:hAnsi="宋体" w:cs="宋体"/>
          <w:sz w:val="24"/>
          <w:szCs w:val="24"/>
        </w:rPr>
      </w:pPr>
      <w:r>
        <w:rPr>
          <w:rFonts w:hint="eastAsia" w:ascii="宋体" w:hAnsi="宋体" w:cs="宋体"/>
          <w:sz w:val="24"/>
          <w:szCs w:val="24"/>
        </w:rPr>
        <w:t xml:space="preserve">▲支持用户设置自动打标规则，系统对患者进行自动标签管理（如 “心理关注”“运动依从性低”）；</w:t>
      </w:r>
      <w:r>
        <w:rPr>
          <w:rFonts w:ascii="宋体" w:hAnsi="宋体" w:cs="宋体"/>
          <w:sz w:val="24"/>
          <w:szCs w:val="24"/>
        </w:rPr>
      </w:r>
      <w:r/>
    </w:p>
    <w:p>
      <w:pPr>
        <w:pStyle w:val="1038"/>
        <w:numPr>
          <w:ilvl w:val="0"/>
          <w:numId w:val="138"/>
        </w:numPr>
        <w:spacing w:line="360" w:lineRule="auto"/>
        <w:rPr>
          <w:rFonts w:ascii="宋体" w:hAnsi="宋体" w:cs="宋体"/>
          <w:sz w:val="24"/>
          <w:szCs w:val="24"/>
        </w:rPr>
      </w:pPr>
      <w:r>
        <w:rPr>
          <w:rFonts w:hint="eastAsia" w:ascii="宋体" w:hAnsi="宋体" w:cs="宋体"/>
          <w:sz w:val="24"/>
          <w:szCs w:val="24"/>
        </w:rPr>
        <w:t xml:space="preserve">支持宣教内容按疾病类别（如宫颈癌、更年期、青春期等）进行多维目标配置；</w:t>
      </w:r>
      <w:r>
        <w:rPr>
          <w:rFonts w:ascii="宋体" w:hAnsi="宋体" w:cs="宋体"/>
          <w:sz w:val="24"/>
          <w:szCs w:val="24"/>
        </w:rPr>
      </w:r>
      <w:r/>
    </w:p>
    <w:p>
      <w:pPr>
        <w:pStyle w:val="1038"/>
        <w:numPr>
          <w:ilvl w:val="0"/>
          <w:numId w:val="138"/>
        </w:numPr>
        <w:spacing w:line="360" w:lineRule="auto"/>
        <w:rPr>
          <w:rFonts w:ascii="宋体" w:hAnsi="宋体" w:cs="宋体"/>
          <w:sz w:val="24"/>
          <w:szCs w:val="24"/>
        </w:rPr>
      </w:pPr>
      <w:r>
        <w:rPr>
          <w:rFonts w:hint="eastAsia" w:ascii="宋体" w:hAnsi="宋体" w:cs="宋体"/>
          <w:sz w:val="24"/>
          <w:szCs w:val="24"/>
        </w:rPr>
        <w:t xml:space="preserve">内容类型支持图文、视频、文字模板、可下载手册等；</w:t>
      </w:r>
      <w:r>
        <w:rPr>
          <w:rFonts w:ascii="宋体" w:hAnsi="宋体" w:cs="宋体"/>
          <w:sz w:val="24"/>
          <w:szCs w:val="24"/>
        </w:rPr>
      </w:r>
      <w:r/>
    </w:p>
    <w:p>
      <w:pPr>
        <w:pStyle w:val="1038"/>
        <w:numPr>
          <w:ilvl w:val="0"/>
          <w:numId w:val="138"/>
        </w:numPr>
        <w:spacing w:line="360" w:lineRule="auto"/>
        <w:rPr>
          <w:rFonts w:ascii="宋体" w:hAnsi="宋体" w:cs="宋体"/>
          <w:sz w:val="24"/>
          <w:szCs w:val="24"/>
        </w:rPr>
      </w:pPr>
      <w:r>
        <w:rPr>
          <w:rFonts w:hint="eastAsia" w:ascii="宋体" w:hAnsi="宋体" w:cs="宋体"/>
          <w:sz w:val="24"/>
          <w:szCs w:val="24"/>
        </w:rPr>
        <w:t xml:space="preserve">支持医疗机构自建内容并设定发布权限。</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路径联动的自动化推送机制</w:t>
      </w:r>
      <w:r>
        <w:rPr>
          <w:rFonts w:ascii="宋体" w:hAnsi="宋体" w:cs="宋体"/>
          <w:sz w:val="24"/>
          <w:szCs w:val="24"/>
        </w:rPr>
      </w:r>
      <w:r/>
    </w:p>
    <w:p>
      <w:pPr>
        <w:pStyle w:val="1038"/>
        <w:numPr>
          <w:ilvl w:val="0"/>
          <w:numId w:val="139"/>
        </w:numPr>
        <w:spacing w:line="360" w:lineRule="auto"/>
        <w:rPr>
          <w:rFonts w:ascii="宋体" w:hAnsi="宋体" w:cs="宋体"/>
          <w:sz w:val="24"/>
          <w:szCs w:val="24"/>
        </w:rPr>
      </w:pPr>
      <w:r>
        <w:rPr>
          <w:rFonts w:hint="eastAsia" w:ascii="宋体" w:hAnsi="宋体" w:cs="宋体"/>
          <w:sz w:val="24"/>
          <w:szCs w:val="24"/>
        </w:rPr>
        <w:t xml:space="preserve">支持每个专病路径节点可配置对应的宣教任务，在患者执行节点任务时自动触发推送；例如术前自动推送术前准备知识，术后出院时推送康复锻炼图解及复查注意事项；</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知识管理与内容更新机制</w:t>
      </w:r>
      <w:r>
        <w:rPr>
          <w:rFonts w:ascii="宋体" w:hAnsi="宋体" w:cs="宋体"/>
          <w:sz w:val="24"/>
          <w:szCs w:val="24"/>
        </w:rPr>
      </w:r>
      <w:r/>
    </w:p>
    <w:p>
      <w:pPr>
        <w:pStyle w:val="1038"/>
        <w:numPr>
          <w:ilvl w:val="0"/>
          <w:numId w:val="140"/>
        </w:numPr>
        <w:spacing w:line="360" w:lineRule="auto"/>
        <w:rPr>
          <w:rFonts w:ascii="宋体" w:hAnsi="宋体" w:cs="宋体"/>
          <w:sz w:val="24"/>
          <w:szCs w:val="24"/>
        </w:rPr>
      </w:pPr>
      <w:r>
        <w:rPr>
          <w:rFonts w:hint="eastAsia" w:ascii="宋体" w:hAnsi="宋体" w:cs="宋体"/>
          <w:sz w:val="24"/>
          <w:szCs w:val="24"/>
        </w:rPr>
        <w:t xml:space="preserve">支持宣教内容配置管理后台，支持模板创建、版本更新、发布审批、效果评价等；</w:t>
      </w:r>
      <w:r>
        <w:rPr>
          <w:rFonts w:ascii="宋体" w:hAnsi="宋体" w:cs="宋体"/>
          <w:sz w:val="24"/>
          <w:szCs w:val="24"/>
        </w:rPr>
      </w:r>
      <w:r/>
    </w:p>
    <w:p>
      <w:pPr>
        <w:pStyle w:val="1038"/>
        <w:numPr>
          <w:ilvl w:val="0"/>
          <w:numId w:val="140"/>
        </w:numPr>
        <w:spacing w:line="360" w:lineRule="auto"/>
        <w:rPr>
          <w:rFonts w:ascii="宋体" w:hAnsi="宋体" w:cs="宋体"/>
          <w:sz w:val="24"/>
          <w:szCs w:val="24"/>
        </w:rPr>
      </w:pPr>
      <w:r>
        <w:rPr>
          <w:rFonts w:hint="eastAsia" w:ascii="宋体" w:hAnsi="宋体" w:cs="宋体"/>
          <w:sz w:val="24"/>
          <w:szCs w:val="24"/>
        </w:rPr>
        <w:t xml:space="preserve">支持内容定期审校、热点问题上报与应急宣教素材快速分发（如疫情期间妇幼群体防护）；</w:t>
      </w:r>
      <w:r>
        <w:rPr>
          <w:rFonts w:ascii="宋体" w:hAnsi="宋体" w:cs="宋体"/>
          <w:sz w:val="24"/>
          <w:szCs w:val="24"/>
        </w:rPr>
      </w:r>
      <w:r/>
    </w:p>
    <w:p>
      <w:pPr>
        <w:pStyle w:val="1038"/>
        <w:numPr>
          <w:ilvl w:val="0"/>
          <w:numId w:val="140"/>
        </w:numPr>
        <w:spacing w:line="360" w:lineRule="auto"/>
      </w:pPr>
      <w:r>
        <w:rPr>
          <w:rFonts w:hint="eastAsia" w:ascii="宋体" w:hAnsi="宋体" w:cs="宋体"/>
          <w:sz w:val="24"/>
          <w:szCs w:val="24"/>
        </w:rPr>
        <w:t xml:space="preserve">支持管理端可查看各类内容点击率、满意度、阅读完成率等分析数据，辅助内容优化。</w:t>
      </w:r>
      <w:r/>
    </w:p>
    <w:p>
      <w:pPr>
        <w:pStyle w:val="1042"/>
        <w:rPr>
          <w:rFonts w:ascii="宋体" w:hAnsi="宋体" w:eastAsia="宋体" w:cs="宋体"/>
          <w:sz w:val="24"/>
          <w:szCs w:val="24"/>
        </w:rPr>
      </w:pPr>
      <w:r>
        <w:rPr>
          <w:rFonts w:hint="eastAsia" w:ascii="宋体" w:hAnsi="宋体" w:eastAsia="宋体" w:cs="宋体"/>
          <w:sz w:val="24"/>
          <w:szCs w:val="24"/>
        </w:rPr>
        <w:t xml:space="preserve">2.3.2平台对接服务</w:t>
      </w:r>
      <w:r>
        <w:rPr>
          <w:rFonts w:ascii="宋体" w:hAnsi="宋体" w:eastAsia="宋体" w:cs="宋体"/>
          <w:sz w:val="24"/>
          <w:szCs w:val="24"/>
        </w:rPr>
      </w:r>
      <w:r/>
    </w:p>
    <w:p>
      <w:pPr>
        <w:pStyle w:val="1043"/>
        <w:spacing w:line="240" w:lineRule="auto"/>
        <w:rPr>
          <w:rFonts w:ascii="宋体" w:hAnsi="宋体" w:cs="宋体"/>
        </w:rPr>
      </w:pPr>
      <w:r>
        <w:rPr>
          <w:rFonts w:hint="eastAsia" w:ascii="宋体" w:hAnsi="宋体" w:cs="宋体"/>
        </w:rPr>
        <w:t xml:space="preserve">2.3.2.1 互联网平台对接</w:t>
      </w:r>
      <w:r>
        <w:rPr>
          <w:rFonts w:ascii="宋体" w:hAnsi="宋体" w:cs="宋体"/>
        </w:rPr>
      </w:r>
      <w:r/>
    </w:p>
    <w:p>
      <w:pPr>
        <w:pStyle w:val="1038"/>
        <w:numPr>
          <w:ilvl w:val="0"/>
          <w:numId w:val="141"/>
        </w:numPr>
        <w:spacing w:line="360" w:lineRule="auto"/>
        <w:rPr>
          <w:rFonts w:ascii="宋体" w:hAnsi="宋体" w:cs="宋体"/>
          <w:sz w:val="24"/>
          <w:szCs w:val="24"/>
        </w:rPr>
      </w:pPr>
      <w:r>
        <w:rPr>
          <w:rFonts w:hint="eastAsia" w:ascii="宋体" w:hAnsi="宋体" w:cs="宋体"/>
          <w:sz w:val="24"/>
          <w:szCs w:val="24"/>
        </w:rPr>
        <w:t xml:space="preserve">实现业务数据互通：支持与互联网平台对接患者档案、就诊记录、用药情况、宣教推送、随访任务、反馈结果等数据，保障线上线下一体化运行。</w:t>
      </w:r>
      <w:r>
        <w:rPr>
          <w:rFonts w:ascii="宋体" w:hAnsi="宋体" w:cs="宋体"/>
          <w:sz w:val="24"/>
          <w:szCs w:val="24"/>
        </w:rPr>
      </w:r>
      <w:r/>
    </w:p>
    <w:p>
      <w:pPr>
        <w:pStyle w:val="1038"/>
        <w:numPr>
          <w:ilvl w:val="0"/>
          <w:numId w:val="141"/>
        </w:numPr>
        <w:spacing w:line="360" w:lineRule="auto"/>
        <w:rPr>
          <w:rFonts w:ascii="宋体" w:hAnsi="宋体" w:cs="宋体"/>
          <w:sz w:val="24"/>
          <w:szCs w:val="24"/>
        </w:rPr>
      </w:pPr>
      <w:r>
        <w:rPr>
          <w:rFonts w:hint="eastAsia" w:ascii="宋体" w:hAnsi="宋体" w:cs="宋体"/>
          <w:sz w:val="24"/>
          <w:szCs w:val="24"/>
        </w:rPr>
        <w:t xml:space="preserve">提升多渠道触达能力：支持借助互联网平台的推送、短信、小程序等能力，将随访提醒、指标预警、宣教信息有效传达至患者，提高依从性。</w:t>
      </w:r>
      <w:r>
        <w:rPr>
          <w:rFonts w:ascii="宋体" w:hAnsi="宋体" w:cs="宋体"/>
          <w:sz w:val="24"/>
          <w:szCs w:val="24"/>
        </w:rPr>
      </w:r>
      <w:r/>
    </w:p>
    <w:p>
      <w:pPr>
        <w:pStyle w:val="1038"/>
        <w:numPr>
          <w:ilvl w:val="0"/>
          <w:numId w:val="141"/>
        </w:numPr>
        <w:spacing w:line="360" w:lineRule="auto"/>
        <w:rPr>
          <w:rFonts w:ascii="宋体" w:hAnsi="宋体" w:cs="宋体"/>
          <w:sz w:val="24"/>
          <w:szCs w:val="24"/>
        </w:rPr>
      </w:pPr>
      <w:r>
        <w:rPr>
          <w:rFonts w:hint="eastAsia" w:ascii="宋体" w:hAnsi="宋体" w:cs="宋体"/>
          <w:sz w:val="24"/>
          <w:szCs w:val="24"/>
        </w:rPr>
        <w:t xml:space="preserve">统一身份认证：支持通过OAuth2、OpenID或院内统一账号体系，实现用户跨平台无缝登录；</w:t>
      </w:r>
      <w:r>
        <w:rPr>
          <w:rFonts w:ascii="宋体" w:hAnsi="宋体" w:cs="宋体"/>
          <w:sz w:val="24"/>
          <w:szCs w:val="24"/>
        </w:rPr>
      </w:r>
      <w:r/>
    </w:p>
    <w:p>
      <w:pPr>
        <w:pStyle w:val="1038"/>
        <w:numPr>
          <w:ilvl w:val="0"/>
          <w:numId w:val="141"/>
        </w:numPr>
        <w:spacing w:line="360" w:lineRule="auto"/>
      </w:pPr>
      <w:r>
        <w:rPr>
          <w:rFonts w:hint="eastAsia" w:ascii="宋体" w:hAnsi="宋体" w:cs="宋体"/>
          <w:sz w:val="24"/>
          <w:szCs w:val="24"/>
        </w:rPr>
        <w:t xml:space="preserve">标准化数据接口：支持采用RESTful API、JSON数据结构，遵循国家及地区医疗数据接口标准（如FHIR、HL7）；</w:t>
      </w:r>
      <w:r/>
    </w:p>
    <w:p>
      <w:pPr>
        <w:pStyle w:val="1043"/>
        <w:rPr>
          <w:rFonts w:ascii="宋体" w:hAnsi="宋体" w:cs="宋体"/>
        </w:rPr>
      </w:pPr>
      <w:r>
        <w:rPr>
          <w:rFonts w:hint="eastAsia" w:ascii="宋体" w:hAnsi="宋体" w:cs="宋体"/>
        </w:rPr>
        <w:t xml:space="preserve">2.3.2.2 临床系统对接</w:t>
      </w:r>
      <w:r>
        <w:rPr>
          <w:rFonts w:ascii="宋体" w:hAnsi="宋体" w:cs="宋体"/>
        </w:rPr>
      </w:r>
      <w:r/>
    </w:p>
    <w:p>
      <w:pPr>
        <w:pStyle w:val="1038"/>
        <w:numPr>
          <w:ilvl w:val="0"/>
          <w:numId w:val="142"/>
        </w:numPr>
        <w:spacing w:line="360" w:lineRule="auto"/>
        <w:rPr>
          <w:rFonts w:ascii="宋体" w:hAnsi="宋体" w:cs="宋体"/>
          <w:sz w:val="24"/>
          <w:szCs w:val="24"/>
        </w:rPr>
      </w:pPr>
      <w:r>
        <w:rPr>
          <w:rFonts w:hint="eastAsia" w:ascii="宋体" w:hAnsi="宋体" w:cs="宋体"/>
          <w:sz w:val="24"/>
          <w:szCs w:val="24"/>
        </w:rPr>
        <w:t xml:space="preserve">支持确保专病模型、运行所需的关键指标数据（如检查、检验、诊断、用药）从各系统及时、准确提取；</w:t>
      </w:r>
      <w:r>
        <w:rPr>
          <w:rFonts w:ascii="宋体" w:hAnsi="宋体" w:cs="宋体"/>
          <w:sz w:val="24"/>
          <w:szCs w:val="24"/>
        </w:rPr>
      </w:r>
      <w:r/>
    </w:p>
    <w:p>
      <w:pPr>
        <w:pStyle w:val="1038"/>
        <w:numPr>
          <w:ilvl w:val="0"/>
          <w:numId w:val="142"/>
        </w:numPr>
        <w:spacing w:line="360" w:lineRule="auto"/>
        <w:rPr>
          <w:rFonts w:ascii="宋体" w:hAnsi="宋体" w:cs="宋体"/>
          <w:sz w:val="24"/>
          <w:szCs w:val="24"/>
        </w:rPr>
      </w:pPr>
      <w:r>
        <w:rPr>
          <w:rFonts w:hint="eastAsia" w:ascii="宋体" w:hAnsi="宋体" w:cs="宋体"/>
          <w:sz w:val="24"/>
          <w:szCs w:val="24"/>
        </w:rPr>
        <w:t xml:space="preserve">减少重复录入与流程跳转：支持临床系统数据自动同步至平台，提升医护工作效率与用户体验；</w:t>
      </w:r>
      <w:r>
        <w:rPr>
          <w:rFonts w:ascii="宋体" w:hAnsi="宋体" w:cs="宋体"/>
          <w:sz w:val="24"/>
          <w:szCs w:val="24"/>
        </w:rPr>
      </w:r>
      <w:r/>
    </w:p>
    <w:p>
      <w:pPr>
        <w:pStyle w:val="1038"/>
        <w:numPr>
          <w:ilvl w:val="0"/>
          <w:numId w:val="142"/>
        </w:numPr>
        <w:spacing w:line="360" w:lineRule="auto"/>
        <w:rPr>
          <w:rFonts w:ascii="宋体" w:hAnsi="宋体" w:cs="宋体"/>
          <w:sz w:val="24"/>
          <w:szCs w:val="24"/>
        </w:rPr>
      </w:pPr>
      <w:r>
        <w:rPr>
          <w:rFonts w:hint="eastAsia" w:ascii="宋体" w:hAnsi="宋体" w:cs="宋体"/>
          <w:sz w:val="24"/>
          <w:szCs w:val="24"/>
        </w:rPr>
        <w:t xml:space="preserve">支持标准化与结构化数据回流：平台采集的个案、量表、宣教、随访等数据支持回写EMR，实现完整的患者诊疗记录闭环。</w:t>
      </w:r>
      <w:r>
        <w:rPr>
          <w:rFonts w:ascii="宋体" w:hAnsi="宋体" w:cs="宋体"/>
          <w:sz w:val="24"/>
          <w:szCs w:val="24"/>
        </w:rPr>
      </w:r>
      <w:r/>
    </w:p>
    <w:p>
      <w:pPr>
        <w:pStyle w:val="1043"/>
        <w:rPr>
          <w:rFonts w:ascii="宋体" w:hAnsi="宋体" w:cs="宋体"/>
        </w:rPr>
      </w:pPr>
      <w:r>
        <w:rPr>
          <w:rFonts w:hint="eastAsia" w:ascii="宋体" w:hAnsi="宋体" w:cs="宋体"/>
        </w:rPr>
        <w:t xml:space="preserve">2.3.2.3 其他接口对接</w:t>
      </w:r>
      <w:r>
        <w:rPr>
          <w:rFonts w:ascii="宋体" w:hAnsi="宋体" w:cs="宋体"/>
        </w:rPr>
      </w:r>
      <w:r/>
    </w:p>
    <w:p>
      <w:pPr>
        <w:pStyle w:val="1038"/>
        <w:numPr>
          <w:ilvl w:val="0"/>
          <w:numId w:val="143"/>
        </w:numPr>
        <w:spacing w:line="360" w:lineRule="auto"/>
        <w:rPr>
          <w:sz w:val="24"/>
          <w:szCs w:val="24"/>
        </w:rPr>
      </w:pPr>
      <w:r>
        <w:rPr>
          <w:rFonts w:hint="eastAsia"/>
          <w:sz w:val="24"/>
          <w:szCs w:val="24"/>
        </w:rPr>
        <w:t xml:space="preserve">支持与妇幼专网、省市卫健委监管平台、医保平台、公共卫生平台的数据交换，满足监管上报、指标同步和政策考核需求。</w:t>
      </w:r>
      <w:r>
        <w:rPr>
          <w:sz w:val="24"/>
          <w:szCs w:val="24"/>
        </w:rPr>
      </w:r>
      <w:r/>
    </w:p>
    <w:p>
      <w:pPr>
        <w:pStyle w:val="1038"/>
        <w:numPr>
          <w:ilvl w:val="0"/>
          <w:numId w:val="143"/>
        </w:numPr>
        <w:spacing w:line="360" w:lineRule="auto"/>
        <w:rPr>
          <w:rFonts w:ascii="宋体" w:hAnsi="宋体" w:cs="宋体"/>
          <w:sz w:val="24"/>
          <w:szCs w:val="24"/>
        </w:rPr>
      </w:pPr>
      <w:r>
        <w:rPr>
          <w:rFonts w:hint="eastAsia" w:ascii="宋体" w:hAnsi="宋体" w:cs="宋体"/>
          <w:sz w:val="24"/>
          <w:szCs w:val="24"/>
        </w:rPr>
        <w:t xml:space="preserve">文件兼容与解析：平台需支持对 OFD（Open Fixed-layout Document）格式 文件的读取、解析与存储，保障符合国家版式文件标准的文书兼容性。</w:t>
      </w:r>
      <w:r>
        <w:rPr>
          <w:rFonts w:ascii="宋体" w:hAnsi="宋体" w:cs="宋体"/>
          <w:sz w:val="24"/>
          <w:szCs w:val="24"/>
        </w:rPr>
      </w:r>
      <w:r/>
    </w:p>
    <w:p>
      <w:pPr>
        <w:pStyle w:val="1038"/>
        <w:numPr>
          <w:ilvl w:val="0"/>
          <w:numId w:val="143"/>
        </w:numPr>
        <w:spacing w:line="360" w:lineRule="auto"/>
        <w:rPr>
          <w:rFonts w:ascii="宋体" w:hAnsi="宋体" w:cs="宋体"/>
          <w:sz w:val="24"/>
          <w:szCs w:val="24"/>
        </w:rPr>
      </w:pPr>
      <w:r>
        <w:rPr>
          <w:rFonts w:hint="eastAsia" w:ascii="宋体" w:hAnsi="宋体" w:cs="宋体"/>
          <w:sz w:val="24"/>
          <w:szCs w:val="24"/>
        </w:rPr>
        <w:t xml:space="preserve">文档交换与共享：在与第三方系统（如临床数据中心、IIH、省妇幼平台等）进行对接时，需支持以OFD作为合规格式进行数据和文书的交换，确保内容在传输、展示过程中的版式一致与防篡改。</w:t>
      </w:r>
      <w:r>
        <w:rPr>
          <w:rFonts w:ascii="宋体" w:hAnsi="宋体" w:cs="宋体"/>
          <w:sz w:val="24"/>
          <w:szCs w:val="24"/>
        </w:rPr>
      </w:r>
      <w:r/>
    </w:p>
    <w:p>
      <w:pPr>
        <w:pStyle w:val="1038"/>
        <w:numPr>
          <w:ilvl w:val="0"/>
          <w:numId w:val="143"/>
        </w:numPr>
        <w:spacing w:line="360" w:lineRule="auto"/>
        <w:rPr>
          <w:rFonts w:ascii="宋体" w:hAnsi="宋体" w:cs="宋体"/>
          <w:sz w:val="24"/>
          <w:szCs w:val="24"/>
        </w:rPr>
      </w:pPr>
      <w:r>
        <w:rPr>
          <w:rFonts w:hint="eastAsia" w:ascii="宋体" w:hAnsi="宋体" w:cs="宋体"/>
          <w:sz w:val="24"/>
          <w:szCs w:val="24"/>
        </w:rPr>
        <w:t xml:space="preserve">院内应用场景：支持病案首页、质控报告、出院小结、监管报表等以OFD格式归档与共享，实现内容长期留存与合规展示。</w:t>
      </w:r>
      <w:r>
        <w:rPr>
          <w:rFonts w:ascii="宋体" w:hAnsi="宋体" w:cs="宋体"/>
          <w:sz w:val="24"/>
          <w:szCs w:val="24"/>
        </w:rPr>
      </w:r>
      <w:r/>
    </w:p>
    <w:p>
      <w:pPr>
        <w:pStyle w:val="1038"/>
        <w:numPr>
          <w:ilvl w:val="0"/>
          <w:numId w:val="143"/>
        </w:numPr>
        <w:spacing w:line="360" w:lineRule="auto"/>
        <w:rPr>
          <w:rFonts w:ascii="宋体" w:hAnsi="宋体" w:cs="宋体"/>
          <w:sz w:val="24"/>
          <w:szCs w:val="24"/>
        </w:rPr>
      </w:pPr>
      <w:r>
        <w:rPr>
          <w:rFonts w:hint="eastAsia" w:ascii="宋体" w:hAnsi="宋体" w:cs="宋体"/>
          <w:sz w:val="24"/>
          <w:szCs w:val="24"/>
        </w:rPr>
        <w:t xml:space="preserve">安全与合规：支持对OFD文件进行电子签章、数字水印和防篡改校验，满足《电子病历基本规范》和等保合规要求。</w:t>
      </w:r>
      <w:r>
        <w:rPr>
          <w:rFonts w:ascii="宋体" w:hAnsi="宋体" w:cs="宋体"/>
          <w:sz w:val="24"/>
          <w:szCs w:val="24"/>
        </w:rPr>
      </w:r>
      <w:r/>
    </w:p>
    <w:p>
      <w:pPr>
        <w:pStyle w:val="1051"/>
        <w:ind w:firstLine="420"/>
      </w:pPr>
      <w:r/>
      <w:r/>
    </w:p>
    <w:p>
      <w:pPr>
        <w:pStyle w:val="1038"/>
        <w:numPr>
          <w:ilvl w:val="1"/>
          <w:numId w:val="5"/>
        </w:numPr>
        <w:ind w:left="0" w:firstLine="0"/>
        <w:keepLines/>
        <w:keepNext/>
        <w:spacing w:line="360" w:lineRule="auto"/>
        <w:rPr>
          <w:rFonts w:ascii="宋体" w:hAnsi="宋体" w:cs="宋体"/>
          <w:b/>
          <w:bCs/>
          <w:sz w:val="24"/>
          <w:szCs w:val="24"/>
        </w:rPr>
        <w:outlineLvl w:val="2"/>
      </w:pPr>
      <w:r>
        <w:rPr>
          <w:rFonts w:hint="eastAsia" w:ascii="宋体" w:hAnsi="宋体" w:cs="宋体"/>
          <w:b/>
          <w:bCs/>
          <w:sz w:val="24"/>
          <w:szCs w:val="24"/>
        </w:rPr>
        <w:t xml:space="preserve">质量分析平台</w:t>
      </w:r>
      <w:r>
        <w:rPr>
          <w:rFonts w:ascii="宋体" w:hAnsi="宋体" w:cs="宋体"/>
          <w:b/>
          <w:bCs/>
          <w:sz w:val="24"/>
          <w:szCs w:val="24"/>
        </w:rPr>
      </w:r>
      <w:r/>
    </w:p>
    <w:p>
      <w:pPr>
        <w:pStyle w:val="1042"/>
        <w:rPr>
          <w:rFonts w:ascii="宋体" w:hAnsi="宋体" w:eastAsia="宋体" w:cs="宋体"/>
          <w:b w:val="0"/>
          <w:bCs w:val="0"/>
          <w:sz w:val="24"/>
          <w:szCs w:val="24"/>
        </w:rPr>
      </w:pPr>
      <w:r>
        <w:rPr>
          <w:rFonts w:hint="eastAsia" w:ascii="宋体" w:hAnsi="宋体" w:eastAsia="宋体" w:cs="宋体"/>
          <w:sz w:val="24"/>
          <w:szCs w:val="24"/>
        </w:rPr>
        <w:t xml:space="preserve">2.4.1质量分析</w:t>
      </w:r>
      <w:r>
        <w:rPr>
          <w:rFonts w:ascii="宋体" w:hAnsi="宋体" w:eastAsia="宋体" w:cs="宋体"/>
          <w:b w:val="0"/>
          <w:bCs w:val="0"/>
          <w:sz w:val="24"/>
          <w:szCs w:val="24"/>
        </w:rPr>
      </w:r>
      <w:r/>
    </w:p>
    <w:p>
      <w:pPr>
        <w:pStyle w:val="1043"/>
        <w:rPr>
          <w:rFonts w:ascii="宋体" w:hAnsi="宋体" w:cs="宋体"/>
        </w:rPr>
      </w:pPr>
      <w:r>
        <w:rPr>
          <w:rFonts w:hint="eastAsia" w:ascii="宋体" w:hAnsi="宋体" w:cs="宋体"/>
        </w:rPr>
        <w:t xml:space="preserve">2.4.1.1 质控标准与指标管理</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多维质控指标库建设</w:t>
      </w:r>
      <w:r>
        <w:rPr>
          <w:rFonts w:ascii="宋体" w:hAnsi="宋体" w:cs="宋体"/>
          <w:sz w:val="24"/>
          <w:szCs w:val="24"/>
        </w:rPr>
      </w:r>
      <w:r/>
    </w:p>
    <w:p>
      <w:pPr>
        <w:pStyle w:val="1038"/>
        <w:numPr>
          <w:ilvl w:val="0"/>
          <w:numId w:val="144"/>
        </w:numPr>
        <w:spacing w:line="360" w:lineRule="auto"/>
        <w:rPr>
          <w:rFonts w:ascii="宋体" w:hAnsi="宋体" w:cs="宋体"/>
          <w:sz w:val="24"/>
          <w:szCs w:val="24"/>
        </w:rPr>
      </w:pPr>
      <w:r>
        <w:rPr>
          <w:rFonts w:hint="eastAsia" w:ascii="宋体" w:hAnsi="宋体" w:cs="宋体"/>
          <w:sz w:val="24"/>
          <w:szCs w:val="24"/>
        </w:rPr>
        <w:t xml:space="preserve">支持建设覆盖妇保、儿保业务领域的指标库；</w:t>
      </w:r>
      <w:r>
        <w:rPr>
          <w:rFonts w:ascii="宋体" w:hAnsi="宋体" w:cs="宋体"/>
          <w:sz w:val="24"/>
          <w:szCs w:val="24"/>
        </w:rPr>
      </w:r>
      <w:r/>
    </w:p>
    <w:p>
      <w:pPr>
        <w:pStyle w:val="1038"/>
        <w:numPr>
          <w:ilvl w:val="0"/>
          <w:numId w:val="144"/>
        </w:numPr>
        <w:spacing w:line="360" w:lineRule="auto"/>
        <w:rPr>
          <w:rFonts w:ascii="宋体" w:hAnsi="宋体" w:cs="宋体"/>
          <w:sz w:val="24"/>
          <w:szCs w:val="24"/>
        </w:rPr>
      </w:pPr>
      <w:r>
        <w:rPr>
          <w:rFonts w:hint="eastAsia" w:ascii="宋体" w:hAnsi="宋体" w:cs="宋体"/>
          <w:sz w:val="24"/>
          <w:szCs w:val="24"/>
        </w:rPr>
        <w:t xml:space="preserve">▲支持配置指标名称、编码、计算公式、目标值、预警阈值、监测周期、适用机构/科室等；</w:t>
      </w:r>
      <w:r>
        <w:rPr>
          <w:rFonts w:ascii="宋体" w:hAnsi="宋体" w:cs="宋体"/>
          <w:sz w:val="24"/>
          <w:szCs w:val="24"/>
        </w:rPr>
      </w:r>
      <w:r/>
    </w:p>
    <w:p>
      <w:pPr>
        <w:pStyle w:val="1038"/>
        <w:numPr>
          <w:ilvl w:val="0"/>
          <w:numId w:val="144"/>
        </w:numPr>
        <w:spacing w:line="360" w:lineRule="auto"/>
        <w:rPr>
          <w:rFonts w:ascii="宋体" w:hAnsi="宋体" w:cs="宋体"/>
          <w:sz w:val="24"/>
          <w:szCs w:val="24"/>
        </w:rPr>
      </w:pPr>
      <w:r>
        <w:rPr>
          <w:rFonts w:hint="eastAsia" w:ascii="宋体" w:hAnsi="宋体" w:cs="宋体"/>
          <w:sz w:val="24"/>
          <w:szCs w:val="24"/>
        </w:rPr>
        <w:t xml:space="preserve">支持对国家、省、市妇幼健康管理标准进行数字化建模，实现标准快速落地。</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终末质量指标管理</w:t>
      </w:r>
      <w:r>
        <w:rPr>
          <w:rFonts w:ascii="宋体" w:hAnsi="宋体" w:cs="宋体"/>
          <w:sz w:val="24"/>
          <w:szCs w:val="24"/>
        </w:rPr>
      </w:r>
      <w:r/>
    </w:p>
    <w:p>
      <w:pPr>
        <w:pStyle w:val="1038"/>
        <w:numPr>
          <w:ilvl w:val="0"/>
          <w:numId w:val="145"/>
        </w:numPr>
        <w:spacing w:line="360" w:lineRule="auto"/>
        <w:rPr>
          <w:rFonts w:ascii="宋体" w:hAnsi="宋体" w:cs="宋体"/>
          <w:sz w:val="24"/>
          <w:szCs w:val="24"/>
        </w:rPr>
      </w:pPr>
      <w:r>
        <w:rPr>
          <w:rFonts w:hint="eastAsia" w:ascii="宋体" w:hAnsi="宋体" w:cs="宋体"/>
          <w:sz w:val="24"/>
          <w:szCs w:val="24"/>
        </w:rPr>
        <w:t xml:space="preserve">支持设置“核心指标”“可选指标”“本地自定义指标”分类管理，满足不同层级机构差异化需要。</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指标计算逻辑配置与溯源</w:t>
      </w:r>
      <w:r>
        <w:rPr>
          <w:rFonts w:ascii="宋体" w:hAnsi="宋体" w:cs="宋体"/>
          <w:sz w:val="24"/>
          <w:szCs w:val="24"/>
        </w:rPr>
      </w:r>
      <w:r/>
    </w:p>
    <w:p>
      <w:pPr>
        <w:pStyle w:val="1038"/>
        <w:numPr>
          <w:ilvl w:val="0"/>
          <w:numId w:val="146"/>
        </w:numPr>
        <w:spacing w:line="360" w:lineRule="auto"/>
        <w:rPr>
          <w:rFonts w:ascii="宋体" w:hAnsi="宋体" w:cs="宋体"/>
          <w:sz w:val="24"/>
          <w:szCs w:val="24"/>
        </w:rPr>
      </w:pPr>
      <w:r>
        <w:rPr>
          <w:rFonts w:hint="eastAsia" w:ascii="宋体" w:hAnsi="宋体" w:cs="宋体"/>
          <w:sz w:val="24"/>
          <w:szCs w:val="24"/>
        </w:rPr>
        <w:t xml:space="preserve">支持配置指标计算逻辑，包括数据来源字段、时间窗口、筛选条件等；</w:t>
      </w:r>
      <w:r>
        <w:rPr>
          <w:rFonts w:ascii="宋体" w:hAnsi="宋体" w:cs="宋体"/>
          <w:sz w:val="24"/>
          <w:szCs w:val="24"/>
        </w:rPr>
      </w:r>
      <w:r/>
    </w:p>
    <w:p>
      <w:pPr>
        <w:pStyle w:val="1038"/>
        <w:numPr>
          <w:ilvl w:val="0"/>
          <w:numId w:val="146"/>
        </w:numPr>
        <w:spacing w:line="360" w:lineRule="auto"/>
        <w:rPr>
          <w:rFonts w:ascii="宋体" w:hAnsi="宋体" w:cs="宋体"/>
          <w:sz w:val="24"/>
          <w:szCs w:val="24"/>
        </w:rPr>
      </w:pPr>
      <w:r>
        <w:rPr>
          <w:rFonts w:hint="eastAsia" w:ascii="宋体" w:hAnsi="宋体" w:cs="宋体"/>
          <w:sz w:val="24"/>
          <w:szCs w:val="24"/>
        </w:rPr>
        <w:t xml:space="preserve">支持提供“可追溯”的指标分析机制，可追踪每一条统计数据背后的原始记录，实现透明质控。</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动态调整与版本管理</w:t>
      </w:r>
      <w:r>
        <w:rPr>
          <w:rFonts w:ascii="宋体" w:hAnsi="宋体" w:cs="宋体"/>
          <w:sz w:val="24"/>
          <w:szCs w:val="24"/>
        </w:rPr>
      </w:r>
      <w:r/>
    </w:p>
    <w:p>
      <w:pPr>
        <w:pStyle w:val="1038"/>
        <w:numPr>
          <w:ilvl w:val="0"/>
          <w:numId w:val="147"/>
        </w:numPr>
        <w:spacing w:line="360" w:lineRule="auto"/>
        <w:rPr>
          <w:rFonts w:ascii="宋体" w:hAnsi="宋体" w:cs="宋体"/>
          <w:sz w:val="24"/>
          <w:szCs w:val="24"/>
        </w:rPr>
      </w:pPr>
      <w:r>
        <w:rPr>
          <w:rFonts w:hint="eastAsia" w:ascii="宋体" w:hAnsi="宋体" w:cs="宋体"/>
          <w:sz w:val="24"/>
          <w:szCs w:val="24"/>
        </w:rPr>
        <w:t xml:space="preserve">支持指标定义的版本管理与历史记录，确保数据可比性；</w:t>
      </w:r>
      <w:r>
        <w:rPr>
          <w:rFonts w:ascii="宋体" w:hAnsi="宋体" w:cs="宋体"/>
          <w:sz w:val="24"/>
          <w:szCs w:val="24"/>
        </w:rPr>
      </w:r>
      <w:r/>
    </w:p>
    <w:p>
      <w:pPr>
        <w:pStyle w:val="1038"/>
        <w:numPr>
          <w:ilvl w:val="0"/>
          <w:numId w:val="147"/>
        </w:numPr>
        <w:spacing w:line="360" w:lineRule="auto"/>
        <w:rPr>
          <w:rFonts w:ascii="宋体" w:hAnsi="宋体" w:cs="宋体"/>
          <w:sz w:val="24"/>
          <w:szCs w:val="24"/>
        </w:rPr>
      </w:pPr>
      <w:r>
        <w:rPr>
          <w:rFonts w:hint="eastAsia" w:ascii="宋体" w:hAnsi="宋体" w:cs="宋体"/>
          <w:sz w:val="24"/>
          <w:szCs w:val="24"/>
        </w:rPr>
        <w:t xml:space="preserve">支持动态报表配置功能，使用类似Excel编辑界面展示质控数据，支持通过单元格编辑表头，通过对单元格内容进行公示配置，实现单元格内展示内容的批量编辑，并通过单元格进行报表下钻；</w:t>
      </w:r>
      <w:r>
        <w:rPr>
          <w:rFonts w:ascii="宋体" w:hAnsi="宋体" w:cs="宋体"/>
          <w:sz w:val="24"/>
          <w:szCs w:val="24"/>
        </w:rPr>
      </w:r>
      <w:r/>
    </w:p>
    <w:p>
      <w:pPr>
        <w:pStyle w:val="1038"/>
        <w:numPr>
          <w:ilvl w:val="0"/>
          <w:numId w:val="147"/>
        </w:numPr>
        <w:spacing w:line="360" w:lineRule="auto"/>
        <w:rPr>
          <w:rFonts w:ascii="宋体" w:hAnsi="宋体" w:cs="宋体"/>
          <w:sz w:val="24"/>
          <w:szCs w:val="24"/>
        </w:rPr>
      </w:pPr>
      <w:r>
        <w:rPr>
          <w:rFonts w:hint="eastAsia" w:ascii="宋体" w:hAnsi="宋体" w:cs="宋体"/>
          <w:sz w:val="24"/>
          <w:szCs w:val="24"/>
        </w:rPr>
        <w:t xml:space="preserve">支持根据政策变更、服务优化需求，快速调整指标逻辑与范围。</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质控分类与分级应用</w:t>
      </w:r>
      <w:r>
        <w:rPr>
          <w:rFonts w:ascii="宋体" w:hAnsi="宋体" w:cs="宋体"/>
          <w:sz w:val="24"/>
          <w:szCs w:val="24"/>
        </w:rPr>
      </w:r>
      <w:r/>
    </w:p>
    <w:p>
      <w:pPr>
        <w:pStyle w:val="1038"/>
        <w:numPr>
          <w:ilvl w:val="0"/>
          <w:numId w:val="148"/>
        </w:numPr>
        <w:spacing w:line="360" w:lineRule="auto"/>
        <w:rPr>
          <w:rFonts w:ascii="宋体" w:hAnsi="宋体" w:cs="宋体"/>
          <w:sz w:val="24"/>
          <w:szCs w:val="24"/>
        </w:rPr>
      </w:pPr>
      <w:r>
        <w:rPr>
          <w:rFonts w:hint="eastAsia" w:ascii="宋体" w:hAnsi="宋体" w:cs="宋体"/>
          <w:sz w:val="24"/>
          <w:szCs w:val="24"/>
        </w:rPr>
        <w:t xml:space="preserve">支持按照机构等级、服务层级配置不同指标集进行展示，兼顾全面性与适应性。</w:t>
      </w:r>
      <w:r>
        <w:rPr>
          <w:rFonts w:ascii="宋体" w:hAnsi="宋体" w:cs="宋体"/>
          <w:sz w:val="24"/>
          <w:szCs w:val="24"/>
        </w:rPr>
      </w:r>
      <w:r/>
    </w:p>
    <w:p>
      <w:pPr>
        <w:pStyle w:val="1043"/>
        <w:rPr>
          <w:rFonts w:ascii="宋体" w:hAnsi="宋体" w:cs="宋体"/>
        </w:rPr>
      </w:pPr>
      <w:r>
        <w:rPr>
          <w:rFonts w:hint="eastAsia" w:ascii="宋体" w:hAnsi="宋体" w:cs="宋体"/>
        </w:rPr>
        <w:t xml:space="preserve">2.4.1.2 质量指标管理</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质量指标实时计算与分析</w:t>
      </w:r>
      <w:r>
        <w:rPr>
          <w:rFonts w:ascii="宋体" w:hAnsi="宋体" w:cs="宋体"/>
          <w:sz w:val="24"/>
          <w:szCs w:val="24"/>
        </w:rPr>
      </w:r>
      <w:r/>
    </w:p>
    <w:p>
      <w:pPr>
        <w:pStyle w:val="1038"/>
        <w:numPr>
          <w:ilvl w:val="0"/>
          <w:numId w:val="149"/>
        </w:numPr>
        <w:spacing w:line="360" w:lineRule="auto"/>
        <w:rPr>
          <w:rFonts w:ascii="宋体" w:hAnsi="宋体" w:cs="宋体"/>
          <w:sz w:val="24"/>
          <w:szCs w:val="24"/>
        </w:rPr>
      </w:pPr>
      <w:r>
        <w:rPr>
          <w:rFonts w:hint="eastAsia" w:ascii="宋体" w:hAnsi="宋体" w:cs="宋体"/>
          <w:sz w:val="24"/>
          <w:szCs w:val="24"/>
        </w:rPr>
        <w:t xml:space="preserve">支持配置各类妇保、儿保关键质量指标的实时统计与趋势追踪；</w:t>
      </w:r>
      <w:r>
        <w:rPr>
          <w:rFonts w:ascii="宋体" w:hAnsi="宋体" w:cs="宋体"/>
          <w:sz w:val="24"/>
          <w:szCs w:val="24"/>
        </w:rPr>
      </w:r>
      <w:r/>
    </w:p>
    <w:p>
      <w:pPr>
        <w:pStyle w:val="1038"/>
        <w:numPr>
          <w:ilvl w:val="0"/>
          <w:numId w:val="149"/>
        </w:numPr>
        <w:spacing w:line="360" w:lineRule="auto"/>
        <w:rPr>
          <w:rFonts w:ascii="宋体" w:hAnsi="宋体" w:cs="宋体"/>
          <w:sz w:val="24"/>
          <w:szCs w:val="24"/>
        </w:rPr>
      </w:pPr>
      <w:r>
        <w:rPr>
          <w:rFonts w:hint="eastAsia" w:ascii="宋体" w:hAnsi="宋体" w:cs="宋体"/>
          <w:sz w:val="24"/>
          <w:szCs w:val="24"/>
        </w:rPr>
        <w:t xml:space="preserve">支持自动计算系统管理率、筛查覆盖率、高危识别率、异常干预完成率、随访依从率等终末性指标；</w:t>
      </w:r>
      <w:r>
        <w:rPr>
          <w:rFonts w:ascii="宋体" w:hAnsi="宋体" w:cs="宋体"/>
          <w:sz w:val="24"/>
          <w:szCs w:val="24"/>
        </w:rPr>
      </w:r>
      <w:r/>
    </w:p>
    <w:p>
      <w:pPr>
        <w:pStyle w:val="1038"/>
        <w:numPr>
          <w:ilvl w:val="0"/>
          <w:numId w:val="149"/>
        </w:numPr>
        <w:spacing w:line="360" w:lineRule="auto"/>
        <w:rPr>
          <w:rFonts w:ascii="宋体" w:hAnsi="宋体" w:cs="宋体"/>
          <w:sz w:val="24"/>
          <w:szCs w:val="24"/>
        </w:rPr>
      </w:pPr>
      <w:r>
        <w:rPr>
          <w:rFonts w:hint="eastAsia" w:ascii="宋体" w:hAnsi="宋体" w:cs="宋体"/>
          <w:sz w:val="24"/>
          <w:szCs w:val="24"/>
        </w:rPr>
        <w:t xml:space="preserve">支持按日、周、月、季度、年度设定分析周期。</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多维度对比分析</w:t>
      </w:r>
      <w:r>
        <w:rPr>
          <w:rFonts w:ascii="宋体" w:hAnsi="宋体" w:cs="宋体"/>
          <w:sz w:val="24"/>
          <w:szCs w:val="24"/>
        </w:rPr>
      </w:r>
      <w:r/>
    </w:p>
    <w:p>
      <w:pPr>
        <w:pStyle w:val="1038"/>
        <w:numPr>
          <w:ilvl w:val="0"/>
          <w:numId w:val="150"/>
        </w:numPr>
        <w:spacing w:line="360" w:lineRule="auto"/>
        <w:rPr>
          <w:rFonts w:ascii="宋体" w:hAnsi="宋体" w:cs="宋体"/>
          <w:sz w:val="24"/>
          <w:szCs w:val="24"/>
        </w:rPr>
      </w:pPr>
      <w:r>
        <w:rPr>
          <w:rFonts w:hint="eastAsia" w:ascii="宋体" w:hAnsi="宋体" w:cs="宋体"/>
          <w:sz w:val="24"/>
          <w:szCs w:val="24"/>
        </w:rPr>
        <w:t xml:space="preserve">支持按区域、机构、科室、服务对象分类进行指标对比；</w:t>
      </w:r>
      <w:r>
        <w:rPr>
          <w:rFonts w:ascii="宋体" w:hAnsi="宋体" w:cs="宋体"/>
          <w:sz w:val="24"/>
          <w:szCs w:val="24"/>
        </w:rPr>
      </w:r>
      <w:r/>
    </w:p>
    <w:p>
      <w:pPr>
        <w:pStyle w:val="1038"/>
        <w:numPr>
          <w:ilvl w:val="0"/>
          <w:numId w:val="150"/>
        </w:numPr>
        <w:spacing w:line="360" w:lineRule="auto"/>
        <w:rPr>
          <w:rFonts w:ascii="宋体" w:hAnsi="宋体" w:cs="宋体"/>
          <w:sz w:val="24"/>
          <w:szCs w:val="24"/>
        </w:rPr>
      </w:pPr>
      <w:r>
        <w:rPr>
          <w:rFonts w:hint="eastAsia" w:ascii="宋体" w:hAnsi="宋体" w:cs="宋体"/>
          <w:sz w:val="24"/>
          <w:szCs w:val="24"/>
        </w:rPr>
        <w:t xml:space="preserve">支持跨时间对比（同比、环比），呈现服务质量提升或下滑趋势；</w:t>
      </w:r>
      <w:r>
        <w:rPr>
          <w:rFonts w:ascii="宋体" w:hAnsi="宋体" w:cs="宋体"/>
          <w:sz w:val="24"/>
          <w:szCs w:val="24"/>
        </w:rPr>
      </w:r>
      <w:r/>
    </w:p>
    <w:p>
      <w:pPr>
        <w:pStyle w:val="1038"/>
        <w:numPr>
          <w:ilvl w:val="0"/>
          <w:numId w:val="150"/>
        </w:numPr>
        <w:spacing w:line="360" w:lineRule="auto"/>
        <w:rPr>
          <w:rFonts w:ascii="宋体" w:hAnsi="宋体" w:cs="宋体"/>
          <w:sz w:val="24"/>
          <w:szCs w:val="24"/>
        </w:rPr>
      </w:pPr>
      <w:r>
        <w:rPr>
          <w:rFonts w:hint="eastAsia" w:ascii="宋体" w:hAnsi="宋体" w:cs="宋体"/>
          <w:sz w:val="24"/>
          <w:szCs w:val="24"/>
        </w:rPr>
        <w:t xml:space="preserve">支持结合人群特征（年龄段、风险等级）开展分层质量分析。</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可视化分析呈现</w:t>
      </w:r>
      <w:r>
        <w:rPr>
          <w:rFonts w:ascii="宋体" w:hAnsi="宋体" w:cs="宋体"/>
          <w:sz w:val="24"/>
          <w:szCs w:val="24"/>
        </w:rPr>
      </w:r>
      <w:r/>
    </w:p>
    <w:p>
      <w:pPr>
        <w:pStyle w:val="1038"/>
        <w:numPr>
          <w:ilvl w:val="0"/>
          <w:numId w:val="151"/>
        </w:numPr>
        <w:spacing w:line="360" w:lineRule="auto"/>
        <w:rPr>
          <w:rFonts w:ascii="宋体" w:hAnsi="宋体" w:cs="宋体"/>
          <w:sz w:val="24"/>
          <w:szCs w:val="24"/>
        </w:rPr>
      </w:pPr>
      <w:r>
        <w:rPr>
          <w:rFonts w:hint="eastAsia" w:ascii="宋体" w:hAnsi="宋体" w:cs="宋体"/>
          <w:sz w:val="24"/>
          <w:szCs w:val="24"/>
        </w:rPr>
        <w:t xml:space="preserve">▲支持提供可配置化数据看板与图表工具，展示雷达图、柱状图、折线图等多种可视化形式；</w:t>
      </w:r>
      <w:r>
        <w:rPr>
          <w:rFonts w:ascii="宋体" w:hAnsi="宋体" w:cs="宋体"/>
          <w:sz w:val="24"/>
          <w:szCs w:val="24"/>
        </w:rPr>
      </w:r>
      <w:r/>
    </w:p>
    <w:p>
      <w:pPr>
        <w:pStyle w:val="1038"/>
        <w:numPr>
          <w:ilvl w:val="0"/>
          <w:numId w:val="151"/>
        </w:numPr>
        <w:spacing w:line="360" w:lineRule="auto"/>
        <w:rPr>
          <w:rFonts w:ascii="宋体" w:hAnsi="宋体" w:cs="宋体"/>
          <w:sz w:val="24"/>
          <w:szCs w:val="24"/>
        </w:rPr>
      </w:pPr>
      <w:r>
        <w:rPr>
          <w:rFonts w:hint="eastAsia" w:ascii="宋体" w:hAnsi="宋体" w:cs="宋体"/>
          <w:sz w:val="24"/>
          <w:szCs w:val="24"/>
        </w:rPr>
        <w:t xml:space="preserve">支持重点指标支持红黄绿分级预警，便于管理者快速识别问题点。</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质量问题追溯机制</w:t>
      </w:r>
      <w:r>
        <w:rPr>
          <w:rFonts w:ascii="宋体" w:hAnsi="宋体" w:cs="宋体"/>
          <w:sz w:val="24"/>
          <w:szCs w:val="24"/>
        </w:rPr>
      </w:r>
      <w:r/>
    </w:p>
    <w:p>
      <w:pPr>
        <w:pStyle w:val="1038"/>
        <w:numPr>
          <w:ilvl w:val="0"/>
          <w:numId w:val="152"/>
        </w:numPr>
        <w:spacing w:line="360" w:lineRule="auto"/>
        <w:rPr>
          <w:rFonts w:ascii="宋体" w:hAnsi="宋体" w:cs="宋体"/>
          <w:sz w:val="24"/>
          <w:szCs w:val="24"/>
        </w:rPr>
      </w:pPr>
      <w:r>
        <w:rPr>
          <w:rFonts w:hint="eastAsia" w:ascii="宋体" w:hAnsi="宋体" w:cs="宋体"/>
          <w:sz w:val="24"/>
          <w:szCs w:val="24"/>
        </w:rPr>
        <w:t xml:space="preserve">支持指标异常可溯源至原始数据，支持问题定位与责任科室分析；</w:t>
      </w:r>
      <w:r>
        <w:rPr>
          <w:rFonts w:ascii="宋体" w:hAnsi="宋体" w:cs="宋体"/>
          <w:sz w:val="24"/>
          <w:szCs w:val="24"/>
        </w:rPr>
      </w:r>
      <w:r/>
    </w:p>
    <w:p>
      <w:pPr>
        <w:pStyle w:val="1038"/>
        <w:numPr>
          <w:ilvl w:val="0"/>
          <w:numId w:val="152"/>
        </w:numPr>
        <w:spacing w:line="360" w:lineRule="auto"/>
        <w:rPr>
          <w:rFonts w:ascii="宋体" w:hAnsi="宋体" w:cs="宋体"/>
          <w:sz w:val="24"/>
          <w:szCs w:val="24"/>
        </w:rPr>
      </w:pPr>
      <w:r>
        <w:rPr>
          <w:rFonts w:hint="eastAsia" w:ascii="宋体" w:hAnsi="宋体" w:cs="宋体"/>
          <w:sz w:val="24"/>
          <w:szCs w:val="24"/>
        </w:rPr>
        <w:t xml:space="preserve">支持导出质量分析报告与问题整改建议，支撑质控例会与考核管理。</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支持绩效评价与监管报送</w:t>
      </w:r>
      <w:r>
        <w:rPr>
          <w:rFonts w:ascii="宋体" w:hAnsi="宋体" w:cs="宋体"/>
          <w:sz w:val="24"/>
          <w:szCs w:val="24"/>
        </w:rPr>
      </w:r>
      <w:r/>
    </w:p>
    <w:p>
      <w:pPr>
        <w:pStyle w:val="1038"/>
        <w:numPr>
          <w:ilvl w:val="0"/>
          <w:numId w:val="153"/>
        </w:numPr>
        <w:spacing w:line="360" w:lineRule="auto"/>
        <w:rPr>
          <w:rFonts w:ascii="宋体" w:hAnsi="宋体" w:cs="宋体"/>
          <w:sz w:val="24"/>
          <w:szCs w:val="24"/>
        </w:rPr>
      </w:pPr>
      <w:r>
        <w:rPr>
          <w:rFonts w:hint="eastAsia" w:ascii="宋体" w:hAnsi="宋体" w:cs="宋体"/>
          <w:sz w:val="24"/>
          <w:szCs w:val="24"/>
        </w:rPr>
        <w:t xml:space="preserve">支持指标分析结果可对接医院绩效系统，辅助开展目标责任制考核；</w:t>
      </w:r>
      <w:r>
        <w:rPr>
          <w:rFonts w:ascii="宋体" w:hAnsi="宋体" w:cs="宋体"/>
          <w:sz w:val="24"/>
          <w:szCs w:val="24"/>
        </w:rPr>
      </w:r>
      <w:r/>
    </w:p>
    <w:p>
      <w:pPr>
        <w:pStyle w:val="1038"/>
        <w:numPr>
          <w:ilvl w:val="0"/>
          <w:numId w:val="153"/>
        </w:numPr>
        <w:spacing w:line="360" w:lineRule="auto"/>
        <w:rPr>
          <w:rFonts w:ascii="宋体" w:hAnsi="宋体" w:cs="宋体"/>
          <w:sz w:val="24"/>
          <w:szCs w:val="24"/>
        </w:rPr>
      </w:pPr>
      <w:r>
        <w:rPr>
          <w:rFonts w:hint="eastAsia" w:ascii="宋体" w:hAnsi="宋体" w:cs="宋体"/>
          <w:sz w:val="24"/>
          <w:szCs w:val="24"/>
        </w:rPr>
        <w:t xml:space="preserve">支持自动生成监管所需质量报表，按需上传至上级平台或主管部门。</w:t>
      </w:r>
      <w:r>
        <w:rPr>
          <w:rFonts w:ascii="宋体" w:hAnsi="宋体" w:cs="宋体"/>
          <w:sz w:val="24"/>
          <w:szCs w:val="24"/>
        </w:rPr>
      </w:r>
      <w:r/>
    </w:p>
    <w:p>
      <w:pPr>
        <w:pStyle w:val="1043"/>
        <w:rPr>
          <w:rFonts w:ascii="宋体" w:hAnsi="宋体" w:cs="宋体"/>
        </w:rPr>
      </w:pPr>
      <w:r>
        <w:rPr>
          <w:rFonts w:hint="eastAsia" w:ascii="宋体" w:hAnsi="宋体" w:cs="宋体"/>
        </w:rPr>
        <w:t xml:space="preserve">2.4.1.3 质控督导管理</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质量问题自动识别与推送</w:t>
      </w:r>
      <w:r>
        <w:rPr>
          <w:rFonts w:ascii="宋体" w:hAnsi="宋体" w:cs="宋体"/>
          <w:sz w:val="24"/>
          <w:szCs w:val="24"/>
        </w:rPr>
      </w:r>
      <w:r/>
    </w:p>
    <w:p>
      <w:pPr>
        <w:pStyle w:val="1038"/>
        <w:numPr>
          <w:ilvl w:val="0"/>
          <w:numId w:val="154"/>
        </w:numPr>
        <w:spacing w:line="360" w:lineRule="auto"/>
        <w:rPr>
          <w:rFonts w:ascii="宋体" w:hAnsi="宋体" w:cs="宋体"/>
          <w:sz w:val="24"/>
          <w:szCs w:val="24"/>
        </w:rPr>
      </w:pPr>
      <w:r>
        <w:rPr>
          <w:rFonts w:hint="eastAsia" w:ascii="宋体" w:hAnsi="宋体" w:cs="宋体"/>
          <w:sz w:val="24"/>
          <w:szCs w:val="24"/>
        </w:rPr>
        <w:t xml:space="preserve">▲支持联动质量分析模块，对超出预警阈值的指标自动标记异常；</w:t>
      </w:r>
      <w:r>
        <w:rPr>
          <w:rFonts w:ascii="宋体" w:hAnsi="宋体" w:cs="宋体"/>
          <w:sz w:val="24"/>
          <w:szCs w:val="24"/>
        </w:rPr>
      </w:r>
      <w:r/>
    </w:p>
    <w:p>
      <w:pPr>
        <w:pStyle w:val="1038"/>
        <w:numPr>
          <w:ilvl w:val="0"/>
          <w:numId w:val="154"/>
        </w:numPr>
        <w:spacing w:line="360" w:lineRule="auto"/>
        <w:rPr>
          <w:rFonts w:ascii="宋体" w:hAnsi="宋体" w:cs="宋体"/>
          <w:sz w:val="24"/>
          <w:szCs w:val="24"/>
        </w:rPr>
      </w:pPr>
      <w:r>
        <w:rPr>
          <w:rFonts w:hint="eastAsia" w:ascii="宋体" w:hAnsi="宋体" w:cs="宋体"/>
          <w:sz w:val="24"/>
          <w:szCs w:val="24"/>
        </w:rPr>
        <w:t xml:space="preserve">支持按业务类型、指标维度、责任科室生成问题清单；</w:t>
      </w:r>
      <w:r>
        <w:rPr>
          <w:rFonts w:ascii="宋体" w:hAnsi="宋体" w:cs="宋体"/>
          <w:sz w:val="24"/>
          <w:szCs w:val="24"/>
        </w:rPr>
      </w:r>
      <w:r/>
    </w:p>
    <w:p>
      <w:pPr>
        <w:pStyle w:val="1038"/>
        <w:numPr>
          <w:ilvl w:val="0"/>
          <w:numId w:val="154"/>
        </w:numPr>
        <w:spacing w:line="360" w:lineRule="auto"/>
        <w:rPr>
          <w:rFonts w:ascii="宋体" w:hAnsi="宋体" w:cs="宋体"/>
          <w:sz w:val="24"/>
          <w:szCs w:val="24"/>
        </w:rPr>
      </w:pPr>
      <w:r>
        <w:rPr>
          <w:rFonts w:hint="eastAsia" w:ascii="宋体" w:hAnsi="宋体" w:cs="宋体"/>
          <w:sz w:val="24"/>
          <w:szCs w:val="24"/>
        </w:rPr>
        <w:t xml:space="preserve">支持自动向责任人员/机构推送整改任务通知。</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督办任务管理</w:t>
      </w:r>
      <w:r>
        <w:rPr>
          <w:rFonts w:ascii="宋体" w:hAnsi="宋体" w:cs="宋体"/>
          <w:sz w:val="24"/>
          <w:szCs w:val="24"/>
        </w:rPr>
      </w:r>
      <w:r/>
    </w:p>
    <w:p>
      <w:pPr>
        <w:pStyle w:val="1038"/>
        <w:numPr>
          <w:ilvl w:val="0"/>
          <w:numId w:val="155"/>
        </w:numPr>
        <w:spacing w:line="360" w:lineRule="auto"/>
        <w:rPr>
          <w:rFonts w:ascii="宋体" w:hAnsi="宋体" w:cs="宋体"/>
          <w:sz w:val="24"/>
          <w:szCs w:val="24"/>
        </w:rPr>
      </w:pPr>
      <w:r>
        <w:rPr>
          <w:rFonts w:hint="eastAsia" w:ascii="宋体" w:hAnsi="宋体" w:cs="宋体"/>
          <w:sz w:val="24"/>
          <w:szCs w:val="24"/>
        </w:rPr>
        <w:t xml:space="preserve">▲支持生成督办单，明确整改事项、整改时限、责任人、整改目标；</w:t>
      </w:r>
      <w:r>
        <w:rPr>
          <w:rFonts w:ascii="宋体" w:hAnsi="宋体" w:cs="宋体"/>
          <w:sz w:val="24"/>
          <w:szCs w:val="24"/>
        </w:rPr>
      </w:r>
      <w:r/>
    </w:p>
    <w:p>
      <w:pPr>
        <w:pStyle w:val="1038"/>
        <w:numPr>
          <w:ilvl w:val="0"/>
          <w:numId w:val="155"/>
        </w:numPr>
        <w:spacing w:line="360" w:lineRule="auto"/>
        <w:rPr>
          <w:rFonts w:ascii="宋体" w:hAnsi="宋体" w:cs="宋体"/>
          <w:sz w:val="24"/>
          <w:szCs w:val="24"/>
        </w:rPr>
      </w:pPr>
      <w:r>
        <w:rPr>
          <w:rFonts w:hint="eastAsia" w:ascii="宋体" w:hAnsi="宋体" w:cs="宋体"/>
          <w:sz w:val="24"/>
          <w:szCs w:val="24"/>
        </w:rPr>
        <w:t xml:space="preserve">支持任务状态跟踪（未启动、进行中、已完成）、延期申请、进展汇报；</w:t>
      </w:r>
      <w:r>
        <w:rPr>
          <w:rFonts w:ascii="宋体" w:hAnsi="宋体" w:cs="宋体"/>
          <w:sz w:val="24"/>
          <w:szCs w:val="24"/>
        </w:rPr>
      </w:r>
      <w:r/>
    </w:p>
    <w:p>
      <w:pPr>
        <w:pStyle w:val="1038"/>
        <w:numPr>
          <w:ilvl w:val="0"/>
          <w:numId w:val="155"/>
        </w:numPr>
        <w:spacing w:line="360" w:lineRule="auto"/>
        <w:rPr>
          <w:rFonts w:ascii="宋体" w:hAnsi="宋体" w:cs="宋体"/>
          <w:sz w:val="24"/>
          <w:szCs w:val="24"/>
        </w:rPr>
      </w:pPr>
      <w:r>
        <w:rPr>
          <w:rFonts w:hint="eastAsia" w:ascii="宋体" w:hAnsi="宋体" w:cs="宋体"/>
          <w:sz w:val="24"/>
          <w:szCs w:val="24"/>
        </w:rPr>
        <w:t xml:space="preserve">支持可配置重要问题强提醒或升级机制（如跨部门督导）。</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整改过程记录与附件上传</w:t>
      </w:r>
      <w:r>
        <w:rPr>
          <w:rFonts w:ascii="宋体" w:hAnsi="宋体" w:cs="宋体"/>
          <w:sz w:val="24"/>
          <w:szCs w:val="24"/>
        </w:rPr>
      </w:r>
      <w:r/>
    </w:p>
    <w:p>
      <w:pPr>
        <w:pStyle w:val="1038"/>
        <w:numPr>
          <w:ilvl w:val="0"/>
          <w:numId w:val="156"/>
        </w:numPr>
        <w:spacing w:line="360" w:lineRule="auto"/>
        <w:rPr>
          <w:rFonts w:ascii="宋体" w:hAnsi="宋体" w:cs="宋体"/>
          <w:sz w:val="24"/>
          <w:szCs w:val="24"/>
        </w:rPr>
      </w:pPr>
      <w:r>
        <w:rPr>
          <w:rFonts w:hint="eastAsia" w:ascii="宋体" w:hAnsi="宋体" w:cs="宋体"/>
          <w:sz w:val="24"/>
          <w:szCs w:val="24"/>
        </w:rPr>
        <w:t xml:space="preserve">支持多轮整改过程记录，包括问题分析、措施方案、执行情况、佐证材料等；</w:t>
      </w:r>
      <w:r>
        <w:rPr>
          <w:rFonts w:ascii="宋体" w:hAnsi="宋体" w:cs="宋体"/>
          <w:sz w:val="24"/>
          <w:szCs w:val="24"/>
        </w:rPr>
      </w:r>
      <w:r/>
    </w:p>
    <w:p>
      <w:pPr>
        <w:pStyle w:val="1038"/>
        <w:numPr>
          <w:ilvl w:val="0"/>
          <w:numId w:val="156"/>
        </w:numPr>
        <w:spacing w:line="360" w:lineRule="auto"/>
        <w:rPr>
          <w:rFonts w:ascii="宋体" w:hAnsi="宋体" w:cs="宋体"/>
          <w:sz w:val="24"/>
          <w:szCs w:val="24"/>
        </w:rPr>
      </w:pPr>
      <w:r>
        <w:rPr>
          <w:rFonts w:hint="eastAsia" w:ascii="宋体" w:hAnsi="宋体" w:cs="宋体"/>
          <w:sz w:val="24"/>
          <w:szCs w:val="24"/>
        </w:rPr>
        <w:t xml:space="preserve">支持上传文档、图片、报告等多类型附件，实现电子化归档。</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整改结果评估与闭环管理</w:t>
      </w:r>
      <w:r>
        <w:rPr>
          <w:rFonts w:ascii="宋体" w:hAnsi="宋体" w:cs="宋体"/>
          <w:sz w:val="24"/>
          <w:szCs w:val="24"/>
        </w:rPr>
      </w:r>
      <w:r/>
    </w:p>
    <w:p>
      <w:pPr>
        <w:pStyle w:val="1038"/>
        <w:numPr>
          <w:ilvl w:val="0"/>
          <w:numId w:val="157"/>
        </w:numPr>
        <w:spacing w:line="360" w:lineRule="auto"/>
        <w:rPr>
          <w:rFonts w:ascii="宋体" w:hAnsi="宋体" w:cs="宋体"/>
          <w:sz w:val="24"/>
          <w:szCs w:val="24"/>
        </w:rPr>
      </w:pPr>
      <w:r>
        <w:rPr>
          <w:rFonts w:hint="eastAsia" w:ascii="宋体" w:hAnsi="宋体" w:cs="宋体"/>
          <w:sz w:val="24"/>
          <w:szCs w:val="24"/>
        </w:rPr>
        <w:t xml:space="preserve">支持整改效果评价（如整改后指标是否回归正常、问题是否复发）；</w:t>
      </w:r>
      <w:r>
        <w:rPr>
          <w:rFonts w:ascii="宋体" w:hAnsi="宋体" w:cs="宋体"/>
          <w:sz w:val="24"/>
          <w:szCs w:val="24"/>
        </w:rPr>
      </w:r>
      <w:r/>
    </w:p>
    <w:p>
      <w:pPr>
        <w:pStyle w:val="1038"/>
        <w:numPr>
          <w:ilvl w:val="0"/>
          <w:numId w:val="157"/>
        </w:numPr>
        <w:spacing w:line="360" w:lineRule="auto"/>
        <w:rPr>
          <w:rFonts w:ascii="宋体" w:hAnsi="宋体" w:cs="宋体"/>
          <w:sz w:val="24"/>
          <w:szCs w:val="24"/>
        </w:rPr>
      </w:pPr>
      <w:r>
        <w:rPr>
          <w:rFonts w:hint="eastAsia" w:ascii="宋体" w:hAnsi="宋体" w:cs="宋体"/>
          <w:sz w:val="24"/>
          <w:szCs w:val="24"/>
        </w:rPr>
        <w:t xml:space="preserve">支持自动判断整改是否达标，实现任务关闭与追踪闭环。</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督查报告与统计分析</w:t>
      </w:r>
      <w:r>
        <w:rPr>
          <w:rFonts w:ascii="宋体" w:hAnsi="宋体" w:cs="宋体"/>
          <w:sz w:val="24"/>
          <w:szCs w:val="24"/>
        </w:rPr>
      </w:r>
      <w:r/>
    </w:p>
    <w:p>
      <w:pPr>
        <w:pStyle w:val="1038"/>
        <w:numPr>
          <w:ilvl w:val="0"/>
          <w:numId w:val="158"/>
        </w:numPr>
        <w:spacing w:line="360" w:lineRule="auto"/>
        <w:rPr>
          <w:rFonts w:ascii="宋体" w:hAnsi="宋体" w:cs="宋体"/>
          <w:sz w:val="24"/>
          <w:szCs w:val="24"/>
        </w:rPr>
      </w:pPr>
      <w:r>
        <w:rPr>
          <w:rFonts w:hint="eastAsia" w:ascii="宋体" w:hAnsi="宋体" w:cs="宋体"/>
          <w:sz w:val="24"/>
          <w:szCs w:val="24"/>
        </w:rPr>
        <w:t xml:space="preserve">支持生成月度/季度质控问题汇总报告，包括发现问题数量、整改完成率、重点问题排行等；</w:t>
      </w:r>
      <w:r>
        <w:rPr>
          <w:rFonts w:ascii="宋体" w:hAnsi="宋体" w:cs="宋体"/>
          <w:sz w:val="24"/>
          <w:szCs w:val="24"/>
        </w:rPr>
      </w:r>
      <w:r/>
    </w:p>
    <w:p>
      <w:pPr>
        <w:pStyle w:val="1038"/>
        <w:numPr>
          <w:ilvl w:val="0"/>
          <w:numId w:val="158"/>
        </w:numPr>
        <w:spacing w:line="360" w:lineRule="auto"/>
        <w:rPr>
          <w:rFonts w:ascii="宋体" w:hAnsi="宋体" w:cs="宋体"/>
          <w:sz w:val="24"/>
          <w:szCs w:val="24"/>
        </w:rPr>
      </w:pPr>
      <w:r>
        <w:rPr>
          <w:rFonts w:hint="eastAsia" w:ascii="宋体" w:hAnsi="宋体" w:cs="宋体"/>
          <w:sz w:val="24"/>
          <w:szCs w:val="24"/>
        </w:rPr>
        <w:t xml:space="preserve">支持按业务条线、责任科室、问题类型等多维分析督查情况，支撑院级质控例会和管理决策。</w:t>
      </w:r>
      <w:r>
        <w:rPr>
          <w:rFonts w:ascii="宋体" w:hAnsi="宋体" w:cs="宋体"/>
          <w:sz w:val="24"/>
          <w:szCs w:val="24"/>
        </w:rPr>
      </w:r>
      <w:r/>
    </w:p>
    <w:p>
      <w:pPr>
        <w:pStyle w:val="1043"/>
        <w:spacing w:line="240" w:lineRule="auto"/>
        <w:rPr>
          <w:rFonts w:ascii="宋体" w:hAnsi="宋体" w:cs="宋体"/>
        </w:rPr>
      </w:pPr>
      <w:r>
        <w:rPr>
          <w:rFonts w:hint="eastAsia" w:ascii="宋体" w:hAnsi="宋体" w:cs="宋体"/>
        </w:rPr>
        <w:t xml:space="preserve">2.4.1.4 质控报告管理</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多场景报告模板配置</w:t>
      </w:r>
      <w:r>
        <w:rPr>
          <w:rFonts w:ascii="宋体" w:hAnsi="宋体" w:cs="宋体"/>
          <w:sz w:val="24"/>
          <w:szCs w:val="24"/>
        </w:rPr>
      </w:r>
      <w:r/>
    </w:p>
    <w:p>
      <w:pPr>
        <w:pStyle w:val="1038"/>
        <w:numPr>
          <w:ilvl w:val="0"/>
          <w:numId w:val="159"/>
        </w:numPr>
        <w:spacing w:line="360" w:lineRule="auto"/>
        <w:rPr>
          <w:rFonts w:ascii="宋体" w:hAnsi="宋体" w:cs="宋体"/>
          <w:sz w:val="24"/>
          <w:szCs w:val="24"/>
        </w:rPr>
      </w:pPr>
      <w:r>
        <w:rPr>
          <w:rFonts w:hint="eastAsia" w:ascii="宋体" w:hAnsi="宋体" w:cs="宋体"/>
          <w:sz w:val="24"/>
          <w:szCs w:val="24"/>
        </w:rPr>
        <w:t xml:space="preserve">支持提供多类标准报告模板（如月度妇幼质量简报、季度高危孕产妇管理分析、年度终末质量综报等）；</w:t>
      </w:r>
      <w:r>
        <w:rPr>
          <w:rFonts w:ascii="宋体" w:hAnsi="宋体" w:cs="宋体"/>
          <w:sz w:val="24"/>
          <w:szCs w:val="24"/>
        </w:rPr>
      </w:r>
      <w:r/>
    </w:p>
    <w:p>
      <w:pPr>
        <w:pStyle w:val="1038"/>
        <w:numPr>
          <w:ilvl w:val="0"/>
          <w:numId w:val="159"/>
        </w:numPr>
        <w:spacing w:line="360" w:lineRule="auto"/>
        <w:rPr>
          <w:rFonts w:ascii="宋体" w:hAnsi="宋体" w:cs="宋体"/>
          <w:sz w:val="24"/>
          <w:szCs w:val="24"/>
        </w:rPr>
      </w:pPr>
      <w:r>
        <w:rPr>
          <w:rFonts w:hint="eastAsia" w:ascii="宋体" w:hAnsi="宋体" w:cs="宋体"/>
          <w:sz w:val="24"/>
          <w:szCs w:val="24"/>
        </w:rPr>
        <w:t xml:space="preserve">支持自定义报告结构、指标内容、图表类型与维度筛选；</w:t>
      </w:r>
      <w:r>
        <w:rPr>
          <w:rFonts w:ascii="宋体" w:hAnsi="宋体" w:cs="宋体"/>
          <w:sz w:val="24"/>
          <w:szCs w:val="24"/>
        </w:rPr>
      </w:r>
      <w:r/>
    </w:p>
    <w:p>
      <w:pPr>
        <w:pStyle w:val="1038"/>
        <w:numPr>
          <w:ilvl w:val="0"/>
          <w:numId w:val="159"/>
        </w:numPr>
        <w:spacing w:line="360" w:lineRule="auto"/>
        <w:rPr>
          <w:rFonts w:ascii="宋体" w:hAnsi="宋体" w:cs="宋体"/>
          <w:sz w:val="24"/>
          <w:szCs w:val="24"/>
        </w:rPr>
      </w:pPr>
      <w:r>
        <w:rPr>
          <w:rFonts w:hint="eastAsia" w:ascii="宋体" w:hAnsi="宋体" w:cs="宋体"/>
          <w:sz w:val="24"/>
          <w:szCs w:val="24"/>
        </w:rPr>
        <w:t xml:space="preserve">支持动态报表配置功能，使用类似Excel编辑界面展示质控数据，支持通过单元格编辑表头，通过对单元格内容进行公示配置，实现单元格内展示内容的批量编辑，并通过单元格进行报表下钻。</w:t>
      </w:r>
      <w:r>
        <w:rPr>
          <w:rFonts w:ascii="宋体" w:hAnsi="宋体" w:cs="宋体"/>
          <w:sz w:val="24"/>
          <w:szCs w:val="24"/>
        </w:rPr>
      </w:r>
      <w:r/>
    </w:p>
    <w:p>
      <w:pPr>
        <w:pStyle w:val="1038"/>
        <w:numPr>
          <w:ilvl w:val="0"/>
          <w:numId w:val="159"/>
        </w:numPr>
        <w:spacing w:line="360" w:lineRule="auto"/>
        <w:rPr>
          <w:rFonts w:ascii="宋体" w:hAnsi="宋体" w:cs="宋体"/>
          <w:sz w:val="24"/>
          <w:szCs w:val="24"/>
        </w:rPr>
      </w:pPr>
      <w:r>
        <w:rPr>
          <w:rFonts w:hint="eastAsia" w:ascii="宋体" w:hAnsi="宋体" w:cs="宋体"/>
          <w:sz w:val="24"/>
          <w:szCs w:val="24"/>
        </w:rPr>
        <w:t xml:space="preserve">支持配置不同场景所需的汇总方式（按机构/区域/业务/人群等）。</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自动生成与定期推送</w:t>
      </w:r>
      <w:r>
        <w:rPr>
          <w:rFonts w:ascii="宋体" w:hAnsi="宋体" w:cs="宋体"/>
          <w:sz w:val="24"/>
          <w:szCs w:val="24"/>
        </w:rPr>
      </w:r>
      <w:r/>
    </w:p>
    <w:p>
      <w:pPr>
        <w:pStyle w:val="1038"/>
        <w:numPr>
          <w:ilvl w:val="0"/>
          <w:numId w:val="160"/>
        </w:numPr>
        <w:spacing w:line="360" w:lineRule="auto"/>
        <w:rPr>
          <w:rFonts w:ascii="宋体" w:hAnsi="宋体" w:cs="宋体"/>
          <w:sz w:val="24"/>
          <w:szCs w:val="24"/>
        </w:rPr>
      </w:pPr>
      <w:r>
        <w:rPr>
          <w:rFonts w:hint="eastAsia" w:ascii="宋体" w:hAnsi="宋体" w:cs="宋体"/>
          <w:sz w:val="24"/>
          <w:szCs w:val="24"/>
        </w:rPr>
        <w:t xml:space="preserve">支持按预设周期（如每月1日、每季度末）自动拉取相关数据生成报告；</w:t>
      </w:r>
      <w:r>
        <w:rPr>
          <w:rFonts w:ascii="宋体" w:hAnsi="宋体" w:cs="宋体"/>
          <w:sz w:val="24"/>
          <w:szCs w:val="24"/>
        </w:rPr>
      </w:r>
      <w:r/>
    </w:p>
    <w:p>
      <w:pPr>
        <w:pStyle w:val="1038"/>
        <w:numPr>
          <w:ilvl w:val="0"/>
          <w:numId w:val="160"/>
        </w:numPr>
        <w:spacing w:line="360" w:lineRule="auto"/>
        <w:rPr>
          <w:rFonts w:ascii="宋体" w:hAnsi="宋体" w:cs="宋体"/>
          <w:sz w:val="24"/>
          <w:szCs w:val="24"/>
        </w:rPr>
      </w:pPr>
      <w:r>
        <w:rPr>
          <w:rFonts w:hint="eastAsia" w:ascii="宋体" w:hAnsi="宋体" w:cs="宋体"/>
          <w:sz w:val="24"/>
          <w:szCs w:val="24"/>
        </w:rPr>
        <w:t xml:space="preserve">支持Word、PDF、Excel等格式导出，满足打印归档与线上传阅；</w:t>
      </w:r>
      <w:r>
        <w:rPr>
          <w:rFonts w:ascii="宋体" w:hAnsi="宋体" w:cs="宋体"/>
          <w:sz w:val="24"/>
          <w:szCs w:val="24"/>
        </w:rPr>
      </w:r>
      <w:r/>
    </w:p>
    <w:p>
      <w:pPr>
        <w:pStyle w:val="1038"/>
        <w:numPr>
          <w:ilvl w:val="0"/>
          <w:numId w:val="160"/>
        </w:numPr>
        <w:spacing w:line="360" w:lineRule="auto"/>
        <w:rPr>
          <w:rFonts w:ascii="宋体" w:hAnsi="宋体" w:cs="宋体"/>
          <w:sz w:val="24"/>
          <w:szCs w:val="24"/>
        </w:rPr>
      </w:pPr>
      <w:r>
        <w:rPr>
          <w:rFonts w:hint="eastAsia" w:ascii="宋体" w:hAnsi="宋体" w:cs="宋体"/>
          <w:sz w:val="24"/>
          <w:szCs w:val="24"/>
        </w:rPr>
        <w:t xml:space="preserve">支持推送至院领导、科室主任、质控小组等不同角色用户，实现精准分发。</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图表可视化呈现</w:t>
      </w:r>
      <w:r>
        <w:rPr>
          <w:rFonts w:ascii="宋体" w:hAnsi="宋体" w:cs="宋体"/>
          <w:sz w:val="24"/>
          <w:szCs w:val="24"/>
        </w:rPr>
      </w:r>
      <w:r/>
    </w:p>
    <w:p>
      <w:pPr>
        <w:pStyle w:val="1038"/>
        <w:numPr>
          <w:ilvl w:val="0"/>
          <w:numId w:val="161"/>
        </w:numPr>
        <w:spacing w:line="360" w:lineRule="auto"/>
        <w:rPr>
          <w:rFonts w:ascii="宋体" w:hAnsi="宋体" w:cs="宋体"/>
          <w:sz w:val="24"/>
          <w:szCs w:val="24"/>
        </w:rPr>
      </w:pPr>
      <w:r>
        <w:rPr>
          <w:rFonts w:hint="eastAsia" w:ascii="宋体" w:hAnsi="宋体" w:cs="宋体"/>
          <w:sz w:val="24"/>
          <w:szCs w:val="24"/>
        </w:rPr>
        <w:t xml:space="preserve">支持折线图、柱状图、环形图、雷达图等多种数据展示方式；</w:t>
      </w:r>
      <w:r>
        <w:rPr>
          <w:rFonts w:ascii="宋体" w:hAnsi="宋体" w:cs="宋体"/>
          <w:sz w:val="24"/>
          <w:szCs w:val="24"/>
        </w:rPr>
      </w:r>
      <w:r/>
    </w:p>
    <w:p>
      <w:pPr>
        <w:pStyle w:val="1038"/>
        <w:numPr>
          <w:ilvl w:val="0"/>
          <w:numId w:val="161"/>
        </w:numPr>
        <w:spacing w:line="360" w:lineRule="auto"/>
        <w:rPr>
          <w:rFonts w:ascii="宋体" w:hAnsi="宋体" w:cs="宋体"/>
          <w:sz w:val="24"/>
          <w:szCs w:val="24"/>
        </w:rPr>
      </w:pPr>
      <w:r>
        <w:rPr>
          <w:rFonts w:hint="eastAsia" w:ascii="宋体" w:hAnsi="宋体" w:cs="宋体"/>
          <w:sz w:val="24"/>
          <w:szCs w:val="24"/>
        </w:rPr>
        <w:t xml:space="preserve">支持重点问题指标支持显著标注、同比环比变化自动标出，增强报告解读能力；</w:t>
      </w:r>
      <w:r>
        <w:rPr>
          <w:rFonts w:ascii="宋体" w:hAnsi="宋体" w:cs="宋体"/>
          <w:sz w:val="24"/>
          <w:szCs w:val="24"/>
        </w:rPr>
      </w:r>
      <w:r/>
    </w:p>
    <w:p>
      <w:pPr>
        <w:pStyle w:val="1038"/>
        <w:numPr>
          <w:ilvl w:val="0"/>
          <w:numId w:val="161"/>
        </w:numPr>
        <w:spacing w:line="360" w:lineRule="auto"/>
        <w:rPr>
          <w:rFonts w:ascii="宋体" w:hAnsi="宋体" w:cs="宋体"/>
          <w:sz w:val="24"/>
          <w:szCs w:val="24"/>
        </w:rPr>
      </w:pPr>
      <w:r>
        <w:rPr>
          <w:rFonts w:hint="eastAsia" w:ascii="宋体" w:hAnsi="宋体" w:cs="宋体"/>
          <w:sz w:val="24"/>
          <w:szCs w:val="24"/>
        </w:rPr>
        <w:t xml:space="preserve">支持多份报告并行生成，供多场景使用。</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报告历史与版本管理</w:t>
      </w:r>
      <w:r>
        <w:rPr>
          <w:rFonts w:ascii="宋体" w:hAnsi="宋体" w:cs="宋体"/>
          <w:sz w:val="24"/>
          <w:szCs w:val="24"/>
        </w:rPr>
      </w:r>
      <w:r/>
    </w:p>
    <w:p>
      <w:pPr>
        <w:pStyle w:val="1038"/>
        <w:numPr>
          <w:ilvl w:val="0"/>
          <w:numId w:val="162"/>
        </w:numPr>
        <w:spacing w:line="360" w:lineRule="auto"/>
        <w:rPr>
          <w:rFonts w:ascii="宋体" w:hAnsi="宋体" w:cs="宋体"/>
          <w:sz w:val="24"/>
          <w:szCs w:val="24"/>
        </w:rPr>
      </w:pPr>
      <w:r>
        <w:rPr>
          <w:rFonts w:hint="eastAsia" w:ascii="宋体" w:hAnsi="宋体" w:cs="宋体"/>
          <w:sz w:val="24"/>
          <w:szCs w:val="24"/>
        </w:rPr>
        <w:t xml:space="preserve">支持报告生成后自动归档，可按时间、业务维度进行检索与调阅；</w:t>
      </w:r>
      <w:r>
        <w:rPr>
          <w:rFonts w:ascii="宋体" w:hAnsi="宋体" w:cs="宋体"/>
          <w:sz w:val="24"/>
          <w:szCs w:val="24"/>
        </w:rPr>
      </w:r>
      <w:r/>
    </w:p>
    <w:p>
      <w:pPr>
        <w:pStyle w:val="1038"/>
        <w:numPr>
          <w:ilvl w:val="0"/>
          <w:numId w:val="162"/>
        </w:numPr>
        <w:spacing w:line="360" w:lineRule="auto"/>
        <w:rPr>
          <w:rFonts w:ascii="宋体" w:hAnsi="宋体" w:cs="宋体"/>
          <w:sz w:val="24"/>
          <w:szCs w:val="24"/>
        </w:rPr>
      </w:pPr>
      <w:r>
        <w:rPr>
          <w:rFonts w:hint="eastAsia" w:ascii="宋体" w:hAnsi="宋体" w:cs="宋体"/>
          <w:sz w:val="24"/>
          <w:szCs w:val="24"/>
        </w:rPr>
        <w:t xml:space="preserve">支持报告版本管理与修改痕迹追踪，确保审计与溯源能力；</w:t>
      </w:r>
      <w:r>
        <w:rPr>
          <w:rFonts w:ascii="宋体" w:hAnsi="宋体" w:cs="宋体"/>
          <w:sz w:val="24"/>
          <w:szCs w:val="24"/>
        </w:rPr>
      </w:r>
      <w:r/>
    </w:p>
    <w:p>
      <w:pPr>
        <w:pStyle w:val="1038"/>
        <w:numPr>
          <w:ilvl w:val="0"/>
          <w:numId w:val="162"/>
        </w:numPr>
        <w:spacing w:line="360" w:lineRule="auto"/>
        <w:rPr>
          <w:rFonts w:ascii="宋体" w:hAnsi="宋体" w:cs="宋体"/>
          <w:sz w:val="24"/>
          <w:szCs w:val="24"/>
        </w:rPr>
      </w:pPr>
      <w:r>
        <w:rPr>
          <w:rFonts w:hint="eastAsia" w:ascii="宋体" w:hAnsi="宋体" w:cs="宋体"/>
          <w:sz w:val="24"/>
          <w:szCs w:val="24"/>
        </w:rPr>
        <w:t xml:space="preserve">支持备注审阅人、签发人，实现流程管理闭环。</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监管对接与支撑</w:t>
      </w:r>
      <w:r>
        <w:rPr>
          <w:rFonts w:ascii="宋体" w:hAnsi="宋体" w:cs="宋体"/>
          <w:sz w:val="24"/>
          <w:szCs w:val="24"/>
        </w:rPr>
      </w:r>
      <w:r/>
    </w:p>
    <w:p>
      <w:pPr>
        <w:pStyle w:val="1038"/>
        <w:numPr>
          <w:ilvl w:val="0"/>
          <w:numId w:val="163"/>
        </w:numPr>
        <w:spacing w:line="360" w:lineRule="auto"/>
        <w:rPr>
          <w:rFonts w:ascii="宋体" w:hAnsi="宋体" w:cs="宋体"/>
          <w:sz w:val="24"/>
          <w:szCs w:val="24"/>
        </w:rPr>
      </w:pPr>
      <w:r>
        <w:rPr>
          <w:rFonts w:hint="eastAsia" w:ascii="宋体" w:hAnsi="宋体" w:cs="宋体"/>
          <w:sz w:val="24"/>
          <w:szCs w:val="24"/>
        </w:rPr>
        <w:t xml:space="preserve">支持对接市/省卫健委妇幼监管系统，实现数据自动填报、报表推送；</w:t>
      </w:r>
      <w:r>
        <w:rPr>
          <w:rFonts w:ascii="宋体" w:hAnsi="宋体" w:cs="宋体"/>
          <w:sz w:val="24"/>
          <w:szCs w:val="24"/>
        </w:rPr>
      </w:r>
      <w:r/>
    </w:p>
    <w:p>
      <w:pPr>
        <w:pStyle w:val="1038"/>
        <w:numPr>
          <w:ilvl w:val="0"/>
          <w:numId w:val="163"/>
        </w:numPr>
        <w:spacing w:line="360" w:lineRule="auto"/>
        <w:rPr>
          <w:rFonts w:ascii="宋体" w:hAnsi="宋体" w:cs="宋体"/>
          <w:sz w:val="24"/>
          <w:szCs w:val="24"/>
        </w:rPr>
      </w:pPr>
      <w:r>
        <w:rPr>
          <w:rFonts w:hint="eastAsia" w:ascii="宋体" w:hAnsi="宋体" w:cs="宋体"/>
          <w:sz w:val="24"/>
          <w:szCs w:val="24"/>
        </w:rPr>
        <w:t xml:space="preserve">支持报告内容可作为院内妇幼质量考核、专项检查、评审材料等的数据支撑来源。</w:t>
      </w:r>
      <w:r>
        <w:rPr>
          <w:rFonts w:ascii="宋体" w:hAnsi="宋体" w:cs="宋体"/>
          <w:sz w:val="24"/>
          <w:szCs w:val="24"/>
        </w:rPr>
      </w:r>
      <w:r/>
    </w:p>
    <w:p>
      <w:pPr>
        <w:pStyle w:val="1043"/>
        <w:rPr>
          <w:rFonts w:ascii="宋体" w:hAnsi="宋体" w:cs="宋体"/>
        </w:rPr>
      </w:pPr>
      <w:r>
        <w:rPr>
          <w:rFonts w:hint="eastAsia" w:ascii="宋体" w:hAnsi="宋体" w:cs="宋体"/>
        </w:rPr>
        <w:t xml:space="preserve">2.4.1.5 移动端数据监控与分析</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移动端数据看板</w:t>
      </w:r>
      <w:r>
        <w:rPr>
          <w:rFonts w:ascii="宋体" w:hAnsi="宋体" w:cs="宋体"/>
          <w:sz w:val="24"/>
          <w:szCs w:val="24"/>
        </w:rPr>
      </w:r>
      <w:r/>
    </w:p>
    <w:p>
      <w:pPr>
        <w:pStyle w:val="1038"/>
        <w:numPr>
          <w:ilvl w:val="0"/>
          <w:numId w:val="164"/>
        </w:numPr>
        <w:spacing w:line="360" w:lineRule="auto"/>
        <w:rPr>
          <w:rFonts w:ascii="宋体" w:hAnsi="宋体" w:cs="宋体"/>
          <w:sz w:val="24"/>
          <w:szCs w:val="24"/>
        </w:rPr>
      </w:pPr>
      <w:r>
        <w:rPr>
          <w:rFonts w:hint="eastAsia" w:ascii="宋体" w:hAnsi="宋体" w:cs="宋体"/>
          <w:sz w:val="24"/>
          <w:szCs w:val="24"/>
        </w:rPr>
        <w:t xml:space="preserve">▲支持提供针对院级、科室级妇幼质量指标的移动看板，展示如高危孕产妇识别率、儿童体检覆盖率、筛查异常率、随访完成率等核心数据；</w:t>
      </w:r>
      <w:r>
        <w:rPr>
          <w:rFonts w:ascii="宋体" w:hAnsi="宋体" w:cs="宋体"/>
          <w:sz w:val="24"/>
          <w:szCs w:val="24"/>
        </w:rPr>
      </w:r>
      <w:r/>
    </w:p>
    <w:p>
      <w:pPr>
        <w:pStyle w:val="1038"/>
        <w:numPr>
          <w:ilvl w:val="0"/>
          <w:numId w:val="164"/>
        </w:numPr>
        <w:spacing w:line="360" w:lineRule="auto"/>
        <w:rPr>
          <w:rFonts w:ascii="宋体" w:hAnsi="宋体" w:cs="宋体"/>
          <w:sz w:val="24"/>
          <w:szCs w:val="24"/>
        </w:rPr>
      </w:pPr>
      <w:r>
        <w:rPr>
          <w:rFonts w:hint="eastAsia" w:ascii="宋体" w:hAnsi="宋体" w:cs="宋体"/>
          <w:sz w:val="24"/>
          <w:szCs w:val="24"/>
        </w:rPr>
        <w:t xml:space="preserve">支持指标状态标色预警（红黄绿），辅助快速识别异常。</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实时趋势监控</w:t>
      </w:r>
      <w:r>
        <w:rPr>
          <w:rFonts w:ascii="宋体" w:hAnsi="宋体" w:cs="宋体"/>
          <w:sz w:val="24"/>
          <w:szCs w:val="24"/>
        </w:rPr>
      </w:r>
      <w:r/>
    </w:p>
    <w:p>
      <w:pPr>
        <w:pStyle w:val="1038"/>
        <w:numPr>
          <w:ilvl w:val="0"/>
          <w:numId w:val="165"/>
        </w:numPr>
        <w:spacing w:line="360" w:lineRule="auto"/>
        <w:rPr>
          <w:rFonts w:ascii="宋体" w:hAnsi="宋体" w:cs="宋体"/>
          <w:sz w:val="24"/>
          <w:szCs w:val="24"/>
        </w:rPr>
      </w:pPr>
      <w:r>
        <w:rPr>
          <w:rFonts w:hint="eastAsia" w:ascii="宋体" w:hAnsi="宋体" w:cs="宋体"/>
          <w:sz w:val="24"/>
          <w:szCs w:val="24"/>
        </w:rPr>
        <w:t xml:space="preserve">支持指标的历史对比（近7日、近30日、近季度），展示同比、环比变化；</w:t>
      </w:r>
      <w:r>
        <w:rPr>
          <w:rFonts w:ascii="宋体" w:hAnsi="宋体" w:cs="宋体"/>
          <w:sz w:val="24"/>
          <w:szCs w:val="24"/>
        </w:rPr>
      </w:r>
      <w:r/>
    </w:p>
    <w:p>
      <w:pPr>
        <w:pStyle w:val="1038"/>
        <w:numPr>
          <w:ilvl w:val="0"/>
          <w:numId w:val="165"/>
        </w:numPr>
        <w:spacing w:line="360" w:lineRule="auto"/>
        <w:rPr>
          <w:rFonts w:ascii="宋体" w:hAnsi="宋体" w:cs="宋体"/>
          <w:sz w:val="24"/>
          <w:szCs w:val="24"/>
        </w:rPr>
      </w:pPr>
      <w:r>
        <w:rPr>
          <w:rFonts w:hint="eastAsia" w:ascii="宋体" w:hAnsi="宋体" w:cs="宋体"/>
          <w:sz w:val="24"/>
          <w:szCs w:val="24"/>
        </w:rPr>
        <w:t xml:space="preserve">支持对指标下降趋势或波动异常进行智能提醒。</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兼容多平台终端</w:t>
      </w:r>
      <w:r>
        <w:rPr>
          <w:rFonts w:ascii="宋体" w:hAnsi="宋体" w:cs="宋体"/>
          <w:sz w:val="24"/>
          <w:szCs w:val="24"/>
        </w:rPr>
      </w:r>
      <w:r/>
    </w:p>
    <w:p>
      <w:pPr>
        <w:pStyle w:val="1038"/>
        <w:numPr>
          <w:ilvl w:val="0"/>
          <w:numId w:val="166"/>
        </w:numPr>
        <w:spacing w:line="360" w:lineRule="auto"/>
        <w:rPr>
          <w:rFonts w:ascii="宋体" w:hAnsi="宋体" w:cs="宋体"/>
          <w:sz w:val="24"/>
          <w:szCs w:val="24"/>
        </w:rPr>
      </w:pPr>
      <w:r>
        <w:rPr>
          <w:rFonts w:hint="eastAsia" w:ascii="宋体" w:hAnsi="宋体" w:cs="宋体"/>
          <w:sz w:val="24"/>
          <w:szCs w:val="24"/>
        </w:rPr>
        <w:t xml:space="preserve">支持微信小程序、APP、H5等多种移动载体形式，适配不同使用场景；</w:t>
      </w:r>
      <w:r>
        <w:rPr>
          <w:rFonts w:ascii="宋体" w:hAnsi="宋体" w:cs="宋体"/>
          <w:sz w:val="24"/>
          <w:szCs w:val="24"/>
        </w:rPr>
      </w:r>
      <w:r/>
    </w:p>
    <w:p>
      <w:pPr>
        <w:pStyle w:val="1038"/>
        <w:numPr>
          <w:ilvl w:val="0"/>
          <w:numId w:val="166"/>
        </w:numPr>
        <w:spacing w:line="360" w:lineRule="auto"/>
        <w:rPr>
          <w:rFonts w:ascii="宋体" w:hAnsi="宋体" w:cs="宋体"/>
          <w:sz w:val="24"/>
          <w:szCs w:val="24"/>
        </w:rPr>
      </w:pPr>
      <w:r>
        <w:rPr>
          <w:rFonts w:hint="eastAsia" w:ascii="宋体" w:hAnsi="宋体" w:cs="宋体"/>
          <w:sz w:val="24"/>
          <w:szCs w:val="24"/>
        </w:rPr>
        <w:t xml:space="preserve">支持提供良好的交互体验与数据加载性能，确保实用性与时效性。</w:t>
      </w:r>
      <w:r>
        <w:rPr>
          <w:rFonts w:ascii="宋体" w:hAnsi="宋体" w:cs="宋体"/>
          <w:sz w:val="24"/>
          <w:szCs w:val="24"/>
        </w:rPr>
      </w:r>
      <w:r/>
    </w:p>
    <w:p>
      <w:pPr>
        <w:pStyle w:val="1038"/>
        <w:numPr>
          <w:ilvl w:val="1"/>
          <w:numId w:val="5"/>
        </w:numPr>
        <w:ind w:left="0" w:firstLine="0"/>
        <w:keepLines/>
        <w:keepNext/>
        <w:spacing w:line="360" w:lineRule="auto"/>
        <w:rPr>
          <w:rFonts w:ascii="宋体" w:hAnsi="宋体" w:cs="宋体"/>
          <w:b/>
          <w:bCs/>
          <w:sz w:val="24"/>
          <w:szCs w:val="24"/>
        </w:rPr>
        <w:outlineLvl w:val="2"/>
      </w:pPr>
      <w:r>
        <w:rPr>
          <w:rFonts w:hint="eastAsia" w:ascii="宋体" w:hAnsi="宋体" w:cs="宋体"/>
          <w:b/>
          <w:bCs/>
          <w:sz w:val="24"/>
          <w:szCs w:val="24"/>
        </w:rPr>
        <w:t xml:space="preserve">基础维护</w:t>
      </w:r>
      <w:r>
        <w:rPr>
          <w:rFonts w:ascii="宋体" w:hAnsi="宋体" w:cs="宋体"/>
          <w:b/>
          <w:bCs/>
          <w:sz w:val="24"/>
          <w:szCs w:val="24"/>
        </w:rPr>
      </w:r>
      <w:r/>
    </w:p>
    <w:p>
      <w:pPr>
        <w:pStyle w:val="1042"/>
        <w:rPr>
          <w:rFonts w:ascii="宋体" w:hAnsi="宋体" w:eastAsia="宋体" w:cs="宋体"/>
          <w:b w:val="0"/>
          <w:bCs w:val="0"/>
          <w:sz w:val="24"/>
          <w:szCs w:val="24"/>
        </w:rPr>
      </w:pPr>
      <w:r>
        <w:rPr>
          <w:rFonts w:hint="eastAsia" w:ascii="宋体" w:hAnsi="宋体" w:eastAsia="宋体" w:cs="宋体"/>
          <w:sz w:val="24"/>
          <w:szCs w:val="24"/>
        </w:rPr>
        <w:t xml:space="preserve">2.5.1基础信息维护</w:t>
      </w:r>
      <w:r>
        <w:rPr>
          <w:rFonts w:ascii="宋体" w:hAnsi="宋体" w:eastAsia="宋体" w:cs="宋体"/>
          <w:b w:val="0"/>
          <w:bCs w:val="0"/>
          <w:sz w:val="24"/>
          <w:szCs w:val="24"/>
        </w:rPr>
      </w:r>
      <w:r/>
    </w:p>
    <w:p>
      <w:pPr>
        <w:pStyle w:val="1043"/>
        <w:rPr>
          <w:rFonts w:ascii="宋体" w:hAnsi="宋体" w:cs="宋体"/>
        </w:rPr>
      </w:pPr>
      <w:r>
        <w:rPr>
          <w:rFonts w:hint="eastAsia" w:ascii="宋体" w:hAnsi="宋体" w:cs="宋体"/>
        </w:rPr>
        <w:t xml:space="preserve">2.5.1.1 人员机构管理</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组织架构管理</w:t>
      </w:r>
      <w:r>
        <w:rPr>
          <w:rFonts w:ascii="宋体" w:hAnsi="宋体" w:cs="宋体"/>
          <w:sz w:val="24"/>
          <w:szCs w:val="24"/>
        </w:rPr>
      </w:r>
      <w:r/>
    </w:p>
    <w:p>
      <w:pPr>
        <w:pStyle w:val="1038"/>
        <w:numPr>
          <w:ilvl w:val="0"/>
          <w:numId w:val="167"/>
        </w:numPr>
        <w:spacing w:line="360" w:lineRule="auto"/>
        <w:rPr>
          <w:rFonts w:ascii="宋体" w:hAnsi="宋体" w:cs="宋体"/>
          <w:sz w:val="24"/>
          <w:szCs w:val="24"/>
        </w:rPr>
      </w:pPr>
      <w:r>
        <w:rPr>
          <w:rFonts w:hint="eastAsia" w:ascii="宋体" w:hAnsi="宋体" w:cs="宋体"/>
          <w:sz w:val="24"/>
          <w:szCs w:val="24"/>
        </w:rPr>
        <w:t xml:space="preserve">支持构建院级—科室—业务单元多级组织体系；</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账号生命周期管理</w:t>
      </w:r>
      <w:r>
        <w:rPr>
          <w:rFonts w:ascii="宋体" w:hAnsi="宋体" w:cs="宋体"/>
          <w:sz w:val="24"/>
          <w:szCs w:val="24"/>
        </w:rPr>
      </w:r>
      <w:r/>
    </w:p>
    <w:p>
      <w:pPr>
        <w:pStyle w:val="1038"/>
        <w:numPr>
          <w:ilvl w:val="0"/>
          <w:numId w:val="168"/>
        </w:numPr>
        <w:spacing w:line="360" w:lineRule="auto"/>
        <w:rPr>
          <w:rFonts w:ascii="宋体" w:hAnsi="宋体" w:cs="宋体"/>
          <w:sz w:val="24"/>
          <w:szCs w:val="24"/>
        </w:rPr>
      </w:pPr>
      <w:r>
        <w:rPr>
          <w:rFonts w:hint="eastAsia" w:ascii="宋体" w:hAnsi="宋体" w:cs="宋体"/>
          <w:sz w:val="24"/>
          <w:szCs w:val="24"/>
        </w:rPr>
        <w:t xml:space="preserve">支持管理账号创建、启用、停用等全生命周期流程；</w:t>
      </w:r>
      <w:r>
        <w:rPr>
          <w:rFonts w:ascii="宋体" w:hAnsi="宋体" w:cs="宋体"/>
          <w:sz w:val="24"/>
          <w:szCs w:val="24"/>
        </w:rPr>
      </w:r>
      <w:r/>
    </w:p>
    <w:p>
      <w:pPr>
        <w:pStyle w:val="1043"/>
        <w:rPr>
          <w:rFonts w:ascii="宋体" w:hAnsi="宋体" w:cs="宋体"/>
        </w:rPr>
      </w:pPr>
      <w:r>
        <w:rPr>
          <w:rFonts w:hint="eastAsia" w:ascii="宋体" w:hAnsi="宋体" w:cs="宋体"/>
        </w:rPr>
        <w:t xml:space="preserve">2.5.1.2 用户权限分级管理</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角色驱动的权限模型</w:t>
      </w:r>
      <w:r>
        <w:rPr>
          <w:rFonts w:ascii="宋体" w:hAnsi="宋体" w:cs="宋体"/>
          <w:sz w:val="24"/>
          <w:szCs w:val="24"/>
        </w:rPr>
      </w:r>
      <w:r/>
    </w:p>
    <w:p>
      <w:pPr>
        <w:pStyle w:val="1038"/>
        <w:numPr>
          <w:ilvl w:val="0"/>
          <w:numId w:val="169"/>
        </w:numPr>
        <w:spacing w:line="360" w:lineRule="auto"/>
        <w:rPr>
          <w:rFonts w:ascii="宋体" w:hAnsi="宋体" w:cs="宋体"/>
          <w:sz w:val="24"/>
          <w:szCs w:val="24"/>
        </w:rPr>
      </w:pPr>
      <w:r>
        <w:rPr>
          <w:rFonts w:hint="eastAsia" w:ascii="宋体" w:hAnsi="宋体" w:cs="宋体"/>
          <w:sz w:val="24"/>
          <w:szCs w:val="24"/>
        </w:rPr>
        <w:t xml:space="preserve">支持按照医院组织结构定义多级角色（如院级管理员、科室主任、医护人员、质控专员、随访员等）；</w:t>
      </w:r>
      <w:r>
        <w:rPr>
          <w:rFonts w:ascii="宋体" w:hAnsi="宋体" w:cs="宋体"/>
          <w:sz w:val="24"/>
          <w:szCs w:val="24"/>
        </w:rPr>
      </w:r>
      <w:r/>
    </w:p>
    <w:p>
      <w:pPr>
        <w:pStyle w:val="1038"/>
        <w:numPr>
          <w:ilvl w:val="0"/>
          <w:numId w:val="169"/>
        </w:numPr>
        <w:spacing w:line="360" w:lineRule="auto"/>
        <w:rPr>
          <w:rFonts w:ascii="宋体" w:hAnsi="宋体" w:cs="宋体"/>
          <w:sz w:val="24"/>
          <w:szCs w:val="24"/>
        </w:rPr>
      </w:pPr>
      <w:r>
        <w:rPr>
          <w:rFonts w:hint="eastAsia" w:ascii="宋体" w:hAnsi="宋体" w:cs="宋体"/>
          <w:sz w:val="24"/>
          <w:szCs w:val="24"/>
        </w:rPr>
        <w:t xml:space="preserve">支持每一角色绑定相应功能操作权限与数据访问边界；</w:t>
      </w:r>
      <w:r>
        <w:rPr>
          <w:rFonts w:ascii="宋体" w:hAnsi="宋体" w:cs="宋体"/>
          <w:sz w:val="24"/>
          <w:szCs w:val="24"/>
        </w:rPr>
      </w:r>
      <w:r/>
    </w:p>
    <w:p>
      <w:pPr>
        <w:pStyle w:val="1038"/>
        <w:numPr>
          <w:ilvl w:val="0"/>
          <w:numId w:val="169"/>
        </w:numPr>
        <w:spacing w:line="360" w:lineRule="auto"/>
        <w:rPr>
          <w:rFonts w:ascii="宋体" w:hAnsi="宋体" w:cs="宋体"/>
          <w:sz w:val="24"/>
          <w:szCs w:val="24"/>
        </w:rPr>
      </w:pPr>
      <w:r>
        <w:rPr>
          <w:rFonts w:hint="eastAsia" w:ascii="宋体" w:hAnsi="宋体" w:cs="宋体"/>
          <w:sz w:val="24"/>
          <w:szCs w:val="24"/>
        </w:rPr>
        <w:t xml:space="preserve">支持一个用户多角色绑定，按最小权限原则自动合并权限集。</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功能菜单与操作级控制</w:t>
      </w:r>
      <w:r>
        <w:rPr>
          <w:rFonts w:ascii="宋体" w:hAnsi="宋体" w:cs="宋体"/>
          <w:sz w:val="24"/>
          <w:szCs w:val="24"/>
        </w:rPr>
      </w:r>
      <w:r/>
    </w:p>
    <w:p>
      <w:pPr>
        <w:pStyle w:val="1038"/>
        <w:numPr>
          <w:ilvl w:val="0"/>
          <w:numId w:val="170"/>
        </w:numPr>
        <w:spacing w:line="360" w:lineRule="auto"/>
        <w:rPr>
          <w:rFonts w:ascii="宋体" w:hAnsi="宋体" w:cs="宋体"/>
          <w:sz w:val="24"/>
          <w:szCs w:val="24"/>
        </w:rPr>
      </w:pPr>
      <w:r>
        <w:rPr>
          <w:rFonts w:hint="eastAsia" w:ascii="宋体" w:hAnsi="宋体" w:cs="宋体"/>
          <w:sz w:val="24"/>
          <w:szCs w:val="24"/>
        </w:rPr>
        <w:t xml:space="preserve">支持按模块、菜单、具体按钮级操作设置权限；</w:t>
      </w:r>
      <w:r>
        <w:rPr>
          <w:rFonts w:ascii="宋体" w:hAnsi="宋体" w:cs="宋体"/>
          <w:sz w:val="24"/>
          <w:szCs w:val="24"/>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多系统单点登录与统一授权</w:t>
      </w:r>
      <w:r>
        <w:rPr>
          <w:rFonts w:ascii="宋体" w:hAnsi="宋体" w:cs="宋体"/>
          <w:sz w:val="24"/>
          <w:szCs w:val="24"/>
        </w:rPr>
      </w:r>
      <w:r/>
    </w:p>
    <w:p>
      <w:pPr>
        <w:pStyle w:val="1038"/>
        <w:numPr>
          <w:ilvl w:val="0"/>
          <w:numId w:val="171"/>
        </w:numPr>
        <w:spacing w:line="360" w:lineRule="auto"/>
        <w:rPr>
          <w:rFonts w:ascii="宋体" w:hAnsi="宋体" w:cs="宋体"/>
          <w:sz w:val="24"/>
          <w:szCs w:val="24"/>
        </w:rPr>
      </w:pPr>
      <w:r>
        <w:rPr>
          <w:rFonts w:hint="eastAsia" w:ascii="宋体" w:hAnsi="宋体" w:cs="宋体"/>
          <w:sz w:val="24"/>
          <w:szCs w:val="24"/>
        </w:rPr>
        <w:t xml:space="preserve">支持与医院统一身份认证平台（如LDAP、AD、OAuth2）对接，提供单点登录；</w:t>
      </w:r>
      <w:r>
        <w:rPr>
          <w:rFonts w:ascii="宋体" w:hAnsi="宋体" w:cs="宋体"/>
          <w:sz w:val="24"/>
          <w:szCs w:val="24"/>
        </w:rPr>
      </w:r>
      <w:r/>
    </w:p>
    <w:p>
      <w:pPr>
        <w:pStyle w:val="1043"/>
        <w:rPr>
          <w:rFonts w:ascii="宋体" w:hAnsi="宋体" w:cs="宋体"/>
        </w:rPr>
      </w:pPr>
      <w:r>
        <w:rPr>
          <w:rFonts w:hint="eastAsia" w:ascii="宋体" w:hAnsi="宋体" w:cs="宋体"/>
        </w:rPr>
        <w:t xml:space="preserve">2.5.1.3 系统流程审计与记录</w:t>
      </w:r>
      <w:r>
        <w:rPr>
          <w:rFonts w:ascii="宋体" w:hAnsi="宋体" w:cs="宋体"/>
        </w:rPr>
      </w:r>
      <w:r/>
    </w:p>
    <w:p>
      <w:pPr>
        <w:pStyle w:val="1038"/>
        <w:numPr>
          <w:ilvl w:val="0"/>
          <w:numId w:val="15"/>
        </w:numPr>
        <w:ind w:left="-420" w:firstLine="420"/>
        <w:spacing w:line="360" w:lineRule="auto"/>
        <w:rPr>
          <w:rFonts w:ascii="宋体" w:hAnsi="宋体" w:cs="宋体"/>
          <w:sz w:val="24"/>
          <w:szCs w:val="24"/>
        </w:rPr>
      </w:pPr>
      <w:r>
        <w:rPr>
          <w:rFonts w:hint="eastAsia" w:ascii="宋体" w:hAnsi="宋体" w:cs="宋体"/>
          <w:sz w:val="24"/>
          <w:szCs w:val="24"/>
        </w:rPr>
        <w:t xml:space="preserve">用户操作全程记录</w:t>
      </w:r>
      <w:r>
        <w:rPr>
          <w:rFonts w:ascii="宋体" w:hAnsi="宋体" w:cs="宋体"/>
          <w:sz w:val="24"/>
          <w:szCs w:val="24"/>
        </w:rPr>
      </w:r>
      <w:r/>
    </w:p>
    <w:p>
      <w:pPr>
        <w:pStyle w:val="1038"/>
        <w:numPr>
          <w:ilvl w:val="0"/>
          <w:numId w:val="172"/>
        </w:numPr>
        <w:spacing w:line="360" w:lineRule="auto"/>
        <w:rPr>
          <w:rFonts w:ascii="宋体" w:hAnsi="宋体" w:cs="宋体"/>
          <w:sz w:val="24"/>
          <w:szCs w:val="24"/>
        </w:rPr>
      </w:pPr>
      <w:r>
        <w:rPr>
          <w:rFonts w:hint="eastAsia" w:ascii="宋体" w:hAnsi="宋体" w:cs="宋体"/>
          <w:sz w:val="24"/>
          <w:szCs w:val="24"/>
        </w:rPr>
        <w:t xml:space="preserve">支持自动记录用户登录、登出、访问模块、数据查看、编辑、删除、导出等关键行为；</w:t>
      </w:r>
      <w:r>
        <w:rPr>
          <w:rFonts w:ascii="宋体" w:hAnsi="宋体" w:cs="宋体"/>
          <w:sz w:val="24"/>
          <w:szCs w:val="24"/>
        </w:rPr>
      </w:r>
      <w:r/>
    </w:p>
    <w:p>
      <w:pPr>
        <w:pStyle w:val="1038"/>
        <w:numPr>
          <w:ilvl w:val="0"/>
          <w:numId w:val="172"/>
        </w:numPr>
        <w:spacing w:line="360" w:lineRule="auto"/>
        <w:rPr>
          <w:rFonts w:ascii="宋体" w:hAnsi="宋体" w:cs="宋体"/>
          <w:sz w:val="24"/>
          <w:szCs w:val="24"/>
        </w:rPr>
      </w:pPr>
      <w:r>
        <w:rPr>
          <w:rFonts w:hint="eastAsia" w:ascii="宋体" w:hAnsi="宋体" w:cs="宋体"/>
          <w:sz w:val="24"/>
          <w:szCs w:val="24"/>
        </w:rPr>
        <w:t xml:space="preserve">支持每条记录包括操作人、操作时间、IP地址、设备信息、操作结果等元数据；</w:t>
      </w:r>
      <w:r>
        <w:rPr>
          <w:rFonts w:ascii="宋体" w:hAnsi="宋体" w:cs="宋体"/>
          <w:sz w:val="24"/>
          <w:szCs w:val="24"/>
        </w:rPr>
      </w:r>
      <w:r/>
    </w:p>
    <w:p>
      <w:pPr>
        <w:pStyle w:val="1038"/>
        <w:numPr>
          <w:ilvl w:val="1"/>
          <w:numId w:val="5"/>
        </w:numPr>
        <w:ind w:left="0" w:firstLine="0"/>
        <w:keepLines/>
        <w:keepNext/>
        <w:spacing w:line="360" w:lineRule="auto"/>
        <w:rPr>
          <w:rFonts w:ascii="宋体" w:hAnsi="宋体" w:cs="宋体"/>
          <w:b/>
          <w:bCs/>
          <w:sz w:val="24"/>
          <w:szCs w:val="24"/>
        </w:rPr>
        <w:outlineLvl w:val="2"/>
      </w:pPr>
      <w:r>
        <w:rPr>
          <w:rFonts w:hint="eastAsia" w:ascii="宋体" w:hAnsi="宋体" w:cs="宋体"/>
          <w:b/>
          <w:bCs/>
          <w:sz w:val="24"/>
          <w:szCs w:val="24"/>
        </w:rPr>
        <w:t xml:space="preserve">其他支持</w:t>
      </w:r>
      <w:r>
        <w:rPr>
          <w:rFonts w:ascii="宋体" w:hAnsi="宋体" w:cs="宋体"/>
          <w:b/>
          <w:bCs/>
          <w:sz w:val="24"/>
          <w:szCs w:val="24"/>
        </w:rPr>
      </w:r>
      <w:r/>
    </w:p>
    <w:p>
      <w:pPr>
        <w:pStyle w:val="1038"/>
        <w:numPr>
          <w:ilvl w:val="0"/>
          <w:numId w:val="173"/>
        </w:numPr>
        <w:spacing w:line="360" w:lineRule="auto"/>
        <w:rPr>
          <w:rFonts w:ascii="宋体" w:hAnsi="宋体" w:cs="宋体"/>
          <w:sz w:val="24"/>
          <w:szCs w:val="24"/>
        </w:rPr>
      </w:pPr>
      <w:r>
        <w:rPr>
          <w:rFonts w:hint="eastAsia" w:ascii="宋体" w:hAnsi="宋体" w:cs="宋体"/>
          <w:sz w:val="24"/>
          <w:szCs w:val="24"/>
        </w:rPr>
        <w:t xml:space="preserve">支持满足等保，密评和信创环境部署要求。</w:t>
      </w:r>
      <w:r>
        <w:rPr>
          <w:rFonts w:ascii="宋体" w:hAnsi="宋体" w:cs="宋体"/>
          <w:sz w:val="24"/>
          <w:szCs w:val="24"/>
        </w:rPr>
      </w:r>
      <w:r/>
    </w:p>
    <w:p>
      <w:pPr>
        <w:pStyle w:val="1038"/>
        <w:spacing w:line="480" w:lineRule="atLeast"/>
        <w:rPr>
          <w:rFonts w:ascii="宋体" w:hAnsi="宋体"/>
          <w:b/>
          <w:sz w:val="24"/>
          <w:szCs w:val="24"/>
        </w:rPr>
        <w:outlineLvl w:val="1"/>
      </w:pPr>
      <w:r>
        <w:rPr>
          <w:rFonts w:hint="eastAsia" w:ascii="宋体" w:hAnsi="宋体"/>
          <w:b/>
          <w:sz w:val="24"/>
          <w:szCs w:val="24"/>
        </w:rPr>
        <w:t xml:space="preserve">三、商务要求</w:t>
      </w:r>
      <w:r>
        <w:rPr>
          <w:rFonts w:ascii="宋体" w:hAnsi="宋体"/>
          <w:b/>
          <w:sz w:val="24"/>
          <w:szCs w:val="24"/>
        </w:rPr>
      </w:r>
      <w:r/>
    </w:p>
    <w:p>
      <w:pPr>
        <w:pStyle w:val="1038"/>
        <w:numPr>
          <w:ilvl w:val="0"/>
          <w:numId w:val="174"/>
        </w:numPr>
        <w:spacing w:line="480" w:lineRule="atLeast"/>
        <w:rPr>
          <w:rFonts w:ascii="宋体" w:hAnsi="宋体"/>
          <w:b/>
          <w:bCs/>
          <w:sz w:val="24"/>
          <w:szCs w:val="24"/>
        </w:rPr>
      </w:pPr>
      <w:r>
        <w:rPr>
          <w:rFonts w:hint="eastAsia" w:ascii="宋体" w:hAnsi="宋体"/>
          <w:b/>
          <w:bCs/>
          <w:sz w:val="24"/>
          <w:szCs w:val="24"/>
        </w:rPr>
        <w:t xml:space="preserve">项目管理与实施要求</w:t>
      </w:r>
      <w:r>
        <w:rPr>
          <w:rFonts w:ascii="宋体" w:hAnsi="宋体"/>
          <w:b/>
          <w:bCs/>
          <w:sz w:val="24"/>
          <w:szCs w:val="24"/>
        </w:rPr>
      </w:r>
      <w:r/>
    </w:p>
    <w:p>
      <w:pPr>
        <w:pStyle w:val="1038"/>
        <w:ind w:firstLine="480"/>
        <w:spacing w:line="480" w:lineRule="atLeast"/>
        <w:rPr>
          <w:rFonts w:ascii="宋体" w:hAnsi="宋体"/>
          <w:sz w:val="24"/>
          <w:szCs w:val="24"/>
        </w:rPr>
      </w:pPr>
      <w:r>
        <w:rPr>
          <w:rFonts w:hint="eastAsia" w:ascii="宋体" w:hAnsi="宋体"/>
          <w:sz w:val="24"/>
          <w:szCs w:val="24"/>
        </w:rPr>
        <w:t xml:space="preserve">投标人应具有健全的项目管理制度和流程，以及合格的项目实施人员，对系统建设进行全过程质量管理，确保项目实施的顺利。</w:t>
      </w:r>
      <w:r>
        <w:rPr>
          <w:rFonts w:ascii="宋体" w:hAnsi="宋体"/>
          <w:sz w:val="24"/>
          <w:szCs w:val="24"/>
        </w:rPr>
      </w:r>
      <w:r/>
    </w:p>
    <w:p>
      <w:pPr>
        <w:pStyle w:val="1038"/>
        <w:ind w:firstLine="480"/>
        <w:spacing w:line="480" w:lineRule="atLeast"/>
        <w:rPr>
          <w:rFonts w:ascii="宋体" w:hAnsi="宋体"/>
          <w:sz w:val="24"/>
          <w:szCs w:val="24"/>
        </w:rPr>
      </w:pPr>
      <w:r>
        <w:rPr>
          <w:rFonts w:hint="eastAsia" w:ascii="宋体" w:hAnsi="宋体"/>
          <w:sz w:val="24"/>
          <w:szCs w:val="24"/>
        </w:rPr>
        <w:t xml:space="preserve">项目实施周期：6个月。</w:t>
      </w:r>
      <w:r>
        <w:rPr>
          <w:rFonts w:ascii="宋体" w:hAnsi="宋体"/>
          <w:sz w:val="24"/>
          <w:szCs w:val="24"/>
        </w:rPr>
      </w:r>
      <w:r/>
    </w:p>
    <w:p>
      <w:pPr>
        <w:pStyle w:val="1038"/>
        <w:numPr>
          <w:ilvl w:val="0"/>
          <w:numId w:val="174"/>
        </w:numPr>
        <w:spacing w:line="480" w:lineRule="atLeast"/>
        <w:rPr>
          <w:rFonts w:ascii="宋体" w:hAnsi="宋体"/>
          <w:b/>
          <w:bCs/>
          <w:sz w:val="24"/>
          <w:szCs w:val="24"/>
        </w:rPr>
      </w:pPr>
      <w:r>
        <w:rPr>
          <w:rFonts w:hint="eastAsia" w:ascii="宋体" w:hAnsi="宋体"/>
          <w:b/>
          <w:bCs/>
          <w:sz w:val="24"/>
          <w:szCs w:val="24"/>
        </w:rPr>
        <w:t xml:space="preserve">项目实施方案要求</w:t>
      </w:r>
      <w:r>
        <w:rPr>
          <w:rFonts w:ascii="宋体" w:hAnsi="宋体"/>
          <w:b/>
          <w:bCs/>
          <w:sz w:val="24"/>
          <w:szCs w:val="24"/>
        </w:rPr>
      </w:r>
      <w:r/>
    </w:p>
    <w:p>
      <w:pPr>
        <w:pStyle w:val="1038"/>
        <w:ind w:firstLine="480"/>
        <w:spacing w:line="480" w:lineRule="atLeast"/>
        <w:rPr>
          <w:rFonts w:ascii="宋体" w:hAnsi="宋体"/>
          <w:sz w:val="24"/>
          <w:szCs w:val="24"/>
        </w:rPr>
      </w:pPr>
      <w:r>
        <w:rPr>
          <w:rFonts w:hint="eastAsia" w:ascii="宋体" w:hAnsi="宋体"/>
          <w:sz w:val="24"/>
          <w:szCs w:val="24"/>
        </w:rPr>
        <w:t xml:space="preserve">投标人应根据项目建设目标和建设内容提供详细的实施方案，包括系统架构设计、功能实现等。</w:t>
      </w:r>
      <w:r>
        <w:rPr>
          <w:rFonts w:ascii="宋体" w:hAnsi="宋体"/>
          <w:sz w:val="24"/>
          <w:szCs w:val="24"/>
        </w:rPr>
      </w:r>
      <w:r/>
    </w:p>
    <w:p>
      <w:pPr>
        <w:pStyle w:val="1038"/>
        <w:numPr>
          <w:ilvl w:val="0"/>
          <w:numId w:val="175"/>
        </w:numPr>
        <w:ind w:left="-60" w:firstLine="480"/>
        <w:spacing w:line="480" w:lineRule="atLeast"/>
        <w:rPr>
          <w:rFonts w:ascii="宋体" w:hAnsi="宋体"/>
          <w:sz w:val="24"/>
          <w:szCs w:val="24"/>
        </w:rPr>
      </w:pPr>
      <w:r>
        <w:rPr>
          <w:rFonts w:hint="eastAsia" w:ascii="宋体" w:hAnsi="宋体"/>
          <w:sz w:val="24"/>
          <w:szCs w:val="24"/>
        </w:rPr>
        <w:t xml:space="preserve">系统架构设计：要求采用模块化、可扩展的架构设计，确保系统能够灵活应对未来功能扩展和数据增长。</w:t>
      </w:r>
      <w:r>
        <w:rPr>
          <w:rFonts w:ascii="宋体" w:hAnsi="宋体"/>
          <w:sz w:val="24"/>
          <w:szCs w:val="24"/>
        </w:rPr>
      </w:r>
      <w:r/>
    </w:p>
    <w:p>
      <w:pPr>
        <w:pStyle w:val="1038"/>
        <w:numPr>
          <w:ilvl w:val="0"/>
          <w:numId w:val="175"/>
        </w:numPr>
        <w:ind w:left="-60" w:firstLine="480"/>
        <w:spacing w:line="480" w:lineRule="atLeast"/>
        <w:rPr>
          <w:rFonts w:ascii="宋体" w:hAnsi="宋体"/>
          <w:sz w:val="24"/>
          <w:szCs w:val="24"/>
        </w:rPr>
      </w:pPr>
      <w:r>
        <w:rPr>
          <w:rFonts w:hint="eastAsia" w:ascii="宋体" w:hAnsi="宋体"/>
          <w:sz w:val="24"/>
          <w:szCs w:val="24"/>
        </w:rPr>
        <w:t xml:space="preserve">功能实现：根据项目建设要求，详细列出实现功能模块的实施路径。</w:t>
      </w:r>
      <w:r>
        <w:rPr>
          <w:rFonts w:ascii="宋体" w:hAnsi="宋体"/>
          <w:sz w:val="24"/>
          <w:szCs w:val="24"/>
        </w:rPr>
      </w:r>
      <w:r/>
    </w:p>
    <w:p>
      <w:pPr>
        <w:pStyle w:val="1038"/>
        <w:numPr>
          <w:ilvl w:val="0"/>
          <w:numId w:val="174"/>
        </w:numPr>
        <w:spacing w:line="480" w:lineRule="atLeast"/>
        <w:rPr>
          <w:rFonts w:ascii="宋体" w:hAnsi="宋体"/>
          <w:b/>
          <w:bCs/>
          <w:sz w:val="24"/>
          <w:szCs w:val="24"/>
        </w:rPr>
      </w:pPr>
      <w:r>
        <w:rPr>
          <w:rFonts w:hint="eastAsia" w:ascii="宋体" w:hAnsi="宋体"/>
          <w:b/>
          <w:bCs/>
          <w:sz w:val="24"/>
          <w:szCs w:val="24"/>
        </w:rPr>
        <w:t xml:space="preserve">项目质量管理方案要求</w:t>
      </w:r>
      <w:r>
        <w:rPr>
          <w:rFonts w:ascii="宋体" w:hAnsi="宋体"/>
          <w:b/>
          <w:bCs/>
          <w:sz w:val="24"/>
          <w:szCs w:val="24"/>
        </w:rPr>
      </w:r>
      <w:r/>
    </w:p>
    <w:p>
      <w:pPr>
        <w:pStyle w:val="1038"/>
        <w:ind w:firstLine="480"/>
        <w:spacing w:line="480" w:lineRule="atLeast"/>
        <w:rPr>
          <w:rFonts w:ascii="宋体" w:hAnsi="宋体"/>
          <w:sz w:val="24"/>
          <w:szCs w:val="24"/>
        </w:rPr>
      </w:pPr>
      <w:r>
        <w:rPr>
          <w:rFonts w:ascii="宋体" w:hAnsi="宋体"/>
          <w:sz w:val="24"/>
          <w:szCs w:val="24"/>
        </w:rPr>
        <w:t xml:space="preserve">为确保项目的质量达到既定标准，</w:t>
      </w:r>
      <w:r>
        <w:rPr>
          <w:rFonts w:hint="eastAsia" w:ascii="宋体" w:hAnsi="宋体"/>
          <w:sz w:val="24"/>
          <w:szCs w:val="24"/>
        </w:rPr>
        <w:t xml:space="preserve">投标人应</w:t>
      </w:r>
      <w:r>
        <w:rPr>
          <w:rFonts w:ascii="宋体" w:hAnsi="宋体"/>
          <w:sz w:val="24"/>
          <w:szCs w:val="24"/>
        </w:rPr>
        <w:t xml:space="preserve">详细阐述项目质量管理方案，包括质量标准、质量管理体系、质量控制措施以及风险管理</w:t>
      </w:r>
      <w:r>
        <w:rPr>
          <w:rFonts w:hint="eastAsia" w:ascii="宋体" w:hAnsi="宋体"/>
          <w:sz w:val="24"/>
          <w:szCs w:val="24"/>
        </w:rPr>
        <w:t xml:space="preserve">等</w:t>
      </w:r>
      <w:r>
        <w:rPr>
          <w:rFonts w:ascii="宋体" w:hAnsi="宋体"/>
          <w:sz w:val="24"/>
          <w:szCs w:val="24"/>
        </w:rPr>
        <w:t xml:space="preserve">。</w:t>
      </w:r>
      <w:r>
        <w:rPr>
          <w:rFonts w:ascii="宋体" w:hAnsi="宋体"/>
          <w:sz w:val="24"/>
          <w:szCs w:val="24"/>
        </w:rPr>
      </w:r>
      <w:r/>
    </w:p>
    <w:p>
      <w:pPr>
        <w:pStyle w:val="1038"/>
        <w:numPr>
          <w:ilvl w:val="0"/>
          <w:numId w:val="176"/>
        </w:numPr>
        <w:ind w:firstLine="480"/>
        <w:spacing w:line="480" w:lineRule="atLeast"/>
        <w:rPr>
          <w:rFonts w:ascii="宋体" w:hAnsi="宋体"/>
          <w:sz w:val="24"/>
          <w:szCs w:val="24"/>
        </w:rPr>
      </w:pPr>
      <w:r>
        <w:rPr>
          <w:rFonts w:hint="eastAsia" w:ascii="宋体" w:hAnsi="宋体"/>
          <w:sz w:val="24"/>
          <w:szCs w:val="24"/>
        </w:rPr>
        <w:t xml:space="preserve">质量标准：项目需严格遵守国家及行业关于临床数据管理、信息安全、软件开发等方面的相关法律法规、标准规范及最佳实践。</w:t>
      </w:r>
      <w:r>
        <w:rPr>
          <w:rFonts w:ascii="宋体" w:hAnsi="宋体"/>
          <w:sz w:val="24"/>
          <w:szCs w:val="24"/>
        </w:rPr>
      </w:r>
      <w:r/>
    </w:p>
    <w:p>
      <w:pPr>
        <w:pStyle w:val="1038"/>
        <w:numPr>
          <w:ilvl w:val="0"/>
          <w:numId w:val="176"/>
        </w:numPr>
        <w:ind w:firstLine="480"/>
        <w:spacing w:line="480" w:lineRule="atLeast"/>
        <w:rPr>
          <w:rFonts w:ascii="宋体" w:hAnsi="宋体"/>
          <w:sz w:val="24"/>
          <w:szCs w:val="24"/>
        </w:rPr>
      </w:pPr>
      <w:r>
        <w:rPr>
          <w:rFonts w:hint="eastAsia" w:ascii="宋体" w:hAnsi="宋体"/>
          <w:sz w:val="24"/>
          <w:szCs w:val="24"/>
        </w:rPr>
        <w:t xml:space="preserve">质量管理体系：投标人需建立完善的质量管理体系，包括质量策划、质量控制、质量保证和质量改进等环节，确保项目全生命周期的质量管理。</w:t>
      </w:r>
      <w:r>
        <w:rPr>
          <w:rFonts w:ascii="宋体" w:hAnsi="宋体"/>
          <w:sz w:val="24"/>
          <w:szCs w:val="24"/>
        </w:rPr>
      </w:r>
      <w:r/>
    </w:p>
    <w:p>
      <w:pPr>
        <w:pStyle w:val="1038"/>
        <w:numPr>
          <w:ilvl w:val="0"/>
          <w:numId w:val="176"/>
        </w:numPr>
        <w:ind w:firstLine="480"/>
        <w:spacing w:line="480" w:lineRule="atLeast"/>
        <w:rPr>
          <w:rFonts w:ascii="宋体" w:hAnsi="宋体"/>
          <w:sz w:val="24"/>
          <w:szCs w:val="24"/>
        </w:rPr>
      </w:pPr>
      <w:r>
        <w:rPr>
          <w:rFonts w:hint="eastAsia" w:ascii="宋体" w:hAnsi="宋体"/>
          <w:sz w:val="24"/>
          <w:szCs w:val="24"/>
        </w:rPr>
        <w:t xml:space="preserve">质量控制措施：在项目关键节点（如需求分析、设计、开发、测试等阶段）进行严格的评审与检查，确保各阶段输出物的质量符合预期。</w:t>
      </w:r>
      <w:r>
        <w:rPr>
          <w:rFonts w:ascii="宋体" w:hAnsi="宋体"/>
          <w:sz w:val="24"/>
          <w:szCs w:val="24"/>
        </w:rPr>
      </w:r>
      <w:r/>
    </w:p>
    <w:p>
      <w:pPr>
        <w:pStyle w:val="1038"/>
        <w:numPr>
          <w:ilvl w:val="0"/>
          <w:numId w:val="176"/>
        </w:numPr>
        <w:ind w:firstLine="480"/>
        <w:spacing w:line="480" w:lineRule="atLeast"/>
        <w:rPr>
          <w:rFonts w:ascii="宋体" w:hAnsi="宋体"/>
          <w:sz w:val="24"/>
          <w:szCs w:val="24"/>
        </w:rPr>
      </w:pPr>
      <w:r>
        <w:rPr>
          <w:rFonts w:hint="eastAsia" w:ascii="宋体" w:hAnsi="宋体"/>
          <w:sz w:val="24"/>
          <w:szCs w:val="24"/>
        </w:rPr>
        <w:t xml:space="preserve">风险管理：需对项目可能面临的风险进行全面识别和评估，包括技术风险、管理风险、安全风险等识别项目潜在风险，制定风险应对策略和预案，降低风险对项目的影响。</w:t>
      </w:r>
      <w:r>
        <w:rPr>
          <w:rFonts w:ascii="宋体" w:hAnsi="宋体"/>
          <w:sz w:val="24"/>
          <w:szCs w:val="24"/>
        </w:rPr>
      </w:r>
      <w:r/>
    </w:p>
    <w:p>
      <w:pPr>
        <w:pStyle w:val="1038"/>
        <w:numPr>
          <w:ilvl w:val="0"/>
          <w:numId w:val="174"/>
        </w:numPr>
        <w:spacing w:line="480" w:lineRule="atLeast"/>
        <w:rPr>
          <w:rFonts w:ascii="宋体" w:hAnsi="宋体"/>
          <w:b/>
          <w:bCs/>
          <w:sz w:val="24"/>
          <w:szCs w:val="24"/>
        </w:rPr>
      </w:pPr>
      <w:r>
        <w:rPr>
          <w:rFonts w:hint="eastAsia" w:ascii="宋体" w:hAnsi="宋体"/>
          <w:b/>
          <w:bCs/>
          <w:sz w:val="24"/>
          <w:szCs w:val="24"/>
        </w:rPr>
        <w:t xml:space="preserve">项目测试管理方案要求</w:t>
      </w:r>
      <w:r>
        <w:rPr>
          <w:rFonts w:ascii="宋体" w:hAnsi="宋体"/>
          <w:b/>
          <w:bCs/>
          <w:sz w:val="24"/>
          <w:szCs w:val="24"/>
        </w:rPr>
      </w:r>
      <w:r/>
    </w:p>
    <w:p>
      <w:pPr>
        <w:pStyle w:val="1038"/>
        <w:ind w:firstLine="480"/>
        <w:spacing w:line="480" w:lineRule="atLeast"/>
        <w:rPr>
          <w:rFonts w:ascii="宋体" w:hAnsi="宋体"/>
          <w:sz w:val="24"/>
          <w:szCs w:val="24"/>
        </w:rPr>
      </w:pPr>
      <w:r>
        <w:rPr>
          <w:rFonts w:hint="eastAsia" w:ascii="宋体" w:hAnsi="宋体"/>
          <w:sz w:val="24"/>
          <w:szCs w:val="24"/>
        </w:rPr>
        <w:t xml:space="preserve">为确保项目的软件质量，项目测试管理方案至关重要。投标人需详细阐述项目测试管理的具体要求，包括测试计划、测试用例设计、测试执行以及测试报告等。</w:t>
      </w:r>
      <w:r>
        <w:rPr>
          <w:rFonts w:ascii="宋体" w:hAnsi="宋体"/>
          <w:sz w:val="24"/>
          <w:szCs w:val="24"/>
        </w:rPr>
      </w:r>
      <w:r/>
    </w:p>
    <w:p>
      <w:pPr>
        <w:pStyle w:val="1038"/>
        <w:numPr>
          <w:ilvl w:val="0"/>
          <w:numId w:val="177"/>
        </w:numPr>
        <w:ind w:firstLine="480"/>
        <w:spacing w:line="480" w:lineRule="atLeast"/>
        <w:rPr>
          <w:rFonts w:ascii="宋体" w:hAnsi="宋体"/>
          <w:sz w:val="24"/>
          <w:szCs w:val="24"/>
        </w:rPr>
      </w:pPr>
      <w:r>
        <w:rPr>
          <w:rFonts w:hint="eastAsia" w:ascii="宋体" w:hAnsi="宋体"/>
          <w:sz w:val="24"/>
          <w:szCs w:val="24"/>
        </w:rPr>
        <w:t xml:space="preserve">测试计划：制定测试计划应清晰定义测试的目标、范围、策略、资源需求及时间表，确保测试活动有序进行。</w:t>
      </w:r>
      <w:r>
        <w:rPr>
          <w:rFonts w:ascii="宋体" w:hAnsi="宋体"/>
          <w:sz w:val="24"/>
          <w:szCs w:val="24"/>
        </w:rPr>
      </w:r>
      <w:r/>
    </w:p>
    <w:p>
      <w:pPr>
        <w:pStyle w:val="1038"/>
        <w:numPr>
          <w:ilvl w:val="0"/>
          <w:numId w:val="177"/>
        </w:numPr>
        <w:ind w:firstLine="480"/>
        <w:spacing w:line="480" w:lineRule="atLeast"/>
        <w:rPr>
          <w:rFonts w:ascii="宋体" w:hAnsi="宋体"/>
          <w:sz w:val="24"/>
          <w:szCs w:val="24"/>
        </w:rPr>
      </w:pPr>
      <w:r>
        <w:rPr>
          <w:rFonts w:hint="eastAsia" w:ascii="宋体" w:hAnsi="宋体"/>
          <w:sz w:val="24"/>
          <w:szCs w:val="24"/>
        </w:rPr>
        <w:t xml:space="preserve">测试用例设计：每个测试用例应包含测试步骤、预期结果、前置条件及后置处理，确保测试执行的准确性和可重复性。能够根据测试用例的重要性和风险等级，合理划分测试优先级，确保关键功能得到优先测试。</w:t>
      </w:r>
      <w:r>
        <w:rPr>
          <w:rFonts w:ascii="宋体" w:hAnsi="宋体"/>
          <w:sz w:val="24"/>
          <w:szCs w:val="24"/>
        </w:rPr>
      </w:r>
      <w:r/>
    </w:p>
    <w:p>
      <w:pPr>
        <w:pStyle w:val="1038"/>
        <w:numPr>
          <w:ilvl w:val="0"/>
          <w:numId w:val="177"/>
        </w:numPr>
        <w:ind w:firstLine="480"/>
        <w:spacing w:line="480" w:lineRule="atLeast"/>
        <w:rPr>
          <w:rFonts w:ascii="宋体" w:hAnsi="宋体"/>
          <w:sz w:val="24"/>
          <w:szCs w:val="24"/>
        </w:rPr>
      </w:pPr>
      <w:r>
        <w:rPr>
          <w:rFonts w:hint="eastAsia" w:ascii="宋体" w:hAnsi="宋体"/>
          <w:sz w:val="24"/>
          <w:szCs w:val="24"/>
        </w:rPr>
        <w:t xml:space="preserve">测试质性：建立有效的缺陷管理流程，及时记录、跟踪、分析和解决测试过程中发现的缺陷，确保缺陷得到及时修复。</w:t>
      </w:r>
      <w:r>
        <w:rPr>
          <w:rFonts w:ascii="宋体" w:hAnsi="宋体"/>
          <w:sz w:val="24"/>
          <w:szCs w:val="24"/>
        </w:rPr>
      </w:r>
      <w:r/>
    </w:p>
    <w:p>
      <w:pPr>
        <w:pStyle w:val="1038"/>
        <w:numPr>
          <w:ilvl w:val="0"/>
          <w:numId w:val="177"/>
        </w:numPr>
        <w:ind w:firstLine="480"/>
        <w:spacing w:line="480" w:lineRule="atLeast"/>
        <w:rPr>
          <w:rFonts w:ascii="宋体" w:hAnsi="宋体"/>
          <w:sz w:val="24"/>
          <w:szCs w:val="24"/>
        </w:rPr>
      </w:pPr>
      <w:r>
        <w:rPr>
          <w:rFonts w:hint="eastAsia" w:ascii="宋体" w:hAnsi="宋体"/>
          <w:sz w:val="24"/>
          <w:szCs w:val="24"/>
        </w:rPr>
        <w:t xml:space="preserve">测试报告：对性能测试结果进行详细分析，评估系统性能是否满足要求，并提出性能优化建议，形成详细测试报告。</w:t>
      </w:r>
      <w:r>
        <w:rPr>
          <w:rFonts w:ascii="宋体" w:hAnsi="宋体"/>
          <w:sz w:val="24"/>
          <w:szCs w:val="24"/>
        </w:rPr>
      </w:r>
      <w:r/>
    </w:p>
    <w:p>
      <w:pPr>
        <w:pStyle w:val="1038"/>
        <w:numPr>
          <w:ilvl w:val="0"/>
          <w:numId w:val="174"/>
        </w:numPr>
        <w:spacing w:line="480" w:lineRule="atLeast"/>
        <w:rPr>
          <w:rFonts w:ascii="宋体" w:hAnsi="宋体"/>
          <w:b/>
          <w:bCs/>
          <w:sz w:val="24"/>
          <w:szCs w:val="24"/>
        </w:rPr>
      </w:pPr>
      <w:r>
        <w:rPr>
          <w:rFonts w:hint="eastAsia" w:ascii="宋体" w:hAnsi="宋体"/>
          <w:b/>
          <w:bCs/>
          <w:sz w:val="24"/>
          <w:szCs w:val="24"/>
        </w:rPr>
        <w:t xml:space="preserve">项目培训管理方案要求</w:t>
      </w:r>
      <w:r>
        <w:rPr>
          <w:rFonts w:ascii="宋体" w:hAnsi="宋体"/>
          <w:b/>
          <w:bCs/>
          <w:sz w:val="24"/>
          <w:szCs w:val="24"/>
        </w:rPr>
      </w:r>
      <w:r/>
    </w:p>
    <w:p>
      <w:pPr>
        <w:pStyle w:val="1038"/>
        <w:ind w:firstLine="480"/>
        <w:spacing w:line="480" w:lineRule="atLeast"/>
        <w:rPr>
          <w:rFonts w:ascii="宋体" w:hAnsi="宋体"/>
          <w:sz w:val="24"/>
          <w:szCs w:val="24"/>
        </w:rPr>
      </w:pPr>
      <w:r>
        <w:rPr>
          <w:rFonts w:ascii="宋体" w:hAnsi="宋体"/>
          <w:sz w:val="24"/>
          <w:szCs w:val="24"/>
        </w:rPr>
        <w:t xml:space="preserve">为确保项目的顺利实施与后续高效运维，项目培训管理方案的设计与实施至关重要。</w:t>
      </w:r>
      <w:r>
        <w:rPr>
          <w:rFonts w:hint="eastAsia" w:ascii="宋体" w:hAnsi="宋体"/>
          <w:sz w:val="24"/>
          <w:szCs w:val="24"/>
        </w:rPr>
        <w:t xml:space="preserve">投标人需</w:t>
      </w:r>
      <w:r>
        <w:rPr>
          <w:rFonts w:ascii="宋体" w:hAnsi="宋体"/>
          <w:sz w:val="24"/>
          <w:szCs w:val="24"/>
        </w:rPr>
        <w:t xml:space="preserve">详细阐述项目培训管理的具体要求，包括培训方案、培训内容、培训材料、培训计划等方面。</w:t>
      </w:r>
      <w:r>
        <w:rPr>
          <w:rFonts w:ascii="宋体" w:hAnsi="宋体"/>
          <w:sz w:val="24"/>
          <w:szCs w:val="24"/>
        </w:rPr>
      </w:r>
      <w:r/>
    </w:p>
    <w:p>
      <w:pPr>
        <w:pStyle w:val="1038"/>
        <w:numPr>
          <w:ilvl w:val="0"/>
          <w:numId w:val="178"/>
        </w:numPr>
        <w:ind w:firstLine="480"/>
        <w:spacing w:line="480" w:lineRule="atLeast"/>
        <w:rPr>
          <w:rFonts w:ascii="宋体" w:hAnsi="宋体"/>
          <w:sz w:val="24"/>
          <w:szCs w:val="24"/>
        </w:rPr>
      </w:pPr>
      <w:r>
        <w:rPr>
          <w:rFonts w:ascii="宋体" w:hAnsi="宋体"/>
          <w:sz w:val="24"/>
          <w:szCs w:val="24"/>
        </w:rPr>
        <w:t xml:space="preserve">培训方案</w:t>
      </w:r>
      <w:r>
        <w:rPr>
          <w:rFonts w:hint="eastAsia" w:ascii="宋体" w:hAnsi="宋体"/>
          <w:sz w:val="24"/>
          <w:szCs w:val="24"/>
        </w:rPr>
        <w:t xml:space="preserve">：应提供完善的培训方案，培训方案包含培训内容、培训课时等。系统的培训工作要在系统上线试运行前实施，并在培训实施前编制专门的培训材料。</w:t>
      </w:r>
      <w:r>
        <w:rPr>
          <w:rFonts w:ascii="宋体" w:hAnsi="宋体"/>
          <w:sz w:val="24"/>
          <w:szCs w:val="24"/>
        </w:rPr>
      </w:r>
      <w:r/>
    </w:p>
    <w:p>
      <w:pPr>
        <w:pStyle w:val="1038"/>
        <w:numPr>
          <w:ilvl w:val="0"/>
          <w:numId w:val="178"/>
        </w:numPr>
        <w:ind w:firstLine="480"/>
        <w:spacing w:line="480" w:lineRule="atLeast"/>
        <w:rPr>
          <w:rFonts w:ascii="宋体" w:hAnsi="宋体"/>
          <w:sz w:val="24"/>
          <w:szCs w:val="24"/>
        </w:rPr>
      </w:pPr>
      <w:r>
        <w:rPr>
          <w:rFonts w:ascii="宋体" w:hAnsi="宋体"/>
          <w:sz w:val="24"/>
          <w:szCs w:val="24"/>
        </w:rPr>
        <w:t xml:space="preserve">培训内容</w:t>
      </w:r>
      <w:r>
        <w:rPr>
          <w:rFonts w:hint="eastAsia" w:ascii="宋体" w:hAnsi="宋体"/>
          <w:sz w:val="24"/>
          <w:szCs w:val="24"/>
        </w:rPr>
        <w:t xml:space="preserve">：对采购人主要技术人员和骨干用户提供使用及维护培训，对普通用户提供使用培训；对采购人主要技术人员提供对系统开发用到的主要技术培训，如操作系统、数据库、开发工具的厂家认证培训，以及应用系统平台的二次开发培训。</w:t>
      </w:r>
      <w:r>
        <w:rPr>
          <w:rFonts w:ascii="宋体" w:hAnsi="宋体"/>
          <w:sz w:val="24"/>
          <w:szCs w:val="24"/>
        </w:rPr>
      </w:r>
      <w:r/>
    </w:p>
    <w:p>
      <w:pPr>
        <w:pStyle w:val="1038"/>
        <w:numPr>
          <w:ilvl w:val="0"/>
          <w:numId w:val="178"/>
        </w:numPr>
        <w:ind w:firstLine="480"/>
        <w:spacing w:line="480" w:lineRule="atLeast"/>
        <w:rPr>
          <w:rFonts w:ascii="宋体" w:hAnsi="宋体"/>
          <w:sz w:val="24"/>
          <w:szCs w:val="24"/>
        </w:rPr>
      </w:pPr>
      <w:r>
        <w:rPr>
          <w:rFonts w:hint="eastAsia" w:ascii="宋体" w:hAnsi="宋体"/>
          <w:sz w:val="24"/>
          <w:szCs w:val="24"/>
        </w:rPr>
        <w:t xml:space="preserve">培训材料：投标人在采购人现场的培训，投标人必须无偿提供培训资料、讲稿的电子稿、培训用文字资料和讲义等相关用品，所有的资料必须是中文书写，同时允许采购人在单位内部使用。</w:t>
      </w:r>
      <w:r>
        <w:rPr>
          <w:rFonts w:ascii="宋体" w:hAnsi="宋体"/>
          <w:sz w:val="24"/>
          <w:szCs w:val="24"/>
        </w:rPr>
      </w:r>
      <w:r/>
    </w:p>
    <w:p>
      <w:pPr>
        <w:pStyle w:val="1038"/>
        <w:numPr>
          <w:ilvl w:val="0"/>
          <w:numId w:val="178"/>
        </w:numPr>
        <w:ind w:firstLine="480"/>
        <w:spacing w:line="480" w:lineRule="atLeast"/>
        <w:rPr>
          <w:rFonts w:ascii="宋体" w:hAnsi="宋体"/>
          <w:sz w:val="24"/>
          <w:szCs w:val="24"/>
        </w:rPr>
      </w:pPr>
      <w:r>
        <w:rPr>
          <w:rFonts w:hint="eastAsia" w:ascii="宋体" w:hAnsi="宋体"/>
          <w:sz w:val="24"/>
          <w:szCs w:val="24"/>
        </w:rPr>
        <w:t xml:space="preserve">培训计划：培训工作贯穿于项目的整个过程，所有的培训需提前制定培训计划，明确培训内容、培训时间、培训方式、所需要培训环境等，提供培训所需的资料、文档，针对培训，还需要制定培训用的PPT讲演稿。</w:t>
      </w:r>
      <w:r>
        <w:rPr>
          <w:rFonts w:ascii="宋体" w:hAnsi="宋体"/>
          <w:sz w:val="24"/>
          <w:szCs w:val="24"/>
        </w:rPr>
      </w:r>
      <w:r/>
    </w:p>
    <w:p>
      <w:pPr>
        <w:pStyle w:val="1038"/>
        <w:numPr>
          <w:ilvl w:val="0"/>
          <w:numId w:val="174"/>
        </w:numPr>
        <w:spacing w:line="480" w:lineRule="atLeast"/>
        <w:rPr>
          <w:rFonts w:ascii="宋体" w:hAnsi="宋体"/>
          <w:b/>
          <w:bCs/>
          <w:sz w:val="24"/>
          <w:szCs w:val="24"/>
        </w:rPr>
      </w:pPr>
      <w:r>
        <w:rPr>
          <w:rFonts w:hint="eastAsia" w:ascii="宋体" w:hAnsi="宋体"/>
          <w:b/>
          <w:bCs/>
          <w:sz w:val="24"/>
          <w:szCs w:val="24"/>
        </w:rPr>
        <w:t xml:space="preserve">项目售后管理方案要求</w:t>
      </w:r>
      <w:r>
        <w:rPr>
          <w:rFonts w:ascii="宋体" w:hAnsi="宋体"/>
          <w:b/>
          <w:bCs/>
          <w:sz w:val="24"/>
          <w:szCs w:val="24"/>
        </w:rPr>
      </w:r>
      <w:r/>
    </w:p>
    <w:p>
      <w:pPr>
        <w:pStyle w:val="1038"/>
        <w:ind w:firstLine="480"/>
        <w:spacing w:line="480" w:lineRule="atLeast"/>
        <w:rPr>
          <w:rFonts w:ascii="宋体" w:hAnsi="宋体"/>
          <w:sz w:val="24"/>
          <w:szCs w:val="24"/>
        </w:rPr>
      </w:pPr>
      <w:r>
        <w:rPr>
          <w:rFonts w:ascii="宋体" w:hAnsi="宋体"/>
          <w:sz w:val="24"/>
          <w:szCs w:val="24"/>
        </w:rPr>
        <w:t xml:space="preserve">为了保障项目的长期稳定运行，提供高效、专业的售后服务至关重要。</w:t>
      </w:r>
      <w:r>
        <w:rPr>
          <w:rFonts w:hint="eastAsia" w:ascii="宋体" w:hAnsi="宋体"/>
          <w:sz w:val="24"/>
          <w:szCs w:val="24"/>
        </w:rPr>
        <w:t xml:space="preserve">投标人需</w:t>
      </w:r>
      <w:r>
        <w:rPr>
          <w:rFonts w:ascii="宋体" w:hAnsi="宋体"/>
          <w:sz w:val="24"/>
          <w:szCs w:val="24"/>
        </w:rPr>
        <w:t xml:space="preserve">详细阐述项目售后管理方案的具体要求，包括售后时间、售后要求、售后内容以及售后人员</w:t>
      </w:r>
      <w:r>
        <w:rPr>
          <w:rFonts w:hint="eastAsia" w:ascii="宋体" w:hAnsi="宋体"/>
          <w:sz w:val="24"/>
          <w:szCs w:val="24"/>
        </w:rPr>
        <w:t xml:space="preserve">等</w:t>
      </w:r>
      <w:r>
        <w:rPr>
          <w:rFonts w:ascii="宋体" w:hAnsi="宋体"/>
          <w:sz w:val="24"/>
          <w:szCs w:val="24"/>
        </w:rPr>
        <w:t xml:space="preserve">。</w:t>
      </w:r>
      <w:r>
        <w:rPr>
          <w:rFonts w:ascii="宋体" w:hAnsi="宋体"/>
          <w:sz w:val="24"/>
          <w:szCs w:val="24"/>
        </w:rPr>
      </w:r>
      <w:r/>
    </w:p>
    <w:p>
      <w:pPr>
        <w:pStyle w:val="1038"/>
        <w:numPr>
          <w:ilvl w:val="0"/>
          <w:numId w:val="179"/>
        </w:numPr>
        <w:ind w:firstLine="480"/>
        <w:spacing w:line="480" w:lineRule="atLeast"/>
        <w:rPr>
          <w:rFonts w:ascii="宋体" w:hAnsi="宋体"/>
          <w:sz w:val="24"/>
          <w:szCs w:val="24"/>
        </w:rPr>
      </w:pPr>
      <w:r>
        <w:rPr>
          <w:rFonts w:hint="eastAsia" w:ascii="宋体" w:hAnsi="宋体"/>
          <w:sz w:val="24"/>
          <w:szCs w:val="24"/>
        </w:rPr>
        <w:t xml:space="preserve">售后时间：自交货验收完毕之日算起，所有产品免费维保1年。</w:t>
      </w:r>
      <w:r>
        <w:rPr>
          <w:rFonts w:ascii="宋体" w:hAnsi="宋体"/>
          <w:sz w:val="24"/>
          <w:szCs w:val="24"/>
        </w:rPr>
      </w:r>
      <w:r/>
    </w:p>
    <w:p>
      <w:pPr>
        <w:pStyle w:val="1038"/>
        <w:numPr>
          <w:ilvl w:val="0"/>
          <w:numId w:val="179"/>
        </w:numPr>
        <w:ind w:firstLine="480"/>
        <w:spacing w:line="480" w:lineRule="atLeast"/>
        <w:rPr>
          <w:rFonts w:ascii="宋体" w:hAnsi="宋体"/>
          <w:sz w:val="24"/>
          <w:szCs w:val="24"/>
        </w:rPr>
      </w:pPr>
      <w:r>
        <w:rPr>
          <w:rFonts w:hint="eastAsia" w:ascii="宋体" w:hAnsi="宋体"/>
          <w:sz w:val="24"/>
          <w:szCs w:val="24"/>
        </w:rPr>
        <w:t xml:space="preserve">售后要求：投标供应商须承诺，7*24小时立即响应，2小时内到现场，4小时内解决。</w:t>
      </w:r>
      <w:r>
        <w:rPr>
          <w:rFonts w:ascii="宋体" w:hAnsi="宋体"/>
          <w:sz w:val="24"/>
          <w:szCs w:val="24"/>
        </w:rPr>
      </w:r>
      <w:r/>
    </w:p>
    <w:p>
      <w:pPr>
        <w:pStyle w:val="1038"/>
        <w:numPr>
          <w:ilvl w:val="0"/>
          <w:numId w:val="179"/>
        </w:numPr>
        <w:ind w:firstLine="480"/>
        <w:spacing w:line="480" w:lineRule="atLeast"/>
        <w:rPr>
          <w:rFonts w:ascii="宋体" w:hAnsi="宋体"/>
          <w:sz w:val="24"/>
          <w:szCs w:val="24"/>
        </w:rPr>
      </w:pPr>
      <w:r>
        <w:rPr>
          <w:rFonts w:hint="eastAsia" w:ascii="宋体" w:hAnsi="宋体"/>
          <w:sz w:val="24"/>
          <w:szCs w:val="24"/>
        </w:rPr>
        <w:t xml:space="preserve">售后内容：投标供应商须承诺提供该产品的技术培训、技术支持和维修巡检服务，并在投标文件中提供相应书面方案。</w:t>
      </w:r>
      <w:r>
        <w:rPr>
          <w:rFonts w:ascii="宋体" w:hAnsi="宋体"/>
          <w:sz w:val="24"/>
          <w:szCs w:val="24"/>
        </w:rPr>
      </w:r>
      <w:r/>
    </w:p>
    <w:p>
      <w:pPr>
        <w:pStyle w:val="1038"/>
        <w:numPr>
          <w:ilvl w:val="0"/>
          <w:numId w:val="174"/>
        </w:numPr>
        <w:spacing w:line="480" w:lineRule="atLeast"/>
        <w:rPr>
          <w:rFonts w:ascii="宋体" w:hAnsi="宋体"/>
          <w:b/>
          <w:bCs/>
          <w:sz w:val="24"/>
          <w:szCs w:val="24"/>
        </w:rPr>
      </w:pPr>
      <w:r>
        <w:rPr>
          <w:rFonts w:hint="eastAsia" w:ascii="宋体" w:hAnsi="宋体"/>
          <w:b/>
          <w:bCs/>
          <w:sz w:val="24"/>
          <w:szCs w:val="24"/>
        </w:rPr>
        <w:t xml:space="preserve">付款方式</w:t>
      </w:r>
      <w:r>
        <w:rPr>
          <w:rFonts w:ascii="宋体" w:hAnsi="宋体"/>
          <w:b/>
          <w:bCs/>
          <w:sz w:val="24"/>
          <w:szCs w:val="24"/>
        </w:rPr>
      </w:r>
      <w:r/>
    </w:p>
    <w:p>
      <w:pPr>
        <w:pStyle w:val="1038"/>
        <w:ind w:firstLine="480"/>
        <w:spacing w:line="480" w:lineRule="atLeast"/>
        <w:rPr>
          <w:rFonts w:ascii="宋体" w:hAnsi="宋体"/>
          <w:sz w:val="24"/>
          <w:szCs w:val="24"/>
        </w:rPr>
      </w:pPr>
      <w:r>
        <w:rPr>
          <w:rFonts w:ascii="宋体" w:hAnsi="宋体"/>
          <w:sz w:val="24"/>
          <w:szCs w:val="24"/>
        </w:rPr>
        <w:t xml:space="preserve">合同生效且收到发票后支付30%，验收合格且收到发票后支付60%，验收合格半年后且收到发票后支付10%</w:t>
      </w:r>
      <w:r>
        <w:rPr>
          <w:rFonts w:hint="eastAsia" w:ascii="宋体" w:hAnsi="宋体"/>
          <w:sz w:val="24"/>
          <w:szCs w:val="24"/>
        </w:rPr>
        <w:t xml:space="preserve">。</w:t>
      </w:r>
      <w:r>
        <w:rPr>
          <w:rFonts w:ascii="宋体" w:hAnsi="宋体"/>
          <w:sz w:val="24"/>
          <w:szCs w:val="24"/>
        </w:rPr>
      </w:r>
      <w:r/>
    </w:p>
    <w:p>
      <w:pPr>
        <w:pStyle w:val="1038"/>
        <w:numPr>
          <w:ilvl w:val="0"/>
          <w:numId w:val="174"/>
        </w:numPr>
        <w:spacing w:line="480" w:lineRule="atLeast"/>
        <w:rPr>
          <w:rFonts w:ascii="宋体" w:hAnsi="宋体"/>
          <w:b/>
          <w:bCs/>
          <w:sz w:val="24"/>
          <w:szCs w:val="24"/>
        </w:rPr>
      </w:pPr>
      <w:r>
        <w:rPr>
          <w:rFonts w:hint="eastAsia" w:ascii="宋体" w:hAnsi="宋体"/>
          <w:b/>
          <w:bCs/>
          <w:sz w:val="24"/>
          <w:szCs w:val="24"/>
        </w:rPr>
        <w:t xml:space="preserve">验收标准及方式</w:t>
      </w:r>
      <w:r>
        <w:rPr>
          <w:rFonts w:ascii="宋体" w:hAnsi="宋体"/>
          <w:b/>
          <w:bCs/>
          <w:sz w:val="24"/>
          <w:szCs w:val="24"/>
        </w:rPr>
      </w:r>
      <w:r/>
    </w:p>
    <w:p>
      <w:pPr>
        <w:pStyle w:val="1038"/>
        <w:ind w:firstLine="480"/>
        <w:spacing w:line="480" w:lineRule="atLeast"/>
        <w:rPr>
          <w:rFonts w:ascii="宋体" w:hAnsi="宋体"/>
          <w:sz w:val="24"/>
          <w:szCs w:val="24"/>
        </w:rPr>
      </w:pPr>
      <w:r>
        <w:rPr>
          <w:rFonts w:hint="eastAsia" w:ascii="宋体" w:hAnsi="宋体"/>
          <w:sz w:val="24"/>
          <w:szCs w:val="24"/>
        </w:rPr>
        <w:t xml:space="preserve">1.产品交付前，乙方应对产品进行全面自检，符合甲方要求的交付条件后，由乙方发起验收申请，甲方评估后组织验收。</w:t>
      </w:r>
      <w:r>
        <w:rPr>
          <w:rFonts w:ascii="宋体" w:hAnsi="宋体"/>
          <w:sz w:val="24"/>
          <w:szCs w:val="24"/>
        </w:rPr>
      </w:r>
      <w:r/>
    </w:p>
    <w:p>
      <w:pPr>
        <w:pStyle w:val="1038"/>
        <w:ind w:firstLine="480"/>
        <w:spacing w:line="480" w:lineRule="atLeast"/>
        <w:rPr>
          <w:rFonts w:ascii="宋体" w:hAnsi="宋体"/>
          <w:sz w:val="24"/>
          <w:szCs w:val="24"/>
        </w:rPr>
      </w:pPr>
      <w:r>
        <w:rPr>
          <w:rFonts w:hint="eastAsia" w:ascii="宋体" w:hAnsi="宋体"/>
          <w:sz w:val="24"/>
          <w:szCs w:val="24"/>
        </w:rPr>
        <w:t xml:space="preserve">2.在交货时乙方应对所提供的产品出具国家标准规定的产品合格证或国家认可的行业标准规定的产品合格证。</w:t>
      </w:r>
      <w:r>
        <w:rPr>
          <w:rFonts w:ascii="宋体" w:hAnsi="宋体"/>
          <w:sz w:val="24"/>
          <w:szCs w:val="24"/>
        </w:rPr>
      </w:r>
      <w:r/>
    </w:p>
    <w:p>
      <w:pPr>
        <w:pStyle w:val="1038"/>
        <w:ind w:firstLine="480"/>
        <w:spacing w:line="480" w:lineRule="atLeast"/>
        <w:rPr>
          <w:rFonts w:ascii="宋体" w:hAnsi="宋体"/>
          <w:sz w:val="24"/>
          <w:szCs w:val="24"/>
        </w:rPr>
      </w:pPr>
      <w:r>
        <w:rPr>
          <w:rFonts w:hint="eastAsia" w:ascii="宋体" w:hAnsi="宋体"/>
          <w:sz w:val="24"/>
          <w:szCs w:val="24"/>
        </w:rPr>
        <w:t xml:space="preserve">3.甲方在交货前有权对乙方提供的产品、技术、服务提出异议，并采取相关措施确保质量合格。</w:t>
      </w:r>
      <w:r>
        <w:rPr>
          <w:rFonts w:ascii="宋体" w:hAnsi="宋体"/>
          <w:sz w:val="24"/>
          <w:szCs w:val="24"/>
        </w:rPr>
      </w:r>
      <w:r/>
    </w:p>
    <w:p>
      <w:pPr>
        <w:pStyle w:val="1038"/>
        <w:ind w:firstLine="480"/>
        <w:spacing w:line="480" w:lineRule="atLeast"/>
        <w:rPr>
          <w:rFonts w:ascii="宋体" w:hAnsi="宋体"/>
          <w:sz w:val="24"/>
          <w:szCs w:val="24"/>
        </w:rPr>
      </w:pPr>
      <w:r>
        <w:rPr>
          <w:rFonts w:hint="eastAsia" w:ascii="宋体" w:hAnsi="宋体"/>
          <w:sz w:val="24"/>
          <w:szCs w:val="24"/>
        </w:rPr>
        <w:t xml:space="preserve">4.具体组织程序、验收标准和方法，按需求方规定程序执行，乙方配合。</w:t>
      </w:r>
      <w:r>
        <w:rPr>
          <w:rFonts w:ascii="宋体" w:hAnsi="宋体"/>
          <w:sz w:val="24"/>
          <w:szCs w:val="24"/>
        </w:rPr>
      </w:r>
      <w:r/>
    </w:p>
    <w:p>
      <w:pPr>
        <w:pStyle w:val="1038"/>
        <w:ind w:firstLine="480"/>
        <w:spacing w:line="480" w:lineRule="atLeast"/>
        <w:rPr>
          <w:rFonts w:ascii="宋体" w:hAnsi="宋体"/>
          <w:sz w:val="24"/>
          <w:szCs w:val="24"/>
        </w:rPr>
      </w:pPr>
      <w:r>
        <w:rPr>
          <w:rFonts w:hint="eastAsia" w:ascii="宋体" w:hAnsi="宋体"/>
          <w:sz w:val="24"/>
          <w:szCs w:val="24"/>
        </w:rPr>
        <w:t xml:space="preserve">5.产品验收不合格，需求方、甲方有权拒收和解除采购合同，由此造成的损失，由中标供应商承担。验收过程中，中标供应商可有1次整改机会，若未通过，甲方有权解除合同并追回已支付款项。</w:t>
      </w:r>
      <w:r>
        <w:rPr>
          <w:rFonts w:ascii="宋体" w:hAnsi="宋体"/>
          <w:sz w:val="24"/>
          <w:szCs w:val="24"/>
        </w:rPr>
      </w:r>
      <w:r/>
    </w:p>
    <w:p>
      <w:pPr>
        <w:pStyle w:val="1038"/>
        <w:ind w:firstLine="480"/>
        <w:spacing w:line="480" w:lineRule="atLeast"/>
        <w:rPr>
          <w:rFonts w:ascii="宋体" w:hAnsi="宋体"/>
          <w:sz w:val="24"/>
          <w:szCs w:val="24"/>
        </w:rPr>
      </w:pPr>
      <w:r>
        <w:rPr>
          <w:rFonts w:hint="eastAsia" w:ascii="宋体" w:hAnsi="宋体"/>
          <w:sz w:val="24"/>
          <w:szCs w:val="24"/>
        </w:rPr>
        <w:t xml:space="preserve">6.使用方在产品使用过程中，发现产品性能指标未达到要求的，中标供应商按照需求方明确的整改期限（不超过1个月），可有1次整改机会，在规定期限内未整改完毕的，由此造成的损失，由中标供应商承担。</w:t>
      </w:r>
      <w:r>
        <w:rPr>
          <w:rFonts w:ascii="宋体" w:hAnsi="宋体"/>
          <w:sz w:val="24"/>
          <w:szCs w:val="24"/>
        </w:rPr>
      </w:r>
      <w:r/>
    </w:p>
    <w:p>
      <w:pPr>
        <w:pStyle w:val="1038"/>
        <w:ind w:firstLine="480"/>
        <w:spacing w:line="480" w:lineRule="atLeast"/>
        <w:rPr>
          <w:rFonts w:ascii="宋体" w:hAnsi="宋体"/>
          <w:sz w:val="24"/>
          <w:szCs w:val="24"/>
        </w:rPr>
      </w:pPr>
      <w:r>
        <w:rPr>
          <w:rFonts w:hint="eastAsia" w:ascii="宋体" w:hAnsi="宋体"/>
          <w:sz w:val="24"/>
          <w:szCs w:val="24"/>
        </w:rPr>
        <w:t xml:space="preserve">7.项目验收前，乙方须培训甲方至少2名工程师和需求部门管理人员。</w:t>
      </w:r>
      <w:r>
        <w:rPr>
          <w:rFonts w:ascii="宋体" w:hAnsi="宋体"/>
          <w:sz w:val="24"/>
          <w:szCs w:val="24"/>
        </w:rPr>
      </w:r>
      <w:r/>
    </w:p>
    <w:p>
      <w:pPr>
        <w:pStyle w:val="1038"/>
        <w:numPr>
          <w:ilvl w:val="0"/>
          <w:numId w:val="174"/>
        </w:numPr>
        <w:spacing w:line="480" w:lineRule="atLeast"/>
        <w:rPr>
          <w:rFonts w:ascii="宋体" w:hAnsi="宋体"/>
          <w:b/>
          <w:bCs/>
          <w:sz w:val="24"/>
          <w:szCs w:val="24"/>
        </w:rPr>
      </w:pPr>
      <w:r>
        <w:rPr>
          <w:rFonts w:hint="eastAsia" w:ascii="宋体" w:hAnsi="宋体"/>
          <w:b/>
          <w:bCs/>
          <w:sz w:val="24"/>
          <w:szCs w:val="24"/>
        </w:rPr>
        <w:t xml:space="preserve">知识产权要求</w:t>
      </w:r>
      <w:r>
        <w:rPr>
          <w:rFonts w:ascii="宋体" w:hAnsi="宋体"/>
          <w:b/>
          <w:bCs/>
          <w:sz w:val="24"/>
          <w:szCs w:val="24"/>
        </w:rPr>
      </w:r>
      <w:r/>
    </w:p>
    <w:p>
      <w:pPr>
        <w:pStyle w:val="1038"/>
        <w:ind w:firstLine="480"/>
        <w:spacing w:line="480" w:lineRule="atLeast"/>
        <w:rPr>
          <w:rFonts w:ascii="宋体" w:hAnsi="宋体"/>
          <w:i/>
          <w:iCs/>
          <w:sz w:val="24"/>
          <w:szCs w:val="24"/>
          <w:u w:val="single"/>
        </w:rPr>
      </w:pPr>
      <w:r>
        <w:rPr>
          <w:rFonts w:hint="eastAsia" w:ascii="宋体" w:hAnsi="宋体"/>
          <w:i/>
          <w:iCs/>
          <w:sz w:val="24"/>
          <w:szCs w:val="24"/>
          <w:u w:val="single"/>
        </w:rPr>
        <w:t xml:space="preserve">投标供应商应保证使用方在使用该产品或其任何一部分时，不受第三方提出侵犯其专利权、商标权和工业设计权的起诉，建设单位不承担任何连带责任和赔偿责任。</w:t>
      </w:r>
      <w:r>
        <w:rPr>
          <w:rFonts w:ascii="宋体" w:hAnsi="宋体"/>
          <w:i/>
          <w:iCs/>
          <w:sz w:val="24"/>
          <w:szCs w:val="24"/>
          <w:u w:val="single"/>
        </w:rPr>
      </w:r>
      <w:r/>
    </w:p>
    <w:p>
      <w:pPr>
        <w:pStyle w:val="1038"/>
        <w:spacing w:line="480" w:lineRule="atLeast"/>
        <w:rPr>
          <w:rFonts w:ascii="宋体" w:hAnsi="宋体"/>
          <w:sz w:val="24"/>
          <w:szCs w:val="24"/>
        </w:rPr>
      </w:pPr>
      <w:r>
        <w:rPr>
          <w:rFonts w:hint="eastAsia" w:ascii="宋体" w:hAnsi="宋体"/>
          <w:i/>
          <w:iCs/>
          <w:sz w:val="24"/>
          <w:szCs w:val="24"/>
          <w:u w:val="single"/>
        </w:rPr>
        <w:t xml:space="preserve">投标供应商单独提供对应承诺书。</w:t>
      </w:r>
      <w:r>
        <w:rPr>
          <w:rFonts w:ascii="宋体" w:hAnsi="宋体"/>
          <w:sz w:val="24"/>
          <w:szCs w:val="24"/>
        </w:rPr>
      </w:r>
      <w:r/>
    </w:p>
    <w:p>
      <w:pPr>
        <w:pStyle w:val="1038"/>
        <w:numPr>
          <w:ilvl w:val="0"/>
          <w:numId w:val="174"/>
        </w:numPr>
        <w:spacing w:line="480" w:lineRule="atLeast"/>
        <w:rPr>
          <w:rFonts w:ascii="宋体" w:hAnsi="宋体"/>
          <w:b/>
          <w:bCs/>
          <w:sz w:val="24"/>
          <w:szCs w:val="24"/>
        </w:rPr>
      </w:pPr>
      <w:r>
        <w:rPr>
          <w:rFonts w:hint="eastAsia" w:ascii="宋体" w:hAnsi="宋体"/>
          <w:b/>
          <w:bCs/>
          <w:sz w:val="24"/>
          <w:szCs w:val="24"/>
        </w:rPr>
        <w:t xml:space="preserve">保密要求</w:t>
      </w:r>
      <w:r>
        <w:rPr>
          <w:rFonts w:ascii="宋体" w:hAnsi="宋体"/>
          <w:b/>
          <w:bCs/>
          <w:sz w:val="24"/>
          <w:szCs w:val="24"/>
        </w:rPr>
      </w:r>
      <w:r/>
    </w:p>
    <w:p>
      <w:pPr>
        <w:pStyle w:val="1038"/>
        <w:ind w:firstLine="480"/>
        <w:spacing w:line="480" w:lineRule="atLeast"/>
        <w:rPr>
          <w:rFonts w:ascii="宋体" w:hAnsi="宋体"/>
          <w:i/>
          <w:iCs/>
          <w:sz w:val="24"/>
          <w:szCs w:val="24"/>
          <w:u w:val="single"/>
        </w:rPr>
      </w:pPr>
      <w:r>
        <w:rPr>
          <w:rFonts w:hint="eastAsia" w:ascii="宋体" w:hAnsi="宋体"/>
          <w:i/>
          <w:iCs/>
          <w:sz w:val="24"/>
          <w:szCs w:val="24"/>
          <w:u w:val="single"/>
        </w:rPr>
        <w:t xml:space="preserve">投标供应商不得向第三方泄露采购机构提供的技术文件等资料。投标供应商提供对应承诺书。</w:t>
      </w:r>
      <w:r>
        <w:rPr>
          <w:rFonts w:ascii="宋体" w:hAnsi="宋体"/>
          <w:i/>
          <w:iCs/>
          <w:sz w:val="24"/>
          <w:szCs w:val="24"/>
          <w:u w:val="single"/>
        </w:rPr>
      </w:r>
      <w:r/>
    </w:p>
    <w:p>
      <w:pPr>
        <w:pStyle w:val="1038"/>
        <w:numPr>
          <w:ilvl w:val="0"/>
          <w:numId w:val="174"/>
        </w:numPr>
        <w:spacing w:line="480" w:lineRule="atLeast"/>
        <w:rPr>
          <w:rFonts w:ascii="宋体" w:hAnsi="宋体"/>
          <w:b/>
          <w:bCs/>
          <w:sz w:val="24"/>
          <w:szCs w:val="24"/>
        </w:rPr>
      </w:pPr>
      <w:r>
        <w:rPr>
          <w:rFonts w:hint="eastAsia" w:ascii="宋体" w:hAnsi="宋体"/>
          <w:b/>
          <w:bCs/>
          <w:sz w:val="24"/>
          <w:szCs w:val="24"/>
        </w:rPr>
        <w:t xml:space="preserve">履约保证金</w:t>
      </w:r>
      <w:r>
        <w:rPr>
          <w:rFonts w:ascii="宋体" w:hAnsi="宋体"/>
          <w:b/>
          <w:bCs/>
          <w:sz w:val="24"/>
          <w:szCs w:val="24"/>
        </w:rPr>
      </w:r>
      <w:r/>
    </w:p>
    <w:p>
      <w:pPr>
        <w:pStyle w:val="1038"/>
        <w:ind w:firstLine="480"/>
        <w:spacing w:line="480" w:lineRule="atLeast"/>
        <w:rPr>
          <w:rFonts w:ascii="宋体" w:hAnsi="宋体"/>
          <w:i/>
          <w:iCs/>
          <w:sz w:val="24"/>
          <w:szCs w:val="24"/>
          <w:u w:val="single"/>
        </w:rPr>
      </w:pPr>
      <w:r>
        <w:rPr>
          <w:rFonts w:hint="eastAsia" w:ascii="宋体" w:hAnsi="宋体"/>
          <w:sz w:val="24"/>
          <w:szCs w:val="24"/>
        </w:rPr>
        <w:t xml:space="preserve">本项目不收取履约保证金。</w:t>
      </w:r>
      <w:r>
        <w:rPr>
          <w:rFonts w:ascii="宋体" w:hAnsi="宋体"/>
          <w:i/>
          <w:iCs/>
          <w:sz w:val="24"/>
          <w:szCs w:val="24"/>
          <w:u w:val="single"/>
        </w:rPr>
      </w:r>
      <w:r/>
    </w:p>
    <w:p>
      <w:pPr>
        <w:pStyle w:val="1038"/>
        <w:spacing w:line="480" w:lineRule="exact"/>
        <w:rPr>
          <w:rFonts w:ascii="宋体" w:hAnsi="宋体"/>
          <w:b/>
          <w:sz w:val="24"/>
          <w:szCs w:val="24"/>
        </w:rPr>
        <w:outlineLvl w:val="1"/>
      </w:pPr>
      <w:r>
        <w:rPr>
          <w:rFonts w:hint="eastAsia" w:ascii="宋体" w:hAnsi="宋体"/>
          <w:b/>
          <w:sz w:val="24"/>
          <w:szCs w:val="24"/>
        </w:rPr>
        <w:t xml:space="preserve">四、其他要求</w:t>
      </w:r>
      <w:r>
        <w:rPr>
          <w:rFonts w:ascii="宋体" w:hAnsi="宋体"/>
          <w:b/>
          <w:sz w:val="24"/>
          <w:szCs w:val="24"/>
        </w:rPr>
      </w:r>
      <w:r/>
    </w:p>
    <w:p>
      <w:pPr>
        <w:pStyle w:val="1038"/>
        <w:spacing w:line="480" w:lineRule="exact"/>
        <w:rPr>
          <w:rFonts w:ascii="宋体" w:hAnsi="宋体"/>
          <w:sz w:val="24"/>
          <w:szCs w:val="24"/>
        </w:rPr>
      </w:pPr>
      <w:r>
        <w:rPr>
          <w:rFonts w:hint="eastAsia" w:ascii="宋体" w:hAnsi="宋体"/>
          <w:sz w:val="24"/>
          <w:szCs w:val="24"/>
        </w:rPr>
        <w:t xml:space="preserve">1.项目属性:服务类项目。</w:t>
      </w:r>
      <w:r>
        <w:rPr>
          <w:rFonts w:ascii="宋体" w:hAnsi="宋体"/>
          <w:sz w:val="24"/>
          <w:szCs w:val="24"/>
        </w:rPr>
      </w:r>
      <w:r/>
    </w:p>
    <w:p>
      <w:pPr>
        <w:pStyle w:val="1038"/>
        <w:numPr>
          <w:ilvl w:val="0"/>
          <w:numId w:val="180"/>
        </w:numPr>
        <w:spacing w:line="480" w:lineRule="exact"/>
        <w:rPr>
          <w:rFonts w:ascii="宋体" w:hAnsi="宋体"/>
          <w:b/>
          <w:bCs/>
          <w:sz w:val="24"/>
          <w:szCs w:val="24"/>
        </w:rPr>
      </w:pPr>
      <w:r>
        <w:rPr>
          <w:rFonts w:hint="eastAsia" w:ascii="宋体" w:hAnsi="宋体"/>
          <w:b/>
          <w:bCs/>
          <w:sz w:val="24"/>
          <w:szCs w:val="24"/>
        </w:rPr>
        <w:t xml:space="preserve">项目工作小组</w:t>
      </w:r>
      <w:r>
        <w:rPr>
          <w:rFonts w:ascii="宋体" w:hAnsi="宋体"/>
          <w:b/>
          <w:bCs/>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中标人应成立针对本项目的项目工作组：</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1、项目实施人员：采购合同签订后，中标人须提供常驻项目实施人员在医院现场工作，并提供有类似项目实施管理经验的项目经理在现场进行项目管理与推进；</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2、项目管理与上线支持人员：系统上线期间，中标人须提供项目管理与上线支持人员。上线后免费运维期间，中标人必须提供现场运维人员。</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3、项目配备项目经理一名，需要项目经理具备信息系统项目管理师、系统分析师、网络规划设计师、信息系统架构设计师、数据库系统或信息系统管理工程师高级证书（需提供资质证书），并具有医疗信息化建设类项目经验。（需提供项目经理曾参与建设的项目合同或项目验收报告，验收报告需体现项目经理姓名；②项目经理与投标单位（含其分支机构）签订的劳务合同扫描件；③近半年内任意一个月投标人（含其分支机构）为项目经理缴纳社保的证明文件）；</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4、项目配备项目实施工程师三名，需要具备软件设计师、网络工程师、数据库系统工程师、系统集成项目管理工程师、或信息安全工程师或软件评测师中级证书（需提供资质证书复印件及在投标人单位近半年以来任意一个月缴纳社保证明复印件及劳务合同扫描件加盖投标人公章）</w:t>
      </w:r>
      <w:r>
        <w:rPr>
          <w:rFonts w:ascii="宋体" w:hAnsi="宋体"/>
          <w:sz w:val="24"/>
          <w:szCs w:val="24"/>
        </w:rPr>
      </w:r>
      <w:r/>
    </w:p>
    <w:p>
      <w:pPr>
        <w:pStyle w:val="1038"/>
        <w:numPr>
          <w:ilvl w:val="0"/>
          <w:numId w:val="180"/>
        </w:numPr>
        <w:spacing w:line="480" w:lineRule="exact"/>
        <w:rPr>
          <w:rFonts w:ascii="宋体" w:hAnsi="宋体"/>
          <w:b/>
          <w:bCs/>
          <w:sz w:val="24"/>
          <w:szCs w:val="24"/>
        </w:rPr>
      </w:pPr>
      <w:r>
        <w:rPr>
          <w:rFonts w:ascii="宋体" w:hAnsi="宋体"/>
          <w:b/>
          <w:bCs/>
          <w:sz w:val="24"/>
          <w:szCs w:val="24"/>
        </w:rPr>
        <w:t xml:space="preserve">文档资料管理</w:t>
      </w:r>
      <w:r>
        <w:rPr>
          <w:rFonts w:ascii="宋体" w:hAnsi="宋体"/>
          <w:b/>
          <w:bCs/>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1、文档是保证项目实施连贯性的重要保证，中标人需要提供完善的文档，并对项目进行过程中的文档进行有效的管理，接受采购人对项目各阶段评估分析和监督管理。</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2、整个项目的过程包括后期修改维护提供系统、完整的项目管理、设计和开发、操作说明等书面文档及其电子版。</w:t>
      </w:r>
      <w:r>
        <w:rPr>
          <w:rFonts w:ascii="宋体" w:hAnsi="宋体"/>
          <w:sz w:val="24"/>
          <w:szCs w:val="24"/>
        </w:rPr>
      </w:r>
      <w:r/>
    </w:p>
    <w:p>
      <w:pPr>
        <w:pStyle w:val="1038"/>
        <w:numPr>
          <w:ilvl w:val="0"/>
          <w:numId w:val="180"/>
        </w:numPr>
        <w:spacing w:line="480" w:lineRule="exact"/>
        <w:rPr>
          <w:rFonts w:ascii="宋体" w:hAnsi="宋体"/>
          <w:b/>
          <w:bCs/>
          <w:sz w:val="24"/>
          <w:szCs w:val="24"/>
        </w:rPr>
      </w:pPr>
      <w:r>
        <w:rPr>
          <w:rFonts w:hint="eastAsia" w:ascii="宋体" w:hAnsi="宋体"/>
          <w:b/>
          <w:bCs/>
          <w:sz w:val="24"/>
          <w:szCs w:val="24"/>
        </w:rPr>
        <w:t xml:space="preserve">支持服务保证</w:t>
      </w:r>
      <w:r>
        <w:rPr>
          <w:rFonts w:ascii="宋体" w:hAnsi="宋体"/>
          <w:b/>
          <w:bCs/>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针对采购项目，中标人应承诺如下支持服务保证：</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1、中标人必须提供支持服务以保证系统的平稳运行。</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2、中标人需要与采购人共同合作，统一安排运维管理，保证系统（特别是应用模块）的有效运转。</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3、中标人需要制定全面的工作计划，保证按照工作计划进行运维管理。</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4、中标人应在合同期内将系统的所有变动详细记录，并有反馈。</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5、中标人必须保证版本的控制，对所有的应用系统配置、源程序代码、文档等进行有效的管理。</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6、中标人必须制定安全管理手册，保证系统的可靠性。</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7、中标人必须遵从国家卫健委、地方卫生管理机构的统一安全标准。</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8、中标人对系统的任何改动都应该通知采购人。</w:t>
      </w:r>
      <w:r>
        <w:rPr>
          <w:rFonts w:ascii="宋体" w:hAnsi="宋体"/>
          <w:sz w:val="24"/>
          <w:szCs w:val="24"/>
        </w:rPr>
      </w:r>
      <w:r/>
    </w:p>
    <w:p>
      <w:pPr>
        <w:pStyle w:val="1038"/>
        <w:numPr>
          <w:ilvl w:val="0"/>
          <w:numId w:val="180"/>
        </w:numPr>
        <w:spacing w:line="480" w:lineRule="exact"/>
        <w:rPr>
          <w:rFonts w:ascii="宋体" w:hAnsi="宋体"/>
          <w:b/>
          <w:bCs/>
          <w:sz w:val="24"/>
          <w:szCs w:val="24"/>
        </w:rPr>
      </w:pPr>
      <w:r>
        <w:rPr>
          <w:rFonts w:hint="eastAsia" w:ascii="宋体" w:hAnsi="宋体"/>
          <w:b/>
          <w:bCs/>
          <w:sz w:val="24"/>
          <w:szCs w:val="24"/>
        </w:rPr>
        <w:t xml:space="preserve">需求收集及开发</w:t>
      </w:r>
      <w:r>
        <w:rPr>
          <w:rFonts w:ascii="宋体" w:hAnsi="宋体"/>
          <w:b/>
          <w:bCs/>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1、中标人承担从医院收集需求的工作，用户需求规格说明书由采购人确认。</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2、每个模块需要依据医院指定的业务科室负责人，对中标人收集的需求进行确认。在不超出模块整体业务架构的前提下，以业务科室确认的需求作为开发、上线和验收依据。</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3、中标人需要对用户需求做进一步的分析与处理，并将其转化成技术需求规格，报告给采购人。</w:t>
      </w:r>
      <w:r>
        <w:rPr>
          <w:rFonts w:ascii="宋体" w:hAnsi="宋体"/>
          <w:sz w:val="24"/>
          <w:szCs w:val="24"/>
        </w:rPr>
      </w:r>
      <w:r/>
    </w:p>
    <w:p>
      <w:pPr>
        <w:pStyle w:val="1038"/>
        <w:numPr>
          <w:ilvl w:val="0"/>
          <w:numId w:val="180"/>
        </w:numPr>
        <w:spacing w:line="480" w:lineRule="exact"/>
        <w:rPr>
          <w:rFonts w:ascii="宋体" w:hAnsi="宋体"/>
          <w:b/>
          <w:bCs/>
          <w:sz w:val="24"/>
          <w:szCs w:val="24"/>
        </w:rPr>
      </w:pPr>
      <w:r>
        <w:rPr>
          <w:rFonts w:hint="eastAsia" w:ascii="宋体" w:hAnsi="宋体"/>
          <w:b/>
          <w:bCs/>
          <w:sz w:val="24"/>
          <w:szCs w:val="24"/>
        </w:rPr>
        <w:t xml:space="preserve">安全和可信要求</w:t>
      </w:r>
      <w:r>
        <w:rPr>
          <w:rFonts w:ascii="宋体" w:hAnsi="宋体"/>
          <w:b/>
          <w:bCs/>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满足《网络安全法》《数据安全法》《个人信息保护法》和三级等保测评等法律法规要求。</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在项目建设的整个阶段，对于网络安全要同步规划、同步建设、同步使用。</w:t>
      </w:r>
      <w:r>
        <w:rPr>
          <w:rFonts w:ascii="宋体" w:hAnsi="宋体"/>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未来要支持并配合密码安全有关建设或改造。</w:t>
      </w:r>
      <w:r>
        <w:rPr>
          <w:rFonts w:ascii="宋体" w:hAnsi="宋体"/>
          <w:sz w:val="24"/>
          <w:szCs w:val="24"/>
        </w:rPr>
      </w:r>
      <w:r/>
    </w:p>
    <w:p>
      <w:pPr>
        <w:pStyle w:val="1038"/>
        <w:numPr>
          <w:ilvl w:val="0"/>
          <w:numId w:val="180"/>
        </w:numPr>
        <w:spacing w:line="480" w:lineRule="exact"/>
        <w:rPr>
          <w:rFonts w:ascii="宋体" w:hAnsi="宋体"/>
          <w:b/>
          <w:bCs/>
          <w:sz w:val="24"/>
          <w:szCs w:val="24"/>
        </w:rPr>
      </w:pPr>
      <w:r>
        <w:rPr>
          <w:rFonts w:hint="eastAsia" w:ascii="宋体" w:hAnsi="宋体"/>
          <w:b/>
          <w:bCs/>
          <w:sz w:val="24"/>
          <w:szCs w:val="24"/>
        </w:rPr>
        <w:t xml:space="preserve">公司实力</w:t>
      </w:r>
      <w:r>
        <w:rPr>
          <w:rFonts w:ascii="宋体" w:hAnsi="宋体"/>
          <w:b/>
          <w:bCs/>
          <w:sz w:val="24"/>
          <w:szCs w:val="24"/>
        </w:rPr>
      </w:r>
      <w:r/>
    </w:p>
    <w:p>
      <w:pPr>
        <w:pStyle w:val="1038"/>
        <w:numPr>
          <w:ilvl w:val="0"/>
          <w:numId w:val="181"/>
        </w:numPr>
        <w:ind w:firstLine="480"/>
        <w:spacing w:line="480" w:lineRule="exact"/>
        <w:rPr>
          <w:rFonts w:ascii="宋体" w:hAnsi="宋体"/>
          <w:b/>
          <w:bCs/>
          <w:sz w:val="24"/>
          <w:szCs w:val="24"/>
        </w:rPr>
      </w:pPr>
      <w:r>
        <w:rPr>
          <w:rFonts w:hint="eastAsia" w:ascii="宋体" w:hAnsi="宋体"/>
          <w:b/>
          <w:bCs/>
          <w:sz w:val="24"/>
          <w:szCs w:val="24"/>
        </w:rPr>
        <w:t xml:space="preserve">企业资质</w:t>
      </w:r>
      <w:r>
        <w:rPr>
          <w:rFonts w:ascii="宋体" w:hAnsi="宋体"/>
          <w:b/>
          <w:bCs/>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投标人需具有ISO9001质量管理体系认证、ISO20000信息技术服务管理体系认证、ISO27001信息安全管理体系认证。</w:t>
      </w:r>
      <w:r>
        <w:rPr>
          <w:rFonts w:ascii="宋体" w:hAnsi="宋体"/>
          <w:sz w:val="24"/>
          <w:szCs w:val="24"/>
        </w:rPr>
      </w:r>
      <w:r/>
    </w:p>
    <w:p>
      <w:pPr>
        <w:pStyle w:val="1038"/>
        <w:numPr>
          <w:ilvl w:val="0"/>
          <w:numId w:val="181"/>
        </w:numPr>
        <w:ind w:firstLine="480"/>
        <w:spacing w:line="480" w:lineRule="exact"/>
        <w:rPr>
          <w:rFonts w:ascii="宋体" w:hAnsi="宋体"/>
          <w:b/>
          <w:bCs/>
          <w:sz w:val="24"/>
          <w:szCs w:val="24"/>
        </w:rPr>
      </w:pPr>
      <w:r>
        <w:rPr>
          <w:rFonts w:hint="eastAsia" w:ascii="宋体" w:hAnsi="宋体"/>
          <w:b/>
          <w:bCs/>
          <w:sz w:val="24"/>
          <w:szCs w:val="24"/>
        </w:rPr>
        <w:t xml:space="preserve">企业能力</w:t>
      </w:r>
      <w:r>
        <w:rPr>
          <w:rFonts w:ascii="宋体" w:hAnsi="宋体"/>
          <w:b/>
          <w:bCs/>
          <w:sz w:val="24"/>
          <w:szCs w:val="24"/>
        </w:rPr>
      </w:r>
      <w:r/>
    </w:p>
    <w:p>
      <w:pPr>
        <w:pStyle w:val="1038"/>
        <w:ind w:firstLine="480"/>
        <w:spacing w:line="480" w:lineRule="exact"/>
        <w:rPr>
          <w:rFonts w:ascii="宋体" w:hAnsi="宋体"/>
          <w:sz w:val="24"/>
          <w:szCs w:val="24"/>
        </w:rPr>
      </w:pPr>
      <w:r>
        <w:rPr>
          <w:rFonts w:hint="eastAsia" w:ascii="宋体" w:hAnsi="宋体"/>
          <w:sz w:val="24"/>
          <w:szCs w:val="24"/>
        </w:rPr>
        <w:t xml:space="preserve">投标人具有数据中心、医疗质量管理、健康管理相关软件著作权证书。</w:t>
      </w:r>
      <w:r>
        <w:rPr>
          <w:rFonts w:ascii="宋体" w:hAnsi="宋体"/>
          <w:sz w:val="24"/>
          <w:szCs w:val="24"/>
        </w:rPr>
      </w:r>
      <w:r/>
    </w:p>
    <w:p>
      <w:pPr>
        <w:pStyle w:val="1038"/>
        <w:numPr>
          <w:ilvl w:val="0"/>
          <w:numId w:val="181"/>
        </w:numPr>
        <w:ind w:firstLine="480"/>
        <w:spacing w:line="480" w:lineRule="exact"/>
        <w:rPr>
          <w:rFonts w:ascii="宋体" w:hAnsi="宋体"/>
          <w:b/>
          <w:bCs/>
          <w:sz w:val="24"/>
          <w:szCs w:val="24"/>
        </w:rPr>
      </w:pPr>
      <w:r>
        <w:rPr>
          <w:rFonts w:hint="eastAsia" w:ascii="宋体" w:hAnsi="宋体"/>
          <w:b/>
          <w:bCs/>
          <w:sz w:val="24"/>
          <w:szCs w:val="24"/>
        </w:rPr>
        <w:t xml:space="preserve">相关业绩要求</w:t>
      </w:r>
      <w:r>
        <w:rPr>
          <w:rFonts w:ascii="宋体" w:hAnsi="宋体"/>
          <w:b/>
          <w:bCs/>
          <w:sz w:val="24"/>
          <w:szCs w:val="24"/>
        </w:rPr>
      </w:r>
      <w:r/>
    </w:p>
    <w:p>
      <w:pPr>
        <w:pStyle w:val="1038"/>
        <w:ind w:left="480"/>
        <w:spacing w:line="480" w:lineRule="exact"/>
        <w:rPr>
          <w:rFonts w:ascii="宋体" w:hAnsi="宋体"/>
          <w:sz w:val="24"/>
          <w:szCs w:val="24"/>
        </w:rPr>
      </w:pPr>
      <w:r>
        <w:rPr>
          <w:rFonts w:hint="eastAsia" w:ascii="宋体" w:hAnsi="宋体"/>
          <w:sz w:val="24"/>
          <w:szCs w:val="24"/>
        </w:rPr>
        <w:t xml:space="preserve">投标人近三年内完成（2022年1月1日至今）信息化相关建设项目。</w:t>
      </w:r>
      <w:r>
        <w:rPr>
          <w:rFonts w:ascii="宋体" w:hAnsi="宋体"/>
          <w:sz w:val="24"/>
          <w:szCs w:val="24"/>
        </w:rPr>
      </w:r>
      <w:r/>
    </w:p>
    <w:p>
      <w:pPr>
        <w:pStyle w:val="1316"/>
        <w:ind w:firstLine="210"/>
        <w:rPr>
          <w:rFonts w:ascii="宋体" w:hAnsi="宋体"/>
        </w:rPr>
      </w:pPr>
      <w:r>
        <w:rPr>
          <w:rFonts w:ascii="宋体" w:hAnsi="宋体"/>
        </w:rPr>
      </w:r>
      <w:r/>
    </w:p>
    <w:p>
      <w:pPr>
        <w:pStyle w:val="1038"/>
        <w:spacing w:line="0" w:lineRule="atLeast"/>
        <w:rPr>
          <w:rFonts w:ascii="宋体" w:hAnsi="宋体"/>
          <w:b/>
          <w:bCs/>
          <w:sz w:val="28"/>
          <w:szCs w:val="28"/>
        </w:rPr>
      </w:pPr>
      <w:r>
        <w:rPr>
          <w:rFonts w:hint="eastAsia" w:ascii="宋体" w:hAnsi="宋体"/>
          <w:b/>
          <w:bCs/>
          <w:sz w:val="28"/>
          <w:szCs w:val="28"/>
        </w:rPr>
        <w:t xml:space="preserve">（七）</w:t>
      </w:r>
      <w:r>
        <w:rPr>
          <w:rFonts w:hint="eastAsia" w:ascii="宋体" w:hAnsi="宋体"/>
          <w:b/>
          <w:bCs/>
          <w:sz w:val="24"/>
          <w:szCs w:val="24"/>
        </w:rPr>
        <w:t xml:space="preserve">本项目不接受进口产品投标</w:t>
      </w:r>
      <w:r>
        <w:rPr>
          <w:rFonts w:ascii="宋体" w:hAnsi="宋体"/>
          <w:b/>
          <w:bCs/>
          <w:sz w:val="28"/>
          <w:szCs w:val="28"/>
        </w:rPr>
      </w:r>
      <w:r/>
    </w:p>
    <w:p>
      <w:pPr>
        <w:pStyle w:val="1038"/>
        <w:spacing w:line="0" w:lineRule="atLeast"/>
        <w:rPr>
          <w:rFonts w:ascii="宋体" w:hAnsi="宋体"/>
          <w:sz w:val="24"/>
          <w:szCs w:val="24"/>
        </w:rPr>
      </w:pPr>
      <w:r>
        <w:rPr>
          <w:rFonts w:ascii="宋体" w:hAnsi="宋体"/>
          <w:sz w:val="24"/>
          <w:szCs w:val="24"/>
        </w:rPr>
      </w:r>
      <w:r/>
    </w:p>
    <w:p>
      <w:pPr>
        <w:pStyle w:val="1038"/>
        <w:spacing w:line="0" w:lineRule="atLeast"/>
        <w:rPr>
          <w:rFonts w:ascii="宋体" w:hAnsi="宋体"/>
          <w:b/>
          <w:sz w:val="24"/>
          <w:szCs w:val="24"/>
        </w:rPr>
        <w:outlineLvl w:val="1"/>
      </w:pPr>
      <w:r>
        <w:rPr>
          <w:rFonts w:hint="eastAsia" w:ascii="宋体" w:hAnsi="宋体"/>
          <w:b/>
          <w:sz w:val="24"/>
          <w:szCs w:val="24"/>
        </w:rPr>
        <w:t xml:space="preserve">五、演示要求</w:t>
      </w:r>
      <w:r>
        <w:rPr>
          <w:rFonts w:ascii="宋体" w:hAnsi="宋体"/>
          <w:b/>
          <w:sz w:val="24"/>
          <w:szCs w:val="24"/>
        </w:rPr>
      </w:r>
      <w:r/>
    </w:p>
    <w:p>
      <w:pPr>
        <w:pStyle w:val="1038"/>
        <w:ind w:firstLine="482"/>
        <w:spacing w:line="480" w:lineRule="exact"/>
        <w:rPr>
          <w:rFonts w:ascii="宋体" w:hAnsi="宋体"/>
          <w:sz w:val="24"/>
          <w:szCs w:val="24"/>
        </w:rPr>
      </w:pPr>
      <w:r>
        <w:rPr>
          <w:rFonts w:hint="eastAsia" w:ascii="宋体" w:hAnsi="宋体"/>
          <w:sz w:val="24"/>
          <w:szCs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10</w:t>
      </w:r>
      <w:r>
        <w:rPr>
          <w:rFonts w:hint="eastAsia" w:ascii="宋体" w:hAnsi="宋体" w:cs="宋体"/>
          <w:sz w:val="24"/>
          <w:szCs w:val="24"/>
        </w:rPr>
        <w:t xml:space="preserve">分钟。使用真实系统或系统原型演示的最高可得满分，使用ppt、动画等其他形式演示的得分乘以0.5。</w:t>
      </w:r>
      <w:r>
        <w:rPr>
          <w:rFonts w:ascii="宋体" w:hAnsi="宋体"/>
          <w:sz w:val="24"/>
          <w:szCs w:val="24"/>
        </w:rPr>
      </w:r>
      <w:r/>
    </w:p>
    <w:p>
      <w:pPr>
        <w:pStyle w:val="1038"/>
        <w:ind w:firstLine="482"/>
        <w:spacing w:line="480" w:lineRule="exact"/>
        <w:rPr>
          <w:rFonts w:ascii="宋体" w:hAnsi="宋体"/>
          <w:sz w:val="24"/>
          <w:szCs w:val="24"/>
        </w:rPr>
      </w:pPr>
      <w:r>
        <w:rPr>
          <w:rFonts w:hint="eastAsia" w:ascii="宋体" w:hAnsi="宋体"/>
          <w:sz w:val="24"/>
          <w:szCs w:val="24"/>
        </w:rPr>
        <w:t xml:space="preserve">2.演示内容如下：</w:t>
      </w:r>
      <w:r>
        <w:rPr>
          <w:rFonts w:ascii="宋体" w:hAnsi="宋体"/>
          <w:sz w:val="24"/>
          <w:szCs w:val="24"/>
        </w:rPr>
      </w:r>
      <w:r/>
    </w:p>
    <w:p>
      <w:pPr>
        <w:pStyle w:val="1038"/>
        <w:ind w:firstLine="482"/>
        <w:spacing w:line="480" w:lineRule="exact"/>
        <w:rPr>
          <w:rFonts w:ascii="宋体" w:hAnsi="宋体"/>
          <w:sz w:val="24"/>
          <w:szCs w:val="24"/>
        </w:rPr>
      </w:pPr>
      <w:r>
        <w:rPr>
          <w:rFonts w:hint="eastAsia" w:ascii="宋体" w:hAnsi="宋体"/>
          <w:sz w:val="24"/>
          <w:szCs w:val="24"/>
        </w:rPr>
        <w:t xml:space="preserve">（1）数据治理：支持提供可视化的数据质量评估工具，支持自定义数据质控脚本，通过脚本执行质控规则，对不同数据集数据进行数据质量比对，进行数据质量结果的呈现；</w:t>
      </w:r>
      <w:r>
        <w:rPr>
          <w:rFonts w:ascii="宋体" w:hAnsi="宋体"/>
          <w:sz w:val="24"/>
          <w:szCs w:val="24"/>
        </w:rPr>
      </w:r>
      <w:r/>
    </w:p>
    <w:p>
      <w:pPr>
        <w:pStyle w:val="1038"/>
        <w:ind w:firstLine="482"/>
        <w:spacing w:line="480" w:lineRule="exact"/>
        <w:rPr>
          <w:rFonts w:ascii="宋体" w:hAnsi="宋体"/>
          <w:sz w:val="24"/>
          <w:szCs w:val="24"/>
        </w:rPr>
      </w:pPr>
      <w:r>
        <w:rPr>
          <w:rFonts w:hint="eastAsia" w:ascii="宋体" w:hAnsi="宋体"/>
          <w:sz w:val="24"/>
          <w:szCs w:val="24"/>
        </w:rPr>
        <w:t xml:space="preserve">（2）RAG知识库配置服务：支持对知识库检索的相关组件内的搜索参数进行配置，通过选择对应知识库，实现通过对话模式对知识库内容进行访问和快速检索；</w:t>
      </w:r>
      <w:r>
        <w:rPr>
          <w:rFonts w:ascii="宋体" w:hAnsi="宋体"/>
          <w:sz w:val="24"/>
          <w:szCs w:val="24"/>
        </w:rPr>
      </w:r>
      <w:r/>
    </w:p>
    <w:p>
      <w:pPr>
        <w:pStyle w:val="1038"/>
        <w:ind w:firstLine="482"/>
        <w:spacing w:line="480" w:lineRule="exact"/>
        <w:rPr>
          <w:rFonts w:ascii="宋体" w:hAnsi="宋体"/>
          <w:sz w:val="24"/>
          <w:szCs w:val="24"/>
        </w:rPr>
      </w:pPr>
      <w:r>
        <w:rPr>
          <w:rFonts w:hint="eastAsia" w:ascii="宋体" w:hAnsi="宋体"/>
          <w:sz w:val="24"/>
          <w:szCs w:val="24"/>
        </w:rPr>
        <w:t xml:space="preserve">（3）专病模型管理：支持多种数据源的选择，通过编辑数据实体之间的关系，自定义配置数据模型的同步服务，并通过分步作业的模式进行数据同步服务；</w:t>
      </w:r>
      <w:r>
        <w:rPr>
          <w:rFonts w:ascii="宋体" w:hAnsi="宋体"/>
          <w:sz w:val="24"/>
          <w:szCs w:val="24"/>
        </w:rPr>
      </w:r>
      <w:r/>
    </w:p>
    <w:p>
      <w:pPr>
        <w:pStyle w:val="1038"/>
        <w:ind w:firstLine="482"/>
        <w:spacing w:line="480" w:lineRule="exact"/>
        <w:rPr>
          <w:rFonts w:ascii="宋体" w:hAnsi="宋体"/>
          <w:sz w:val="24"/>
          <w:szCs w:val="24"/>
        </w:rPr>
      </w:pPr>
      <w:r>
        <w:rPr>
          <w:rFonts w:hint="eastAsia" w:ascii="宋体" w:hAnsi="宋体"/>
          <w:sz w:val="24"/>
          <w:szCs w:val="24"/>
        </w:rPr>
        <w:t xml:space="preserve">（4）数据检索服务：支持通过对话方式快速检索对应信息，如输入“提供宫颈癌患者清单”，系统识别用户意图，进行向量检索。提供满足检索要求的患者基础数据，包括脱敏后的患者基本信息、患者年龄、患者性别、患者唯一标识号；</w:t>
      </w:r>
      <w:r>
        <w:rPr>
          <w:rFonts w:ascii="宋体" w:hAnsi="宋体"/>
          <w:sz w:val="24"/>
          <w:szCs w:val="24"/>
        </w:rPr>
      </w:r>
      <w:r/>
    </w:p>
    <w:p>
      <w:pPr>
        <w:pStyle w:val="1038"/>
        <w:ind w:firstLine="482"/>
        <w:spacing w:line="480" w:lineRule="exact"/>
        <w:rPr>
          <w:rFonts w:ascii="宋体" w:hAnsi="宋体"/>
          <w:sz w:val="24"/>
          <w:szCs w:val="24"/>
        </w:rPr>
      </w:pPr>
      <w:r>
        <w:rPr>
          <w:rFonts w:hint="eastAsia" w:ascii="宋体" w:hAnsi="宋体"/>
          <w:sz w:val="24"/>
          <w:szCs w:val="24"/>
        </w:rPr>
        <w:t xml:space="preserve">（5）质控标准与指标管理：支持动态报表配置功能，使用类似Excel编辑界面展示质控数据，支持通过单元格编辑表头，通过对单元格内容进行公示配置，实现单元格内展示内容的批量编辑，并通过单元格进行报表下钻。</w:t>
      </w:r>
      <w:r>
        <w:rPr>
          <w:rFonts w:ascii="宋体" w:hAnsi="宋体"/>
          <w:sz w:val="24"/>
          <w:szCs w:val="24"/>
        </w:rPr>
      </w:r>
      <w:r/>
    </w:p>
    <w:p>
      <w:pPr>
        <w:pStyle w:val="1038"/>
        <w:rPr>
          <w:rFonts w:ascii="宋体" w:hAnsi="宋体"/>
        </w:rPr>
      </w:pPr>
      <w:r/>
      <w:bookmarkStart w:id="194" w:name="_Toc120614281"/>
      <w:r>
        <w:rPr>
          <w:rFonts w:ascii="宋体" w:hAnsi="宋体"/>
        </w:rPr>
      </w:r>
      <w:r/>
    </w:p>
    <w:p>
      <w:pPr>
        <w:pStyle w:val="1283"/>
        <w:rPr>
          <w:rFonts w:ascii="宋体" w:hAnsi="宋体" w:eastAsia="宋体"/>
          <w:bCs/>
          <w:sz w:val="44"/>
        </w:rPr>
      </w:pPr>
      <w:r>
        <w:rPr>
          <w:rFonts w:hint="eastAsia" w:ascii="宋体" w:hAnsi="宋体" w:eastAsia="宋体"/>
          <w:b/>
          <w:sz w:val="44"/>
        </w:rPr>
        <w:t xml:space="preserve">第五章</w:t>
      </w:r>
      <w:r>
        <w:rPr>
          <w:rFonts w:hint="eastAsia" w:ascii="宋体" w:hAnsi="宋体" w:eastAsia="宋体"/>
          <w:bCs/>
          <w:sz w:val="44"/>
        </w:rPr>
        <w:t xml:space="preserve">  </w:t>
      </w:r>
      <w:r>
        <w:rPr>
          <w:rFonts w:hint="eastAsia" w:ascii="宋体" w:hAnsi="宋体" w:eastAsia="宋体"/>
          <w:b/>
          <w:bCs/>
          <w:sz w:val="44"/>
        </w:rPr>
        <w:t xml:space="preserve">评标方法与评标标准</w:t>
      </w:r>
      <w:r>
        <w:rPr>
          <w:rFonts w:ascii="宋体" w:hAnsi="宋体" w:eastAsia="宋体"/>
          <w:bCs/>
          <w:sz w:val="44"/>
        </w:rPr>
      </w:r>
      <w:r/>
    </w:p>
    <w:p>
      <w:pPr>
        <w:pStyle w:val="1038"/>
        <w:rPr>
          <w:rFonts w:ascii="宋体" w:hAnsi="宋体"/>
        </w:rPr>
      </w:pPr>
      <w:r>
        <w:rPr>
          <w:rFonts w:ascii="宋体" w:hAnsi="宋体"/>
        </w:rPr>
      </w:r>
      <w:r/>
    </w:p>
    <w:p>
      <w:pPr>
        <w:pStyle w:val="1038"/>
        <w:ind w:firstLine="480"/>
        <w:spacing w:line="0" w:lineRule="atLeast"/>
        <w:rPr>
          <w:rFonts w:ascii="宋体" w:hAnsi="宋体"/>
          <w:sz w:val="24"/>
          <w:szCs w:val="24"/>
        </w:rPr>
      </w:pPr>
      <w:r>
        <w:rPr>
          <w:rFonts w:ascii="宋体" w:hAnsi="宋体"/>
          <w:sz w:val="24"/>
          <w:szCs w:val="24"/>
        </w:rPr>
        <w:t xml:space="preserve">采用综合评分法的，评标结果按评审后得分由高到低顺序排列。得分相同的，按投标报价由低到高顺序排列。得分且投标报价相同的并列。</w:t>
      </w:r>
      <w:r>
        <w:rPr>
          <w:rFonts w:ascii="宋体" w:hAnsi="宋体"/>
          <w:sz w:val="24"/>
          <w:szCs w:val="24"/>
        </w:rPr>
      </w:r>
      <w:r/>
    </w:p>
    <w:tbl>
      <w:tblPr>
        <w:tblW w:w="7083"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1038"/>
              <w:jc w:val="center"/>
              <w:rPr>
                <w:rFonts w:ascii="宋体" w:hAnsi="宋体"/>
              </w:rPr>
            </w:pPr>
            <w:r>
              <w:rPr>
                <w:rFonts w:hint="eastAsia" w:ascii="宋体" w:hAnsi="宋体"/>
              </w:rPr>
              <w:t xml:space="preserve">分包</w:t>
            </w:r>
            <w:r>
              <w:rPr>
                <w:rFonts w:ascii="宋体" w:hAnsi="宋体"/>
              </w:rPr>
              <w:t xml:space="preserve">号</w:t>
            </w:r>
            <w:r>
              <w:rPr>
                <w:rFonts w:ascii="宋体" w:hAnsi="宋体"/>
              </w:rPr>
            </w:r>
            <w:r/>
          </w:p>
        </w:tc>
        <w:tc>
          <w:tcPr>
            <w:tcW w:w="1610" w:type="dxa"/>
            <w:vAlign w:val="top"/>
            <w:textDirection w:val="lrTb"/>
            <w:noWrap w:val="false"/>
          </w:tcPr>
          <w:p>
            <w:pPr>
              <w:pStyle w:val="1038"/>
              <w:jc w:val="center"/>
              <w:rPr>
                <w:rFonts w:ascii="宋体" w:hAnsi="宋体"/>
              </w:rPr>
            </w:pPr>
            <w:r>
              <w:rPr>
                <w:rFonts w:hint="eastAsia" w:ascii="宋体" w:hAnsi="宋体"/>
              </w:rPr>
              <w:t xml:space="preserve">选取</w:t>
            </w:r>
            <w:r>
              <w:rPr>
                <w:rFonts w:ascii="宋体" w:hAnsi="宋体"/>
              </w:rPr>
              <w:t xml:space="preserve">中标候选人数量</w:t>
            </w:r>
            <w:r>
              <w:rPr>
                <w:rFonts w:ascii="宋体" w:hAnsi="宋体"/>
              </w:rPr>
            </w:r>
            <w:r/>
          </w:p>
        </w:tc>
        <w:tc>
          <w:tcPr>
            <w:tcW w:w="4325" w:type="dxa"/>
            <w:vAlign w:val="top"/>
            <w:textDirection w:val="lrTb"/>
            <w:noWrap w:val="false"/>
          </w:tcPr>
          <w:p>
            <w:pPr>
              <w:pStyle w:val="1038"/>
              <w:jc w:val="center"/>
              <w:rPr>
                <w:rFonts w:ascii="宋体" w:hAnsi="宋体"/>
              </w:rPr>
            </w:pPr>
            <w:r>
              <w:rPr>
                <w:rFonts w:hint="eastAsia" w:ascii="宋体" w:hAnsi="宋体"/>
              </w:rPr>
              <w:t xml:space="preserve">选取</w:t>
            </w:r>
            <w:r>
              <w:rPr>
                <w:rFonts w:ascii="宋体" w:hAnsi="宋体"/>
              </w:rPr>
              <w:t xml:space="preserve">中标候选人的原则</w:t>
            </w:r>
            <w:r>
              <w:rPr>
                <w:rFonts w:ascii="宋体" w:hAnsi="宋体"/>
              </w:rPr>
            </w:r>
            <w:r/>
          </w:p>
        </w:tc>
      </w:tr>
      <w:tr>
        <w:trPr/>
        <w:tc>
          <w:tcPr>
            <w:tcW w:w="1148" w:type="dxa"/>
            <w:vAlign w:val="top"/>
            <w:textDirection w:val="lrTb"/>
            <w:noWrap w:val="false"/>
          </w:tcPr>
          <w:p>
            <w:pPr>
              <w:pStyle w:val="1038"/>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1038"/>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1038"/>
              <w:jc w:val="left"/>
              <w:rPr>
                <w:rFonts w:ascii="宋体" w:hAnsi="宋体"/>
              </w:rPr>
            </w:pPr>
            <w:r>
              <w:rPr>
                <w:rFonts w:hint="eastAsia" w:ascii="宋体" w:hAnsi="宋体"/>
              </w:rPr>
              <w:t xml:space="preserve">满足招标文件全部实质性要求，且按照评审因素的量化指标评审得分最高的投标人为中标候选人。</w:t>
            </w:r>
            <w:r>
              <w:rPr>
                <w:rFonts w:ascii="宋体" w:hAnsi="宋体"/>
              </w:rPr>
            </w:r>
            <w:r/>
          </w:p>
        </w:tc>
      </w:tr>
    </w:tbl>
    <w:p>
      <w:pPr>
        <w:pStyle w:val="1360"/>
        <w:ind w:firstLine="441"/>
        <w:spacing w:line="0" w:lineRule="atLeast"/>
        <w:rPr>
          <w:rFonts w:ascii="宋体" w:hAnsi="宋体"/>
          <w:b/>
        </w:rPr>
      </w:pPr>
      <w:r>
        <w:rPr>
          <w:rFonts w:hint="eastAsia" w:ascii="宋体" w:hAnsi="宋体"/>
          <w:b/>
        </w:rPr>
        <w:t xml:space="preserve">政府采购政策功能落实</w:t>
      </w:r>
      <w:r>
        <w:rPr>
          <w:rFonts w:ascii="宋体" w:hAnsi="宋体"/>
          <w:b/>
        </w:rPr>
      </w:r>
      <w:r/>
    </w:p>
    <w:p>
      <w:pPr>
        <w:pStyle w:val="1360"/>
        <w:spacing w:line="0" w:lineRule="atLeast"/>
        <w:rPr>
          <w:rFonts w:ascii="宋体" w:hAnsi="宋体"/>
        </w:rPr>
      </w:pPr>
      <w:r>
        <w:rPr>
          <w:rFonts w:hint="eastAsia" w:ascii="宋体" w:hAnsi="宋体"/>
        </w:rPr>
        <w:t xml:space="preserve">1、小微型企业价格扣除</w:t>
      </w:r>
      <w:r>
        <w:rPr>
          <w:rFonts w:ascii="宋体" w:hAnsi="宋体"/>
        </w:rPr>
      </w:r>
      <w:r/>
    </w:p>
    <w:p>
      <w:pPr>
        <w:pStyle w:val="1360"/>
        <w:ind w:firstLine="360"/>
        <w:spacing w:line="0" w:lineRule="atLeas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ascii="宋体" w:hAnsi="宋体"/>
        </w:rPr>
      </w:r>
      <w:r/>
    </w:p>
    <w:p>
      <w:pPr>
        <w:pStyle w:val="1360"/>
        <w:ind w:firstLine="360"/>
        <w:spacing w:line="0" w:lineRule="atLeast"/>
        <w:rPr>
          <w:rFonts w:ascii="宋体" w:hAnsi="宋体"/>
        </w:rPr>
      </w:pPr>
      <w:r>
        <w:rPr>
          <w:rFonts w:hint="eastAsia" w:ascii="宋体" w:hAnsi="宋体"/>
        </w:rPr>
        <w:t xml:space="preserve">（2）供应商需按照采购文件的要求提供相应的《小微企业声明函》。</w:t>
      </w:r>
      <w:r>
        <w:rPr>
          <w:rFonts w:ascii="宋体" w:hAnsi="宋体"/>
        </w:rPr>
      </w:r>
      <w:r/>
    </w:p>
    <w:p>
      <w:pPr>
        <w:pStyle w:val="1360"/>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rPr>
          <w:rFonts w:ascii="宋体" w:hAnsi="宋体"/>
        </w:rPr>
      </w:r>
      <w:r/>
    </w:p>
    <w:p>
      <w:pPr>
        <w:pStyle w:val="1360"/>
        <w:spacing w:line="0" w:lineRule="atLeast"/>
        <w:rPr>
          <w:rFonts w:ascii="宋体" w:hAnsi="宋体"/>
        </w:rPr>
      </w:pPr>
      <w:r>
        <w:rPr>
          <w:rFonts w:hint="eastAsia" w:ascii="宋体" w:hAnsi="宋体"/>
        </w:rPr>
        <w:t xml:space="preserve">2、残疾人福利单位价格扣除</w:t>
      </w:r>
      <w:r>
        <w:rPr>
          <w:rFonts w:ascii="宋体" w:hAnsi="宋体"/>
        </w:rPr>
      </w:r>
      <w:r/>
    </w:p>
    <w:p>
      <w:pPr>
        <w:pStyle w:val="1360"/>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ascii="宋体" w:hAnsi="宋体"/>
        </w:rPr>
      </w:r>
      <w:r/>
    </w:p>
    <w:p>
      <w:pPr>
        <w:pStyle w:val="1360"/>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rPr>
          <w:rFonts w:ascii="宋体" w:hAnsi="宋体"/>
        </w:rPr>
      </w:r>
      <w:r/>
    </w:p>
    <w:p>
      <w:pPr>
        <w:pStyle w:val="1360"/>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rPr>
          <w:rFonts w:ascii="宋体" w:hAnsi="宋体"/>
        </w:rPr>
      </w:r>
      <w:r/>
    </w:p>
    <w:p>
      <w:pPr>
        <w:pStyle w:val="1360"/>
        <w:spacing w:line="0" w:lineRule="atLeast"/>
        <w:rPr>
          <w:rFonts w:ascii="宋体" w:hAnsi="宋体"/>
        </w:rPr>
      </w:pPr>
      <w:r>
        <w:rPr>
          <w:rFonts w:hint="eastAsia" w:ascii="宋体" w:hAnsi="宋体"/>
        </w:rPr>
        <w:t xml:space="preserve">3、监狱和戒毒企业价格扣除</w:t>
      </w:r>
      <w:r>
        <w:rPr>
          <w:rFonts w:ascii="宋体" w:hAnsi="宋体"/>
        </w:rPr>
      </w:r>
      <w:r/>
    </w:p>
    <w:p>
      <w:pPr>
        <w:pStyle w:val="1360"/>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ascii="宋体" w:hAnsi="宋体"/>
        </w:rPr>
      </w:r>
      <w:r/>
    </w:p>
    <w:p>
      <w:pPr>
        <w:pStyle w:val="1360"/>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rPr>
      </w:r>
      <w:r/>
    </w:p>
    <w:p>
      <w:pPr>
        <w:pStyle w:val="1360"/>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ascii="宋体" w:hAnsi="宋体"/>
        </w:rPr>
      </w:r>
      <w:r/>
    </w:p>
    <w:p>
      <w:pPr>
        <w:pStyle w:val="1360"/>
        <w:spacing w:line="400" w:lineRule="exact"/>
        <w:rPr>
          <w:rFonts w:ascii="宋体" w:hAnsi="宋体"/>
        </w:rPr>
      </w:pPr>
      <w:r>
        <w:rPr>
          <w:rFonts w:hint="eastAsia" w:ascii="宋体" w:hAnsi="宋体"/>
        </w:rPr>
        <w:t xml:space="preserve">4、残疾人福利单位、监狱企业属于小型、微型企业的，不重复享受政策。</w:t>
      </w:r>
      <w:r>
        <w:rPr>
          <w:rFonts w:ascii="宋体" w:hAnsi="宋体"/>
        </w:rPr>
      </w:r>
      <w:r/>
    </w:p>
    <w:p>
      <w:pPr>
        <w:pStyle w:val="1360"/>
        <w:spacing w:line="400" w:lineRule="exact"/>
        <w:rPr>
          <w:rFonts w:ascii="宋体" w:hAnsi="宋体"/>
          <w:b/>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ascii="宋体" w:hAnsi="宋体"/>
          <w:b/>
        </w:rPr>
      </w:r>
      <w:r/>
    </w:p>
    <w:p>
      <w:pPr>
        <w:pStyle w:val="1360"/>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ascii="宋体" w:hAnsi="宋体"/>
        </w:rPr>
      </w:r>
      <w:r/>
    </w:p>
    <w:p>
      <w:pPr>
        <w:pStyle w:val="1360"/>
        <w:spacing w:line="0" w:lineRule="atLeast"/>
        <w:rPr>
          <w:rFonts w:ascii="宋体" w:hAnsi="宋体"/>
          <w:b/>
        </w:rPr>
      </w:pPr>
      <w:r>
        <w:rPr>
          <w:rFonts w:hint="eastAsia" w:ascii="宋体" w:hAnsi="宋体"/>
          <w:b/>
        </w:rPr>
        <w:t xml:space="preserve">评标方法与评标标准</w:t>
      </w:r>
      <w:r>
        <w:rPr>
          <w:rFonts w:ascii="宋体" w:hAnsi="宋体"/>
          <w:b/>
        </w:rPr>
      </w:r>
      <w:r/>
    </w:p>
    <w:p>
      <w:pPr>
        <w:pStyle w:val="1038"/>
        <w:numPr>
          <w:ilvl w:val="1"/>
          <w:numId w:val="176"/>
        </w:numPr>
        <w:keepLines/>
        <w:keepNext/>
        <w:spacing w:after="160" w:line="360" w:lineRule="auto"/>
        <w:rPr>
          <w:rFonts w:ascii="宋体" w:hAnsi="宋体" w:cs="宋体"/>
          <w:b/>
          <w:bCs/>
          <w:sz w:val="24"/>
          <w:szCs w:val="24"/>
        </w:rPr>
        <w:outlineLvl w:val="1"/>
      </w:pPr>
      <w:r>
        <w:rPr>
          <w:rFonts w:hint="eastAsia" w:ascii="宋体" w:hAnsi="宋体" w:cs="宋体"/>
          <w:b/>
          <w:bCs/>
          <w:sz w:val="24"/>
          <w:szCs w:val="24"/>
        </w:rPr>
        <w:t xml:space="preserve">价格部分（10分）</w:t>
      </w:r>
      <w:r>
        <w:rPr>
          <w:rFonts w:ascii="宋体" w:hAnsi="宋体" w:cs="宋体"/>
          <w:b/>
          <w:bCs/>
          <w:sz w:val="24"/>
          <w:szCs w:val="24"/>
        </w:rPr>
      </w:r>
      <w:r/>
    </w:p>
    <w:tbl>
      <w:tblPr>
        <w:tblW w:w="91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2"/>
        <w:gridCol w:w="1125"/>
        <w:gridCol w:w="6696"/>
      </w:tblGrid>
      <w:tr>
        <w:trPr/>
        <w:tc>
          <w:tcPr>
            <w:tcW w:w="1352"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评分内容</w:t>
            </w:r>
            <w:r>
              <w:rPr>
                <w:rFonts w:ascii="宋体" w:hAnsi="宋体" w:cs="宋体"/>
                <w:sz w:val="24"/>
                <w:szCs w:val="24"/>
              </w:rPr>
            </w:r>
            <w:r/>
          </w:p>
        </w:tc>
        <w:tc>
          <w:tcPr>
            <w:tcW w:w="1125"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W w:w="6696"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评分标准</w:t>
            </w:r>
            <w:r>
              <w:rPr>
                <w:rFonts w:ascii="宋体" w:hAnsi="宋体" w:cs="宋体"/>
                <w:sz w:val="24"/>
                <w:szCs w:val="24"/>
              </w:rPr>
            </w:r>
            <w:r/>
          </w:p>
        </w:tc>
      </w:tr>
      <w:tr>
        <w:trPr/>
        <w:tc>
          <w:tcPr>
            <w:tcW w:w="1352"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投标报价</w:t>
            </w:r>
            <w:r>
              <w:rPr>
                <w:rFonts w:ascii="宋体" w:hAnsi="宋体" w:cs="宋体"/>
                <w:sz w:val="24"/>
                <w:szCs w:val="24"/>
              </w:rPr>
            </w:r>
            <w:r/>
          </w:p>
        </w:tc>
        <w:tc>
          <w:tcPr>
            <w:tcW w:w="1125"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6696"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价格分采用低价优先法计算，即满足招标文件要求且投标价格最低的投标报价为评标基准价，其价格分为满分。其他投标人的价格分统一按照下列公式计算：投标报价得分=(评标基准价／投标报价)×10（小数点保留两位）</w:t>
            </w:r>
            <w:r>
              <w:rPr>
                <w:rFonts w:ascii="宋体" w:hAnsi="宋体" w:cs="宋体"/>
                <w:sz w:val="24"/>
                <w:szCs w:val="24"/>
              </w:rPr>
            </w:r>
            <w:r/>
          </w:p>
        </w:tc>
      </w:tr>
    </w:tbl>
    <w:p>
      <w:pPr>
        <w:pStyle w:val="1038"/>
        <w:numPr>
          <w:ilvl w:val="1"/>
          <w:numId w:val="176"/>
        </w:numPr>
        <w:keepLines/>
        <w:keepNext/>
        <w:spacing w:after="160" w:line="360" w:lineRule="auto"/>
        <w:rPr>
          <w:rFonts w:ascii="宋体" w:hAnsi="宋体" w:cs="宋体"/>
          <w:b/>
          <w:bCs/>
          <w:sz w:val="24"/>
          <w:szCs w:val="24"/>
        </w:rPr>
        <w:outlineLvl w:val="1"/>
      </w:pPr>
      <w:r/>
      <w:bookmarkStart w:id="195" w:name="_Toc169700853"/>
      <w:r>
        <w:rPr>
          <w:rFonts w:hint="eastAsia" w:ascii="宋体" w:hAnsi="宋体" w:cs="宋体"/>
          <w:b/>
          <w:bCs/>
          <w:sz w:val="24"/>
          <w:szCs w:val="24"/>
        </w:rPr>
        <w:t xml:space="preserve">商务部分（23分）</w:t>
      </w:r>
      <w:bookmarkEnd w:id="195"/>
      <w:r>
        <w:rPr>
          <w:rFonts w:ascii="宋体" w:hAnsi="宋体" w:cs="宋体"/>
          <w:b/>
          <w:bCs/>
          <w:sz w:val="24"/>
          <w:szCs w:val="24"/>
        </w:rPr>
      </w:r>
      <w:r/>
    </w:p>
    <w:tbl>
      <w:tblPr>
        <w:tblW w:w="91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992"/>
        <w:gridCol w:w="6928"/>
      </w:tblGrid>
      <w:tr>
        <w:trPr/>
        <w:tc>
          <w:tcPr>
            <w:tcW w:w="1271"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评分内容</w:t>
            </w:r>
            <w:r>
              <w:rPr>
                <w:rFonts w:ascii="宋体" w:hAnsi="宋体" w:cs="宋体"/>
                <w:sz w:val="24"/>
                <w:szCs w:val="24"/>
              </w:rPr>
            </w:r>
            <w:r/>
          </w:p>
        </w:tc>
        <w:tc>
          <w:tcPr>
            <w:tcW w:w="992"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W w:w="6928"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评分标准</w:t>
            </w:r>
            <w:r>
              <w:rPr>
                <w:rFonts w:ascii="宋体" w:hAnsi="宋体" w:cs="宋体"/>
                <w:sz w:val="24"/>
                <w:szCs w:val="24"/>
              </w:rPr>
            </w:r>
            <w:r/>
          </w:p>
        </w:tc>
      </w:tr>
      <w:tr>
        <w:trPr>
          <w:trHeight w:val="8628"/>
        </w:trPr>
        <w:tc>
          <w:tcPr>
            <w:tcW w:w="1271"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人员配备</w:t>
            </w:r>
            <w:r>
              <w:rPr>
                <w:rFonts w:ascii="宋体" w:hAnsi="宋体" w:cs="宋体"/>
                <w:sz w:val="24"/>
                <w:szCs w:val="24"/>
              </w:rPr>
            </w:r>
            <w:r/>
          </w:p>
        </w:tc>
        <w:tc>
          <w:tcPr>
            <w:tcW w:w="992"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W w:w="6928" w:type="dxa"/>
            <w:vAlign w:val="top"/>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技术团队服务能力（9分）</w:t>
            </w:r>
            <w:r>
              <w:rPr>
                <w:rFonts w:ascii="宋体" w:hAnsi="宋体" w:cs="宋体"/>
                <w:sz w:val="24"/>
                <w:szCs w:val="24"/>
              </w:rPr>
            </w:r>
            <w:r/>
          </w:p>
          <w:p>
            <w:pPr>
              <w:pStyle w:val="1038"/>
              <w:spacing w:after="160" w:line="278" w:lineRule="auto"/>
              <w:rPr>
                <w:rFonts w:ascii="宋体" w:hAnsi="宋体" w:cs="宋体"/>
                <w:sz w:val="24"/>
                <w:szCs w:val="24"/>
              </w:rPr>
            </w:pPr>
            <w:r>
              <w:rPr>
                <w:rFonts w:hint="eastAsia" w:ascii="宋体" w:hAnsi="宋体" w:cs="宋体"/>
                <w:sz w:val="24"/>
                <w:szCs w:val="24"/>
              </w:rPr>
              <w:t xml:space="preserve">1、拟担任本项目经理专业素质、技术能力、专业分布、经验等情况进行评价。</w:t>
            </w:r>
            <w:r>
              <w:rPr>
                <w:rFonts w:ascii="宋体" w:hAnsi="宋体" w:cs="宋体"/>
                <w:sz w:val="24"/>
                <w:szCs w:val="24"/>
              </w:rPr>
            </w:r>
            <w:r/>
          </w:p>
          <w:p>
            <w:pPr>
              <w:pStyle w:val="1038"/>
              <w:spacing w:after="160" w:line="278"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1）项目经理具备信息系统项目管理师</w:t>
            </w:r>
            <w:r>
              <w:rPr>
                <w:rFonts w:hint="eastAsia" w:ascii="宋体" w:hAnsi="宋体" w:cs="宋体"/>
                <w:sz w:val="24"/>
                <w:szCs w:val="24"/>
              </w:rPr>
              <w:t xml:space="preserve">、系统分析师、信息系统架构设计师、数据库系统或信息系统管理工程师高级证书的，有一个得2</w:t>
            </w:r>
            <w:r>
              <w:rPr>
                <w:rFonts w:ascii="宋体" w:hAnsi="宋体" w:cs="宋体"/>
                <w:sz w:val="24"/>
                <w:szCs w:val="24"/>
              </w:rPr>
              <w:t xml:space="preserve">分</w:t>
            </w:r>
            <w:r>
              <w:rPr>
                <w:rFonts w:hint="eastAsia" w:ascii="宋体" w:hAnsi="宋体" w:cs="宋体"/>
                <w:sz w:val="24"/>
                <w:szCs w:val="24"/>
              </w:rPr>
              <w:t xml:space="preserve">，</w:t>
            </w:r>
            <w:r>
              <w:rPr>
                <w:rFonts w:ascii="宋体" w:hAnsi="宋体" w:cs="宋体"/>
                <w:sz w:val="24"/>
                <w:szCs w:val="24"/>
              </w:rPr>
              <w:t xml:space="preserve">本项最高得</w:t>
            </w:r>
            <w:r>
              <w:rPr>
                <w:rFonts w:hint="eastAsia" w:ascii="宋体" w:hAnsi="宋体" w:cs="宋体"/>
                <w:sz w:val="24"/>
                <w:szCs w:val="24"/>
              </w:rPr>
              <w:t xml:space="preserve">2</w:t>
            </w:r>
            <w:r>
              <w:rPr>
                <w:rFonts w:ascii="宋体" w:hAnsi="宋体" w:cs="宋体"/>
                <w:sz w:val="24"/>
                <w:szCs w:val="24"/>
              </w:rPr>
              <w:t xml:space="preserve">分。</w:t>
            </w:r>
            <w:r>
              <w:rPr>
                <w:rFonts w:ascii="宋体" w:hAnsi="宋体" w:cs="宋体"/>
                <w:sz w:val="24"/>
                <w:szCs w:val="24"/>
              </w:rPr>
            </w:r>
            <w:r/>
          </w:p>
          <w:p>
            <w:pPr>
              <w:pStyle w:val="1038"/>
              <w:spacing w:after="160" w:line="278"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）项目经理</w:t>
            </w:r>
            <w:r>
              <w:rPr>
                <w:rFonts w:ascii="宋体" w:hAnsi="宋体" w:cs="宋体"/>
                <w:sz w:val="24"/>
                <w:szCs w:val="24"/>
              </w:rPr>
              <w:t xml:space="preserve">具有医疗信息化建设类项目经验的，每提供一份相关工作证明文件得</w:t>
            </w:r>
            <w:r>
              <w:rPr>
                <w:rFonts w:hint="eastAsia" w:ascii="宋体" w:hAnsi="宋体" w:cs="宋体"/>
                <w:sz w:val="24"/>
                <w:szCs w:val="24"/>
              </w:rPr>
              <w:t xml:space="preserve">2</w:t>
            </w:r>
            <w:r>
              <w:rPr>
                <w:rFonts w:ascii="宋体" w:hAnsi="宋体" w:cs="宋体"/>
                <w:sz w:val="24"/>
                <w:szCs w:val="24"/>
              </w:rPr>
              <w:t xml:space="preserve">分，本项最高得</w:t>
            </w:r>
            <w:r>
              <w:rPr>
                <w:rFonts w:hint="eastAsia" w:ascii="宋体" w:hAnsi="宋体" w:cs="宋体"/>
                <w:sz w:val="24"/>
                <w:szCs w:val="24"/>
              </w:rPr>
              <w:t xml:space="preserve">4</w:t>
            </w:r>
            <w:r>
              <w:rPr>
                <w:rFonts w:ascii="宋体" w:hAnsi="宋体" w:cs="宋体"/>
                <w:sz w:val="24"/>
                <w:szCs w:val="24"/>
              </w:rPr>
              <w:t xml:space="preserve">分。</w:t>
            </w:r>
            <w:r>
              <w:rPr>
                <w:rFonts w:ascii="宋体" w:hAnsi="宋体" w:cs="宋体"/>
                <w:sz w:val="24"/>
                <w:szCs w:val="24"/>
              </w:rPr>
            </w:r>
            <w:r/>
          </w:p>
          <w:p>
            <w:pPr>
              <w:pStyle w:val="1038"/>
              <w:spacing w:after="160" w:line="278" w:lineRule="auto"/>
              <w:rPr>
                <w:rFonts w:ascii="宋体" w:hAnsi="宋体" w:cs="宋体"/>
                <w:sz w:val="24"/>
                <w:szCs w:val="24"/>
              </w:rPr>
            </w:pPr>
            <w:r>
              <w:rPr>
                <w:rFonts w:hint="eastAsia" w:ascii="宋体" w:hAnsi="宋体" w:cs="宋体"/>
                <w:sz w:val="24"/>
                <w:szCs w:val="24"/>
              </w:rPr>
              <w:t xml:space="preserve">注：本项须提供①项目经理曾参与建设的项目合同或项目验收报告，验收报告需体现项目经理姓名；②项目经理与投标单位（含其分支机构）签订的劳务合同扫描件；③近半年内任意一个月投标人（含其分支机构）为项目经理缴纳社保的证明文件。上述三项需同时满足，否则不得分。</w:t>
            </w:r>
            <w:r>
              <w:rPr>
                <w:rFonts w:ascii="宋体" w:hAnsi="宋体" w:cs="宋体"/>
                <w:sz w:val="24"/>
                <w:szCs w:val="24"/>
              </w:rPr>
            </w:r>
            <w:r/>
          </w:p>
          <w:p>
            <w:pPr>
              <w:pStyle w:val="1038"/>
              <w:spacing w:after="160" w:line="278" w:lineRule="auto"/>
              <w:rPr>
                <w:rFonts w:ascii="宋体" w:hAnsi="宋体" w:cs="宋体"/>
                <w:sz w:val="24"/>
                <w:szCs w:val="24"/>
              </w:rPr>
            </w:pPr>
            <w:r>
              <w:rPr>
                <w:rFonts w:ascii="宋体" w:hAnsi="宋体" w:cs="宋体"/>
                <w:sz w:val="24"/>
                <w:szCs w:val="24"/>
              </w:rPr>
              <w:t xml:space="preserve">2、项目组实施人员（项目经理除外）专业素质、技术能力、专业分布、经验等情况进行评价。项目实施人员中每有1人具有由</w:t>
            </w:r>
            <w:r>
              <w:rPr>
                <w:rFonts w:hint="eastAsia" w:ascii="宋体" w:hAnsi="宋体" w:cs="宋体"/>
                <w:sz w:val="24"/>
                <w:szCs w:val="24"/>
              </w:rPr>
              <w:t xml:space="preserve">软件设计师、网络工程师、数据库系统工程师、系统集成项目管理工程师、信息安全工程师或软件评测师中级证书的得</w:t>
            </w:r>
            <w:r>
              <w:rPr>
                <w:rFonts w:ascii="宋体" w:hAnsi="宋体" w:cs="宋体"/>
                <w:sz w:val="24"/>
                <w:szCs w:val="24"/>
              </w:rPr>
              <w:t xml:space="preserve">1分，本项最高得</w:t>
            </w:r>
            <w:r>
              <w:rPr>
                <w:rFonts w:hint="eastAsia" w:ascii="宋体" w:hAnsi="宋体" w:cs="宋体"/>
                <w:sz w:val="24"/>
                <w:szCs w:val="24"/>
              </w:rPr>
              <w:t xml:space="preserve">3</w:t>
            </w:r>
            <w:r>
              <w:rPr>
                <w:rFonts w:ascii="宋体" w:hAnsi="宋体" w:cs="宋体"/>
                <w:sz w:val="24"/>
                <w:szCs w:val="24"/>
              </w:rPr>
              <w:t xml:space="preserve">分。注：需提供相关证书、投标人（含其分支机构）和项目组实施人员签订的劳务合同扫描件及近半年内任意一个月投标人（含分支机构）为实施人员缴纳社保的证明文件。</w:t>
            </w:r>
            <w:r>
              <w:rPr>
                <w:rFonts w:ascii="宋体" w:hAnsi="宋体" w:cs="宋体"/>
                <w:sz w:val="24"/>
                <w:szCs w:val="24"/>
              </w:rPr>
            </w:r>
            <w:r/>
          </w:p>
        </w:tc>
      </w:tr>
      <w:tr>
        <w:trPr>
          <w:trHeight w:val="733"/>
        </w:trPr>
        <w:tc>
          <w:tcPr>
            <w:tcW w:w="1271"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公司实力</w:t>
            </w:r>
            <w:r>
              <w:rPr>
                <w:rFonts w:ascii="宋体" w:hAnsi="宋体" w:cs="宋体"/>
                <w:sz w:val="24"/>
                <w:szCs w:val="24"/>
              </w:rPr>
            </w:r>
            <w:r/>
          </w:p>
        </w:tc>
        <w:tc>
          <w:tcPr>
            <w:tcW w:w="992"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6928" w:type="dxa"/>
            <w:vAlign w:val="top"/>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投标人具有ISO9001质量管理体系认证、ISO20000信息技术服务管理体系认证、ISO27001信息安全管理体系认证，每提供一个计2分，最高计6分。</w:t>
            </w:r>
            <w:r>
              <w:rPr>
                <w:rFonts w:ascii="宋体" w:hAnsi="宋体" w:cs="宋体"/>
                <w:sz w:val="24"/>
                <w:szCs w:val="24"/>
              </w:rPr>
            </w:r>
            <w:r/>
          </w:p>
          <w:p>
            <w:pPr>
              <w:pStyle w:val="1038"/>
              <w:spacing w:after="160" w:line="278" w:lineRule="auto"/>
              <w:rPr>
                <w:rFonts w:ascii="宋体" w:hAnsi="宋体" w:cs="宋体"/>
                <w:sz w:val="24"/>
                <w:szCs w:val="24"/>
              </w:rPr>
            </w:pPr>
            <w:r>
              <w:rPr>
                <w:rFonts w:hint="eastAsia" w:ascii="宋体" w:hAnsi="宋体" w:cs="宋体"/>
                <w:sz w:val="24"/>
                <w:szCs w:val="24"/>
              </w:rPr>
              <w:t xml:space="preserve">注：须提供有效期内的证书扫描件，如处于换证期内的证书，则需提供颁发机构出具的换证证明，否则不得分。</w:t>
            </w:r>
            <w:r>
              <w:rPr>
                <w:rFonts w:ascii="宋体" w:hAnsi="宋体" w:cs="宋体"/>
                <w:sz w:val="24"/>
                <w:szCs w:val="24"/>
              </w:rPr>
            </w:r>
            <w:r/>
          </w:p>
        </w:tc>
      </w:tr>
      <w:tr>
        <w:trPr/>
        <w:tc>
          <w:tcPr>
            <w:tcW w:w="1271"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业绩</w:t>
            </w:r>
            <w:r>
              <w:rPr>
                <w:rFonts w:ascii="宋体" w:hAnsi="宋体" w:cs="宋体"/>
                <w:sz w:val="24"/>
                <w:szCs w:val="24"/>
              </w:rPr>
            </w:r>
            <w:r/>
          </w:p>
        </w:tc>
        <w:tc>
          <w:tcPr>
            <w:tcW w:w="992"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6928" w:type="dxa"/>
            <w:vAlign w:val="top"/>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投标人需提供2022年1月1日以来（以合同签订时间为准）信息化建设相关证明，每提供一个计1分，最高计5分。（提供相关合同扫描件）</w:t>
            </w:r>
            <w:r>
              <w:rPr>
                <w:rFonts w:ascii="宋体" w:hAnsi="宋体" w:cs="宋体"/>
                <w:sz w:val="24"/>
                <w:szCs w:val="24"/>
              </w:rPr>
            </w:r>
            <w:r/>
          </w:p>
          <w:p>
            <w:pPr>
              <w:pStyle w:val="1038"/>
              <w:spacing w:after="160" w:line="278" w:lineRule="auto"/>
              <w:rPr>
                <w:rFonts w:ascii="宋体" w:hAnsi="宋体" w:cs="宋体"/>
                <w:sz w:val="24"/>
                <w:szCs w:val="24"/>
              </w:rPr>
            </w:pPr>
            <w:r>
              <w:rPr>
                <w:rFonts w:hint="eastAsia" w:ascii="宋体" w:hAnsi="宋体" w:cs="宋体"/>
                <w:sz w:val="24"/>
                <w:szCs w:val="24"/>
              </w:rPr>
              <w:t xml:space="preserve">注∶须提供合同扫描件并加盖投标人公章，合同未注明时间的，不予计分。同一项目合同不重复计分，同一客户合同不重复计分，需提供合同复印件，否则不予计分。</w:t>
            </w:r>
            <w:r>
              <w:rPr>
                <w:rFonts w:ascii="宋体" w:hAnsi="宋体" w:cs="宋体"/>
                <w:sz w:val="24"/>
                <w:szCs w:val="24"/>
              </w:rPr>
            </w:r>
            <w:r/>
          </w:p>
        </w:tc>
      </w:tr>
      <w:tr>
        <w:trPr/>
        <w:tc>
          <w:tcPr>
            <w:tcW w:w="1271"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研发能力</w:t>
            </w:r>
            <w:r>
              <w:rPr>
                <w:rFonts w:ascii="宋体" w:hAnsi="宋体" w:cs="宋体"/>
                <w:sz w:val="24"/>
                <w:szCs w:val="24"/>
              </w:rPr>
            </w:r>
            <w:r/>
          </w:p>
        </w:tc>
        <w:tc>
          <w:tcPr>
            <w:tcW w:w="992"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6928" w:type="dxa"/>
            <w:vAlign w:val="top"/>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投标人每提供一个以下关键字相关的计算机软件著作权或专利登记证书得1分，最高分3分。包括：</w:t>
            </w:r>
            <w:r>
              <w:rPr>
                <w:rFonts w:hint="eastAsia" w:ascii="宋体" w:hAnsi="宋体"/>
                <w:sz w:val="24"/>
                <w:szCs w:val="24"/>
              </w:rPr>
              <w:t xml:space="preserve">数据中心、医疗质量管理、健康管理</w:t>
            </w:r>
            <w:r>
              <w:rPr>
                <w:rFonts w:hint="eastAsia" w:ascii="宋体" w:hAnsi="宋体" w:cs="宋体"/>
                <w:sz w:val="24"/>
                <w:szCs w:val="24"/>
              </w:rPr>
              <w:t xml:space="preserve">。</w:t>
            </w:r>
            <w:r>
              <w:rPr>
                <w:rFonts w:hint="eastAsia" w:ascii="宋体" w:hAnsi="宋体" w:cs="宋体"/>
                <w:sz w:val="24"/>
                <w:szCs w:val="24"/>
              </w:rPr>
              <w:t xml:space="preserve">（提供证书复印件并加盖公章；如投标文件中提供的著作权名称表述与招标文件描述的关键字样不一致，而该投标文件中能证明投标人拥有的软件著作权具有相同或相似功能和效果，且评标委员会认可的，视同符合要求。）</w:t>
            </w:r>
            <w:r>
              <w:rPr>
                <w:rFonts w:ascii="宋体" w:hAnsi="宋体" w:cs="宋体"/>
                <w:sz w:val="24"/>
                <w:szCs w:val="24"/>
              </w:rPr>
            </w:r>
            <w:r/>
          </w:p>
        </w:tc>
      </w:tr>
    </w:tbl>
    <w:p>
      <w:pPr>
        <w:pStyle w:val="1038"/>
        <w:numPr>
          <w:ilvl w:val="1"/>
          <w:numId w:val="176"/>
        </w:numPr>
        <w:keepLines/>
        <w:keepNext/>
        <w:spacing w:after="160" w:line="360" w:lineRule="auto"/>
        <w:rPr>
          <w:rFonts w:ascii="宋体" w:hAnsi="宋体" w:cs="宋体"/>
          <w:b/>
          <w:bCs/>
          <w:sz w:val="24"/>
          <w:szCs w:val="24"/>
        </w:rPr>
        <w:outlineLvl w:val="1"/>
      </w:pPr>
      <w:r/>
      <w:bookmarkStart w:id="196" w:name="_Toc169700854"/>
      <w:r>
        <w:rPr>
          <w:rFonts w:hint="eastAsia" w:ascii="宋体" w:hAnsi="宋体" w:cs="宋体"/>
          <w:b/>
          <w:bCs/>
          <w:sz w:val="24"/>
          <w:szCs w:val="24"/>
        </w:rPr>
        <w:t xml:space="preserve">技术部分（67分）</w:t>
      </w:r>
      <w:bookmarkEnd w:id="196"/>
      <w:r>
        <w:rPr>
          <w:rFonts w:ascii="宋体" w:hAnsi="宋体" w:cs="宋体"/>
          <w:b/>
          <w:bCs/>
          <w:sz w:val="24"/>
          <w:szCs w:val="24"/>
        </w:rPr>
      </w:r>
      <w:r/>
    </w:p>
    <w:tbl>
      <w:tblPr>
        <w:tblW w:w="90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992"/>
        <w:gridCol w:w="6823"/>
      </w:tblGrid>
      <w:tr>
        <w:trPr/>
        <w:tc>
          <w:tcPr>
            <w:tcW w:w="1271"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评分内容</w:t>
            </w:r>
            <w:r>
              <w:rPr>
                <w:rFonts w:ascii="宋体" w:hAnsi="宋体" w:cs="宋体"/>
                <w:sz w:val="24"/>
                <w:szCs w:val="24"/>
              </w:rPr>
            </w:r>
            <w:r/>
          </w:p>
        </w:tc>
        <w:tc>
          <w:tcPr>
            <w:tcW w:w="992"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W w:w="6823"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评分标准</w:t>
            </w:r>
            <w:r>
              <w:rPr>
                <w:rFonts w:ascii="宋体" w:hAnsi="宋体" w:cs="宋体"/>
                <w:sz w:val="24"/>
                <w:szCs w:val="24"/>
              </w:rPr>
            </w:r>
            <w:r/>
          </w:p>
        </w:tc>
      </w:tr>
      <w:tr>
        <w:trPr/>
        <w:tc>
          <w:tcPr>
            <w:tcW w:w="1271"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技术指标响应</w:t>
            </w:r>
            <w:r>
              <w:rPr>
                <w:rFonts w:ascii="宋体" w:hAnsi="宋体" w:cs="宋体"/>
                <w:sz w:val="24"/>
                <w:szCs w:val="24"/>
              </w:rPr>
            </w:r>
            <w:r/>
          </w:p>
        </w:tc>
        <w:tc>
          <w:tcPr>
            <w:tcW w:w="992"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r>
            <w:r/>
          </w:p>
        </w:tc>
        <w:tc>
          <w:tcPr>
            <w:tcW w:w="6823"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技术要求中打“▲”号条款为重要技术条款，投标人需提供相关系统功能截图证明。投标人未完全满足的，每一项重要技术条款扣2分。本项总分32分，根据投标人响应情况进行扣分，扣完为止。</w:t>
            </w:r>
            <w:r>
              <w:rPr>
                <w:rFonts w:ascii="宋体" w:hAnsi="宋体" w:cs="宋体"/>
                <w:sz w:val="24"/>
                <w:szCs w:val="24"/>
              </w:rPr>
            </w:r>
            <w:r/>
          </w:p>
        </w:tc>
      </w:tr>
      <w:tr>
        <w:trPr/>
        <w:tc>
          <w:tcPr>
            <w:tcW w:w="1271"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项目实施方案</w:t>
            </w:r>
            <w:r>
              <w:rPr>
                <w:rFonts w:ascii="宋体" w:hAnsi="宋体" w:cs="宋体"/>
                <w:sz w:val="24"/>
                <w:szCs w:val="24"/>
              </w:rPr>
            </w:r>
            <w:r/>
          </w:p>
        </w:tc>
        <w:tc>
          <w:tcPr>
            <w:tcW w:w="992"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6823"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投标人根据招标文件要求提供总体实施方案，投标人提供的方案优于招标文件要求的得5分，符合招标文件要求的得3分，不符合或不提供不得分。</w:t>
            </w:r>
            <w:r>
              <w:rPr>
                <w:rFonts w:ascii="宋体" w:hAnsi="宋体" w:cs="宋体"/>
                <w:sz w:val="24"/>
                <w:szCs w:val="24"/>
              </w:rPr>
            </w:r>
            <w:r/>
          </w:p>
        </w:tc>
      </w:tr>
      <w:tr>
        <w:trPr/>
        <w:tc>
          <w:tcPr>
            <w:tcW w:w="1271"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质量管理方案</w:t>
            </w:r>
            <w:r>
              <w:rPr>
                <w:rFonts w:ascii="宋体" w:hAnsi="宋体" w:cs="宋体"/>
                <w:sz w:val="24"/>
                <w:szCs w:val="24"/>
              </w:rPr>
            </w:r>
            <w:r/>
          </w:p>
        </w:tc>
        <w:tc>
          <w:tcPr>
            <w:tcW w:w="992"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6823"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投标人根据招标文件要求提供质量管理方案，投标人提供的方案优于招标文件要求的得5分，符合招标文件要求的得3分，不符合或不提供不得分。</w:t>
            </w:r>
            <w:r>
              <w:rPr>
                <w:rFonts w:ascii="宋体" w:hAnsi="宋体" w:cs="宋体"/>
                <w:sz w:val="24"/>
                <w:szCs w:val="24"/>
              </w:rPr>
            </w:r>
            <w:r/>
          </w:p>
        </w:tc>
      </w:tr>
      <w:tr>
        <w:trPr/>
        <w:tc>
          <w:tcPr>
            <w:tcW w:w="1271"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测试管理方案</w:t>
            </w:r>
            <w:r>
              <w:rPr>
                <w:rFonts w:ascii="宋体" w:hAnsi="宋体" w:cs="宋体"/>
                <w:sz w:val="24"/>
                <w:szCs w:val="24"/>
              </w:rPr>
            </w:r>
            <w:r/>
          </w:p>
        </w:tc>
        <w:tc>
          <w:tcPr>
            <w:tcW w:w="992"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6823"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投标人根据招标文件要求提供测试管理方案，投标人提供的方案优于招标文件要求的得5分，符合招标文件要求的得3分，不符合或不提供不得分。</w:t>
            </w:r>
            <w:r>
              <w:rPr>
                <w:rFonts w:ascii="宋体" w:hAnsi="宋体" w:cs="宋体"/>
                <w:sz w:val="24"/>
                <w:szCs w:val="24"/>
              </w:rPr>
            </w:r>
            <w:r/>
          </w:p>
        </w:tc>
      </w:tr>
      <w:tr>
        <w:trPr>
          <w:trHeight w:val="482"/>
        </w:trPr>
        <w:tc>
          <w:tcPr>
            <w:tcW w:w="1271"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项目培训方案</w:t>
            </w:r>
            <w:r>
              <w:rPr>
                <w:rFonts w:ascii="宋体" w:hAnsi="宋体" w:cs="宋体"/>
                <w:sz w:val="24"/>
                <w:szCs w:val="24"/>
              </w:rPr>
            </w:r>
            <w:r/>
          </w:p>
        </w:tc>
        <w:tc>
          <w:tcPr>
            <w:tcW w:w="992"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6823"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投标人根据招标文件要求提供培训方案，投标人提供的方案优于招标文件要求的得5分，符合招标文件要求的得3分，不符合或不提供不得分。</w:t>
            </w:r>
            <w:r>
              <w:rPr>
                <w:rFonts w:ascii="宋体" w:hAnsi="宋体" w:cs="宋体"/>
                <w:sz w:val="24"/>
                <w:szCs w:val="24"/>
              </w:rPr>
            </w:r>
            <w:r/>
          </w:p>
        </w:tc>
      </w:tr>
      <w:tr>
        <w:trPr/>
        <w:tc>
          <w:tcPr>
            <w:tcW w:w="1271"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售后服务方案</w:t>
            </w:r>
            <w:r>
              <w:rPr>
                <w:rFonts w:ascii="宋体" w:hAnsi="宋体" w:cs="宋体"/>
                <w:sz w:val="24"/>
                <w:szCs w:val="24"/>
              </w:rPr>
            </w:r>
            <w:r/>
          </w:p>
        </w:tc>
        <w:tc>
          <w:tcPr>
            <w:tcW w:w="992"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6823"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投标人根据招标文件要求提供售后服务方案，投标人提供的方案优于招标文件要求的得5分，符合招标文件要求的得3分，不符合或不提供不得分。</w:t>
            </w:r>
            <w:r>
              <w:rPr>
                <w:rFonts w:ascii="宋体" w:hAnsi="宋体" w:cs="宋体"/>
                <w:sz w:val="24"/>
                <w:szCs w:val="24"/>
              </w:rPr>
            </w:r>
            <w:r/>
          </w:p>
        </w:tc>
      </w:tr>
      <w:tr>
        <w:trPr/>
        <w:tc>
          <w:tcPr>
            <w:tcW w:w="1271"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系统演示</w:t>
            </w:r>
            <w:r>
              <w:rPr>
                <w:rFonts w:ascii="宋体" w:hAnsi="宋体" w:cs="宋体"/>
                <w:sz w:val="24"/>
                <w:szCs w:val="24"/>
              </w:rPr>
            </w:r>
            <w:r/>
          </w:p>
        </w:tc>
        <w:tc>
          <w:tcPr>
            <w:tcW w:w="992"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6823" w:type="dxa"/>
            <w:vAlign w:val="center"/>
            <w:textDirection w:val="lrTb"/>
            <w:noWrap w:val="false"/>
          </w:tcPr>
          <w:p>
            <w:pPr>
              <w:pStyle w:val="1038"/>
              <w:spacing w:after="160" w:line="278" w:lineRule="auto"/>
              <w:rPr>
                <w:rFonts w:ascii="宋体" w:hAnsi="宋体" w:cs="宋体"/>
                <w:sz w:val="24"/>
                <w:szCs w:val="24"/>
              </w:rPr>
            </w:pPr>
            <w:r>
              <w:rPr>
                <w:rFonts w:hint="eastAsia" w:ascii="宋体" w:hAnsi="宋体" w:cs="宋体"/>
                <w:sz w:val="24"/>
                <w:szCs w:val="24"/>
              </w:rPr>
              <w:t xml:space="preserve">投标人需按照招标文件规定的演示内容制作演示视频文件，视频文件的格式为*.mp4或*.avi，投标人须将视频文件分段压缩为*.zip文件上传（单个文件不得大于50M，所有文件总共不得大于300M）。视频时长总计不超过10分钟。每项功能能够完全满足招标要求得2分，不能完全满足则不得分，演示中的分最高10分。使用真实系统或系统原型演示的最高可得满分，使用ppt、动画等其他形式演示的得分乘以0.5。</w:t>
            </w:r>
            <w:r>
              <w:rPr>
                <w:rFonts w:ascii="宋体" w:hAnsi="宋体" w:cs="宋体"/>
                <w:sz w:val="24"/>
                <w:szCs w:val="24"/>
              </w:rPr>
            </w:r>
            <w:r/>
          </w:p>
          <w:p>
            <w:pPr>
              <w:pStyle w:val="1038"/>
              <w:spacing w:after="160" w:line="278" w:lineRule="auto"/>
              <w:rPr>
                <w:rFonts w:ascii="宋体" w:hAnsi="宋体" w:cs="宋体"/>
                <w:sz w:val="24"/>
                <w:szCs w:val="24"/>
              </w:rPr>
            </w:pPr>
            <w:r>
              <w:rPr>
                <w:rFonts w:hint="eastAsia" w:ascii="宋体" w:hAnsi="宋体" w:cs="宋体"/>
                <w:sz w:val="24"/>
                <w:szCs w:val="24"/>
              </w:rPr>
              <w:t xml:space="preserve">演示内容如下：</w:t>
            </w:r>
            <w:r>
              <w:rPr>
                <w:rFonts w:ascii="宋体" w:hAnsi="宋体" w:cs="宋体"/>
                <w:sz w:val="24"/>
                <w:szCs w:val="24"/>
              </w:rPr>
            </w:r>
            <w:r/>
          </w:p>
          <w:p>
            <w:pPr>
              <w:pStyle w:val="1038"/>
              <w:spacing w:after="160" w:line="278" w:lineRule="auto"/>
              <w:rPr>
                <w:rFonts w:ascii="宋体" w:hAnsi="宋体" w:cs="宋体"/>
                <w:sz w:val="24"/>
                <w:szCs w:val="24"/>
              </w:rPr>
            </w:pPr>
            <w:r>
              <w:rPr>
                <w:rFonts w:hint="eastAsia" w:ascii="宋体" w:hAnsi="宋体" w:cs="宋体"/>
                <w:sz w:val="24"/>
                <w:szCs w:val="24"/>
              </w:rPr>
              <w:t xml:space="preserve">（1）数据治理：支持提供可视化的数据质量评估工具，支持自定义数据质控脚本，通过脚本执行质控规则，对不同数据集数据进行数据质量比对，进行数据质量结果的呈现；</w:t>
            </w:r>
            <w:r>
              <w:rPr>
                <w:rFonts w:ascii="宋体" w:hAnsi="宋体" w:cs="宋体"/>
                <w:sz w:val="24"/>
                <w:szCs w:val="24"/>
              </w:rPr>
            </w:r>
            <w:r/>
          </w:p>
          <w:p>
            <w:pPr>
              <w:pStyle w:val="1038"/>
              <w:spacing w:after="160" w:line="278" w:lineRule="auto"/>
              <w:rPr>
                <w:rFonts w:ascii="宋体" w:hAnsi="宋体" w:cs="宋体"/>
                <w:sz w:val="24"/>
                <w:szCs w:val="24"/>
              </w:rPr>
            </w:pPr>
            <w:r>
              <w:rPr>
                <w:rFonts w:hint="eastAsia" w:ascii="宋体" w:hAnsi="宋体" w:cs="宋体"/>
                <w:sz w:val="24"/>
                <w:szCs w:val="24"/>
              </w:rPr>
              <w:t xml:space="preserve">（2）RAG知识库配置服务：支持对知识库检索的相关组件内的搜索参数进行配置，通过选择对应知识库，实现通过对话模式对知识库内容进行访问和快速检索；</w:t>
            </w:r>
            <w:r>
              <w:rPr>
                <w:rFonts w:ascii="宋体" w:hAnsi="宋体" w:cs="宋体"/>
                <w:sz w:val="24"/>
                <w:szCs w:val="24"/>
              </w:rPr>
            </w:r>
            <w:r/>
          </w:p>
          <w:p>
            <w:pPr>
              <w:pStyle w:val="1038"/>
              <w:spacing w:after="160" w:line="278" w:lineRule="auto"/>
              <w:rPr>
                <w:rFonts w:ascii="宋体" w:hAnsi="宋体" w:cs="宋体"/>
                <w:sz w:val="24"/>
                <w:szCs w:val="24"/>
              </w:rPr>
            </w:pPr>
            <w:r>
              <w:rPr>
                <w:rFonts w:hint="eastAsia" w:ascii="宋体" w:hAnsi="宋体" w:cs="宋体"/>
                <w:sz w:val="24"/>
                <w:szCs w:val="24"/>
              </w:rPr>
              <w:t xml:space="preserve">（3）专病模型管理：支持多种数据源的选择，通过编辑数据实体之间的关系，自定义配置数据模型的同步服务，并通过分步作业的模式进行数据同步服务；</w:t>
            </w:r>
            <w:r>
              <w:rPr>
                <w:rFonts w:ascii="宋体" w:hAnsi="宋体" w:cs="宋体"/>
                <w:sz w:val="24"/>
                <w:szCs w:val="24"/>
              </w:rPr>
            </w:r>
            <w:r/>
          </w:p>
          <w:p>
            <w:pPr>
              <w:pStyle w:val="1038"/>
              <w:spacing w:after="160" w:line="278" w:lineRule="auto"/>
              <w:rPr>
                <w:rFonts w:ascii="宋体" w:hAnsi="宋体" w:cs="宋体"/>
                <w:sz w:val="24"/>
                <w:szCs w:val="24"/>
              </w:rPr>
            </w:pPr>
            <w:r>
              <w:rPr>
                <w:rFonts w:hint="eastAsia" w:ascii="宋体" w:hAnsi="宋体" w:cs="宋体"/>
                <w:sz w:val="24"/>
                <w:szCs w:val="24"/>
              </w:rPr>
              <w:t xml:space="preserve">（4）数据检索服务：支持通过对话方式快速检索对应信息，如输入“提供宫颈癌患者清单”，系统识别用户意图，进行向量检索。提供满足检索要求的患者基础数据，包括脱敏后的患者基本信息、患者年龄、患者性别、患者唯一标识号；</w:t>
            </w:r>
            <w:r>
              <w:rPr>
                <w:rFonts w:ascii="宋体" w:hAnsi="宋体" w:cs="宋体"/>
                <w:sz w:val="24"/>
                <w:szCs w:val="24"/>
              </w:rPr>
            </w:r>
            <w:r/>
          </w:p>
          <w:p>
            <w:pPr>
              <w:pStyle w:val="1038"/>
              <w:spacing w:after="160" w:line="278" w:lineRule="auto"/>
              <w:rPr>
                <w:rFonts w:ascii="宋体" w:hAnsi="宋体" w:cs="宋体"/>
                <w:sz w:val="24"/>
                <w:szCs w:val="24"/>
              </w:rPr>
            </w:pPr>
            <w:r>
              <w:rPr>
                <w:rFonts w:hint="eastAsia" w:ascii="宋体" w:hAnsi="宋体" w:cs="宋体"/>
                <w:sz w:val="24"/>
                <w:szCs w:val="24"/>
              </w:rPr>
              <w:t xml:space="preserve">（5）质控标准与指标管理：支持动态报表配置功能，使用类似Excel编辑界面展示质控数据，支持通过单元格编辑表头，通过对单元格内容进行公示配置，实现单元格内展示内容的批量编辑，并通过单元格进行报表下钻。</w:t>
            </w:r>
            <w:r>
              <w:rPr>
                <w:rFonts w:ascii="宋体" w:hAnsi="宋体" w:cs="宋体"/>
                <w:sz w:val="24"/>
                <w:szCs w:val="24"/>
              </w:rPr>
            </w:r>
            <w:r/>
          </w:p>
        </w:tc>
      </w:tr>
    </w:tbl>
    <w:p>
      <w:pPr>
        <w:pStyle w:val="1051"/>
        <w:ind w:firstLine="0"/>
      </w:pPr>
      <w:r/>
      <w:r/>
    </w:p>
    <w:p>
      <w:pPr>
        <w:pStyle w:val="1038"/>
      </w:pPr>
      <w:r>
        <w:rPr>
          <w:rFonts w:hint="eastAsia" w:ascii="宋体" w:hAnsi="宋体" w:cs="宋体"/>
          <w:sz w:val="24"/>
          <w:szCs w:val="24"/>
        </w:rPr>
        <w:br w:type="page" w:clear="all"/>
      </w:r>
      <w:r/>
    </w:p>
    <w:p>
      <w:pPr>
        <w:pStyle w:val="1283"/>
        <w:rPr>
          <w:rFonts w:ascii="宋体" w:hAnsi="宋体" w:eastAsia="宋体"/>
          <w:bCs/>
          <w:sz w:val="44"/>
        </w:rPr>
      </w:pPr>
      <w:r>
        <w:rPr>
          <w:rFonts w:hint="eastAsia" w:ascii="宋体" w:hAnsi="宋体" w:eastAsia="宋体"/>
          <w:bCs/>
          <w:sz w:val="44"/>
        </w:rPr>
        <w:t xml:space="preserve">第六章  投标</w:t>
      </w:r>
      <w:bookmarkEnd w:id="192"/>
      <w:r/>
      <w:bookmarkEnd w:id="193"/>
      <w:r/>
      <w:bookmarkEnd w:id="194"/>
      <w:r>
        <w:rPr>
          <w:rFonts w:hint="eastAsia" w:ascii="宋体" w:hAnsi="宋体" w:eastAsia="宋体"/>
          <w:bCs/>
          <w:sz w:val="44"/>
        </w:rPr>
        <w:t xml:space="preserve">文件格式 </w:t>
      </w:r>
      <w:r>
        <w:rPr>
          <w:rFonts w:ascii="宋体" w:hAnsi="宋体" w:eastAsia="宋体"/>
          <w:bCs/>
          <w:sz w:val="44"/>
        </w:rPr>
      </w:r>
      <w:r/>
    </w:p>
    <w:p>
      <w:pPr>
        <w:pStyle w:val="1038"/>
        <w:jc w:val="center"/>
        <w:rPr>
          <w:rFonts w:ascii="宋体" w:hAnsi="宋体"/>
          <w:b/>
          <w:sz w:val="72"/>
        </w:rPr>
      </w:pPr>
      <w:r/>
      <w:bookmarkStart w:id="197" w:name="_Hlt26955039"/>
      <w:r/>
      <w:bookmarkEnd w:id="197"/>
      <w:r/>
      <w:bookmarkStart w:id="198" w:name="_Hlt26671244"/>
      <w:r/>
      <w:bookmarkEnd w:id="198"/>
      <w:r/>
      <w:bookmarkStart w:id="199" w:name="_Toc26554094"/>
      <w:r/>
      <w:bookmarkStart w:id="200" w:name="_Toc49090576"/>
      <w:r/>
      <w:bookmarkStart w:id="201" w:name="_Toc120614282"/>
      <w:r>
        <w:rPr>
          <w:rFonts w:ascii="宋体" w:hAnsi="宋体"/>
          <w:b/>
          <w:sz w:val="72"/>
        </w:rPr>
      </w:r>
      <w:r/>
    </w:p>
    <w:p>
      <w:pPr>
        <w:pStyle w:val="1038"/>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1038"/>
        <w:jc w:val="center"/>
        <w:rPr>
          <w:rFonts w:ascii="宋体" w:hAnsi="宋体"/>
          <w:b/>
          <w:sz w:val="72"/>
        </w:rPr>
      </w:pPr>
      <w:r>
        <w:rPr>
          <w:rFonts w:ascii="宋体" w:hAnsi="宋体"/>
          <w:b/>
          <w:sz w:val="72"/>
        </w:rPr>
      </w:r>
      <w:r/>
    </w:p>
    <w:p>
      <w:pPr>
        <w:pStyle w:val="1038"/>
        <w:jc w:val="center"/>
        <w:rPr>
          <w:rFonts w:ascii="宋体" w:hAnsi="宋体"/>
          <w:b/>
          <w:sz w:val="72"/>
        </w:rPr>
      </w:pPr>
      <w:r>
        <w:rPr>
          <w:rFonts w:ascii="宋体" w:hAnsi="宋体"/>
          <w:b/>
          <w:sz w:val="72"/>
        </w:rPr>
      </w:r>
      <w:r/>
    </w:p>
    <w:p>
      <w:pPr>
        <w:pStyle w:val="1038"/>
        <w:jc w:val="center"/>
        <w:rPr>
          <w:rFonts w:ascii="宋体" w:hAnsi="宋体"/>
          <w:b/>
          <w:sz w:val="36"/>
        </w:rPr>
      </w:pPr>
      <w:r>
        <w:rPr>
          <w:rFonts w:ascii="宋体" w:hAnsi="宋体"/>
          <w:b/>
          <w:sz w:val="36"/>
        </w:rPr>
      </w:r>
      <w:r/>
    </w:p>
    <w:p>
      <w:pPr>
        <w:pStyle w:val="1038"/>
        <w:jc w:val="center"/>
        <w:rPr>
          <w:rFonts w:ascii="宋体" w:hAnsi="宋体"/>
          <w:b/>
          <w:sz w:val="36"/>
        </w:rPr>
      </w:pPr>
      <w:r>
        <w:rPr>
          <w:rFonts w:ascii="宋体" w:hAnsi="宋体"/>
          <w:b/>
          <w:sz w:val="36"/>
        </w:rPr>
      </w:r>
      <w:r/>
    </w:p>
    <w:p>
      <w:pPr>
        <w:pStyle w:val="1038"/>
        <w:jc w:val="center"/>
        <w:rPr>
          <w:rFonts w:ascii="宋体" w:hAnsi="宋体"/>
          <w:b/>
          <w:sz w:val="36"/>
        </w:rPr>
      </w:pPr>
      <w:r>
        <w:rPr>
          <w:rFonts w:ascii="宋体" w:hAnsi="宋体"/>
          <w:b/>
          <w:sz w:val="36"/>
        </w:rPr>
      </w:r>
      <w:r/>
    </w:p>
    <w:p>
      <w:pPr>
        <w:pStyle w:val="103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3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38"/>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ascii="宋体" w:hAnsi="宋体"/>
          <w:b/>
          <w:sz w:val="36"/>
          <w:u w:val="single"/>
        </w:rPr>
      </w:r>
      <w:r/>
    </w:p>
    <w:p>
      <w:pPr>
        <w:pStyle w:val="1038"/>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1038"/>
        <w:jc w:val="center"/>
        <w:spacing w:line="440" w:lineRule="exact"/>
        <w:rPr>
          <w:rFonts w:ascii="宋体" w:hAnsi="宋体"/>
          <w:b/>
          <w:bCs/>
          <w:sz w:val="32"/>
          <w:szCs w:val="32"/>
        </w:rPr>
      </w:pPr>
      <w:r>
        <w:rPr>
          <w:rFonts w:ascii="宋体" w:hAnsi="宋体"/>
          <w:b/>
          <w:bCs/>
          <w:sz w:val="32"/>
          <w:szCs w:val="32"/>
        </w:rPr>
      </w:r>
      <w:r/>
    </w:p>
    <w:p>
      <w:pPr>
        <w:pStyle w:val="1038"/>
        <w:spacing w:line="440" w:lineRule="exact"/>
        <w:rPr>
          <w:rFonts w:ascii="宋体" w:hAnsi="宋体"/>
        </w:rPr>
      </w:pPr>
      <w:r>
        <w:rPr>
          <w:rFonts w:ascii="宋体" w:hAnsi="宋体"/>
        </w:rPr>
      </w:r>
      <w:r/>
    </w:p>
    <w:p>
      <w:pPr>
        <w:pStyle w:val="103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1038"/>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ascii="宋体" w:hAnsi="宋体"/>
          <w:b/>
          <w:bCs/>
          <w:sz w:val="32"/>
          <w:szCs w:val="32"/>
        </w:rPr>
      </w:r>
      <w:r/>
    </w:p>
    <w:p>
      <w:pPr>
        <w:pStyle w:val="1038"/>
        <w:jc w:val="center"/>
        <w:spacing w:line="440" w:lineRule="exact"/>
        <w:rPr>
          <w:rFonts w:ascii="宋体" w:hAnsi="宋体"/>
          <w:b/>
          <w:bCs/>
          <w:sz w:val="32"/>
          <w:szCs w:val="32"/>
        </w:rPr>
      </w:pPr>
      <w:r>
        <w:rPr>
          <w:rFonts w:ascii="宋体" w:hAnsi="宋体"/>
          <w:b/>
          <w:bCs/>
          <w:sz w:val="32"/>
          <w:szCs w:val="32"/>
        </w:rPr>
      </w:r>
      <w:r/>
    </w:p>
    <w:p>
      <w:pPr>
        <w:pStyle w:val="1038"/>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1038"/>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ascii="宋体" w:hAnsi="宋体"/>
          <w:sz w:val="24"/>
        </w:rPr>
      </w:r>
      <w:r/>
    </w:p>
    <w:p>
      <w:pPr>
        <w:pStyle w:val="1038"/>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1038"/>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1038"/>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1038"/>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ascii="宋体" w:hAnsi="宋体"/>
          <w:sz w:val="24"/>
        </w:rPr>
      </w:r>
      <w:r/>
    </w:p>
    <w:p>
      <w:pPr>
        <w:pStyle w:val="1038"/>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rPr>
          <w:rFonts w:ascii="宋体" w:hAnsi="宋体"/>
          <w:b/>
          <w:sz w:val="24"/>
        </w:rPr>
      </w:r>
      <w:r/>
    </w:p>
    <w:p>
      <w:pPr>
        <w:pStyle w:val="1038"/>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ascii="宋体" w:hAnsi="宋体"/>
          <w:sz w:val="24"/>
        </w:rPr>
      </w:r>
      <w:r/>
    </w:p>
    <w:p>
      <w:pPr>
        <w:pStyle w:val="1038"/>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ascii="宋体" w:hAnsi="宋体"/>
          <w:sz w:val="24"/>
        </w:rPr>
      </w:r>
      <w:r/>
    </w:p>
    <w:p>
      <w:pPr>
        <w:pStyle w:val="1038"/>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1038"/>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ascii="宋体" w:hAnsi="宋体"/>
          <w:sz w:val="24"/>
        </w:rPr>
      </w:r>
      <w:r/>
    </w:p>
    <w:p>
      <w:pPr>
        <w:pStyle w:val="1038"/>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1038"/>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1038"/>
        <w:spacing w:line="400" w:lineRule="exact"/>
        <w:rPr>
          <w:rFonts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ascii="宋体" w:hAnsi="宋体"/>
          <w:sz w:val="24"/>
        </w:rPr>
      </w:r>
      <w:r/>
    </w:p>
    <w:p>
      <w:pPr>
        <w:pStyle w:val="1038"/>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ascii="宋体" w:hAnsi="宋体"/>
          <w:sz w:val="24"/>
        </w:rPr>
      </w:r>
      <w:r/>
    </w:p>
    <w:p>
      <w:pPr>
        <w:pStyle w:val="1038"/>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ascii="宋体" w:hAnsi="宋体"/>
          <w:sz w:val="24"/>
        </w:rPr>
      </w:r>
      <w:r/>
    </w:p>
    <w:p>
      <w:pPr>
        <w:pStyle w:val="1038"/>
        <w:ind w:firstLine="480"/>
        <w:spacing w:line="400" w:lineRule="exact"/>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ascii="宋体" w:hAnsi="宋体"/>
          <w:sz w:val="24"/>
        </w:rPr>
      </w:r>
      <w:r/>
    </w:p>
    <w:p>
      <w:pPr>
        <w:pStyle w:val="1038"/>
        <w:ind w:firstLine="480"/>
        <w:spacing w:line="400" w:lineRule="exact"/>
        <w:rPr>
          <w:rFonts w:ascii="宋体" w:hAnsi="宋体"/>
          <w:sz w:val="24"/>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ascii="宋体" w:hAnsi="宋体"/>
          <w:sz w:val="24"/>
        </w:rPr>
      </w:r>
      <w:r/>
    </w:p>
    <w:p>
      <w:pPr>
        <w:pStyle w:val="1038"/>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ascii="宋体" w:hAnsi="宋体"/>
          <w:sz w:val="24"/>
        </w:rPr>
      </w:r>
      <w:r/>
    </w:p>
    <w:p>
      <w:pPr>
        <w:pStyle w:val="1038"/>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ascii="宋体" w:hAnsi="宋体"/>
          <w:sz w:val="24"/>
        </w:rPr>
      </w:r>
      <w:r/>
    </w:p>
    <w:p>
      <w:pPr>
        <w:pStyle w:val="1038"/>
        <w:ind w:left="480"/>
        <w:spacing w:line="400" w:lineRule="exact"/>
        <w:rPr>
          <w:rFonts w:ascii="宋体" w:hAnsi="宋体"/>
          <w:sz w:val="24"/>
          <w:szCs w:val="24"/>
        </w:rPr>
      </w:pPr>
      <w:r>
        <w:rPr>
          <w:rFonts w:hint="eastAsia" w:ascii="宋体" w:hAnsi="宋体"/>
          <w:sz w:val="24"/>
          <w:szCs w:val="24"/>
        </w:rPr>
        <w:t xml:space="preserve">总备注：上述“资格审查内容”中1-5条、7、8条投标人必须在投标文件中提供</w:t>
      </w:r>
      <w:r>
        <w:rPr>
          <w:rFonts w:ascii="宋体" w:hAnsi="宋体"/>
          <w:sz w:val="24"/>
          <w:szCs w:val="24"/>
        </w:rPr>
      </w:r>
      <w:r/>
    </w:p>
    <w:p>
      <w:pPr>
        <w:pStyle w:val="1038"/>
        <w:spacing w:line="400" w:lineRule="exact"/>
        <w:rPr>
          <w:rFonts w:ascii="宋体" w:hAnsi="宋体"/>
          <w:sz w:val="24"/>
          <w:szCs w:val="24"/>
        </w:rPr>
      </w:pPr>
      <w:r>
        <w:rPr>
          <w:rFonts w:hint="eastAsia" w:ascii="宋体" w:hAnsi="宋体"/>
          <w:sz w:val="24"/>
          <w:szCs w:val="24"/>
        </w:rPr>
        <w:t xml:space="preserve">相关材料，否则作无效投标处理；6条如招标文件要求必须提供相关材料而未提供的，作无效投标处理。</w:t>
      </w:r>
      <w:r>
        <w:rPr>
          <w:rFonts w:ascii="宋体" w:hAnsi="宋体"/>
          <w:sz w:val="24"/>
          <w:szCs w:val="24"/>
        </w:rPr>
      </w:r>
      <w:r/>
    </w:p>
    <w:p>
      <w:pPr>
        <w:pStyle w:val="1038"/>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ascii="宋体" w:hAnsi="宋体"/>
          <w:b/>
          <w:sz w:val="24"/>
        </w:rPr>
      </w:r>
      <w:r/>
    </w:p>
    <w:p>
      <w:pPr>
        <w:pStyle w:val="1038"/>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ascii="宋体" w:hAnsi="宋体"/>
          <w:sz w:val="24"/>
        </w:rPr>
      </w:r>
      <w:r/>
    </w:p>
    <w:p>
      <w:pPr>
        <w:pStyle w:val="1038"/>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1038"/>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ascii="宋体" w:hAnsi="宋体"/>
          <w:sz w:val="24"/>
        </w:rPr>
      </w:r>
      <w:r/>
    </w:p>
    <w:p>
      <w:pPr>
        <w:pStyle w:val="1038"/>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ascii="宋体" w:hAnsi="宋体"/>
          <w:sz w:val="24"/>
        </w:rPr>
      </w:r>
      <w:r/>
    </w:p>
    <w:p>
      <w:pPr>
        <w:pStyle w:val="1038"/>
        <w:ind w:firstLine="480"/>
        <w:spacing w:line="440" w:lineRule="exact"/>
        <w:rPr>
          <w:rFonts w:ascii="宋体" w:hAnsi="宋体"/>
          <w:sz w:val="24"/>
        </w:rPr>
      </w:pPr>
      <w:r>
        <w:rPr>
          <w:rFonts w:ascii="宋体" w:hAnsi="宋体"/>
          <w:sz w:val="24"/>
        </w:rPr>
      </w:r>
      <w:r/>
    </w:p>
    <w:p>
      <w:pPr>
        <w:pStyle w:val="1038"/>
        <w:rPr>
          <w:rFonts w:ascii="宋体" w:hAnsi="宋体"/>
          <w:b/>
          <w:sz w:val="24"/>
          <w:szCs w:val="24"/>
        </w:rPr>
      </w:pPr>
      <w:r>
        <w:rPr>
          <w:rFonts w:ascii="宋体" w:hAnsi="宋体"/>
          <w:b/>
          <w:sz w:val="24"/>
          <w:szCs w:val="24"/>
        </w:rPr>
      </w:r>
      <w:r/>
    </w:p>
    <w:p>
      <w:pPr>
        <w:pStyle w:val="1038"/>
        <w:rPr>
          <w:rFonts w:ascii="宋体" w:hAnsi="宋体"/>
          <w:sz w:val="24"/>
          <w:szCs w:val="20"/>
        </w:rPr>
      </w:pPr>
      <w:r>
        <w:rPr>
          <w:rFonts w:hint="eastAsia" w:ascii="宋体" w:hAnsi="宋体"/>
          <w:b/>
          <w:sz w:val="24"/>
          <w:szCs w:val="24"/>
        </w:rPr>
        <w:t xml:space="preserve">附件1 开标一览表</w:t>
      </w:r>
      <w:r>
        <w:rPr>
          <w:rFonts w:ascii="宋体" w:hAnsi="宋体"/>
          <w:sz w:val="24"/>
          <w:szCs w:val="20"/>
        </w:rPr>
      </w:r>
      <w:r/>
    </w:p>
    <w:p>
      <w:pPr>
        <w:pStyle w:val="1038"/>
        <w:ind w:firstLine="482"/>
        <w:spacing w:line="0" w:lineRule="atLeast"/>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1038"/>
        <w:ind w:firstLine="482"/>
        <w:spacing w:line="0" w:lineRule="atLeast"/>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1038"/>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tbl>
      <w:tblPr>
        <w:tblW w:w="8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1038"/>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ascii="宋体" w:hAnsi="宋体"/>
                <w:sz w:val="24"/>
                <w:szCs w:val="24"/>
              </w:rPr>
            </w:r>
            <w:r/>
          </w:p>
        </w:tc>
      </w:tr>
      <w:tr>
        <w:trPr>
          <w:cantSplit/>
          <w:trHeight w:val="612"/>
        </w:trPr>
        <w:tc>
          <w:tcPr>
            <w:tcW w:w="8206" w:type="dxa"/>
            <w:vAlign w:val="center"/>
            <w:textDirection w:val="lrTb"/>
            <w:noWrap w:val="false"/>
          </w:tcPr>
          <w:p>
            <w:pPr>
              <w:pStyle w:val="1360"/>
              <w:ind w:firstLine="0"/>
              <w:spacing w:before="0" w:after="0" w:line="500" w:lineRule="exact"/>
              <w:rPr>
                <w:rFonts w:ascii="宋体" w:hAnsi="宋体"/>
                <w:szCs w:val="21"/>
              </w:rPr>
            </w:pPr>
            <w:r>
              <w:rPr>
                <w:rFonts w:hint="eastAsia" w:ascii="宋体" w:hAnsi="宋体" w:cs="宋体"/>
              </w:rPr>
              <w:t xml:space="preserve">小写：                             （人民币：元）</w:t>
            </w:r>
            <w:r>
              <w:rPr>
                <w:rFonts w:ascii="宋体" w:hAnsi="宋体"/>
                <w:szCs w:val="21"/>
              </w:rPr>
            </w:r>
            <w:r/>
          </w:p>
        </w:tc>
      </w:tr>
    </w:tbl>
    <w:p>
      <w:pPr>
        <w:pStyle w:val="1038"/>
        <w:ind w:firstLine="480"/>
        <w:rPr>
          <w:rFonts w:ascii="宋体" w:hAnsi="宋体"/>
          <w:sz w:val="24"/>
          <w:szCs w:val="24"/>
        </w:rPr>
      </w:pPr>
      <w:r>
        <w:rPr>
          <w:rFonts w:ascii="宋体" w:hAnsi="宋体"/>
          <w:sz w:val="24"/>
          <w:szCs w:val="24"/>
        </w:rPr>
      </w:r>
      <w:r/>
    </w:p>
    <w:p>
      <w:pPr>
        <w:pStyle w:val="1038"/>
        <w:rPr>
          <w:rFonts w:ascii="宋体" w:hAnsi="宋体"/>
          <w:sz w:val="24"/>
          <w:szCs w:val="24"/>
        </w:rPr>
      </w:pPr>
      <w:r>
        <w:rPr>
          <w:rFonts w:ascii="宋体" w:hAnsi="宋体"/>
          <w:sz w:val="24"/>
          <w:szCs w:val="24"/>
        </w:rPr>
      </w:r>
      <w:r/>
    </w:p>
    <w:p>
      <w:pPr>
        <w:pStyle w:val="1038"/>
        <w:jc w:val="center"/>
        <w:rPr>
          <w:rFonts w:ascii="宋体" w:hAnsi="宋体"/>
          <w:b/>
          <w:sz w:val="24"/>
          <w:szCs w:val="24"/>
        </w:rPr>
      </w:pPr>
      <w:r>
        <w:rPr>
          <w:rFonts w:hint="eastAsia" w:ascii="宋体" w:hAnsi="宋体"/>
          <w:b/>
          <w:sz w:val="24"/>
          <w:szCs w:val="24"/>
        </w:rPr>
        <w:t xml:space="preserve">附件2 投标分项报价表（分包号：**）</w:t>
      </w:r>
      <w:r>
        <w:rPr>
          <w:rFonts w:ascii="宋体" w:hAnsi="宋体"/>
          <w:b/>
          <w:sz w:val="24"/>
          <w:szCs w:val="24"/>
        </w:rPr>
      </w:r>
      <w:r/>
    </w:p>
    <w:tbl>
      <w:tblPr>
        <w:tblW w:w="69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1038"/>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008" w:type="dxa"/>
            <w:vAlign w:val="center"/>
            <w:textDirection w:val="lrTb"/>
            <w:noWrap w:val="false"/>
          </w:tcPr>
          <w:p>
            <w:pPr>
              <w:pStyle w:val="103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46" w:type="dxa"/>
            <w:vAlign w:val="center"/>
            <w:textDirection w:val="lrTb"/>
            <w:noWrap w:val="false"/>
          </w:tcPr>
          <w:p>
            <w:pPr>
              <w:pStyle w:val="1038"/>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826" w:type="dxa"/>
            <w:vAlign w:val="center"/>
            <w:textDirection w:val="lrTb"/>
            <w:noWrap w:val="false"/>
          </w:tcPr>
          <w:p>
            <w:pPr>
              <w:pStyle w:val="1038"/>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952" w:type="dxa"/>
            <w:vAlign w:val="center"/>
            <w:textDirection w:val="lrTb"/>
            <w:noWrap w:val="false"/>
          </w:tcPr>
          <w:p>
            <w:pPr>
              <w:pStyle w:val="1038"/>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17" w:type="dxa"/>
            <w:vAlign w:val="center"/>
            <w:textDirection w:val="lrTb"/>
            <w:noWrap w:val="false"/>
          </w:tcPr>
          <w:p>
            <w:pPr>
              <w:pStyle w:val="1038"/>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1176" w:type="dxa"/>
            <w:vAlign w:val="center"/>
            <w:textDirection w:val="lrTb"/>
            <w:noWrap w:val="false"/>
          </w:tcPr>
          <w:p>
            <w:pPr>
              <w:pStyle w:val="1038"/>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294"/>
        </w:trPr>
        <w:tc>
          <w:tcPr>
            <w:tcW w:w="556" w:type="dxa"/>
            <w:vAlign w:val="center"/>
            <w:vMerge w:val="continue"/>
            <w:textDirection w:val="lrTb"/>
            <w:noWrap w:val="false"/>
          </w:tcPr>
          <w:p>
            <w:pPr>
              <w:pStyle w:val="1038"/>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pStyle w:val="1038"/>
              <w:jc w:val="center"/>
              <w:spacing w:line="0" w:lineRule="atLeast"/>
              <w:rPr>
                <w:rFonts w:ascii="宋体" w:hAnsi="宋体"/>
                <w:sz w:val="24"/>
                <w:szCs w:val="24"/>
              </w:rPr>
            </w:pPr>
            <w:r>
              <w:rPr>
                <w:rFonts w:hint="eastAsia" w:ascii="宋体" w:hAnsi="宋体"/>
                <w:sz w:val="24"/>
                <w:szCs w:val="24"/>
              </w:rPr>
              <w:t xml:space="preserve">分项服务名称</w:t>
            </w:r>
            <w:r>
              <w:rPr>
                <w:rFonts w:ascii="宋体" w:hAnsi="宋体"/>
                <w:sz w:val="24"/>
                <w:szCs w:val="24"/>
              </w:rPr>
            </w:r>
            <w:r/>
          </w:p>
        </w:tc>
        <w:tc>
          <w:tcPr>
            <w:tcW w:w="1246" w:type="dxa"/>
            <w:vAlign w:val="center"/>
            <w:textDirection w:val="lrTb"/>
            <w:noWrap w:val="false"/>
          </w:tcPr>
          <w:p>
            <w:pPr>
              <w:pStyle w:val="1038"/>
              <w:jc w:val="center"/>
              <w:spacing w:line="0" w:lineRule="atLeast"/>
              <w:rPr>
                <w:rFonts w:ascii="宋体" w:hAnsi="宋体"/>
                <w:sz w:val="24"/>
                <w:szCs w:val="24"/>
              </w:rPr>
            </w:pPr>
            <w:r>
              <w:rPr>
                <w:rFonts w:hint="eastAsia" w:ascii="宋体" w:hAnsi="宋体"/>
                <w:sz w:val="24"/>
                <w:szCs w:val="24"/>
              </w:rPr>
              <w:t xml:space="preserve">交付期</w:t>
            </w:r>
            <w:r>
              <w:rPr>
                <w:rFonts w:ascii="宋体" w:hAnsi="宋体"/>
                <w:sz w:val="24"/>
                <w:szCs w:val="24"/>
              </w:rPr>
            </w:r>
            <w:r/>
          </w:p>
        </w:tc>
        <w:tc>
          <w:tcPr>
            <w:tcW w:w="826" w:type="dxa"/>
            <w:vAlign w:val="center"/>
            <w:textDirection w:val="lrTb"/>
            <w:noWrap w:val="false"/>
          </w:tcPr>
          <w:p>
            <w:pPr>
              <w:pStyle w:val="1038"/>
              <w:jc w:val="center"/>
              <w:spacing w:line="0" w:lineRule="atLeast"/>
              <w:rPr>
                <w:rFonts w:ascii="宋体" w:hAnsi="宋体"/>
                <w:sz w:val="24"/>
                <w:szCs w:val="24"/>
              </w:rPr>
            </w:pPr>
            <w:r>
              <w:rPr>
                <w:rFonts w:hint="eastAsia" w:ascii="宋体" w:hAnsi="宋体"/>
                <w:sz w:val="24"/>
                <w:szCs w:val="24"/>
              </w:rPr>
              <w:t xml:space="preserve">分项单位</w:t>
            </w:r>
            <w:r>
              <w:rPr>
                <w:rFonts w:ascii="宋体" w:hAnsi="宋体"/>
                <w:sz w:val="24"/>
                <w:szCs w:val="24"/>
              </w:rPr>
            </w:r>
            <w:r/>
          </w:p>
        </w:tc>
        <w:tc>
          <w:tcPr>
            <w:tcW w:w="952" w:type="dxa"/>
            <w:vAlign w:val="center"/>
            <w:textDirection w:val="lrTb"/>
            <w:noWrap w:val="false"/>
          </w:tcPr>
          <w:p>
            <w:pPr>
              <w:pStyle w:val="1038"/>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1217" w:type="dxa"/>
            <w:vAlign w:val="center"/>
            <w:textDirection w:val="lrTb"/>
            <w:noWrap w:val="false"/>
          </w:tcPr>
          <w:p>
            <w:pPr>
              <w:pStyle w:val="103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1038"/>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176" w:type="dxa"/>
            <w:vAlign w:val="center"/>
            <w:textDirection w:val="lrTb"/>
            <w:noWrap w:val="false"/>
          </w:tcPr>
          <w:p>
            <w:pPr>
              <w:pStyle w:val="103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1038"/>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556" w:type="dxa"/>
            <w:vAlign w:val="center"/>
            <w:textDirection w:val="lrTb"/>
            <w:noWrap w:val="false"/>
          </w:tcPr>
          <w:p>
            <w:pPr>
              <w:pStyle w:val="103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008" w:type="dxa"/>
            <w:vAlign w:val="center"/>
            <w:textDirection w:val="lrTb"/>
            <w:noWrap w:val="false"/>
          </w:tcPr>
          <w:p>
            <w:pPr>
              <w:pStyle w:val="1038"/>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pStyle w:val="1038"/>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u w:val="single"/>
              </w:rPr>
            </w:r>
            <w:r/>
          </w:p>
        </w:tc>
        <w:tc>
          <w:tcPr>
            <w:tcW w:w="826" w:type="dxa"/>
            <w:vAlign w:val="center"/>
            <w:textDirection w:val="lrTb"/>
            <w:noWrap w:val="false"/>
          </w:tcPr>
          <w:p>
            <w:pPr>
              <w:pStyle w:val="1038"/>
              <w:jc w:val="center"/>
              <w:spacing w:line="0" w:lineRule="atLeast"/>
              <w:rPr>
                <w:rFonts w:ascii="宋体" w:hAnsi="宋体"/>
                <w:sz w:val="24"/>
                <w:szCs w:val="24"/>
              </w:rPr>
            </w:pPr>
            <w:r>
              <w:rPr>
                <w:rFonts w:ascii="宋体" w:hAnsi="宋体"/>
                <w:sz w:val="24"/>
                <w:szCs w:val="24"/>
              </w:rPr>
            </w:r>
            <w:r/>
          </w:p>
        </w:tc>
        <w:tc>
          <w:tcPr>
            <w:tcW w:w="952" w:type="dxa"/>
            <w:vAlign w:val="center"/>
            <w:textDirection w:val="lrTb"/>
            <w:noWrap w:val="false"/>
          </w:tcPr>
          <w:p>
            <w:pPr>
              <w:pStyle w:val="1038"/>
              <w:jc w:val="center"/>
              <w:spacing w:line="0" w:lineRule="atLeast"/>
              <w:rPr>
                <w:rFonts w:ascii="宋体" w:hAnsi="宋体"/>
                <w:sz w:val="24"/>
                <w:szCs w:val="24"/>
              </w:rPr>
            </w:pPr>
            <w:r>
              <w:rPr>
                <w:rFonts w:ascii="宋体" w:hAnsi="宋体"/>
                <w:sz w:val="24"/>
                <w:szCs w:val="24"/>
              </w:rPr>
            </w:r>
            <w:r/>
          </w:p>
        </w:tc>
        <w:tc>
          <w:tcPr>
            <w:tcW w:w="1217" w:type="dxa"/>
            <w:vAlign w:val="center"/>
            <w:textDirection w:val="lrTb"/>
            <w:noWrap w:val="false"/>
          </w:tcPr>
          <w:p>
            <w:pPr>
              <w:pStyle w:val="1038"/>
              <w:jc w:val="center"/>
              <w:spacing w:line="0" w:lineRule="atLeast"/>
              <w:rPr>
                <w:rFonts w:ascii="宋体" w:hAnsi="宋体"/>
                <w:sz w:val="24"/>
                <w:szCs w:val="24"/>
              </w:rPr>
            </w:pPr>
            <w:r>
              <w:rPr>
                <w:rFonts w:ascii="宋体" w:hAnsi="宋体"/>
                <w:sz w:val="24"/>
                <w:szCs w:val="24"/>
              </w:rPr>
            </w:r>
            <w:r/>
          </w:p>
        </w:tc>
        <w:tc>
          <w:tcPr>
            <w:tcW w:w="1176" w:type="dxa"/>
            <w:vAlign w:val="center"/>
            <w:textDirection w:val="lrTb"/>
            <w:noWrap w:val="false"/>
          </w:tcPr>
          <w:p>
            <w:pPr>
              <w:pStyle w:val="1038"/>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pStyle w:val="1038"/>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008" w:type="dxa"/>
            <w:vAlign w:val="center"/>
            <w:textDirection w:val="lrTb"/>
            <w:noWrap w:val="false"/>
          </w:tcPr>
          <w:p>
            <w:pPr>
              <w:pStyle w:val="1038"/>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pStyle w:val="1038"/>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val="false"/>
          </w:tcPr>
          <w:p>
            <w:pPr>
              <w:pStyle w:val="1038"/>
              <w:jc w:val="center"/>
              <w:spacing w:line="0" w:lineRule="atLeast"/>
              <w:rPr>
                <w:rFonts w:ascii="宋体" w:hAnsi="宋体"/>
                <w:sz w:val="24"/>
                <w:szCs w:val="24"/>
              </w:rPr>
            </w:pPr>
            <w:r>
              <w:rPr>
                <w:rFonts w:ascii="宋体" w:hAnsi="宋体"/>
                <w:sz w:val="24"/>
                <w:szCs w:val="24"/>
              </w:rPr>
            </w:r>
            <w:r/>
          </w:p>
        </w:tc>
        <w:tc>
          <w:tcPr>
            <w:tcW w:w="952" w:type="dxa"/>
            <w:vAlign w:val="center"/>
            <w:textDirection w:val="lrTb"/>
            <w:noWrap w:val="false"/>
          </w:tcPr>
          <w:p>
            <w:pPr>
              <w:pStyle w:val="1038"/>
              <w:jc w:val="center"/>
              <w:spacing w:line="0" w:lineRule="atLeast"/>
              <w:rPr>
                <w:rFonts w:ascii="宋体" w:hAnsi="宋体"/>
                <w:sz w:val="24"/>
                <w:szCs w:val="24"/>
              </w:rPr>
            </w:pPr>
            <w:r>
              <w:rPr>
                <w:rFonts w:ascii="宋体" w:hAnsi="宋体"/>
                <w:sz w:val="24"/>
                <w:szCs w:val="24"/>
              </w:rPr>
            </w:r>
            <w:r/>
          </w:p>
        </w:tc>
        <w:tc>
          <w:tcPr>
            <w:tcW w:w="1217" w:type="dxa"/>
            <w:vAlign w:val="center"/>
            <w:textDirection w:val="lrTb"/>
            <w:noWrap w:val="false"/>
          </w:tcPr>
          <w:p>
            <w:pPr>
              <w:pStyle w:val="1038"/>
              <w:jc w:val="center"/>
              <w:spacing w:line="0" w:lineRule="atLeast"/>
              <w:rPr>
                <w:rFonts w:ascii="宋体" w:hAnsi="宋体"/>
                <w:sz w:val="24"/>
                <w:szCs w:val="24"/>
              </w:rPr>
            </w:pPr>
            <w:r>
              <w:rPr>
                <w:rFonts w:ascii="宋体" w:hAnsi="宋体"/>
                <w:sz w:val="24"/>
                <w:szCs w:val="24"/>
              </w:rPr>
            </w:r>
            <w:r/>
          </w:p>
        </w:tc>
        <w:tc>
          <w:tcPr>
            <w:tcW w:w="1176" w:type="dxa"/>
            <w:vAlign w:val="center"/>
            <w:textDirection w:val="lrTb"/>
            <w:noWrap w:val="false"/>
          </w:tcPr>
          <w:p>
            <w:pPr>
              <w:pStyle w:val="1038"/>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5805" w:type="dxa"/>
            <w:vAlign w:val="center"/>
            <w:textDirection w:val="lrTb"/>
            <w:noWrap w:val="false"/>
          </w:tcPr>
          <w:p>
            <w:pPr>
              <w:pStyle w:val="1038"/>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176" w:type="dxa"/>
            <w:vAlign w:val="top"/>
            <w:textDirection w:val="lrTb"/>
            <w:noWrap w:val="false"/>
          </w:tcPr>
          <w:p>
            <w:pPr>
              <w:pStyle w:val="1038"/>
              <w:spacing w:line="0" w:lineRule="atLeast"/>
              <w:rPr>
                <w:rFonts w:ascii="宋体" w:hAnsi="宋体"/>
                <w:sz w:val="24"/>
                <w:szCs w:val="24"/>
              </w:rPr>
            </w:pPr>
            <w:r>
              <w:rPr>
                <w:rFonts w:ascii="宋体" w:hAnsi="宋体"/>
                <w:sz w:val="24"/>
                <w:szCs w:val="24"/>
              </w:rPr>
            </w:r>
            <w:r/>
          </w:p>
        </w:tc>
      </w:tr>
    </w:tbl>
    <w:p>
      <w:pPr>
        <w:pStyle w:val="1038"/>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1038"/>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1038"/>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1038"/>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1038"/>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技术要求响应及偏离表（分包号：**）</w:t>
      </w:r>
      <w:r>
        <w:rPr>
          <w:rFonts w:ascii="宋体" w:hAnsi="宋体"/>
          <w:b/>
          <w:sz w:val="24"/>
          <w:szCs w:val="24"/>
        </w:rPr>
      </w:r>
      <w:r/>
    </w:p>
    <w:tbl>
      <w:tblPr>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63" w:type="dxa"/>
            <w:vAlign w:val="center"/>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技术要求</w:t>
            </w:r>
            <w:r>
              <w:rPr>
                <w:rFonts w:ascii="宋体" w:hAnsi="宋体"/>
                <w:sz w:val="24"/>
                <w:szCs w:val="24"/>
              </w:rPr>
            </w:r>
            <w:r/>
          </w:p>
        </w:tc>
        <w:tc>
          <w:tcPr>
            <w:tcW w:w="3191" w:type="dxa"/>
            <w:vAlign w:val="center"/>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2128" w:type="dxa"/>
            <w:vAlign w:val="center"/>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r>
      <w:tr>
        <w:trPr>
          <w:cantSplit/>
          <w:trHeight w:val="640"/>
        </w:trPr>
        <w:tc>
          <w:tcPr>
            <w:tcW w:w="545" w:type="dxa"/>
            <w:vAlign w:val="top"/>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063"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c>
          <w:tcPr>
            <w:tcW w:w="3191"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c>
          <w:tcPr>
            <w:tcW w:w="2128"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c>
          <w:tcPr>
            <w:tcW w:w="3063"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t xml:space="preserve">……</w:t>
            </w:r>
            <w:r>
              <w:rPr>
                <w:rFonts w:ascii="宋体" w:hAnsi="宋体"/>
                <w:sz w:val="24"/>
                <w:szCs w:val="24"/>
              </w:rPr>
            </w:r>
            <w:r/>
          </w:p>
        </w:tc>
        <w:tc>
          <w:tcPr>
            <w:tcW w:w="3191"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c>
          <w:tcPr>
            <w:tcW w:w="2128"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r>
    </w:tbl>
    <w:p>
      <w:pPr>
        <w:pStyle w:val="1038"/>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1038"/>
        <w:spacing w:line="400" w:lineRule="exact"/>
        <w:rPr>
          <w:rFonts w:ascii="宋体" w:hAnsi="宋体"/>
          <w:sz w:val="24"/>
          <w:szCs w:val="24"/>
        </w:rPr>
      </w:pPr>
      <w:r>
        <w:rPr>
          <w:rFonts w:ascii="宋体" w:hAnsi="宋体"/>
          <w:sz w:val="24"/>
          <w:szCs w:val="24"/>
        </w:rPr>
      </w:r>
      <w:r/>
    </w:p>
    <w:p>
      <w:pPr>
        <w:pStyle w:val="103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1038"/>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103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1038"/>
        <w:spacing w:line="400" w:lineRule="exact"/>
        <w:rPr>
          <w:rFonts w:ascii="宋体" w:hAnsi="宋体"/>
          <w:sz w:val="24"/>
          <w:szCs w:val="24"/>
        </w:rPr>
      </w:pPr>
      <w:r>
        <w:rPr>
          <w:rFonts w:ascii="宋体" w:hAnsi="宋体"/>
          <w:sz w:val="24"/>
          <w:szCs w:val="24"/>
        </w:rPr>
      </w:r>
      <w:r/>
    </w:p>
    <w:p>
      <w:pPr>
        <w:pStyle w:val="1038"/>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商务要求响应及偏离表（分包号：**）</w:t>
      </w:r>
      <w:r>
        <w:rPr>
          <w:rFonts w:ascii="宋体" w:hAnsi="宋体"/>
          <w:b/>
          <w:sz w:val="24"/>
          <w:szCs w:val="24"/>
        </w:rPr>
      </w:r>
      <w:r/>
    </w:p>
    <w:tbl>
      <w:tblPr>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63" w:type="dxa"/>
            <w:vAlign w:val="center"/>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商务要求 </w:t>
            </w:r>
            <w:r>
              <w:rPr>
                <w:rFonts w:ascii="宋体" w:hAnsi="宋体"/>
                <w:sz w:val="24"/>
                <w:szCs w:val="24"/>
              </w:rPr>
            </w:r>
            <w:r/>
          </w:p>
        </w:tc>
        <w:tc>
          <w:tcPr>
            <w:tcW w:w="3191" w:type="dxa"/>
            <w:vAlign w:val="center"/>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2128" w:type="dxa"/>
            <w:vAlign w:val="center"/>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r>
      <w:tr>
        <w:trPr>
          <w:cantSplit/>
          <w:trHeight w:val="640"/>
        </w:trPr>
        <w:tc>
          <w:tcPr>
            <w:tcW w:w="545" w:type="dxa"/>
            <w:vAlign w:val="top"/>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063"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c>
          <w:tcPr>
            <w:tcW w:w="3191"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c>
          <w:tcPr>
            <w:tcW w:w="2128"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c>
          <w:tcPr>
            <w:tcW w:w="3063"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t xml:space="preserve">……</w:t>
            </w:r>
            <w:r>
              <w:rPr>
                <w:rFonts w:ascii="宋体" w:hAnsi="宋体"/>
                <w:sz w:val="24"/>
                <w:szCs w:val="24"/>
              </w:rPr>
            </w:r>
            <w:r/>
          </w:p>
        </w:tc>
        <w:tc>
          <w:tcPr>
            <w:tcW w:w="3191"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c>
          <w:tcPr>
            <w:tcW w:w="2128"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r>
    </w:tbl>
    <w:p>
      <w:pPr>
        <w:pStyle w:val="1038"/>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1038"/>
        <w:spacing w:line="400" w:lineRule="exact"/>
        <w:rPr>
          <w:rFonts w:ascii="宋体" w:hAnsi="宋体"/>
          <w:sz w:val="24"/>
          <w:szCs w:val="24"/>
        </w:rPr>
      </w:pPr>
      <w:r>
        <w:rPr>
          <w:rFonts w:ascii="宋体" w:hAnsi="宋体"/>
          <w:sz w:val="24"/>
          <w:szCs w:val="24"/>
        </w:rPr>
      </w:r>
      <w:r/>
    </w:p>
    <w:p>
      <w:pPr>
        <w:pStyle w:val="103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1038"/>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103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1038"/>
        <w:rPr>
          <w:rFonts w:ascii="宋体" w:hAnsi="宋体"/>
          <w:b/>
          <w:sz w:val="24"/>
        </w:rPr>
      </w:pPr>
      <w:r>
        <w:rPr>
          <w:rFonts w:ascii="宋体" w:hAnsi="宋体"/>
          <w:b/>
          <w:sz w:val="24"/>
        </w:rPr>
      </w:r>
      <w:r/>
    </w:p>
    <w:p>
      <w:pPr>
        <w:pStyle w:val="1038"/>
        <w:ind w:firstLine="480"/>
        <w:spacing w:line="440" w:lineRule="exact"/>
        <w:rPr>
          <w:rFonts w:ascii="宋体" w:hAnsi="宋体"/>
          <w:sz w:val="24"/>
        </w:rPr>
      </w:pPr>
      <w:r>
        <w:rPr>
          <w:rFonts w:ascii="宋体" w:hAnsi="宋体"/>
          <w:sz w:val="24"/>
        </w:rPr>
      </w:r>
      <w:r/>
    </w:p>
    <w:p>
      <w:pPr>
        <w:pStyle w:val="1038"/>
        <w:ind w:left="480"/>
        <w:rPr>
          <w:rFonts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rPr>
          <w:rFonts w:ascii="宋体" w:hAnsi="宋体"/>
          <w:b/>
          <w:sz w:val="24"/>
        </w:rPr>
      </w:r>
      <w:r/>
    </w:p>
    <w:p>
      <w:pPr>
        <w:pStyle w:val="1038"/>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1038"/>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1038"/>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1038"/>
        <w:spacing w:line="460" w:lineRule="exact"/>
        <w:rPr>
          <w:rFonts w:ascii="宋体" w:hAnsi="宋体"/>
          <w:bCs/>
          <w:sz w:val="24"/>
        </w:rPr>
      </w:pPr>
      <w:r>
        <w:rPr>
          <w:rFonts w:hint="eastAsia" w:ascii="宋体" w:hAnsi="宋体"/>
          <w:bCs/>
          <w:sz w:val="24"/>
        </w:rPr>
        <w:t xml:space="preserve">                                     </w:t>
      </w:r>
      <w:r>
        <w:rPr>
          <w:rFonts w:ascii="宋体" w:hAnsi="宋体"/>
          <w:bCs/>
          <w:sz w:val="24"/>
        </w:rPr>
      </w:r>
      <w:r/>
    </w:p>
    <w:p>
      <w:pPr>
        <w:pStyle w:val="1038"/>
        <w:ind w:left="480"/>
        <w:rPr>
          <w:rFonts w:ascii="宋体" w:hAnsi="宋体"/>
          <w:b/>
          <w:sz w:val="24"/>
        </w:rPr>
      </w:pPr>
      <w:r>
        <w:rPr>
          <w:rFonts w:ascii="宋体" w:hAnsi="宋体"/>
          <w:b/>
          <w:sz w:val="24"/>
        </w:rPr>
      </w:r>
      <w:r/>
    </w:p>
    <w:p>
      <w:pPr>
        <w:pStyle w:val="1038"/>
        <w:ind w:left="480"/>
        <w:rPr>
          <w:rFonts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rPr>
          <w:rFonts w:ascii="宋体" w:hAnsi="宋体"/>
          <w:b/>
          <w:sz w:val="24"/>
        </w:rPr>
      </w:r>
      <w:r/>
    </w:p>
    <w:p>
      <w:pPr>
        <w:pStyle w:val="1038"/>
        <w:jc w:val="center"/>
        <w:spacing w:line="460" w:lineRule="exact"/>
        <w:rPr>
          <w:rFonts w:ascii="宋体" w:hAnsi="宋体"/>
          <w:b/>
          <w:bCs/>
          <w:sz w:val="24"/>
        </w:rPr>
      </w:pPr>
      <w:r>
        <w:rPr>
          <w:rFonts w:ascii="宋体" w:hAnsi="宋体"/>
          <w:b/>
          <w:bCs/>
          <w:sz w:val="24"/>
        </w:rPr>
      </w:r>
      <w:r/>
    </w:p>
    <w:p>
      <w:pPr>
        <w:pStyle w:val="1038"/>
        <w:jc w:val="center"/>
        <w:spacing w:line="460" w:lineRule="exact"/>
        <w:rPr>
          <w:rFonts w:ascii="宋体" w:hAnsi="宋体"/>
          <w:b/>
          <w:bCs/>
          <w:sz w:val="24"/>
        </w:rPr>
      </w:pPr>
      <w:r>
        <w:rPr>
          <w:rFonts w:hint="eastAsia" w:ascii="宋体" w:hAnsi="宋体"/>
          <w:b/>
          <w:bCs/>
          <w:sz w:val="24"/>
        </w:rPr>
        <w:t xml:space="preserve">声  明</w:t>
      </w:r>
      <w:r>
        <w:rPr>
          <w:rFonts w:ascii="宋体" w:hAnsi="宋体"/>
          <w:b/>
          <w:bCs/>
          <w:sz w:val="24"/>
        </w:rPr>
      </w:r>
      <w:r/>
    </w:p>
    <w:p>
      <w:pPr>
        <w:pStyle w:val="1038"/>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1038"/>
        <w:spacing w:line="460" w:lineRule="exact"/>
        <w:rPr>
          <w:rFonts w:ascii="宋体" w:hAnsi="宋体"/>
          <w:b/>
          <w:sz w:val="24"/>
        </w:rPr>
      </w:pPr>
      <w:r>
        <w:rPr>
          <w:rFonts w:ascii="宋体" w:hAnsi="宋体"/>
          <w:b/>
          <w:sz w:val="24"/>
        </w:rPr>
      </w:r>
      <w:r/>
    </w:p>
    <w:p>
      <w:pPr>
        <w:pStyle w:val="1038"/>
        <w:ind w:firstLine="480"/>
        <w:spacing w:line="460" w:lineRule="exact"/>
        <w:rPr>
          <w:rFonts w:ascii="宋体" w:hAnsi="宋体"/>
          <w:b/>
          <w:sz w:val="24"/>
        </w:rPr>
      </w:pPr>
      <w:r>
        <w:rPr>
          <w:rFonts w:ascii="宋体" w:hAnsi="宋体"/>
          <w:b/>
          <w:sz w:val="24"/>
        </w:rPr>
      </w:r>
      <w:r/>
    </w:p>
    <w:p>
      <w:pPr>
        <w:pStyle w:val="1038"/>
        <w:ind w:firstLine="480"/>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ascii="宋体" w:hAnsi="宋体"/>
          <w:bCs/>
          <w:sz w:val="24"/>
        </w:rPr>
      </w:r>
      <w:r/>
    </w:p>
    <w:p>
      <w:pPr>
        <w:pStyle w:val="1038"/>
        <w:ind w:firstLine="480"/>
        <w:spacing w:line="400" w:lineRule="exact"/>
        <w:tabs>
          <w:tab w:val="left" w:pos="360" w:leader="none"/>
        </w:tabs>
        <w:rPr>
          <w:rFonts w:ascii="宋体" w:hAnsi="宋体"/>
          <w:sz w:val="24"/>
          <w:szCs w:val="24"/>
        </w:rPr>
      </w:pPr>
      <w:r>
        <w:rPr>
          <w:rFonts w:hint="eastAsia" w:ascii="宋体" w:hAnsi="宋体"/>
          <w:sz w:val="24"/>
          <w:szCs w:val="24"/>
        </w:rPr>
        <w:t xml:space="preserve">本授权书声明：____________（投标人名称）授权________________（被授权人的姓名）为我方就JSZC-</w:t>
      </w:r>
      <w:r>
        <w:rPr>
          <w:rFonts w:ascii="宋体" w:hAnsi="宋体"/>
          <w:sz w:val="24"/>
          <w:szCs w:val="24"/>
        </w:rPr>
        <w:t xml:space="preserve">320000-</w:t>
      </w:r>
      <w:r>
        <w:rPr>
          <w:rFonts w:ascii="宋体" w:hAnsi="宋体"/>
          <w:sz w:val="24"/>
          <w:szCs w:val="24"/>
          <w:u w:val="single"/>
        </w:rPr>
        <w:t xml:space="preserve">****</w:t>
      </w:r>
      <w:r>
        <w:rPr>
          <w:rFonts w:hint="eastAsia" w:ascii="宋体" w:hAnsi="宋体"/>
          <w:sz w:val="24"/>
          <w:szCs w:val="24"/>
        </w:rPr>
        <w:t xml:space="preserve">号项目采购活动的合法代理人，以本单位名义全权处理一切与该项目采购有关的事务。</w:t>
      </w:r>
      <w:r>
        <w:rPr>
          <w:rFonts w:ascii="宋体" w:hAnsi="宋体"/>
          <w:sz w:val="24"/>
          <w:szCs w:val="24"/>
        </w:rPr>
      </w:r>
      <w:r/>
    </w:p>
    <w:p>
      <w:pPr>
        <w:pStyle w:val="1038"/>
        <w:ind w:firstLine="480"/>
        <w:spacing w:line="400" w:lineRule="exact"/>
        <w:tabs>
          <w:tab w:val="left" w:pos="360" w:leader="none"/>
        </w:tabs>
        <w:rPr>
          <w:rFonts w:ascii="宋体" w:hAnsi="宋体"/>
          <w:sz w:val="24"/>
          <w:szCs w:val="24"/>
        </w:rPr>
      </w:pPr>
      <w:r>
        <w:rPr>
          <w:rFonts w:hint="eastAsia" w:ascii="宋体" w:hAnsi="宋体"/>
          <w:sz w:val="24"/>
          <w:szCs w:val="24"/>
        </w:rPr>
        <w:t xml:space="preserve">本授权书于______年____月____日起生效，特此声明。</w:t>
      </w:r>
      <w:r>
        <w:rPr>
          <w:rFonts w:ascii="宋体" w:hAnsi="宋体"/>
          <w:sz w:val="24"/>
          <w:szCs w:val="24"/>
        </w:rPr>
      </w:r>
      <w:r/>
    </w:p>
    <w:p>
      <w:pPr>
        <w:pStyle w:val="1038"/>
        <w:spacing w:line="400" w:lineRule="exact"/>
        <w:tabs>
          <w:tab w:val="left" w:pos="360" w:leader="none"/>
        </w:tabs>
        <w:rPr>
          <w:rFonts w:ascii="宋体" w:hAnsi="宋体"/>
          <w:sz w:val="24"/>
          <w:szCs w:val="24"/>
          <w:u w:val="single"/>
        </w:rPr>
      </w:pPr>
      <w:r>
        <w:rPr>
          <w:rFonts w:hint="eastAsia" w:ascii="宋体" w:hAnsi="宋体"/>
          <w:sz w:val="24"/>
          <w:szCs w:val="24"/>
        </w:rPr>
        <w:t xml:space="preserve">          被授权人身份证号码：</w:t>
      </w:r>
      <w:r>
        <w:rPr>
          <w:rFonts w:hint="eastAsia" w:ascii="宋体" w:hAnsi="宋体"/>
          <w:sz w:val="24"/>
          <w:szCs w:val="24"/>
          <w:u w:val="single"/>
        </w:rPr>
        <w:t xml:space="preserve">                              </w:t>
      </w:r>
      <w:r>
        <w:rPr>
          <w:rFonts w:ascii="宋体" w:hAnsi="宋体"/>
          <w:sz w:val="24"/>
          <w:szCs w:val="24"/>
          <w:u w:val="single"/>
        </w:rPr>
      </w:r>
      <w:r/>
    </w:p>
    <w:p>
      <w:pPr>
        <w:pStyle w:val="1038"/>
        <w:spacing w:line="400" w:lineRule="exact"/>
        <w:tabs>
          <w:tab w:val="left" w:pos="360" w:leader="none"/>
        </w:tabs>
        <w:rPr>
          <w:rFonts w:ascii="宋体" w:hAnsi="宋体"/>
          <w:sz w:val="24"/>
          <w:szCs w:val="24"/>
          <w:u w:val="single"/>
        </w:rPr>
      </w:pPr>
      <w:r>
        <w:rPr>
          <w:rFonts w:hint="eastAsia" w:ascii="宋体" w:hAnsi="宋体"/>
          <w:sz w:val="24"/>
          <w:szCs w:val="24"/>
        </w:rPr>
        <w:t xml:space="preserve">          被授权人联系电话：（手机）</w:t>
      </w:r>
      <w:r>
        <w:rPr>
          <w:rFonts w:hint="eastAsia" w:ascii="宋体" w:hAnsi="宋体"/>
          <w:sz w:val="24"/>
          <w:szCs w:val="24"/>
          <w:u w:val="single"/>
        </w:rPr>
        <w:t xml:space="preserve">                          </w:t>
      </w:r>
      <w:r>
        <w:rPr>
          <w:rFonts w:ascii="宋体" w:hAnsi="宋体"/>
          <w:sz w:val="24"/>
          <w:szCs w:val="24"/>
          <w:u w:val="single"/>
        </w:rPr>
      </w:r>
      <w:r/>
    </w:p>
    <w:p>
      <w:pPr>
        <w:pStyle w:val="1038"/>
        <w:ind w:firstLine="1200"/>
        <w:spacing w:line="400" w:lineRule="exact"/>
        <w:tabs>
          <w:tab w:val="left" w:pos="360" w:leader="none"/>
        </w:tabs>
        <w:rPr>
          <w:rFonts w:ascii="宋体" w:hAnsi="宋体"/>
          <w:sz w:val="24"/>
          <w:szCs w:val="24"/>
        </w:rPr>
      </w:pPr>
      <w:r>
        <w:rPr>
          <w:rFonts w:hint="eastAsia" w:ascii="宋体" w:hAnsi="宋体"/>
          <w:sz w:val="24"/>
          <w:szCs w:val="24"/>
        </w:rPr>
        <w:t xml:space="preserve">授权单位名称：</w:t>
      </w:r>
      <w:r>
        <w:rPr>
          <w:rFonts w:hint="eastAsia" w:ascii="宋体" w:hAnsi="宋体"/>
          <w:sz w:val="24"/>
          <w:szCs w:val="24"/>
          <w:u w:val="single"/>
        </w:rPr>
        <w:t xml:space="preserve">（加盖CA电子公章）</w:t>
      </w:r>
      <w:r>
        <w:rPr>
          <w:rFonts w:ascii="宋体" w:hAnsi="宋体"/>
          <w:sz w:val="24"/>
          <w:szCs w:val="24"/>
        </w:rPr>
      </w:r>
      <w:r/>
    </w:p>
    <w:p>
      <w:pPr>
        <w:pStyle w:val="1038"/>
        <w:ind w:firstLine="480"/>
        <w:spacing w:line="400" w:lineRule="exact"/>
        <w:tabs>
          <w:tab w:val="left" w:pos="360" w:leader="none"/>
        </w:tabs>
        <w:rPr>
          <w:rFonts w:ascii="宋体" w:hAnsi="宋体"/>
          <w:sz w:val="24"/>
          <w:szCs w:val="24"/>
          <w:u w:val="single"/>
        </w:rPr>
      </w:pPr>
      <w:r>
        <w:rPr>
          <w:rFonts w:hint="eastAsia" w:ascii="宋体" w:hAnsi="宋体"/>
          <w:sz w:val="24"/>
          <w:szCs w:val="24"/>
        </w:rPr>
        <w:t xml:space="preserve">      单位地址：</w:t>
      </w:r>
      <w:r>
        <w:rPr>
          <w:rFonts w:hint="eastAsia" w:ascii="宋体" w:hAnsi="宋体"/>
          <w:sz w:val="24"/>
          <w:szCs w:val="24"/>
          <w:u w:val="single"/>
        </w:rPr>
        <w:t xml:space="preserve">                                         </w:t>
      </w:r>
      <w:r>
        <w:rPr>
          <w:rFonts w:ascii="宋体" w:hAnsi="宋体"/>
          <w:sz w:val="24"/>
          <w:szCs w:val="24"/>
          <w:u w:val="single"/>
        </w:rPr>
      </w:r>
      <w:r/>
    </w:p>
    <w:p>
      <w:pPr>
        <w:pStyle w:val="1038"/>
        <w:ind w:firstLine="480"/>
        <w:spacing w:line="400" w:lineRule="exact"/>
        <w:tabs>
          <w:tab w:val="left" w:pos="360" w:leader="none"/>
        </w:tabs>
        <w:rPr>
          <w:rFonts w:ascii="宋体" w:hAnsi="宋体"/>
          <w:sz w:val="24"/>
          <w:szCs w:val="24"/>
        </w:rPr>
      </w:pPr>
      <w:r>
        <w:rPr>
          <w:rFonts w:hint="eastAsia" w:ascii="宋体" w:hAnsi="宋体"/>
          <w:sz w:val="24"/>
          <w:szCs w:val="24"/>
        </w:rPr>
        <w:t xml:space="preserve">      日期：</w:t>
      </w:r>
      <w:r>
        <w:rPr>
          <w:rFonts w:hint="eastAsia" w:ascii="宋体" w:hAnsi="宋体"/>
          <w:sz w:val="24"/>
          <w:szCs w:val="24"/>
          <w:u w:val="single"/>
        </w:rPr>
        <w:t xml:space="preserve">                                         </w:t>
      </w:r>
      <w:r>
        <w:rPr>
          <w:rFonts w:ascii="宋体" w:hAnsi="宋体"/>
          <w:sz w:val="24"/>
          <w:szCs w:val="24"/>
        </w:rPr>
      </w:r>
      <w:r/>
    </w:p>
    <w:p>
      <w:pPr>
        <w:pStyle w:val="1038"/>
        <w:ind w:firstLine="360"/>
        <w:spacing w:line="400" w:lineRule="exact"/>
        <w:rPr>
          <w:rFonts w:ascii="宋体" w:hAnsi="宋体"/>
          <w:sz w:val="24"/>
          <w:szCs w:val="24"/>
        </w:rPr>
      </w:pPr>
      <w:r>
        <w:rPr>
          <w:rFonts w:ascii="宋体" w:hAnsi="宋体"/>
          <w:sz w:val="24"/>
          <w:szCs w:val="24"/>
        </w:rPr>
      </w:r>
      <w:r/>
    </w:p>
    <w:p>
      <w:pPr>
        <w:pStyle w:val="1038"/>
        <w:keepLines/>
        <w:keepNext/>
        <w:spacing w:before="260" w:after="260" w:line="416" w:lineRule="auto"/>
        <w:rPr>
          <w:rFonts w:ascii="宋体" w:hAnsi="宋体"/>
          <w:b/>
          <w:i/>
          <w:sz w:val="32"/>
          <w:szCs w:val="32"/>
          <w:u w:val="single"/>
        </w:rPr>
      </w:pPr>
      <w:r>
        <w:rPr>
          <w:rFonts w:ascii="宋体" w:hAnsi="宋体"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rPr>
          <w:rFonts w:ascii="宋体" w:hAnsi="宋体"/>
          <w:b/>
          <w:i/>
          <w:sz w:val="32"/>
          <w:szCs w:val="32"/>
          <w:u w:val="single"/>
        </w:rPr>
      </w:r>
      <w:r/>
    </w:p>
    <w:p>
      <w:pPr>
        <w:pStyle w:val="1038"/>
        <w:jc w:val="left"/>
        <w:spacing w:line="420" w:lineRule="exact"/>
        <w:rPr>
          <w:rFonts w:ascii="宋体" w:hAnsi="宋体"/>
          <w:sz w:val="24"/>
        </w:rPr>
      </w:pPr>
      <w:r>
        <w:rPr>
          <w:rFonts w:hint="eastAsia" w:ascii="宋体" w:hAnsi="宋体"/>
          <w:sz w:val="24"/>
        </w:rPr>
        <w:t xml:space="preserve">致：江苏省政府采购中心</w:t>
      </w:r>
      <w:r>
        <w:rPr>
          <w:rFonts w:ascii="宋体" w:hAnsi="宋体"/>
          <w:sz w:val="24"/>
        </w:rPr>
      </w:r>
      <w:r/>
    </w:p>
    <w:p>
      <w:pPr>
        <w:pStyle w:val="1360"/>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ascii="宋体" w:hAnsi="宋体"/>
          <w:szCs w:val="21"/>
        </w:rPr>
      </w:r>
      <w:r/>
    </w:p>
    <w:p>
      <w:pPr>
        <w:pStyle w:val="1360"/>
        <w:spacing w:before="0" w:after="0" w:line="420" w:lineRule="exact"/>
        <w:rPr>
          <w:rFonts w:ascii="宋体" w:hAnsi="宋体"/>
          <w:szCs w:val="21"/>
        </w:rPr>
      </w:pPr>
      <w:r>
        <w:rPr>
          <w:rFonts w:hint="eastAsia" w:ascii="宋体" w:hAnsi="宋体"/>
          <w:szCs w:val="21"/>
        </w:rPr>
        <w:t xml:space="preserve">据此函，__________签字人兹宣布同意如下：</w:t>
      </w:r>
      <w:r>
        <w:rPr>
          <w:rFonts w:ascii="宋体" w:hAnsi="宋体"/>
          <w:szCs w:val="21"/>
        </w:rPr>
      </w:r>
      <w:r/>
    </w:p>
    <w:p>
      <w:pPr>
        <w:pStyle w:val="1360"/>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rPr>
          <w:rFonts w:ascii="宋体" w:hAnsi="宋体"/>
          <w:szCs w:val="21"/>
        </w:rPr>
      </w:r>
      <w:r/>
    </w:p>
    <w:p>
      <w:pPr>
        <w:pStyle w:val="1360"/>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1360"/>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1360"/>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1360"/>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ascii="宋体" w:hAnsi="宋体"/>
          <w:szCs w:val="21"/>
        </w:rPr>
      </w:r>
      <w:r/>
    </w:p>
    <w:p>
      <w:pPr>
        <w:pStyle w:val="136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ascii="宋体" w:hAnsi="宋体"/>
          <w:szCs w:val="21"/>
        </w:rPr>
      </w:r>
      <w:r/>
    </w:p>
    <w:p>
      <w:pPr>
        <w:pStyle w:val="1360"/>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ascii="宋体" w:hAnsi="宋体"/>
          <w:szCs w:val="21"/>
        </w:rPr>
      </w:r>
      <w:r/>
    </w:p>
    <w:p>
      <w:pPr>
        <w:pStyle w:val="1360"/>
        <w:ind w:left="420"/>
        <w:spacing w:before="0" w:after="0"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1360"/>
        <w:ind w:left="420"/>
        <w:spacing w:before="0" w:after="0"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1360"/>
        <w:ind w:left="420"/>
        <w:spacing w:before="0" w:after="0" w:line="420" w:lineRule="exact"/>
        <w:rPr>
          <w:rFonts w:ascii="宋体" w:hAnsi="宋体"/>
          <w:szCs w:val="21"/>
        </w:rPr>
      </w:pPr>
      <w:r>
        <w:rPr>
          <w:rFonts w:hint="eastAsia" w:ascii="宋体" w:hAnsi="宋体"/>
          <w:szCs w:val="21"/>
        </w:rPr>
        <w:t xml:space="preserve">电          话：</w:t>
      </w:r>
      <w:r>
        <w:rPr>
          <w:rFonts w:ascii="宋体" w:hAnsi="宋体"/>
          <w:szCs w:val="21"/>
        </w:rPr>
      </w:r>
      <w:r/>
    </w:p>
    <w:p>
      <w:pPr>
        <w:pStyle w:val="1360"/>
        <w:ind w:left="420"/>
        <w:spacing w:before="0" w:after="0" w:line="420" w:lineRule="exact"/>
        <w:rPr>
          <w:rFonts w:ascii="宋体" w:hAnsi="宋体"/>
          <w:szCs w:val="21"/>
        </w:rPr>
      </w:pPr>
      <w:r>
        <w:rPr>
          <w:rFonts w:hint="eastAsia" w:ascii="宋体" w:hAnsi="宋体"/>
          <w:szCs w:val="21"/>
        </w:rPr>
        <w:t xml:space="preserve">传          真：</w:t>
      </w:r>
      <w:r>
        <w:rPr>
          <w:rFonts w:ascii="宋体" w:hAnsi="宋体"/>
          <w:szCs w:val="21"/>
        </w:rPr>
      </w:r>
      <w:r/>
    </w:p>
    <w:p>
      <w:pPr>
        <w:pStyle w:val="1360"/>
        <w:ind w:left="420"/>
        <w:spacing w:before="0" w:after="0" w:line="420" w:lineRule="exact"/>
        <w:rPr>
          <w:rFonts w:ascii="宋体" w:hAnsi="宋体"/>
          <w:szCs w:val="21"/>
        </w:rPr>
      </w:pPr>
      <w:r>
        <w:rPr>
          <w:rFonts w:hint="eastAsia" w:ascii="宋体" w:hAnsi="宋体"/>
          <w:szCs w:val="21"/>
        </w:rPr>
        <w:t xml:space="preserve">投标人开户行：</w:t>
      </w:r>
      <w:r>
        <w:rPr>
          <w:rFonts w:ascii="宋体" w:hAnsi="宋体"/>
          <w:szCs w:val="21"/>
        </w:rPr>
      </w:r>
      <w:r/>
    </w:p>
    <w:p>
      <w:pPr>
        <w:pStyle w:val="1360"/>
        <w:ind w:left="420"/>
        <w:spacing w:before="0" w:after="0" w:line="420" w:lineRule="exact"/>
        <w:rPr>
          <w:rFonts w:ascii="宋体" w:hAnsi="宋体"/>
          <w:szCs w:val="21"/>
        </w:rPr>
      </w:pPr>
      <w:r>
        <w:rPr>
          <w:rFonts w:hint="eastAsia" w:ascii="宋体" w:hAnsi="宋体"/>
          <w:szCs w:val="21"/>
        </w:rPr>
        <w:t xml:space="preserve">账          号： </w:t>
      </w:r>
      <w:r>
        <w:rPr>
          <w:rFonts w:ascii="宋体" w:hAnsi="宋体"/>
          <w:szCs w:val="21"/>
        </w:rPr>
      </w:r>
      <w:r/>
    </w:p>
    <w:p>
      <w:pPr>
        <w:pStyle w:val="1360"/>
        <w:ind w:left="420"/>
        <w:spacing w:before="0" w:after="0" w:line="420" w:lineRule="exact"/>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1038"/>
        <w:ind w:firstLine="240"/>
        <w:jc w:val="center"/>
        <w:spacing w:line="560" w:lineRule="exact"/>
        <w:rPr>
          <w:rFonts w:ascii="宋体" w:hAnsi="宋体"/>
          <w:bCs/>
          <w:sz w:val="24"/>
        </w:rPr>
      </w:pPr>
      <w:r>
        <w:rPr>
          <w:rFonts w:ascii="宋体" w:hAnsi="宋体"/>
          <w:bCs/>
          <w:sz w:val="24"/>
        </w:rPr>
      </w:r>
      <w:r/>
    </w:p>
    <w:p>
      <w:pPr>
        <w:pStyle w:val="1038"/>
        <w:ind w:firstLine="480"/>
        <w:spacing w:line="440" w:lineRule="exact"/>
        <w:rPr>
          <w:rFonts w:ascii="宋体" w:hAnsi="宋体"/>
          <w:sz w:val="24"/>
        </w:rPr>
      </w:pPr>
      <w:r>
        <w:rPr>
          <w:rFonts w:ascii="宋体" w:hAnsi="宋体"/>
          <w:sz w:val="24"/>
        </w:rPr>
      </w:r>
      <w:r/>
    </w:p>
    <w:p>
      <w:pPr>
        <w:pStyle w:val="1038"/>
        <w:ind w:firstLine="480"/>
        <w:spacing w:line="440" w:lineRule="exact"/>
        <w:rPr>
          <w:rFonts w:ascii="宋体" w:hAnsi="宋体"/>
          <w:sz w:val="24"/>
        </w:rPr>
      </w:pPr>
      <w:r>
        <w:rPr>
          <w:rFonts w:ascii="宋体" w:hAnsi="宋体"/>
          <w:sz w:val="24"/>
        </w:rPr>
      </w:r>
      <w:r/>
    </w:p>
    <w:p>
      <w:pPr>
        <w:pStyle w:val="1038"/>
        <w:ind w:firstLine="480"/>
        <w:spacing w:line="440" w:lineRule="exact"/>
        <w:rPr>
          <w:rFonts w:ascii="宋体" w:hAnsi="宋体"/>
          <w:sz w:val="24"/>
        </w:rPr>
      </w:pPr>
      <w:r>
        <w:rPr>
          <w:rFonts w:ascii="宋体" w:hAnsi="宋体"/>
          <w:sz w:val="24"/>
        </w:rPr>
      </w:r>
      <w:r/>
    </w:p>
    <w:p>
      <w:pPr>
        <w:pStyle w:val="1038"/>
        <w:ind w:firstLine="480"/>
        <w:spacing w:line="440" w:lineRule="exact"/>
        <w:rPr>
          <w:rFonts w:ascii="宋体" w:hAnsi="宋体"/>
          <w:sz w:val="24"/>
        </w:rPr>
      </w:pPr>
      <w:r/>
      <w:bookmarkEnd w:id="199"/>
      <w:r/>
      <w:bookmarkEnd w:id="200"/>
      <w:r/>
      <w:bookmarkEnd w:id="201"/>
      <w:r>
        <w:rPr>
          <w:rFonts w:ascii="宋体" w:hAnsi="宋体"/>
          <w:sz w:val="24"/>
        </w:rPr>
      </w:r>
      <w:r/>
    </w:p>
    <w:p>
      <w:pPr>
        <w:pStyle w:val="1038"/>
        <w:ind w:firstLine="480"/>
        <w:spacing w:line="440" w:lineRule="exact"/>
        <w:rPr>
          <w:rFonts w:ascii="宋体" w:hAnsi="宋体"/>
          <w:sz w:val="24"/>
        </w:rPr>
      </w:pPr>
      <w:r>
        <w:rPr>
          <w:rFonts w:ascii="宋体" w:hAnsi="宋体"/>
          <w:sz w:val="24"/>
        </w:rPr>
      </w:r>
      <w:r/>
    </w:p>
    <w:p>
      <w:pPr>
        <w:pStyle w:val="1038"/>
        <w:ind w:firstLine="480"/>
        <w:spacing w:line="440" w:lineRule="exact"/>
        <w:rPr>
          <w:rFonts w:ascii="宋体" w:hAnsi="宋体"/>
          <w:sz w:val="24"/>
        </w:rPr>
      </w:pPr>
      <w:r>
        <w:rPr>
          <w:rFonts w:ascii="宋体" w:hAnsi="宋体"/>
          <w:sz w:val="24"/>
        </w:rPr>
      </w:r>
      <w:r/>
    </w:p>
    <w:p>
      <w:pPr>
        <w:pStyle w:val="1038"/>
        <w:spacing w:line="460" w:lineRule="exact"/>
        <w:rPr>
          <w:rFonts w:ascii="宋体" w:hAnsi="宋体"/>
          <w:b/>
          <w:sz w:val="32"/>
          <w:szCs w:val="32"/>
        </w:rPr>
      </w:pPr>
      <w:r/>
      <w:bookmarkStart w:id="202" w:name="_Toc120614284"/>
      <w:r>
        <w:rPr>
          <w:rFonts w:ascii="宋体" w:hAnsi="宋体"/>
          <w:b/>
          <w:sz w:val="32"/>
          <w:szCs w:val="32"/>
        </w:rPr>
      </w:r>
      <w:r/>
    </w:p>
    <w:p>
      <w:pPr>
        <w:pStyle w:val="1038"/>
        <w:jc w:val="center"/>
        <w:spacing w:line="460" w:lineRule="exact"/>
        <w:rPr>
          <w:rFonts w:ascii="宋体" w:hAnsi="宋体"/>
          <w:b/>
          <w:sz w:val="24"/>
          <w:szCs w:val="24"/>
        </w:rPr>
      </w:pPr>
      <w:r>
        <w:rPr>
          <w:rFonts w:hint="eastAsia" w:ascii="宋体" w:hAnsi="宋体"/>
          <w:b/>
          <w:sz w:val="24"/>
          <w:szCs w:val="24"/>
        </w:rPr>
        <w:t xml:space="preserve">附件9 中小微企业声明函（服务类项目）（分包号：**）</w:t>
      </w:r>
      <w:r>
        <w:rPr>
          <w:rFonts w:ascii="宋体" w:hAnsi="宋体"/>
          <w:b/>
          <w:sz w:val="24"/>
          <w:szCs w:val="24"/>
        </w:rPr>
      </w:r>
      <w:r/>
    </w:p>
    <w:p>
      <w:pPr>
        <w:pStyle w:val="1038"/>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宋体" w:hAnsi="宋体"/>
          <w:sz w:val="24"/>
          <w:szCs w:val="24"/>
        </w:rPr>
      </w:r>
      <w:r/>
    </w:p>
    <w:p>
      <w:pPr>
        <w:pStyle w:val="1038"/>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ascii="宋体" w:hAnsi="宋体"/>
          <w:i/>
          <w:sz w:val="24"/>
          <w:szCs w:val="24"/>
          <w:u w:val="single"/>
        </w:rPr>
      </w:r>
      <w:r/>
    </w:p>
    <w:p>
      <w:pPr>
        <w:pStyle w:val="1038"/>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ascii="宋体" w:hAnsi="宋体"/>
          <w:i/>
          <w:sz w:val="24"/>
          <w:szCs w:val="24"/>
          <w:u w:val="single"/>
        </w:rPr>
      </w:r>
      <w:r/>
    </w:p>
    <w:p>
      <w:pPr>
        <w:pStyle w:val="1038"/>
        <w:ind w:firstLine="360"/>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1038"/>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1038"/>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1038"/>
        <w:ind w:right="720"/>
        <w:spacing w:line="400" w:lineRule="exact"/>
        <w:rPr>
          <w:rFonts w:ascii="宋体" w:hAnsi="宋体"/>
          <w:sz w:val="24"/>
          <w:szCs w:val="24"/>
        </w:rPr>
      </w:pPr>
      <w:r>
        <w:rPr>
          <w:rFonts w:ascii="宋体" w:hAnsi="宋体"/>
          <w:sz w:val="24"/>
          <w:szCs w:val="24"/>
        </w:rPr>
      </w:r>
      <w:r/>
    </w:p>
    <w:p>
      <w:pPr>
        <w:pStyle w:val="1038"/>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1038"/>
        <w:ind w:right="480" w:firstLine="5400"/>
        <w:spacing w:line="40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1038"/>
        <w:ind w:firstLine="240"/>
        <w:spacing w:line="400" w:lineRule="exact"/>
        <w:rPr>
          <w:rFonts w:ascii="宋体" w:hAnsi="宋体"/>
          <w:sz w:val="24"/>
          <w:szCs w:val="24"/>
        </w:rPr>
      </w:pPr>
      <w:r>
        <w:rPr>
          <w:rFonts w:ascii="宋体" w:hAnsi="宋体"/>
          <w:sz w:val="24"/>
          <w:szCs w:val="24"/>
        </w:rPr>
      </w:r>
      <w:r/>
    </w:p>
    <w:p>
      <w:pPr>
        <w:pStyle w:val="1038"/>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1038"/>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ascii="宋体" w:hAnsi="宋体"/>
          <w:sz w:val="24"/>
          <w:szCs w:val="24"/>
        </w:rPr>
      </w:r>
      <w:r/>
    </w:p>
    <w:p>
      <w:pPr>
        <w:pStyle w:val="1038"/>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1038"/>
        <w:ind w:firstLine="480"/>
        <w:spacing w:line="400" w:lineRule="exact"/>
        <w:rPr>
          <w:rFonts w:ascii="宋体" w:hAnsi="宋体"/>
          <w:b/>
          <w:sz w:val="32"/>
          <w:szCs w:val="32"/>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宋体" w:hAnsi="宋体"/>
          <w:b/>
          <w:sz w:val="32"/>
          <w:szCs w:val="32"/>
        </w:rPr>
        <w:br w:type="page" w:clear="all"/>
      </w:r>
      <w:r>
        <w:rPr>
          <w:rFonts w:hint="eastAsia" w:ascii="宋体" w:hAnsi="宋体"/>
          <w:b/>
          <w:sz w:val="24"/>
          <w:szCs w:val="24"/>
        </w:rPr>
        <w:t xml:space="preserve">附件10 残疾人福利性单位声明函（服务类项目）（分包号：**）</w:t>
      </w:r>
      <w:r>
        <w:rPr>
          <w:rFonts w:ascii="宋体" w:hAnsi="宋体"/>
          <w:b/>
          <w:sz w:val="32"/>
          <w:szCs w:val="32"/>
        </w:rPr>
      </w:r>
      <w:r/>
    </w:p>
    <w:p>
      <w:pPr>
        <w:pStyle w:val="1038"/>
        <w:ind w:firstLine="480"/>
        <w:spacing w:line="0" w:lineRule="atLeas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ascii="宋体" w:hAnsi="宋体"/>
          <w:sz w:val="24"/>
        </w:rPr>
      </w:r>
      <w:r/>
    </w:p>
    <w:p>
      <w:pPr>
        <w:pStyle w:val="1038"/>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1038"/>
        <w:ind w:firstLine="480"/>
        <w:spacing w:line="0" w:lineRule="atLeast"/>
        <w:rPr>
          <w:rFonts w:ascii="宋体" w:hAnsi="宋体"/>
          <w:sz w:val="24"/>
        </w:rPr>
      </w:pPr>
      <w:r>
        <w:rPr>
          <w:rFonts w:ascii="宋体" w:hAnsi="宋体"/>
          <w:sz w:val="24"/>
        </w:rPr>
      </w:r>
      <w:r/>
    </w:p>
    <w:p>
      <w:pPr>
        <w:pStyle w:val="1038"/>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1038"/>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1038"/>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1038"/>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1038"/>
        <w:ind w:firstLine="624"/>
        <w:spacing w:line="588" w:lineRule="exact"/>
        <w:rPr>
          <w:rFonts w:ascii="宋体" w:hAnsi="宋体"/>
          <w:spacing w:val="6"/>
          <w:sz w:val="30"/>
          <w:szCs w:val="30"/>
        </w:rPr>
      </w:pPr>
      <w:r>
        <w:rPr>
          <w:rFonts w:ascii="宋体" w:hAnsi="宋体"/>
          <w:spacing w:val="6"/>
          <w:sz w:val="30"/>
          <w:szCs w:val="30"/>
        </w:rPr>
      </w:r>
      <w:r/>
    </w:p>
    <w:p>
      <w:pPr>
        <w:pStyle w:val="1038"/>
        <w:ind w:right="1559" w:firstLine="624"/>
        <w:jc w:val="center"/>
        <w:spacing w:line="0" w:lineRule="atLeast"/>
        <w:tabs>
          <w:tab w:val="left" w:pos="4860" w:leader="none"/>
        </w:tabs>
        <w:rPr>
          <w:rFonts w:ascii="宋体" w:hAnsi="宋体"/>
          <w:sz w:val="24"/>
        </w:rPr>
      </w:pPr>
      <w:r>
        <w:rPr>
          <w:rFonts w:hint="eastAsia" w:ascii="宋体" w:hAnsi="宋体"/>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1038"/>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1038"/>
        <w:jc w:val="center"/>
        <w:spacing w:line="560" w:lineRule="exact"/>
        <w:rPr>
          <w:rFonts w:ascii="宋体" w:hAnsi="宋体"/>
          <w:b/>
          <w:sz w:val="32"/>
          <w:szCs w:val="32"/>
        </w:rPr>
      </w:pPr>
      <w:r>
        <w:rPr>
          <w:rFonts w:ascii="宋体" w:hAnsi="宋体"/>
          <w:b/>
          <w:sz w:val="32"/>
          <w:szCs w:val="32"/>
        </w:rPr>
      </w:r>
      <w:r/>
    </w:p>
    <w:p>
      <w:pPr>
        <w:pStyle w:val="1038"/>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实质性要求响应及偏离表（分包号：**）</w:t>
      </w:r>
      <w:r>
        <w:rPr>
          <w:rFonts w:ascii="宋体" w:hAnsi="宋体"/>
          <w:b/>
          <w:sz w:val="24"/>
          <w:szCs w:val="24"/>
        </w:rPr>
      </w:r>
      <w:r/>
    </w:p>
    <w:tbl>
      <w:tblPr>
        <w:tblW w:w="89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609" w:type="dxa"/>
            <w:vAlign w:val="center"/>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r>
            <w:r/>
          </w:p>
        </w:tc>
        <w:tc>
          <w:tcPr>
            <w:tcW w:w="3317" w:type="dxa"/>
            <w:vAlign w:val="center"/>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526" w:type="dxa"/>
            <w:vAlign w:val="center"/>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r>
      <w:tr>
        <w:trPr>
          <w:cantSplit/>
          <w:trHeight w:val="640"/>
        </w:trPr>
        <w:tc>
          <w:tcPr>
            <w:tcW w:w="545" w:type="dxa"/>
            <w:vAlign w:val="top"/>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609"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c>
          <w:tcPr>
            <w:tcW w:w="3317"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c>
          <w:tcPr>
            <w:tcW w:w="1526"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1038"/>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609"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c>
          <w:tcPr>
            <w:tcW w:w="3317"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c>
          <w:tcPr>
            <w:tcW w:w="1526"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c>
          <w:tcPr>
            <w:tcW w:w="3609"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t xml:space="preserve">……</w:t>
            </w:r>
            <w:r>
              <w:rPr>
                <w:rFonts w:ascii="宋体" w:hAnsi="宋体"/>
                <w:sz w:val="24"/>
                <w:szCs w:val="24"/>
              </w:rPr>
            </w:r>
            <w:r/>
          </w:p>
        </w:tc>
        <w:tc>
          <w:tcPr>
            <w:tcW w:w="3317"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c>
          <w:tcPr>
            <w:tcW w:w="1526" w:type="dxa"/>
            <w:vAlign w:val="top"/>
            <w:textDirection w:val="lrTb"/>
            <w:noWrap w:val="false"/>
          </w:tcPr>
          <w:p>
            <w:pPr>
              <w:pStyle w:val="1038"/>
              <w:jc w:val="center"/>
              <w:spacing w:line="400" w:lineRule="exact"/>
              <w:rPr>
                <w:rFonts w:ascii="宋体" w:hAnsi="宋体"/>
                <w:sz w:val="24"/>
                <w:szCs w:val="24"/>
              </w:rPr>
            </w:pPr>
            <w:r>
              <w:rPr>
                <w:rFonts w:ascii="宋体" w:hAnsi="宋体"/>
                <w:sz w:val="24"/>
                <w:szCs w:val="24"/>
              </w:rPr>
            </w:r>
            <w:r/>
          </w:p>
        </w:tc>
      </w:tr>
    </w:tbl>
    <w:p>
      <w:pPr>
        <w:pStyle w:val="1038"/>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1038"/>
        <w:spacing w:line="400" w:lineRule="exact"/>
        <w:rPr>
          <w:rFonts w:ascii="宋体" w:hAnsi="宋体"/>
          <w:sz w:val="24"/>
          <w:szCs w:val="24"/>
        </w:rPr>
      </w:pPr>
      <w:r>
        <w:rPr>
          <w:rFonts w:ascii="宋体" w:hAnsi="宋体"/>
          <w:sz w:val="24"/>
          <w:szCs w:val="24"/>
        </w:rPr>
      </w:r>
      <w:r/>
    </w:p>
    <w:p>
      <w:pPr>
        <w:pStyle w:val="103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1038"/>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103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1038"/>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3.投标人未对实质性要求逐条作出明确响应的，或未按招标文件要求提供证明材料的，该分包作无效投标处理。</w:t>
      </w:r>
      <w:r>
        <w:rPr>
          <w:rFonts w:ascii="宋体" w:hAnsi="宋体"/>
          <w:sz w:val="24"/>
          <w:szCs w:val="24"/>
        </w:rPr>
      </w:r>
      <w:r/>
    </w:p>
    <w:p>
      <w:pPr>
        <w:pStyle w:val="1038"/>
        <w:spacing w:line="400" w:lineRule="exact"/>
        <w:rPr>
          <w:rFonts w:ascii="宋体" w:hAnsi="宋体"/>
          <w:sz w:val="24"/>
          <w:szCs w:val="24"/>
        </w:rPr>
      </w:pPr>
      <w:r>
        <w:rPr>
          <w:rFonts w:ascii="宋体" w:hAnsi="宋体"/>
          <w:sz w:val="24"/>
          <w:szCs w:val="24"/>
        </w:rPr>
      </w:r>
      <w:r/>
    </w:p>
    <w:p>
      <w:pPr>
        <w:pStyle w:val="1038"/>
        <w:spacing w:line="460" w:lineRule="exact"/>
        <w:rPr>
          <w:rFonts w:ascii="宋体" w:hAnsi="宋体"/>
          <w:bCs/>
          <w:sz w:val="24"/>
        </w:rPr>
      </w:pPr>
      <w:r>
        <w:rPr>
          <w:rFonts w:ascii="宋体" w:hAnsi="宋体"/>
          <w:bCs/>
          <w:sz w:val="24"/>
        </w:rPr>
      </w:r>
      <w:r/>
    </w:p>
    <w:p>
      <w:pPr>
        <w:pStyle w:val="1038"/>
        <w:spacing w:line="460" w:lineRule="exact"/>
        <w:rPr>
          <w:rFonts w:ascii="宋体" w:hAnsi="宋体"/>
          <w:bCs/>
          <w:sz w:val="24"/>
        </w:rPr>
      </w:pPr>
      <w:r>
        <w:rPr>
          <w:rFonts w:ascii="宋体" w:hAnsi="宋体"/>
          <w:bCs/>
          <w:sz w:val="24"/>
        </w:rPr>
      </w:r>
      <w:r/>
    </w:p>
    <w:p>
      <w:pPr>
        <w:pStyle w:val="1038"/>
        <w:spacing w:line="460" w:lineRule="exact"/>
        <w:rPr>
          <w:rFonts w:ascii="宋体" w:hAnsi="宋体"/>
          <w:bCs/>
          <w:sz w:val="24"/>
        </w:rPr>
      </w:pPr>
      <w:r>
        <w:rPr>
          <w:rFonts w:ascii="宋体" w:hAnsi="宋体"/>
          <w:bCs/>
          <w:sz w:val="24"/>
        </w:rPr>
      </w:r>
      <w:r/>
    </w:p>
    <w:p>
      <w:pPr>
        <w:pStyle w:val="1038"/>
        <w:spacing w:line="460" w:lineRule="exact"/>
        <w:rPr>
          <w:rFonts w:ascii="宋体" w:hAnsi="宋体"/>
          <w:bCs/>
          <w:sz w:val="24"/>
        </w:rPr>
      </w:pPr>
      <w:r>
        <w:rPr>
          <w:rFonts w:ascii="宋体" w:hAnsi="宋体"/>
          <w:bCs/>
          <w:sz w:val="24"/>
        </w:rPr>
      </w:r>
      <w:r/>
    </w:p>
    <w:p>
      <w:pPr>
        <w:pStyle w:val="1038"/>
        <w:spacing w:line="460" w:lineRule="exact"/>
        <w:rPr>
          <w:rFonts w:ascii="宋体" w:hAnsi="宋体"/>
          <w:bCs/>
          <w:sz w:val="24"/>
        </w:rPr>
      </w:pPr>
      <w:r>
        <w:rPr>
          <w:rFonts w:ascii="宋体" w:hAnsi="宋体"/>
          <w:bCs/>
          <w:sz w:val="24"/>
        </w:rPr>
      </w:r>
      <w:r/>
    </w:p>
    <w:p>
      <w:pPr>
        <w:pStyle w:val="1038"/>
        <w:spacing w:line="460" w:lineRule="exact"/>
        <w:rPr>
          <w:rFonts w:ascii="宋体" w:hAnsi="宋体"/>
          <w:bCs/>
          <w:sz w:val="24"/>
        </w:rPr>
      </w:pPr>
      <w:r>
        <w:rPr>
          <w:rFonts w:ascii="宋体" w:hAnsi="宋体"/>
          <w:bCs/>
          <w:sz w:val="24"/>
        </w:rPr>
      </w:r>
      <w:r/>
    </w:p>
    <w:p>
      <w:pPr>
        <w:pStyle w:val="1038"/>
        <w:rPr>
          <w:rFonts w:ascii="宋体" w:hAnsi="宋体"/>
        </w:rPr>
      </w:pPr>
      <w:r>
        <w:rPr>
          <w:rFonts w:ascii="宋体" w:hAnsi="宋体"/>
        </w:rPr>
      </w:r>
      <w:r/>
    </w:p>
    <w:p>
      <w:pPr>
        <w:pStyle w:val="1038"/>
        <w:jc w:val="center"/>
        <w:rPr>
          <w:rFonts w:ascii="宋体" w:hAnsi="宋体"/>
          <w:b/>
          <w:sz w:val="32"/>
          <w:szCs w:val="32"/>
        </w:rPr>
      </w:pPr>
      <w:r>
        <w:rPr>
          <w:rFonts w:ascii="宋体" w:hAnsi="宋体"/>
          <w:b/>
          <w:sz w:val="32"/>
          <w:szCs w:val="32"/>
        </w:rPr>
      </w:r>
      <w:r/>
    </w:p>
    <w:p>
      <w:pPr>
        <w:pStyle w:val="1038"/>
        <w:jc w:val="center"/>
        <w:rPr>
          <w:rFonts w:ascii="宋体" w:hAnsi="宋体"/>
          <w:b/>
          <w:sz w:val="32"/>
          <w:szCs w:val="32"/>
        </w:rPr>
      </w:pPr>
      <w:r>
        <w:rPr>
          <w:rFonts w:ascii="宋体" w:hAnsi="宋体"/>
          <w:b/>
          <w:sz w:val="32"/>
          <w:szCs w:val="32"/>
        </w:rPr>
      </w:r>
      <w:r/>
    </w:p>
    <w:p>
      <w:pPr>
        <w:pStyle w:val="1038"/>
        <w:jc w:val="center"/>
        <w:rPr>
          <w:rFonts w:ascii="宋体" w:hAnsi="宋体"/>
          <w:b/>
          <w:sz w:val="32"/>
          <w:szCs w:val="32"/>
        </w:rPr>
      </w:pPr>
      <w:r>
        <w:rPr>
          <w:rFonts w:ascii="宋体" w:hAnsi="宋体"/>
          <w:b/>
          <w:sz w:val="32"/>
          <w:szCs w:val="32"/>
        </w:rPr>
      </w:r>
      <w:r/>
    </w:p>
    <w:p>
      <w:pPr>
        <w:pStyle w:val="1038"/>
        <w:jc w:val="center"/>
        <w:rPr>
          <w:rFonts w:ascii="宋体" w:hAnsi="宋体"/>
          <w:b/>
          <w:sz w:val="32"/>
          <w:szCs w:val="32"/>
        </w:rPr>
      </w:pPr>
      <w:r>
        <w:rPr>
          <w:rFonts w:ascii="宋体" w:hAnsi="宋体"/>
          <w:b/>
          <w:sz w:val="32"/>
          <w:szCs w:val="32"/>
        </w:rPr>
      </w:r>
      <w:r/>
    </w:p>
    <w:p>
      <w:pPr>
        <w:pStyle w:val="1038"/>
        <w:jc w:val="center"/>
        <w:rPr>
          <w:rFonts w:ascii="宋体" w:hAnsi="宋体"/>
          <w:b/>
          <w:sz w:val="32"/>
          <w:szCs w:val="32"/>
        </w:rPr>
      </w:pPr>
      <w:r>
        <w:rPr>
          <w:rFonts w:ascii="宋体" w:hAnsi="宋体"/>
          <w:b/>
          <w:sz w:val="32"/>
          <w:szCs w:val="32"/>
        </w:rPr>
      </w:r>
      <w:r/>
    </w:p>
    <w:p>
      <w:pPr>
        <w:pStyle w:val="1038"/>
        <w:jc w:val="center"/>
        <w:rPr>
          <w:rFonts w:ascii="宋体" w:hAnsi="宋体"/>
          <w:b/>
          <w:sz w:val="32"/>
          <w:szCs w:val="32"/>
        </w:rPr>
      </w:pPr>
      <w:r/>
      <w:bookmarkEnd w:id="190"/>
      <w:r/>
      <w:bookmarkEnd w:id="191"/>
      <w:r/>
      <w:bookmarkEnd w:id="202"/>
      <w:r>
        <w:rPr>
          <w:rFonts w:ascii="宋体" w:hAnsi="宋体"/>
          <w:b/>
          <w:sz w:val="32"/>
          <w:szCs w:val="32"/>
        </w:rPr>
      </w:r>
      <w:r/>
    </w:p>
    <w:p>
      <w:pPr>
        <w:pStyle w:val="1038"/>
        <w:jc w:val="center"/>
        <w:rPr>
          <w:rFonts w:ascii="宋体" w:hAnsi="宋体"/>
          <w:b/>
          <w:sz w:val="32"/>
          <w:szCs w:val="32"/>
        </w:rPr>
      </w:pPr>
      <w:r>
        <w:rPr>
          <w:rFonts w:ascii="宋体" w:hAnsi="宋体"/>
          <w:b/>
          <w:sz w:val="32"/>
          <w:szCs w:val="32"/>
        </w:rPr>
      </w:r>
      <w:r/>
    </w:p>
    <w:p>
      <w:pPr>
        <w:pStyle w:val="1038"/>
        <w:jc w:val="center"/>
        <w:rPr>
          <w:rFonts w:ascii="宋体" w:hAnsi="宋体"/>
          <w:b/>
          <w:sz w:val="32"/>
          <w:szCs w:val="32"/>
        </w:rPr>
      </w:pPr>
      <w:r>
        <w:rPr>
          <w:rFonts w:ascii="宋体" w:hAnsi="宋体"/>
          <w:b/>
          <w:sz w:val="32"/>
          <w:szCs w:val="32"/>
        </w:rPr>
      </w:r>
      <w:r/>
    </w:p>
    <w:p>
      <w:pPr>
        <w:pStyle w:val="1038"/>
        <w:jc w:val="center"/>
        <w:rPr>
          <w:rFonts w:ascii="宋体" w:hAnsi="宋体" w:cs="仿宋"/>
          <w:b/>
          <w:bCs/>
          <w:sz w:val="32"/>
          <w:szCs w:val="32"/>
        </w:rPr>
      </w:pPr>
      <w:r>
        <w:rPr>
          <w:rFonts w:ascii="宋体" w:hAnsi="宋体" w:cs="仿宋"/>
          <w:b/>
          <w:bCs/>
          <w:sz w:val="32"/>
          <w:szCs w:val="32"/>
        </w:rPr>
      </w:r>
      <w:r/>
    </w:p>
    <w:p>
      <w:pPr>
        <w:pStyle w:val="103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1038"/>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103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103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03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03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103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03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03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103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103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103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103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103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103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103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103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103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103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103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103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103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103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103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103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103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103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103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103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103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103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103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1288"/>
        <w:rPr>
          <w:rFonts w:ascii="宋体" w:hAnsi="宋体"/>
          <w:sz w:val="24"/>
          <w:szCs w:val="24"/>
        </w:rPr>
      </w:pPr>
      <w:r>
        <w:rPr>
          <w:rFonts w:ascii="宋体" w:hAnsi="宋体"/>
          <w:sz w:val="24"/>
          <w:szCs w:val="24"/>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Tahoma">
    <w:panose1 w:val="020B0604030504040204"/>
  </w:font>
  <w:font w:name="方正黑体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rPr>
        <w:rStyle w:val="1345"/>
        <w:rFonts w:ascii="宋体" w:hAnsi="宋体"/>
      </w:rPr>
      <w:framePr w:wrap="around" w:vAnchor="text" w:hAnchor="margin" w:xAlign="center" w:y="1"/>
    </w:pPr>
    <w:r>
      <w:rPr>
        <w:rFonts w:ascii="宋体" w:hAnsi="宋体"/>
      </w:rPr>
      <w:fldChar w:fldCharType="begin"/>
    </w:r>
    <w:r>
      <w:rPr>
        <w:rStyle w:val="1345"/>
        <w:rFonts w:ascii="宋体" w:hAnsi="宋体"/>
      </w:rPr>
      <w:instrText xml:space="preserve">PAGE  </w:instrText>
    </w:r>
    <w:r>
      <w:rPr>
        <w:rFonts w:ascii="宋体" w:hAnsi="宋体"/>
      </w:rPr>
      <w:fldChar w:fldCharType="separate"/>
    </w:r>
    <w:r>
      <w:rPr>
        <w:rStyle w:val="1345"/>
        <w:rFonts w:ascii="宋体" w:hAnsi="宋体"/>
      </w:rPr>
      <w:t xml:space="preserve">71</w:t>
    </w:r>
    <w:r>
      <w:rPr>
        <w:rFonts w:ascii="宋体" w:hAnsi="宋体"/>
      </w:rPr>
      <w:fldChar w:fldCharType="end"/>
    </w:r>
    <w:r>
      <w:rPr>
        <w:rStyle w:val="1345"/>
        <w:rFonts w:ascii="宋体" w:hAnsi="宋体"/>
      </w:rPr>
    </w:r>
    <w:r/>
  </w:p>
  <w:p>
    <w:pPr>
      <w:pStyle w:val="1325"/>
      <w:jc w:val="center"/>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rPr>
        <w:rStyle w:val="1345"/>
      </w:rPr>
      <w:framePr w:wrap="around" w:vAnchor="text" w:hAnchor="margin" w:xAlign="center" w:y="1"/>
    </w:pPr>
    <w:r>
      <w:fldChar w:fldCharType="begin"/>
    </w:r>
    <w:r>
      <w:rPr>
        <w:rStyle w:val="1345"/>
      </w:rPr>
      <w:instrText xml:space="preserve">PAGE  </w:instrText>
    </w:r>
    <w:r>
      <w:fldChar w:fldCharType="separate"/>
    </w:r>
    <w:r>
      <w:rPr>
        <w:rStyle w:val="1345"/>
      </w:rPr>
      <w:t xml:space="preserve">1</w:t>
    </w:r>
    <w:r>
      <w:fldChar w:fldCharType="end"/>
    </w:r>
    <w:r>
      <w:rPr>
        <w:rStyle w:val="1345"/>
      </w:rPr>
    </w:r>
    <w:r/>
  </w:p>
  <w:p>
    <w:pPr>
      <w:pStyle w:val="13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4">
    <w:multiLevelType w:val="hybridMultilevel"/>
    <w:lvl w:ilvl="0">
      <w:start w:val="1"/>
      <w:numFmt w:val="bullet"/>
      <w:isLgl w:val="false"/>
      <w:suff w:val="tab"/>
      <w:lvlText w:val=""/>
      <w:lvlJc w:val="left"/>
      <w:pPr>
        <w:pStyle w:val="1038"/>
        <w:ind w:left="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6">
    <w:multiLevelType w:val="hybridMultilevel"/>
    <w:lvl w:ilvl="0">
      <w:start w:val="1"/>
      <w:numFmt w:val="decimal"/>
      <w:isLgl w:val="false"/>
      <w:suff w:val="space"/>
      <w:lvlText w:val="%1."/>
      <w:lvlJc w:val="left"/>
      <w:pPr>
        <w:pStyle w:val="1038"/>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7">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21">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japaneseCounting"/>
      <w:isLgl w:val="false"/>
      <w:suff w:val="tab"/>
      <w:lvlText w:val="（%1）"/>
      <w:lvlJc w:val="left"/>
      <w:pPr>
        <w:pStyle w:val="1038"/>
        <w:ind w:left="720" w:hanging="720"/>
      </w:pPr>
    </w:lvl>
    <w:lvl w:ilvl="1">
      <w:start w:val="1"/>
      <w:numFmt w:val="lowerLetter"/>
      <w:isLgl w:val="false"/>
      <w:suff w:val="tab"/>
      <w:lvlText w:val="%2)"/>
      <w:lvlJc w:val="left"/>
      <w:pPr>
        <w:pStyle w:val="1038"/>
        <w:ind w:left="880" w:hanging="440"/>
      </w:pPr>
    </w:lvl>
    <w:lvl w:ilvl="2">
      <w:start w:val="1"/>
      <w:numFmt w:val="lowerRoman"/>
      <w:isLgl w:val="false"/>
      <w:suff w:val="tab"/>
      <w:lvlText w:val="%3."/>
      <w:lvlJc w:val="right"/>
      <w:pPr>
        <w:pStyle w:val="1038"/>
        <w:ind w:left="1320" w:hanging="440"/>
      </w:pPr>
    </w:lvl>
    <w:lvl w:ilvl="3">
      <w:start w:val="1"/>
      <w:numFmt w:val="decimal"/>
      <w:isLgl w:val="false"/>
      <w:suff w:val="tab"/>
      <w:lvlText w:val="%4."/>
      <w:lvlJc w:val="left"/>
      <w:pPr>
        <w:pStyle w:val="1038"/>
        <w:ind w:left="1760" w:hanging="440"/>
      </w:pPr>
    </w:lvl>
    <w:lvl w:ilvl="4">
      <w:start w:val="1"/>
      <w:numFmt w:val="lowerLetter"/>
      <w:isLgl w:val="false"/>
      <w:suff w:val="tab"/>
      <w:lvlText w:val="%5)"/>
      <w:lvlJc w:val="left"/>
      <w:pPr>
        <w:pStyle w:val="1038"/>
        <w:ind w:left="2200" w:hanging="440"/>
      </w:pPr>
    </w:lvl>
    <w:lvl w:ilvl="5">
      <w:start w:val="1"/>
      <w:numFmt w:val="lowerRoman"/>
      <w:isLgl w:val="false"/>
      <w:suff w:val="tab"/>
      <w:lvlText w:val="%6."/>
      <w:lvlJc w:val="right"/>
      <w:pPr>
        <w:pStyle w:val="1038"/>
        <w:ind w:left="2640" w:hanging="440"/>
      </w:pPr>
    </w:lvl>
    <w:lvl w:ilvl="6">
      <w:start w:val="1"/>
      <w:numFmt w:val="decimal"/>
      <w:isLgl w:val="false"/>
      <w:suff w:val="tab"/>
      <w:lvlText w:val="%7."/>
      <w:lvlJc w:val="left"/>
      <w:pPr>
        <w:pStyle w:val="1038"/>
        <w:ind w:left="3080" w:hanging="440"/>
      </w:pPr>
    </w:lvl>
    <w:lvl w:ilvl="7">
      <w:start w:val="1"/>
      <w:numFmt w:val="lowerLetter"/>
      <w:isLgl w:val="false"/>
      <w:suff w:val="tab"/>
      <w:lvlText w:val="%8)"/>
      <w:lvlJc w:val="left"/>
      <w:pPr>
        <w:pStyle w:val="1038"/>
        <w:ind w:left="3520" w:hanging="440"/>
      </w:pPr>
    </w:lvl>
    <w:lvl w:ilvl="8">
      <w:start w:val="1"/>
      <w:numFmt w:val="lowerRoman"/>
      <w:isLgl w:val="false"/>
      <w:suff w:val="tab"/>
      <w:lvlText w:val="%9."/>
      <w:lvlJc w:val="right"/>
      <w:pPr>
        <w:pStyle w:val="1038"/>
        <w:ind w:left="3960" w:hanging="440"/>
      </w:pPr>
    </w:lvl>
  </w:abstractNum>
  <w:abstractNum w:abstractNumId="25">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26">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27">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28">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29">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30">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31">
    <w:multiLevelType w:val="hybridMultilevel"/>
    <w:lvl w:ilvl="0">
      <w:start w:val="1"/>
      <w:numFmt w:val="decimal"/>
      <w:isLgl w:val="false"/>
      <w:suff w:val="tab"/>
      <w:lvlText w:val="%1."/>
      <w:lvlJc w:val="left"/>
      <w:pPr>
        <w:pStyle w:val="1038"/>
        <w:ind w:left="720" w:hanging="720"/>
      </w:pPr>
      <w:rPr>
        <w:rFonts w:hint="eastAsia"/>
      </w:rPr>
    </w:lvl>
    <w:lvl w:ilvl="1">
      <w:start w:val="1"/>
      <w:numFmt w:val="decimal"/>
      <w:isLgl w:val="false"/>
      <w:suff w:val="tab"/>
      <w:lvlText w:val="2.%2"/>
      <w:lvlJc w:val="left"/>
      <w:pPr>
        <w:pStyle w:val="1038"/>
        <w:ind w:left="720" w:hanging="720"/>
      </w:pPr>
      <w:rPr>
        <w:rFonts w:hint="eastAsia"/>
      </w:rPr>
    </w:lvl>
    <w:lvl w:ilvl="2">
      <w:start w:val="1"/>
      <w:numFmt w:val="decimal"/>
      <w:isLgl w:val="false"/>
      <w:suff w:val="tab"/>
      <w:lvlText w:val="2.%2.%3"/>
      <w:lvlJc w:val="left"/>
      <w:pPr>
        <w:pStyle w:val="1038"/>
        <w:ind w:left="1080" w:hanging="1080"/>
      </w:pPr>
      <w:rPr>
        <w:rFonts w:hint="eastAsia"/>
      </w:rPr>
    </w:lvl>
    <w:lvl w:ilvl="3">
      <w:start w:val="1"/>
      <w:numFmt w:val="decimal"/>
      <w:isLgl w:val="false"/>
      <w:suff w:val="tab"/>
      <w:lvlText w:val="2.%2.%3.%4"/>
      <w:lvlJc w:val="left"/>
      <w:pPr>
        <w:pStyle w:val="1038"/>
        <w:ind w:left="1134" w:hanging="1134"/>
      </w:pPr>
      <w:rPr>
        <w:rFonts w:hint="eastAsia"/>
      </w:rPr>
    </w:lvl>
    <w:lvl w:ilvl="4">
      <w:start w:val="1"/>
      <w:numFmt w:val="decimal"/>
      <w:isLgl w:val="false"/>
      <w:suff w:val="tab"/>
      <w:lvlText w:val="%1.%2.%3.%4"/>
      <w:lvlJc w:val="left"/>
      <w:pPr>
        <w:pStyle w:val="1038"/>
        <w:ind w:left="1800" w:hanging="1800"/>
      </w:pPr>
      <w:rPr>
        <w:rFonts w:hint="eastAsia" w:ascii="宋体" w:hAnsi="宋体" w:eastAsia="宋体"/>
      </w:rPr>
    </w:lvl>
    <w:lvl w:ilvl="5">
      <w:start w:val="1"/>
      <w:numFmt w:val="decimal"/>
      <w:isLgl w:val="false"/>
      <w:suff w:val="tab"/>
      <w:lvlText w:val="%1.%2.%3.%4.%5.%6"/>
      <w:lvlJc w:val="left"/>
      <w:pPr>
        <w:pStyle w:val="1038"/>
        <w:ind w:left="2160" w:hanging="2160"/>
      </w:pPr>
      <w:rPr>
        <w:rFonts w:hint="eastAsia"/>
      </w:rPr>
    </w:lvl>
    <w:lvl w:ilvl="6">
      <w:start w:val="1"/>
      <w:numFmt w:val="decimal"/>
      <w:isLgl w:val="false"/>
      <w:suff w:val="tab"/>
      <w:lvlText w:val="%1.%2.%3.%4.%5.%6.%7"/>
      <w:lvlJc w:val="left"/>
      <w:pPr>
        <w:pStyle w:val="1038"/>
        <w:ind w:left="2520" w:hanging="2520"/>
      </w:pPr>
      <w:rPr>
        <w:rFonts w:hint="eastAsia"/>
      </w:rPr>
    </w:lvl>
    <w:lvl w:ilvl="7">
      <w:start w:val="1"/>
      <w:numFmt w:val="decimal"/>
      <w:isLgl w:val="false"/>
      <w:suff w:val="tab"/>
      <w:lvlText w:val="%1.%2.%3.%4.%5.%6.%7.%8"/>
      <w:lvlJc w:val="left"/>
      <w:pPr>
        <w:pStyle w:val="1038"/>
        <w:ind w:left="2880" w:hanging="2880"/>
      </w:pPr>
      <w:rPr>
        <w:rFonts w:hint="eastAsia"/>
      </w:rPr>
    </w:lvl>
    <w:lvl w:ilvl="8">
      <w:start w:val="1"/>
      <w:numFmt w:val="decimal"/>
      <w:isLgl w:val="false"/>
      <w:suff w:val="tab"/>
      <w:lvlText w:val="%1.%2.%3.%4.%5.%6.%7.%8.%9"/>
      <w:lvlJc w:val="left"/>
      <w:pPr>
        <w:pStyle w:val="1038"/>
        <w:ind w:left="3240" w:hanging="3240"/>
      </w:pPr>
      <w:rPr>
        <w:rFonts w:hint="eastAsia"/>
      </w:rPr>
    </w:lvl>
  </w:abstractNum>
  <w:abstractNum w:abstractNumId="32">
    <w:multiLevelType w:val="hybridMultilevel"/>
    <w:lvl w:ilvl="0">
      <w:start w:val="1"/>
      <w:numFmt w:val="bullet"/>
      <w:isLgl w:val="false"/>
      <w:suff w:val="tab"/>
      <w:lvlText w:val=""/>
      <w:lvlJc w:val="left"/>
      <w:pPr>
        <w:pStyle w:val="1038"/>
        <w:ind w:left="420" w:hanging="420"/>
      </w:pPr>
      <w:rPr>
        <w:rFonts w:ascii="Wingdings" w:hAnsi="Wingdings"/>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33">
    <w:multiLevelType w:val="hybridMultilevel"/>
    <w:lvl w:ilvl="0">
      <w:start w:val="1"/>
      <w:numFmt w:val="decimal"/>
      <w:isLgl w:val="false"/>
      <w:suff w:val="space"/>
      <w:lvlText w:val="%1."/>
      <w:lvlJc w:val="left"/>
      <w:pPr>
        <w:pStyle w:val="1038"/>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34">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35">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36">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37">
    <w:multiLevelType w:val="hybridMultilevel"/>
    <w:lvl w:ilvl="0">
      <w:start w:val="1"/>
      <w:numFmt w:val="japaneseCounting"/>
      <w:isLgl w:val="false"/>
      <w:suff w:val="tab"/>
      <w:lvlText w:val="第%1章"/>
      <w:lvlJc w:val="left"/>
      <w:pPr>
        <w:pStyle w:val="1038"/>
        <w:ind w:left="1440" w:hanging="1440"/>
        <w:tabs>
          <w:tab w:val="left" w:pos="1440" w:leader="none"/>
        </w:tabs>
      </w:pPr>
      <w:rPr>
        <w:rFonts w:hint="eastAsia" w:ascii="黑体" w:eastAsia="黑体"/>
        <w:b w:val="0"/>
        <w:sz w:val="36"/>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38">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39">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40">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42">
    <w:multiLevelType w:val="hybridMultilevel"/>
    <w:lvl w:ilvl="0">
      <w:start w:val="1"/>
      <w:numFmt w:val="bullet"/>
      <w:isLgl w:val="false"/>
      <w:suff w:val="tab"/>
      <w:lvlText w:val=""/>
      <w:lvlJc w:val="left"/>
      <w:pPr>
        <w:pStyle w:val="1038"/>
        <w:ind w:left="0" w:hanging="420"/>
      </w:pPr>
      <w:rPr>
        <w:rFonts w:ascii="Wingdings" w:hAnsi="Wingdings"/>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43">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44">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pStyle w:val="1375"/>
      <w:isLgl w:val="false"/>
      <w:suff w:val="tab"/>
      <w:lvlText w:val="%1."/>
      <w:lvlJc w:val="left"/>
      <w:pPr>
        <w:pStyle w:val="1038"/>
        <w:ind w:left="709" w:hanging="709"/>
        <w:tabs>
          <w:tab w:val="left" w:pos="709" w:leader="none"/>
        </w:tabs>
      </w:pPr>
      <w:rPr>
        <w:rFonts w:hint="eastAsia"/>
      </w:rPr>
    </w:lvl>
    <w:lvl w:ilvl="1">
      <w:start w:val="1"/>
      <w:numFmt w:val="decimal"/>
      <w:isLgl w:val="false"/>
      <w:suff w:val="tab"/>
      <w:lvlText w:val="%1.%2"/>
      <w:lvlJc w:val="left"/>
      <w:pPr>
        <w:pStyle w:val="1038"/>
        <w:ind w:left="709" w:hanging="709"/>
        <w:tabs>
          <w:tab w:val="left" w:pos="709" w:leader="none"/>
        </w:tabs>
      </w:pPr>
      <w:rPr>
        <w:rFonts w:hint="eastAsia"/>
      </w:rPr>
    </w:lvl>
    <w:lvl w:ilvl="2">
      <w:start w:val="1"/>
      <w:numFmt w:val="decimal"/>
      <w:isLgl w:val="false"/>
      <w:suff w:val="tab"/>
      <w:lvlText w:val="%1.%2.%3."/>
      <w:lvlJc w:val="left"/>
      <w:pPr>
        <w:pStyle w:val="1038"/>
        <w:ind w:left="425" w:hanging="425"/>
        <w:tabs>
          <w:tab w:val="left" w:pos="425" w:leader="none"/>
        </w:tabs>
      </w:pPr>
      <w:rPr>
        <w:rFonts w:hint="eastAsia"/>
      </w:rPr>
    </w:lvl>
    <w:lvl w:ilvl="3">
      <w:start w:val="1"/>
      <w:numFmt w:val="decimal"/>
      <w:isLgl w:val="false"/>
      <w:suff w:val="tab"/>
      <w:lvlText w:val="%1.%2.%3.%4."/>
      <w:lvlJc w:val="left"/>
      <w:pPr>
        <w:pStyle w:val="1038"/>
        <w:ind w:left="851" w:hanging="851"/>
        <w:tabs>
          <w:tab w:val="left" w:pos="851" w:leader="none"/>
        </w:tabs>
      </w:pPr>
      <w:rPr>
        <w:rFonts w:hint="eastAsia"/>
      </w:rPr>
    </w:lvl>
    <w:lvl w:ilvl="4">
      <w:start w:val="1"/>
      <w:numFmt w:val="decimal"/>
      <w:isLgl w:val="false"/>
      <w:suff w:val="tab"/>
      <w:lvlText w:val="%1.%2.%3.%4.%5."/>
      <w:lvlJc w:val="left"/>
      <w:pPr>
        <w:pStyle w:val="1038"/>
        <w:ind w:left="992" w:hanging="992"/>
        <w:tabs>
          <w:tab w:val="left" w:pos="992" w:leader="none"/>
        </w:tabs>
      </w:pPr>
      <w:rPr>
        <w:rFonts w:hint="eastAsia"/>
      </w:rPr>
    </w:lvl>
    <w:lvl w:ilvl="5">
      <w:start w:val="1"/>
      <w:numFmt w:val="decimal"/>
      <w:isLgl w:val="false"/>
      <w:suff w:val="tab"/>
      <w:lvlText w:val="%1.%2.%3.%4.%5.%6."/>
      <w:lvlJc w:val="left"/>
      <w:pPr>
        <w:pStyle w:val="1038"/>
        <w:ind w:left="1134" w:hanging="1134"/>
        <w:tabs>
          <w:tab w:val="left" w:pos="1134" w:leader="none"/>
        </w:tabs>
      </w:pPr>
      <w:rPr>
        <w:rFonts w:hint="eastAsia"/>
      </w:rPr>
    </w:lvl>
    <w:lvl w:ilvl="6">
      <w:start w:val="1"/>
      <w:numFmt w:val="decimal"/>
      <w:isLgl w:val="false"/>
      <w:suff w:val="tab"/>
      <w:lvlText w:val="%1.%2.%3.%4.%5.%6.%7."/>
      <w:lvlJc w:val="left"/>
      <w:pPr>
        <w:pStyle w:val="1038"/>
        <w:ind w:left="1276" w:hanging="1276"/>
        <w:tabs>
          <w:tab w:val="left" w:pos="1276" w:leader="none"/>
        </w:tabs>
      </w:pPr>
      <w:rPr>
        <w:rFonts w:hint="eastAsia"/>
      </w:rPr>
    </w:lvl>
    <w:lvl w:ilvl="7">
      <w:start w:val="1"/>
      <w:numFmt w:val="decimal"/>
      <w:isLgl w:val="false"/>
      <w:suff w:val="tab"/>
      <w:lvlText w:val="%1.%2.%3.%4.%5.%6.%7.%8."/>
      <w:lvlJc w:val="left"/>
      <w:pPr>
        <w:pStyle w:val="1038"/>
        <w:ind w:left="1418" w:hanging="1418"/>
        <w:tabs>
          <w:tab w:val="left" w:pos="1418" w:leader="none"/>
        </w:tabs>
      </w:pPr>
      <w:rPr>
        <w:rFonts w:hint="eastAsia"/>
      </w:rPr>
    </w:lvl>
    <w:lvl w:ilvl="8">
      <w:start w:val="1"/>
      <w:numFmt w:val="decimal"/>
      <w:isLgl w:val="false"/>
      <w:suff w:val="tab"/>
      <w:lvlText w:val="%1.%2.%3.%4.%5.%6.%7.%8.%9."/>
      <w:lvlJc w:val="left"/>
      <w:pPr>
        <w:pStyle w:val="1038"/>
        <w:ind w:left="1559" w:hanging="1559"/>
        <w:tabs>
          <w:tab w:val="left" w:pos="1559" w:leader="none"/>
        </w:tabs>
      </w:pPr>
      <w:rPr>
        <w:rFonts w:hint="eastAsia"/>
      </w:rPr>
    </w:lvl>
  </w:abstractNum>
  <w:abstractNum w:abstractNumId="47">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50">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51">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52">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55">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57">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58">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60">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61">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62">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63">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bullet"/>
      <w:isLgl w:val="false"/>
      <w:suff w:val="tab"/>
      <w:lvlText w:val=""/>
      <w:lvlJc w:val="left"/>
      <w:pPr>
        <w:pStyle w:val="1038"/>
        <w:ind w:left="0" w:hanging="420"/>
      </w:pPr>
      <w:rPr>
        <w:rFonts w:ascii="Wingdings" w:hAnsi="Wingdings"/>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65">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66">
    <w:multiLevelType w:val="hybridMultilevel"/>
    <w:lvl w:ilvl="0">
      <w:start w:val="1"/>
      <w:numFmt w:val="bullet"/>
      <w:isLgl w:val="false"/>
      <w:suff w:val="tab"/>
      <w:lvlText w:val=""/>
      <w:lvlJc w:val="left"/>
      <w:pPr>
        <w:pStyle w:val="1038"/>
        <w:ind w:left="420" w:hanging="420"/>
      </w:pPr>
      <w:rPr>
        <w:rFonts w:ascii="Wingdings" w:hAnsi="Wingdings"/>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67">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68">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69">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71">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72">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chineseCountingThousand"/>
      <w:isLgl w:val="false"/>
      <w:suff w:val="nothing"/>
      <w:lvlText w:val="第%1章 "/>
      <w:lvlJc w:val="left"/>
      <w:pPr>
        <w:pStyle w:val="1038"/>
        <w:ind w:left="0" w:firstLine="0"/>
      </w:pPr>
      <w:rPr>
        <w:rFonts w:hint="eastAsia"/>
      </w:rPr>
    </w:lvl>
    <w:lvl w:ilvl="1">
      <w:start w:val="1"/>
      <w:numFmt w:val="decimal"/>
      <w:isLgl w:val="false"/>
      <w:suff w:val="nothing"/>
      <w:lvlText w:val="%2、"/>
      <w:lvlJc w:val="left"/>
      <w:pPr>
        <w:pStyle w:val="1038"/>
        <w:ind w:left="0" w:firstLine="0"/>
      </w:pPr>
      <w:rPr>
        <w:rFonts w:hint="eastAsia"/>
      </w:rPr>
    </w:lvl>
    <w:lvl w:ilvl="2">
      <w:start w:val="1"/>
      <w:numFmt w:val="decimal"/>
      <w:isLgl w:val="false"/>
      <w:suff w:val="nothing"/>
      <w:lvlText w:val="%2.%3 "/>
      <w:lvlJc w:val="left"/>
      <w:pPr>
        <w:pStyle w:val="1038"/>
        <w:ind w:left="0" w:firstLine="0"/>
      </w:pPr>
      <w:rPr>
        <w:rFonts w:hint="eastAsia"/>
      </w:rPr>
    </w:lvl>
    <w:lvl w:ilvl="3">
      <w:start w:val="1"/>
      <w:numFmt w:val="decimal"/>
      <w:isLgl w:val="false"/>
      <w:suff w:val="nothing"/>
      <w:lvlText w:val="%2.%3.%4 "/>
      <w:lvlJc w:val="left"/>
      <w:pPr>
        <w:pStyle w:val="1038"/>
        <w:ind w:left="0" w:firstLine="0"/>
      </w:pPr>
      <w:rPr>
        <w:rFonts w:hint="eastAsia"/>
      </w:rPr>
    </w:lvl>
    <w:lvl w:ilvl="4">
      <w:start w:val="1"/>
      <w:numFmt w:val="decimal"/>
      <w:isLgl w:val="false"/>
      <w:suff w:val="nothing"/>
      <w:lvlText w:val="%2.%3.%4.%5 "/>
      <w:lvlJc w:val="left"/>
      <w:pPr>
        <w:pStyle w:val="1038"/>
        <w:ind w:left="0" w:firstLine="0"/>
      </w:pPr>
      <w:rPr>
        <w:rFonts w:hint="eastAsia"/>
      </w:rPr>
    </w:lvl>
    <w:lvl w:ilvl="5">
      <w:start w:val="1"/>
      <w:numFmt w:val="decimal"/>
      <w:pStyle w:val="1289"/>
      <w:isLgl w:val="false"/>
      <w:suff w:val="nothing"/>
      <w:lvlText w:val=""/>
      <w:lvlJc w:val="left"/>
      <w:pPr>
        <w:pStyle w:val="1038"/>
        <w:ind w:left="0" w:firstLine="0"/>
      </w:pPr>
      <w:rPr>
        <w:rFonts w:hint="eastAsia"/>
      </w:rPr>
    </w:lvl>
    <w:lvl w:ilvl="6">
      <w:start w:val="1"/>
      <w:numFmt w:val="decimal"/>
      <w:pStyle w:val="1290"/>
      <w:isLgl w:val="false"/>
      <w:suff w:val="nothing"/>
      <w:lvlText w:val=""/>
      <w:lvlJc w:val="left"/>
      <w:pPr>
        <w:pStyle w:val="1038"/>
        <w:ind w:left="0" w:firstLine="0"/>
      </w:pPr>
      <w:rPr>
        <w:rFonts w:hint="eastAsia"/>
      </w:rPr>
    </w:lvl>
    <w:lvl w:ilvl="7">
      <w:start w:val="1"/>
      <w:numFmt w:val="decimal"/>
      <w:pStyle w:val="1291"/>
      <w:isLgl w:val="false"/>
      <w:suff w:val="nothing"/>
      <w:lvlText w:val=""/>
      <w:lvlJc w:val="left"/>
      <w:pPr>
        <w:pStyle w:val="1038"/>
        <w:ind w:left="0" w:firstLine="0"/>
      </w:pPr>
      <w:rPr>
        <w:rFonts w:hint="eastAsia"/>
      </w:rPr>
    </w:lvl>
    <w:lvl w:ilvl="8">
      <w:start w:val="1"/>
      <w:numFmt w:val="decimal"/>
      <w:pStyle w:val="1292"/>
      <w:isLgl w:val="false"/>
      <w:suff w:val="nothing"/>
      <w:lvlText w:val=""/>
      <w:lvlJc w:val="left"/>
      <w:pPr>
        <w:pStyle w:val="1038"/>
        <w:ind w:left="0" w:firstLine="0"/>
      </w:pPr>
      <w:rPr>
        <w:rFonts w:hint="eastAsia"/>
      </w:rPr>
    </w:lvl>
  </w:abstractNum>
  <w:abstractNum w:abstractNumId="74">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bullet"/>
      <w:isLgl w:val="false"/>
      <w:suff w:val="tab"/>
      <w:lvlText w:val=""/>
      <w:lvlJc w:val="left"/>
      <w:pPr>
        <w:pStyle w:val="1038"/>
        <w:ind w:left="0" w:hanging="420"/>
      </w:pPr>
      <w:rPr>
        <w:rFonts w:ascii="Wingdings" w:hAnsi="Wingdings"/>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77">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78">
    <w:multiLevelType w:val="hybridMultilevel"/>
    <w:lvl w:ilvl="0">
      <w:start w:val="1"/>
      <w:numFmt w:val="decimal"/>
      <w:isLgl w:val="false"/>
      <w:suff w:val="tab"/>
      <w:lvlText w:val="%1)"/>
      <w:lvlJc w:val="left"/>
      <w:pPr>
        <w:pStyle w:val="1038"/>
        <w:ind w:left="425" w:hanging="425"/>
      </w:pPr>
      <w:rPr>
        <w:sz w:val="21"/>
        <w:szCs w:val="21"/>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79">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81">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82">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83">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85">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87">
    <w:multiLevelType w:val="hybridMultilevel"/>
    <w:lvl w:ilvl="0">
      <w:start w:val="1"/>
      <w:numFmt w:val="decimal"/>
      <w:isLgl w:val="false"/>
      <w:suff w:val="tab"/>
      <w:lvlText w:val="%1."/>
      <w:lvlJc w:val="left"/>
      <w:pPr>
        <w:pStyle w:val="1038"/>
        <w:ind w:left="-35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88">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9">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92">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93">
    <w:multiLevelType w:val="hybridMultilevel"/>
    <w:lvl w:ilvl="0">
      <w:start w:val="1"/>
      <w:numFmt w:val="japaneseCounting"/>
      <w:isLgl w:val="false"/>
      <w:suff w:val="tab"/>
      <w:lvlText w:val="（%1）"/>
      <w:lvlJc w:val="left"/>
      <w:pPr>
        <w:pStyle w:val="1038"/>
        <w:ind w:left="720" w:hanging="720"/>
      </w:pPr>
    </w:lvl>
    <w:lvl w:ilvl="1">
      <w:start w:val="1"/>
      <w:numFmt w:val="lowerLetter"/>
      <w:isLgl w:val="false"/>
      <w:suff w:val="tab"/>
      <w:lvlText w:val="%2)"/>
      <w:lvlJc w:val="left"/>
      <w:pPr>
        <w:pStyle w:val="1038"/>
        <w:ind w:left="880" w:hanging="440"/>
      </w:pPr>
    </w:lvl>
    <w:lvl w:ilvl="2">
      <w:start w:val="1"/>
      <w:numFmt w:val="lowerRoman"/>
      <w:isLgl w:val="false"/>
      <w:suff w:val="tab"/>
      <w:lvlText w:val="%3."/>
      <w:lvlJc w:val="right"/>
      <w:pPr>
        <w:pStyle w:val="1038"/>
        <w:ind w:left="1320" w:hanging="440"/>
      </w:pPr>
    </w:lvl>
    <w:lvl w:ilvl="3">
      <w:start w:val="1"/>
      <w:numFmt w:val="decimal"/>
      <w:isLgl w:val="false"/>
      <w:suff w:val="tab"/>
      <w:lvlText w:val="%4."/>
      <w:lvlJc w:val="left"/>
      <w:pPr>
        <w:pStyle w:val="1038"/>
        <w:ind w:left="1760" w:hanging="440"/>
      </w:pPr>
    </w:lvl>
    <w:lvl w:ilvl="4">
      <w:start w:val="1"/>
      <w:numFmt w:val="lowerLetter"/>
      <w:isLgl w:val="false"/>
      <w:suff w:val="tab"/>
      <w:lvlText w:val="%5)"/>
      <w:lvlJc w:val="left"/>
      <w:pPr>
        <w:pStyle w:val="1038"/>
        <w:ind w:left="2200" w:hanging="440"/>
      </w:pPr>
    </w:lvl>
    <w:lvl w:ilvl="5">
      <w:start w:val="1"/>
      <w:numFmt w:val="lowerRoman"/>
      <w:isLgl w:val="false"/>
      <w:suff w:val="tab"/>
      <w:lvlText w:val="%6."/>
      <w:lvlJc w:val="right"/>
      <w:pPr>
        <w:pStyle w:val="1038"/>
        <w:ind w:left="2640" w:hanging="440"/>
      </w:pPr>
    </w:lvl>
    <w:lvl w:ilvl="6">
      <w:start w:val="1"/>
      <w:numFmt w:val="decimal"/>
      <w:isLgl w:val="false"/>
      <w:suff w:val="tab"/>
      <w:lvlText w:val="%7."/>
      <w:lvlJc w:val="left"/>
      <w:pPr>
        <w:pStyle w:val="1038"/>
        <w:ind w:left="3080" w:hanging="440"/>
      </w:pPr>
    </w:lvl>
    <w:lvl w:ilvl="7">
      <w:start w:val="1"/>
      <w:numFmt w:val="lowerLetter"/>
      <w:isLgl w:val="false"/>
      <w:suff w:val="tab"/>
      <w:lvlText w:val="%8)"/>
      <w:lvlJc w:val="left"/>
      <w:pPr>
        <w:pStyle w:val="1038"/>
        <w:ind w:left="3520" w:hanging="440"/>
      </w:pPr>
    </w:lvl>
    <w:lvl w:ilvl="8">
      <w:start w:val="1"/>
      <w:numFmt w:val="lowerRoman"/>
      <w:isLgl w:val="false"/>
      <w:suff w:val="tab"/>
      <w:lvlText w:val="%9."/>
      <w:lvlJc w:val="right"/>
      <w:pPr>
        <w:pStyle w:val="1038"/>
        <w:ind w:left="3960" w:hanging="440"/>
      </w:pPr>
    </w:lvl>
  </w:abstractNum>
  <w:abstractNum w:abstractNumId="94">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95">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96">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97">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98">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99">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00">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01">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02">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3">
    <w:multiLevelType w:val="hybridMultilevel"/>
    <w:lvl w:ilvl="0">
      <w:start w:val="1"/>
      <w:numFmt w:val="bullet"/>
      <w:isLgl w:val="false"/>
      <w:suff w:val="tab"/>
      <w:lvlText w:val=""/>
      <w:lvlJc w:val="left"/>
      <w:pPr>
        <w:pStyle w:val="1038"/>
        <w:ind w:left="0" w:hanging="420"/>
      </w:pPr>
      <w:rPr>
        <w:rFonts w:ascii="Wingdings" w:hAnsi="Wingdings"/>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04">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05">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06">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7">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8">
    <w:multiLevelType w:val="hybridMultilevel"/>
    <w:lvl w:ilvl="0">
      <w:start w:val="1"/>
      <w:numFmt w:val="bullet"/>
      <w:isLgl w:val="false"/>
      <w:suff w:val="tab"/>
      <w:lvlText w:val=""/>
      <w:lvlJc w:val="left"/>
      <w:pPr>
        <w:pStyle w:val="1038"/>
        <w:ind w:left="0" w:hanging="420"/>
      </w:pPr>
      <w:rPr>
        <w:rFonts w:ascii="Wingdings" w:hAnsi="Wingdings"/>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09">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0">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1">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2">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13">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14">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15">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16">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17">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18">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19">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20">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21">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22">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3">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24">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5">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6">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27">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28">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29">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0">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1">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32">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33">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34">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35">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36">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37">
    <w:multiLevelType w:val="hybridMultilevel"/>
    <w:lvl w:ilvl="0">
      <w:start w:val="1"/>
      <w:numFmt w:val="decimal"/>
      <w:isLgl w:val="false"/>
      <w:suff w:val="tab"/>
      <w:lvlText w:val="%1."/>
      <w:lvlJc w:val="left"/>
      <w:pPr>
        <w:pStyle w:val="1038"/>
        <w:ind w:left="150" w:hanging="720"/>
      </w:pPr>
    </w:lvl>
    <w:lvl w:ilvl="1">
      <w:start w:val="1"/>
      <w:numFmt w:val="decimal"/>
      <w:isLgl w:val="false"/>
      <w:suff w:val="tab"/>
      <w:lvlText w:val="%1.%2"/>
      <w:lvlJc w:val="left"/>
      <w:pPr>
        <w:pStyle w:val="1038"/>
        <w:ind w:left="150" w:hanging="720"/>
      </w:pPr>
    </w:lvl>
    <w:lvl w:ilvl="2">
      <w:start w:val="1"/>
      <w:numFmt w:val="decimal"/>
      <w:isLgl w:val="false"/>
      <w:suff w:val="tab"/>
      <w:lvlText w:val="%1.%2.%3"/>
      <w:lvlJc w:val="left"/>
      <w:pPr>
        <w:pStyle w:val="1038"/>
        <w:ind w:left="510" w:hanging="1080"/>
      </w:pPr>
    </w:lvl>
    <w:lvl w:ilvl="3">
      <w:start w:val="1"/>
      <w:numFmt w:val="decimal"/>
      <w:isLgl w:val="false"/>
      <w:suff w:val="tab"/>
      <w:lvlText w:val="%1.%2.%3.%4"/>
      <w:lvlJc w:val="left"/>
      <w:pPr>
        <w:pStyle w:val="1038"/>
        <w:ind w:left="564" w:hanging="1134"/>
      </w:pPr>
    </w:lvl>
    <w:lvl w:ilvl="4">
      <w:start w:val="1"/>
      <w:numFmt w:val="decimal"/>
      <w:isLgl w:val="false"/>
      <w:suff w:val="tab"/>
      <w:lvlText w:val="%1.%2.%3.%4.%5"/>
      <w:lvlJc w:val="left"/>
      <w:pPr>
        <w:pStyle w:val="1038"/>
        <w:ind w:left="1230" w:hanging="1800"/>
      </w:pPr>
    </w:lvl>
    <w:lvl w:ilvl="5">
      <w:start w:val="1"/>
      <w:numFmt w:val="decimal"/>
      <w:isLgl w:val="false"/>
      <w:suff w:val="tab"/>
      <w:lvlText w:val="%1.%2.%3.%4.%5.%6"/>
      <w:lvlJc w:val="left"/>
      <w:pPr>
        <w:pStyle w:val="1038"/>
        <w:ind w:left="1590" w:hanging="2160"/>
      </w:pPr>
    </w:lvl>
    <w:lvl w:ilvl="6">
      <w:start w:val="1"/>
      <w:numFmt w:val="decimal"/>
      <w:isLgl w:val="false"/>
      <w:suff w:val="tab"/>
      <w:lvlText w:val="%1.%2.%3.%4.%5.%6.%7"/>
      <w:lvlJc w:val="left"/>
      <w:pPr>
        <w:pStyle w:val="1038"/>
        <w:ind w:left="1950" w:hanging="2520"/>
      </w:pPr>
    </w:lvl>
    <w:lvl w:ilvl="7">
      <w:start w:val="1"/>
      <w:numFmt w:val="decimal"/>
      <w:isLgl w:val="false"/>
      <w:suff w:val="tab"/>
      <w:lvlText w:val="%1.%2.%3.%4.%5.%6.%7.%8"/>
      <w:lvlJc w:val="left"/>
      <w:pPr>
        <w:pStyle w:val="1038"/>
        <w:ind w:left="2310" w:hanging="2880"/>
      </w:pPr>
    </w:lvl>
    <w:lvl w:ilvl="8">
      <w:start w:val="1"/>
      <w:numFmt w:val="decimal"/>
      <w:isLgl w:val="false"/>
      <w:suff w:val="tab"/>
      <w:lvlText w:val="%1.%2.%3.%4.%5.%6.%7.%8.%9"/>
      <w:lvlJc w:val="left"/>
      <w:pPr>
        <w:pStyle w:val="1038"/>
        <w:ind w:left="2670" w:hanging="3240"/>
      </w:pPr>
    </w:lvl>
  </w:abstractNum>
  <w:abstractNum w:abstractNumId="138">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39">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40">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1">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2">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43">
    <w:multiLevelType w:val="hybridMultilevel"/>
    <w:lvl w:ilvl="0">
      <w:start w:val="1"/>
      <w:numFmt w:val="upperLetter"/>
      <w:pStyle w:val="1382"/>
      <w:isLgl w:val="false"/>
      <w:suff w:val="tab"/>
      <w:lvlText w:val="附录%1."/>
      <w:lvlJc w:val="left"/>
      <w:pPr>
        <w:pStyle w:val="1038"/>
        <w:ind w:left="907" w:hanging="907"/>
        <w:tabs>
          <w:tab w:val="left" w:pos="907" w:leader="none"/>
        </w:tabs>
      </w:pPr>
      <w:rPr>
        <w:rFonts w:hint="eastAsia"/>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44">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45">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46">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7">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48">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9">
    <w:multiLevelType w:val="hybridMultilevel"/>
    <w:lvl w:ilvl="0">
      <w:start w:val="1"/>
      <w:numFmt w:val="decimal"/>
      <w:isLgl w:val="false"/>
      <w:suff w:val="nothing"/>
      <w:lvlText w:val="%1．"/>
      <w:lvlJc w:val="left"/>
      <w:pPr>
        <w:pStyle w:val="1038"/>
        <w:ind w:left="0" w:firstLine="400"/>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50">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51">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52">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53">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4">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55">
    <w:multiLevelType w:val="hybridMultilevel"/>
    <w:lvl w:ilvl="0">
      <w:start w:val="1"/>
      <w:numFmt w:val="decimal"/>
      <w:isLgl w:val="false"/>
      <w:suff w:val="space"/>
      <w:lvlText w:val="%1."/>
      <w:lvlJc w:val="left"/>
      <w:pPr>
        <w:pStyle w:val="1038"/>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56">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57">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58">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9">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0">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61">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2">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63">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4">
    <w:multiLevelType w:val="hybridMultilevel"/>
    <w:lvl w:ilvl="0">
      <w:start w:val="1"/>
      <w:numFmt w:val="decimal"/>
      <w:isLgl w:val="false"/>
      <w:suff w:val="tab"/>
      <w:lvlText w:val="%1)"/>
      <w:lvlJc w:val="left"/>
      <w:pPr>
        <w:pStyle w:val="10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5">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6">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7">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68">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69">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0">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71">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72">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73">
    <w:multiLevelType w:val="hybridMultilevel"/>
    <w:lvl w:ilvl="0">
      <w:start w:val="1"/>
      <w:numFmt w:val="decimal"/>
      <w:isLgl w:val="false"/>
      <w:suff w:val="tab"/>
      <w:lvlText w:val="%1)"/>
      <w:lvlJc w:val="left"/>
      <w:pPr>
        <w:pStyle w:val="1038"/>
        <w:ind w:left="845" w:hanging="425"/>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4">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75">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76">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77">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8">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9">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0">
    <w:multiLevelType w:val="hybridMultilevel"/>
    <w:lvl w:ilvl="0">
      <w:start w:val="1"/>
      <w:numFmt w:val="decimal"/>
      <w:isLgl w:val="false"/>
      <w:suff w:val="tab"/>
      <w:lvlText w:val="%1)"/>
      <w:lvlJc w:val="left"/>
      <w:pPr>
        <w:pStyle w:val="1038"/>
        <w:ind w:left="845" w:hanging="425"/>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num w:numId="1">
    <w:abstractNumId w:val="73"/>
  </w:num>
  <w:num w:numId="2">
    <w:abstractNumId w:val="46"/>
  </w:num>
  <w:num w:numId="3">
    <w:abstractNumId w:val="143"/>
  </w:num>
  <w:num w:numId="4">
    <w:abstractNumId w:val="37"/>
  </w:num>
  <w:num w:numId="5">
    <w:abstractNumId w:val="31"/>
  </w:num>
  <w:num w:numId="6">
    <w:abstractNumId w:val="78"/>
  </w:num>
  <w:num w:numId="7">
    <w:abstractNumId w:val="103"/>
  </w:num>
  <w:num w:numId="8">
    <w:abstractNumId w:val="168"/>
  </w:num>
  <w:num w:numId="9">
    <w:abstractNumId w:val="76"/>
  </w:num>
  <w:num w:numId="10">
    <w:abstractNumId w:val="9"/>
  </w:num>
  <w:num w:numId="11">
    <w:abstractNumId w:val="108"/>
  </w:num>
  <w:num w:numId="12">
    <w:abstractNumId w:val="144"/>
  </w:num>
  <w:num w:numId="13">
    <w:abstractNumId w:val="42"/>
  </w:num>
  <w:num w:numId="14">
    <w:abstractNumId w:val="135"/>
  </w:num>
  <w:num w:numId="15">
    <w:abstractNumId w:val="64"/>
  </w:num>
  <w:num w:numId="16">
    <w:abstractNumId w:val="100"/>
  </w:num>
  <w:num w:numId="17">
    <w:abstractNumId w:val="54"/>
  </w:num>
  <w:num w:numId="18">
    <w:abstractNumId w:val="51"/>
  </w:num>
  <w:num w:numId="19">
    <w:abstractNumId w:val="15"/>
  </w:num>
  <w:num w:numId="20">
    <w:abstractNumId w:val="133"/>
  </w:num>
  <w:num w:numId="21">
    <w:abstractNumId w:val="150"/>
  </w:num>
  <w:num w:numId="22">
    <w:abstractNumId w:val="82"/>
  </w:num>
  <w:num w:numId="23">
    <w:abstractNumId w:val="131"/>
  </w:num>
  <w:num w:numId="24">
    <w:abstractNumId w:val="25"/>
  </w:num>
  <w:num w:numId="25">
    <w:abstractNumId w:val="176"/>
  </w:num>
  <w:num w:numId="26">
    <w:abstractNumId w:val="174"/>
  </w:num>
  <w:num w:numId="27">
    <w:abstractNumId w:val="36"/>
  </w:num>
  <w:num w:numId="28">
    <w:abstractNumId w:val="151"/>
  </w:num>
  <w:num w:numId="29">
    <w:abstractNumId w:val="11"/>
  </w:num>
  <w:num w:numId="30">
    <w:abstractNumId w:val="120"/>
  </w:num>
  <w:num w:numId="31">
    <w:abstractNumId w:val="5"/>
  </w:num>
  <w:num w:numId="32">
    <w:abstractNumId w:val="142"/>
  </w:num>
  <w:num w:numId="33">
    <w:abstractNumId w:val="180"/>
  </w:num>
  <w:num w:numId="34">
    <w:abstractNumId w:val="1"/>
  </w:num>
  <w:num w:numId="35">
    <w:abstractNumId w:val="99"/>
  </w:num>
  <w:num w:numId="36">
    <w:abstractNumId w:val="136"/>
  </w:num>
  <w:num w:numId="37">
    <w:abstractNumId w:val="66"/>
  </w:num>
  <w:num w:numId="38">
    <w:abstractNumId w:val="56"/>
  </w:num>
  <w:num w:numId="39">
    <w:abstractNumId w:val="113"/>
  </w:num>
  <w:num w:numId="40">
    <w:abstractNumId w:val="175"/>
  </w:num>
  <w:num w:numId="41">
    <w:abstractNumId w:val="34"/>
  </w:num>
  <w:num w:numId="42">
    <w:abstractNumId w:val="8"/>
  </w:num>
  <w:num w:numId="43">
    <w:abstractNumId w:val="32"/>
  </w:num>
  <w:num w:numId="44">
    <w:abstractNumId w:val="147"/>
  </w:num>
  <w:num w:numId="45">
    <w:abstractNumId w:val="4"/>
  </w:num>
  <w:num w:numId="46">
    <w:abstractNumId w:val="94"/>
  </w:num>
  <w:num w:numId="47">
    <w:abstractNumId w:val="7"/>
  </w:num>
  <w:num w:numId="48">
    <w:abstractNumId w:val="149"/>
  </w:num>
  <w:num w:numId="49">
    <w:abstractNumId w:val="172"/>
  </w:num>
  <w:num w:numId="50">
    <w:abstractNumId w:val="134"/>
  </w:num>
  <w:num w:numId="51">
    <w:abstractNumId w:val="114"/>
  </w:num>
  <w:num w:numId="52">
    <w:abstractNumId w:val="157"/>
  </w:num>
  <w:num w:numId="53">
    <w:abstractNumId w:val="80"/>
  </w:num>
  <w:num w:numId="54">
    <w:abstractNumId w:val="81"/>
  </w:num>
  <w:num w:numId="55">
    <w:abstractNumId w:val="50"/>
  </w:num>
  <w:num w:numId="56">
    <w:abstractNumId w:val="116"/>
  </w:num>
  <w:num w:numId="57">
    <w:abstractNumId w:val="97"/>
  </w:num>
  <w:num w:numId="58">
    <w:abstractNumId w:val="61"/>
  </w:num>
  <w:num w:numId="59">
    <w:abstractNumId w:val="98"/>
  </w:num>
  <w:num w:numId="60">
    <w:abstractNumId w:val="28"/>
  </w:num>
  <w:num w:numId="61">
    <w:abstractNumId w:val="127"/>
  </w:num>
  <w:num w:numId="62">
    <w:abstractNumId w:val="84"/>
  </w:num>
  <w:num w:numId="63">
    <w:abstractNumId w:val="118"/>
  </w:num>
  <w:num w:numId="64">
    <w:abstractNumId w:val="77"/>
  </w:num>
  <w:num w:numId="65">
    <w:abstractNumId w:val="39"/>
  </w:num>
  <w:num w:numId="66">
    <w:abstractNumId w:val="86"/>
  </w:num>
  <w:num w:numId="67">
    <w:abstractNumId w:val="27"/>
  </w:num>
  <w:num w:numId="68">
    <w:abstractNumId w:val="121"/>
  </w:num>
  <w:num w:numId="69">
    <w:abstractNumId w:val="18"/>
  </w:num>
  <w:num w:numId="70">
    <w:abstractNumId w:val="65"/>
  </w:num>
  <w:num w:numId="71">
    <w:abstractNumId w:val="112"/>
  </w:num>
  <w:num w:numId="72">
    <w:abstractNumId w:val="71"/>
  </w:num>
  <w:num w:numId="73">
    <w:abstractNumId w:val="92"/>
  </w:num>
  <w:num w:numId="74">
    <w:abstractNumId w:val="162"/>
  </w:num>
  <w:num w:numId="75">
    <w:abstractNumId w:val="57"/>
  </w:num>
  <w:num w:numId="76">
    <w:abstractNumId w:val="41"/>
  </w:num>
  <w:num w:numId="77">
    <w:abstractNumId w:val="17"/>
  </w:num>
  <w:num w:numId="78">
    <w:abstractNumId w:val="122"/>
  </w:num>
  <w:num w:numId="79">
    <w:abstractNumId w:val="14"/>
  </w:num>
  <w:num w:numId="80">
    <w:abstractNumId w:val="63"/>
  </w:num>
  <w:num w:numId="81">
    <w:abstractNumId w:val="164"/>
  </w:num>
  <w:num w:numId="82">
    <w:abstractNumId w:val="48"/>
  </w:num>
  <w:num w:numId="83">
    <w:abstractNumId w:val="107"/>
  </w:num>
  <w:num w:numId="84">
    <w:abstractNumId w:val="88"/>
  </w:num>
  <w:num w:numId="85">
    <w:abstractNumId w:val="163"/>
  </w:num>
  <w:num w:numId="86">
    <w:abstractNumId w:val="45"/>
  </w:num>
  <w:num w:numId="87">
    <w:abstractNumId w:val="69"/>
  </w:num>
  <w:num w:numId="88">
    <w:abstractNumId w:val="22"/>
  </w:num>
  <w:num w:numId="89">
    <w:abstractNumId w:val="106"/>
  </w:num>
  <w:num w:numId="90">
    <w:abstractNumId w:val="52"/>
  </w:num>
  <w:num w:numId="91">
    <w:abstractNumId w:val="169"/>
  </w:num>
  <w:num w:numId="92">
    <w:abstractNumId w:val="0"/>
  </w:num>
  <w:num w:numId="93">
    <w:abstractNumId w:val="173"/>
  </w:num>
  <w:num w:numId="94">
    <w:abstractNumId w:val="83"/>
  </w:num>
  <w:num w:numId="95">
    <w:abstractNumId w:val="130"/>
  </w:num>
  <w:num w:numId="96">
    <w:abstractNumId w:val="47"/>
  </w:num>
  <w:num w:numId="97">
    <w:abstractNumId w:val="75"/>
  </w:num>
  <w:num w:numId="98">
    <w:abstractNumId w:val="125"/>
  </w:num>
  <w:num w:numId="99">
    <w:abstractNumId w:val="85"/>
  </w:num>
  <w:num w:numId="100">
    <w:abstractNumId w:val="21"/>
  </w:num>
  <w:num w:numId="101">
    <w:abstractNumId w:val="53"/>
  </w:num>
  <w:num w:numId="102">
    <w:abstractNumId w:val="58"/>
  </w:num>
  <w:num w:numId="103">
    <w:abstractNumId w:val="72"/>
  </w:num>
  <w:num w:numId="104">
    <w:abstractNumId w:val="89"/>
  </w:num>
  <w:num w:numId="105">
    <w:abstractNumId w:val="158"/>
  </w:num>
  <w:num w:numId="106">
    <w:abstractNumId w:val="111"/>
  </w:num>
  <w:num w:numId="107">
    <w:abstractNumId w:val="44"/>
  </w:num>
  <w:num w:numId="108">
    <w:abstractNumId w:val="55"/>
  </w:num>
  <w:num w:numId="109">
    <w:abstractNumId w:val="23"/>
  </w:num>
  <w:num w:numId="110">
    <w:abstractNumId w:val="129"/>
  </w:num>
  <w:num w:numId="111">
    <w:abstractNumId w:val="2"/>
  </w:num>
  <w:num w:numId="112">
    <w:abstractNumId w:val="10"/>
  </w:num>
  <w:num w:numId="113">
    <w:abstractNumId w:val="141"/>
  </w:num>
  <w:num w:numId="114">
    <w:abstractNumId w:val="3"/>
  </w:num>
  <w:num w:numId="115">
    <w:abstractNumId w:val="165"/>
  </w:num>
  <w:num w:numId="116">
    <w:abstractNumId w:val="40"/>
  </w:num>
  <w:num w:numId="117">
    <w:abstractNumId w:val="90"/>
  </w:num>
  <w:num w:numId="118">
    <w:abstractNumId w:val="109"/>
  </w:num>
  <w:num w:numId="119">
    <w:abstractNumId w:val="166"/>
  </w:num>
  <w:num w:numId="120">
    <w:abstractNumId w:val="153"/>
  </w:num>
  <w:num w:numId="121">
    <w:abstractNumId w:val="161"/>
  </w:num>
  <w:num w:numId="122">
    <w:abstractNumId w:val="19"/>
  </w:num>
  <w:num w:numId="123">
    <w:abstractNumId w:val="177"/>
  </w:num>
  <w:num w:numId="124">
    <w:abstractNumId w:val="159"/>
  </w:num>
  <w:num w:numId="125">
    <w:abstractNumId w:val="140"/>
  </w:num>
  <w:num w:numId="126">
    <w:abstractNumId w:val="79"/>
  </w:num>
  <w:num w:numId="127">
    <w:abstractNumId w:val="110"/>
  </w:num>
  <w:num w:numId="128">
    <w:abstractNumId w:val="148"/>
  </w:num>
  <w:num w:numId="129">
    <w:abstractNumId w:val="178"/>
  </w:num>
  <w:num w:numId="130">
    <w:abstractNumId w:val="74"/>
  </w:num>
  <w:num w:numId="131">
    <w:abstractNumId w:val="146"/>
  </w:num>
  <w:num w:numId="132">
    <w:abstractNumId w:val="179"/>
  </w:num>
  <w:num w:numId="133">
    <w:abstractNumId w:val="124"/>
  </w:num>
  <w:num w:numId="134">
    <w:abstractNumId w:val="102"/>
  </w:num>
  <w:num w:numId="135">
    <w:abstractNumId w:val="101"/>
  </w:num>
  <w:num w:numId="136">
    <w:abstractNumId w:val="132"/>
  </w:num>
  <w:num w:numId="137">
    <w:abstractNumId w:val="26"/>
  </w:num>
  <w:num w:numId="138">
    <w:abstractNumId w:val="123"/>
  </w:num>
  <w:num w:numId="139">
    <w:abstractNumId w:val="95"/>
  </w:num>
  <w:num w:numId="140">
    <w:abstractNumId w:val="91"/>
  </w:num>
  <w:num w:numId="141">
    <w:abstractNumId w:val="67"/>
  </w:num>
  <w:num w:numId="142">
    <w:abstractNumId w:val="119"/>
  </w:num>
  <w:num w:numId="143">
    <w:abstractNumId w:val="38"/>
  </w:num>
  <w:num w:numId="144">
    <w:abstractNumId w:val="139"/>
  </w:num>
  <w:num w:numId="145">
    <w:abstractNumId w:val="126"/>
  </w:num>
  <w:num w:numId="146">
    <w:abstractNumId w:val="105"/>
  </w:num>
  <w:num w:numId="147">
    <w:abstractNumId w:val="60"/>
  </w:num>
  <w:num w:numId="148">
    <w:abstractNumId w:val="20"/>
  </w:num>
  <w:num w:numId="149">
    <w:abstractNumId w:val="171"/>
  </w:num>
  <w:num w:numId="150">
    <w:abstractNumId w:val="104"/>
  </w:num>
  <w:num w:numId="151">
    <w:abstractNumId w:val="160"/>
  </w:num>
  <w:num w:numId="152">
    <w:abstractNumId w:val="13"/>
  </w:num>
  <w:num w:numId="153">
    <w:abstractNumId w:val="156"/>
  </w:num>
  <w:num w:numId="154">
    <w:abstractNumId w:val="43"/>
  </w:num>
  <w:num w:numId="155">
    <w:abstractNumId w:val="152"/>
  </w:num>
  <w:num w:numId="156">
    <w:abstractNumId w:val="115"/>
  </w:num>
  <w:num w:numId="157">
    <w:abstractNumId w:val="170"/>
  </w:num>
  <w:num w:numId="158">
    <w:abstractNumId w:val="167"/>
  </w:num>
  <w:num w:numId="159">
    <w:abstractNumId w:val="49"/>
  </w:num>
  <w:num w:numId="160">
    <w:abstractNumId w:val="62"/>
  </w:num>
  <w:num w:numId="161">
    <w:abstractNumId w:val="70"/>
  </w:num>
  <w:num w:numId="162">
    <w:abstractNumId w:val="12"/>
  </w:num>
  <w:num w:numId="163">
    <w:abstractNumId w:val="29"/>
  </w:num>
  <w:num w:numId="164">
    <w:abstractNumId w:val="128"/>
  </w:num>
  <w:num w:numId="165">
    <w:abstractNumId w:val="30"/>
  </w:num>
  <w:num w:numId="166">
    <w:abstractNumId w:val="154"/>
  </w:num>
  <w:num w:numId="167">
    <w:abstractNumId w:val="138"/>
  </w:num>
  <w:num w:numId="168">
    <w:abstractNumId w:val="145"/>
  </w:num>
  <w:num w:numId="169">
    <w:abstractNumId w:val="35"/>
  </w:num>
  <w:num w:numId="170">
    <w:abstractNumId w:val="117"/>
  </w:num>
  <w:num w:numId="171">
    <w:abstractNumId w:val="59"/>
  </w:num>
  <w:num w:numId="172">
    <w:abstractNumId w:val="96"/>
  </w:num>
  <w:num w:numId="173">
    <w:abstractNumId w:val="6"/>
  </w:num>
  <w:num w:numId="174">
    <w:abstractNumId w:val="24"/>
  </w:num>
  <w:num w:numId="175">
    <w:abstractNumId w:val="87"/>
  </w:num>
  <w:num w:numId="176">
    <w:abstractNumId w:val="137"/>
  </w:num>
  <w:num w:numId="177">
    <w:abstractNumId w:val="155"/>
  </w:num>
  <w:num w:numId="178">
    <w:abstractNumId w:val="33"/>
  </w:num>
  <w:num w:numId="179">
    <w:abstractNumId w:val="16"/>
  </w:num>
  <w:num w:numId="180">
    <w:abstractNumId w:val="93"/>
  </w:num>
  <w:num w:numId="181">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38"/>
    <w:next w:val="1038"/>
    <w:link w:val="1082"/>
    <w:uiPriority w:val="9"/>
    <w:qFormat/>
    <w:pPr>
      <w:keepLines/>
      <w:keepNext/>
      <w:spacing w:before="480" w:after="200"/>
      <w:outlineLvl w:val="0"/>
    </w:pPr>
    <w:rPr>
      <w:rFonts w:ascii="Arial" w:hAnsi="Arial" w:eastAsia="Arial" w:cs="Arial"/>
      <w:sz w:val="40"/>
      <w:szCs w:val="40"/>
    </w:rPr>
  </w:style>
  <w:style w:type="paragraph" w:styleId="14">
    <w:name w:val="Heading 2"/>
    <w:basedOn w:val="1038"/>
    <w:next w:val="1038"/>
    <w:link w:val="1083"/>
    <w:uiPriority w:val="9"/>
    <w:unhideWhenUsed/>
    <w:qFormat/>
    <w:pPr>
      <w:keepLines/>
      <w:keepNext/>
      <w:spacing w:before="360" w:after="200"/>
      <w:outlineLvl w:val="1"/>
    </w:pPr>
    <w:rPr>
      <w:rFonts w:ascii="Arial" w:hAnsi="Arial" w:eastAsia="Arial" w:cs="Arial"/>
      <w:sz w:val="34"/>
    </w:rPr>
  </w:style>
  <w:style w:type="paragraph" w:styleId="16">
    <w:name w:val="Heading 3"/>
    <w:basedOn w:val="1038"/>
    <w:next w:val="1038"/>
    <w:link w:val="108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1038"/>
    <w:next w:val="1038"/>
    <w:link w:val="108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1038"/>
    <w:next w:val="1038"/>
    <w:link w:val="108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1038"/>
    <w:next w:val="1038"/>
    <w:link w:val="108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1038"/>
    <w:next w:val="1038"/>
    <w:link w:val="108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1038"/>
    <w:next w:val="1038"/>
    <w:link w:val="108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1038"/>
    <w:next w:val="1038"/>
    <w:link w:val="1090"/>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103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38"/>
    <w:next w:val="1038"/>
    <w:link w:val="1091"/>
    <w:uiPriority w:val="10"/>
    <w:qFormat/>
    <w:pPr>
      <w:contextualSpacing/>
      <w:spacing w:before="300" w:after="200"/>
    </w:pPr>
    <w:rPr>
      <w:sz w:val="48"/>
      <w:szCs w:val="48"/>
    </w:rPr>
  </w:style>
  <w:style w:type="paragraph" w:styleId="35">
    <w:name w:val="Subtitle"/>
    <w:basedOn w:val="1038"/>
    <w:next w:val="1038"/>
    <w:link w:val="1126"/>
    <w:uiPriority w:val="11"/>
    <w:qFormat/>
    <w:pPr>
      <w:spacing w:before="200" w:after="200"/>
    </w:pPr>
    <w:rPr>
      <w:sz w:val="24"/>
      <w:szCs w:val="24"/>
    </w:rPr>
  </w:style>
  <w:style w:type="paragraph" w:styleId="37">
    <w:name w:val="Quote"/>
    <w:basedOn w:val="1038"/>
    <w:next w:val="1038"/>
    <w:link w:val="1092"/>
    <w:uiPriority w:val="29"/>
    <w:qFormat/>
    <w:pPr>
      <w:ind w:left="720" w:right="720"/>
    </w:pPr>
    <w:rPr>
      <w:i/>
    </w:rPr>
  </w:style>
  <w:style w:type="paragraph" w:styleId="39">
    <w:name w:val="Intense Quote"/>
    <w:basedOn w:val="1038"/>
    <w:next w:val="1038"/>
    <w:link w:val="10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1038"/>
    <w:link w:val="1094"/>
    <w:uiPriority w:val="99"/>
    <w:unhideWhenUsed/>
    <w:pPr>
      <w:spacing w:after="0" w:line="240" w:lineRule="auto"/>
      <w:tabs>
        <w:tab w:val="center" w:pos="7143" w:leader="none"/>
        <w:tab w:val="right" w:pos="14287" w:leader="none"/>
      </w:tabs>
    </w:pPr>
  </w:style>
  <w:style w:type="paragraph" w:styleId="43">
    <w:name w:val="Footer"/>
    <w:basedOn w:val="1038"/>
    <w:link w:val="1130"/>
    <w:uiPriority w:val="99"/>
    <w:unhideWhenUsed/>
    <w:pPr>
      <w:spacing w:after="0" w:line="240" w:lineRule="auto"/>
      <w:tabs>
        <w:tab w:val="center" w:pos="7143" w:leader="none"/>
        <w:tab w:val="right" w:pos="14287" w:leader="none"/>
      </w:tabs>
    </w:pPr>
  </w:style>
  <w:style w:type="paragraph" w:styleId="45">
    <w:name w:val="Caption"/>
    <w:basedOn w:val="1038"/>
    <w:next w:val="103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1038"/>
    <w:link w:val="115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1038"/>
    <w:link w:val="115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1038"/>
    <w:next w:val="1038"/>
    <w:uiPriority w:val="39"/>
    <w:unhideWhenUsed/>
    <w:pPr>
      <w:ind w:left="0" w:right="0" w:firstLine="0"/>
      <w:spacing w:after="57"/>
    </w:pPr>
  </w:style>
  <w:style w:type="paragraph" w:styleId="181">
    <w:name w:val="toc 2"/>
    <w:basedOn w:val="1038"/>
    <w:next w:val="1038"/>
    <w:uiPriority w:val="39"/>
    <w:unhideWhenUsed/>
    <w:pPr>
      <w:ind w:left="283" w:right="0" w:firstLine="0"/>
      <w:spacing w:after="57"/>
    </w:pPr>
  </w:style>
  <w:style w:type="paragraph" w:styleId="182">
    <w:name w:val="toc 3"/>
    <w:basedOn w:val="1038"/>
    <w:next w:val="1038"/>
    <w:uiPriority w:val="39"/>
    <w:unhideWhenUsed/>
    <w:pPr>
      <w:ind w:left="567" w:right="0" w:firstLine="0"/>
      <w:spacing w:after="57"/>
    </w:pPr>
  </w:style>
  <w:style w:type="paragraph" w:styleId="183">
    <w:name w:val="toc 4"/>
    <w:basedOn w:val="1038"/>
    <w:next w:val="1038"/>
    <w:uiPriority w:val="39"/>
    <w:unhideWhenUsed/>
    <w:pPr>
      <w:ind w:left="850" w:right="0" w:firstLine="0"/>
      <w:spacing w:after="57"/>
    </w:pPr>
  </w:style>
  <w:style w:type="paragraph" w:styleId="184">
    <w:name w:val="toc 5"/>
    <w:basedOn w:val="1038"/>
    <w:next w:val="1038"/>
    <w:uiPriority w:val="39"/>
    <w:unhideWhenUsed/>
    <w:pPr>
      <w:ind w:left="1134" w:right="0" w:firstLine="0"/>
      <w:spacing w:after="57"/>
    </w:pPr>
  </w:style>
  <w:style w:type="paragraph" w:styleId="185">
    <w:name w:val="toc 6"/>
    <w:basedOn w:val="1038"/>
    <w:next w:val="1038"/>
    <w:uiPriority w:val="39"/>
    <w:unhideWhenUsed/>
    <w:pPr>
      <w:ind w:left="1417" w:right="0" w:firstLine="0"/>
      <w:spacing w:after="57"/>
    </w:pPr>
  </w:style>
  <w:style w:type="paragraph" w:styleId="186">
    <w:name w:val="toc 7"/>
    <w:basedOn w:val="1038"/>
    <w:next w:val="1038"/>
    <w:uiPriority w:val="39"/>
    <w:unhideWhenUsed/>
    <w:pPr>
      <w:ind w:left="1701" w:right="0" w:firstLine="0"/>
      <w:spacing w:after="57"/>
    </w:pPr>
  </w:style>
  <w:style w:type="paragraph" w:styleId="187">
    <w:name w:val="toc 8"/>
    <w:basedOn w:val="1038"/>
    <w:next w:val="1038"/>
    <w:uiPriority w:val="39"/>
    <w:unhideWhenUsed/>
    <w:pPr>
      <w:ind w:left="1984" w:right="0" w:firstLine="0"/>
      <w:spacing w:after="57"/>
    </w:pPr>
  </w:style>
  <w:style w:type="paragraph" w:styleId="188">
    <w:name w:val="toc 9"/>
    <w:basedOn w:val="1038"/>
    <w:next w:val="10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38"/>
    <w:next w:val="1038"/>
    <w:uiPriority w:val="99"/>
    <w:unhideWhenUsed/>
    <w:pPr>
      <w:spacing w:after="0" w:afterAutospacing="0"/>
    </w:pPr>
  </w:style>
  <w:style w:type="paragraph" w:styleId="1038" w:default="1">
    <w:name w:val="Normal"/>
    <w:next w:val="1051"/>
    <w:link w:val="1038"/>
    <w:qFormat/>
    <w:pPr>
      <w:jc w:val="both"/>
      <w:widowControl w:val="off"/>
    </w:pPr>
    <w:rPr>
      <w:sz w:val="21"/>
      <w:szCs w:val="21"/>
      <w:lang w:val="en-US" w:eastAsia="zh-CN" w:bidi="ar-SA"/>
    </w:rPr>
  </w:style>
  <w:style w:type="paragraph" w:styleId="1039">
    <w:name w:val="标题 1"/>
    <w:basedOn w:val="1038"/>
    <w:next w:val="1038"/>
    <w:link w:val="1154"/>
    <w:uiPriority w:val="9"/>
    <w:qFormat/>
    <w:pPr>
      <w:keepLines/>
      <w:keepNext/>
      <w:spacing w:before="480" w:after="200"/>
      <w:outlineLvl w:val="0"/>
    </w:pPr>
    <w:rPr>
      <w:rFonts w:ascii="Arial" w:hAnsi="Arial" w:eastAsia="Arial" w:cs="Arial"/>
      <w:sz w:val="40"/>
      <w:szCs w:val="40"/>
    </w:rPr>
  </w:style>
  <w:style w:type="paragraph" w:styleId="1040">
    <w:name w:val="标题 2"/>
    <w:basedOn w:val="1038"/>
    <w:next w:val="1038"/>
    <w:link w:val="1155"/>
    <w:uiPriority w:val="9"/>
    <w:qFormat/>
    <w:pPr>
      <w:keepLines/>
      <w:keepNext/>
      <w:spacing w:before="360" w:after="200"/>
      <w:outlineLvl w:val="1"/>
    </w:pPr>
    <w:rPr>
      <w:rFonts w:ascii="Arial" w:hAnsi="Arial" w:eastAsia="Arial" w:cs="Arial"/>
      <w:sz w:val="34"/>
    </w:rPr>
  </w:style>
  <w:style w:type="paragraph" w:styleId="1041">
    <w:name w:val="标题 3"/>
    <w:basedOn w:val="1038"/>
    <w:next w:val="1038"/>
    <w:link w:val="1156"/>
    <w:uiPriority w:val="9"/>
    <w:qFormat/>
    <w:pPr>
      <w:keepLines/>
      <w:keepNext/>
      <w:spacing w:before="320" w:after="200"/>
      <w:outlineLvl w:val="2"/>
    </w:pPr>
    <w:rPr>
      <w:rFonts w:ascii="Arial" w:hAnsi="Arial" w:eastAsia="Arial" w:cs="Arial"/>
      <w:sz w:val="30"/>
      <w:szCs w:val="30"/>
    </w:rPr>
  </w:style>
  <w:style w:type="paragraph" w:styleId="1042">
    <w:name w:val="标题 4"/>
    <w:basedOn w:val="1038"/>
    <w:next w:val="1038"/>
    <w:link w:val="1157"/>
    <w:uiPriority w:val="9"/>
    <w:qFormat/>
    <w:pPr>
      <w:keepLines/>
      <w:keepNext/>
      <w:spacing w:before="320" w:after="200"/>
      <w:outlineLvl w:val="3"/>
    </w:pPr>
    <w:rPr>
      <w:rFonts w:ascii="Arial" w:hAnsi="Arial" w:eastAsia="Arial" w:cs="Arial"/>
      <w:b/>
      <w:bCs/>
      <w:sz w:val="26"/>
      <w:szCs w:val="26"/>
    </w:rPr>
  </w:style>
  <w:style w:type="paragraph" w:styleId="1043">
    <w:name w:val="标题 5"/>
    <w:basedOn w:val="1038"/>
    <w:next w:val="1038"/>
    <w:link w:val="1158"/>
    <w:uiPriority w:val="9"/>
    <w:qFormat/>
    <w:pPr>
      <w:keepLines/>
      <w:keepNext/>
      <w:spacing w:before="320" w:after="200" w:line="60" w:lineRule="auto"/>
      <w:outlineLvl w:val="4"/>
    </w:pPr>
    <w:rPr>
      <w:rFonts w:ascii="Arial" w:hAnsi="Arial" w:cs="Arial"/>
      <w:b/>
      <w:bCs/>
      <w:sz w:val="24"/>
      <w:szCs w:val="24"/>
    </w:rPr>
  </w:style>
  <w:style w:type="paragraph" w:styleId="1044">
    <w:name w:val="标题 6"/>
    <w:basedOn w:val="1038"/>
    <w:next w:val="1038"/>
    <w:link w:val="1159"/>
    <w:uiPriority w:val="9"/>
    <w:qFormat/>
    <w:pPr>
      <w:keepLines/>
      <w:keepNext/>
      <w:spacing w:before="320" w:after="200"/>
      <w:outlineLvl w:val="5"/>
    </w:pPr>
    <w:rPr>
      <w:rFonts w:ascii="Arial" w:hAnsi="Arial" w:eastAsia="Arial" w:cs="Arial"/>
      <w:b/>
      <w:bCs/>
      <w:sz w:val="22"/>
      <w:szCs w:val="22"/>
    </w:rPr>
  </w:style>
  <w:style w:type="paragraph" w:styleId="1045">
    <w:name w:val="标题 7"/>
    <w:basedOn w:val="1038"/>
    <w:next w:val="1038"/>
    <w:link w:val="1160"/>
    <w:uiPriority w:val="9"/>
    <w:qFormat/>
    <w:pPr>
      <w:keepLines/>
      <w:keepNext/>
      <w:spacing w:before="320" w:after="200"/>
      <w:outlineLvl w:val="6"/>
    </w:pPr>
    <w:rPr>
      <w:rFonts w:ascii="Arial" w:hAnsi="Arial" w:eastAsia="Arial" w:cs="Arial"/>
      <w:b/>
      <w:bCs/>
      <w:i/>
      <w:iCs/>
      <w:sz w:val="22"/>
      <w:szCs w:val="22"/>
    </w:rPr>
  </w:style>
  <w:style w:type="paragraph" w:styleId="1046">
    <w:name w:val="标题 8"/>
    <w:basedOn w:val="1038"/>
    <w:next w:val="1038"/>
    <w:link w:val="1161"/>
    <w:uiPriority w:val="9"/>
    <w:qFormat/>
    <w:pPr>
      <w:keepLines/>
      <w:keepNext/>
      <w:spacing w:before="320" w:after="200"/>
      <w:outlineLvl w:val="7"/>
    </w:pPr>
    <w:rPr>
      <w:rFonts w:ascii="Arial" w:hAnsi="Arial" w:eastAsia="Arial" w:cs="Arial"/>
      <w:i/>
      <w:iCs/>
      <w:sz w:val="22"/>
      <w:szCs w:val="22"/>
    </w:rPr>
  </w:style>
  <w:style w:type="paragraph" w:styleId="1047">
    <w:name w:val="标题 9"/>
    <w:basedOn w:val="1038"/>
    <w:next w:val="1038"/>
    <w:link w:val="1162"/>
    <w:uiPriority w:val="9"/>
    <w:qFormat/>
    <w:pPr>
      <w:keepLines/>
      <w:keepNext/>
      <w:spacing w:before="320" w:after="200"/>
      <w:outlineLvl w:val="8"/>
    </w:pPr>
    <w:rPr>
      <w:rFonts w:ascii="Arial" w:hAnsi="Arial" w:eastAsia="Arial" w:cs="Arial"/>
      <w:i/>
      <w:iCs/>
    </w:rPr>
  </w:style>
  <w:style w:type="character" w:styleId="1048">
    <w:name w:val="默认段落字体"/>
    <w:next w:val="1048"/>
    <w:link w:val="1038"/>
    <w:uiPriority w:val="1"/>
    <w:semiHidden/>
    <w:unhideWhenUsed/>
  </w:style>
  <w:style w:type="table" w:styleId="1049">
    <w:name w:val="普通表格"/>
    <w:next w:val="1049"/>
    <w:link w:val="1038"/>
    <w:uiPriority w:val="99"/>
    <w:semiHidden/>
    <w:unhideWhenUsed/>
    <w:tblPr/>
  </w:style>
  <w:style w:type="numbering" w:styleId="1050">
    <w:name w:val="无列表"/>
    <w:next w:val="1050"/>
    <w:link w:val="1038"/>
    <w:uiPriority w:val="99"/>
    <w:semiHidden/>
    <w:unhideWhenUsed/>
  </w:style>
  <w:style w:type="paragraph" w:styleId="1051">
    <w:name w:val="正文文本"/>
    <w:basedOn w:val="1038"/>
    <w:next w:val="1052"/>
    <w:link w:val="1038"/>
    <w:qFormat/>
    <w:pPr>
      <w:ind w:firstLine="200"/>
      <w:jc w:val="left"/>
      <w:spacing w:after="120"/>
    </w:pPr>
  </w:style>
  <w:style w:type="paragraph" w:styleId="1052">
    <w:name w:val="正文首行缩进"/>
    <w:basedOn w:val="1051"/>
    <w:next w:val="1052"/>
    <w:link w:val="1038"/>
    <w:uiPriority w:val="99"/>
    <w:qFormat/>
    <w:pPr>
      <w:ind w:firstLine="420"/>
      <w:jc w:val="both"/>
    </w:pPr>
  </w:style>
  <w:style w:type="paragraph" w:styleId="1053">
    <w:name w:val="列表 3"/>
    <w:basedOn w:val="1038"/>
    <w:next w:val="1053"/>
    <w:link w:val="1038"/>
    <w:uiPriority w:val="99"/>
    <w:qFormat/>
    <w:pPr>
      <w:contextualSpacing/>
      <w:ind w:left="100" w:hanging="200"/>
      <w:jc w:val="left"/>
      <w:spacing w:line="360" w:lineRule="auto"/>
    </w:pPr>
    <w:rPr>
      <w:rFonts w:ascii="Arial" w:hAnsi="Arial"/>
      <w:sz w:val="24"/>
    </w:rPr>
  </w:style>
  <w:style w:type="paragraph" w:styleId="1054">
    <w:name w:val="目录 7"/>
    <w:basedOn w:val="1038"/>
    <w:next w:val="1038"/>
    <w:link w:val="1038"/>
    <w:qFormat/>
    <w:pPr>
      <w:ind w:left="1260"/>
      <w:jc w:val="left"/>
    </w:pPr>
  </w:style>
  <w:style w:type="paragraph" w:styleId="1055">
    <w:name w:val="题注"/>
    <w:basedOn w:val="1038"/>
    <w:next w:val="1038"/>
    <w:link w:val="1038"/>
    <w:uiPriority w:val="35"/>
    <w:qFormat/>
    <w:pPr>
      <w:spacing w:line="276" w:lineRule="auto"/>
    </w:pPr>
    <w:rPr>
      <w:b/>
      <w:bCs/>
      <w:color w:val="4f81bd"/>
      <w:sz w:val="18"/>
      <w:szCs w:val="18"/>
    </w:rPr>
  </w:style>
  <w:style w:type="paragraph" w:styleId="1056">
    <w:name w:val="文档结构图"/>
    <w:basedOn w:val="1038"/>
    <w:next w:val="1056"/>
    <w:link w:val="1038"/>
    <w:qFormat/>
    <w:pPr>
      <w:ind w:firstLine="200"/>
    </w:pPr>
    <w:rPr>
      <w:rFonts w:ascii="Microsoft YaHei UI" w:hAnsi="Arial" w:eastAsia="Microsoft YaHei UI"/>
      <w:sz w:val="18"/>
      <w:szCs w:val="18"/>
    </w:rPr>
  </w:style>
  <w:style w:type="paragraph" w:styleId="1057">
    <w:name w:val="批注文字"/>
    <w:basedOn w:val="1038"/>
    <w:next w:val="1057"/>
    <w:link w:val="1387"/>
    <w:uiPriority w:val="99"/>
    <w:qFormat/>
    <w:pPr>
      <w:jc w:val="left"/>
    </w:pPr>
  </w:style>
  <w:style w:type="paragraph" w:styleId="1058">
    <w:name w:val="目录 5"/>
    <w:basedOn w:val="1038"/>
    <w:next w:val="1038"/>
    <w:link w:val="1038"/>
    <w:qFormat/>
    <w:pPr>
      <w:ind w:left="840"/>
      <w:jc w:val="left"/>
    </w:pPr>
  </w:style>
  <w:style w:type="paragraph" w:styleId="1059">
    <w:name w:val="目录 3"/>
    <w:basedOn w:val="1038"/>
    <w:next w:val="1038"/>
    <w:link w:val="1038"/>
    <w:qFormat/>
    <w:pPr>
      <w:ind w:left="420"/>
      <w:jc w:val="left"/>
    </w:pPr>
    <w:rPr>
      <w:i/>
      <w:iCs/>
      <w:szCs w:val="24"/>
    </w:rPr>
  </w:style>
  <w:style w:type="paragraph" w:styleId="1060">
    <w:name w:val="目录 8"/>
    <w:basedOn w:val="1038"/>
    <w:next w:val="1038"/>
    <w:link w:val="1038"/>
    <w:qFormat/>
    <w:pPr>
      <w:ind w:left="1470"/>
      <w:jc w:val="left"/>
    </w:pPr>
  </w:style>
  <w:style w:type="paragraph" w:styleId="1061">
    <w:name w:val="尾注文本"/>
    <w:basedOn w:val="1038"/>
    <w:next w:val="1061"/>
    <w:link w:val="1281"/>
    <w:uiPriority w:val="99"/>
    <w:qFormat/>
    <w:rPr>
      <w:sz w:val="20"/>
    </w:rPr>
  </w:style>
  <w:style w:type="paragraph" w:styleId="1062">
    <w:name w:val="批注框文本"/>
    <w:basedOn w:val="1038"/>
    <w:next w:val="1062"/>
    <w:link w:val="1390"/>
    <w:uiPriority w:val="99"/>
    <w:qFormat/>
    <w:rPr>
      <w:sz w:val="18"/>
      <w:szCs w:val="18"/>
    </w:rPr>
  </w:style>
  <w:style w:type="paragraph" w:styleId="1063">
    <w:name w:val="页脚"/>
    <w:basedOn w:val="1038"/>
    <w:next w:val="1063"/>
    <w:link w:val="1173"/>
    <w:uiPriority w:val="99"/>
    <w:qFormat/>
    <w:pPr>
      <w:tabs>
        <w:tab w:val="center" w:pos="7143" w:leader="none"/>
        <w:tab w:val="right" w:pos="14287" w:leader="none"/>
      </w:tabs>
    </w:pPr>
  </w:style>
  <w:style w:type="paragraph" w:styleId="1064">
    <w:name w:val="页眉"/>
    <w:basedOn w:val="1038"/>
    <w:next w:val="1064"/>
    <w:link w:val="1171"/>
    <w:uiPriority w:val="99"/>
    <w:qFormat/>
    <w:pPr>
      <w:tabs>
        <w:tab w:val="center" w:pos="7143" w:leader="none"/>
        <w:tab w:val="right" w:pos="14287" w:leader="none"/>
      </w:tabs>
    </w:pPr>
  </w:style>
  <w:style w:type="paragraph" w:styleId="1065">
    <w:name w:val="目录 1"/>
    <w:basedOn w:val="1038"/>
    <w:next w:val="1038"/>
    <w:link w:val="1038"/>
    <w:qFormat/>
    <w:pPr>
      <w:jc w:val="left"/>
      <w:spacing w:before="120" w:after="120" w:line="400" w:lineRule="exact"/>
      <w:tabs>
        <w:tab w:val="right" w:pos="8720" w:leader="dot"/>
      </w:tabs>
    </w:pPr>
    <w:rPr>
      <w:rFonts w:ascii="宋体" w:hAnsi="宋体"/>
      <w:caps/>
      <w:sz w:val="24"/>
      <w:szCs w:val="24"/>
    </w:rPr>
  </w:style>
  <w:style w:type="paragraph" w:styleId="1066">
    <w:name w:val="目录 4"/>
    <w:basedOn w:val="1038"/>
    <w:next w:val="1038"/>
    <w:link w:val="1038"/>
    <w:qFormat/>
    <w:pPr>
      <w:ind w:left="630"/>
      <w:jc w:val="left"/>
    </w:pPr>
  </w:style>
  <w:style w:type="paragraph" w:styleId="1067">
    <w:name w:val="副标题"/>
    <w:basedOn w:val="1038"/>
    <w:next w:val="1038"/>
    <w:link w:val="1166"/>
    <w:uiPriority w:val="11"/>
    <w:qFormat/>
    <w:pPr>
      <w:spacing w:before="200" w:after="200"/>
    </w:pPr>
    <w:rPr>
      <w:sz w:val="24"/>
      <w:szCs w:val="24"/>
    </w:rPr>
  </w:style>
  <w:style w:type="paragraph" w:styleId="1068">
    <w:name w:val="脚注文本"/>
    <w:basedOn w:val="1038"/>
    <w:next w:val="1068"/>
    <w:link w:val="1280"/>
    <w:uiPriority w:val="99"/>
    <w:qFormat/>
    <w:pPr>
      <w:spacing w:after="40"/>
    </w:pPr>
    <w:rPr>
      <w:sz w:val="18"/>
    </w:rPr>
  </w:style>
  <w:style w:type="paragraph" w:styleId="1069">
    <w:name w:val="目录 6"/>
    <w:basedOn w:val="1038"/>
    <w:next w:val="1038"/>
    <w:link w:val="1038"/>
    <w:qFormat/>
    <w:pPr>
      <w:ind w:left="1050"/>
      <w:jc w:val="left"/>
    </w:pPr>
  </w:style>
  <w:style w:type="paragraph" w:styleId="1070">
    <w:name w:val="图表目录"/>
    <w:basedOn w:val="1038"/>
    <w:next w:val="1038"/>
    <w:link w:val="1038"/>
    <w:uiPriority w:val="99"/>
    <w:qFormat/>
  </w:style>
  <w:style w:type="paragraph" w:styleId="1071">
    <w:name w:val="目录 2"/>
    <w:basedOn w:val="1038"/>
    <w:next w:val="1038"/>
    <w:link w:val="1038"/>
    <w:qFormat/>
    <w:pPr>
      <w:ind w:left="210"/>
      <w:jc w:val="left"/>
    </w:pPr>
    <w:rPr>
      <w:smallCaps/>
      <w:szCs w:val="24"/>
    </w:rPr>
  </w:style>
  <w:style w:type="paragraph" w:styleId="1072">
    <w:name w:val="目录 9"/>
    <w:basedOn w:val="1038"/>
    <w:next w:val="1038"/>
    <w:link w:val="1038"/>
    <w:qFormat/>
    <w:pPr>
      <w:ind w:left="1680"/>
      <w:jc w:val="left"/>
    </w:pPr>
  </w:style>
  <w:style w:type="paragraph" w:styleId="1073">
    <w:name w:val="普通(网站)"/>
    <w:basedOn w:val="1038"/>
    <w:next w:val="1073"/>
    <w:link w:val="1038"/>
    <w:uiPriority w:val="99"/>
    <w:qFormat/>
    <w:pPr>
      <w:jc w:val="left"/>
      <w:spacing w:beforeAutospacing="1" w:afterAutospacing="1"/>
    </w:pPr>
    <w:rPr>
      <w:sz w:val="24"/>
    </w:rPr>
  </w:style>
  <w:style w:type="paragraph" w:styleId="1074">
    <w:name w:val="标题"/>
    <w:basedOn w:val="1038"/>
    <w:next w:val="1038"/>
    <w:link w:val="1165"/>
    <w:uiPriority w:val="10"/>
    <w:qFormat/>
    <w:pPr>
      <w:contextualSpacing/>
      <w:spacing w:before="300" w:after="200"/>
    </w:pPr>
    <w:rPr>
      <w:sz w:val="48"/>
      <w:szCs w:val="48"/>
    </w:rPr>
  </w:style>
  <w:style w:type="paragraph" w:styleId="1075">
    <w:name w:val="批注主题"/>
    <w:basedOn w:val="1057"/>
    <w:next w:val="1057"/>
    <w:link w:val="1388"/>
    <w:uiPriority w:val="99"/>
    <w:qFormat/>
    <w:rPr>
      <w:b/>
      <w:bCs/>
    </w:rPr>
  </w:style>
  <w:style w:type="table" w:styleId="1076">
    <w:name w:val="网格型"/>
    <w:next w:val="1076"/>
    <w:link w:val="1038"/>
    <w:uiPriority w:val="59"/>
    <w:qFormat/>
    <w:rPr>
      <w:lang w:val="en-US" w:eastAsia="zh-CN" w:bidi="ar-SA"/>
    </w:rPr>
    <w:tblPr/>
  </w:style>
  <w:style w:type="character" w:styleId="1077">
    <w:name w:val="要点"/>
    <w:next w:val="1077"/>
    <w:link w:val="1038"/>
    <w:uiPriority w:val="22"/>
    <w:qFormat/>
    <w:rPr>
      <w:b/>
    </w:rPr>
  </w:style>
  <w:style w:type="character" w:styleId="1078">
    <w:name w:val="尾注引用"/>
    <w:next w:val="1078"/>
    <w:link w:val="1038"/>
    <w:uiPriority w:val="99"/>
    <w:qFormat/>
    <w:rPr>
      <w:vertAlign w:val="superscript"/>
    </w:rPr>
  </w:style>
  <w:style w:type="character" w:styleId="1079">
    <w:name w:val="超链接"/>
    <w:next w:val="1079"/>
    <w:link w:val="1038"/>
    <w:uiPriority w:val="99"/>
    <w:qFormat/>
    <w:rPr>
      <w:color w:val="0000ff"/>
      <w:u w:val="single"/>
    </w:rPr>
  </w:style>
  <w:style w:type="character" w:styleId="1080">
    <w:name w:val="批注引用"/>
    <w:next w:val="1080"/>
    <w:link w:val="1038"/>
    <w:uiPriority w:val="99"/>
    <w:qFormat/>
    <w:rPr>
      <w:sz w:val="21"/>
      <w:szCs w:val="21"/>
    </w:rPr>
  </w:style>
  <w:style w:type="character" w:styleId="1081">
    <w:name w:val="脚注引用"/>
    <w:next w:val="1081"/>
    <w:link w:val="1038"/>
    <w:uiPriority w:val="99"/>
    <w:qFormat/>
    <w:rPr>
      <w:vertAlign w:val="superscript"/>
    </w:rPr>
  </w:style>
  <w:style w:type="character" w:styleId="1082">
    <w:name w:val="Heading 1 Char"/>
    <w:next w:val="1082"/>
    <w:link w:val="1038"/>
    <w:uiPriority w:val="9"/>
    <w:rPr>
      <w:rFonts w:ascii="Arial" w:hAnsi="Arial" w:eastAsia="Arial" w:cs="Arial"/>
      <w:sz w:val="40"/>
      <w:szCs w:val="40"/>
    </w:rPr>
  </w:style>
  <w:style w:type="character" w:styleId="1083">
    <w:name w:val="Heading 2 Char"/>
    <w:next w:val="1083"/>
    <w:link w:val="1038"/>
    <w:uiPriority w:val="9"/>
    <w:rPr>
      <w:rFonts w:ascii="Arial" w:hAnsi="Arial" w:eastAsia="Arial" w:cs="Arial"/>
      <w:sz w:val="34"/>
    </w:rPr>
  </w:style>
  <w:style w:type="character" w:styleId="1084">
    <w:name w:val="Heading 3 Char"/>
    <w:next w:val="1084"/>
    <w:link w:val="1038"/>
    <w:uiPriority w:val="9"/>
    <w:qFormat/>
    <w:rPr>
      <w:rFonts w:ascii="Arial" w:hAnsi="Arial" w:eastAsia="Arial" w:cs="Arial"/>
      <w:sz w:val="30"/>
      <w:szCs w:val="30"/>
    </w:rPr>
  </w:style>
  <w:style w:type="character" w:styleId="1085">
    <w:name w:val="Heading 4 Char"/>
    <w:next w:val="1085"/>
    <w:link w:val="1038"/>
    <w:uiPriority w:val="9"/>
    <w:rPr>
      <w:rFonts w:ascii="Arial" w:hAnsi="Arial" w:eastAsia="Arial" w:cs="Arial"/>
      <w:b/>
      <w:bCs/>
      <w:sz w:val="26"/>
      <w:szCs w:val="26"/>
    </w:rPr>
  </w:style>
  <w:style w:type="character" w:styleId="1086">
    <w:name w:val="Heading 5 Char"/>
    <w:next w:val="1086"/>
    <w:link w:val="1038"/>
    <w:uiPriority w:val="9"/>
    <w:rPr>
      <w:rFonts w:ascii="Arial" w:hAnsi="Arial" w:eastAsia="Arial" w:cs="Arial"/>
      <w:b/>
      <w:bCs/>
      <w:sz w:val="24"/>
      <w:szCs w:val="24"/>
    </w:rPr>
  </w:style>
  <w:style w:type="character" w:styleId="1087">
    <w:name w:val="Heading 6 Char"/>
    <w:next w:val="1087"/>
    <w:link w:val="1038"/>
    <w:uiPriority w:val="9"/>
    <w:rPr>
      <w:rFonts w:ascii="Arial" w:hAnsi="Arial" w:eastAsia="Arial" w:cs="Arial"/>
      <w:b/>
      <w:bCs/>
      <w:sz w:val="22"/>
      <w:szCs w:val="22"/>
    </w:rPr>
  </w:style>
  <w:style w:type="character" w:styleId="1088">
    <w:name w:val="Heading 7 Char"/>
    <w:next w:val="1088"/>
    <w:link w:val="1038"/>
    <w:uiPriority w:val="9"/>
    <w:rPr>
      <w:rFonts w:ascii="Arial" w:hAnsi="Arial" w:eastAsia="Arial" w:cs="Arial"/>
      <w:b/>
      <w:bCs/>
      <w:i/>
      <w:iCs/>
      <w:sz w:val="22"/>
      <w:szCs w:val="22"/>
    </w:rPr>
  </w:style>
  <w:style w:type="character" w:styleId="1089">
    <w:name w:val="Heading 8 Char"/>
    <w:next w:val="1089"/>
    <w:link w:val="1038"/>
    <w:uiPriority w:val="9"/>
    <w:qFormat/>
    <w:rPr>
      <w:rFonts w:ascii="Arial" w:hAnsi="Arial" w:eastAsia="Arial" w:cs="Arial"/>
      <w:i/>
      <w:iCs/>
      <w:sz w:val="22"/>
      <w:szCs w:val="22"/>
    </w:rPr>
  </w:style>
  <w:style w:type="character" w:styleId="1090">
    <w:name w:val="Heading 9 Char"/>
    <w:next w:val="1090"/>
    <w:link w:val="1038"/>
    <w:uiPriority w:val="9"/>
    <w:rPr>
      <w:rFonts w:ascii="Arial" w:hAnsi="Arial" w:eastAsia="Arial" w:cs="Arial"/>
      <w:i/>
      <w:iCs/>
      <w:sz w:val="21"/>
      <w:szCs w:val="21"/>
    </w:rPr>
  </w:style>
  <w:style w:type="character" w:styleId="1091">
    <w:name w:val="Title Char"/>
    <w:next w:val="1091"/>
    <w:link w:val="1038"/>
    <w:uiPriority w:val="10"/>
    <w:qFormat/>
    <w:rPr>
      <w:sz w:val="48"/>
      <w:szCs w:val="48"/>
    </w:rPr>
  </w:style>
  <w:style w:type="character" w:styleId="1092">
    <w:name w:val="Quote Char"/>
    <w:next w:val="1092"/>
    <w:link w:val="1038"/>
    <w:uiPriority w:val="29"/>
    <w:rPr>
      <w:i/>
    </w:rPr>
  </w:style>
  <w:style w:type="character" w:styleId="1093">
    <w:name w:val="Intense Quote Char"/>
    <w:next w:val="1093"/>
    <w:link w:val="1038"/>
    <w:uiPriority w:val="30"/>
    <w:rPr>
      <w:i/>
    </w:rPr>
  </w:style>
  <w:style w:type="character" w:styleId="1094">
    <w:name w:val="Header Char"/>
    <w:basedOn w:val="1048"/>
    <w:next w:val="1094"/>
    <w:link w:val="1038"/>
    <w:uiPriority w:val="99"/>
  </w:style>
  <w:style w:type="character" w:styleId="1095">
    <w:name w:val="Footer Char"/>
    <w:basedOn w:val="1048"/>
    <w:next w:val="1095"/>
    <w:link w:val="1038"/>
    <w:uiPriority w:val="99"/>
  </w:style>
  <w:style w:type="table" w:styleId="1096">
    <w:name w:val="Plain Table 1"/>
    <w:basedOn w:val="1049"/>
    <w:next w:val="1096"/>
    <w:link w:val="1038"/>
    <w:uiPriority w:val="59"/>
    <w:qFormat/>
    <w:pPr>
      <w:spacing w:after="0" w:line="240" w:lineRule="auto"/>
    </w:pPr>
    <w:tblPr/>
  </w:style>
  <w:style w:type="table" w:styleId="1097">
    <w:name w:val="Plain Table 2"/>
    <w:basedOn w:val="1049"/>
    <w:next w:val="1097"/>
    <w:link w:val="1038"/>
    <w:uiPriority w:val="59"/>
    <w:pPr>
      <w:spacing w:after="0" w:line="240" w:lineRule="auto"/>
    </w:pPr>
    <w:tblPr/>
  </w:style>
  <w:style w:type="table" w:styleId="1098">
    <w:name w:val="Plain Table 3"/>
    <w:basedOn w:val="1049"/>
    <w:next w:val="1098"/>
    <w:link w:val="1038"/>
    <w:uiPriority w:val="99"/>
    <w:qFormat/>
    <w:pPr>
      <w:spacing w:after="0" w:line="240" w:lineRule="auto"/>
    </w:pPr>
    <w:tblPr/>
  </w:style>
  <w:style w:type="table" w:styleId="1099">
    <w:name w:val="Plain Table 4"/>
    <w:basedOn w:val="1049"/>
    <w:next w:val="1099"/>
    <w:link w:val="1038"/>
    <w:uiPriority w:val="99"/>
    <w:qFormat/>
    <w:pPr>
      <w:spacing w:after="0" w:line="240" w:lineRule="auto"/>
    </w:pPr>
    <w:tblPr/>
  </w:style>
  <w:style w:type="table" w:styleId="1100">
    <w:name w:val="Plain Table 5"/>
    <w:basedOn w:val="1049"/>
    <w:next w:val="1100"/>
    <w:link w:val="1038"/>
    <w:uiPriority w:val="99"/>
    <w:tblPr/>
  </w:style>
  <w:style w:type="table" w:styleId="1101">
    <w:name w:val="Grid Table 1 Light"/>
    <w:basedOn w:val="1049"/>
    <w:next w:val="1101"/>
    <w:link w:val="1038"/>
    <w:uiPriority w:val="99"/>
    <w:pPr>
      <w:spacing w:after="0" w:line="240" w:lineRule="auto"/>
    </w:pPr>
    <w:tblPr/>
  </w:style>
  <w:style w:type="table" w:styleId="1102">
    <w:name w:val="Grid Table 2"/>
    <w:basedOn w:val="1049"/>
    <w:next w:val="1102"/>
    <w:link w:val="1038"/>
    <w:uiPriority w:val="99"/>
    <w:pPr>
      <w:spacing w:after="0" w:line="240" w:lineRule="auto"/>
    </w:pPr>
    <w:tblPr/>
  </w:style>
  <w:style w:type="table" w:styleId="1103">
    <w:name w:val="Grid Table 3"/>
    <w:basedOn w:val="1049"/>
    <w:next w:val="1103"/>
    <w:link w:val="1038"/>
    <w:uiPriority w:val="99"/>
    <w:tblPr/>
  </w:style>
  <w:style w:type="table" w:styleId="1104">
    <w:name w:val="Grid Table 4"/>
    <w:basedOn w:val="1049"/>
    <w:next w:val="1104"/>
    <w:link w:val="1038"/>
    <w:uiPriority w:val="59"/>
    <w:pPr>
      <w:spacing w:after="0" w:line="240" w:lineRule="auto"/>
    </w:pPr>
    <w:tblPr/>
  </w:style>
  <w:style w:type="table" w:styleId="1105">
    <w:name w:val="Grid Table 5 Dark"/>
    <w:basedOn w:val="1049"/>
    <w:next w:val="1105"/>
    <w:link w:val="1038"/>
    <w:uiPriority w:val="99"/>
    <w:pPr>
      <w:spacing w:after="0" w:line="240" w:lineRule="auto"/>
    </w:pPr>
    <w:tblPr/>
  </w:style>
  <w:style w:type="table" w:styleId="1106">
    <w:name w:val="Grid Table 6 Colorful"/>
    <w:basedOn w:val="1049"/>
    <w:next w:val="1106"/>
    <w:link w:val="1038"/>
    <w:uiPriority w:val="99"/>
    <w:pPr>
      <w:spacing w:after="0" w:line="240" w:lineRule="auto"/>
    </w:pPr>
    <w:tblPr/>
  </w:style>
  <w:style w:type="table" w:styleId="1107">
    <w:name w:val="Grid Table 7 Colorful"/>
    <w:basedOn w:val="1049"/>
    <w:next w:val="1107"/>
    <w:link w:val="1038"/>
    <w:uiPriority w:val="99"/>
    <w:tblPr/>
  </w:style>
  <w:style w:type="table" w:styleId="1108">
    <w:name w:val="List Table 1 Light"/>
    <w:basedOn w:val="1049"/>
    <w:next w:val="1108"/>
    <w:link w:val="1038"/>
    <w:uiPriority w:val="99"/>
    <w:pPr>
      <w:spacing w:after="0" w:line="240" w:lineRule="auto"/>
    </w:pPr>
    <w:tblPr/>
  </w:style>
  <w:style w:type="table" w:styleId="1109">
    <w:name w:val="List Table 2"/>
    <w:basedOn w:val="1049"/>
    <w:next w:val="1109"/>
    <w:link w:val="1038"/>
    <w:uiPriority w:val="99"/>
    <w:pPr>
      <w:spacing w:after="0" w:line="240" w:lineRule="auto"/>
    </w:pPr>
    <w:tblPr/>
  </w:style>
  <w:style w:type="table" w:styleId="1110">
    <w:name w:val="List Table 3"/>
    <w:basedOn w:val="1049"/>
    <w:next w:val="1110"/>
    <w:link w:val="1038"/>
    <w:uiPriority w:val="99"/>
    <w:qFormat/>
    <w:pPr>
      <w:spacing w:after="0" w:line="240" w:lineRule="auto"/>
    </w:pPr>
    <w:tblPr/>
  </w:style>
  <w:style w:type="table" w:styleId="1111">
    <w:name w:val="List Table 4"/>
    <w:basedOn w:val="1049"/>
    <w:next w:val="1111"/>
    <w:link w:val="1038"/>
    <w:uiPriority w:val="99"/>
    <w:pPr>
      <w:spacing w:after="0" w:line="240" w:lineRule="auto"/>
    </w:pPr>
    <w:tblPr/>
  </w:style>
  <w:style w:type="table" w:styleId="1112">
    <w:name w:val="List Table 5 Dark"/>
    <w:basedOn w:val="1049"/>
    <w:next w:val="1112"/>
    <w:link w:val="1038"/>
    <w:uiPriority w:val="99"/>
    <w:pPr>
      <w:spacing w:after="0" w:line="240" w:lineRule="auto"/>
    </w:pPr>
    <w:tblPr/>
  </w:style>
  <w:style w:type="table" w:styleId="1113">
    <w:name w:val="List Table 6 Colorful"/>
    <w:basedOn w:val="1049"/>
    <w:next w:val="1113"/>
    <w:link w:val="1038"/>
    <w:uiPriority w:val="99"/>
    <w:qFormat/>
    <w:pPr>
      <w:spacing w:after="0" w:line="240" w:lineRule="auto"/>
    </w:pPr>
    <w:tblPr/>
  </w:style>
  <w:style w:type="table" w:styleId="1114">
    <w:name w:val="List Table 7 Colorful"/>
    <w:basedOn w:val="1049"/>
    <w:next w:val="1114"/>
    <w:link w:val="1038"/>
    <w:uiPriority w:val="99"/>
    <w:tblPr/>
  </w:style>
  <w:style w:type="character" w:styleId="1116">
    <w:name w:val="Heading 1 Char_0477f50a-044c-45d9-97c0-897ba4c2656c"/>
    <w:next w:val="1116"/>
    <w:link w:val="1038"/>
    <w:uiPriority w:val="9"/>
    <w:qFormat/>
    <w:rPr>
      <w:rFonts w:ascii="Arial" w:hAnsi="Arial" w:eastAsia="Arial" w:cs="Arial"/>
      <w:sz w:val="40"/>
      <w:szCs w:val="40"/>
    </w:rPr>
  </w:style>
  <w:style w:type="character" w:styleId="1117">
    <w:name w:val="Heading 2 Char_531491e2-d84d-4247-b037-a520effa21a7"/>
    <w:next w:val="1117"/>
    <w:link w:val="1038"/>
    <w:uiPriority w:val="9"/>
    <w:qFormat/>
    <w:rPr>
      <w:rFonts w:ascii="Arial" w:hAnsi="Arial" w:eastAsia="Arial" w:cs="Arial"/>
      <w:sz w:val="34"/>
    </w:rPr>
  </w:style>
  <w:style w:type="character" w:styleId="1118">
    <w:name w:val="Heading 3 Char_dc27a783-c9c8-49cc-a6c4-ba7da34b08d4"/>
    <w:next w:val="1118"/>
    <w:link w:val="1038"/>
    <w:uiPriority w:val="9"/>
    <w:qFormat/>
    <w:rPr>
      <w:rFonts w:ascii="Arial" w:hAnsi="Arial" w:eastAsia="Arial" w:cs="Arial"/>
      <w:sz w:val="30"/>
      <w:szCs w:val="30"/>
    </w:rPr>
  </w:style>
  <w:style w:type="character" w:styleId="1119">
    <w:name w:val="Heading 4 Char_30ec55e3-d5aa-4a3a-b495-13d051ba7bff"/>
    <w:next w:val="1119"/>
    <w:link w:val="1038"/>
    <w:uiPriority w:val="9"/>
    <w:qFormat/>
    <w:rPr>
      <w:rFonts w:ascii="Arial" w:hAnsi="Arial" w:eastAsia="Arial" w:cs="Arial"/>
      <w:b/>
      <w:bCs/>
      <w:sz w:val="26"/>
      <w:szCs w:val="26"/>
    </w:rPr>
  </w:style>
  <w:style w:type="character" w:styleId="1120">
    <w:name w:val="Heading 5 Char_44f964b1-ae7f-4f28-8dd5-b18e5078f531"/>
    <w:next w:val="1120"/>
    <w:link w:val="1038"/>
    <w:uiPriority w:val="9"/>
    <w:qFormat/>
    <w:rPr>
      <w:rFonts w:ascii="Arial" w:hAnsi="Arial" w:eastAsia="Arial" w:cs="Arial"/>
      <w:b/>
      <w:bCs/>
      <w:sz w:val="24"/>
      <w:szCs w:val="24"/>
    </w:rPr>
  </w:style>
  <w:style w:type="character" w:styleId="1121">
    <w:name w:val="Heading 6 Char_3ea34555-9bfb-4f41-9cb2-eea2b1022af2"/>
    <w:next w:val="1121"/>
    <w:link w:val="1038"/>
    <w:uiPriority w:val="9"/>
    <w:qFormat/>
    <w:rPr>
      <w:rFonts w:ascii="Arial" w:hAnsi="Arial" w:eastAsia="Arial" w:cs="Arial"/>
      <w:b/>
      <w:bCs/>
      <w:sz w:val="22"/>
      <w:szCs w:val="22"/>
    </w:rPr>
  </w:style>
  <w:style w:type="character" w:styleId="1122">
    <w:name w:val="Heading 7 Char_0acda854-05fa-40d1-a25f-22ef04a3a2fd"/>
    <w:next w:val="1122"/>
    <w:link w:val="1038"/>
    <w:uiPriority w:val="9"/>
    <w:qFormat/>
    <w:rPr>
      <w:rFonts w:ascii="Arial" w:hAnsi="Arial" w:eastAsia="Arial" w:cs="Arial"/>
      <w:b/>
      <w:bCs/>
      <w:i/>
      <w:iCs/>
      <w:sz w:val="22"/>
      <w:szCs w:val="22"/>
    </w:rPr>
  </w:style>
  <w:style w:type="character" w:styleId="1123">
    <w:name w:val="Heading 8 Char_9c92e1a6-603d-435a-b48a-551bff47d3af"/>
    <w:next w:val="1123"/>
    <w:link w:val="1038"/>
    <w:uiPriority w:val="9"/>
    <w:qFormat/>
    <w:rPr>
      <w:rFonts w:ascii="Arial" w:hAnsi="Arial" w:eastAsia="Arial" w:cs="Arial"/>
      <w:i/>
      <w:iCs/>
      <w:sz w:val="22"/>
      <w:szCs w:val="22"/>
    </w:rPr>
  </w:style>
  <w:style w:type="character" w:styleId="1124">
    <w:name w:val="Heading 9 Char_f7f96fa3-19c5-4688-8f02-4919f27e9cc7"/>
    <w:next w:val="1124"/>
    <w:link w:val="1038"/>
    <w:uiPriority w:val="9"/>
    <w:qFormat/>
    <w:rPr>
      <w:rFonts w:ascii="Arial" w:hAnsi="Arial" w:eastAsia="Arial" w:cs="Arial"/>
      <w:i/>
      <w:iCs/>
      <w:sz w:val="21"/>
      <w:szCs w:val="21"/>
    </w:rPr>
  </w:style>
  <w:style w:type="character" w:styleId="1125">
    <w:name w:val="Title Char_ce78272a-b086-40f1-87b7-7e2fbd301627"/>
    <w:next w:val="1125"/>
    <w:link w:val="1038"/>
    <w:uiPriority w:val="10"/>
    <w:qFormat/>
    <w:rPr>
      <w:sz w:val="48"/>
      <w:szCs w:val="48"/>
    </w:rPr>
  </w:style>
  <w:style w:type="character" w:styleId="1126">
    <w:name w:val="Subtitle Char"/>
    <w:next w:val="1126"/>
    <w:link w:val="1038"/>
    <w:uiPriority w:val="11"/>
    <w:qFormat/>
    <w:rPr>
      <w:sz w:val="24"/>
      <w:szCs w:val="24"/>
    </w:rPr>
  </w:style>
  <w:style w:type="character" w:styleId="1127">
    <w:name w:val="Quote Char_18383f4c-e525-4635-a95b-8003b1af8a0b"/>
    <w:next w:val="1127"/>
    <w:link w:val="1038"/>
    <w:uiPriority w:val="29"/>
    <w:qFormat/>
    <w:rPr>
      <w:i/>
    </w:rPr>
  </w:style>
  <w:style w:type="character" w:styleId="1128">
    <w:name w:val="Intense Quote Char_512aa4b7-50ca-44dd-a5bd-fa23448675f1"/>
    <w:next w:val="1128"/>
    <w:link w:val="1038"/>
    <w:uiPriority w:val="30"/>
    <w:qFormat/>
    <w:rPr>
      <w:i/>
    </w:rPr>
  </w:style>
  <w:style w:type="character" w:styleId="1129">
    <w:name w:val="Header Char_11774eb3-e582-4b2e-8d54-e8b198b8a61a"/>
    <w:basedOn w:val="1048"/>
    <w:next w:val="1129"/>
    <w:link w:val="1038"/>
    <w:uiPriority w:val="99"/>
    <w:qFormat/>
  </w:style>
  <w:style w:type="character" w:styleId="1130">
    <w:name w:val="Caption Char"/>
    <w:next w:val="1130"/>
    <w:link w:val="1038"/>
    <w:uiPriority w:val="99"/>
    <w:qFormat/>
  </w:style>
  <w:style w:type="table" w:styleId="1131">
    <w:name w:val="无格式表格 11"/>
    <w:basedOn w:val="1049"/>
    <w:next w:val="1131"/>
    <w:link w:val="1038"/>
    <w:uiPriority w:val="59"/>
    <w:qFormat/>
    <w:tblPr/>
  </w:style>
  <w:style w:type="table" w:styleId="1132">
    <w:name w:val="无格式表格 21"/>
    <w:basedOn w:val="1049"/>
    <w:next w:val="1132"/>
    <w:link w:val="1038"/>
    <w:uiPriority w:val="59"/>
    <w:qFormat/>
    <w:tblPr/>
  </w:style>
  <w:style w:type="table" w:styleId="1133">
    <w:name w:val="无格式表格 31"/>
    <w:basedOn w:val="1049"/>
    <w:next w:val="1133"/>
    <w:link w:val="1038"/>
    <w:uiPriority w:val="99"/>
    <w:qFormat/>
    <w:tblPr/>
  </w:style>
  <w:style w:type="table" w:styleId="1134">
    <w:name w:val="无格式表格 41"/>
    <w:basedOn w:val="1049"/>
    <w:next w:val="1134"/>
    <w:link w:val="1038"/>
    <w:uiPriority w:val="99"/>
    <w:qFormat/>
    <w:tblPr/>
  </w:style>
  <w:style w:type="table" w:styleId="1135">
    <w:name w:val="无格式表格 51"/>
    <w:basedOn w:val="1049"/>
    <w:next w:val="1135"/>
    <w:link w:val="1038"/>
    <w:uiPriority w:val="99"/>
    <w:qFormat/>
    <w:tblPr/>
  </w:style>
  <w:style w:type="table" w:styleId="1136">
    <w:name w:val="网格表 1 浅色1"/>
    <w:basedOn w:val="1137"/>
    <w:next w:val="1136"/>
    <w:link w:val="1038"/>
    <w:uiPriority w:val="46"/>
    <w:qFormat/>
    <w:pPr>
      <w:spacing w:after="160" w:line="278" w:lineRule="auto"/>
    </w:pPr>
    <w:tblPr/>
  </w:style>
  <w:style w:type="table" w:styleId="1137">
    <w:name w:val="普通表格1"/>
    <w:next w:val="1137"/>
    <w:link w:val="1038"/>
    <w:uiPriority w:val="99"/>
    <w:qFormat/>
    <w:rPr>
      <w:lang w:val="en-US" w:eastAsia="zh-CN" w:bidi="ar-SA"/>
    </w:rPr>
    <w:tblPr/>
  </w:style>
  <w:style w:type="table" w:styleId="1138">
    <w:name w:val="网格表 21"/>
    <w:basedOn w:val="1049"/>
    <w:next w:val="1138"/>
    <w:link w:val="1038"/>
    <w:uiPriority w:val="99"/>
    <w:qFormat/>
    <w:tblPr/>
  </w:style>
  <w:style w:type="table" w:styleId="1139">
    <w:name w:val="网格表 31"/>
    <w:basedOn w:val="1049"/>
    <w:next w:val="1139"/>
    <w:link w:val="1038"/>
    <w:uiPriority w:val="99"/>
    <w:qFormat/>
    <w:tblPr/>
  </w:style>
  <w:style w:type="table" w:styleId="1140">
    <w:name w:val="网格表 41"/>
    <w:basedOn w:val="1049"/>
    <w:next w:val="1140"/>
    <w:link w:val="1038"/>
    <w:uiPriority w:val="59"/>
    <w:qFormat/>
    <w:tblPr/>
  </w:style>
  <w:style w:type="table" w:styleId="1141">
    <w:name w:val="网格表 5 深色1"/>
    <w:basedOn w:val="1049"/>
    <w:next w:val="1141"/>
    <w:link w:val="1038"/>
    <w:uiPriority w:val="99"/>
    <w:qFormat/>
    <w:tblPr/>
  </w:style>
  <w:style w:type="table" w:styleId="1142">
    <w:name w:val="网格表 6 彩色1"/>
    <w:basedOn w:val="1049"/>
    <w:next w:val="1142"/>
    <w:link w:val="1038"/>
    <w:uiPriority w:val="99"/>
    <w:qFormat/>
    <w:tblPr/>
  </w:style>
  <w:style w:type="table" w:styleId="1143">
    <w:name w:val="网格表 7 彩色1"/>
    <w:basedOn w:val="1049"/>
    <w:next w:val="1143"/>
    <w:link w:val="1038"/>
    <w:uiPriority w:val="99"/>
    <w:qFormat/>
    <w:tblPr/>
  </w:style>
  <w:style w:type="table" w:styleId="1144">
    <w:name w:val="清单表 1 浅色1"/>
    <w:basedOn w:val="1049"/>
    <w:next w:val="1144"/>
    <w:link w:val="1038"/>
    <w:uiPriority w:val="99"/>
    <w:qFormat/>
    <w:tblPr/>
  </w:style>
  <w:style w:type="table" w:styleId="1145">
    <w:name w:val="清单表 21"/>
    <w:basedOn w:val="1049"/>
    <w:next w:val="1145"/>
    <w:link w:val="1038"/>
    <w:uiPriority w:val="99"/>
    <w:qFormat/>
    <w:tblPr/>
  </w:style>
  <w:style w:type="table" w:styleId="1146">
    <w:name w:val="清单表 31"/>
    <w:basedOn w:val="1049"/>
    <w:next w:val="1146"/>
    <w:link w:val="1038"/>
    <w:uiPriority w:val="99"/>
    <w:qFormat/>
    <w:tblPr/>
  </w:style>
  <w:style w:type="table" w:styleId="1147">
    <w:name w:val="清单表 41"/>
    <w:basedOn w:val="1049"/>
    <w:next w:val="1147"/>
    <w:link w:val="1038"/>
    <w:uiPriority w:val="99"/>
    <w:qFormat/>
    <w:tblPr/>
  </w:style>
  <w:style w:type="table" w:styleId="1148">
    <w:name w:val="清单表 5 深色1"/>
    <w:basedOn w:val="1049"/>
    <w:next w:val="1148"/>
    <w:link w:val="1038"/>
    <w:uiPriority w:val="99"/>
    <w:qFormat/>
    <w:tblPr/>
  </w:style>
  <w:style w:type="table" w:styleId="1149">
    <w:name w:val="清单表 6 彩色1"/>
    <w:basedOn w:val="1049"/>
    <w:next w:val="1149"/>
    <w:link w:val="1038"/>
    <w:uiPriority w:val="99"/>
    <w:qFormat/>
    <w:tblPr/>
  </w:style>
  <w:style w:type="table" w:styleId="1150">
    <w:name w:val="清单表 7 彩色1"/>
    <w:basedOn w:val="1049"/>
    <w:next w:val="1150"/>
    <w:link w:val="1038"/>
    <w:uiPriority w:val="99"/>
    <w:qFormat/>
    <w:tblPr/>
  </w:style>
  <w:style w:type="character" w:styleId="1151">
    <w:name w:val="Footnote Text Char"/>
    <w:next w:val="1151"/>
    <w:link w:val="1038"/>
    <w:uiPriority w:val="99"/>
    <w:qFormat/>
    <w:rPr>
      <w:sz w:val="18"/>
    </w:rPr>
  </w:style>
  <w:style w:type="character" w:styleId="1152">
    <w:name w:val="Endnote Text Char"/>
    <w:next w:val="1152"/>
    <w:link w:val="1038"/>
    <w:uiPriority w:val="99"/>
    <w:qFormat/>
    <w:rPr>
      <w:sz w:val="20"/>
    </w:rPr>
  </w:style>
  <w:style w:type="paragraph" w:styleId="1153">
    <w:name w:val="TOC Heading_e8d1883b-fe70-4343-841f-2f248a1de31a"/>
    <w:next w:val="1153"/>
    <w:link w:val="1038"/>
    <w:uiPriority w:val="39"/>
    <w:qFormat/>
    <w:rPr>
      <w:lang w:val="en-US" w:eastAsia="zh-CN" w:bidi="ar-SA"/>
    </w:rPr>
  </w:style>
  <w:style w:type="character" w:styleId="1154">
    <w:name w:val="标题 1 Char"/>
    <w:next w:val="1154"/>
    <w:link w:val="1039"/>
    <w:uiPriority w:val="9"/>
    <w:qFormat/>
    <w:rPr>
      <w:rFonts w:ascii="Arial" w:hAnsi="Arial" w:eastAsia="Arial" w:cs="Arial"/>
      <w:sz w:val="40"/>
      <w:szCs w:val="40"/>
    </w:rPr>
  </w:style>
  <w:style w:type="character" w:styleId="1155">
    <w:name w:val="标题 2 Char"/>
    <w:next w:val="1155"/>
    <w:link w:val="1040"/>
    <w:uiPriority w:val="9"/>
    <w:qFormat/>
    <w:rPr>
      <w:rFonts w:ascii="Arial" w:hAnsi="Arial" w:eastAsia="Arial" w:cs="Arial"/>
      <w:sz w:val="34"/>
    </w:rPr>
  </w:style>
  <w:style w:type="character" w:styleId="1156">
    <w:name w:val="标题 3 Char"/>
    <w:next w:val="1156"/>
    <w:link w:val="1041"/>
    <w:uiPriority w:val="9"/>
    <w:qFormat/>
    <w:rPr>
      <w:rFonts w:ascii="Arial" w:hAnsi="Arial" w:eastAsia="Arial" w:cs="Arial"/>
      <w:sz w:val="30"/>
      <w:szCs w:val="30"/>
    </w:rPr>
  </w:style>
  <w:style w:type="character" w:styleId="1157">
    <w:name w:val="标题 4 Char"/>
    <w:next w:val="1157"/>
    <w:link w:val="1042"/>
    <w:uiPriority w:val="9"/>
    <w:qFormat/>
    <w:rPr>
      <w:rFonts w:ascii="Arial" w:hAnsi="Arial" w:eastAsia="Arial" w:cs="Arial"/>
      <w:b/>
      <w:bCs/>
      <w:sz w:val="26"/>
      <w:szCs w:val="26"/>
    </w:rPr>
  </w:style>
  <w:style w:type="character" w:styleId="1158">
    <w:name w:val="标题 5 Char"/>
    <w:next w:val="1158"/>
    <w:link w:val="1043"/>
    <w:uiPriority w:val="9"/>
    <w:qFormat/>
    <w:rPr>
      <w:rFonts w:ascii="Arial" w:hAnsi="Arial" w:cs="Arial"/>
      <w:b/>
      <w:bCs/>
      <w:sz w:val="24"/>
      <w:szCs w:val="24"/>
    </w:rPr>
  </w:style>
  <w:style w:type="character" w:styleId="1159">
    <w:name w:val="标题 6 Char"/>
    <w:next w:val="1159"/>
    <w:link w:val="1044"/>
    <w:uiPriority w:val="9"/>
    <w:qFormat/>
    <w:rPr>
      <w:rFonts w:ascii="Arial" w:hAnsi="Arial" w:eastAsia="Arial" w:cs="Arial"/>
      <w:b/>
      <w:bCs/>
      <w:sz w:val="22"/>
      <w:szCs w:val="22"/>
    </w:rPr>
  </w:style>
  <w:style w:type="character" w:styleId="1160">
    <w:name w:val="标题 7 Char"/>
    <w:next w:val="1160"/>
    <w:link w:val="1045"/>
    <w:uiPriority w:val="9"/>
    <w:qFormat/>
    <w:rPr>
      <w:rFonts w:ascii="Arial" w:hAnsi="Arial" w:eastAsia="Arial" w:cs="Arial"/>
      <w:b/>
      <w:bCs/>
      <w:i/>
      <w:iCs/>
      <w:sz w:val="22"/>
      <w:szCs w:val="22"/>
    </w:rPr>
  </w:style>
  <w:style w:type="character" w:styleId="1161">
    <w:name w:val="标题 8 Char"/>
    <w:next w:val="1161"/>
    <w:link w:val="1046"/>
    <w:uiPriority w:val="9"/>
    <w:qFormat/>
    <w:rPr>
      <w:rFonts w:ascii="Arial" w:hAnsi="Arial" w:eastAsia="Arial" w:cs="Arial"/>
      <w:i/>
      <w:iCs/>
      <w:sz w:val="22"/>
      <w:szCs w:val="22"/>
    </w:rPr>
  </w:style>
  <w:style w:type="character" w:styleId="1162">
    <w:name w:val="标题 9 Char"/>
    <w:next w:val="1162"/>
    <w:link w:val="1047"/>
    <w:uiPriority w:val="9"/>
    <w:qFormat/>
    <w:rPr>
      <w:rFonts w:ascii="Arial" w:hAnsi="Arial" w:eastAsia="Arial" w:cs="Arial"/>
      <w:i/>
      <w:iCs/>
      <w:sz w:val="21"/>
      <w:szCs w:val="21"/>
    </w:rPr>
  </w:style>
  <w:style w:type="paragraph" w:styleId="1163">
    <w:name w:val="列出段落"/>
    <w:basedOn w:val="1038"/>
    <w:next w:val="1163"/>
    <w:link w:val="1038"/>
    <w:uiPriority w:val="34"/>
    <w:qFormat/>
    <w:pPr>
      <w:contextualSpacing/>
      <w:ind w:left="720"/>
    </w:pPr>
  </w:style>
  <w:style w:type="paragraph" w:styleId="1164">
    <w:name w:val="无间隔"/>
    <w:next w:val="1164"/>
    <w:link w:val="1038"/>
    <w:uiPriority w:val="1"/>
    <w:qFormat/>
    <w:rPr>
      <w:lang w:val="en-US" w:eastAsia="zh-CN" w:bidi="ar-SA"/>
    </w:rPr>
  </w:style>
  <w:style w:type="character" w:styleId="1165">
    <w:name w:val="标题 Char"/>
    <w:next w:val="1165"/>
    <w:link w:val="1074"/>
    <w:uiPriority w:val="10"/>
    <w:qFormat/>
    <w:rPr>
      <w:sz w:val="48"/>
      <w:szCs w:val="48"/>
    </w:rPr>
  </w:style>
  <w:style w:type="character" w:styleId="1166">
    <w:name w:val="副标题 Char"/>
    <w:next w:val="1166"/>
    <w:link w:val="1067"/>
    <w:uiPriority w:val="11"/>
    <w:qFormat/>
    <w:rPr>
      <w:sz w:val="24"/>
      <w:szCs w:val="24"/>
    </w:rPr>
  </w:style>
  <w:style w:type="paragraph" w:styleId="1167">
    <w:name w:val="引用"/>
    <w:basedOn w:val="1038"/>
    <w:next w:val="1038"/>
    <w:link w:val="1168"/>
    <w:uiPriority w:val="29"/>
    <w:qFormat/>
    <w:pPr>
      <w:ind w:left="720" w:right="720"/>
    </w:pPr>
    <w:rPr>
      <w:i/>
    </w:rPr>
  </w:style>
  <w:style w:type="character" w:styleId="1168">
    <w:name w:val="引用 Char"/>
    <w:next w:val="1168"/>
    <w:link w:val="1167"/>
    <w:uiPriority w:val="29"/>
    <w:qFormat/>
    <w:rPr>
      <w:i/>
    </w:rPr>
  </w:style>
  <w:style w:type="paragraph" w:styleId="1169">
    <w:name w:val="明显引用"/>
    <w:basedOn w:val="1038"/>
    <w:next w:val="1038"/>
    <w:link w:val="11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0">
    <w:name w:val="明显引用 Char"/>
    <w:next w:val="1170"/>
    <w:link w:val="1169"/>
    <w:uiPriority w:val="30"/>
    <w:qFormat/>
    <w:rPr>
      <w:i/>
    </w:rPr>
  </w:style>
  <w:style w:type="character" w:styleId="1171">
    <w:name w:val="页眉 Char"/>
    <w:next w:val="1171"/>
    <w:link w:val="1064"/>
    <w:uiPriority w:val="99"/>
    <w:qFormat/>
  </w:style>
  <w:style w:type="character" w:styleId="1172">
    <w:name w:val="Footer Char_f081b75f-b16c-4b25-b525-2a7b094a9b1a"/>
    <w:next w:val="1172"/>
    <w:link w:val="1038"/>
    <w:uiPriority w:val="99"/>
    <w:qFormat/>
  </w:style>
  <w:style w:type="character" w:styleId="1173">
    <w:name w:val="页脚 Char"/>
    <w:next w:val="1173"/>
    <w:link w:val="1063"/>
    <w:uiPriority w:val="99"/>
    <w:qFormat/>
  </w:style>
  <w:style w:type="table" w:styleId="1174">
    <w:name w:val="Table Grid Light"/>
    <w:next w:val="1174"/>
    <w:link w:val="1038"/>
    <w:uiPriority w:val="59"/>
    <w:qFormat/>
    <w:rPr>
      <w:lang w:val="en-US" w:eastAsia="zh-CN" w:bidi="ar-SA"/>
    </w:rPr>
    <w:tblPr/>
  </w:style>
  <w:style w:type="table" w:styleId="1175">
    <w:name w:val="Grid Table 1 Light - Accent 1"/>
    <w:next w:val="1175"/>
    <w:link w:val="1038"/>
    <w:uiPriority w:val="99"/>
    <w:qFormat/>
    <w:rPr>
      <w:lang w:val="en-US" w:eastAsia="zh-CN" w:bidi="ar-SA"/>
    </w:rPr>
    <w:tblPr/>
  </w:style>
  <w:style w:type="table" w:styleId="1176">
    <w:name w:val="Grid Table 1 Light - Accent 2"/>
    <w:next w:val="1176"/>
    <w:link w:val="1038"/>
    <w:uiPriority w:val="99"/>
    <w:qFormat/>
    <w:rPr>
      <w:lang w:val="en-US" w:eastAsia="zh-CN" w:bidi="ar-SA"/>
    </w:rPr>
    <w:tblPr/>
  </w:style>
  <w:style w:type="table" w:styleId="1177">
    <w:name w:val="Grid Table 1 Light - Accent 3"/>
    <w:next w:val="1177"/>
    <w:link w:val="1038"/>
    <w:uiPriority w:val="99"/>
    <w:qFormat/>
    <w:rPr>
      <w:lang w:val="en-US" w:eastAsia="zh-CN" w:bidi="ar-SA"/>
    </w:rPr>
    <w:tblPr/>
  </w:style>
  <w:style w:type="table" w:styleId="1178">
    <w:name w:val="Grid Table 1 Light - Accent 4"/>
    <w:next w:val="1178"/>
    <w:link w:val="1038"/>
    <w:uiPriority w:val="99"/>
    <w:qFormat/>
    <w:rPr>
      <w:lang w:val="en-US" w:eastAsia="zh-CN" w:bidi="ar-SA"/>
    </w:rPr>
    <w:tblPr/>
  </w:style>
  <w:style w:type="table" w:styleId="1179">
    <w:name w:val="Grid Table 1 Light - Accent 5"/>
    <w:next w:val="1179"/>
    <w:link w:val="1038"/>
    <w:uiPriority w:val="99"/>
    <w:qFormat/>
    <w:rPr>
      <w:lang w:val="en-US" w:eastAsia="zh-CN" w:bidi="ar-SA"/>
    </w:rPr>
    <w:tblPr/>
  </w:style>
  <w:style w:type="table" w:styleId="1180">
    <w:name w:val="Grid Table 1 Light - Accent 6"/>
    <w:next w:val="1180"/>
    <w:link w:val="1038"/>
    <w:uiPriority w:val="99"/>
    <w:qFormat/>
    <w:rPr>
      <w:lang w:val="en-US" w:eastAsia="zh-CN" w:bidi="ar-SA"/>
    </w:rPr>
    <w:tblPr/>
  </w:style>
  <w:style w:type="table" w:styleId="1181">
    <w:name w:val="Grid Table 2 - Accent 1"/>
    <w:next w:val="1181"/>
    <w:link w:val="1038"/>
    <w:uiPriority w:val="99"/>
    <w:qFormat/>
    <w:rPr>
      <w:lang w:val="en-US" w:eastAsia="zh-CN" w:bidi="ar-SA"/>
    </w:rPr>
    <w:tblPr/>
  </w:style>
  <w:style w:type="table" w:styleId="1182">
    <w:name w:val="Grid Table 2 - Accent 2"/>
    <w:next w:val="1182"/>
    <w:link w:val="1038"/>
    <w:uiPriority w:val="99"/>
    <w:qFormat/>
    <w:rPr>
      <w:lang w:val="en-US" w:eastAsia="zh-CN" w:bidi="ar-SA"/>
    </w:rPr>
    <w:tblPr/>
  </w:style>
  <w:style w:type="table" w:styleId="1183">
    <w:name w:val="Grid Table 2 - Accent 3"/>
    <w:next w:val="1183"/>
    <w:link w:val="1038"/>
    <w:uiPriority w:val="99"/>
    <w:qFormat/>
    <w:rPr>
      <w:lang w:val="en-US" w:eastAsia="zh-CN" w:bidi="ar-SA"/>
    </w:rPr>
    <w:tblPr/>
  </w:style>
  <w:style w:type="table" w:styleId="1184">
    <w:name w:val="Grid Table 2 - Accent 4"/>
    <w:next w:val="1184"/>
    <w:link w:val="1038"/>
    <w:uiPriority w:val="99"/>
    <w:qFormat/>
    <w:rPr>
      <w:lang w:val="en-US" w:eastAsia="zh-CN" w:bidi="ar-SA"/>
    </w:rPr>
    <w:tblPr/>
  </w:style>
  <w:style w:type="table" w:styleId="1185">
    <w:name w:val="Grid Table 2 - Accent 5"/>
    <w:next w:val="1185"/>
    <w:link w:val="1038"/>
    <w:uiPriority w:val="99"/>
    <w:qFormat/>
    <w:rPr>
      <w:lang w:val="en-US" w:eastAsia="zh-CN" w:bidi="ar-SA"/>
    </w:rPr>
    <w:tblPr/>
  </w:style>
  <w:style w:type="table" w:styleId="1186">
    <w:name w:val="Grid Table 2 - Accent 6"/>
    <w:next w:val="1186"/>
    <w:link w:val="1038"/>
    <w:uiPriority w:val="99"/>
    <w:qFormat/>
    <w:rPr>
      <w:lang w:val="en-US" w:eastAsia="zh-CN" w:bidi="ar-SA"/>
    </w:rPr>
    <w:tblPr/>
  </w:style>
  <w:style w:type="table" w:styleId="1187">
    <w:name w:val="Grid Table 3 - Accent 1"/>
    <w:next w:val="1187"/>
    <w:link w:val="1038"/>
    <w:uiPriority w:val="99"/>
    <w:qFormat/>
    <w:rPr>
      <w:lang w:val="en-US" w:eastAsia="zh-CN" w:bidi="ar-SA"/>
    </w:rPr>
    <w:tblPr/>
  </w:style>
  <w:style w:type="table" w:styleId="1188">
    <w:name w:val="Grid Table 3 - Accent 2"/>
    <w:next w:val="1188"/>
    <w:link w:val="1038"/>
    <w:uiPriority w:val="99"/>
    <w:qFormat/>
    <w:rPr>
      <w:lang w:val="en-US" w:eastAsia="zh-CN" w:bidi="ar-SA"/>
    </w:rPr>
    <w:tblPr/>
  </w:style>
  <w:style w:type="table" w:styleId="1189">
    <w:name w:val="Grid Table 3 - Accent 3"/>
    <w:next w:val="1189"/>
    <w:link w:val="1038"/>
    <w:uiPriority w:val="99"/>
    <w:qFormat/>
    <w:rPr>
      <w:lang w:val="en-US" w:eastAsia="zh-CN" w:bidi="ar-SA"/>
    </w:rPr>
    <w:tblPr/>
  </w:style>
  <w:style w:type="table" w:styleId="1190">
    <w:name w:val="Grid Table 3 - Accent 4"/>
    <w:next w:val="1190"/>
    <w:link w:val="1038"/>
    <w:uiPriority w:val="99"/>
    <w:qFormat/>
    <w:rPr>
      <w:lang w:val="en-US" w:eastAsia="zh-CN" w:bidi="ar-SA"/>
    </w:rPr>
    <w:tblPr/>
  </w:style>
  <w:style w:type="table" w:styleId="1191">
    <w:name w:val="Grid Table 3 - Accent 5"/>
    <w:next w:val="1191"/>
    <w:link w:val="1038"/>
    <w:uiPriority w:val="99"/>
    <w:qFormat/>
    <w:rPr>
      <w:lang w:val="en-US" w:eastAsia="zh-CN" w:bidi="ar-SA"/>
    </w:rPr>
    <w:tblPr/>
  </w:style>
  <w:style w:type="table" w:styleId="1192">
    <w:name w:val="Grid Table 3 - Accent 6"/>
    <w:next w:val="1192"/>
    <w:link w:val="1038"/>
    <w:uiPriority w:val="99"/>
    <w:qFormat/>
    <w:rPr>
      <w:lang w:val="en-US" w:eastAsia="zh-CN" w:bidi="ar-SA"/>
    </w:rPr>
    <w:tblPr/>
  </w:style>
  <w:style w:type="table" w:styleId="1193">
    <w:name w:val="Grid Table 4 - Accent 1"/>
    <w:next w:val="1193"/>
    <w:link w:val="1038"/>
    <w:uiPriority w:val="59"/>
    <w:qFormat/>
    <w:rPr>
      <w:lang w:val="en-US" w:eastAsia="zh-CN" w:bidi="ar-SA"/>
    </w:rPr>
    <w:tblPr/>
  </w:style>
  <w:style w:type="table" w:styleId="1194">
    <w:name w:val="Grid Table 4 - Accent 2"/>
    <w:next w:val="1194"/>
    <w:link w:val="1038"/>
    <w:uiPriority w:val="59"/>
    <w:qFormat/>
    <w:rPr>
      <w:lang w:val="en-US" w:eastAsia="zh-CN" w:bidi="ar-SA"/>
    </w:rPr>
    <w:tblPr/>
  </w:style>
  <w:style w:type="table" w:styleId="1195">
    <w:name w:val="Grid Table 4 - Accent 3"/>
    <w:next w:val="1195"/>
    <w:link w:val="1038"/>
    <w:uiPriority w:val="59"/>
    <w:qFormat/>
    <w:rPr>
      <w:lang w:val="en-US" w:eastAsia="zh-CN" w:bidi="ar-SA"/>
    </w:rPr>
    <w:tblPr/>
  </w:style>
  <w:style w:type="table" w:styleId="1196">
    <w:name w:val="Grid Table 4 - Accent 4"/>
    <w:next w:val="1196"/>
    <w:link w:val="1038"/>
    <w:uiPriority w:val="59"/>
    <w:qFormat/>
    <w:rPr>
      <w:lang w:val="en-US" w:eastAsia="zh-CN" w:bidi="ar-SA"/>
    </w:rPr>
    <w:tblPr/>
  </w:style>
  <w:style w:type="table" w:styleId="1197">
    <w:name w:val="Grid Table 4 - Accent 5"/>
    <w:next w:val="1197"/>
    <w:link w:val="1038"/>
    <w:uiPriority w:val="59"/>
    <w:qFormat/>
    <w:rPr>
      <w:lang w:val="en-US" w:eastAsia="zh-CN" w:bidi="ar-SA"/>
    </w:rPr>
    <w:tblPr/>
  </w:style>
  <w:style w:type="table" w:styleId="1198">
    <w:name w:val="Grid Table 4 - Accent 6"/>
    <w:next w:val="1198"/>
    <w:link w:val="1038"/>
    <w:uiPriority w:val="59"/>
    <w:qFormat/>
    <w:rPr>
      <w:lang w:val="en-US" w:eastAsia="zh-CN" w:bidi="ar-SA"/>
    </w:rPr>
    <w:tblPr/>
  </w:style>
  <w:style w:type="table" w:styleId="1199">
    <w:name w:val="Grid Table 5 Dark- Accent 1"/>
    <w:next w:val="1199"/>
    <w:link w:val="1038"/>
    <w:uiPriority w:val="99"/>
    <w:qFormat/>
    <w:rPr>
      <w:lang w:val="en-US" w:eastAsia="zh-CN" w:bidi="ar-SA"/>
    </w:rPr>
    <w:tblPr/>
  </w:style>
  <w:style w:type="table" w:styleId="1200">
    <w:name w:val="Grid Table 5 Dark - Accent 2"/>
    <w:next w:val="1200"/>
    <w:link w:val="1038"/>
    <w:uiPriority w:val="99"/>
    <w:qFormat/>
    <w:rPr>
      <w:lang w:val="en-US" w:eastAsia="zh-CN" w:bidi="ar-SA"/>
    </w:rPr>
    <w:tblPr/>
  </w:style>
  <w:style w:type="table" w:styleId="1201">
    <w:name w:val="Grid Table 5 Dark - Accent 3"/>
    <w:next w:val="1201"/>
    <w:link w:val="1038"/>
    <w:uiPriority w:val="99"/>
    <w:qFormat/>
    <w:rPr>
      <w:lang w:val="en-US" w:eastAsia="zh-CN" w:bidi="ar-SA"/>
    </w:rPr>
    <w:tblPr/>
  </w:style>
  <w:style w:type="table" w:styleId="1202">
    <w:name w:val="Grid Table 5 Dark- Accent 4"/>
    <w:next w:val="1202"/>
    <w:link w:val="1038"/>
    <w:uiPriority w:val="99"/>
    <w:qFormat/>
    <w:rPr>
      <w:lang w:val="en-US" w:eastAsia="zh-CN" w:bidi="ar-SA"/>
    </w:rPr>
    <w:tblPr/>
  </w:style>
  <w:style w:type="table" w:styleId="1203">
    <w:name w:val="Grid Table 5 Dark - Accent 5"/>
    <w:next w:val="1203"/>
    <w:link w:val="1038"/>
    <w:uiPriority w:val="99"/>
    <w:qFormat/>
    <w:rPr>
      <w:lang w:val="en-US" w:eastAsia="zh-CN" w:bidi="ar-SA"/>
    </w:rPr>
    <w:tblPr/>
  </w:style>
  <w:style w:type="table" w:styleId="1204">
    <w:name w:val="Grid Table 5 Dark - Accent 6"/>
    <w:next w:val="1204"/>
    <w:link w:val="1038"/>
    <w:uiPriority w:val="99"/>
    <w:qFormat/>
    <w:rPr>
      <w:lang w:val="en-US" w:eastAsia="zh-CN" w:bidi="ar-SA"/>
    </w:rPr>
    <w:tblPr/>
  </w:style>
  <w:style w:type="table" w:styleId="1205">
    <w:name w:val="Grid Table 6 Colorful - Accent 1"/>
    <w:next w:val="1205"/>
    <w:link w:val="1038"/>
    <w:uiPriority w:val="99"/>
    <w:qFormat/>
    <w:rPr>
      <w:lang w:val="en-US" w:eastAsia="zh-CN" w:bidi="ar-SA"/>
    </w:rPr>
    <w:tblPr/>
  </w:style>
  <w:style w:type="table" w:styleId="1206">
    <w:name w:val="Grid Table 6 Colorful - Accent 2"/>
    <w:next w:val="1206"/>
    <w:link w:val="1038"/>
    <w:uiPriority w:val="99"/>
    <w:qFormat/>
    <w:rPr>
      <w:lang w:val="en-US" w:eastAsia="zh-CN" w:bidi="ar-SA"/>
    </w:rPr>
    <w:tblPr/>
  </w:style>
  <w:style w:type="table" w:styleId="1207">
    <w:name w:val="Grid Table 6 Colorful - Accent 3"/>
    <w:next w:val="1207"/>
    <w:link w:val="1038"/>
    <w:uiPriority w:val="99"/>
    <w:qFormat/>
    <w:rPr>
      <w:lang w:val="en-US" w:eastAsia="zh-CN" w:bidi="ar-SA"/>
    </w:rPr>
    <w:tblPr/>
  </w:style>
  <w:style w:type="table" w:styleId="1208">
    <w:name w:val="Grid Table 6 Colorful - Accent 4"/>
    <w:next w:val="1208"/>
    <w:link w:val="1038"/>
    <w:uiPriority w:val="99"/>
    <w:qFormat/>
    <w:rPr>
      <w:lang w:val="en-US" w:eastAsia="zh-CN" w:bidi="ar-SA"/>
    </w:rPr>
    <w:tblPr/>
  </w:style>
  <w:style w:type="table" w:styleId="1209">
    <w:name w:val="Grid Table 6 Colorful - Accent 5"/>
    <w:next w:val="1209"/>
    <w:link w:val="1038"/>
    <w:uiPriority w:val="99"/>
    <w:qFormat/>
    <w:rPr>
      <w:lang w:val="en-US" w:eastAsia="zh-CN" w:bidi="ar-SA"/>
    </w:rPr>
    <w:tblPr/>
  </w:style>
  <w:style w:type="table" w:styleId="1210">
    <w:name w:val="Grid Table 6 Colorful - Accent 6"/>
    <w:next w:val="1210"/>
    <w:link w:val="1038"/>
    <w:uiPriority w:val="99"/>
    <w:qFormat/>
    <w:rPr>
      <w:lang w:val="en-US" w:eastAsia="zh-CN" w:bidi="ar-SA"/>
    </w:rPr>
    <w:tblPr/>
  </w:style>
  <w:style w:type="table" w:styleId="1211">
    <w:name w:val="Grid Table 7 Colorful - Accent 1"/>
    <w:next w:val="1211"/>
    <w:link w:val="1038"/>
    <w:uiPriority w:val="99"/>
    <w:qFormat/>
    <w:rPr>
      <w:lang w:val="en-US" w:eastAsia="zh-CN" w:bidi="ar-SA"/>
    </w:rPr>
    <w:tblPr/>
  </w:style>
  <w:style w:type="table" w:styleId="1212">
    <w:name w:val="Grid Table 7 Colorful - Accent 2"/>
    <w:next w:val="1212"/>
    <w:link w:val="1038"/>
    <w:uiPriority w:val="99"/>
    <w:qFormat/>
    <w:rPr>
      <w:lang w:val="en-US" w:eastAsia="zh-CN" w:bidi="ar-SA"/>
    </w:rPr>
    <w:tblPr/>
  </w:style>
  <w:style w:type="table" w:styleId="1213">
    <w:name w:val="Grid Table 7 Colorful - Accent 3"/>
    <w:next w:val="1213"/>
    <w:link w:val="1038"/>
    <w:uiPriority w:val="99"/>
    <w:qFormat/>
    <w:rPr>
      <w:lang w:val="en-US" w:eastAsia="zh-CN" w:bidi="ar-SA"/>
    </w:rPr>
    <w:tblPr/>
  </w:style>
  <w:style w:type="table" w:styleId="1214">
    <w:name w:val="Grid Table 7 Colorful - Accent 4"/>
    <w:next w:val="1214"/>
    <w:link w:val="1038"/>
    <w:uiPriority w:val="99"/>
    <w:qFormat/>
    <w:rPr>
      <w:lang w:val="en-US" w:eastAsia="zh-CN" w:bidi="ar-SA"/>
    </w:rPr>
    <w:tblPr/>
  </w:style>
  <w:style w:type="table" w:styleId="1215">
    <w:name w:val="Grid Table 7 Colorful - Accent 5"/>
    <w:next w:val="1215"/>
    <w:link w:val="1038"/>
    <w:uiPriority w:val="99"/>
    <w:qFormat/>
    <w:rPr>
      <w:lang w:val="en-US" w:eastAsia="zh-CN" w:bidi="ar-SA"/>
    </w:rPr>
    <w:tblPr/>
  </w:style>
  <w:style w:type="table" w:styleId="1216">
    <w:name w:val="Grid Table 7 Colorful - Accent 6"/>
    <w:next w:val="1216"/>
    <w:link w:val="1038"/>
    <w:uiPriority w:val="99"/>
    <w:qFormat/>
    <w:rPr>
      <w:lang w:val="en-US" w:eastAsia="zh-CN" w:bidi="ar-SA"/>
    </w:rPr>
    <w:tblPr/>
  </w:style>
  <w:style w:type="table" w:styleId="1217">
    <w:name w:val="List Table 1 Light - Accent 1"/>
    <w:next w:val="1217"/>
    <w:link w:val="1038"/>
    <w:uiPriority w:val="99"/>
    <w:qFormat/>
    <w:rPr>
      <w:lang w:val="en-US" w:eastAsia="zh-CN" w:bidi="ar-SA"/>
    </w:rPr>
    <w:tblPr/>
  </w:style>
  <w:style w:type="table" w:styleId="1218">
    <w:name w:val="List Table 1 Light - Accent 2"/>
    <w:next w:val="1218"/>
    <w:link w:val="1038"/>
    <w:uiPriority w:val="99"/>
    <w:qFormat/>
    <w:rPr>
      <w:lang w:val="en-US" w:eastAsia="zh-CN" w:bidi="ar-SA"/>
    </w:rPr>
    <w:tblPr/>
  </w:style>
  <w:style w:type="table" w:styleId="1219">
    <w:name w:val="List Table 1 Light - Accent 3"/>
    <w:next w:val="1219"/>
    <w:link w:val="1038"/>
    <w:uiPriority w:val="99"/>
    <w:qFormat/>
    <w:rPr>
      <w:lang w:val="en-US" w:eastAsia="zh-CN" w:bidi="ar-SA"/>
    </w:rPr>
    <w:tblPr/>
  </w:style>
  <w:style w:type="table" w:styleId="1220">
    <w:name w:val="List Table 1 Light - Accent 4"/>
    <w:next w:val="1220"/>
    <w:link w:val="1038"/>
    <w:uiPriority w:val="99"/>
    <w:qFormat/>
    <w:rPr>
      <w:lang w:val="en-US" w:eastAsia="zh-CN" w:bidi="ar-SA"/>
    </w:rPr>
    <w:tblPr/>
  </w:style>
  <w:style w:type="table" w:styleId="1221">
    <w:name w:val="List Table 1 Light - Accent 5"/>
    <w:next w:val="1221"/>
    <w:link w:val="1038"/>
    <w:uiPriority w:val="99"/>
    <w:qFormat/>
    <w:rPr>
      <w:lang w:val="en-US" w:eastAsia="zh-CN" w:bidi="ar-SA"/>
    </w:rPr>
    <w:tblPr/>
  </w:style>
  <w:style w:type="table" w:styleId="1222">
    <w:name w:val="List Table 1 Light - Accent 6"/>
    <w:next w:val="1222"/>
    <w:link w:val="1038"/>
    <w:uiPriority w:val="99"/>
    <w:qFormat/>
    <w:rPr>
      <w:lang w:val="en-US" w:eastAsia="zh-CN" w:bidi="ar-SA"/>
    </w:rPr>
    <w:tblPr/>
  </w:style>
  <w:style w:type="table" w:styleId="1223">
    <w:name w:val="List Table 2 - Accent 1"/>
    <w:next w:val="1223"/>
    <w:link w:val="1038"/>
    <w:uiPriority w:val="99"/>
    <w:qFormat/>
    <w:rPr>
      <w:lang w:val="en-US" w:eastAsia="zh-CN" w:bidi="ar-SA"/>
    </w:rPr>
    <w:tblPr/>
  </w:style>
  <w:style w:type="table" w:styleId="1224">
    <w:name w:val="List Table 2 - Accent 2"/>
    <w:next w:val="1224"/>
    <w:link w:val="1038"/>
    <w:uiPriority w:val="99"/>
    <w:qFormat/>
    <w:rPr>
      <w:lang w:val="en-US" w:eastAsia="zh-CN" w:bidi="ar-SA"/>
    </w:rPr>
    <w:tblPr/>
  </w:style>
  <w:style w:type="table" w:styleId="1225">
    <w:name w:val="List Table 2 - Accent 3"/>
    <w:next w:val="1225"/>
    <w:link w:val="1038"/>
    <w:uiPriority w:val="99"/>
    <w:qFormat/>
    <w:rPr>
      <w:lang w:val="en-US" w:eastAsia="zh-CN" w:bidi="ar-SA"/>
    </w:rPr>
    <w:tblPr/>
  </w:style>
  <w:style w:type="table" w:styleId="1226">
    <w:name w:val="List Table 2 - Accent 4"/>
    <w:next w:val="1226"/>
    <w:link w:val="1038"/>
    <w:uiPriority w:val="99"/>
    <w:qFormat/>
    <w:rPr>
      <w:lang w:val="en-US" w:eastAsia="zh-CN" w:bidi="ar-SA"/>
    </w:rPr>
    <w:tblPr/>
  </w:style>
  <w:style w:type="table" w:styleId="1227">
    <w:name w:val="List Table 2 - Accent 5"/>
    <w:next w:val="1227"/>
    <w:link w:val="1038"/>
    <w:uiPriority w:val="99"/>
    <w:qFormat/>
    <w:rPr>
      <w:lang w:val="en-US" w:eastAsia="zh-CN" w:bidi="ar-SA"/>
    </w:rPr>
    <w:tblPr/>
  </w:style>
  <w:style w:type="table" w:styleId="1228">
    <w:name w:val="List Table 2 - Accent 6"/>
    <w:next w:val="1228"/>
    <w:link w:val="1038"/>
    <w:uiPriority w:val="99"/>
    <w:qFormat/>
    <w:rPr>
      <w:lang w:val="en-US" w:eastAsia="zh-CN" w:bidi="ar-SA"/>
    </w:rPr>
    <w:tblPr/>
  </w:style>
  <w:style w:type="table" w:styleId="1229">
    <w:name w:val="List Table 3 - Accent 1"/>
    <w:next w:val="1229"/>
    <w:link w:val="1038"/>
    <w:uiPriority w:val="99"/>
    <w:qFormat/>
    <w:rPr>
      <w:lang w:val="en-US" w:eastAsia="zh-CN" w:bidi="ar-SA"/>
    </w:rPr>
    <w:tblPr/>
  </w:style>
  <w:style w:type="table" w:styleId="1230">
    <w:name w:val="List Table 3 - Accent 2"/>
    <w:next w:val="1230"/>
    <w:link w:val="1038"/>
    <w:uiPriority w:val="99"/>
    <w:qFormat/>
    <w:rPr>
      <w:lang w:val="en-US" w:eastAsia="zh-CN" w:bidi="ar-SA"/>
    </w:rPr>
    <w:tblPr/>
  </w:style>
  <w:style w:type="table" w:styleId="1231">
    <w:name w:val="List Table 3 - Accent 3"/>
    <w:next w:val="1231"/>
    <w:link w:val="1038"/>
    <w:uiPriority w:val="99"/>
    <w:qFormat/>
    <w:rPr>
      <w:lang w:val="en-US" w:eastAsia="zh-CN" w:bidi="ar-SA"/>
    </w:rPr>
    <w:tblPr/>
  </w:style>
  <w:style w:type="table" w:styleId="1232">
    <w:name w:val="List Table 3 - Accent 4"/>
    <w:next w:val="1232"/>
    <w:link w:val="1038"/>
    <w:uiPriority w:val="99"/>
    <w:qFormat/>
    <w:rPr>
      <w:lang w:val="en-US" w:eastAsia="zh-CN" w:bidi="ar-SA"/>
    </w:rPr>
    <w:tblPr/>
  </w:style>
  <w:style w:type="table" w:styleId="1233">
    <w:name w:val="List Table 3 - Accent 5"/>
    <w:next w:val="1233"/>
    <w:link w:val="1038"/>
    <w:uiPriority w:val="99"/>
    <w:qFormat/>
    <w:rPr>
      <w:lang w:val="en-US" w:eastAsia="zh-CN" w:bidi="ar-SA"/>
    </w:rPr>
    <w:tblPr/>
  </w:style>
  <w:style w:type="table" w:styleId="1234">
    <w:name w:val="List Table 3 - Accent 6"/>
    <w:next w:val="1234"/>
    <w:link w:val="1038"/>
    <w:uiPriority w:val="99"/>
    <w:qFormat/>
    <w:rPr>
      <w:lang w:val="en-US" w:eastAsia="zh-CN" w:bidi="ar-SA"/>
    </w:rPr>
    <w:tblPr/>
  </w:style>
  <w:style w:type="table" w:styleId="1235">
    <w:name w:val="List Table 4 - Accent 1"/>
    <w:next w:val="1235"/>
    <w:link w:val="1038"/>
    <w:uiPriority w:val="99"/>
    <w:qFormat/>
    <w:rPr>
      <w:lang w:val="en-US" w:eastAsia="zh-CN" w:bidi="ar-SA"/>
    </w:rPr>
    <w:tblPr/>
  </w:style>
  <w:style w:type="table" w:styleId="1236">
    <w:name w:val="List Table 4 - Accent 2"/>
    <w:next w:val="1236"/>
    <w:link w:val="1038"/>
    <w:uiPriority w:val="99"/>
    <w:qFormat/>
    <w:rPr>
      <w:lang w:val="en-US" w:eastAsia="zh-CN" w:bidi="ar-SA"/>
    </w:rPr>
    <w:tblPr/>
  </w:style>
  <w:style w:type="table" w:styleId="1237">
    <w:name w:val="List Table 4 - Accent 3"/>
    <w:next w:val="1237"/>
    <w:link w:val="1038"/>
    <w:uiPriority w:val="99"/>
    <w:qFormat/>
    <w:rPr>
      <w:lang w:val="en-US" w:eastAsia="zh-CN" w:bidi="ar-SA"/>
    </w:rPr>
    <w:tblPr/>
  </w:style>
  <w:style w:type="table" w:styleId="1238">
    <w:name w:val="List Table 4 - Accent 4"/>
    <w:next w:val="1238"/>
    <w:link w:val="1038"/>
    <w:uiPriority w:val="99"/>
    <w:qFormat/>
    <w:rPr>
      <w:lang w:val="en-US" w:eastAsia="zh-CN" w:bidi="ar-SA"/>
    </w:rPr>
    <w:tblPr/>
  </w:style>
  <w:style w:type="table" w:styleId="1239">
    <w:name w:val="List Table 4 - Accent 5"/>
    <w:next w:val="1239"/>
    <w:link w:val="1038"/>
    <w:uiPriority w:val="99"/>
    <w:qFormat/>
    <w:rPr>
      <w:lang w:val="en-US" w:eastAsia="zh-CN" w:bidi="ar-SA"/>
    </w:rPr>
    <w:tblPr/>
  </w:style>
  <w:style w:type="table" w:styleId="1240">
    <w:name w:val="List Table 4 - Accent 6"/>
    <w:next w:val="1240"/>
    <w:link w:val="1038"/>
    <w:uiPriority w:val="99"/>
    <w:qFormat/>
    <w:rPr>
      <w:lang w:val="en-US" w:eastAsia="zh-CN" w:bidi="ar-SA"/>
    </w:rPr>
    <w:tblPr/>
  </w:style>
  <w:style w:type="table" w:styleId="1241">
    <w:name w:val="List Table 5 Dark - Accent 1"/>
    <w:next w:val="1241"/>
    <w:link w:val="1038"/>
    <w:uiPriority w:val="99"/>
    <w:qFormat/>
    <w:rPr>
      <w:lang w:val="en-US" w:eastAsia="zh-CN" w:bidi="ar-SA"/>
    </w:rPr>
    <w:tblPr/>
  </w:style>
  <w:style w:type="table" w:styleId="1242">
    <w:name w:val="List Table 5 Dark - Accent 2"/>
    <w:next w:val="1242"/>
    <w:link w:val="1038"/>
    <w:uiPriority w:val="99"/>
    <w:qFormat/>
    <w:rPr>
      <w:lang w:val="en-US" w:eastAsia="zh-CN" w:bidi="ar-SA"/>
    </w:rPr>
    <w:tblPr/>
  </w:style>
  <w:style w:type="table" w:styleId="1243">
    <w:name w:val="List Table 5 Dark - Accent 3"/>
    <w:next w:val="1243"/>
    <w:link w:val="1038"/>
    <w:uiPriority w:val="99"/>
    <w:qFormat/>
    <w:rPr>
      <w:lang w:val="en-US" w:eastAsia="zh-CN" w:bidi="ar-SA"/>
    </w:rPr>
    <w:tblPr/>
  </w:style>
  <w:style w:type="table" w:styleId="1244">
    <w:name w:val="List Table 5 Dark - Accent 4"/>
    <w:next w:val="1244"/>
    <w:link w:val="1038"/>
    <w:uiPriority w:val="99"/>
    <w:qFormat/>
    <w:rPr>
      <w:lang w:val="en-US" w:eastAsia="zh-CN" w:bidi="ar-SA"/>
    </w:rPr>
    <w:tblPr/>
  </w:style>
  <w:style w:type="table" w:styleId="1245">
    <w:name w:val="List Table 5 Dark - Accent 5"/>
    <w:next w:val="1245"/>
    <w:link w:val="1038"/>
    <w:uiPriority w:val="99"/>
    <w:qFormat/>
    <w:rPr>
      <w:lang w:val="en-US" w:eastAsia="zh-CN" w:bidi="ar-SA"/>
    </w:rPr>
    <w:tblPr/>
  </w:style>
  <w:style w:type="table" w:styleId="1246">
    <w:name w:val="List Table 5 Dark - Accent 6"/>
    <w:next w:val="1246"/>
    <w:link w:val="1038"/>
    <w:uiPriority w:val="99"/>
    <w:qFormat/>
    <w:rPr>
      <w:lang w:val="en-US" w:eastAsia="zh-CN" w:bidi="ar-SA"/>
    </w:rPr>
    <w:tblPr/>
  </w:style>
  <w:style w:type="table" w:styleId="1247">
    <w:name w:val="List Table 6 Colorful - Accent 1"/>
    <w:next w:val="1247"/>
    <w:link w:val="1038"/>
    <w:uiPriority w:val="99"/>
    <w:qFormat/>
    <w:rPr>
      <w:lang w:val="en-US" w:eastAsia="zh-CN" w:bidi="ar-SA"/>
    </w:rPr>
    <w:tblPr/>
  </w:style>
  <w:style w:type="table" w:styleId="1248">
    <w:name w:val="List Table 6 Colorful - Accent 2"/>
    <w:next w:val="1248"/>
    <w:link w:val="1038"/>
    <w:uiPriority w:val="99"/>
    <w:qFormat/>
    <w:rPr>
      <w:lang w:val="en-US" w:eastAsia="zh-CN" w:bidi="ar-SA"/>
    </w:rPr>
    <w:tblPr/>
  </w:style>
  <w:style w:type="table" w:styleId="1249">
    <w:name w:val="List Table 6 Colorful - Accent 3"/>
    <w:next w:val="1249"/>
    <w:link w:val="1038"/>
    <w:uiPriority w:val="99"/>
    <w:qFormat/>
    <w:rPr>
      <w:lang w:val="en-US" w:eastAsia="zh-CN" w:bidi="ar-SA"/>
    </w:rPr>
    <w:tblPr/>
  </w:style>
  <w:style w:type="table" w:styleId="1250">
    <w:name w:val="List Table 6 Colorful - Accent 4"/>
    <w:next w:val="1250"/>
    <w:link w:val="1038"/>
    <w:uiPriority w:val="99"/>
    <w:qFormat/>
    <w:rPr>
      <w:lang w:val="en-US" w:eastAsia="zh-CN" w:bidi="ar-SA"/>
    </w:rPr>
    <w:tblPr/>
  </w:style>
  <w:style w:type="table" w:styleId="1251">
    <w:name w:val="List Table 6 Colorful - Accent 5"/>
    <w:next w:val="1251"/>
    <w:link w:val="1038"/>
    <w:uiPriority w:val="99"/>
    <w:qFormat/>
    <w:rPr>
      <w:lang w:val="en-US" w:eastAsia="zh-CN" w:bidi="ar-SA"/>
    </w:rPr>
    <w:tblPr/>
  </w:style>
  <w:style w:type="table" w:styleId="1252">
    <w:name w:val="List Table 6 Colorful - Accent 6"/>
    <w:next w:val="1252"/>
    <w:link w:val="1038"/>
    <w:uiPriority w:val="99"/>
    <w:qFormat/>
    <w:rPr>
      <w:lang w:val="en-US" w:eastAsia="zh-CN" w:bidi="ar-SA"/>
    </w:rPr>
    <w:tblPr/>
  </w:style>
  <w:style w:type="table" w:styleId="1253">
    <w:name w:val="List Table 7 Colorful - Accent 1"/>
    <w:next w:val="1253"/>
    <w:link w:val="1038"/>
    <w:uiPriority w:val="99"/>
    <w:qFormat/>
    <w:rPr>
      <w:lang w:val="en-US" w:eastAsia="zh-CN" w:bidi="ar-SA"/>
    </w:rPr>
    <w:tblPr/>
  </w:style>
  <w:style w:type="table" w:styleId="1254">
    <w:name w:val="List Table 7 Colorful - Accent 2"/>
    <w:next w:val="1254"/>
    <w:link w:val="1038"/>
    <w:uiPriority w:val="99"/>
    <w:qFormat/>
    <w:rPr>
      <w:lang w:val="en-US" w:eastAsia="zh-CN" w:bidi="ar-SA"/>
    </w:rPr>
    <w:tblPr/>
  </w:style>
  <w:style w:type="table" w:styleId="1255">
    <w:name w:val="List Table 7 Colorful - Accent 3"/>
    <w:next w:val="1255"/>
    <w:link w:val="1038"/>
    <w:uiPriority w:val="99"/>
    <w:qFormat/>
    <w:rPr>
      <w:lang w:val="en-US" w:eastAsia="zh-CN" w:bidi="ar-SA"/>
    </w:rPr>
    <w:tblPr/>
  </w:style>
  <w:style w:type="table" w:styleId="1256">
    <w:name w:val="List Table 7 Colorful - Accent 4"/>
    <w:next w:val="1256"/>
    <w:link w:val="1038"/>
    <w:uiPriority w:val="99"/>
    <w:qFormat/>
    <w:rPr>
      <w:lang w:val="en-US" w:eastAsia="zh-CN" w:bidi="ar-SA"/>
    </w:rPr>
    <w:tblPr/>
  </w:style>
  <w:style w:type="table" w:styleId="1257">
    <w:name w:val="List Table 7 Colorful - Accent 5"/>
    <w:next w:val="1257"/>
    <w:link w:val="1038"/>
    <w:uiPriority w:val="99"/>
    <w:qFormat/>
    <w:rPr>
      <w:lang w:val="en-US" w:eastAsia="zh-CN" w:bidi="ar-SA"/>
    </w:rPr>
    <w:tblPr/>
  </w:style>
  <w:style w:type="table" w:styleId="1258">
    <w:name w:val="List Table 7 Colorful - Accent 6"/>
    <w:next w:val="1258"/>
    <w:link w:val="1038"/>
    <w:uiPriority w:val="99"/>
    <w:qFormat/>
    <w:rPr>
      <w:lang w:val="en-US" w:eastAsia="zh-CN" w:bidi="ar-SA"/>
    </w:rPr>
    <w:tblPr/>
  </w:style>
  <w:style w:type="table" w:styleId="1259">
    <w:name w:val="Lined - Accent"/>
    <w:next w:val="1259"/>
    <w:link w:val="1038"/>
    <w:uiPriority w:val="99"/>
    <w:qFormat/>
    <w:rPr>
      <w:color w:val="404040"/>
      <w:lang w:val="en-US" w:eastAsia="zh-CN" w:bidi="ar-SA"/>
    </w:rPr>
    <w:tblPr/>
  </w:style>
  <w:style w:type="table" w:styleId="1260">
    <w:name w:val="Lined - Accent 1"/>
    <w:next w:val="1260"/>
    <w:link w:val="1038"/>
    <w:uiPriority w:val="99"/>
    <w:qFormat/>
    <w:rPr>
      <w:color w:val="404040"/>
      <w:lang w:val="en-US" w:eastAsia="zh-CN" w:bidi="ar-SA"/>
    </w:rPr>
    <w:tblPr/>
  </w:style>
  <w:style w:type="table" w:styleId="1261">
    <w:name w:val="Lined - Accent 2"/>
    <w:next w:val="1261"/>
    <w:link w:val="1038"/>
    <w:uiPriority w:val="99"/>
    <w:qFormat/>
    <w:rPr>
      <w:color w:val="404040"/>
      <w:lang w:val="en-US" w:eastAsia="zh-CN" w:bidi="ar-SA"/>
    </w:rPr>
    <w:tblPr/>
  </w:style>
  <w:style w:type="table" w:styleId="1262">
    <w:name w:val="Lined - Accent 3"/>
    <w:next w:val="1262"/>
    <w:link w:val="1038"/>
    <w:uiPriority w:val="99"/>
    <w:qFormat/>
    <w:rPr>
      <w:color w:val="404040"/>
      <w:lang w:val="en-US" w:eastAsia="zh-CN" w:bidi="ar-SA"/>
    </w:rPr>
    <w:tblPr/>
  </w:style>
  <w:style w:type="table" w:styleId="1263">
    <w:name w:val="Lined - Accent 4"/>
    <w:next w:val="1263"/>
    <w:link w:val="1038"/>
    <w:uiPriority w:val="99"/>
    <w:qFormat/>
    <w:rPr>
      <w:color w:val="404040"/>
      <w:lang w:val="en-US" w:eastAsia="zh-CN" w:bidi="ar-SA"/>
    </w:rPr>
    <w:tblPr/>
  </w:style>
  <w:style w:type="table" w:styleId="1264">
    <w:name w:val="Lined - Accent 5"/>
    <w:next w:val="1264"/>
    <w:link w:val="1038"/>
    <w:uiPriority w:val="99"/>
    <w:qFormat/>
    <w:rPr>
      <w:color w:val="404040"/>
      <w:lang w:val="en-US" w:eastAsia="zh-CN" w:bidi="ar-SA"/>
    </w:rPr>
    <w:tblPr/>
  </w:style>
  <w:style w:type="table" w:styleId="1265">
    <w:name w:val="Lined - Accent 6"/>
    <w:next w:val="1265"/>
    <w:link w:val="1038"/>
    <w:uiPriority w:val="99"/>
    <w:qFormat/>
    <w:rPr>
      <w:color w:val="404040"/>
      <w:lang w:val="en-US" w:eastAsia="zh-CN" w:bidi="ar-SA"/>
    </w:rPr>
    <w:tblPr/>
  </w:style>
  <w:style w:type="table" w:styleId="1266">
    <w:name w:val="Bordered &amp; Lined - Accent"/>
    <w:next w:val="1266"/>
    <w:link w:val="1038"/>
    <w:uiPriority w:val="99"/>
    <w:qFormat/>
    <w:rPr>
      <w:color w:val="404040"/>
      <w:lang w:val="en-US" w:eastAsia="zh-CN" w:bidi="ar-SA"/>
    </w:rPr>
    <w:tblPr/>
  </w:style>
  <w:style w:type="table" w:styleId="1267">
    <w:name w:val="Bordered &amp; Lined - Accent 1"/>
    <w:next w:val="1267"/>
    <w:link w:val="1038"/>
    <w:uiPriority w:val="99"/>
    <w:qFormat/>
    <w:rPr>
      <w:color w:val="404040"/>
      <w:lang w:val="en-US" w:eastAsia="zh-CN" w:bidi="ar-SA"/>
    </w:rPr>
    <w:tblPr/>
  </w:style>
  <w:style w:type="table" w:styleId="1268">
    <w:name w:val="Bordered &amp; Lined - Accent 2"/>
    <w:next w:val="1268"/>
    <w:link w:val="1038"/>
    <w:uiPriority w:val="99"/>
    <w:qFormat/>
    <w:rPr>
      <w:color w:val="404040"/>
      <w:lang w:val="en-US" w:eastAsia="zh-CN" w:bidi="ar-SA"/>
    </w:rPr>
    <w:tblPr/>
  </w:style>
  <w:style w:type="table" w:styleId="1269">
    <w:name w:val="Bordered &amp; Lined - Accent 3"/>
    <w:next w:val="1269"/>
    <w:link w:val="1038"/>
    <w:uiPriority w:val="99"/>
    <w:qFormat/>
    <w:rPr>
      <w:color w:val="404040"/>
      <w:lang w:val="en-US" w:eastAsia="zh-CN" w:bidi="ar-SA"/>
    </w:rPr>
    <w:tblPr/>
  </w:style>
  <w:style w:type="table" w:styleId="1270">
    <w:name w:val="Bordered &amp; Lined - Accent 4"/>
    <w:next w:val="1270"/>
    <w:link w:val="1038"/>
    <w:uiPriority w:val="99"/>
    <w:qFormat/>
    <w:rPr>
      <w:color w:val="404040"/>
      <w:lang w:val="en-US" w:eastAsia="zh-CN" w:bidi="ar-SA"/>
    </w:rPr>
    <w:tblPr/>
  </w:style>
  <w:style w:type="table" w:styleId="1271">
    <w:name w:val="Bordered &amp; Lined - Accent 5"/>
    <w:next w:val="1271"/>
    <w:link w:val="1038"/>
    <w:uiPriority w:val="99"/>
    <w:qFormat/>
    <w:rPr>
      <w:color w:val="404040"/>
      <w:lang w:val="en-US" w:eastAsia="zh-CN" w:bidi="ar-SA"/>
    </w:rPr>
    <w:tblPr/>
  </w:style>
  <w:style w:type="table" w:styleId="1272">
    <w:name w:val="Bordered &amp; Lined - Accent 6"/>
    <w:next w:val="1272"/>
    <w:link w:val="1038"/>
    <w:uiPriority w:val="99"/>
    <w:qFormat/>
    <w:rPr>
      <w:color w:val="404040"/>
      <w:lang w:val="en-US" w:eastAsia="zh-CN" w:bidi="ar-SA"/>
    </w:rPr>
    <w:tblPr/>
  </w:style>
  <w:style w:type="table" w:styleId="1273">
    <w:name w:val="Bordered"/>
    <w:next w:val="1273"/>
    <w:link w:val="1038"/>
    <w:uiPriority w:val="99"/>
    <w:qFormat/>
    <w:rPr>
      <w:lang w:val="en-US" w:eastAsia="zh-CN" w:bidi="ar-SA"/>
    </w:rPr>
    <w:tblPr/>
  </w:style>
  <w:style w:type="table" w:styleId="1274">
    <w:name w:val="Bordered - Accent 1"/>
    <w:next w:val="1274"/>
    <w:link w:val="1038"/>
    <w:uiPriority w:val="99"/>
    <w:qFormat/>
    <w:rPr>
      <w:lang w:val="en-US" w:eastAsia="zh-CN" w:bidi="ar-SA"/>
    </w:rPr>
    <w:tblPr/>
  </w:style>
  <w:style w:type="table" w:styleId="1275">
    <w:name w:val="Bordered - Accent 2"/>
    <w:next w:val="1275"/>
    <w:link w:val="1038"/>
    <w:uiPriority w:val="99"/>
    <w:qFormat/>
    <w:rPr>
      <w:lang w:val="en-US" w:eastAsia="zh-CN" w:bidi="ar-SA"/>
    </w:rPr>
    <w:tblPr/>
  </w:style>
  <w:style w:type="table" w:styleId="1276">
    <w:name w:val="Bordered - Accent 3"/>
    <w:next w:val="1276"/>
    <w:link w:val="1038"/>
    <w:uiPriority w:val="99"/>
    <w:qFormat/>
    <w:rPr>
      <w:lang w:val="en-US" w:eastAsia="zh-CN" w:bidi="ar-SA"/>
    </w:rPr>
    <w:tblPr/>
  </w:style>
  <w:style w:type="table" w:styleId="1277">
    <w:name w:val="Bordered - Accent 4"/>
    <w:next w:val="1277"/>
    <w:link w:val="1038"/>
    <w:uiPriority w:val="99"/>
    <w:qFormat/>
    <w:rPr>
      <w:lang w:val="en-US" w:eastAsia="zh-CN" w:bidi="ar-SA"/>
    </w:rPr>
    <w:tblPr/>
  </w:style>
  <w:style w:type="table" w:styleId="1278">
    <w:name w:val="Bordered - Accent 5"/>
    <w:next w:val="1278"/>
    <w:link w:val="1038"/>
    <w:uiPriority w:val="99"/>
    <w:qFormat/>
    <w:rPr>
      <w:lang w:val="en-US" w:eastAsia="zh-CN" w:bidi="ar-SA"/>
    </w:rPr>
    <w:tblPr/>
  </w:style>
  <w:style w:type="table" w:styleId="1279">
    <w:name w:val="Bordered - Accent 6"/>
    <w:next w:val="1279"/>
    <w:link w:val="1038"/>
    <w:uiPriority w:val="99"/>
    <w:qFormat/>
    <w:rPr>
      <w:lang w:val="en-US" w:eastAsia="zh-CN" w:bidi="ar-SA"/>
    </w:rPr>
    <w:tblPr/>
  </w:style>
  <w:style w:type="character" w:styleId="1280">
    <w:name w:val="脚注文本 Char"/>
    <w:next w:val="1280"/>
    <w:link w:val="1068"/>
    <w:uiPriority w:val="99"/>
    <w:qFormat/>
    <w:rPr>
      <w:sz w:val="18"/>
    </w:rPr>
  </w:style>
  <w:style w:type="character" w:styleId="1281">
    <w:name w:val="尾注文本 Char"/>
    <w:next w:val="1281"/>
    <w:link w:val="1061"/>
    <w:uiPriority w:val="99"/>
    <w:qFormat/>
    <w:rPr>
      <w:sz w:val="20"/>
    </w:rPr>
  </w:style>
  <w:style w:type="paragraph" w:styleId="1282">
    <w:name w:val="TOC 标题1"/>
    <w:next w:val="1282"/>
    <w:link w:val="1038"/>
    <w:uiPriority w:val="39"/>
    <w:qFormat/>
    <w:rPr>
      <w:lang w:val="en-US" w:eastAsia="zh-CN" w:bidi="ar-SA"/>
    </w:rPr>
  </w:style>
  <w:style w:type="paragraph" w:styleId="1283">
    <w:name w:val="标题 11"/>
    <w:basedOn w:val="1038"/>
    <w:next w:val="1038"/>
    <w:link w:val="1294"/>
    <w:qFormat/>
    <w:pPr>
      <w:jc w:val="center"/>
      <w:keepNext/>
      <w:outlineLvl w:val="0"/>
    </w:pPr>
    <w:rPr>
      <w:rFonts w:ascii="楷体_GB2312" w:eastAsia="楷体_GB2312"/>
      <w:sz w:val="28"/>
      <w:szCs w:val="28"/>
    </w:rPr>
  </w:style>
  <w:style w:type="paragraph" w:styleId="1284">
    <w:name w:val="标题 21"/>
    <w:basedOn w:val="1038"/>
    <w:next w:val="1038"/>
    <w:link w:val="1295"/>
    <w:qFormat/>
    <w:pPr>
      <w:jc w:val="center"/>
      <w:keepLines/>
      <w:keepNext/>
      <w:spacing w:before="260" w:after="260" w:line="416" w:lineRule="auto"/>
      <w:outlineLvl w:val="1"/>
    </w:pPr>
    <w:rPr>
      <w:rFonts w:ascii="Arial" w:hAnsi="Arial" w:eastAsia="幼圆" w:cs="Arial"/>
      <w:b/>
      <w:bCs/>
      <w:sz w:val="44"/>
      <w:szCs w:val="44"/>
    </w:rPr>
  </w:style>
  <w:style w:type="paragraph" w:styleId="1285">
    <w:name w:val="标题 31"/>
    <w:basedOn w:val="1038"/>
    <w:next w:val="1038"/>
    <w:link w:val="1296"/>
    <w:qFormat/>
    <w:pPr>
      <w:keepLines/>
      <w:keepNext/>
      <w:spacing w:before="260" w:after="260" w:line="416" w:lineRule="auto"/>
      <w:outlineLvl w:val="2"/>
    </w:pPr>
    <w:rPr>
      <w:b/>
      <w:bCs/>
      <w:sz w:val="32"/>
      <w:szCs w:val="32"/>
    </w:rPr>
  </w:style>
  <w:style w:type="paragraph" w:styleId="1286">
    <w:name w:val="标题 41"/>
    <w:basedOn w:val="1038"/>
    <w:next w:val="1038"/>
    <w:link w:val="1297"/>
    <w:qFormat/>
    <w:pPr>
      <w:keepLines/>
      <w:keepNext/>
      <w:spacing w:before="280" w:after="290" w:line="376" w:lineRule="auto"/>
      <w:outlineLvl w:val="3"/>
    </w:pPr>
    <w:rPr>
      <w:rFonts w:ascii="Arial" w:hAnsi="Arial" w:eastAsia="黑体" w:cs="Arial"/>
      <w:b/>
      <w:bCs/>
      <w:sz w:val="28"/>
      <w:szCs w:val="28"/>
    </w:rPr>
  </w:style>
  <w:style w:type="paragraph" w:styleId="1287">
    <w:name w:val="标题 51"/>
    <w:basedOn w:val="1038"/>
    <w:next w:val="1288"/>
    <w:link w:val="1298"/>
    <w:qFormat/>
    <w:pPr>
      <w:keepNext/>
      <w:outlineLvl w:val="4"/>
    </w:pPr>
    <w:rPr>
      <w:rFonts w:ascii="宋体"/>
      <w:color w:val="000000"/>
      <w:sz w:val="28"/>
      <w:szCs w:val="28"/>
    </w:rPr>
  </w:style>
  <w:style w:type="paragraph" w:styleId="1288">
    <w:name w:val="正文缩进1"/>
    <w:basedOn w:val="1038"/>
    <w:next w:val="1288"/>
    <w:link w:val="1299"/>
    <w:qFormat/>
    <w:pPr>
      <w:ind w:firstLine="420"/>
    </w:pPr>
  </w:style>
  <w:style w:type="paragraph" w:styleId="1289">
    <w:name w:val="标题 61"/>
    <w:basedOn w:val="1038"/>
    <w:next w:val="1038"/>
    <w:link w:val="1300"/>
    <w:qFormat/>
    <w:pPr>
      <w:numPr>
        <w:ilvl w:val="5"/>
        <w:numId w:val="1"/>
      </w:numPr>
      <w:keepLines/>
      <w:keepNext/>
      <w:spacing w:before="240" w:after="64" w:line="320" w:lineRule="auto"/>
      <w:outlineLvl w:val="5"/>
    </w:pPr>
    <w:rPr>
      <w:rFonts w:ascii="Arial" w:hAnsi="Arial" w:eastAsia="黑体"/>
      <w:b/>
      <w:bCs/>
      <w:sz w:val="24"/>
      <w:szCs w:val="24"/>
    </w:rPr>
  </w:style>
  <w:style w:type="paragraph" w:styleId="1290">
    <w:name w:val="标题 71"/>
    <w:basedOn w:val="1038"/>
    <w:next w:val="1038"/>
    <w:link w:val="1301"/>
    <w:qFormat/>
    <w:pPr>
      <w:numPr>
        <w:ilvl w:val="6"/>
        <w:numId w:val="1"/>
      </w:numPr>
      <w:keepLines/>
      <w:keepNext/>
      <w:spacing w:before="240" w:after="64" w:line="320" w:lineRule="auto"/>
      <w:outlineLvl w:val="6"/>
    </w:pPr>
    <w:rPr>
      <w:b/>
      <w:bCs/>
      <w:sz w:val="24"/>
      <w:szCs w:val="24"/>
    </w:rPr>
  </w:style>
  <w:style w:type="paragraph" w:styleId="1291">
    <w:name w:val="标题 81"/>
    <w:basedOn w:val="1038"/>
    <w:next w:val="1038"/>
    <w:link w:val="1302"/>
    <w:qFormat/>
    <w:pPr>
      <w:numPr>
        <w:ilvl w:val="7"/>
        <w:numId w:val="1"/>
      </w:numPr>
      <w:keepLines/>
      <w:keepNext/>
      <w:spacing w:before="240" w:after="64" w:line="320" w:lineRule="auto"/>
      <w:outlineLvl w:val="7"/>
    </w:pPr>
    <w:rPr>
      <w:rFonts w:ascii="Arial" w:hAnsi="Arial" w:eastAsia="黑体"/>
      <w:sz w:val="24"/>
      <w:szCs w:val="24"/>
    </w:rPr>
  </w:style>
  <w:style w:type="paragraph" w:styleId="1292">
    <w:name w:val="标题 91"/>
    <w:basedOn w:val="1038"/>
    <w:next w:val="1038"/>
    <w:link w:val="1303"/>
    <w:qFormat/>
    <w:pPr>
      <w:numPr>
        <w:ilvl w:val="8"/>
        <w:numId w:val="1"/>
      </w:numPr>
      <w:keepLines/>
      <w:keepNext/>
      <w:spacing w:before="240" w:after="64" w:line="320" w:lineRule="auto"/>
      <w:outlineLvl w:val="8"/>
    </w:pPr>
    <w:rPr>
      <w:rFonts w:ascii="Arial" w:hAnsi="Arial" w:eastAsia="黑体"/>
    </w:rPr>
  </w:style>
  <w:style w:type="character" w:styleId="1293">
    <w:name w:val="默认段落字体1"/>
    <w:next w:val="1293"/>
    <w:link w:val="1038"/>
    <w:uiPriority w:val="1"/>
    <w:qFormat/>
  </w:style>
  <w:style w:type="character" w:styleId="1294">
    <w:name w:val="标题 1 字符"/>
    <w:next w:val="1294"/>
    <w:link w:val="1283"/>
    <w:qFormat/>
    <w:rPr>
      <w:rFonts w:ascii="楷体_GB2312" w:hAnsi="Times New Roman" w:eastAsia="楷体_GB2312" w:cs="Times New Roman"/>
      <w:sz w:val="28"/>
      <w:szCs w:val="28"/>
    </w:rPr>
  </w:style>
  <w:style w:type="character" w:styleId="1295">
    <w:name w:val="标题 2 字符"/>
    <w:next w:val="1295"/>
    <w:link w:val="1284"/>
    <w:qFormat/>
    <w:rPr>
      <w:rFonts w:ascii="Arial" w:hAnsi="Arial" w:eastAsia="幼圆" w:cs="Arial"/>
      <w:b/>
      <w:bCs/>
      <w:sz w:val="44"/>
      <w:szCs w:val="44"/>
    </w:rPr>
  </w:style>
  <w:style w:type="character" w:styleId="1296">
    <w:name w:val="标题 3 字符"/>
    <w:next w:val="1296"/>
    <w:link w:val="1285"/>
    <w:qFormat/>
    <w:rPr>
      <w:rFonts w:ascii="Times New Roman" w:hAnsi="Times New Roman" w:eastAsia="宋体" w:cs="Times New Roman"/>
      <w:b/>
      <w:bCs/>
      <w:sz w:val="32"/>
      <w:szCs w:val="32"/>
    </w:rPr>
  </w:style>
  <w:style w:type="character" w:styleId="1297">
    <w:name w:val="标题 4 字符"/>
    <w:next w:val="1297"/>
    <w:link w:val="1286"/>
    <w:qFormat/>
    <w:rPr>
      <w:rFonts w:ascii="Arial" w:hAnsi="Arial" w:eastAsia="黑体" w:cs="Arial"/>
      <w:b/>
      <w:bCs/>
      <w:sz w:val="28"/>
      <w:szCs w:val="28"/>
    </w:rPr>
  </w:style>
  <w:style w:type="character" w:styleId="1298">
    <w:name w:val="标题 5 字符"/>
    <w:next w:val="1298"/>
    <w:link w:val="1287"/>
    <w:qFormat/>
    <w:rPr>
      <w:rFonts w:ascii="宋体" w:hAnsi="Times New Roman" w:eastAsia="宋体" w:cs="Times New Roman"/>
      <w:color w:val="000000"/>
      <w:sz w:val="28"/>
      <w:szCs w:val="28"/>
    </w:rPr>
  </w:style>
  <w:style w:type="character" w:styleId="1299">
    <w:name w:val="正文缩进 字符"/>
    <w:next w:val="1299"/>
    <w:link w:val="1288"/>
    <w:qFormat/>
    <w:rPr>
      <w:rFonts w:ascii="Times New Roman" w:hAnsi="Times New Roman" w:eastAsia="宋体" w:cs="Times New Roman"/>
      <w:szCs w:val="21"/>
    </w:rPr>
  </w:style>
  <w:style w:type="character" w:styleId="1300">
    <w:name w:val="标题 6 字符"/>
    <w:next w:val="1300"/>
    <w:link w:val="1289"/>
    <w:qFormat/>
    <w:rPr>
      <w:rFonts w:ascii="Arial" w:hAnsi="Arial" w:eastAsia="黑体" w:cs="Times New Roman"/>
      <w:b/>
      <w:bCs/>
      <w:sz w:val="24"/>
      <w:szCs w:val="24"/>
    </w:rPr>
  </w:style>
  <w:style w:type="character" w:styleId="1301">
    <w:name w:val="标题 7 字符"/>
    <w:next w:val="1301"/>
    <w:link w:val="1290"/>
    <w:qFormat/>
    <w:rPr>
      <w:rFonts w:ascii="Times New Roman" w:hAnsi="Times New Roman" w:eastAsia="宋体" w:cs="Times New Roman"/>
      <w:b/>
      <w:bCs/>
      <w:sz w:val="24"/>
      <w:szCs w:val="24"/>
    </w:rPr>
  </w:style>
  <w:style w:type="character" w:styleId="1302">
    <w:name w:val="标题 8 字符"/>
    <w:next w:val="1302"/>
    <w:link w:val="1291"/>
    <w:qFormat/>
    <w:rPr>
      <w:rFonts w:ascii="Arial" w:hAnsi="Arial" w:eastAsia="黑体" w:cs="Times New Roman"/>
      <w:sz w:val="24"/>
      <w:szCs w:val="24"/>
    </w:rPr>
  </w:style>
  <w:style w:type="character" w:styleId="1303">
    <w:name w:val="标题 9 字符"/>
    <w:next w:val="1303"/>
    <w:link w:val="1292"/>
    <w:qFormat/>
    <w:rPr>
      <w:rFonts w:ascii="Arial" w:hAnsi="Arial" w:eastAsia="黑体" w:cs="Times New Roman"/>
      <w:szCs w:val="21"/>
    </w:rPr>
  </w:style>
  <w:style w:type="paragraph" w:styleId="1304">
    <w:name w:val="列表 31"/>
    <w:basedOn w:val="1038"/>
    <w:next w:val="1304"/>
    <w:link w:val="1038"/>
    <w:qFormat/>
    <w:pPr>
      <w:ind w:left="100" w:hanging="200"/>
    </w:pPr>
  </w:style>
  <w:style w:type="paragraph" w:styleId="1305">
    <w:name w:val="文档结构图1"/>
    <w:basedOn w:val="1038"/>
    <w:next w:val="1305"/>
    <w:link w:val="1306"/>
    <w:qFormat/>
    <w:pPr>
      <w:shd w:val="clear" w:color="auto" w:fill="000080"/>
    </w:pPr>
  </w:style>
  <w:style w:type="character" w:styleId="1306">
    <w:name w:val="文档结构图 字符"/>
    <w:next w:val="1306"/>
    <w:link w:val="1305"/>
    <w:qFormat/>
    <w:rPr>
      <w:rFonts w:ascii="Times New Roman" w:hAnsi="Times New Roman" w:eastAsia="宋体" w:cs="Times New Roman"/>
      <w:szCs w:val="21"/>
      <w:shd w:val="clear" w:color="auto" w:fill="000080"/>
    </w:rPr>
  </w:style>
  <w:style w:type="paragraph" w:styleId="1307">
    <w:name w:val="批注文字1"/>
    <w:basedOn w:val="1038"/>
    <w:next w:val="1307"/>
    <w:link w:val="1308"/>
    <w:qFormat/>
    <w:pPr>
      <w:jc w:val="left"/>
    </w:pPr>
  </w:style>
  <w:style w:type="character" w:styleId="1308">
    <w:name w:val="批注文字 字符"/>
    <w:next w:val="1308"/>
    <w:link w:val="1307"/>
    <w:qFormat/>
    <w:rPr>
      <w:rFonts w:ascii="Times New Roman" w:hAnsi="Times New Roman" w:eastAsia="宋体" w:cs="Times New Roman"/>
      <w:szCs w:val="21"/>
    </w:rPr>
  </w:style>
  <w:style w:type="paragraph" w:styleId="1309">
    <w:name w:val="正文文本 31"/>
    <w:basedOn w:val="1038"/>
    <w:next w:val="1309"/>
    <w:link w:val="1310"/>
    <w:qFormat/>
    <w:rPr>
      <w:rFonts w:ascii="仿宋_GB2312" w:hAnsi="Arial" w:eastAsia="仿宋_GB2312"/>
      <w:sz w:val="32"/>
      <w:szCs w:val="32"/>
    </w:rPr>
  </w:style>
  <w:style w:type="character" w:styleId="1310">
    <w:name w:val="正文文本 3 字符"/>
    <w:next w:val="1310"/>
    <w:link w:val="1309"/>
    <w:qFormat/>
    <w:rPr>
      <w:rFonts w:ascii="仿宋_GB2312" w:hAnsi="Arial" w:eastAsia="仿宋_GB2312" w:cs="Times New Roman"/>
      <w:sz w:val="32"/>
      <w:szCs w:val="32"/>
    </w:rPr>
  </w:style>
  <w:style w:type="paragraph" w:styleId="1311">
    <w:name w:val="正文文本1"/>
    <w:basedOn w:val="1038"/>
    <w:next w:val="1311"/>
    <w:link w:val="1312"/>
    <w:qFormat/>
    <w:rPr>
      <w:rFonts w:ascii="楷体_GB2312" w:hAnsi="Arial" w:eastAsia="楷体_GB2312"/>
      <w:sz w:val="28"/>
      <w:szCs w:val="28"/>
    </w:rPr>
  </w:style>
  <w:style w:type="character" w:styleId="1312">
    <w:name w:val="正文文本 字符"/>
    <w:next w:val="1312"/>
    <w:link w:val="1311"/>
    <w:qFormat/>
    <w:rPr>
      <w:rFonts w:ascii="楷体_GB2312" w:hAnsi="Arial" w:eastAsia="楷体_GB2312" w:cs="Times New Roman"/>
      <w:sz w:val="28"/>
      <w:szCs w:val="28"/>
    </w:rPr>
  </w:style>
  <w:style w:type="paragraph" w:styleId="1313">
    <w:name w:val="正文文本缩进1"/>
    <w:basedOn w:val="1038"/>
    <w:next w:val="1313"/>
    <w:link w:val="1314"/>
    <w:qFormat/>
    <w:pPr>
      <w:ind w:firstLine="645"/>
    </w:pPr>
    <w:rPr>
      <w:rFonts w:ascii="楷体_GB2312" w:eastAsia="楷体_GB2312"/>
      <w:sz w:val="32"/>
      <w:szCs w:val="32"/>
    </w:rPr>
  </w:style>
  <w:style w:type="character" w:styleId="1314">
    <w:name w:val="正文文本缩进 字符"/>
    <w:next w:val="1314"/>
    <w:link w:val="1313"/>
    <w:qFormat/>
    <w:rPr>
      <w:rFonts w:ascii="楷体_GB2312" w:hAnsi="Times New Roman" w:eastAsia="楷体_GB2312" w:cs="Times New Roman"/>
      <w:sz w:val="32"/>
      <w:szCs w:val="32"/>
    </w:rPr>
  </w:style>
  <w:style w:type="paragraph" w:styleId="1315">
    <w:name w:val="列表 21"/>
    <w:basedOn w:val="1038"/>
    <w:next w:val="1315"/>
    <w:link w:val="1038"/>
    <w:qFormat/>
    <w:pPr>
      <w:ind w:left="100" w:hanging="200"/>
    </w:pPr>
  </w:style>
  <w:style w:type="paragraph" w:styleId="1316">
    <w:name w:val="索引 41"/>
    <w:basedOn w:val="1038"/>
    <w:next w:val="1038"/>
    <w:link w:val="1038"/>
    <w:qFormat/>
    <w:pPr>
      <w:ind w:left="1260"/>
    </w:pPr>
    <w:rPr>
      <w:szCs w:val="20"/>
    </w:rPr>
  </w:style>
  <w:style w:type="paragraph" w:styleId="1317">
    <w:name w:val="纯文本1"/>
    <w:basedOn w:val="1038"/>
    <w:next w:val="1317"/>
    <w:link w:val="1318"/>
    <w:qFormat/>
    <w:rPr>
      <w:rFonts w:ascii="宋体" w:hAnsi="Courier New" w:cs="Courier New"/>
    </w:rPr>
  </w:style>
  <w:style w:type="character" w:styleId="1318">
    <w:name w:val="纯文本 字符"/>
    <w:next w:val="1318"/>
    <w:link w:val="1317"/>
    <w:qFormat/>
    <w:rPr>
      <w:rFonts w:ascii="宋体" w:hAnsi="Courier New" w:eastAsia="宋体" w:cs="Courier New"/>
      <w:szCs w:val="21"/>
    </w:rPr>
  </w:style>
  <w:style w:type="paragraph" w:styleId="1319">
    <w:name w:val="日期1"/>
    <w:basedOn w:val="1038"/>
    <w:next w:val="1038"/>
    <w:link w:val="1320"/>
    <w:qFormat/>
    <w:rPr>
      <w:sz w:val="24"/>
      <w:szCs w:val="24"/>
    </w:rPr>
  </w:style>
  <w:style w:type="character" w:styleId="1320">
    <w:name w:val="日期 字符"/>
    <w:next w:val="1320"/>
    <w:link w:val="1319"/>
    <w:qFormat/>
    <w:rPr>
      <w:rFonts w:ascii="Times New Roman" w:hAnsi="Times New Roman" w:eastAsia="宋体" w:cs="Times New Roman"/>
      <w:sz w:val="24"/>
      <w:szCs w:val="24"/>
    </w:rPr>
  </w:style>
  <w:style w:type="paragraph" w:styleId="1321">
    <w:name w:val="正文文本缩进 21"/>
    <w:basedOn w:val="1038"/>
    <w:next w:val="1321"/>
    <w:link w:val="1322"/>
    <w:qFormat/>
    <w:pPr>
      <w:ind w:left="630" w:firstLine="645"/>
    </w:pPr>
    <w:rPr>
      <w:rFonts w:ascii="Arial" w:hAnsi="Arial" w:eastAsia="仿宋_GB2312" w:cs="Arial"/>
      <w:sz w:val="32"/>
      <w:szCs w:val="32"/>
    </w:rPr>
  </w:style>
  <w:style w:type="character" w:styleId="1322">
    <w:name w:val="正文文本缩进 2 字符"/>
    <w:next w:val="1322"/>
    <w:link w:val="1321"/>
    <w:qFormat/>
    <w:rPr>
      <w:rFonts w:ascii="Arial" w:hAnsi="Arial" w:eastAsia="仿宋_GB2312" w:cs="Arial"/>
      <w:sz w:val="32"/>
      <w:szCs w:val="32"/>
    </w:rPr>
  </w:style>
  <w:style w:type="paragraph" w:styleId="1323">
    <w:name w:val="批注框文本1"/>
    <w:basedOn w:val="1038"/>
    <w:next w:val="1323"/>
    <w:link w:val="1324"/>
    <w:qFormat/>
    <w:rPr>
      <w:sz w:val="18"/>
      <w:szCs w:val="18"/>
    </w:rPr>
  </w:style>
  <w:style w:type="character" w:styleId="1324">
    <w:name w:val="批注框文本 字符"/>
    <w:next w:val="1324"/>
    <w:link w:val="1323"/>
    <w:qFormat/>
    <w:rPr>
      <w:rFonts w:ascii="Times New Roman" w:hAnsi="Times New Roman" w:eastAsia="宋体" w:cs="Times New Roman"/>
      <w:sz w:val="18"/>
      <w:szCs w:val="18"/>
    </w:rPr>
  </w:style>
  <w:style w:type="paragraph" w:styleId="1325">
    <w:name w:val="页脚1"/>
    <w:basedOn w:val="1038"/>
    <w:next w:val="1325"/>
    <w:link w:val="1326"/>
    <w:qFormat/>
    <w:pPr>
      <w:jc w:val="left"/>
      <w:tabs>
        <w:tab w:val="center" w:pos="4153" w:leader="none"/>
        <w:tab w:val="right" w:pos="8306" w:leader="none"/>
      </w:tabs>
    </w:pPr>
    <w:rPr>
      <w:sz w:val="18"/>
      <w:szCs w:val="18"/>
    </w:rPr>
  </w:style>
  <w:style w:type="character" w:styleId="1326">
    <w:name w:val="页脚 字符"/>
    <w:next w:val="1326"/>
    <w:link w:val="1325"/>
    <w:qFormat/>
    <w:rPr>
      <w:rFonts w:ascii="Times New Roman" w:hAnsi="Times New Roman" w:eastAsia="宋体" w:cs="Times New Roman"/>
      <w:sz w:val="18"/>
      <w:szCs w:val="18"/>
    </w:rPr>
  </w:style>
  <w:style w:type="paragraph" w:styleId="1327">
    <w:name w:val="页眉1"/>
    <w:basedOn w:val="1038"/>
    <w:next w:val="1327"/>
    <w:link w:val="1328"/>
    <w:qFormat/>
    <w:pPr>
      <w:jc w:val="center"/>
      <w:tabs>
        <w:tab w:val="center" w:pos="4153" w:leader="none"/>
        <w:tab w:val="right" w:pos="8306" w:leader="none"/>
      </w:tabs>
      <w:pBdr>
        <w:bottom w:val="single" w:color="000000" w:sz="6" w:space="1"/>
      </w:pBdr>
    </w:pPr>
    <w:rPr>
      <w:sz w:val="18"/>
      <w:szCs w:val="18"/>
    </w:rPr>
  </w:style>
  <w:style w:type="character" w:styleId="1328">
    <w:name w:val="页眉 字符"/>
    <w:next w:val="1328"/>
    <w:link w:val="1327"/>
    <w:qFormat/>
    <w:rPr>
      <w:rFonts w:ascii="Times New Roman" w:hAnsi="Times New Roman" w:eastAsia="宋体" w:cs="Times New Roman"/>
      <w:sz w:val="18"/>
      <w:szCs w:val="18"/>
    </w:rPr>
  </w:style>
  <w:style w:type="paragraph" w:styleId="1329">
    <w:name w:val="列表1"/>
    <w:basedOn w:val="1038"/>
    <w:next w:val="1329"/>
    <w:link w:val="1038"/>
    <w:qFormat/>
    <w:pPr>
      <w:ind w:left="200" w:hanging="200"/>
    </w:pPr>
  </w:style>
  <w:style w:type="paragraph" w:styleId="1330">
    <w:name w:val="正文文本缩进 31"/>
    <w:basedOn w:val="1038"/>
    <w:next w:val="1330"/>
    <w:link w:val="1331"/>
    <w:qFormat/>
    <w:pPr>
      <w:ind w:left="645" w:firstLine="645"/>
    </w:pPr>
    <w:rPr>
      <w:rFonts w:ascii="Arial" w:hAnsi="Arial" w:eastAsia="仿宋_GB2312" w:cs="Arial"/>
      <w:color w:val="ffff00"/>
      <w:sz w:val="32"/>
      <w:szCs w:val="32"/>
    </w:rPr>
  </w:style>
  <w:style w:type="character" w:styleId="1331">
    <w:name w:val="正文文本缩进 3 字符"/>
    <w:next w:val="1331"/>
    <w:link w:val="1330"/>
    <w:qFormat/>
    <w:rPr>
      <w:rFonts w:ascii="Arial" w:hAnsi="Arial" w:eastAsia="仿宋_GB2312" w:cs="Arial"/>
      <w:color w:val="ffff00"/>
      <w:sz w:val="32"/>
      <w:szCs w:val="32"/>
    </w:rPr>
  </w:style>
  <w:style w:type="paragraph" w:styleId="1332">
    <w:name w:val="图表目录1"/>
    <w:basedOn w:val="1038"/>
    <w:next w:val="1038"/>
    <w:link w:val="1038"/>
    <w:qFormat/>
    <w:pPr>
      <w:ind w:left="840" w:hanging="420"/>
    </w:pPr>
  </w:style>
  <w:style w:type="paragraph" w:styleId="1333">
    <w:name w:val="正文文本 21"/>
    <w:basedOn w:val="1038"/>
    <w:next w:val="1333"/>
    <w:link w:val="1334"/>
    <w:qFormat/>
    <w:pPr>
      <w:jc w:val="center"/>
      <w:widowControl/>
    </w:pPr>
    <w:rPr>
      <w:rFonts w:ascii="楷体_GB2312" w:eastAsia="楷体_GB2312"/>
      <w:sz w:val="28"/>
      <w:szCs w:val="28"/>
    </w:rPr>
  </w:style>
  <w:style w:type="character" w:styleId="1334">
    <w:name w:val="正文文本 2 字符"/>
    <w:next w:val="1334"/>
    <w:link w:val="1333"/>
    <w:qFormat/>
    <w:rPr>
      <w:rFonts w:ascii="楷体_GB2312" w:hAnsi="Times New Roman" w:eastAsia="楷体_GB2312" w:cs="Times New Roman"/>
      <w:sz w:val="28"/>
      <w:szCs w:val="28"/>
    </w:rPr>
  </w:style>
  <w:style w:type="paragraph" w:styleId="1335">
    <w:name w:val="普通(网站)1"/>
    <w:basedOn w:val="1038"/>
    <w:next w:val="1335"/>
    <w:link w:val="1038"/>
    <w:uiPriority w:val="99"/>
    <w:qFormat/>
    <w:pPr>
      <w:jc w:val="left"/>
      <w:spacing w:before="100" w:beforeAutospacing="1" w:after="100" w:afterAutospacing="1"/>
      <w:widowControl/>
    </w:pPr>
    <w:rPr>
      <w:rFonts w:ascii="宋体" w:hAnsi="宋体" w:cs="宋体"/>
      <w:sz w:val="24"/>
      <w:szCs w:val="24"/>
    </w:rPr>
  </w:style>
  <w:style w:type="paragraph" w:styleId="1336">
    <w:name w:val="索引 11"/>
    <w:basedOn w:val="1038"/>
    <w:next w:val="1038"/>
    <w:link w:val="1038"/>
    <w:qFormat/>
    <w:pPr>
      <w:spacing w:line="240" w:lineRule="atLeast"/>
    </w:pPr>
    <w:rPr>
      <w:b/>
      <w:bCs/>
    </w:rPr>
  </w:style>
  <w:style w:type="paragraph" w:styleId="1337">
    <w:name w:val="批注主题1"/>
    <w:basedOn w:val="1307"/>
    <w:next w:val="1307"/>
    <w:link w:val="1338"/>
    <w:qFormat/>
    <w:rPr>
      <w:b/>
      <w:bCs/>
    </w:rPr>
  </w:style>
  <w:style w:type="character" w:styleId="1338">
    <w:name w:val="批注主题 字符"/>
    <w:next w:val="1338"/>
    <w:link w:val="1337"/>
    <w:qFormat/>
    <w:rPr>
      <w:rFonts w:ascii="Times New Roman" w:hAnsi="Times New Roman" w:eastAsia="宋体" w:cs="Times New Roman"/>
      <w:b/>
      <w:bCs/>
      <w:szCs w:val="21"/>
    </w:rPr>
  </w:style>
  <w:style w:type="paragraph" w:styleId="1339">
    <w:name w:val="正文文本首行缩进1"/>
    <w:basedOn w:val="1038"/>
    <w:next w:val="1339"/>
    <w:link w:val="1340"/>
    <w:qFormat/>
    <w:pPr>
      <w:ind w:firstLine="200"/>
      <w:spacing w:line="360" w:lineRule="auto"/>
    </w:pPr>
    <w:rPr>
      <w:rFonts w:ascii="仿宋_GB2312" w:eastAsia="仿宋_GB2312"/>
      <w:sz w:val="30"/>
      <w:szCs w:val="30"/>
    </w:rPr>
  </w:style>
  <w:style w:type="character" w:styleId="1340">
    <w:name w:val="正文文本首行缩进 字符"/>
    <w:next w:val="1340"/>
    <w:link w:val="1339"/>
    <w:qFormat/>
    <w:rPr>
      <w:rFonts w:ascii="仿宋_GB2312" w:hAnsi="Times New Roman" w:eastAsia="仿宋_GB2312" w:cs="Times New Roman"/>
      <w:sz w:val="30"/>
      <w:szCs w:val="30"/>
    </w:rPr>
  </w:style>
  <w:style w:type="paragraph" w:styleId="1341">
    <w:name w:val="正文文本首行缩进 21"/>
    <w:basedOn w:val="1313"/>
    <w:next w:val="1341"/>
    <w:link w:val="1342"/>
    <w:qFormat/>
    <w:pPr>
      <w:ind w:firstLine="420"/>
      <w:spacing w:line="360" w:lineRule="auto"/>
    </w:pPr>
    <w:rPr>
      <w:rFonts w:ascii="宋体" w:hAnsi="宋体" w:eastAsia="宋体"/>
      <w:sz w:val="21"/>
      <w:szCs w:val="20"/>
    </w:rPr>
  </w:style>
  <w:style w:type="character" w:styleId="1342">
    <w:name w:val="正文文本首行缩进 2 字符"/>
    <w:next w:val="1342"/>
    <w:link w:val="1341"/>
    <w:qFormat/>
    <w:rPr>
      <w:rFonts w:ascii="宋体" w:hAnsi="宋体" w:eastAsia="宋体" w:cs="Times New Roman"/>
      <w:sz w:val="32"/>
      <w:szCs w:val="20"/>
    </w:rPr>
  </w:style>
  <w:style w:type="table" w:styleId="1343">
    <w:name w:val="网格型1"/>
    <w:basedOn w:val="1137"/>
    <w:next w:val="1343"/>
    <w:link w:val="1038"/>
    <w:qFormat/>
    <w:pPr>
      <w:jc w:val="both"/>
      <w:widowControl w:val="off"/>
    </w:pPr>
    <w:tblPr/>
  </w:style>
  <w:style w:type="character" w:styleId="1344">
    <w:name w:val="要点1"/>
    <w:next w:val="1344"/>
    <w:link w:val="1038"/>
    <w:qFormat/>
    <w:rPr>
      <w:b/>
      <w:bCs/>
    </w:rPr>
  </w:style>
  <w:style w:type="character" w:styleId="1345">
    <w:name w:val="页码1"/>
    <w:next w:val="1345"/>
    <w:link w:val="1038"/>
    <w:qFormat/>
  </w:style>
  <w:style w:type="character" w:styleId="1346">
    <w:name w:val="访问过的超链接1"/>
    <w:next w:val="1346"/>
    <w:link w:val="1038"/>
    <w:qFormat/>
    <w:rPr>
      <w:color w:val="800080"/>
      <w:u w:val="single"/>
    </w:rPr>
  </w:style>
  <w:style w:type="character" w:styleId="1347">
    <w:name w:val="强调1"/>
    <w:next w:val="1347"/>
    <w:link w:val="1038"/>
    <w:uiPriority w:val="1"/>
    <w:qFormat/>
    <w:rPr>
      <w:i/>
    </w:rPr>
  </w:style>
  <w:style w:type="character" w:styleId="1348">
    <w:name w:val="超链接1"/>
    <w:next w:val="1348"/>
    <w:link w:val="1038"/>
    <w:qFormat/>
    <w:rPr>
      <w:color w:val="0000ff"/>
      <w:u w:val="single"/>
    </w:rPr>
  </w:style>
  <w:style w:type="character" w:styleId="1349">
    <w:name w:val="批注引用1"/>
    <w:next w:val="1349"/>
    <w:link w:val="1038"/>
    <w:qFormat/>
    <w:rPr>
      <w:sz w:val="21"/>
      <w:szCs w:val="21"/>
    </w:rPr>
  </w:style>
  <w:style w:type="character" w:styleId="1350">
    <w:name w:val="列表段落 字符"/>
    <w:next w:val="1350"/>
    <w:link w:val="1351"/>
    <w:uiPriority w:val="34"/>
    <w:qFormat/>
    <w:rPr>
      <w:sz w:val="24"/>
      <w:szCs w:val="24"/>
      <w:lang w:eastAsia="en-US" w:bidi="en-US"/>
    </w:rPr>
  </w:style>
  <w:style w:type="paragraph" w:styleId="1351">
    <w:name w:val="列表段落1"/>
    <w:basedOn w:val="1038"/>
    <w:next w:val="1351"/>
    <w:link w:val="1350"/>
    <w:uiPriority w:val="34"/>
    <w:qFormat/>
    <w:pPr>
      <w:contextualSpacing/>
      <w:ind w:left="720"/>
      <w:jc w:val="left"/>
      <w:widowControl/>
    </w:pPr>
    <w:rPr>
      <w:rFonts w:ascii="Calibri" w:hAnsi="Calibri"/>
      <w:sz w:val="24"/>
      <w:szCs w:val="24"/>
      <w:lang w:eastAsia="en-US" w:bidi="en-US"/>
    </w:rPr>
  </w:style>
  <w:style w:type="character" w:styleId="1352">
    <w:name w:val="font5 Char"/>
    <w:next w:val="1352"/>
    <w:link w:val="1038"/>
    <w:qFormat/>
    <w:rPr>
      <w:rFonts w:ascii="宋体" w:hAnsi="宋体" w:eastAsia="宋体"/>
      <w:sz w:val="28"/>
      <w:szCs w:val="28"/>
      <w:lang w:val="en-US" w:eastAsia="zh-CN" w:bidi="ar-SA"/>
    </w:rPr>
  </w:style>
  <w:style w:type="character" w:styleId="1353">
    <w:name w:val="列出段落 Char"/>
    <w:next w:val="1353"/>
    <w:link w:val="1354"/>
    <w:qFormat/>
    <w:rPr>
      <w:rFonts w:ascii="Calibri" w:hAnsi="Calibri"/>
      <w:sz w:val="24"/>
      <w:szCs w:val="24"/>
      <w:lang w:eastAsia="en-US" w:bidi="en-US"/>
    </w:rPr>
  </w:style>
  <w:style w:type="paragraph" w:styleId="1354">
    <w:name w:val="列出段落1"/>
    <w:basedOn w:val="1038"/>
    <w:next w:val="1354"/>
    <w:link w:val="1353"/>
    <w:qFormat/>
    <w:pPr>
      <w:contextualSpacing/>
      <w:ind w:left="720"/>
      <w:jc w:val="left"/>
      <w:widowControl/>
    </w:pPr>
    <w:rPr>
      <w:rFonts w:ascii="Calibri" w:hAnsi="Calibri"/>
      <w:sz w:val="24"/>
      <w:szCs w:val="24"/>
      <w:lang w:eastAsia="en-US" w:bidi="en-US"/>
    </w:rPr>
  </w:style>
  <w:style w:type="character" w:styleId="1355">
    <w:name w:val="二级目录 Char"/>
    <w:next w:val="1355"/>
    <w:link w:val="1356"/>
    <w:qFormat/>
    <w:rPr>
      <w:rFonts w:ascii="Times New Roman" w:hAnsi="Times New Roman"/>
      <w:b/>
      <w:sz w:val="30"/>
      <w:szCs w:val="28"/>
    </w:rPr>
  </w:style>
  <w:style w:type="paragraph" w:styleId="1356">
    <w:name w:val="二级目录"/>
    <w:next w:val="1038"/>
    <w:link w:val="1355"/>
    <w:qFormat/>
    <w:pPr>
      <w:ind w:left="907" w:hanging="907"/>
      <w:tabs>
        <w:tab w:val="left" w:pos="907" w:leader="none"/>
        <w:tab w:val="left" w:pos="1145" w:leader="none"/>
      </w:tabs>
      <w:outlineLvl w:val="1"/>
    </w:pPr>
    <w:rPr>
      <w:b/>
      <w:sz w:val="30"/>
      <w:szCs w:val="28"/>
      <w:lang w:val="en-US" w:eastAsia="zh-CN" w:bidi="ar-SA"/>
    </w:rPr>
  </w:style>
  <w:style w:type="paragraph" w:styleId="1357">
    <w:name w:val="xl29"/>
    <w:basedOn w:val="1038"/>
    <w:next w:val="1357"/>
    <w:link w:val="103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58">
    <w:name w:val="font5"/>
    <w:basedOn w:val="1038"/>
    <w:next w:val="1358"/>
    <w:link w:val="1038"/>
    <w:qFormat/>
    <w:pPr>
      <w:jc w:val="left"/>
      <w:spacing w:before="100" w:beforeAutospacing="1" w:after="100" w:afterAutospacing="1"/>
      <w:widowControl/>
    </w:pPr>
    <w:rPr>
      <w:rFonts w:hint="eastAsia" w:ascii="宋体" w:hAnsi="宋体"/>
      <w:sz w:val="28"/>
      <w:szCs w:val="28"/>
    </w:rPr>
  </w:style>
  <w:style w:type="paragraph" w:styleId="1359">
    <w:name w:val="图标"/>
    <w:basedOn w:val="1038"/>
    <w:next w:val="1038"/>
    <w:link w:val="103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60">
    <w:name w:val="普通正文"/>
    <w:basedOn w:val="1038"/>
    <w:next w:val="1360"/>
    <w:link w:val="1038"/>
    <w:qFormat/>
    <w:pPr>
      <w:ind w:firstLine="480"/>
      <w:jc w:val="left"/>
      <w:spacing w:before="120" w:after="120" w:line="360" w:lineRule="auto"/>
    </w:pPr>
    <w:rPr>
      <w:rFonts w:ascii="Arial" w:hAnsi="Arial"/>
      <w:sz w:val="24"/>
      <w:szCs w:val="24"/>
    </w:rPr>
  </w:style>
  <w:style w:type="paragraph" w:styleId="1361">
    <w:name w:val="标题3"/>
    <w:basedOn w:val="1038"/>
    <w:next w:val="1038"/>
    <w:link w:val="1038"/>
    <w:qFormat/>
    <w:pPr>
      <w:ind w:firstLine="624"/>
      <w:spacing w:line="590" w:lineRule="atLeast"/>
    </w:pPr>
    <w:rPr>
      <w:rFonts w:ascii="方正黑体_GBK" w:eastAsia="方正黑体_GBK"/>
      <w:sz w:val="32"/>
      <w:szCs w:val="32"/>
    </w:rPr>
  </w:style>
  <w:style w:type="paragraph" w:styleId="1362">
    <w:name w:val="xl28"/>
    <w:basedOn w:val="1038"/>
    <w:next w:val="1362"/>
    <w:link w:val="103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63">
    <w:name w:val="Char Char Char Char"/>
    <w:basedOn w:val="1305"/>
    <w:next w:val="1363"/>
    <w:link w:val="1038"/>
    <w:qFormat/>
    <w:pPr>
      <w:spacing w:line="360" w:lineRule="auto"/>
    </w:pPr>
    <w:rPr>
      <w:rFonts w:ascii="Tahoma" w:hAnsi="Tahoma"/>
      <w:sz w:val="24"/>
      <w:szCs w:val="24"/>
    </w:rPr>
  </w:style>
  <w:style w:type="paragraph" w:styleId="1364">
    <w:name w:val="font6"/>
    <w:basedOn w:val="1038"/>
    <w:next w:val="1364"/>
    <w:link w:val="1038"/>
    <w:qFormat/>
    <w:pPr>
      <w:jc w:val="left"/>
      <w:spacing w:before="100" w:beforeAutospacing="1" w:after="100" w:afterAutospacing="1"/>
      <w:widowControl/>
    </w:pPr>
    <w:rPr>
      <w:rFonts w:hint="eastAsia" w:ascii="宋体" w:hAnsi="宋体"/>
      <w:sz w:val="28"/>
      <w:szCs w:val="28"/>
      <w:u w:val="single"/>
    </w:rPr>
  </w:style>
  <w:style w:type="paragraph" w:styleId="1365">
    <w:name w:val="xl30"/>
    <w:basedOn w:val="1038"/>
    <w:next w:val="1365"/>
    <w:link w:val="1038"/>
    <w:qFormat/>
    <w:pPr>
      <w:jc w:val="center"/>
      <w:spacing w:before="100" w:beforeAutospacing="1" w:after="100" w:afterAutospacing="1"/>
      <w:widowControl/>
    </w:pPr>
    <w:rPr>
      <w:rFonts w:ascii="宋体" w:hAnsi="宋体"/>
      <w:b/>
      <w:bCs/>
      <w:sz w:val="36"/>
      <w:szCs w:val="36"/>
    </w:rPr>
  </w:style>
  <w:style w:type="paragraph" w:styleId="1366">
    <w:name w:val="标题1"/>
    <w:basedOn w:val="1038"/>
    <w:next w:val="1038"/>
    <w:link w:val="103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67">
    <w:name w:val="Char Char Char Char Char Char Char Char Char Char"/>
    <w:basedOn w:val="1038"/>
    <w:next w:val="1367"/>
    <w:link w:val="1038"/>
    <w:qFormat/>
    <w:pPr>
      <w:spacing w:line="360" w:lineRule="auto"/>
    </w:pPr>
    <w:rPr>
      <w:sz w:val="24"/>
      <w:szCs w:val="20"/>
    </w:rPr>
  </w:style>
  <w:style w:type="paragraph" w:styleId="1368">
    <w:name w:val="Body Text(ch)"/>
    <w:basedOn w:val="1038"/>
    <w:next w:val="1311"/>
    <w:link w:val="1038"/>
    <w:qFormat/>
    <w:pPr>
      <w:spacing w:after="120"/>
    </w:pPr>
    <w:rPr>
      <w:rFonts w:ascii="宋体" w:hAnsi="Arial"/>
      <w:bCs/>
      <w:iCs/>
      <w:szCs w:val="24"/>
    </w:rPr>
  </w:style>
  <w:style w:type="paragraph" w:styleId="1369">
    <w:name w:val="Char"/>
    <w:basedOn w:val="1305"/>
    <w:next w:val="1369"/>
    <w:link w:val="1038"/>
    <w:qFormat/>
    <w:rPr>
      <w:rFonts w:ascii="Tahoma" w:hAnsi="Tahoma"/>
      <w:sz w:val="24"/>
      <w:szCs w:val="24"/>
    </w:rPr>
  </w:style>
  <w:style w:type="paragraph" w:styleId="1370">
    <w:name w:val="font7"/>
    <w:basedOn w:val="1038"/>
    <w:next w:val="1370"/>
    <w:link w:val="1038"/>
    <w:qFormat/>
    <w:pPr>
      <w:jc w:val="left"/>
      <w:spacing w:before="100" w:beforeAutospacing="1" w:after="100" w:afterAutospacing="1"/>
      <w:widowControl/>
    </w:pPr>
    <w:rPr>
      <w:rFonts w:hint="eastAsia" w:ascii="宋体" w:hAnsi="宋体"/>
      <w:sz w:val="18"/>
      <w:szCs w:val="18"/>
    </w:rPr>
  </w:style>
  <w:style w:type="paragraph" w:styleId="1371">
    <w:name w:val="Char Char Char Char Char Char Char Char"/>
    <w:basedOn w:val="1038"/>
    <w:next w:val="1371"/>
    <w:link w:val="1038"/>
    <w:qFormat/>
    <w:pPr>
      <w:jc w:val="left"/>
      <w:spacing w:after="160" w:line="240" w:lineRule="exact"/>
      <w:widowControl/>
    </w:pPr>
    <w:rPr>
      <w:rFonts w:ascii="Verdana" w:hAnsi="Verdana"/>
      <w:sz w:val="20"/>
      <w:szCs w:val="20"/>
      <w:lang w:eastAsia="en-US"/>
    </w:rPr>
  </w:style>
  <w:style w:type="paragraph" w:styleId="1372">
    <w:name w:val="xl24"/>
    <w:basedOn w:val="1038"/>
    <w:next w:val="1372"/>
    <w:link w:val="10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73">
    <w:name w:val="table_1stline"/>
    <w:basedOn w:val="1038"/>
    <w:next w:val="1373"/>
    <w:link w:val="1038"/>
    <w:qFormat/>
    <w:pPr>
      <w:jc w:val="left"/>
      <w:spacing w:before="120"/>
      <w:widowControl/>
    </w:pPr>
    <w:rPr>
      <w:bCs/>
      <w:sz w:val="20"/>
      <w:szCs w:val="20"/>
      <w:lang w:val="de-DE" w:eastAsia="de-DE"/>
    </w:rPr>
  </w:style>
  <w:style w:type="paragraph" w:styleId="1374">
    <w:name w:val="Char Char Char Char1"/>
    <w:basedOn w:val="1305"/>
    <w:next w:val="1374"/>
    <w:link w:val="1038"/>
    <w:qFormat/>
    <w:pPr>
      <w:spacing w:line="360" w:lineRule="auto"/>
    </w:pPr>
    <w:rPr>
      <w:rFonts w:ascii="Tahoma" w:hAnsi="Tahoma"/>
      <w:sz w:val="24"/>
      <w:szCs w:val="24"/>
    </w:rPr>
  </w:style>
  <w:style w:type="paragraph" w:styleId="1375">
    <w:name w:val="样式1"/>
    <w:basedOn w:val="1038"/>
    <w:next w:val="1375"/>
    <w:link w:val="1038"/>
    <w:qFormat/>
    <w:pPr>
      <w:numPr>
        <w:ilvl w:val="0"/>
        <w:numId w:val="2"/>
      </w:numPr>
    </w:pPr>
    <w:rPr>
      <w:rFonts w:ascii="宋体" w:hAnsi="宋体"/>
    </w:rPr>
  </w:style>
  <w:style w:type="paragraph" w:styleId="1376">
    <w:name w:val="Char1"/>
    <w:basedOn w:val="1038"/>
    <w:next w:val="1376"/>
    <w:link w:val="1038"/>
    <w:qFormat/>
    <w:pPr>
      <w:ind w:firstLine="200"/>
      <w:tabs>
        <w:tab w:val="left" w:pos="360" w:leader="none"/>
      </w:tabs>
    </w:pPr>
    <w:rPr>
      <w:sz w:val="28"/>
      <w:szCs w:val="30"/>
    </w:rPr>
  </w:style>
  <w:style w:type="paragraph" w:styleId="1377">
    <w:name w:val="xl26"/>
    <w:basedOn w:val="1038"/>
    <w:next w:val="1377"/>
    <w:link w:val="10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78">
    <w:name w:val="xl27"/>
    <w:basedOn w:val="1038"/>
    <w:next w:val="1378"/>
    <w:link w:val="10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79">
    <w:name w:val="普通 (Web)"/>
    <w:basedOn w:val="1038"/>
    <w:next w:val="1379"/>
    <w:link w:val="1038"/>
    <w:qFormat/>
    <w:pPr>
      <w:jc w:val="left"/>
      <w:spacing w:before="100" w:beforeAutospacing="1" w:after="100" w:afterAutospacing="1"/>
      <w:widowControl/>
    </w:pPr>
    <w:rPr>
      <w:rFonts w:ascii="宋体" w:hAnsi="宋体"/>
      <w:sz w:val="24"/>
      <w:szCs w:val="24"/>
    </w:rPr>
  </w:style>
  <w:style w:type="paragraph" w:styleId="1380">
    <w:name w:val="修订1"/>
    <w:next w:val="1380"/>
    <w:link w:val="1038"/>
    <w:uiPriority w:val="99"/>
    <w:qFormat/>
    <w:rPr>
      <w:sz w:val="21"/>
      <w:szCs w:val="21"/>
      <w:lang w:val="en-US" w:eastAsia="zh-CN" w:bidi="ar-SA"/>
    </w:rPr>
  </w:style>
  <w:style w:type="paragraph" w:styleId="1381">
    <w:name w:val="xl25"/>
    <w:basedOn w:val="1038"/>
    <w:next w:val="1381"/>
    <w:link w:val="103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82">
    <w:name w:val="附录1"/>
    <w:next w:val="1382"/>
    <w:link w:val="1038"/>
    <w:qFormat/>
    <w:pPr>
      <w:numPr>
        <w:ilvl w:val="0"/>
        <w:numId w:val="3"/>
      </w:numPr>
      <w:spacing w:before="240" w:line="600" w:lineRule="atLeast"/>
    </w:pPr>
    <w:rPr>
      <w:b/>
      <w:i/>
      <w:sz w:val="28"/>
      <w:lang w:val="en-US" w:eastAsia="zh-CN" w:bidi="ar-SA"/>
    </w:rPr>
  </w:style>
  <w:style w:type="paragraph" w:styleId="1383">
    <w:name w:val="无间隔1"/>
    <w:next w:val="1383"/>
    <w:link w:val="1038"/>
    <w:uiPriority w:val="99"/>
    <w:qFormat/>
    <w:pPr>
      <w:jc w:val="both"/>
      <w:widowControl w:val="off"/>
    </w:pPr>
    <w:rPr>
      <w:sz w:val="21"/>
      <w:szCs w:val="21"/>
      <w:lang w:val="en-US" w:eastAsia="zh-CN" w:bidi="ar-SA"/>
    </w:rPr>
  </w:style>
  <w:style w:type="paragraph" w:styleId="1384">
    <w:name w:val="table_lines"/>
    <w:basedOn w:val="1038"/>
    <w:next w:val="1384"/>
    <w:link w:val="1038"/>
    <w:qFormat/>
    <w:pPr>
      <w:jc w:val="left"/>
      <w:widowControl/>
    </w:pPr>
    <w:rPr>
      <w:sz w:val="20"/>
      <w:szCs w:val="20"/>
      <w:lang w:val="de-DE" w:eastAsia="de-DE"/>
    </w:rPr>
  </w:style>
  <w:style w:type="paragraph" w:styleId="1385">
    <w:name w:val="Char Char Char Char Char Char Char Char1"/>
    <w:basedOn w:val="1038"/>
    <w:next w:val="1385"/>
    <w:link w:val="1038"/>
    <w:qFormat/>
    <w:pPr>
      <w:jc w:val="left"/>
      <w:spacing w:after="160" w:line="240" w:lineRule="exact"/>
      <w:widowControl/>
    </w:pPr>
    <w:rPr>
      <w:rFonts w:ascii="Verdana" w:hAnsi="Verdana"/>
      <w:sz w:val="20"/>
      <w:szCs w:val="20"/>
      <w:lang w:eastAsia="en-US"/>
    </w:rPr>
  </w:style>
  <w:style w:type="paragraph" w:styleId="1386">
    <w:name w:val="4"/>
    <w:basedOn w:val="1038"/>
    <w:next w:val="1330"/>
    <w:link w:val="1038"/>
    <w:qFormat/>
    <w:pPr>
      <w:ind w:firstLine="420"/>
      <w:spacing w:line="360" w:lineRule="auto"/>
    </w:pPr>
    <w:rPr>
      <w:color w:val="ff0000"/>
      <w:sz w:val="24"/>
      <w:szCs w:val="24"/>
    </w:rPr>
  </w:style>
  <w:style w:type="character" w:styleId="1387">
    <w:name w:val="批注文字 Char"/>
    <w:next w:val="1387"/>
    <w:link w:val="1057"/>
    <w:uiPriority w:val="99"/>
    <w:qFormat/>
    <w:rPr>
      <w:rFonts w:ascii="Times New Roman" w:hAnsi="Times New Roman"/>
      <w:sz w:val="21"/>
      <w:szCs w:val="21"/>
    </w:rPr>
  </w:style>
  <w:style w:type="character" w:styleId="1388">
    <w:name w:val="批注主题 Char"/>
    <w:next w:val="1388"/>
    <w:link w:val="1075"/>
    <w:uiPriority w:val="99"/>
    <w:qFormat/>
    <w:rPr>
      <w:rFonts w:ascii="Times New Roman" w:hAnsi="Times New Roman"/>
      <w:b/>
      <w:bCs/>
      <w:sz w:val="21"/>
      <w:szCs w:val="21"/>
    </w:rPr>
  </w:style>
  <w:style w:type="paragraph" w:styleId="1389">
    <w:name w:val="修订2"/>
    <w:next w:val="1389"/>
    <w:link w:val="1038"/>
    <w:uiPriority w:val="99"/>
    <w:qFormat/>
    <w:rPr>
      <w:sz w:val="21"/>
      <w:szCs w:val="21"/>
      <w:lang w:val="en-US" w:eastAsia="zh-CN" w:bidi="ar-SA"/>
    </w:rPr>
  </w:style>
  <w:style w:type="character" w:styleId="1390">
    <w:name w:val="批注框文本 Char"/>
    <w:next w:val="1390"/>
    <w:link w:val="1062"/>
    <w:uiPriority w:val="99"/>
    <w:qFormat/>
    <w:rPr>
      <w:rFonts w:ascii="Times New Roman" w:hAnsi="Times New Roman"/>
      <w:sz w:val="18"/>
      <w:szCs w:val="18"/>
    </w:rPr>
  </w:style>
  <w:style w:type="character" w:styleId="13729" w:default="1">
    <w:name w:val="Default Paragraph Font"/>
    <w:uiPriority w:val="1"/>
    <w:semiHidden/>
    <w:unhideWhenUsed/>
  </w:style>
  <w:style w:type="numbering" w:styleId="13730" w:default="1">
    <w:name w:val="No List"/>
    <w:uiPriority w:val="99"/>
    <w:semiHidden/>
    <w:unhideWhenUsed/>
  </w:style>
  <w:style w:type="table" w:styleId="137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4</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乔秀善</cp:lastModifiedBy>
  <cp:revision>3</cp:revision>
  <dcterms:created xsi:type="dcterms:W3CDTF">2025-09-29T07:02:00Z</dcterms:created>
  <dcterms:modified xsi:type="dcterms:W3CDTF">2025-09-30T04:07:44Z</dcterms:modified>
  <cp:version>917504</cp:version>
</cp:coreProperties>
</file>