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rPr>
          <w:rFonts w:hint="eastAsia" w:ascii="楷体" w:hAnsi="楷体" w:eastAsia="楷体"/>
          <w:b/>
          <w:sz w:val="72"/>
          <w:szCs w:val="72"/>
        </w:rPr>
      </w:pPr>
      <w:r>
        <w:rPr>
          <w:rFonts w:hint="eastAsia" w:ascii="楷体" w:hAnsi="楷体" w:eastAsia="楷体"/>
          <w:b/>
          <w:sz w:val="72"/>
          <w:szCs w:val="72"/>
        </w:rPr>
      </w:r>
      <w:r/>
    </w:p>
    <w:p>
      <w:pPr>
        <w:pStyle w:val="659"/>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59"/>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59"/>
        <w:jc w:val="left"/>
        <w:tabs>
          <w:tab w:val="center" w:pos="4621" w:leader="none"/>
        </w:tabs>
        <w:rPr>
          <w:rFonts w:hint="eastAsia" w:ascii="黑体" w:hAnsi="黑体" w:eastAsia="黑体"/>
          <w:b/>
          <w:sz w:val="72"/>
        </w:rPr>
      </w:pPr>
      <w:r>
        <w:rPr>
          <w:rFonts w:hint="eastAsia" w:ascii="黑体" w:hAnsi="黑体" w:eastAsia="黑体"/>
          <w:b/>
          <w:sz w:val="72"/>
        </w:rPr>
      </w:r>
      <w:r/>
    </w:p>
    <w:p>
      <w:pPr>
        <w:pStyle w:val="659"/>
        <w:rPr>
          <w:rFonts w:hint="eastAsia" w:ascii="黑体" w:hAnsi="黑体" w:eastAsia="黑体"/>
          <w:b/>
          <w:sz w:val="32"/>
        </w:rPr>
      </w:pPr>
      <w:r>
        <w:rPr>
          <w:rFonts w:hint="eastAsia" w:ascii="黑体" w:hAnsi="黑体" w:eastAsia="黑体"/>
          <w:b/>
          <w:sz w:val="32"/>
        </w:rPr>
        <w:t xml:space="preserve"> </w:t>
      </w: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ind w:firstLine="708"/>
        <w:spacing w:line="760" w:lineRule="exact"/>
        <w:rPr>
          <w:rFonts w:hint="eastAsia"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rPr>
        <w:t xml:space="preserve">淮安市2024年公园绿化养护管理</w:t>
      </w:r>
      <w:r>
        <w:rPr>
          <w:rFonts w:hint="eastAsia" w:ascii="黑体" w:hAnsi="黑体" w:eastAsia="黑体"/>
          <w:b/>
          <w:sz w:val="36"/>
          <w:szCs w:val="36"/>
        </w:rPr>
        <w:t xml:space="preserve"> </w:t>
      </w:r>
      <w:r>
        <w:rPr>
          <w:rFonts w:hint="eastAsia" w:ascii="黑体" w:hAnsi="黑体" w:eastAsia="黑体"/>
          <w:b/>
          <w:sz w:val="36"/>
          <w:szCs w:val="36"/>
        </w:rPr>
      </w:r>
      <w:r/>
    </w:p>
    <w:p>
      <w:pPr>
        <w:pStyle w:val="659"/>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pStyle w:val="659"/>
        <w:spacing w:line="760" w:lineRule="exact"/>
        <w:rPr>
          <w:rFonts w:hint="eastAsia" w:ascii="黑体" w:hAnsi="黑体" w:eastAsia="黑体"/>
          <w:b/>
          <w:sz w:val="36"/>
        </w:rPr>
      </w:pPr>
      <w:r>
        <w:rPr>
          <w:rFonts w:hint="eastAsia" w:ascii="黑体" w:hAnsi="黑体" w:eastAsia="黑体"/>
          <w:b/>
          <w:sz w:val="36"/>
        </w:rPr>
      </w:r>
      <w:r/>
    </w:p>
    <w:p>
      <w:pPr>
        <w:pStyle w:val="659"/>
        <w:spacing w:line="760" w:lineRule="exact"/>
        <w:rPr>
          <w:rFonts w:hint="eastAsia" w:ascii="黑体" w:hAnsi="黑体" w:eastAsia="黑体"/>
          <w:b/>
          <w:sz w:val="36"/>
        </w:rPr>
      </w:pPr>
      <w:r>
        <w:rPr>
          <w:rFonts w:hint="eastAsia" w:ascii="黑体" w:hAnsi="黑体" w:eastAsia="黑体"/>
          <w:b/>
          <w:sz w:val="36"/>
        </w:rPr>
      </w:r>
      <w:r/>
    </w:p>
    <w:p>
      <w:pPr>
        <w:pStyle w:val="659"/>
        <w:ind w:firstLine="708"/>
        <w:spacing w:line="760" w:lineRule="exact"/>
        <w:rPr>
          <w:rFonts w:hint="eastAsia" w:ascii="黑体" w:hAnsi="黑体" w:eastAsia="黑体"/>
          <w:b/>
          <w:sz w:val="36"/>
        </w:rPr>
      </w:pPr>
      <w:r>
        <w:rPr>
          <w:rFonts w:hint="eastAsia" w:ascii="黑体" w:hAnsi="黑体" w:eastAsia="黑体"/>
          <w:b/>
          <w:sz w:val="36"/>
        </w:rPr>
        <w:t xml:space="preserve">项目编号:JSZC-320800-JZCG-G2024-0088 </w:t>
      </w:r>
      <w:r>
        <w:rPr>
          <w:rFonts w:hint="eastAsia" w:ascii="黑体" w:hAnsi="黑体" w:eastAsia="黑体"/>
          <w:b/>
          <w:sz w:val="36"/>
        </w:rPr>
      </w:r>
      <w:r/>
    </w:p>
    <w:p>
      <w:pPr>
        <w:pStyle w:val="659"/>
        <w:ind w:left="-359" w:firstLine="360"/>
        <w:rPr>
          <w:rFonts w:ascii="黑体" w:hAnsi="黑体" w:eastAsia="黑体"/>
          <w:b/>
          <w:sz w:val="32"/>
        </w:rPr>
      </w:pPr>
      <w:r>
        <w:rPr>
          <w:rFonts w:ascii="黑体" w:hAnsi="黑体" w:eastAsia="黑体"/>
          <w:b/>
          <w:sz w:val="32"/>
        </w:rPr>
      </w:r>
      <w:r/>
    </w:p>
    <w:p>
      <w:pPr>
        <w:pStyle w:val="659"/>
        <w:rPr>
          <w:rFonts w:ascii="黑体" w:hAnsi="黑体" w:eastAsia="黑体"/>
          <w:b/>
          <w:sz w:val="32"/>
        </w:rPr>
      </w:pPr>
      <w:r>
        <w:rPr>
          <w:rFonts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rPr>
          <w:rFonts w:hint="eastAsia" w:ascii="黑体" w:hAnsi="黑体" w:eastAsia="黑体"/>
          <w:b/>
          <w:sz w:val="32"/>
        </w:rPr>
      </w:pPr>
      <w:r>
        <w:rPr>
          <w:rFonts w:hint="eastAsia" w:ascii="黑体" w:hAnsi="黑体" w:eastAsia="黑体"/>
          <w:b/>
          <w:sz w:val="32"/>
        </w:rPr>
      </w:r>
      <w:r/>
    </w:p>
    <w:p>
      <w:pPr>
        <w:pStyle w:val="659"/>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59"/>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二0二四年</w:t>
      </w:r>
      <w:r>
        <w:rPr>
          <w:rFonts w:hint="eastAsia" w:ascii="黑体" w:hAnsi="黑体" w:eastAsia="黑体"/>
          <w:b/>
          <w:sz w:val="36"/>
          <w:szCs w:val="36"/>
          <w:lang w:val="en-US" w:eastAsia="zh-CN"/>
        </w:rPr>
        <w:t xml:space="preserve">八</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日</w:t>
      </w:r>
      <w:r>
        <w:rPr>
          <w:rFonts w:hint="eastAsia" w:ascii="黑体" w:hAnsi="黑体" w:eastAsia="黑体"/>
          <w:b/>
          <w:sz w:val="36"/>
          <w:szCs w:val="36"/>
        </w:rPr>
      </w:r>
      <w:r/>
    </w:p>
    <w:p>
      <w:pPr>
        <w:pStyle w:val="659"/>
        <w:rPr>
          <w:rFonts w:hint="eastAsia" w:ascii="宋体" w:hAnsi="宋体"/>
          <w:sz w:val="24"/>
        </w:rPr>
      </w:pPr>
      <w:r>
        <w:rPr>
          <w:rFonts w:hint="eastAsia" w:ascii="宋体" w:hAnsi="宋体"/>
          <w:sz w:val="24"/>
        </w:rPr>
      </w:r>
      <w:r/>
    </w:p>
    <w:p>
      <w:pPr>
        <w:pStyle w:val="659"/>
        <w:jc w:val="center"/>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59"/>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受淮安市园林绿化管理中心的委托，淮安市政府采购中心就淮安市2024年公园绿化养护管理政府采购项目进行公开招标采购，现邀请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59"/>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41224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412240"/>
                        </a:xfrm>
                        <a:prstGeom prst="rect">
                          <a:avLst/>
                        </a:prstGeom>
                        <a:solidFill>
                          <a:srgbClr val="FFFFFF"/>
                        </a:solidFill>
                        <a:ln>
                          <a:solidFill>
                            <a:srgbClr val="000000"/>
                          </a:solidFill>
                        </a:ln>
                      </wps:spPr>
                      <wps:txbx>
                        <w:txbxContent>
                          <w:p>
                            <w:pPr>
                              <w:pStyle w:val="65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淮安市2024年公园绿化养护管理</w:t>
                            </w:r>
                            <w:r>
                              <w:rPr>
                                <w:rFonts w:hint="eastAsia" w:ascii="仿宋" w:hAnsi="仿宋" w:eastAsia="仿宋"/>
                                <w:sz w:val="28"/>
                                <w:szCs w:val="28"/>
                                <w:lang w:eastAsia="zh-CN"/>
                              </w:rPr>
                              <w:t xml:space="preserve">采购</w:t>
                            </w:r>
                            <w:r>
                              <w:rPr>
                                <w:rFonts w:hint="eastAsia" w:ascii="仿宋" w:hAnsi="仿宋" w:eastAsia="仿宋"/>
                                <w:sz w:val="28"/>
                                <w:szCs w:val="28"/>
                              </w:rPr>
                              <w:t xml:space="preserve">项目的潜在投标人应在淮安市政府采购网（http://czj.huaian.gov.cn/col/13924_326175/index.html）自行免费下载招标文件，并</w:t>
                            </w:r>
                            <w:r>
                              <w:rPr>
                                <w:rFonts w:hint="eastAsia" w:ascii="仿宋" w:hAnsi="仿宋" w:eastAsia="仿宋"/>
                                <w:sz w:val="28"/>
                                <w:szCs w:val="28"/>
                                <w:highlight w:val="none"/>
                              </w:rPr>
                              <w:t xml:space="preserve">于</w:t>
                            </w:r>
                            <w:r>
                              <w:rPr>
                                <w:rFonts w:hint="eastAsia" w:ascii="仿宋" w:hAnsi="仿宋" w:eastAsia="仿宋"/>
                                <w:sz w:val="28"/>
                                <w:szCs w:val="28"/>
                                <w:highlight w:val="none"/>
                                <w:lang w:val="en-US" w:eastAsia="zh-CN"/>
                              </w:rPr>
                              <w:t xml:space="preserve">2024</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5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11.2pt;mso-wrap-distance-left:9.0pt;mso-wrap-distance-top:0.0pt;mso-wrap-distance-right:9.0pt;mso-wrap-distance-bottom:0.0pt;visibility:visible;" fillcolor="#FFFFFF" strokecolor="#000000">
                <v:textbox inset="0,0,0,0">
                  <w:txbxContent>
                    <w:p>
                      <w:pPr>
                        <w:pStyle w:val="65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淮安市2024年公园绿化养护管理</w:t>
                      </w:r>
                      <w:r>
                        <w:rPr>
                          <w:rFonts w:hint="eastAsia" w:ascii="仿宋" w:hAnsi="仿宋" w:eastAsia="仿宋"/>
                          <w:sz w:val="28"/>
                          <w:szCs w:val="28"/>
                          <w:lang w:eastAsia="zh-CN"/>
                        </w:rPr>
                        <w:t xml:space="preserve">采购</w:t>
                      </w:r>
                      <w:r>
                        <w:rPr>
                          <w:rFonts w:hint="eastAsia" w:ascii="仿宋" w:hAnsi="仿宋" w:eastAsia="仿宋"/>
                          <w:sz w:val="28"/>
                          <w:szCs w:val="28"/>
                        </w:rPr>
                        <w:t xml:space="preserve">项目的潜在投标人应在淮安市政府采购网（http://czj.huaian.gov.cn/col/13924_326175/index.html）自行免费下载招标文件，并</w:t>
                      </w:r>
                      <w:r>
                        <w:rPr>
                          <w:rFonts w:hint="eastAsia" w:ascii="仿宋" w:hAnsi="仿宋" w:eastAsia="仿宋"/>
                          <w:sz w:val="28"/>
                          <w:szCs w:val="28"/>
                          <w:highlight w:val="none"/>
                        </w:rPr>
                        <w:t xml:space="preserve">于</w:t>
                      </w:r>
                      <w:r>
                        <w:rPr>
                          <w:rFonts w:hint="eastAsia" w:ascii="仿宋" w:hAnsi="仿宋" w:eastAsia="仿宋"/>
                          <w:sz w:val="28"/>
                          <w:szCs w:val="28"/>
                          <w:highlight w:val="none"/>
                          <w:lang w:val="en-US" w:eastAsia="zh-CN"/>
                        </w:rPr>
                        <w:t xml:space="preserve">2024</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点</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659"/>
                      </w:pPr>
                      <w:r/>
                      <w:r/>
                    </w:p>
                  </w:txbxContent>
                </v:textbox>
              </v:shape>
            </w:pict>
          </mc:Fallback>
        </mc:AlternateContent>
      </w:r>
      <w:r>
        <w:rPr>
          <w:rFonts w:hint="eastAsia" w:ascii="仿宋" w:hAnsi="仿宋" w:eastAsia="仿宋"/>
          <w:sz w:val="28"/>
          <w:szCs w:val="28"/>
        </w:rPr>
      </w:r>
      <w:r/>
    </w:p>
    <w:p>
      <w:pPr>
        <w:pStyle w:val="659"/>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9"/>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9"/>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9"/>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（一）项目编号:JSZC-320800-JZCG-G2024-0088</w:t>
      </w:r>
      <w:r>
        <w:rPr>
          <w:rFonts w:hint="eastAsia"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bCs/>
          <w:sz w:val="28"/>
        </w:rPr>
        <w:t xml:space="preserve">淮安市2024年公园绿化养护管理</w:t>
      </w:r>
      <w:r>
        <w:rPr>
          <w:rFonts w:hint="eastAsia" w:ascii="仿宋" w:hAnsi="仿宋" w:eastAsia="仿宋"/>
          <w:bCs/>
          <w:sz w:val="28"/>
        </w:rPr>
        <w:t xml:space="preserve"> </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（三）预算金额:229</w:t>
      </w:r>
      <w:r>
        <w:rPr>
          <w:rFonts w:hint="eastAsia" w:ascii="仿宋" w:hAnsi="仿宋" w:eastAsia="仿宋"/>
          <w:sz w:val="28"/>
          <w:szCs w:val="28"/>
          <w:lang w:val="en-US" w:eastAsia="zh-CN"/>
        </w:rPr>
        <w:t xml:space="preserve">.42</w:t>
      </w:r>
      <w:r>
        <w:rPr>
          <w:rFonts w:hint="eastAsia" w:ascii="仿宋" w:hAnsi="仿宋" w:eastAsia="仿宋"/>
          <w:sz w:val="28"/>
          <w:szCs w:val="28"/>
        </w:rPr>
        <w:t xml:space="preserve">万元</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（四）最高限价:229</w:t>
      </w:r>
      <w:r>
        <w:rPr>
          <w:rFonts w:hint="eastAsia" w:ascii="仿宋" w:hAnsi="仿宋" w:eastAsia="仿宋"/>
          <w:sz w:val="28"/>
          <w:szCs w:val="28"/>
          <w:lang w:val="en-US" w:eastAsia="zh-CN"/>
        </w:rPr>
        <w:t xml:space="preserve">.42</w:t>
      </w:r>
      <w:r>
        <w:rPr>
          <w:rFonts w:hint="eastAsia" w:ascii="仿宋" w:hAnsi="仿宋" w:eastAsia="仿宋"/>
          <w:sz w:val="28"/>
          <w:szCs w:val="28"/>
        </w:rPr>
        <w:t xml:space="preserve">万元</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（五）采购需求:淮安市2024年公园绿化养护管理</w:t>
      </w:r>
      <w:r>
        <w:rPr>
          <w:rFonts w:hint="eastAsia" w:ascii="仿宋" w:hAnsi="仿宋" w:eastAsia="仿宋"/>
          <w:sz w:val="28"/>
          <w:szCs w:val="28"/>
          <w:lang w:eastAsia="zh-CN"/>
        </w:rPr>
        <w:t xml:space="preserve">，</w:t>
      </w:r>
      <w:r>
        <w:rPr>
          <w:rFonts w:hint="eastAsia" w:ascii="仿宋" w:hAnsi="仿宋" w:eastAsia="仿宋"/>
          <w:sz w:val="28"/>
          <w:szCs w:val="28"/>
        </w:rPr>
        <w:t xml:space="preserve">详见招标文件第五章项目采购需求。</w:t>
      </w:r>
      <w:r>
        <w:rPr>
          <w:rFonts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 四个月，自合同签订之日起次日开始计算。   </w:t>
      </w: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59"/>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59"/>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9"/>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9"/>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59"/>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rPr>
          <w:rFonts w:hint="eastAsia" w:ascii="仿宋" w:hAnsi="仿宋" w:eastAsia="仿宋"/>
          <w:sz w:val="28"/>
          <w:szCs w:val="28"/>
        </w:rPr>
      </w:r>
      <w:r/>
    </w:p>
    <w:p>
      <w:pPr>
        <w:pStyle w:val="659"/>
        <w:numPr>
          <w:ilvl w:val="0"/>
          <w:numId w:val="0"/>
        </w:numPr>
        <w:ind w:firstLine="560"/>
        <w:spacing w:line="520" w:lineRule="exact"/>
        <w:rPr>
          <w:rFonts w:hint="eastAsia" w:ascii="仿宋" w:hAnsi="仿宋" w:eastAsia="仿宋"/>
          <w:sz w:val="28"/>
          <w:szCs w:val="28"/>
          <w:lang w:val="zh-CN"/>
        </w:rPr>
      </w:pPr>
      <w:r>
        <w:rPr>
          <w:rFonts w:hint="eastAsia" w:ascii="仿宋" w:hAnsi="仿宋" w:eastAsia="仿宋" w:cs="Times New Roman"/>
          <w:sz w:val="28"/>
          <w:szCs w:val="28"/>
        </w:rPr>
        <w:t xml:space="preserve">投标人拟选派的项目负责人（或项目经理）</w:t>
      </w:r>
      <w:r>
        <w:rPr>
          <w:rFonts w:hint="eastAsia" w:ascii="仿宋" w:hAnsi="仿宋" w:eastAsia="仿宋" w:cs="Times New Roman"/>
          <w:sz w:val="28"/>
          <w:szCs w:val="28"/>
          <w:lang w:val="en-US" w:eastAsia="zh-CN"/>
        </w:rPr>
        <w:t xml:space="preserve">和</w:t>
      </w:r>
      <w:r>
        <w:rPr>
          <w:rFonts w:hint="eastAsia" w:ascii="仿宋" w:hAnsi="仿宋" w:eastAsia="仿宋" w:cs="Times New Roman"/>
          <w:sz w:val="28"/>
          <w:szCs w:val="28"/>
        </w:rPr>
        <w:t xml:space="preserve">技术负责人必须具有园林绿化（或者风景园林专业）中级及以上职称证书 (若职称证书的专业是建设工程的,须提供专业为园林绿化相关专业的毕业证书)。</w:t>
      </w:r>
      <w:r>
        <w:rPr>
          <w:rFonts w:hint="eastAsia" w:ascii="仿宋" w:hAnsi="仿宋" w:eastAsia="仿宋"/>
          <w:sz w:val="28"/>
          <w:szCs w:val="28"/>
          <w:lang w:val="zh-CN"/>
        </w:rPr>
        <w:t xml:space="preserve">针对本项目拟选派的项目负责人、技术负责人必须为本单位的正式员工，须提供投标人为其缴纳的自</w:t>
      </w:r>
      <w:r>
        <w:rPr>
          <w:rFonts w:hint="eastAsia" w:ascii="仿宋" w:hAnsi="仿宋" w:eastAsia="仿宋"/>
          <w:sz w:val="28"/>
          <w:szCs w:val="28"/>
          <w:lang w:val="en-US" w:eastAsia="zh-CN"/>
        </w:rPr>
        <w:t xml:space="preserve">2024</w:t>
      </w:r>
      <w:r>
        <w:rPr>
          <w:rFonts w:hint="eastAsia" w:ascii="仿宋" w:hAnsi="仿宋" w:eastAsia="仿宋"/>
          <w:sz w:val="28"/>
          <w:szCs w:val="28"/>
          <w:lang w:val="zh-CN"/>
        </w:rPr>
        <w:t xml:space="preserve">年以来任意一个月的社会保险证明。</w:t>
      </w:r>
      <w:r>
        <w:rPr>
          <w:rFonts w:hint="eastAsia" w:ascii="仿宋" w:hAnsi="仿宋" w:eastAsia="仿宋"/>
          <w:sz w:val="28"/>
          <w:szCs w:val="28"/>
          <w:lang w:val="zh-CN"/>
        </w:rPr>
      </w:r>
      <w:r/>
    </w:p>
    <w:p>
      <w:pPr>
        <w:pStyle w:val="659"/>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9"/>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59"/>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59"/>
        <w:ind w:firstLine="280"/>
        <w:spacing w:line="520" w:lineRule="exact"/>
        <w:rPr>
          <w:rFonts w:ascii="仿宋" w:hAnsi="仿宋" w:eastAsia="仿宋"/>
          <w:sz w:val="28"/>
          <w:szCs w:val="28"/>
          <w:lang w:val="en-US" w:eastAsia="zh-CN"/>
        </w:rPr>
      </w:pPr>
      <w:r>
        <w:rPr>
          <w:rFonts w:hint="eastAsia" w:ascii="仿宋" w:hAnsi="仿宋" w:eastAsia="仿宋"/>
          <w:sz w:val="28"/>
          <w:szCs w:val="28"/>
        </w:rPr>
        <w:t xml:space="preserve">（一）投标文件提交截止时间及开标时间</w:t>
      </w:r>
      <w:r>
        <w:rPr>
          <w:rFonts w:hint="eastAsia" w:ascii="仿宋" w:hAnsi="仿宋" w:eastAsia="仿宋"/>
          <w:sz w:val="28"/>
          <w:szCs w:val="28"/>
          <w:highlight w:val="none"/>
        </w:rPr>
        <w:t xml:space="preserve">:2024年</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月30</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rPr>
          <w:rFonts w:ascii="仿宋" w:hAnsi="仿宋" w:eastAsia="仿宋"/>
          <w:sz w:val="28"/>
          <w:szCs w:val="28"/>
          <w:lang w:val="en-US" w:eastAsia="zh-CN"/>
        </w:rPr>
      </w:r>
      <w:r/>
    </w:p>
    <w:p>
      <w:pPr>
        <w:pStyle w:val="659"/>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名称:淮安市园林绿化管理中心</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地址:淮安市清江浦区淮海南路89号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联系方式:江淼    电话：0517-83902181</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59"/>
        <w:ind w:firstLine="565"/>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w:t>
      </w:r>
      <w:r>
        <w:rPr>
          <w:rFonts w:hint="eastAsia" w:ascii="仿宋" w:hAnsi="仿宋" w:eastAsia="仿宋"/>
          <w:sz w:val="28"/>
          <w:szCs w:val="28"/>
        </w:rPr>
        <w:t xml:space="preserve">    电话：0517-</w:t>
      </w:r>
      <w:r>
        <w:rPr>
          <w:rFonts w:hint="eastAsia" w:ascii="仿宋" w:hAnsi="仿宋" w:eastAsia="仿宋"/>
          <w:sz w:val="28"/>
          <w:szCs w:val="28"/>
          <w:lang w:val="en-US" w:eastAsia="zh-CN"/>
        </w:rPr>
        <w:t xml:space="preserve">80996050</w:t>
      </w:r>
      <w:r>
        <w:rPr>
          <w:rFonts w:ascii="仿宋" w:hAnsi="仿宋" w:eastAsia="仿宋"/>
          <w:sz w:val="28"/>
          <w:szCs w:val="28"/>
          <w:lang w:val="en-US" w:eastAsia="zh-CN"/>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9"/>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9"/>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59"/>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2512"/>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59"/>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59"/>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59"/>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659"/>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59"/>
        <w:ind w:firstLine="555"/>
        <w:spacing w:line="520" w:lineRule="exact"/>
        <w:rPr>
          <w:rFonts w:hint="eastAsia" w:ascii="仿宋" w:hAnsi="仿宋" w:eastAsia="仿宋"/>
          <w:sz w:val="28"/>
          <w:szCs w:val="28"/>
        </w:rPr>
      </w:pPr>
      <w:r>
        <w:rPr>
          <w:rFonts w:hint="eastAsia" w:ascii="仿宋" w:hAnsi="仿宋" w:eastAsia="仿宋"/>
          <w:sz w:val="28"/>
          <w:szCs w:val="28"/>
        </w:rPr>
        <w:t xml:space="preserve">4.2本次采购项目不收取标书工本费和中标管理费。</w:t>
      </w:r>
      <w:r>
        <w:rPr>
          <w:rFonts w:hint="eastAsia" w:ascii="仿宋" w:hAnsi="仿宋" w:eastAsia="仿宋"/>
          <w:sz w:val="28"/>
          <w:szCs w:val="28"/>
        </w:rPr>
      </w:r>
      <w:r/>
    </w:p>
    <w:p>
      <w:pPr>
        <w:pStyle w:val="659"/>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6.1任何要求对招标文件进行澄清的投标人，均应在投标截止时间十日前通过以书面形式并加盖公章通知采购中心，采购中心对投标截止时间前十日收到的任何澄清要求将以书面形式予以答复。</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7.1在投标截止时间十五日前，采购中心可主动或在解答投标人提出的澄清问题时对招标文件用更正公告的方式进行修正。</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7.3为使投标人有足够的时间按招标文件的更正要求修正投标文件，采购中心有权按照相关法定的要求推迟投标截止时间和开标日期。 </w:t>
      </w:r>
      <w:r>
        <w:rPr>
          <w:rFonts w:hint="eastAsia" w:ascii="仿宋" w:hAnsi="仿宋" w:eastAsia="仿宋"/>
          <w:sz w:val="28"/>
          <w:szCs w:val="28"/>
        </w:rPr>
      </w:r>
      <w:r/>
    </w:p>
    <w:p>
      <w:pPr>
        <w:pStyle w:val="659"/>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59"/>
        <w:spacing w:line="520" w:lineRule="exact"/>
        <w:rPr>
          <w:rFonts w:ascii="仿宋" w:hAnsi="仿宋" w:eastAsia="仿宋"/>
          <w:sz w:val="28"/>
          <w:szCs w:val="28"/>
        </w:rPr>
      </w:pPr>
      <w:r/>
      <w:bookmarkStart w:id="0" w:name="_Toc16938530"/>
      <w:r/>
      <w:bookmarkStart w:id="1" w:name="_Toc513029214"/>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rPr>
          <w:rFonts w:ascii="仿宋" w:hAnsi="仿宋" w:eastAsia="仿宋"/>
          <w:sz w:val="28"/>
          <w:szCs w:val="28"/>
        </w:rPr>
      </w:r>
      <w:r/>
    </w:p>
    <w:p>
      <w:pPr>
        <w:pStyle w:val="659"/>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59"/>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59"/>
        <w:spacing w:line="520" w:lineRule="exact"/>
        <w:rPr>
          <w:rFonts w:ascii="仿宋" w:hAnsi="仿宋" w:eastAsia="仿宋"/>
          <w:sz w:val="28"/>
          <w:szCs w:val="28"/>
        </w:rPr>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15.1投标有效期为采购中心规定的开标之日后六十（60）天。投标有效期比规定短的将被视为未实质性响应招标文件而予以拒绝。</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59"/>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rPr>
          <w:rFonts w:hint="eastAsia" w:ascii="仿宋" w:hAnsi="仿宋" w:eastAsia="仿宋"/>
          <w:bCs/>
          <w:sz w:val="28"/>
          <w:szCs w:val="28"/>
        </w:rPr>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17.1本项目评标标准中的方案部分采用暗标方式进行评审。</w:t>
      </w:r>
      <w:r>
        <w:rPr>
          <w:rFonts w:hint="eastAsia" w:ascii="仿宋" w:hAnsi="仿宋" w:eastAsia="仿宋"/>
          <w:bCs/>
          <w:sz w:val="28"/>
          <w:szCs w:val="28"/>
        </w:rPr>
      </w:r>
      <w:r/>
    </w:p>
    <w:p>
      <w:pPr>
        <w:pStyle w:val="659"/>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rPr>
          <w:rFonts w:ascii="仿宋" w:hAnsi="仿宋" w:eastAsia="仿宋"/>
          <w:bCs/>
          <w:sz w:val="28"/>
          <w:szCs w:val="28"/>
        </w:rPr>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rPr>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rPr>
          <w:rFonts w:hint="eastAsia" w:ascii="仿宋" w:hAnsi="仿宋" w:eastAsia="仿宋"/>
          <w:bCs/>
          <w:sz w:val="28"/>
          <w:szCs w:val="28"/>
        </w:rPr>
      </w:r>
      <w:r/>
    </w:p>
    <w:p>
      <w:pPr>
        <w:pStyle w:val="659"/>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59"/>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rPr>
          <w:rFonts w:hint="eastAsia" w:ascii="仿宋" w:hAnsi="仿宋" w:eastAsia="仿宋"/>
          <w:sz w:val="28"/>
          <w:szCs w:val="28"/>
        </w:rPr>
      </w:r>
      <w:r/>
    </w:p>
    <w:p>
      <w:pPr>
        <w:pStyle w:val="659"/>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59"/>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rPr>
          <w:rFonts w:hint="eastAsia" w:ascii="仿宋" w:hAnsi="仿宋" w:eastAsia="仿宋"/>
          <w:sz w:val="28"/>
          <w:szCs w:val="28"/>
        </w:rPr>
      </w:r>
      <w:r/>
    </w:p>
    <w:p>
      <w:pPr>
        <w:pStyle w:val="659"/>
        <w:numPr>
          <w:ilvl w:val="0"/>
          <w:numId w:val="5"/>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59"/>
        <w:spacing w:line="520" w:lineRule="exact"/>
        <w:rPr>
          <w:rFonts w:hint="eastAsia" w:ascii="仿宋" w:hAnsi="仿宋" w:eastAsia="仿宋"/>
          <w:sz w:val="28"/>
          <w:szCs w:val="28"/>
        </w:rPr>
      </w:pPr>
      <w:r/>
      <w:bookmarkEnd w:id="8"/>
      <w:r>
        <w:rPr>
          <w:rFonts w:hint="eastAsia" w:ascii="仿宋" w:hAnsi="仿宋" w:eastAsia="仿宋"/>
          <w:sz w:val="28"/>
          <w:szCs w:val="28"/>
        </w:rPr>
        <w:t xml:space="preserve">20.开标</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20.1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59"/>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21.评标委员会</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21.1开标后，采购中心将立即组织评标委员会（以下简称评委会）进行评标。</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rPr>
          <w:rFonts w:ascii="仿宋" w:hAnsi="仿宋" w:eastAsia="仿宋"/>
          <w:sz w:val="28"/>
          <w:szCs w:val="28"/>
        </w:rPr>
      </w:r>
      <w:r/>
    </w:p>
    <w:p>
      <w:pPr>
        <w:pStyle w:val="659"/>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21.3评委会独立工作，负责评审所有投标文件并确定中标侯选人。</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22.1凡是与审查、澄清、评价和比较投标的有关资料以及授标建议等，采购人、评委、采购中心均不得向投标人或与评标无关的其他人员透露。</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59"/>
        <w:spacing w:line="520" w:lineRule="exact"/>
        <w:rPr>
          <w:rFonts w:ascii="仿宋" w:hAnsi="仿宋" w:eastAsia="仿宋"/>
          <w:sz w:val="28"/>
          <w:szCs w:val="28"/>
        </w:rPr>
      </w:pPr>
      <w:r/>
      <w:bookmarkStart w:id="12" w:name="_Toc16938548"/>
      <w:r/>
      <w:bookmarkStart w:id="13" w:name="_Toc20823304"/>
      <w:r/>
      <w:bookmarkStart w:id="14" w:name="_Toc513029232"/>
      <w:r>
        <w:rPr>
          <w:rFonts w:hint="eastAsia" w:ascii="仿宋" w:hAnsi="仿宋" w:eastAsia="仿宋"/>
          <w:sz w:val="28"/>
          <w:szCs w:val="28"/>
        </w:rPr>
        <w:t xml:space="preserve">23．投标文件的澄清</w:t>
      </w:r>
      <w:bookmarkEnd w:id="12"/>
      <w:r/>
      <w:bookmarkEnd w:id="13"/>
      <w:r/>
      <w:bookmarkEnd w:id="14"/>
      <w:r>
        <w:rPr>
          <w:rFonts w:ascii="仿宋" w:hAnsi="仿宋" w:eastAsia="仿宋"/>
          <w:sz w:val="28"/>
          <w:szCs w:val="28"/>
        </w:rPr>
      </w:r>
      <w:r/>
    </w:p>
    <w:p>
      <w:pPr>
        <w:pStyle w:val="659"/>
        <w:ind w:firstLine="560"/>
        <w:spacing w:line="520" w:lineRule="exact"/>
        <w:rPr>
          <w:rFonts w:ascii="仿宋" w:hAnsi="仿宋" w:eastAsia="仿宋"/>
          <w:sz w:val="28"/>
          <w:szCs w:val="28"/>
        </w:rPr>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接到评委会澄清、说明和补正要求的投标人如未按规定做出澄清、说明和补正，其风险由投标人自行承担。</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59"/>
        <w:ind w:firstLine="560"/>
        <w:spacing w:line="520" w:lineRule="exact"/>
        <w:rPr>
          <w:rFonts w:ascii="仿宋" w:hAnsi="仿宋" w:eastAsia="仿宋"/>
          <w:sz w:val="28"/>
          <w:szCs w:val="28"/>
        </w:rPr>
      </w:pPr>
      <w:r/>
      <w:bookmarkStart w:id="18" w:name="_Toc16938550"/>
      <w:r/>
      <w:bookmarkStart w:id="19" w:name="_Toc20823306"/>
      <w:r/>
      <w:bookmarkStart w:id="20" w:name="_Toc513029234"/>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w:t>
      </w:r>
      <w:r>
        <w:rPr>
          <w:rFonts w:hint="eastAsia" w:ascii="仿宋" w:hAnsi="仿宋" w:eastAsia="仿宋"/>
          <w:sz w:val="28"/>
          <w:szCs w:val="28"/>
          <w:highlight w:val="none"/>
        </w:rPr>
        <w:t xml:space="preserve">的核心产品</w:t>
      </w:r>
      <w:r>
        <w:rPr>
          <w:rFonts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24.7投标人在开、评标全过程中应保持通讯畅通，及时登录苏采云系统查阅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5.无效投标条款和废标条款</w:t>
      </w:r>
      <w:r>
        <w:rPr>
          <w:rFonts w:ascii="仿宋" w:hAnsi="仿宋" w:eastAsia="仿宋"/>
          <w:sz w:val="28"/>
          <w:szCs w:val="28"/>
        </w:rPr>
      </w:r>
      <w:r/>
    </w:p>
    <w:p>
      <w:pPr>
        <w:pStyle w:val="659"/>
        <w:ind w:firstLine="560"/>
        <w:spacing w:line="520" w:lineRule="exact"/>
        <w:rPr>
          <w:rFonts w:ascii="仿宋" w:hAnsi="仿宋" w:eastAsia="仿宋"/>
          <w:sz w:val="28"/>
          <w:szCs w:val="28"/>
        </w:rPr>
      </w:pPr>
      <w:r/>
      <w:bookmarkStart w:id="21" w:name="_Toc20823307"/>
      <w:r/>
      <w:bookmarkStart w:id="22" w:name="_Toc513029235"/>
      <w:r/>
      <w:bookmarkStart w:id="23" w:name="_Toc16938551"/>
      <w:r>
        <w:rPr>
          <w:rFonts w:hint="eastAsia" w:ascii="仿宋" w:hAnsi="仿宋" w:eastAsia="仿宋"/>
          <w:sz w:val="28"/>
          <w:szCs w:val="28"/>
        </w:rPr>
        <w:t xml:space="preserve">25.1无效投标条款</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25.1.1 投标人在苏采云系统规定的时间内未成功解密电子投标文件的。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6</w:t>
      </w:r>
      <w:r>
        <w:rPr>
          <w:rFonts w:hint="eastAsia" w:ascii="仿宋" w:hAnsi="仿宋" w:eastAsia="仿宋"/>
          <w:sz w:val="28"/>
          <w:szCs w:val="28"/>
        </w:rPr>
        <w:t xml:space="preserve">未通过符合性审查的。</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7</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hint="eastAsia" w:ascii="仿宋" w:hAnsi="仿宋" w:eastAsia="仿宋"/>
          <w:sz w:val="28"/>
          <w:szCs w:val="28"/>
        </w:rPr>
      </w:r>
      <w:r/>
    </w:p>
    <w:p>
      <w:pPr>
        <w:pStyle w:val="659"/>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25.1.8 </w:t>
      </w:r>
      <w:r>
        <w:rPr>
          <w:rFonts w:hint="eastAsia" w:ascii="仿宋" w:hAnsi="仿宋" w:eastAsia="仿宋"/>
          <w:sz w:val="28"/>
          <w:szCs w:val="28"/>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lang w:val="en-US" w:eastAsia="zh-CN"/>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25.1.</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投标文件含有采购人不能接受的附加条件的。</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25.1.</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 </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25.1.</w:t>
      </w:r>
      <w:r>
        <w:rPr>
          <w:rFonts w:ascii="仿宋" w:hAnsi="仿宋" w:eastAsia="仿宋"/>
          <w:sz w:val="28"/>
          <w:szCs w:val="28"/>
        </w:rPr>
        <w:t xml:space="preserve">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rPr>
          <w:rFonts w:ascii="仿宋" w:hAnsi="仿宋" w:eastAsia="仿宋"/>
          <w:sz w:val="28"/>
          <w:szCs w:val="28"/>
        </w:rPr>
      </w:r>
      <w:r/>
    </w:p>
    <w:p>
      <w:pPr>
        <w:pStyle w:val="659"/>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25.1.1</w:t>
      </w:r>
      <w:r>
        <w:rPr>
          <w:rFonts w:hint="eastAsia" w:ascii="仿宋" w:hAnsi="仿宋" w:eastAsia="仿宋"/>
          <w:sz w:val="28"/>
          <w:szCs w:val="28"/>
          <w:lang w:val="en-US" w:eastAsia="zh-CN"/>
        </w:rPr>
        <w:t xml:space="preserve">2 </w:t>
      </w:r>
      <w:r>
        <w:rPr>
          <w:rFonts w:hint="eastAsia" w:ascii="仿宋" w:hAnsi="仿宋" w:eastAsia="仿宋"/>
          <w:sz w:val="28"/>
          <w:szCs w:val="28"/>
        </w:rPr>
        <w:t xml:space="preserve">投标文件未按照招标文件要求加盖CA电子公章的</w:t>
      </w:r>
      <w:r>
        <w:rPr>
          <w:rFonts w:hint="eastAsia" w:ascii="仿宋" w:hAnsi="仿宋" w:eastAsia="仿宋"/>
          <w:sz w:val="28"/>
          <w:szCs w:val="28"/>
          <w:lang w:eastAsia="zh-CN"/>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其他法律、法规及本招标文件规定的属无效投标的情形。</w:t>
      </w:r>
      <w:r>
        <w:rPr>
          <w:rFonts w:hint="eastAsia" w:ascii="仿宋" w:hAnsi="仿宋" w:eastAsia="仿宋"/>
          <w:sz w:val="28"/>
          <w:szCs w:val="28"/>
        </w:rPr>
      </w:r>
      <w:r/>
    </w:p>
    <w:p>
      <w:pPr>
        <w:pStyle w:val="659"/>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25.1.14 未按照采购文件第五章项目采购需求“</w:t>
      </w:r>
      <w:r>
        <w:rPr>
          <w:rFonts w:hint="eastAsia" w:ascii="仿宋" w:hAnsi="仿宋" w:eastAsia="仿宋"/>
          <w:color w:val="000000"/>
          <w:sz w:val="28"/>
          <w:highlight w:val="none"/>
        </w:rPr>
        <w:t xml:space="preserve">二、</w:t>
      </w:r>
      <w:r>
        <w:rPr>
          <w:rFonts w:hint="eastAsia" w:ascii="仿宋" w:hAnsi="仿宋" w:eastAsia="仿宋"/>
          <w:sz w:val="28"/>
          <w:szCs w:val="28"/>
          <w:lang w:val="en-US" w:eastAsia="zh-CN"/>
        </w:rPr>
        <w:t xml:space="preserve">基本要求”上传书面承诺函、相关证明材料或书面分析的。</w:t>
      </w:r>
      <w:r>
        <w:rPr>
          <w:rFonts w:ascii="仿宋" w:hAnsi="仿宋" w:eastAsia="仿宋"/>
          <w:sz w:val="28"/>
          <w:szCs w:val="28"/>
          <w:lang w:val="en-US" w:eastAsia="zh-CN"/>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25.2废标条款</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25.2.1符合专业条件的供应商或者对招标文件作实质响应的供应商不足三家的。</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25.2.2出现影响采购公正的违法、违规行为的。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25.2.3因重大变故，采购任务取消的。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25.2.4评标委员会认定招标文件存在歧义、重大缺陷导致评审工作无法进行。</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25.3 投标截止时间结束后参加投标的供应商不足三家的处理：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25.3.1如出现投标截止时间结束后参加投标的供应商或者在评标期间对招标文件做出实质响应的供应商不足三家情况，按政府采购相关规定执行。</w:t>
      </w:r>
      <w:r>
        <w:rPr>
          <w:rFonts w:ascii="仿宋" w:hAnsi="仿宋" w:eastAsia="仿宋"/>
          <w:sz w:val="28"/>
          <w:szCs w:val="28"/>
        </w:rPr>
      </w:r>
      <w:r/>
    </w:p>
    <w:p>
      <w:pPr>
        <w:pStyle w:val="659"/>
        <w:numPr>
          <w:ilvl w:val="0"/>
          <w:numId w:val="5"/>
        </w:numPr>
        <w:ind w:firstLine="482"/>
        <w:spacing w:line="520" w:lineRule="exact"/>
        <w:rPr>
          <w:rFonts w:ascii="仿宋" w:hAnsi="仿宋" w:eastAsia="仿宋"/>
          <w:b/>
          <w:sz w:val="32"/>
          <w:szCs w:val="32"/>
        </w:rPr>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59"/>
        <w:spacing w:line="520" w:lineRule="exact"/>
        <w:rPr>
          <w:rFonts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6.确定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26.3 采购中心将在“淮安市政府采购网”发布中标公告，公告期限为1个工作日。</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  若有充分证据证明，中标人出现下列情况之一的，一经查实，将被取消中标资格：</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26.4.2向采购人、采购中心行贿或者提供其他不正当利益的。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26.4.4与采购人或者其他供应商恶意串通的。</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26.4.5采取不正当手段诋毁、排挤其他供应商的。</w:t>
      </w:r>
      <w:r>
        <w:rPr>
          <w:rFonts w:ascii="仿宋" w:hAnsi="仿宋" w:eastAsia="仿宋"/>
          <w:sz w:val="28"/>
          <w:szCs w:val="28"/>
        </w:rPr>
      </w:r>
      <w:r/>
    </w:p>
    <w:p>
      <w:pPr>
        <w:pStyle w:val="659"/>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26.5.3 不同投标人的投标文件载明的项目管理成员或者联系人员为同一人；</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rPr>
          <w:rFonts w:ascii="仿宋" w:hAnsi="仿宋" w:eastAsia="仿宋"/>
          <w:sz w:val="28"/>
          <w:szCs w:val="28"/>
        </w:rPr>
      </w:r>
      <w:r/>
    </w:p>
    <w:p>
      <w:pPr>
        <w:pStyle w:val="659"/>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27.5质疑函应当包括以下主要内容，附上相关证明材料。否则，采购中心不予受理。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28.中标通知书</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659"/>
        <w:numPr>
          <w:ilvl w:val="0"/>
          <w:numId w:val="5"/>
        </w:numPr>
        <w:ind w:firstLine="482"/>
        <w:spacing w:line="520" w:lineRule="exact"/>
        <w:rPr>
          <w:rFonts w:ascii="仿宋" w:hAnsi="仿宋" w:eastAsia="仿宋"/>
          <w:b/>
          <w:sz w:val="32"/>
          <w:szCs w:val="32"/>
        </w:rPr>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59"/>
        <w:spacing w:line="520" w:lineRule="exact"/>
        <w:rPr>
          <w:rFonts w:ascii="仿宋" w:hAnsi="仿宋" w:eastAsia="仿宋"/>
          <w:sz w:val="28"/>
          <w:szCs w:val="28"/>
        </w:rPr>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rPr>
        <w:t xml:space="preserve">29. 签订合同</w:t>
      </w:r>
      <w:r>
        <w:rPr>
          <w:rFonts w:hint="eastAsia" w:ascii="仿宋" w:hAnsi="仿宋" w:eastAsia="仿宋"/>
          <w:sz w:val="28"/>
          <w:szCs w:val="28"/>
        </w:rPr>
        <w:tab/>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29.l中标人应当在中标通知书发出之日起三十日内，按照招标文件确定的事项与采购人签订政府采购合同。</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59"/>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rPr>
          <w:rFonts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sz w:val="28"/>
          <w:szCs w:val="28"/>
        </w:rPr>
      </w:r>
      <w:r/>
    </w:p>
    <w:p>
      <w:pPr>
        <w:pStyle w:val="681"/>
        <w:ind w:left="0" w:firstLine="0"/>
        <w:spacing w:line="520" w:lineRule="exact"/>
        <w:rPr>
          <w:rFonts w:hint="eastAsia" w:ascii="仿宋" w:hAnsi="仿宋" w:eastAsia="仿宋"/>
          <w:sz w:val="28"/>
          <w:szCs w:val="28"/>
          <w:highlight w:val="none"/>
          <w:lang w:eastAsia="zh-CN"/>
        </w:rPr>
      </w:pPr>
      <w:r/>
      <w:bookmarkEnd w:id="33"/>
      <w:r/>
      <w:bookmarkEnd w:id="34"/>
      <w:r/>
      <w:bookmarkEnd w:id="35"/>
      <w:r>
        <w:rPr>
          <w:rFonts w:hint="eastAsia" w:ascii="仿宋" w:hAnsi="仿宋" w:eastAsia="仿宋"/>
          <w:sz w:val="28"/>
          <w:szCs w:val="28"/>
          <w:highlight w:val="none"/>
        </w:rPr>
        <w:t xml:space="preserve">31.履约保证金</w:t>
      </w:r>
      <w:r>
        <w:rPr>
          <w:rFonts w:hint="eastAsia" w:ascii="仿宋" w:hAnsi="仿宋" w:eastAsia="仿宋"/>
          <w:sz w:val="28"/>
          <w:szCs w:val="28"/>
          <w:highlight w:val="none"/>
          <w:lang w:eastAsia="zh-CN"/>
        </w:rPr>
        <w:t xml:space="preserve">（本项目不涉及）</w:t>
      </w:r>
      <w:r>
        <w:rPr>
          <w:rFonts w:hint="eastAsia" w:ascii="仿宋" w:hAnsi="仿宋" w:eastAsia="仿宋"/>
          <w:sz w:val="28"/>
          <w:szCs w:val="28"/>
          <w:highlight w:val="none"/>
          <w:lang w:eastAsia="zh-CN"/>
        </w:rPr>
      </w:r>
      <w:r/>
    </w:p>
    <w:p>
      <w:pPr>
        <w:pStyle w:val="681"/>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59"/>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59"/>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59"/>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    7、履约保证金在合同约定期间内不予退还或者应完全有效，履约保证金在项目验收合格后无息退还给乙方。</w:t>
      </w:r>
      <w:r>
        <w:rPr>
          <w:rFonts w:ascii="仿宋" w:hAnsi="仿宋" w:eastAsia="仿宋"/>
          <w:sz w:val="28"/>
          <w:szCs w:val="28"/>
        </w:rPr>
      </w:r>
      <w:r/>
    </w:p>
    <w:p>
      <w:pPr>
        <w:pStyle w:val="659"/>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w:t>
      </w:r>
      <w:r>
        <w:rPr>
          <w:rFonts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33. 节能、环保政策</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highlight w:val="none"/>
        </w:rPr>
      </w:pPr>
      <w:r>
        <w:rPr>
          <w:rFonts w:hint="eastAsia" w:ascii="仿宋" w:hAnsi="仿宋" w:eastAsia="仿宋"/>
          <w:sz w:val="28"/>
          <w:szCs w:val="28"/>
        </w:rPr>
        <w:t xml:space="preserve">33.2节能产</w:t>
      </w:r>
      <w:r>
        <w:rPr>
          <w:rFonts w:hint="eastAsia" w:ascii="仿宋" w:hAnsi="仿宋" w:eastAsia="仿宋"/>
          <w:sz w:val="28"/>
          <w:szCs w:val="28"/>
          <w:highlight w:val="none"/>
        </w:rPr>
        <w:t xml:space="preserve">品（本项目不涉及）</w:t>
      </w:r>
      <w:r>
        <w:rPr>
          <w:rFonts w:hint="eastAsia" w:ascii="仿宋" w:hAnsi="仿宋" w:eastAsia="仿宋"/>
          <w:sz w:val="28"/>
          <w:szCs w:val="28"/>
          <w:highlight w:val="none"/>
        </w:rPr>
      </w:r>
      <w:r/>
    </w:p>
    <w:p>
      <w:pPr>
        <w:pStyle w:val="65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9"/>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33.3环保产品（本项目不涉及）</w:t>
      </w:r>
      <w:r>
        <w:rPr>
          <w:rFonts w:hint="eastAsia" w:ascii="仿宋" w:hAnsi="仿宋" w:eastAsia="仿宋"/>
          <w:sz w:val="28"/>
          <w:szCs w:val="28"/>
          <w:highlight w:val="none"/>
        </w:rPr>
      </w:r>
      <w:r/>
    </w:p>
    <w:p>
      <w:pPr>
        <w:pStyle w:val="659"/>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59"/>
        <w:ind w:firstLine="560"/>
        <w:spacing w:line="520" w:lineRule="exact"/>
        <w:rPr>
          <w:rFonts w:hint="eastAsia" w:ascii="仿宋" w:hAnsi="仿宋" w:eastAsia="仿宋"/>
          <w:sz w:val="28"/>
        </w:rPr>
      </w:pPr>
      <w:r>
        <w:rPr>
          <w:rFonts w:hint="eastAsia" w:ascii="仿宋" w:hAnsi="仿宋" w:eastAsia="仿宋"/>
          <w:sz w:val="28"/>
          <w:szCs w:val="28"/>
        </w:rPr>
        <w:t xml:space="preserve">33.4本项目中实行“强制采购”的，需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hint="eastAsia" w:ascii="仿宋" w:hAnsi="仿宋" w:eastAsia="仿宋"/>
          <w:sz w:val="28"/>
        </w:rPr>
      </w:r>
      <w:r/>
    </w:p>
    <w:p>
      <w:pPr>
        <w:pStyle w:val="659"/>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59"/>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34．政府绿色采购</w:t>
      </w:r>
      <w:r>
        <w:rPr>
          <w:rFonts w:hint="eastAsia" w:ascii="仿宋" w:hAnsi="仿宋" w:eastAsia="仿宋"/>
          <w:bCs/>
          <w:color w:val="000000"/>
          <w:sz w:val="28"/>
          <w:szCs w:val="28"/>
        </w:rPr>
      </w:r>
      <w:r/>
    </w:p>
    <w:p>
      <w:pPr>
        <w:pStyle w:val="659"/>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69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69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9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 履约资金扶持政策</w:t>
      </w:r>
      <w:r>
        <w:rPr>
          <w:rFonts w:hint="eastAsia" w:ascii="仿宋" w:hAnsi="仿宋" w:eastAsia="仿宋"/>
          <w:color w:val="000000"/>
          <w:sz w:val="28"/>
          <w:szCs w:val="28"/>
        </w:rPr>
      </w:r>
      <w:r/>
    </w:p>
    <w:p>
      <w:pPr>
        <w:pStyle w:val="69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696"/>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rPr>
      </w:r>
      <w:r/>
    </w:p>
    <w:p>
      <w:pPr>
        <w:pStyle w:val="69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96"/>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2512"/>
        <w:spacing w:line="520" w:lineRule="exact"/>
        <w:rPr>
          <w:rFonts w:hint="eastAsia" w:ascii="仿宋" w:hAnsi="仿宋" w:eastAsia="仿宋"/>
          <w:b/>
          <w:sz w:val="36"/>
          <w:szCs w:val="36"/>
        </w:rPr>
      </w:pPr>
      <w:r>
        <w:rPr>
          <w:rFonts w:hint="eastAsia" w:ascii="仿宋" w:hAnsi="仿宋" w:eastAsia="仿宋"/>
          <w:b/>
          <w:sz w:val="36"/>
          <w:szCs w:val="36"/>
        </w:rPr>
        <w:br w:type="page" w:clear="all"/>
      </w: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rPr>
      </w:r>
      <w:r/>
    </w:p>
    <w:p>
      <w:pPr>
        <w:pStyle w:val="659"/>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59"/>
        <w:ind w:firstLine="560"/>
        <w:spacing w:line="520" w:lineRule="exact"/>
        <w:rPr>
          <w:rFonts w:hint="eastAsia" w:ascii="仿宋" w:hAnsi="仿宋" w:eastAsia="仿宋"/>
          <w:sz w:val="28"/>
        </w:rPr>
      </w:pPr>
      <w:r>
        <w:rPr>
          <w:rFonts w:hint="eastAsia" w:ascii="仿宋" w:hAnsi="仿宋" w:eastAsia="仿宋"/>
          <w:sz w:val="28"/>
          <w:lang w:val="en-US"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659"/>
        <w:ind w:firstLine="495"/>
        <w:spacing w:line="520" w:lineRule="exact"/>
        <w:rPr>
          <w:rFonts w:hint="eastAsia" w:ascii="仿宋" w:hAnsi="仿宋" w:eastAsia="仿宋"/>
          <w:sz w:val="28"/>
        </w:rPr>
      </w:pPr>
      <w:r>
        <w:rPr>
          <w:rFonts w:hint="eastAsia" w:ascii="仿宋" w:hAnsi="仿宋" w:eastAsia="仿宋"/>
          <w:sz w:val="28"/>
        </w:rPr>
        <w:t xml:space="preserve">1、价格:</w:t>
      </w:r>
      <w:r>
        <w:rPr>
          <w:rFonts w:hint="eastAsia" w:ascii="仿宋" w:hAnsi="仿宋" w:eastAsia="仿宋"/>
          <w:sz w:val="28"/>
          <w:lang w:val="en-US" w:eastAsia="zh-CN"/>
        </w:rPr>
        <w:t xml:space="preserve">10</w:t>
      </w:r>
      <w:r>
        <w:rPr>
          <w:rFonts w:hint="eastAsia" w:ascii="仿宋" w:hAnsi="仿宋" w:eastAsia="仿宋"/>
          <w:sz w:val="28"/>
        </w:rPr>
        <w:t xml:space="preserve">分</w:t>
      </w:r>
      <w:r>
        <w:rPr>
          <w:rFonts w:hint="eastAsia" w:ascii="仿宋" w:hAnsi="仿宋" w:eastAsia="仿宋"/>
          <w:sz w:val="28"/>
        </w:rPr>
      </w:r>
      <w:r/>
    </w:p>
    <w:p>
      <w:pPr>
        <w:pStyle w:val="692"/>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692"/>
        <w:ind w:firstLine="560"/>
        <w:spacing w:line="520" w:lineRule="exact"/>
        <w:rPr>
          <w:rFonts w:hint="eastAsia" w:ascii="仿宋" w:hAnsi="仿宋" w:eastAsia="仿宋"/>
        </w:rPr>
      </w:pPr>
      <w:r>
        <w:rPr>
          <w:rFonts w:hint="eastAsia" w:ascii="仿宋" w:hAnsi="仿宋" w:eastAsia="仿宋"/>
        </w:rPr>
        <w:t xml:space="preserve">投标报价得分＝（评标基准价/投标报价）×</w:t>
      </w:r>
      <w:r>
        <w:rPr>
          <w:rFonts w:hint="eastAsia" w:ascii="仿宋" w:hAnsi="仿宋" w:eastAsia="仿宋"/>
          <w:lang w:val="en-US" w:eastAsia="zh-CN"/>
        </w:rPr>
        <w:t xml:space="preserve">10</w:t>
      </w:r>
      <w:r>
        <w:rPr>
          <w:rFonts w:hint="eastAsia" w:ascii="仿宋" w:hAnsi="仿宋" w:eastAsia="仿宋"/>
        </w:rPr>
        <w:t xml:space="preserve">分</w:t>
      </w:r>
      <w:r>
        <w:rPr>
          <w:rFonts w:hint="eastAsia" w:ascii="仿宋" w:hAnsi="仿宋" w:eastAsia="仿宋"/>
        </w:rPr>
      </w:r>
      <w:r/>
    </w:p>
    <w:p>
      <w:pPr>
        <w:pStyle w:val="659"/>
        <w:ind w:firstLine="560"/>
        <w:spacing w:line="520" w:lineRule="exact"/>
        <w:rPr>
          <w:rFonts w:ascii="仿宋" w:hAnsi="仿宋" w:eastAsia="仿宋"/>
          <w:b w:val="0"/>
          <w:bCs w:val="0"/>
          <w:sz w:val="28"/>
          <w:szCs w:val="28"/>
        </w:rPr>
      </w:pPr>
      <w:r>
        <w:rPr>
          <w:rFonts w:hint="eastAsia" w:ascii="仿宋" w:hAnsi="仿宋" w:eastAsia="仿宋"/>
          <w:sz w:val="28"/>
          <w:szCs w:val="28"/>
        </w:rPr>
        <w:t xml:space="preserve">2</w:t>
      </w:r>
      <w:r>
        <w:rPr>
          <w:rFonts w:hint="eastAsia" w:ascii="仿宋" w:hAnsi="仿宋" w:eastAsia="仿宋"/>
          <w:b w:val="0"/>
          <w:bCs w:val="0"/>
          <w:sz w:val="28"/>
          <w:szCs w:val="28"/>
        </w:rPr>
        <w:t xml:space="preserve">、方案部分:</w:t>
      </w:r>
      <w:r>
        <w:rPr>
          <w:rFonts w:hint="eastAsia" w:ascii="仿宋" w:hAnsi="仿宋" w:eastAsia="仿宋"/>
          <w:b w:val="0"/>
          <w:bCs w:val="0"/>
          <w:sz w:val="28"/>
          <w:szCs w:val="28"/>
          <w:lang w:val="en-US" w:eastAsia="zh-CN"/>
        </w:rPr>
        <w:t xml:space="preserve">4</w:t>
      </w:r>
      <w:r>
        <w:rPr>
          <w:rFonts w:hint="eastAsia" w:ascii="仿宋" w:hAnsi="仿宋" w:eastAsia="仿宋"/>
          <w:b w:val="0"/>
          <w:bCs w:val="0"/>
          <w:sz w:val="28"/>
          <w:szCs w:val="28"/>
        </w:rPr>
        <w:t xml:space="preserve">0分</w:t>
      </w:r>
      <w:r>
        <w:rPr>
          <w:rFonts w:ascii="仿宋" w:hAnsi="仿宋" w:eastAsia="仿宋"/>
          <w:b w:val="0"/>
          <w:bCs w:val="0"/>
          <w:sz w:val="28"/>
          <w:szCs w:val="28"/>
        </w:rPr>
      </w:r>
      <w:r/>
    </w:p>
    <w:p>
      <w:pPr>
        <w:pStyle w:val="659"/>
        <w:ind w:firstLine="560"/>
        <w:spacing w:line="520" w:lineRule="exact"/>
        <w:rPr>
          <w:rFonts w:ascii="仿宋" w:hAnsi="仿宋" w:eastAsia="仿宋"/>
          <w:b w:val="0"/>
          <w:bCs w:val="0"/>
          <w:sz w:val="28"/>
          <w:szCs w:val="28"/>
        </w:rPr>
      </w:pPr>
      <w:r>
        <w:rPr>
          <w:rFonts w:ascii="仿宋" w:hAnsi="仿宋" w:eastAsia="仿宋"/>
          <w:b w:val="0"/>
          <w:bCs w:val="0"/>
          <w:sz w:val="28"/>
          <w:szCs w:val="28"/>
        </w:rPr>
        <w:t xml:space="preserve">评委会根据投标人提供的方案进行评分，不提供分项方案或者经三分之二评委认定分项方案存在重大偏离的，分项方案不得分。</w:t>
      </w:r>
      <w:r>
        <w:rPr>
          <w:rFonts w:ascii="仿宋" w:hAnsi="仿宋" w:eastAsia="仿宋"/>
          <w:b w:val="0"/>
          <w:bCs w:val="0"/>
          <w:sz w:val="28"/>
          <w:szCs w:val="28"/>
        </w:rPr>
      </w:r>
      <w:r/>
    </w:p>
    <w:p>
      <w:pPr>
        <w:pStyle w:val="659"/>
        <w:ind w:firstLine="560"/>
        <w:spacing w:line="520" w:lineRule="exact"/>
        <w:rPr>
          <w:rFonts w:ascii="仿宋" w:hAnsi="仿宋" w:eastAsia="仿宋"/>
          <w:b w:val="0"/>
          <w:bCs w:val="0"/>
          <w:sz w:val="28"/>
          <w:szCs w:val="28"/>
        </w:rPr>
      </w:pPr>
      <w:r>
        <w:rPr>
          <w:rFonts w:hint="eastAsia" w:ascii="仿宋" w:hAnsi="仿宋" w:eastAsia="仿宋"/>
          <w:b w:val="0"/>
          <w:bCs w:val="0"/>
          <w:sz w:val="28"/>
          <w:szCs w:val="28"/>
        </w:rPr>
        <w:t xml:space="preserve">（1）绿化养护管理技术方案：</w:t>
      </w:r>
      <w:r>
        <w:rPr>
          <w:rFonts w:hint="eastAsia" w:ascii="仿宋" w:hAnsi="仿宋" w:eastAsia="仿宋"/>
          <w:b w:val="0"/>
          <w:bCs w:val="0"/>
          <w:sz w:val="28"/>
          <w:szCs w:val="28"/>
          <w:lang w:val="en-US" w:eastAsia="zh-CN"/>
        </w:rPr>
        <w:t xml:space="preserve">34</w:t>
      </w:r>
      <w:r>
        <w:rPr>
          <w:rFonts w:hint="eastAsia" w:ascii="仿宋" w:hAnsi="仿宋" w:eastAsia="仿宋"/>
          <w:b w:val="0"/>
          <w:bCs w:val="0"/>
          <w:sz w:val="28"/>
          <w:szCs w:val="28"/>
        </w:rPr>
        <w:t xml:space="preserve">分</w:t>
      </w:r>
      <w:r>
        <w:rPr>
          <w:rFonts w:ascii="仿宋" w:hAnsi="仿宋" w:eastAsia="仿宋"/>
          <w:b w:val="0"/>
          <w:bCs w:val="0"/>
          <w:sz w:val="28"/>
          <w:szCs w:val="28"/>
        </w:rPr>
      </w:r>
      <w:r/>
    </w:p>
    <w:p>
      <w:pPr>
        <w:pStyle w:val="659"/>
        <w:ind w:firstLine="537"/>
        <w:spacing w:line="520" w:lineRule="exact"/>
        <w:rPr>
          <w:rFonts w:hint="eastAsia" w:ascii="仿宋" w:hAnsi="仿宋" w:eastAsia="仿宋"/>
          <w:b w:val="0"/>
          <w:bCs w:val="0"/>
          <w:sz w:val="28"/>
          <w:szCs w:val="28"/>
        </w:rPr>
      </w:pPr>
      <w:r>
        <w:rPr>
          <w:rFonts w:hint="eastAsia" w:ascii="仿宋" w:hAnsi="仿宋" w:eastAsia="仿宋"/>
          <w:b w:val="0"/>
          <w:bCs w:val="0"/>
          <w:sz w:val="28"/>
          <w:szCs w:val="28"/>
          <w:lang w:val="en-US" w:eastAsia="zh-CN"/>
        </w:rPr>
        <w:t xml:space="preserve">1）</w:t>
      </w:r>
      <w:r>
        <w:rPr>
          <w:rFonts w:hint="eastAsia" w:ascii="仿宋" w:hAnsi="仿宋" w:eastAsia="仿宋"/>
          <w:b w:val="0"/>
          <w:bCs w:val="0"/>
          <w:sz w:val="28"/>
          <w:szCs w:val="28"/>
        </w:rPr>
        <w:t xml:space="preserve">绿地养护措施（</w:t>
      </w:r>
      <w:r>
        <w:rPr>
          <w:rFonts w:hint="eastAsia" w:ascii="仿宋" w:hAnsi="仿宋" w:eastAsia="仿宋"/>
          <w:b w:val="0"/>
          <w:bCs w:val="0"/>
          <w:sz w:val="28"/>
          <w:szCs w:val="28"/>
          <w:lang w:val="en-US" w:eastAsia="zh-CN"/>
        </w:rPr>
        <w:t xml:space="preserve">10</w:t>
      </w:r>
      <w:r>
        <w:rPr>
          <w:rFonts w:hint="eastAsia" w:ascii="仿宋" w:hAnsi="仿宋" w:eastAsia="仿宋"/>
          <w:b w:val="0"/>
          <w:bCs w:val="0"/>
          <w:sz w:val="28"/>
          <w:szCs w:val="28"/>
        </w:rPr>
        <w:t xml:space="preserve">分）</w:t>
      </w:r>
      <w:r>
        <w:rPr>
          <w:rFonts w:hint="eastAsia" w:ascii="仿宋" w:hAnsi="仿宋" w:eastAsia="仿宋"/>
          <w:b w:val="0"/>
          <w:bCs w:val="0"/>
          <w:sz w:val="28"/>
          <w:szCs w:val="28"/>
        </w:rPr>
      </w:r>
      <w:r/>
    </w:p>
    <w:p>
      <w:pPr>
        <w:pStyle w:val="659"/>
        <w:ind w:firstLine="537"/>
        <w:spacing w:line="520" w:lineRule="exact"/>
        <w:rPr>
          <w:rFonts w:ascii="仿宋" w:hAnsi="仿宋" w:eastAsia="仿宋"/>
          <w:b w:val="0"/>
          <w:bCs w:val="0"/>
          <w:sz w:val="28"/>
          <w:szCs w:val="28"/>
          <w:highlight w:val="yellow"/>
        </w:rPr>
      </w:pPr>
      <w:r>
        <w:rPr>
          <w:rFonts w:hint="eastAsia" w:ascii="仿宋" w:hAnsi="仿宋" w:eastAsia="仿宋"/>
          <w:b w:val="0"/>
          <w:bCs w:val="0"/>
          <w:sz w:val="28"/>
          <w:szCs w:val="28"/>
        </w:rPr>
        <w:t xml:space="preserve">树木、草坪、花卉、绿篱及地被等养护措施和养护台账制度的建立应具体详细、符合实际、切实可行的得</w:t>
      </w:r>
      <w:r>
        <w:rPr>
          <w:rFonts w:hint="eastAsia" w:ascii="仿宋" w:hAnsi="仿宋" w:eastAsia="仿宋"/>
          <w:b w:val="0"/>
          <w:bCs w:val="0"/>
          <w:sz w:val="28"/>
          <w:szCs w:val="28"/>
          <w:lang w:val="en-US" w:eastAsia="zh-CN"/>
        </w:rPr>
        <w:t xml:space="preserve">10</w:t>
      </w:r>
      <w:r>
        <w:rPr>
          <w:rFonts w:hint="eastAsia" w:ascii="仿宋" w:hAnsi="仿宋" w:eastAsia="仿宋"/>
          <w:b w:val="0"/>
          <w:bCs w:val="0"/>
          <w:sz w:val="28"/>
          <w:szCs w:val="28"/>
        </w:rPr>
        <w:t xml:space="preserve">分；方案内容较具体详细、基本符合实际、措施相对简单的得</w:t>
      </w:r>
      <w:r>
        <w:rPr>
          <w:rFonts w:hint="eastAsia" w:ascii="仿宋" w:hAnsi="仿宋" w:eastAsia="仿宋"/>
          <w:b w:val="0"/>
          <w:bCs w:val="0"/>
          <w:sz w:val="28"/>
          <w:szCs w:val="28"/>
          <w:lang w:val="en-US" w:eastAsia="zh-CN"/>
        </w:rPr>
        <w:t xml:space="preserve">8</w:t>
      </w:r>
      <w:r>
        <w:rPr>
          <w:rFonts w:hint="eastAsia" w:ascii="仿宋" w:hAnsi="仿宋" w:eastAsia="仿宋"/>
          <w:b w:val="0"/>
          <w:bCs w:val="0"/>
          <w:sz w:val="28"/>
          <w:szCs w:val="28"/>
        </w:rPr>
        <w:t xml:space="preserve">分；方案内容不够具体详细、措施简单、表述不够准确，明晰的得</w:t>
      </w:r>
      <w:r>
        <w:rPr>
          <w:rFonts w:hint="eastAsia" w:ascii="仿宋" w:hAnsi="仿宋" w:eastAsia="仿宋"/>
          <w:b w:val="0"/>
          <w:bCs w:val="0"/>
          <w:sz w:val="28"/>
          <w:szCs w:val="28"/>
          <w:lang w:val="en-US" w:eastAsia="zh-CN"/>
        </w:rPr>
        <w:t xml:space="preserve">6</w:t>
      </w:r>
      <w:r>
        <w:rPr>
          <w:rFonts w:hint="eastAsia" w:ascii="仿宋" w:hAnsi="仿宋" w:eastAsia="仿宋"/>
          <w:b w:val="0"/>
          <w:bCs w:val="0"/>
          <w:sz w:val="28"/>
          <w:szCs w:val="28"/>
        </w:rPr>
        <w:t xml:space="preserve">分。</w:t>
      </w:r>
      <w:r>
        <w:rPr>
          <w:rFonts w:ascii="仿宋" w:hAnsi="仿宋" w:eastAsia="仿宋"/>
          <w:b w:val="0"/>
          <w:bCs w:val="0"/>
          <w:sz w:val="28"/>
          <w:szCs w:val="28"/>
          <w:highlight w:val="yellow"/>
        </w:rPr>
      </w:r>
      <w:r/>
    </w:p>
    <w:p>
      <w:pPr>
        <w:pStyle w:val="659"/>
        <w:numPr>
          <w:ilvl w:val="0"/>
          <w:numId w:val="7"/>
        </w:numPr>
        <w:ind w:firstLine="537"/>
        <w:spacing w:line="52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设施维修措施（</w:t>
      </w:r>
      <w:r>
        <w:rPr>
          <w:rFonts w:hint="eastAsia" w:ascii="仿宋" w:hAnsi="仿宋" w:eastAsia="仿宋"/>
          <w:b w:val="0"/>
          <w:bCs w:val="0"/>
          <w:sz w:val="28"/>
          <w:szCs w:val="28"/>
          <w:lang w:val="en-US" w:eastAsia="zh-CN"/>
        </w:rPr>
        <w:t xml:space="preserve">8</w:t>
      </w:r>
      <w:r>
        <w:rPr>
          <w:rFonts w:hint="eastAsia" w:ascii="仿宋" w:hAnsi="仿宋" w:eastAsia="仿宋"/>
          <w:b w:val="0"/>
          <w:bCs w:val="0"/>
          <w:sz w:val="28"/>
          <w:szCs w:val="28"/>
        </w:rPr>
        <w:t xml:space="preserve">分）</w:t>
      </w:r>
      <w:r>
        <w:rPr>
          <w:rFonts w:hint="eastAsia" w:ascii="仿宋" w:hAnsi="仿宋" w:eastAsia="仿宋"/>
          <w:b w:val="0"/>
          <w:bCs w:val="0"/>
          <w:sz w:val="28"/>
          <w:szCs w:val="28"/>
        </w:rPr>
      </w:r>
      <w:r/>
    </w:p>
    <w:p>
      <w:pPr>
        <w:pStyle w:val="659"/>
        <w:ind w:firstLine="560"/>
        <w:spacing w:line="520" w:lineRule="exact"/>
        <w:rPr>
          <w:rFonts w:ascii="仿宋" w:hAnsi="仿宋" w:eastAsia="仿宋"/>
          <w:b w:val="0"/>
          <w:bCs w:val="0"/>
          <w:sz w:val="28"/>
          <w:szCs w:val="28"/>
          <w:highlight w:val="yellow"/>
        </w:rPr>
      </w:pPr>
      <w:r>
        <w:rPr>
          <w:rFonts w:hint="eastAsia" w:ascii="仿宋" w:hAnsi="仿宋" w:eastAsia="仿宋"/>
          <w:b w:val="0"/>
          <w:bCs w:val="0"/>
          <w:sz w:val="28"/>
          <w:szCs w:val="28"/>
        </w:rPr>
        <w:t xml:space="preserve">设施的保护、维修措施具体详尽、符合实际、切实可行，并承诺维修完成期限的得</w:t>
      </w:r>
      <w:r>
        <w:rPr>
          <w:rFonts w:hint="eastAsia" w:ascii="仿宋" w:hAnsi="仿宋" w:eastAsia="仿宋"/>
          <w:b w:val="0"/>
          <w:bCs w:val="0"/>
          <w:sz w:val="28"/>
          <w:szCs w:val="28"/>
          <w:lang w:val="en-US" w:eastAsia="zh-CN"/>
        </w:rPr>
        <w:t xml:space="preserve">8</w:t>
      </w:r>
      <w:r>
        <w:rPr>
          <w:rFonts w:hint="eastAsia" w:ascii="仿宋" w:hAnsi="仿宋" w:eastAsia="仿宋"/>
          <w:b w:val="0"/>
          <w:bCs w:val="0"/>
          <w:sz w:val="28"/>
          <w:szCs w:val="28"/>
        </w:rPr>
        <w:t xml:space="preserve">分；方案内容较具体详细、基本符合实际、措施相对简单的得</w:t>
      </w:r>
      <w:r>
        <w:rPr>
          <w:rFonts w:hint="eastAsia" w:ascii="仿宋" w:hAnsi="仿宋" w:eastAsia="仿宋"/>
          <w:b w:val="0"/>
          <w:bCs w:val="0"/>
          <w:sz w:val="28"/>
          <w:szCs w:val="28"/>
          <w:lang w:val="en-US" w:eastAsia="zh-CN"/>
        </w:rPr>
        <w:t xml:space="preserve">6</w:t>
      </w:r>
      <w:r>
        <w:rPr>
          <w:rFonts w:hint="eastAsia" w:ascii="仿宋" w:hAnsi="仿宋" w:eastAsia="仿宋"/>
          <w:b w:val="0"/>
          <w:bCs w:val="0"/>
          <w:sz w:val="28"/>
          <w:szCs w:val="28"/>
        </w:rPr>
        <w:t xml:space="preserve">分；方案内容不够具体详细、措施简单、表述不够准确，明晰的得</w:t>
      </w:r>
      <w:r>
        <w:rPr>
          <w:rFonts w:hint="eastAsia" w:ascii="仿宋" w:hAnsi="仿宋" w:eastAsia="仿宋"/>
          <w:b w:val="0"/>
          <w:bCs w:val="0"/>
          <w:sz w:val="28"/>
          <w:szCs w:val="28"/>
          <w:lang w:val="en-US" w:eastAsia="zh-CN"/>
        </w:rPr>
        <w:t xml:space="preserve">4</w:t>
      </w:r>
      <w:r>
        <w:rPr>
          <w:rFonts w:hint="eastAsia" w:ascii="仿宋" w:hAnsi="仿宋" w:eastAsia="仿宋"/>
          <w:b w:val="0"/>
          <w:bCs w:val="0"/>
          <w:sz w:val="28"/>
          <w:szCs w:val="28"/>
        </w:rPr>
        <w:t xml:space="preserve">分。</w:t>
      </w:r>
      <w:r>
        <w:rPr>
          <w:rFonts w:ascii="仿宋" w:hAnsi="仿宋" w:eastAsia="仿宋"/>
          <w:b w:val="0"/>
          <w:bCs w:val="0"/>
          <w:sz w:val="28"/>
          <w:szCs w:val="28"/>
          <w:highlight w:val="yellow"/>
        </w:rPr>
      </w:r>
      <w:r/>
    </w:p>
    <w:p>
      <w:pPr>
        <w:pStyle w:val="659"/>
        <w:numPr>
          <w:ilvl w:val="0"/>
          <w:numId w:val="7"/>
        </w:numPr>
        <w:ind w:firstLine="537"/>
        <w:spacing w:line="520" w:lineRule="exact"/>
        <w:rPr>
          <w:rFonts w:hint="eastAsia" w:ascii="仿宋" w:hAnsi="仿宋" w:eastAsia="仿宋"/>
          <w:b w:val="0"/>
          <w:bCs w:val="0"/>
          <w:sz w:val="28"/>
          <w:szCs w:val="28"/>
        </w:rPr>
      </w:pPr>
      <w:r>
        <w:rPr>
          <w:rFonts w:hint="eastAsia" w:ascii="仿宋" w:hAnsi="仿宋" w:eastAsia="仿宋"/>
          <w:b w:val="0"/>
          <w:bCs w:val="0"/>
          <w:sz w:val="28"/>
          <w:szCs w:val="28"/>
        </w:rPr>
        <w:t xml:space="preserve">所投</w:t>
      </w:r>
      <w:r>
        <w:rPr>
          <w:rFonts w:hint="eastAsia" w:ascii="仿宋" w:hAnsi="仿宋" w:eastAsia="仿宋"/>
          <w:b w:val="0"/>
          <w:bCs w:val="0"/>
          <w:sz w:val="28"/>
          <w:szCs w:val="28"/>
          <w:lang w:val="en-US" w:eastAsia="zh-CN"/>
        </w:rPr>
        <w:t xml:space="preserve">项目</w:t>
      </w:r>
      <w:r>
        <w:rPr>
          <w:rFonts w:hint="eastAsia" w:ascii="仿宋" w:hAnsi="仿宋" w:eastAsia="仿宋"/>
          <w:b w:val="0"/>
          <w:bCs w:val="0"/>
          <w:sz w:val="28"/>
          <w:szCs w:val="28"/>
        </w:rPr>
        <w:t xml:space="preserve">现状进行分析（1</w:t>
      </w:r>
      <w:r>
        <w:rPr>
          <w:rFonts w:hint="eastAsia" w:ascii="仿宋" w:hAnsi="仿宋" w:eastAsia="仿宋"/>
          <w:b w:val="0"/>
          <w:bCs w:val="0"/>
          <w:sz w:val="28"/>
          <w:szCs w:val="28"/>
          <w:lang w:val="en-US" w:eastAsia="zh-CN"/>
        </w:rPr>
        <w:t xml:space="preserve">6</w:t>
      </w:r>
      <w:r>
        <w:rPr>
          <w:rFonts w:hint="eastAsia" w:ascii="仿宋" w:hAnsi="仿宋" w:eastAsia="仿宋"/>
          <w:b w:val="0"/>
          <w:bCs w:val="0"/>
          <w:sz w:val="28"/>
          <w:szCs w:val="28"/>
        </w:rPr>
        <w:t xml:space="preserve">分）</w:t>
      </w:r>
      <w:r>
        <w:rPr>
          <w:rFonts w:hint="eastAsia" w:ascii="仿宋" w:hAnsi="仿宋" w:eastAsia="仿宋"/>
          <w:b w:val="0"/>
          <w:bCs w:val="0"/>
          <w:sz w:val="28"/>
          <w:szCs w:val="28"/>
        </w:rPr>
      </w:r>
      <w:r/>
    </w:p>
    <w:p>
      <w:pPr>
        <w:pStyle w:val="659"/>
        <w:ind w:firstLine="560"/>
        <w:spacing w:line="520" w:lineRule="exact"/>
        <w:rPr>
          <w:rFonts w:ascii="仿宋" w:hAnsi="仿宋" w:eastAsia="仿宋"/>
          <w:b w:val="0"/>
          <w:bCs w:val="0"/>
          <w:sz w:val="28"/>
          <w:szCs w:val="28"/>
          <w:highlight w:val="yellow"/>
        </w:rPr>
      </w:pPr>
      <w:r>
        <w:rPr>
          <w:rFonts w:hint="eastAsia" w:ascii="仿宋" w:hAnsi="仿宋" w:eastAsia="仿宋"/>
          <w:b w:val="0"/>
          <w:bCs w:val="0"/>
          <w:sz w:val="28"/>
          <w:szCs w:val="28"/>
          <w:highlight w:val="none"/>
        </w:rPr>
        <w:t xml:space="preserve">针对性提出今后养护工作的重难点同时提出详尽、符合实际、切实可行的方案措施的得1</w:t>
      </w:r>
      <w:r>
        <w:rPr>
          <w:rFonts w:hint="eastAsia" w:ascii="仿宋" w:hAnsi="仿宋" w:eastAsia="仿宋"/>
          <w:b w:val="0"/>
          <w:bCs w:val="0"/>
          <w:sz w:val="28"/>
          <w:szCs w:val="28"/>
          <w:highlight w:val="none"/>
          <w:lang w:val="en-US" w:eastAsia="zh-CN"/>
        </w:rPr>
        <w:t xml:space="preserve">6</w:t>
      </w:r>
      <w:r>
        <w:rPr>
          <w:rFonts w:hint="eastAsia" w:ascii="仿宋" w:hAnsi="仿宋" w:eastAsia="仿宋"/>
          <w:b w:val="0"/>
          <w:bCs w:val="0"/>
          <w:sz w:val="28"/>
          <w:szCs w:val="28"/>
          <w:highlight w:val="none"/>
        </w:rPr>
        <w:t xml:space="preserve">分；方案内容较具体详细、较</w:t>
      </w:r>
      <w:r>
        <w:rPr>
          <w:rFonts w:hint="eastAsia" w:ascii="仿宋" w:hAnsi="仿宋" w:eastAsia="仿宋"/>
          <w:b w:val="0"/>
          <w:bCs w:val="0"/>
          <w:sz w:val="28"/>
          <w:szCs w:val="28"/>
          <w:highlight w:val="none"/>
          <w:lang w:val="en-US" w:eastAsia="zh-CN"/>
        </w:rPr>
        <w:t xml:space="preserve">为</w:t>
      </w:r>
      <w:r>
        <w:rPr>
          <w:rFonts w:hint="eastAsia" w:ascii="仿宋" w:hAnsi="仿宋" w:eastAsia="仿宋"/>
          <w:b w:val="0"/>
          <w:bCs w:val="0"/>
          <w:sz w:val="28"/>
          <w:szCs w:val="28"/>
          <w:highlight w:val="none"/>
        </w:rPr>
        <w:t xml:space="preserve">符合实际、措施相对可行的得</w:t>
      </w:r>
      <w:r>
        <w:rPr>
          <w:rFonts w:hint="eastAsia" w:ascii="仿宋" w:hAnsi="仿宋" w:eastAsia="仿宋"/>
          <w:b w:val="0"/>
          <w:bCs w:val="0"/>
          <w:sz w:val="28"/>
          <w:szCs w:val="28"/>
          <w:highlight w:val="none"/>
          <w:lang w:val="en-US" w:eastAsia="zh-CN"/>
        </w:rPr>
        <w:t xml:space="preserve">12</w:t>
      </w:r>
      <w:r>
        <w:rPr>
          <w:rFonts w:hint="eastAsia" w:ascii="仿宋" w:hAnsi="仿宋" w:eastAsia="仿宋"/>
          <w:b w:val="0"/>
          <w:bCs w:val="0"/>
          <w:sz w:val="28"/>
          <w:szCs w:val="28"/>
          <w:highlight w:val="none"/>
        </w:rPr>
        <w:t xml:space="preserve">分；方案内容</w:t>
      </w:r>
      <w:r>
        <w:rPr>
          <w:rFonts w:hint="eastAsia" w:ascii="仿宋" w:hAnsi="仿宋" w:eastAsia="仿宋"/>
          <w:b w:val="0"/>
          <w:bCs w:val="0"/>
          <w:sz w:val="28"/>
          <w:szCs w:val="28"/>
          <w:highlight w:val="none"/>
          <w:lang w:val="en-US" w:eastAsia="zh-CN"/>
        </w:rPr>
        <w:t xml:space="preserve">一般</w:t>
      </w:r>
      <w:r>
        <w:rPr>
          <w:rFonts w:hint="eastAsia" w:ascii="仿宋" w:hAnsi="仿宋" w:eastAsia="仿宋"/>
          <w:b w:val="0"/>
          <w:bCs w:val="0"/>
          <w:sz w:val="28"/>
          <w:szCs w:val="28"/>
          <w:highlight w:val="none"/>
        </w:rPr>
        <w:t xml:space="preserve">、</w:t>
      </w:r>
      <w:r>
        <w:rPr>
          <w:rFonts w:hint="eastAsia" w:ascii="仿宋" w:hAnsi="仿宋" w:eastAsia="仿宋"/>
          <w:b w:val="0"/>
          <w:bCs w:val="0"/>
          <w:sz w:val="28"/>
          <w:szCs w:val="28"/>
          <w:highlight w:val="none"/>
          <w:lang w:val="en-US" w:eastAsia="zh-CN"/>
        </w:rPr>
        <w:t xml:space="preserve">基本</w:t>
      </w:r>
      <w:r>
        <w:rPr>
          <w:rFonts w:hint="eastAsia" w:ascii="仿宋" w:hAnsi="仿宋" w:eastAsia="仿宋"/>
          <w:b w:val="0"/>
          <w:bCs w:val="0"/>
          <w:sz w:val="28"/>
          <w:szCs w:val="28"/>
          <w:highlight w:val="none"/>
        </w:rPr>
        <w:t xml:space="preserve">符合实际、措施</w:t>
      </w:r>
      <w:r>
        <w:rPr>
          <w:rFonts w:hint="eastAsia" w:ascii="仿宋" w:hAnsi="仿宋" w:eastAsia="仿宋"/>
          <w:b w:val="0"/>
          <w:bCs w:val="0"/>
          <w:sz w:val="28"/>
          <w:szCs w:val="28"/>
          <w:highlight w:val="none"/>
          <w:lang w:val="en-US" w:eastAsia="zh-CN"/>
        </w:rPr>
        <w:t xml:space="preserve">相对简单</w:t>
      </w:r>
      <w:r>
        <w:rPr>
          <w:rFonts w:hint="eastAsia" w:ascii="仿宋" w:hAnsi="仿宋" w:eastAsia="仿宋"/>
          <w:b w:val="0"/>
          <w:bCs w:val="0"/>
          <w:sz w:val="28"/>
          <w:szCs w:val="28"/>
          <w:highlight w:val="none"/>
        </w:rPr>
        <w:t xml:space="preserve">的得</w:t>
      </w:r>
      <w:r>
        <w:rPr>
          <w:rFonts w:hint="eastAsia" w:ascii="仿宋" w:hAnsi="仿宋" w:eastAsia="仿宋"/>
          <w:b w:val="0"/>
          <w:bCs w:val="0"/>
          <w:sz w:val="28"/>
          <w:szCs w:val="28"/>
          <w:highlight w:val="none"/>
          <w:lang w:val="en-US" w:eastAsia="zh-CN"/>
        </w:rPr>
        <w:t xml:space="preserve">8</w:t>
      </w:r>
      <w:r>
        <w:rPr>
          <w:rFonts w:hint="eastAsia" w:ascii="仿宋" w:hAnsi="仿宋" w:eastAsia="仿宋"/>
          <w:b w:val="0"/>
          <w:bCs w:val="0"/>
          <w:sz w:val="28"/>
          <w:szCs w:val="28"/>
          <w:highlight w:val="none"/>
        </w:rPr>
        <w:t xml:space="preserve">分；方案内容不够具体详细、措施简单、表述不够准确，明晰的得</w:t>
      </w:r>
      <w:r>
        <w:rPr>
          <w:rFonts w:hint="eastAsia" w:ascii="仿宋" w:hAnsi="仿宋" w:eastAsia="仿宋"/>
          <w:b w:val="0"/>
          <w:bCs w:val="0"/>
          <w:sz w:val="28"/>
          <w:szCs w:val="28"/>
          <w:highlight w:val="none"/>
          <w:lang w:val="en-US" w:eastAsia="zh-CN"/>
        </w:rPr>
        <w:t xml:space="preserve">4</w:t>
      </w:r>
      <w:r>
        <w:rPr>
          <w:rFonts w:hint="eastAsia" w:ascii="仿宋" w:hAnsi="仿宋" w:eastAsia="仿宋"/>
          <w:b w:val="0"/>
          <w:bCs w:val="0"/>
          <w:sz w:val="28"/>
          <w:szCs w:val="28"/>
          <w:highlight w:val="none"/>
        </w:rPr>
        <w:t xml:space="preserve">分。</w:t>
      </w:r>
      <w:r>
        <w:rPr>
          <w:rFonts w:ascii="仿宋" w:hAnsi="仿宋" w:eastAsia="仿宋"/>
          <w:b w:val="0"/>
          <w:bCs w:val="0"/>
          <w:sz w:val="28"/>
          <w:szCs w:val="28"/>
          <w:highlight w:val="yellow"/>
        </w:rPr>
      </w:r>
      <w:r/>
    </w:p>
    <w:p>
      <w:pPr>
        <w:pStyle w:val="659"/>
        <w:ind w:firstLine="560"/>
        <w:spacing w:line="520" w:lineRule="exact"/>
        <w:rPr>
          <w:rFonts w:ascii="仿宋" w:hAnsi="仿宋" w:eastAsia="仿宋"/>
          <w:b w:val="0"/>
          <w:bCs w:val="0"/>
          <w:sz w:val="28"/>
          <w:szCs w:val="28"/>
        </w:rPr>
      </w:pPr>
      <w:r>
        <w:rPr>
          <w:rFonts w:hint="eastAsia" w:ascii="仿宋" w:hAnsi="仿宋" w:eastAsia="仿宋"/>
          <w:b w:val="0"/>
          <w:bCs w:val="0"/>
          <w:sz w:val="28"/>
          <w:szCs w:val="28"/>
        </w:rPr>
        <w:t xml:space="preserve">（2）安全文明管养措施:</w:t>
      </w:r>
      <w:r>
        <w:rPr>
          <w:rFonts w:hint="eastAsia" w:ascii="仿宋" w:hAnsi="仿宋" w:eastAsia="仿宋"/>
          <w:b w:val="0"/>
          <w:bCs w:val="0"/>
          <w:sz w:val="28"/>
          <w:szCs w:val="28"/>
          <w:lang w:val="en-US" w:eastAsia="zh-CN"/>
        </w:rPr>
        <w:t xml:space="preserve">6</w:t>
      </w:r>
      <w:r>
        <w:rPr>
          <w:rFonts w:hint="eastAsia" w:ascii="仿宋" w:hAnsi="仿宋" w:eastAsia="仿宋"/>
          <w:b w:val="0"/>
          <w:bCs w:val="0"/>
          <w:sz w:val="28"/>
          <w:szCs w:val="28"/>
        </w:rPr>
        <w:t xml:space="preserve">分</w:t>
      </w:r>
      <w:r>
        <w:rPr>
          <w:rFonts w:ascii="仿宋" w:hAnsi="仿宋" w:eastAsia="仿宋"/>
          <w:b w:val="0"/>
          <w:bCs w:val="0"/>
          <w:sz w:val="28"/>
          <w:szCs w:val="28"/>
        </w:rPr>
      </w:r>
      <w:r/>
    </w:p>
    <w:p>
      <w:pPr>
        <w:pStyle w:val="659"/>
        <w:ind w:firstLine="560"/>
        <w:spacing w:line="520" w:lineRule="exact"/>
        <w:rPr>
          <w:rFonts w:ascii="仿宋" w:hAnsi="仿宋" w:eastAsia="仿宋"/>
          <w:b w:val="0"/>
          <w:bCs w:val="0"/>
          <w:sz w:val="28"/>
          <w:szCs w:val="28"/>
        </w:rPr>
      </w:pPr>
      <w:r>
        <w:rPr>
          <w:rFonts w:hint="eastAsia" w:ascii="仿宋" w:hAnsi="仿宋" w:eastAsia="仿宋"/>
          <w:b w:val="0"/>
          <w:bCs w:val="0"/>
          <w:sz w:val="28"/>
          <w:szCs w:val="28"/>
        </w:rPr>
        <w:t xml:space="preserve">投标人提供的安全文明管养措施方案，措施方案包括灾害性天气和突发事件（如交通事故）应急预案、恶劣天气应急预案、抢险救灾措施等内容。</w:t>
      </w:r>
      <w:r>
        <w:rPr>
          <w:rFonts w:ascii="仿宋" w:hAnsi="仿宋" w:eastAsia="仿宋"/>
          <w:b w:val="0"/>
          <w:bCs w:val="0"/>
          <w:sz w:val="28"/>
          <w:szCs w:val="28"/>
        </w:rPr>
      </w:r>
      <w:r/>
    </w:p>
    <w:p>
      <w:pPr>
        <w:pStyle w:val="659"/>
        <w:ind w:firstLine="537"/>
        <w:spacing w:line="520" w:lineRule="exact"/>
        <w:rPr>
          <w:rFonts w:ascii="仿宋" w:hAnsi="仿宋" w:eastAsia="仿宋"/>
          <w:b w:val="0"/>
          <w:bCs w:val="0"/>
          <w:sz w:val="28"/>
          <w:szCs w:val="28"/>
          <w:highlight w:val="yellow"/>
        </w:rPr>
      </w:pPr>
      <w:r>
        <w:rPr>
          <w:rFonts w:hint="eastAsia" w:ascii="仿宋" w:hAnsi="仿宋" w:eastAsia="仿宋"/>
          <w:b w:val="0"/>
          <w:bCs w:val="0"/>
          <w:sz w:val="28"/>
          <w:szCs w:val="28"/>
        </w:rPr>
        <w:t xml:space="preserve">方案内容具体详细、基本符合实际、措施切实可行的得</w:t>
      </w:r>
      <w:r>
        <w:rPr>
          <w:rFonts w:hint="eastAsia" w:ascii="仿宋" w:hAnsi="仿宋" w:eastAsia="仿宋"/>
          <w:b w:val="0"/>
          <w:bCs w:val="0"/>
          <w:sz w:val="28"/>
          <w:szCs w:val="28"/>
          <w:lang w:val="en-US" w:eastAsia="zh-CN"/>
        </w:rPr>
        <w:t xml:space="preserve">6</w:t>
      </w:r>
      <w:r>
        <w:rPr>
          <w:rFonts w:hint="eastAsia" w:ascii="仿宋" w:hAnsi="仿宋" w:eastAsia="仿宋"/>
          <w:b w:val="0"/>
          <w:bCs w:val="0"/>
          <w:sz w:val="28"/>
          <w:szCs w:val="28"/>
        </w:rPr>
        <w:t xml:space="preserve">分。方案内容不够具体详细、措施简单、表述不够准确，明晰的得3分。</w:t>
      </w:r>
      <w:r>
        <w:rPr>
          <w:rFonts w:ascii="仿宋" w:hAnsi="仿宋" w:eastAsia="仿宋"/>
          <w:b w:val="0"/>
          <w:bCs w:val="0"/>
          <w:sz w:val="28"/>
          <w:szCs w:val="28"/>
          <w:highlight w:val="yellow"/>
        </w:rPr>
      </w:r>
      <w:r/>
    </w:p>
    <w:p>
      <w:pPr>
        <w:pStyle w:val="659"/>
        <w:ind w:firstLine="562"/>
        <w:spacing w:line="520" w:lineRule="exact"/>
        <w:rPr>
          <w:rFonts w:ascii="仿宋" w:hAnsi="仿宋" w:eastAsia="仿宋"/>
          <w:b/>
          <w:bCs/>
          <w:sz w:val="28"/>
          <w:szCs w:val="28"/>
        </w:rPr>
      </w:pPr>
      <w:r>
        <w:rPr>
          <w:rFonts w:hint="eastAsia" w:ascii="仿宋" w:hAnsi="仿宋" w:eastAsia="仿宋"/>
          <w:b/>
          <w:bCs/>
          <w:sz w:val="28"/>
          <w:szCs w:val="28"/>
        </w:rPr>
        <w:t xml:space="preserve">注：本项目的方案部分采用暗标方式进行评审，供应商需按照第二章“投标人须知”第17条的要求编制方案，未按要求编制的本项不得分。</w:t>
      </w:r>
      <w:r>
        <w:rPr>
          <w:rFonts w:ascii="仿宋" w:hAnsi="仿宋" w:eastAsia="仿宋"/>
          <w:b/>
          <w:bCs/>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、商务部分：50分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(1)全年技术工人及管理人员配备情况：17分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①配备绿化高级工及以上人数为3人得2分，人数在4人及以上的得4分。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②配备绿化中级工人数为3人得2分，人数在4人及以上的得4分。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③配备园林绿化中级职称及以上职称人数为2人的得2分，人数在4人及以上的得4分。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④配备园林绿化初级职称人数为2人的得2分，人数在4人及以上的得4分。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⑤配备高空作业操作证人数为2人得1分。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注：投标人参加投标时上述所有参与打分人员不重复计分，需提供相关技术工人的姓名、身份证号码、证书（扫描件并加盖投标人电子签章）以及投标人为其缴纳的自2024年以来任意一个月社会保险证明（扫描件并加盖投标人电子签章），未提供或提供不全的均不得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(2)投标人针对本次项目配置设备情况:29分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①配备1台及以上运输装载汽车的得2分；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②配备1台及以上高空作业车的得3分；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③配备6台草坪机的得2分,每增加3台加1分，最高得4分；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④配备6台割灌机的得2分，每增加3台加1分，最高得4分；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⑤配备6台绿篱机的得2分，每增加3台加1分，最高得4分；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⑥配备3台油锯得1分，每增加2台得0.5分，最高得2分；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⑦配备3台水泵得1分，每增加2台得0.5分，最高得2分；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⑧配备1台荷载量4吨-10吨的洒水车的得2分；配备2台或以上荷载量4吨-10吨的洒水车的得4分。本项最高得4分；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⑨配备2打药机的得1分，每增加1台得0.5分，最高得2分；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⑩配备1台及以上水面保洁和水生植物清理作业的船只的得2分，最高得2分。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）上述车辆及设备需提供本单位自有专业车辆行驶证、自有机具购买发票（扫描件并加盖投标人电子签章），未提供或提供不全的均不得分。</w:t>
      </w:r>
      <w:r>
        <w:rPr>
          <w:rFonts w:hint="eastAsia" w:ascii="仿宋" w:hAnsi="仿宋" w:eastAsia="仿宋"/>
          <w:sz w:val="28"/>
          <w:szCs w:val="28"/>
        </w:rPr>
      </w:r>
      <w:r/>
    </w:p>
    <w:p>
      <w:pPr>
        <w:pStyle w:val="659"/>
        <w:ind w:firstLine="560"/>
        <w:spacing w:line="520" w:lineRule="exact"/>
        <w:tabs>
          <w:tab w:val="left" w:pos="180" w:leader="none"/>
        </w:tabs>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2）上述车辆需具有淮安市区禁区通行证，没有的需提供中标后签订合同前办理完毕所有车辆的淮安市区禁区通行证书面承诺函，否则不得分。</w:t>
      </w:r>
      <w:r>
        <w:rPr>
          <w:rFonts w:hint="eastAsia" w:ascii="仿宋" w:hAnsi="仿宋" w:eastAsia="仿宋" w:cs="Times New Roman"/>
          <w:sz w:val="28"/>
          <w:szCs w:val="28"/>
          <w:lang w:val="en-US" w:eastAsia="zh-CN"/>
        </w:rPr>
      </w:r>
      <w:r/>
    </w:p>
    <w:p>
      <w:pPr>
        <w:pStyle w:val="659"/>
        <w:ind w:firstLine="560"/>
        <w:spacing w:line="520" w:lineRule="exact"/>
        <w:tabs>
          <w:tab w:val="left" w:pos="180" w:leader="none"/>
        </w:tabs>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（3）投标人自2020年以来（以合同签订时间为准）承接城市公园、游园、滨河风光带等城市公共园林绿化养护类似业绩的（包含正在执行的养护合同），每提供一个得2分，本项最多得4分，没有不得分。</w:t>
      </w:r>
      <w:r>
        <w:rPr>
          <w:rFonts w:hint="eastAsia" w:ascii="仿宋" w:hAnsi="仿宋" w:eastAsia="仿宋" w:cs="Times New Roman"/>
          <w:sz w:val="28"/>
          <w:szCs w:val="28"/>
          <w:lang w:val="en-US" w:eastAsia="zh-CN"/>
        </w:rPr>
      </w:r>
      <w:r/>
    </w:p>
    <w:p>
      <w:pPr>
        <w:pStyle w:val="659"/>
        <w:ind w:firstLine="560"/>
        <w:jc w:val="center"/>
        <w:spacing w:line="520" w:lineRule="exact"/>
        <w:tabs>
          <w:tab w:val="left" w:pos="180" w:leader="none"/>
        </w:tabs>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59"/>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81"/>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681"/>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659"/>
        <w:spacing w:line="52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甲方:</w:t>
      </w:r>
      <w:r>
        <w:rPr>
          <w:rFonts w:hint="eastAsia" w:ascii="仿宋" w:hAnsi="仿宋" w:eastAsia="仿宋"/>
          <w:color w:val="000000"/>
          <w:sz w:val="28"/>
          <w:highlight w:val="none"/>
          <w:u w:val="single"/>
        </w:rPr>
        <w:t xml:space="preserve">淮安市园林绿化管理中心</w:t>
      </w:r>
      <w:r>
        <w:rPr>
          <w:rFonts w:hint="eastAsia" w:ascii="仿宋" w:hAnsi="仿宋" w:eastAsia="仿宋"/>
          <w:color w:val="000000"/>
          <w:sz w:val="28"/>
          <w:highlight w:val="none"/>
          <w:u w:val="single"/>
        </w:rPr>
      </w:r>
      <w:r/>
    </w:p>
    <w:p>
      <w:pPr>
        <w:pStyle w:val="659"/>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乙方:</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u w:val="single"/>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r>
      <w:r/>
    </w:p>
    <w:p>
      <w:pPr>
        <w:pStyle w:val="659"/>
        <w:ind w:firstLine="523"/>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根据《中华人民共和国</w:t>
      </w:r>
      <w:r>
        <w:rPr>
          <w:rFonts w:hint="eastAsia" w:ascii="仿宋" w:hAnsi="仿宋" w:eastAsia="仿宋"/>
          <w:color w:val="000000"/>
          <w:sz w:val="28"/>
          <w:highlight w:val="none"/>
          <w:lang w:val="en-US" w:eastAsia="zh-CN"/>
        </w:rPr>
        <w:t xml:space="preserve">民法典</w:t>
      </w:r>
      <w:r>
        <w:rPr>
          <w:rFonts w:hint="eastAsia" w:ascii="仿宋" w:hAnsi="仿宋" w:eastAsia="仿宋"/>
          <w:color w:val="000000"/>
          <w:sz w:val="28"/>
          <w:highlight w:val="none"/>
        </w:rPr>
        <w:t xml:space="preserve">》、及期他有关法律、行政法规、遵循平等、自愿、公平的原则，在双方承诺招标文件全部内容（含招标补充文件）和被认定的投标文件（及补充说明）全部内容的基础上，协商一致，订立本合同。</w:t>
      </w:r>
      <w:r>
        <w:rPr>
          <w:rFonts w:ascii="仿宋" w:hAnsi="仿宋" w:eastAsia="仿宋"/>
          <w:color w:val="000000"/>
          <w:sz w:val="28"/>
          <w:highlight w:val="none"/>
        </w:rPr>
      </w:r>
      <w:r/>
    </w:p>
    <w:p>
      <w:pPr>
        <w:pStyle w:val="659"/>
        <w:ind w:firstLine="523"/>
        <w:jc w:val="left"/>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一、项目概况</w:t>
      </w:r>
      <w:r>
        <w:rPr>
          <w:rFonts w:ascii="仿宋" w:hAnsi="仿宋" w:eastAsia="仿宋"/>
          <w:color w:val="000000"/>
          <w:sz w:val="28"/>
          <w:highlight w:val="none"/>
        </w:rPr>
      </w:r>
      <w:r/>
    </w:p>
    <w:p>
      <w:pPr>
        <w:pStyle w:val="659"/>
        <w:ind w:firstLine="560"/>
        <w:spacing w:line="520" w:lineRule="exact"/>
        <w:rPr>
          <w:rFonts w:hint="eastAsia" w:ascii="仿宋" w:hAnsi="仿宋" w:eastAsia="仿宋"/>
          <w:color w:val="000000"/>
          <w:sz w:val="28"/>
          <w:szCs w:val="28"/>
          <w:highlight w:val="none"/>
          <w:u w:val="single"/>
          <w:lang w:val="en-US" w:eastAsia="zh-CN"/>
        </w:rPr>
      </w:pPr>
      <w:r>
        <w:rPr>
          <w:rFonts w:hint="eastAsia" w:ascii="仿宋" w:hAnsi="仿宋" w:eastAsia="仿宋"/>
          <w:color w:val="000000"/>
          <w:sz w:val="28"/>
          <w:highlight w:val="none"/>
        </w:rPr>
        <w:t xml:space="preserve">项目名称:</w:t>
      </w: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淮安市2024年公园绿化养护管理</w:t>
      </w:r>
      <w:r>
        <w:rPr>
          <w:rFonts w:hint="eastAsia" w:ascii="仿宋" w:hAnsi="仿宋" w:eastAsia="仿宋"/>
          <w:color w:val="000000"/>
          <w:sz w:val="28"/>
          <w:szCs w:val="28"/>
          <w:highlight w:val="none"/>
          <w:u w:val="single"/>
          <w:lang w:val="en-US" w:eastAsia="zh-CN"/>
        </w:rPr>
      </w:r>
      <w:r/>
    </w:p>
    <w:p>
      <w:pPr>
        <w:pStyle w:val="659"/>
        <w:ind w:firstLine="560"/>
        <w:spacing w:line="52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养护内容</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u w:val="single"/>
          <w:lang w:val="en-US" w:eastAsia="zh-CN"/>
        </w:rPr>
        <w:t xml:space="preserve">详见第五章“项目采购需求”第三部分主要服务内容</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rPr>
      </w:r>
      <w:r/>
    </w:p>
    <w:p>
      <w:pPr>
        <w:pStyle w:val="659"/>
        <w:ind w:firstLine="560"/>
        <w:spacing w:line="520" w:lineRule="exact"/>
        <w:rPr>
          <w:rFonts w:hint="eastAsia" w:ascii="仿宋" w:hAnsi="仿宋" w:eastAsia="仿宋"/>
          <w:bCs/>
          <w:color w:val="000000"/>
          <w:sz w:val="28"/>
          <w:highlight w:val="none"/>
          <w:u w:val="single"/>
        </w:rPr>
      </w:pPr>
      <w:r>
        <w:rPr>
          <w:rFonts w:hint="eastAsia" w:ascii="仿宋" w:hAnsi="仿宋" w:eastAsia="仿宋"/>
          <w:bCs/>
          <w:color w:val="000000"/>
          <w:sz w:val="28"/>
          <w:highlight w:val="none"/>
        </w:rPr>
        <w:t xml:space="preserve">养护质量等级:</w:t>
      </w:r>
      <w:r>
        <w:rPr>
          <w:rFonts w:hint="eastAsia" w:ascii="仿宋" w:hAnsi="仿宋" w:eastAsia="仿宋"/>
          <w:bCs/>
          <w:color w:val="000000"/>
          <w:sz w:val="28"/>
          <w:highlight w:val="none"/>
          <w:u w:val="single"/>
        </w:rPr>
        <w:t xml:space="preserve">  </w:t>
      </w:r>
      <w:r>
        <w:rPr>
          <w:rFonts w:hint="eastAsia" w:ascii="仿宋" w:hAnsi="仿宋" w:eastAsia="仿宋"/>
          <w:bCs/>
          <w:color w:val="000000"/>
          <w:sz w:val="28"/>
          <w:highlight w:val="none"/>
          <w:u w:val="single"/>
          <w:lang w:val="en-US" w:eastAsia="zh-CN"/>
        </w:rPr>
        <w:t xml:space="preserve">一级</w:t>
      </w:r>
      <w:r>
        <w:rPr>
          <w:rFonts w:hint="eastAsia" w:ascii="仿宋" w:hAnsi="仿宋" w:eastAsia="仿宋"/>
          <w:bCs/>
          <w:color w:val="000000"/>
          <w:sz w:val="28"/>
          <w:highlight w:val="none"/>
          <w:u w:val="single"/>
        </w:rPr>
        <w:t xml:space="preserve"> </w:t>
      </w:r>
      <w:r>
        <w:rPr>
          <w:rFonts w:hint="eastAsia" w:ascii="仿宋" w:hAnsi="仿宋" w:eastAsia="仿宋"/>
          <w:bCs/>
          <w:color w:val="000000"/>
          <w:sz w:val="28"/>
          <w:highlight w:val="none"/>
          <w:u w:val="single"/>
          <w:lang w:val="en-US" w:eastAsia="zh-CN"/>
        </w:rPr>
        <w:t xml:space="preserve">  </w:t>
      </w:r>
      <w:r>
        <w:rPr>
          <w:rFonts w:hint="eastAsia" w:ascii="仿宋" w:hAnsi="仿宋" w:eastAsia="仿宋"/>
          <w:bCs/>
          <w:color w:val="000000"/>
          <w:sz w:val="28"/>
          <w:highlight w:val="none"/>
          <w:u w:val="single"/>
        </w:rPr>
        <w:t xml:space="preserve"> </w:t>
      </w:r>
      <w:r>
        <w:rPr>
          <w:rFonts w:hint="eastAsia" w:ascii="仿宋" w:hAnsi="仿宋" w:eastAsia="仿宋"/>
          <w:bCs/>
          <w:color w:val="000000"/>
          <w:sz w:val="28"/>
          <w:highlight w:val="none"/>
          <w:u w:val="single"/>
        </w:rPr>
      </w:r>
      <w:r/>
    </w:p>
    <w:p>
      <w:pPr>
        <w:pStyle w:val="659"/>
        <w:ind w:firstLine="560"/>
        <w:spacing w:line="520" w:lineRule="exact"/>
        <w:rPr>
          <w:rFonts w:hint="eastAsia" w:ascii="仿宋" w:hAnsi="仿宋" w:eastAsia="仿宋" w:cs="仿宋"/>
          <w:color w:val="000000"/>
          <w:sz w:val="28"/>
          <w:szCs w:val="28"/>
          <w:highlight w:val="none"/>
          <w:lang w:bidi="ar"/>
        </w:rPr>
      </w:pPr>
      <w:r>
        <w:rPr>
          <w:rFonts w:hint="eastAsia" w:ascii="仿宋" w:hAnsi="仿宋" w:eastAsia="仿宋"/>
          <w:bCs/>
          <w:color w:val="000000"/>
          <w:sz w:val="28"/>
          <w:szCs w:val="28"/>
          <w:highlight w:val="none"/>
        </w:rPr>
        <w:t xml:space="preserve">中标人对涉及</w:t>
      </w:r>
      <w:r>
        <w:rPr>
          <w:rFonts w:hint="eastAsia" w:ascii="仿宋" w:hAnsi="仿宋" w:eastAsia="仿宋" w:cs="仿宋"/>
          <w:color w:val="000000"/>
          <w:sz w:val="28"/>
          <w:szCs w:val="28"/>
          <w:highlight w:val="none"/>
          <w:lang w:bidi="ar"/>
        </w:rPr>
        <w:t xml:space="preserve">商品的</w:t>
      </w:r>
      <w:r>
        <w:rPr>
          <w:rFonts w:ascii="仿宋" w:hAnsi="仿宋" w:eastAsia="仿宋" w:cs="仿宋"/>
          <w:color w:val="000000"/>
          <w:sz w:val="28"/>
          <w:szCs w:val="28"/>
          <w:highlight w:val="none"/>
          <w:lang w:bidi="ar"/>
        </w:rPr>
        <w:t xml:space="preserve">包装应按照“财办库〔2020〕123号《关于印发《商品包装政府采购需求标准（试行）》、《快递包装政府采购需求标准（试行）》的通知》”执行</w:t>
      </w:r>
      <w:r>
        <w:rPr>
          <w:rFonts w:hint="eastAsia" w:ascii="仿宋" w:hAnsi="仿宋" w:eastAsia="仿宋" w:cs="仿宋"/>
          <w:color w:val="000000"/>
          <w:sz w:val="28"/>
          <w:szCs w:val="28"/>
          <w:highlight w:val="none"/>
          <w:lang w:bidi="ar"/>
        </w:rPr>
        <w:t xml:space="preserve">；涉及设备运维参考《绿色数据中心政府采购需求标准（试行）》（财库【2023】7号文）执行。中标人应提供绿化利用率，倡导城市绿化低碳环保理念、因地制宜促进资源的可持续性发展。</w:t>
      </w:r>
      <w:r>
        <w:rPr>
          <w:rFonts w:hint="eastAsia" w:ascii="仿宋" w:hAnsi="仿宋" w:eastAsia="仿宋" w:cs="仿宋"/>
          <w:color w:val="000000"/>
          <w:sz w:val="28"/>
          <w:szCs w:val="28"/>
          <w:highlight w:val="none"/>
          <w:lang w:bidi="ar"/>
        </w:rPr>
      </w:r>
      <w:r/>
    </w:p>
    <w:p>
      <w:pPr>
        <w:pStyle w:val="659"/>
        <w:numPr>
          <w:ilvl w:val="0"/>
          <w:numId w:val="0"/>
        </w:numPr>
        <w:ind w:firstLine="560"/>
        <w:spacing w:line="520" w:lineRule="exact"/>
        <w:rPr>
          <w:rFonts w:ascii="仿宋" w:hAnsi="仿宋" w:eastAsia="仿宋"/>
          <w:color w:val="000000"/>
          <w:sz w:val="28"/>
          <w:highlight w:val="none"/>
          <w:u w:val="single"/>
        </w:rPr>
      </w:pPr>
      <w:r>
        <w:rPr>
          <w:rFonts w:hint="eastAsia" w:ascii="仿宋" w:hAnsi="仿宋" w:eastAsia="仿宋" w:cs="Times New Roman"/>
          <w:color w:val="000000"/>
          <w:sz w:val="28"/>
          <w:highlight w:val="none"/>
          <w:lang w:val="en-US" w:eastAsia="zh-CN"/>
        </w:rPr>
        <w:t xml:space="preserve">二、</w:t>
      </w:r>
      <w:r>
        <w:rPr>
          <w:rFonts w:hint="eastAsia" w:ascii="仿宋" w:hAnsi="仿宋" w:eastAsia="仿宋"/>
          <w:color w:val="000000"/>
          <w:sz w:val="28"/>
          <w:highlight w:val="none"/>
        </w:rPr>
        <w:t xml:space="preserve">养护范围:</w:t>
      </w:r>
      <w:r>
        <w:rPr>
          <w:rFonts w:hint="eastAsia" w:ascii="仿宋" w:hAnsi="仿宋" w:eastAsia="仿宋"/>
          <w:color w:val="000000"/>
          <w:sz w:val="28"/>
          <w:highlight w:val="none"/>
          <w:u w:val="single"/>
          <w:lang w:val="en-US" w:eastAsia="zh-CN"/>
        </w:rPr>
        <w:t xml:space="preserve">详见第五章“项目采购需求”第五部分设施量清单中注明绿地范围</w:t>
      </w:r>
      <w:r>
        <w:rPr>
          <w:rFonts w:ascii="仿宋" w:hAnsi="仿宋" w:eastAsia="仿宋"/>
          <w:color w:val="000000"/>
          <w:sz w:val="28"/>
          <w:highlight w:val="none"/>
          <w:u w:val="single"/>
        </w:rPr>
        <w:t xml:space="preserve"> </w:t>
      </w:r>
      <w:r>
        <w:rPr>
          <w:rFonts w:ascii="仿宋" w:hAnsi="仿宋" w:eastAsia="仿宋"/>
          <w:color w:val="000000"/>
          <w:sz w:val="28"/>
          <w:highlight w:val="none"/>
          <w:u w:val="single"/>
        </w:rPr>
      </w:r>
      <w:r/>
    </w:p>
    <w:p>
      <w:pPr>
        <w:pStyle w:val="659"/>
        <w:numPr>
          <w:ilvl w:val="0"/>
          <w:numId w:val="0"/>
        </w:numPr>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三、养护期限</w:t>
      </w:r>
      <w:r>
        <w:rPr>
          <w:rFonts w:hint="eastAsia" w:ascii="仿宋" w:hAnsi="仿宋" w:eastAsia="仿宋"/>
          <w:color w:val="000000"/>
          <w:sz w:val="28"/>
          <w:highlight w:val="none"/>
        </w:rPr>
      </w:r>
      <w:r/>
    </w:p>
    <w:p>
      <w:pPr>
        <w:pStyle w:val="659"/>
        <w:ind w:firstLine="560"/>
        <w:spacing w:line="520" w:lineRule="exact"/>
        <w:tabs>
          <w:tab w:val="left" w:pos="180" w:leader="none"/>
        </w:tabs>
        <w:rPr>
          <w:rFonts w:hint="eastAsia" w:ascii="仿宋" w:hAnsi="仿宋" w:eastAsia="仿宋"/>
          <w:color w:val="000000"/>
          <w:sz w:val="28"/>
          <w:highlight w:val="none"/>
        </w:rPr>
      </w:pP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年</w:t>
      </w: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月</w:t>
      </w: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日起至</w:t>
      </w: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olor w:val="000000"/>
          <w:sz w:val="28"/>
          <w:highlight w:val="none"/>
        </w:rPr>
        <w:t xml:space="preserve">年</w:t>
      </w: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月</w:t>
      </w:r>
      <w:r>
        <w:rPr>
          <w:rFonts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日，为</w:t>
      </w:r>
      <w:r>
        <w:rPr>
          <w:rFonts w:hint="eastAsia" w:ascii="仿宋" w:hAnsi="仿宋" w:eastAsia="仿宋"/>
          <w:color w:val="000000"/>
          <w:sz w:val="28"/>
          <w:highlight w:val="none"/>
          <w:u w:val="single"/>
        </w:rPr>
        <w:t xml:space="preserve"> </w:t>
      </w:r>
      <w:r>
        <w:rPr>
          <w:rFonts w:hint="eastAsia" w:ascii="仿宋" w:hAnsi="仿宋" w:eastAsia="仿宋" w:cs="Times New Roman"/>
          <w:color w:val="000000"/>
          <w:sz w:val="28"/>
          <w:szCs w:val="28"/>
          <w:highlight w:val="none"/>
          <w:u w:val="single"/>
          <w:lang w:val="en-US" w:eastAsia="zh-CN"/>
        </w:rPr>
        <w:t xml:space="preserve">  </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个月，养护总历时天数:</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u w:val="single"/>
          <w:lang w:val="en-US" w:eastAsia="zh-CN"/>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天。养护期满，本次中标人开始接收养护，养护量按实计算。</w:t>
      </w:r>
      <w:r>
        <w:rPr>
          <w:rFonts w:hint="eastAsia" w:ascii="仿宋" w:hAnsi="仿宋" w:eastAsia="仿宋"/>
          <w:color w:val="000000"/>
          <w:sz w:val="28"/>
          <w:highlight w:val="none"/>
        </w:rPr>
      </w:r>
      <w:r/>
    </w:p>
    <w:p>
      <w:pPr>
        <w:pStyle w:val="659"/>
        <w:ind w:firstLine="523"/>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四、养护方式</w:t>
      </w:r>
      <w:r>
        <w:rPr>
          <w:rFonts w:ascii="仿宋" w:hAnsi="仿宋" w:eastAsia="仿宋"/>
          <w:color w:val="000000"/>
          <w:sz w:val="28"/>
          <w:highlight w:val="none"/>
        </w:rPr>
      </w:r>
      <w:r/>
    </w:p>
    <w:p>
      <w:pPr>
        <w:pStyle w:val="659"/>
        <w:ind w:firstLine="523"/>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本项目由乙方以包工、包料、包质量、包安全、包文明施工的方式实施总承包，乙方应对全部</w:t>
      </w:r>
      <w:r>
        <w:rPr>
          <w:rFonts w:hint="eastAsia" w:ascii="仿宋" w:hAnsi="仿宋" w:eastAsia="仿宋"/>
          <w:color w:val="000000"/>
          <w:sz w:val="28"/>
          <w:highlight w:val="none"/>
          <w:lang w:val="en-US" w:eastAsia="zh-CN"/>
        </w:rPr>
        <w:t xml:space="preserve">养护工程</w:t>
      </w:r>
      <w:r>
        <w:rPr>
          <w:rFonts w:hint="eastAsia" w:ascii="仿宋" w:hAnsi="仿宋" w:eastAsia="仿宋"/>
          <w:color w:val="000000"/>
          <w:sz w:val="28"/>
          <w:highlight w:val="none"/>
        </w:rPr>
        <w:t xml:space="preserve">负责，中标以后不得分包、转包。如一经发现上述行为，甲方单方有权立即终止综合养护工程承包合同，由此产生一切法律责任和经济损失均由乙方承担。</w:t>
      </w:r>
      <w:r>
        <w:rPr>
          <w:rFonts w:ascii="仿宋" w:hAnsi="仿宋" w:eastAsia="仿宋"/>
          <w:color w:val="000000"/>
          <w:sz w:val="28"/>
          <w:highlight w:val="none"/>
        </w:rPr>
      </w:r>
      <w:r/>
    </w:p>
    <w:p>
      <w:pPr>
        <w:pStyle w:val="659"/>
        <w:ind w:firstLine="523"/>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五、养护质量标准</w:t>
      </w:r>
      <w:r>
        <w:rPr>
          <w:rFonts w:ascii="仿宋" w:hAnsi="仿宋" w:eastAsia="仿宋"/>
          <w:color w:val="000000"/>
          <w:sz w:val="28"/>
          <w:highlight w:val="none"/>
        </w:rPr>
      </w:r>
      <w:r/>
    </w:p>
    <w:p>
      <w:pPr>
        <w:pStyle w:val="659"/>
        <w:ind w:firstLine="523"/>
        <w:spacing w:line="52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本项目养护质量标准:</w:t>
      </w:r>
      <w:r>
        <w:rPr>
          <w:rFonts w:hint="eastAsia" w:ascii="仿宋" w:hAnsi="仿宋" w:eastAsia="仿宋"/>
          <w:color w:val="000000"/>
          <w:sz w:val="44"/>
          <w:szCs w:val="44"/>
          <w:highlight w:val="none"/>
        </w:rPr>
        <w:t xml:space="preserve"> </w:t>
      </w:r>
      <w:r>
        <w:rPr>
          <w:rFonts w:hint="eastAsia" w:ascii="仿宋" w:hAnsi="仿宋" w:eastAsia="仿宋"/>
          <w:color w:val="000000"/>
          <w:sz w:val="28"/>
          <w:highlight w:val="none"/>
          <w:u w:val="single"/>
        </w:rPr>
        <w:t xml:space="preserve">《关于印发淮安市园林绿化管理中心</w:t>
      </w:r>
      <w:r>
        <w:rPr>
          <w:rFonts w:hint="eastAsia" w:ascii="仿宋" w:hAnsi="仿宋" w:eastAsia="仿宋"/>
          <w:color w:val="000000"/>
          <w:sz w:val="28"/>
          <w:highlight w:val="none"/>
          <w:u w:val="single"/>
          <w:lang w:eastAsia="zh-CN"/>
        </w:rPr>
        <w:t xml:space="preserve">淮安市2024年公园绿化养护管理</w:t>
      </w:r>
      <w:r>
        <w:rPr>
          <w:rFonts w:hint="eastAsia" w:ascii="仿宋" w:hAnsi="仿宋" w:eastAsia="仿宋"/>
          <w:color w:val="000000"/>
          <w:sz w:val="28"/>
          <w:highlight w:val="none"/>
          <w:u w:val="single"/>
        </w:rPr>
        <w:t xml:space="preserve">管理考核办法的通知》，《关于进一步规范绿化养护及审批等制度的通知》本招标、投标文件中的补充养护质量要求，甲方出台的其它养护质量要求。</w:t>
      </w:r>
      <w:r>
        <w:rPr>
          <w:rFonts w:hint="eastAsia" w:ascii="仿宋" w:hAnsi="仿宋" w:eastAsia="仿宋"/>
          <w:color w:val="000000"/>
          <w:sz w:val="28"/>
          <w:highlight w:val="none"/>
          <w:u w:val="single"/>
        </w:rPr>
      </w:r>
      <w:r/>
    </w:p>
    <w:p>
      <w:pPr>
        <w:pStyle w:val="659"/>
        <w:ind w:firstLine="52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六、退出机制（若中标的投标单位在承包养护期间，违反下列规定将被解除承包合同）:</w:t>
      </w:r>
      <w:r>
        <w:rPr>
          <w:rFonts w:hint="eastAsia" w:ascii="仿宋" w:hAnsi="仿宋" w:eastAsia="仿宋"/>
          <w:color w:val="000000"/>
          <w:sz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1、养护</w:t>
      </w:r>
      <w:r>
        <w:rPr>
          <w:rFonts w:hint="eastAsia" w:ascii="仿宋" w:hAnsi="仿宋" w:eastAsia="仿宋"/>
          <w:color w:val="000000"/>
          <w:sz w:val="28"/>
          <w:szCs w:val="28"/>
          <w:highlight w:val="none"/>
          <w:lang w:val="en-US" w:eastAsia="zh-CN"/>
        </w:rPr>
        <w:t xml:space="preserve">期</w:t>
      </w:r>
      <w:r>
        <w:rPr>
          <w:rFonts w:hint="eastAsia" w:ascii="仿宋" w:hAnsi="仿宋" w:eastAsia="仿宋"/>
          <w:color w:val="000000"/>
          <w:sz w:val="28"/>
          <w:szCs w:val="28"/>
          <w:highlight w:val="none"/>
        </w:rPr>
        <w:t xml:space="preserve">内累计2次不合格的，取消养护资格，终止养护合同；</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2、未履行投标文件中承诺配备的机械设备或经甲方不定期抽查发现投标文件中承诺配备的人员不在岗超过3次的，取消养护资格，终止养护合同；</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3、乙方未履行投标文件中承诺在中标后十五个日历天内在淮安设立能够满足仓储、养护车辆停放等要求的固定场所的，取消养护资格，终止养护合同。</w:t>
      </w:r>
      <w:r>
        <w:rPr>
          <w:rFonts w:hint="eastAsia" w:ascii="仿宋" w:hAnsi="仿宋" w:eastAsia="仿宋"/>
          <w:color w:val="000000"/>
          <w:sz w:val="28"/>
          <w:szCs w:val="28"/>
          <w:highlight w:val="none"/>
        </w:rPr>
      </w:r>
      <w:r/>
    </w:p>
    <w:p>
      <w:pPr>
        <w:pStyle w:val="659"/>
        <w:ind w:firstLine="523"/>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七、合同价款</w:t>
      </w:r>
      <w:r>
        <w:rPr>
          <w:rFonts w:ascii="仿宋" w:hAnsi="仿宋" w:eastAsia="仿宋"/>
          <w:color w:val="000000"/>
          <w:sz w:val="28"/>
          <w:highlight w:val="none"/>
        </w:rPr>
      </w:r>
      <w:r/>
    </w:p>
    <w:p>
      <w:pPr>
        <w:pStyle w:val="659"/>
        <w:ind w:firstLine="523"/>
        <w:spacing w:line="520" w:lineRule="exact"/>
        <w:rPr>
          <w:rFonts w:ascii="仿宋" w:hAnsi="仿宋" w:eastAsia="仿宋"/>
          <w:color w:val="000000"/>
          <w:sz w:val="28"/>
          <w:highlight w:val="none"/>
        </w:rPr>
      </w:pPr>
      <w:r>
        <w:rPr>
          <w:rFonts w:hint="eastAsia" w:ascii="仿宋" w:hAnsi="仿宋" w:eastAsia="仿宋"/>
          <w:color w:val="000000"/>
          <w:sz w:val="28"/>
          <w:highlight w:val="none"/>
        </w:rPr>
        <w:t xml:space="preserve">金</w:t>
      </w:r>
      <w:r>
        <w:rPr>
          <w:rFonts w:ascii="仿宋" w:hAnsi="仿宋" w:eastAsia="仿宋"/>
          <w:color w:val="000000"/>
          <w:sz w:val="28"/>
          <w:highlight w:val="none"/>
        </w:rPr>
        <w:t xml:space="preserve">  </w:t>
      </w:r>
      <w:r>
        <w:rPr>
          <w:rFonts w:hint="eastAsia" w:ascii="仿宋" w:hAnsi="仿宋" w:eastAsia="仿宋"/>
          <w:color w:val="000000"/>
          <w:sz w:val="28"/>
          <w:highlight w:val="none"/>
        </w:rPr>
        <w:t xml:space="preserve">额:</w:t>
      </w:r>
      <w:r>
        <w:rPr>
          <w:rFonts w:hint="eastAsia" w:ascii="仿宋" w:hAnsi="仿宋" w:eastAsia="仿宋"/>
          <w:color w:val="000000"/>
          <w:sz w:val="28"/>
          <w:highlight w:val="none"/>
          <w:u w:val="single"/>
        </w:rPr>
        <w:t xml:space="preserve">（大写）</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（人民币）</w:t>
      </w:r>
      <w:r>
        <w:rPr>
          <w:rFonts w:ascii="仿宋" w:hAnsi="仿宋" w:eastAsia="仿宋"/>
          <w:color w:val="000000"/>
          <w:sz w:val="28"/>
          <w:highlight w:val="none"/>
        </w:rPr>
      </w:r>
      <w:r/>
    </w:p>
    <w:p>
      <w:pPr>
        <w:pStyle w:val="659"/>
        <w:ind w:firstLine="523"/>
        <w:spacing w:line="520" w:lineRule="exact"/>
        <w:rPr>
          <w:rFonts w:hint="eastAsia" w:ascii="仿宋" w:hAnsi="仿宋" w:eastAsia="仿宋"/>
          <w:color w:val="000000"/>
          <w:sz w:val="28"/>
          <w:highlight w:val="none"/>
        </w:rPr>
      </w:pPr>
      <w:r>
        <w:rPr>
          <w:rFonts w:ascii="仿宋" w:hAnsi="仿宋" w:eastAsia="仿宋"/>
          <w:color w:val="000000"/>
          <w:sz w:val="28"/>
          <w:highlight w:val="none"/>
        </w:rPr>
        <w:t xml:space="preserve">       </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u w:val="single"/>
        </w:rPr>
        <w:t xml:space="preserve">￥</w:t>
      </w:r>
      <w:r>
        <w:rPr>
          <w:rFonts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万元</w:t>
      </w:r>
      <w:r>
        <w:rPr>
          <w:rFonts w:hint="eastAsia" w:ascii="仿宋" w:hAnsi="仿宋" w:eastAsia="仿宋"/>
          <w:color w:val="000000"/>
          <w:sz w:val="28"/>
          <w:highlight w:val="none"/>
        </w:rPr>
      </w:r>
      <w:r/>
    </w:p>
    <w:p>
      <w:pPr>
        <w:pStyle w:val="659"/>
        <w:ind w:firstLine="523"/>
        <w:spacing w:line="520" w:lineRule="exact"/>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rPr>
        <w:t xml:space="preserve">付款方式:每季度末付合同价的</w:t>
      </w:r>
      <w:r>
        <w:rPr>
          <w:rFonts w:hint="eastAsia" w:ascii="仿宋" w:hAnsi="仿宋" w:eastAsia="仿宋"/>
          <w:color w:val="000000"/>
          <w:sz w:val="28"/>
          <w:highlight w:val="none"/>
          <w:lang w:val="en-US" w:eastAsia="zh-CN"/>
        </w:rPr>
        <w:t xml:space="preserve">相应款项</w:t>
      </w:r>
      <w:r>
        <w:rPr>
          <w:rFonts w:hint="eastAsia" w:ascii="仿宋" w:hAnsi="仿宋" w:eastAsia="仿宋"/>
          <w:color w:val="000000"/>
          <w:sz w:val="28"/>
          <w:highlight w:val="none"/>
        </w:rPr>
        <w:t xml:space="preserve">（依据考核结果奖惩兑现后支付）。</w:t>
      </w:r>
      <w:r>
        <w:rPr>
          <w:rFonts w:hint="eastAsia" w:ascii="仿宋" w:hAnsi="仿宋" w:eastAsia="仿宋"/>
          <w:color w:val="000000"/>
          <w:sz w:val="28"/>
          <w:highlight w:val="none"/>
          <w:lang w:val="en-US" w:eastAsia="zh-CN"/>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八、合同纠纷处理</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hint="eastAsia" w:ascii="仿宋" w:hAnsi="仿宋" w:eastAsia="仿宋"/>
          <w:sz w:val="28"/>
          <w:szCs w:val="28"/>
        </w:rPr>
      </w:r>
      <w:r/>
    </w:p>
    <w:p>
      <w:pPr>
        <w:pStyle w:val="659"/>
        <w:ind w:firstLine="523"/>
        <w:spacing w:line="520" w:lineRule="exact"/>
        <w:rPr>
          <w:rFonts w:hint="eastAsia" w:ascii="仿宋" w:hAnsi="仿宋" w:eastAsia="仿宋"/>
          <w:sz w:val="28"/>
        </w:rPr>
      </w:pPr>
      <w:r>
        <w:rPr>
          <w:rFonts w:hint="eastAsia" w:ascii="仿宋" w:hAnsi="仿宋" w:eastAsia="仿宋"/>
          <w:sz w:val="28"/>
        </w:rPr>
        <w:t xml:space="preserve">九、组成合同的文件</w:t>
      </w:r>
      <w:r>
        <w:rPr>
          <w:rFonts w:hint="eastAsia" w:ascii="仿宋" w:hAnsi="仿宋" w:eastAsia="仿宋"/>
          <w:sz w:val="28"/>
        </w:rPr>
      </w:r>
      <w:r/>
    </w:p>
    <w:p>
      <w:pPr>
        <w:pStyle w:val="659"/>
        <w:ind w:firstLine="523"/>
        <w:spacing w:line="520" w:lineRule="exact"/>
        <w:rPr>
          <w:rFonts w:hint="eastAsia" w:ascii="仿宋" w:hAnsi="仿宋" w:eastAsia="仿宋"/>
          <w:sz w:val="28"/>
        </w:rPr>
      </w:pPr>
      <w:r>
        <w:rPr>
          <w:rFonts w:hint="eastAsia" w:ascii="仿宋" w:hAnsi="仿宋" w:eastAsia="仿宋"/>
          <w:sz w:val="28"/>
        </w:rPr>
        <w:t xml:space="preserve">合同协议书，投标文件，招标文件，养护清单，中标通知书，</w:t>
      </w:r>
      <w:r>
        <w:rPr>
          <w:rFonts w:hint="eastAsia" w:ascii="仿宋" w:hAnsi="仿宋" w:eastAsia="仿宋"/>
          <w:sz w:val="28"/>
          <w:u w:val="single"/>
        </w:rPr>
        <w:t xml:space="preserve">《关于印发淮安市园林绿化管理中心</w:t>
      </w:r>
      <w:r>
        <w:rPr>
          <w:rFonts w:hint="eastAsia" w:ascii="仿宋" w:hAnsi="仿宋" w:eastAsia="仿宋"/>
          <w:sz w:val="28"/>
          <w:u w:val="single"/>
          <w:lang w:eastAsia="zh-CN"/>
        </w:rPr>
        <w:t xml:space="preserve">淮安市2024年公园绿化养护管理</w:t>
      </w:r>
      <w:r>
        <w:rPr>
          <w:rFonts w:hint="eastAsia" w:ascii="仿宋" w:hAnsi="仿宋" w:eastAsia="仿宋"/>
          <w:sz w:val="28"/>
          <w:u w:val="single"/>
        </w:rPr>
        <w:t xml:space="preserve">管理考核办法的通知》，《关于进一步规范绿化养护及审批等制度的通知》</w:t>
      </w:r>
      <w:r>
        <w:rPr>
          <w:rFonts w:hint="eastAsia" w:ascii="仿宋" w:hAnsi="仿宋" w:eastAsia="仿宋"/>
          <w:sz w:val="28"/>
        </w:rPr>
        <w:t xml:space="preserve">，本招标、投标文件中的补充养护质量要求，甲方出台的其它养护质量要求。</w:t>
      </w:r>
      <w:r>
        <w:rPr>
          <w:rFonts w:hint="eastAsia" w:ascii="仿宋" w:hAnsi="仿宋" w:eastAsia="仿宋"/>
          <w:sz w:val="28"/>
        </w:rPr>
      </w:r>
      <w:r/>
    </w:p>
    <w:p>
      <w:pPr>
        <w:pStyle w:val="659"/>
        <w:ind w:firstLine="548"/>
        <w:spacing w:line="520" w:lineRule="exact"/>
        <w:rPr>
          <w:rFonts w:hint="eastAsia" w:ascii="仿宋" w:hAnsi="仿宋" w:eastAsia="仿宋"/>
          <w:sz w:val="28"/>
          <w:szCs w:val="28"/>
        </w:rPr>
      </w:pPr>
      <w:r>
        <w:rPr>
          <w:rFonts w:hint="eastAsia" w:ascii="仿宋" w:hAnsi="仿宋" w:eastAsia="仿宋"/>
          <w:sz w:val="28"/>
          <w:szCs w:val="28"/>
        </w:rPr>
        <w:t xml:space="preserve">十、合同生效及其它</w:t>
      </w:r>
      <w:r>
        <w:rPr>
          <w:rFonts w:hint="eastAsia" w:ascii="仿宋" w:hAnsi="仿宋" w:eastAsia="仿宋"/>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本合同经甲、乙双方加盖电子签章后生效。如有变动，必须经甲方、乙方协商一致，方可更改。</w:t>
      </w:r>
      <w:r>
        <w:rPr>
          <w:rFonts w:hint="eastAsia" w:ascii="仿宋" w:hAnsi="仿宋" w:eastAsia="仿宋"/>
          <w:sz w:val="28"/>
          <w:szCs w:val="28"/>
        </w:rPr>
      </w:r>
      <w:r/>
    </w:p>
    <w:p>
      <w:pPr>
        <w:pStyle w:val="730"/>
        <w:rPr>
          <w:rFonts w:hint="eastAsia" w:ascii="仿宋_GB2312" w:eastAsia="仿宋_GB2312"/>
          <w:sz w:val="28"/>
          <w:szCs w:val="28"/>
        </w:rPr>
      </w:pPr>
      <w:r>
        <w:rPr>
          <w:rFonts w:hint="eastAsia" w:ascii="仿宋_GB2312" w:eastAsia="仿宋_GB2312"/>
          <w:sz w:val="28"/>
          <w:szCs w:val="28"/>
        </w:rPr>
      </w:r>
      <w:r/>
    </w:p>
    <w:p>
      <w:pPr>
        <w:pStyle w:val="730"/>
        <w:rPr>
          <w:rFonts w:hint="eastAsia" w:ascii="仿宋_GB2312" w:eastAsia="仿宋_GB2312"/>
          <w:sz w:val="28"/>
          <w:szCs w:val="28"/>
        </w:rPr>
      </w:pPr>
      <w:r>
        <w:rPr>
          <w:rFonts w:hint="eastAsia" w:ascii="仿宋_GB2312" w:eastAsia="仿宋_GB2312"/>
          <w:sz w:val="28"/>
          <w:szCs w:val="28"/>
        </w:rPr>
      </w:r>
      <w:r/>
    </w:p>
    <w:p>
      <w:pPr>
        <w:pStyle w:val="749"/>
        <w:spacing w:line="600" w:lineRule="exact"/>
        <w:rPr>
          <w:rFonts w:hint="eastAsia" w:ascii="仿宋_GB2312" w:hAnsi="Times New Roman" w:eastAsia="仿宋_GB2312"/>
          <w:color w:val="ff0000"/>
          <w:sz w:val="28"/>
          <w:szCs w:val="28"/>
        </w:rPr>
      </w:pPr>
      <w:r>
        <w:rPr>
          <w:rFonts w:hint="eastAsia" w:ascii="仿宋_GB2312" w:hAnsi="Times New Roman" w:eastAsia="仿宋_GB2312"/>
          <w:sz w:val="28"/>
          <w:szCs w:val="28"/>
        </w:rPr>
        <w:t xml:space="preserve">甲 方:                        乙 方:</w:t>
      </w:r>
      <w:r>
        <w:rPr>
          <w:rFonts w:hint="eastAsia" w:ascii="仿宋_GB2312" w:hAnsi="Times New Roman" w:eastAsia="仿宋_GB2312"/>
          <w:color w:val="ff0000"/>
          <w:sz w:val="28"/>
          <w:szCs w:val="28"/>
        </w:rPr>
      </w:r>
      <w:r/>
    </w:p>
    <w:p>
      <w:pPr>
        <w:pStyle w:val="749"/>
        <w:spacing w:line="600" w:lineRule="exact"/>
        <w:rPr>
          <w:rFonts w:ascii="仿宋_GB2312" w:hAnsi="Times New Roman" w:eastAsia="仿宋_GB2312"/>
          <w:sz w:val="28"/>
          <w:szCs w:val="28"/>
        </w:rPr>
      </w:pPr>
      <w:r>
        <w:rPr>
          <w:rFonts w:hint="eastAsia" w:ascii="仿宋_GB2312" w:hAnsi="Times New Roman" w:eastAsia="仿宋_GB2312"/>
          <w:sz w:val="28"/>
          <w:szCs w:val="28"/>
        </w:rPr>
        <w:t xml:space="preserve">单位盖章:                     单位盖章:</w:t>
      </w:r>
      <w:r>
        <w:rPr>
          <w:rFonts w:ascii="仿宋_GB2312" w:hAnsi="Times New Roman" w:eastAsia="仿宋_GB2312"/>
          <w:sz w:val="28"/>
          <w:szCs w:val="28"/>
        </w:rPr>
      </w:r>
      <w:r/>
    </w:p>
    <w:p>
      <w:pPr>
        <w:pStyle w:val="749"/>
        <w:spacing w:line="600" w:lineRule="exact"/>
        <w:rPr>
          <w:rFonts w:ascii="仿宋_GB2312" w:hAnsi="Times New Roman" w:eastAsia="仿宋_GB2312"/>
          <w:sz w:val="28"/>
          <w:szCs w:val="28"/>
        </w:rPr>
      </w:pPr>
      <w:r>
        <w:rPr>
          <w:rFonts w:hint="eastAsia" w:ascii="仿宋_GB2312" w:hAnsi="Times New Roman" w:eastAsia="仿宋_GB2312"/>
          <w:sz w:val="28"/>
          <w:szCs w:val="28"/>
        </w:rPr>
        <w:t xml:space="preserve">代表签字:                     代表签字:</w:t>
      </w:r>
      <w:r>
        <w:rPr>
          <w:rFonts w:ascii="仿宋_GB2312" w:hAnsi="Times New Roman" w:eastAsia="仿宋_GB2312"/>
          <w:sz w:val="28"/>
          <w:szCs w:val="28"/>
        </w:rPr>
      </w:r>
      <w:r/>
    </w:p>
    <w:p>
      <w:pPr>
        <w:pStyle w:val="749"/>
        <w:spacing w:line="600" w:lineRule="exact"/>
        <w:rPr>
          <w:rFonts w:hint="eastAsia" w:ascii="仿宋_GB2312" w:hAnsi="Times New Roman" w:eastAsia="仿宋_GB2312"/>
          <w:sz w:val="28"/>
          <w:szCs w:val="28"/>
        </w:rPr>
      </w:pPr>
      <w:r>
        <w:rPr>
          <w:rFonts w:hint="eastAsia" w:ascii="仿宋_GB2312" w:hAnsi="Times New Roman" w:eastAsia="仿宋_GB2312"/>
          <w:sz w:val="28"/>
          <w:szCs w:val="28"/>
        </w:rPr>
        <w:t xml:space="preserve">签定日期:                     签定日期:</w:t>
      </w:r>
      <w:r>
        <w:rPr>
          <w:rFonts w:hint="eastAsia" w:ascii="仿宋_GB2312" w:hAnsi="Times New Roman" w:eastAsia="仿宋_GB2312"/>
          <w:sz w:val="28"/>
          <w:szCs w:val="28"/>
        </w:rPr>
      </w:r>
      <w:r/>
    </w:p>
    <w:p>
      <w:pPr>
        <w:pStyle w:val="659"/>
        <w:ind w:firstLine="560"/>
        <w:spacing w:line="520" w:lineRule="exact"/>
        <w:rPr>
          <w:rFonts w:hint="eastAsia" w:ascii="仿宋" w:hAnsi="仿宋" w:eastAsia="仿宋"/>
          <w:bCs/>
          <w:sz w:val="28"/>
          <w:szCs w:val="28"/>
        </w:rPr>
      </w:pPr>
      <w:r>
        <w:rPr>
          <w:rFonts w:hint="eastAsia" w:ascii="仿宋" w:hAnsi="仿宋" w:eastAsia="仿宋"/>
          <w:bCs/>
          <w:sz w:val="28"/>
          <w:szCs w:val="28"/>
        </w:rPr>
      </w:r>
      <w:r/>
    </w:p>
    <w:p>
      <w:pPr>
        <w:pStyle w:val="749"/>
        <w:ind w:firstLine="2150"/>
        <w:spacing w:line="440" w:lineRule="exact"/>
        <w:rPr>
          <w:rFonts w:hint="eastAsia" w:hAnsi="宋体"/>
          <w:b/>
          <w:bCs/>
          <w:sz w:val="36"/>
          <w:szCs w:val="36"/>
        </w:rPr>
      </w:pPr>
      <w:r>
        <w:rPr>
          <w:rFonts w:hint="eastAsia" w:hAnsi="宋体"/>
          <w:b/>
          <w:bCs/>
          <w:sz w:val="36"/>
          <w:szCs w:val="36"/>
        </w:rPr>
      </w:r>
      <w:r/>
    </w:p>
    <w:p>
      <w:pPr>
        <w:pStyle w:val="749"/>
        <w:ind w:firstLine="2150"/>
        <w:spacing w:line="440" w:lineRule="exact"/>
        <w:rPr>
          <w:rFonts w:hint="eastAsia" w:hAnsi="宋体"/>
          <w:b/>
          <w:bCs/>
          <w:sz w:val="36"/>
          <w:szCs w:val="36"/>
        </w:rPr>
      </w:pPr>
      <w:r>
        <w:rPr>
          <w:rFonts w:hint="eastAsia" w:hAnsi="宋体"/>
          <w:b/>
          <w:bCs/>
          <w:sz w:val="36"/>
          <w:szCs w:val="36"/>
        </w:rPr>
      </w:r>
      <w:r/>
    </w:p>
    <w:p>
      <w:pPr>
        <w:pStyle w:val="681"/>
        <w:ind w:firstLine="2331"/>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59"/>
        <w:ind w:firstLine="560"/>
        <w:spacing w:line="520" w:lineRule="exact"/>
        <w:rPr>
          <w:rFonts w:ascii="仿宋" w:hAnsi="仿宋" w:eastAsia="仿宋"/>
          <w:b/>
          <w:bCs/>
          <w:color w:val="000000"/>
          <w:sz w:val="28"/>
          <w:szCs w:val="28"/>
          <w:highlight w:val="none"/>
        </w:rPr>
      </w:pPr>
      <w:r>
        <w:rPr>
          <w:rFonts w:hint="eastAsia" w:ascii="仿宋" w:hAnsi="仿宋" w:eastAsia="仿宋"/>
          <w:color w:val="000000"/>
          <w:sz w:val="28"/>
          <w:highlight w:val="none"/>
        </w:rPr>
        <w:t xml:space="preserve">一、项目概况</w:t>
      </w:r>
      <w:r>
        <w:rPr>
          <w:rFonts w:ascii="仿宋" w:hAnsi="仿宋" w:eastAsia="仿宋"/>
          <w:b/>
          <w:bCs/>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s="Times New Roman"/>
          <w:color w:val="000000"/>
          <w:sz w:val="28"/>
          <w:szCs w:val="28"/>
          <w:highlight w:val="none"/>
          <w:u w:val="none"/>
          <w:lang w:val="en-US" w:eastAsia="zh-CN"/>
        </w:rPr>
        <w:t xml:space="preserve">淮安市2024年公园绿化养护管理</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s="仿宋"/>
          <w:color w:val="000000"/>
          <w:sz w:val="28"/>
          <w:szCs w:val="28"/>
          <w:highlight w:val="none"/>
          <w:lang w:bidi="ar"/>
        </w:rPr>
      </w:pPr>
      <w:r>
        <w:rPr>
          <w:rFonts w:hint="eastAsia" w:ascii="仿宋" w:hAnsi="仿宋" w:eastAsia="仿宋"/>
          <w:bCs/>
          <w:color w:val="000000"/>
          <w:sz w:val="28"/>
          <w:szCs w:val="28"/>
          <w:highlight w:val="none"/>
        </w:rPr>
        <w:t xml:space="preserve">中标人对涉及</w:t>
      </w:r>
      <w:r>
        <w:rPr>
          <w:rFonts w:hint="eastAsia" w:ascii="仿宋" w:hAnsi="仿宋" w:eastAsia="仿宋" w:cs="仿宋"/>
          <w:color w:val="000000"/>
          <w:sz w:val="28"/>
          <w:szCs w:val="28"/>
          <w:highlight w:val="none"/>
          <w:lang w:bidi="ar"/>
        </w:rPr>
        <w:t xml:space="preserve">商品的</w:t>
      </w:r>
      <w:r>
        <w:rPr>
          <w:rFonts w:ascii="仿宋" w:hAnsi="仿宋" w:eastAsia="仿宋" w:cs="仿宋"/>
          <w:color w:val="000000"/>
          <w:sz w:val="28"/>
          <w:szCs w:val="28"/>
          <w:highlight w:val="none"/>
          <w:lang w:bidi="ar"/>
        </w:rPr>
        <w:t xml:space="preserve">包装应按照“财办库〔2020〕123号《关于印发《商品包装政府采购需求标准（试行）》、《快递包装政府采购需求标准（试行）》的通知》”执行</w:t>
      </w:r>
      <w:r>
        <w:rPr>
          <w:rFonts w:hint="eastAsia" w:ascii="仿宋" w:hAnsi="仿宋" w:eastAsia="仿宋" w:cs="仿宋"/>
          <w:color w:val="000000"/>
          <w:sz w:val="28"/>
          <w:szCs w:val="28"/>
          <w:highlight w:val="none"/>
          <w:lang w:bidi="ar"/>
        </w:rPr>
        <w:t xml:space="preserve">；涉及设备运维参考《绿色数据中心政府采购需求标准（试行）》（财库【2023】7号文）执行。中标人应提供绿化利用率，倡导城市绿化低碳环保理念、因地制宜促进资源的可持续性发展。</w:t>
      </w:r>
      <w:r>
        <w:rPr>
          <w:rFonts w:hint="eastAsia" w:ascii="仿宋" w:hAnsi="仿宋" w:eastAsia="仿宋" w:cs="仿宋"/>
          <w:color w:val="000000"/>
          <w:sz w:val="28"/>
          <w:szCs w:val="28"/>
          <w:highlight w:val="none"/>
          <w:lang w:bidi="ar"/>
        </w:rPr>
      </w:r>
      <w:r/>
    </w:p>
    <w:p>
      <w:pPr>
        <w:pStyle w:val="659"/>
        <w:ind w:firstLine="560"/>
        <w:spacing w:line="520" w:lineRule="exact"/>
        <w:rPr>
          <w:rFonts w:ascii="仿宋" w:hAnsi="仿宋" w:eastAsia="仿宋"/>
          <w:b/>
          <w:bCs/>
          <w:color w:val="000000"/>
          <w:sz w:val="28"/>
          <w:szCs w:val="28"/>
          <w:highlight w:val="none"/>
        </w:rPr>
      </w:pPr>
      <w:r>
        <w:rPr>
          <w:rFonts w:hint="eastAsia" w:ascii="仿宋" w:hAnsi="仿宋" w:eastAsia="仿宋"/>
          <w:color w:val="000000"/>
          <w:sz w:val="28"/>
          <w:highlight w:val="none"/>
        </w:rPr>
        <w:t xml:space="preserve">二、基本要求</w:t>
      </w:r>
      <w:r>
        <w:rPr>
          <w:rFonts w:ascii="仿宋" w:hAnsi="仿宋" w:eastAsia="仿宋"/>
          <w:b/>
          <w:bCs/>
          <w:color w:val="000000"/>
          <w:sz w:val="28"/>
          <w:szCs w:val="28"/>
          <w:highlight w:val="none"/>
        </w:rPr>
      </w:r>
      <w:r/>
    </w:p>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1、本项目养护质量标准:</w:t>
      </w:r>
      <w:r>
        <w:rPr>
          <w:rFonts w:hint="eastAsia" w:ascii="仿宋" w:hAnsi="仿宋" w:eastAsia="仿宋"/>
          <w:color w:val="000000"/>
          <w:sz w:val="28"/>
          <w:highlight w:val="none"/>
        </w:rPr>
        <w:t xml:space="preserve">《关于印发淮安市园林绿化管理中心</w:t>
      </w:r>
      <w:r>
        <w:rPr>
          <w:rFonts w:hint="eastAsia" w:ascii="仿宋" w:hAnsi="仿宋" w:eastAsia="仿宋"/>
          <w:color w:val="000000"/>
          <w:sz w:val="28"/>
          <w:highlight w:val="none"/>
          <w:lang w:eastAsia="zh-CN"/>
        </w:rPr>
        <w:t xml:space="preserve">淮安市2024年公园绿化养护管理</w:t>
      </w:r>
      <w:r>
        <w:rPr>
          <w:rFonts w:hint="eastAsia" w:ascii="仿宋" w:hAnsi="仿宋" w:eastAsia="仿宋"/>
          <w:color w:val="000000"/>
          <w:sz w:val="28"/>
          <w:highlight w:val="none"/>
        </w:rPr>
        <w:t xml:space="preserve">管理考核办法的通知》</w:t>
      </w:r>
      <w:r>
        <w:rPr>
          <w:rFonts w:hint="eastAsia" w:ascii="仿宋" w:hAnsi="仿宋" w:eastAsia="仿宋"/>
          <w:color w:val="000000"/>
          <w:sz w:val="28"/>
          <w:szCs w:val="28"/>
          <w:highlight w:val="none"/>
        </w:rPr>
        <w:t xml:space="preserve">，《关于进一步规范绿化养护及审批等制度的通知》及本招标、响应文件中的补充养护质量要求，淮安市园林绿化管理中心出台的其它养护质量要求及每月养护清单计划。</w:t>
      </w:r>
      <w:r>
        <w:rPr>
          <w:rFonts w:ascii="仿宋" w:hAnsi="仿宋" w:eastAsia="仿宋"/>
          <w:color w:val="000000"/>
          <w:sz w:val="28"/>
          <w:szCs w:val="28"/>
          <w:highlight w:val="none"/>
        </w:rPr>
      </w:r>
      <w:r/>
    </w:p>
    <w:p>
      <w:pPr>
        <w:pStyle w:val="659"/>
        <w:ind w:firstLine="560"/>
        <w:spacing w:line="520" w:lineRule="exact"/>
        <w:rPr>
          <w:rFonts w:ascii="仿宋" w:hAnsi="仿宋" w:eastAsia="仿宋"/>
          <w:color w:val="000000"/>
          <w:sz w:val="28"/>
          <w:szCs w:val="28"/>
          <w:highlight w:val="none"/>
        </w:rPr>
      </w:pPr>
      <w:r>
        <w:rPr>
          <w:rFonts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2、投标人参加投标时，必须提供其承诺为本次养护项目配备项目负责人、技术负责人和技术工人，养护期内能够长驻淮安的书面承诺函，未提供书面承诺函作无效投标处理。</w:t>
      </w:r>
      <w:r>
        <w:rPr>
          <w:rFonts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3、为了保证绿地养护的长期性、时效性，投标人在养护期内须为本项目配备能够满足绿地养护机械设备仓储、养护车辆停放所需的固定场地。投标人参加投标时必须提供下列任一项证明材料，不提供的作无效投标处理：</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（1）在淮安当地具有能够满足绿地养护机械设备仓储、养护车辆停放所需固定固定场地（自有或者租贷均可以）的相关证明材料（扫描加盖投标人电子签章）； </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（2）承诺在中标后十五个日历天内在淮安市设立能够满足绿地养护机械设备仓储、养护车辆停放所需固定场地的书面承诺函（格式由投标人自定，扫描件加盖投标人电子签章）。 </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4、本次招标报价各投标人必须附报价构成的书面分析（需从人员工资、机械费用、肥料费用、农药费用、浇水费用、税收、合理利润等方面进行分析，格式自拟加盖投标人电子签章）不提供作无效投标处理。</w:t>
      </w:r>
      <w:r>
        <w:rPr>
          <w:rFonts w:hint="eastAsia" w:ascii="仿宋" w:hAnsi="仿宋" w:eastAsia="仿宋"/>
          <w:color w:val="000000"/>
          <w:sz w:val="28"/>
          <w:szCs w:val="28"/>
          <w:highlight w:val="none"/>
        </w:rPr>
      </w:r>
      <w:r/>
    </w:p>
    <w:p>
      <w:pPr>
        <w:pStyle w:val="659"/>
        <w:ind w:firstLine="560"/>
        <w:spacing w:line="52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u w:val="none"/>
          <w:lang w:val="en-US" w:eastAsia="zh-CN"/>
        </w:rPr>
        <w:t xml:space="preserve">本次招标必须保证养护人员安全、稳定，不得发生群体性事件或重特大安全事故，一切责任均由中标方负责。</w:t>
      </w:r>
      <w:r>
        <w:rPr>
          <w:rFonts w:ascii="仿宋" w:hAnsi="仿宋" w:eastAsia="仿宋"/>
          <w:color w:val="000000"/>
          <w:sz w:val="28"/>
          <w:szCs w:val="28"/>
          <w:highlight w:val="none"/>
          <w:lang w:val="en-US" w:eastAsia="zh-CN"/>
        </w:rPr>
      </w:r>
      <w:r/>
    </w:p>
    <w:p>
      <w:pPr>
        <w:pStyle w:val="659"/>
        <w:numPr>
          <w:ilvl w:val="0"/>
          <w:numId w:val="0"/>
        </w:numPr>
        <w:ind w:firstLine="560"/>
        <w:spacing w:line="520" w:lineRule="exact"/>
        <w:rPr>
          <w:rFonts w:hint="eastAsia" w:ascii="仿宋" w:hAnsi="仿宋" w:eastAsia="仿宋" w:cs="Times New Roman"/>
          <w:color w:val="000000"/>
          <w:sz w:val="28"/>
          <w:szCs w:val="28"/>
          <w:highlight w:val="none"/>
          <w:u w:val="none"/>
          <w:lang w:val="en-US"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u w:val="none"/>
          <w:lang w:val="en-US" w:eastAsia="zh-CN"/>
        </w:rPr>
        <w:t xml:space="preserve">中标单位在养护期间必须及时处置数字城管、12345、园林中心等部门检查考核问题整改。</w:t>
      </w:r>
      <w:r>
        <w:rPr>
          <w:rFonts w:hint="eastAsia" w:ascii="仿宋" w:hAnsi="仿宋" w:eastAsia="仿宋" w:cs="Times New Roman"/>
          <w:color w:val="000000"/>
          <w:sz w:val="28"/>
          <w:szCs w:val="28"/>
          <w:highlight w:val="none"/>
          <w:u w:val="none"/>
          <w:lang w:val="en-US" w:eastAsia="zh-CN"/>
        </w:rPr>
      </w:r>
      <w:r/>
    </w:p>
    <w:p>
      <w:pPr>
        <w:pStyle w:val="659"/>
        <w:numPr>
          <w:ilvl w:val="0"/>
          <w:numId w:val="0"/>
        </w:numPr>
        <w:ind w:firstLine="560"/>
        <w:spacing w:line="520" w:lineRule="exact"/>
        <w:rPr>
          <w:rFonts w:hint="eastAsia" w:ascii="仿宋" w:hAnsi="仿宋" w:eastAsia="仿宋" w:cs="Times New Roman"/>
          <w:color w:val="000000"/>
          <w:sz w:val="28"/>
          <w:szCs w:val="28"/>
          <w:highlight w:val="none"/>
          <w:u w:val="none"/>
          <w:lang w:val="en-US" w:eastAsia="zh-CN"/>
        </w:rPr>
      </w:pPr>
      <w:r>
        <w:rPr>
          <w:rFonts w:hint="eastAsia" w:ascii="仿宋" w:hAnsi="仿宋" w:eastAsia="仿宋" w:cs="Times New Roman"/>
          <w:color w:val="000000"/>
          <w:sz w:val="28"/>
          <w:szCs w:val="28"/>
          <w:highlight w:val="none"/>
          <w:u w:val="none"/>
          <w:lang w:val="en-US" w:eastAsia="zh-CN"/>
        </w:rPr>
        <w:t xml:space="preserve">7、投标人中标后服从招标人的管理并按照招标人要求使用淮安园林信息化系统。按时通过淮安园林信息化系统上报相关计划总结；及时对招标人安排的专项任务的完成情况进行反馈；在规定时间内完成巡查交办问题并及时通过系统进行反馈；</w:t>
      </w:r>
      <w:r>
        <w:rPr>
          <w:rFonts w:hint="eastAsia" w:ascii="仿宋" w:hAnsi="仿宋" w:eastAsia="仿宋" w:cs="Times New Roman"/>
          <w:color w:val="000000"/>
          <w:sz w:val="28"/>
          <w:szCs w:val="28"/>
          <w:highlight w:val="none"/>
          <w:u w:val="none"/>
          <w:lang w:val="en-US" w:eastAsia="zh-CN"/>
        </w:rPr>
      </w:r>
      <w:r/>
    </w:p>
    <w:p>
      <w:pPr>
        <w:pStyle w:val="659"/>
        <w:numPr>
          <w:ilvl w:val="0"/>
          <w:numId w:val="0"/>
        </w:numPr>
        <w:ind w:firstLine="560"/>
        <w:spacing w:line="520" w:lineRule="exact"/>
        <w:rPr>
          <w:rFonts w:ascii="仿宋" w:hAnsi="仿宋" w:eastAsia="仿宋"/>
          <w:b/>
          <w:bCs/>
          <w:color w:val="000000"/>
          <w:sz w:val="28"/>
          <w:szCs w:val="28"/>
          <w:highlight w:val="none"/>
        </w:rPr>
      </w:pPr>
      <w:r>
        <w:rPr>
          <w:rFonts w:hint="eastAsia" w:ascii="仿宋" w:hAnsi="仿宋" w:eastAsia="仿宋"/>
          <w:color w:val="000000"/>
          <w:sz w:val="28"/>
          <w:highlight w:val="none"/>
        </w:rPr>
        <w:t xml:space="preserve">三、主要服务内容</w:t>
      </w:r>
      <w:r>
        <w:rPr>
          <w:rFonts w:ascii="仿宋" w:hAnsi="仿宋" w:eastAsia="仿宋"/>
          <w:b/>
          <w:bCs/>
          <w:color w:val="000000"/>
          <w:sz w:val="28"/>
          <w:szCs w:val="28"/>
          <w:highlight w:val="none"/>
        </w:rPr>
      </w:r>
      <w:r/>
    </w:p>
    <w:p>
      <w:pPr>
        <w:pStyle w:val="659"/>
        <w:ind w:firstLine="560"/>
        <w:spacing w:line="520" w:lineRule="exact"/>
        <w:shd w:val="clear" w:color="auto" w:fill="auto"/>
        <w:rPr>
          <w:rFonts w:hint="eastAsia" w:ascii="仿宋" w:hAnsi="仿宋" w:eastAsia="仿宋" w:cs="Times New Roman"/>
          <w:color w:val="000000"/>
          <w:sz w:val="28"/>
          <w:szCs w:val="28"/>
          <w:highlight w:val="none"/>
          <w:u w:val="none"/>
          <w:lang w:val="en-US" w:eastAsia="zh-CN"/>
        </w:rPr>
      </w:pPr>
      <w:r>
        <w:rPr>
          <w:rFonts w:hint="eastAsia" w:ascii="仿宋" w:hAnsi="仿宋" w:eastAsia="仿宋" w:cs="Times New Roman"/>
          <w:color w:val="000000"/>
          <w:sz w:val="28"/>
          <w:szCs w:val="28"/>
          <w:highlight w:val="none"/>
          <w:u w:val="none"/>
          <w:lang w:val="en-US" w:eastAsia="zh-CN"/>
        </w:rPr>
        <w:t xml:space="preserve">公园绿地：乔木（含行道树）、花灌木、平篱、草花、草坪地被绿化养护；修剪、施肥、除草、涂白、裹干、病虫害防治、适时浇水等；绿地保护管理和园林废弃物、生活垃圾的清运等；飘絮植物综合防治；秋季加播黑麦草及养护。此外钵池山公园绿地、子园路路面、园林小品、构筑物、垃圾箱、坐凳等小型园林设施进行日常保洁及安全保险管理；大运河两岸及南园绿地内日常保洁，园路小品、构筑物、体育健身设施、休闲椅、果壳箱、亭子等园林设施进行维护维修及安全保险管理，每年进行油漆出新。</w:t>
      </w:r>
      <w:r>
        <w:rPr>
          <w:rFonts w:hint="eastAsia" w:ascii="仿宋" w:hAnsi="仿宋" w:eastAsia="仿宋" w:cs="Times New Roman"/>
          <w:color w:val="000000"/>
          <w:sz w:val="28"/>
          <w:szCs w:val="28"/>
          <w:highlight w:val="none"/>
          <w:u w:val="none"/>
          <w:lang w:val="en-US" w:eastAsia="zh-CN"/>
        </w:rPr>
      </w:r>
      <w:r/>
    </w:p>
    <w:p>
      <w:pPr>
        <w:pStyle w:val="659"/>
        <w:numPr>
          <w:ilvl w:val="0"/>
          <w:numId w:val="0"/>
        </w:numPr>
        <w:ind w:firstLine="560"/>
        <w:spacing w:line="520" w:lineRule="exact"/>
        <w:rPr>
          <w:rFonts w:hint="eastAsia" w:ascii="仿宋" w:hAnsi="仿宋" w:eastAsia="仿宋" w:cs="Times New Roman"/>
          <w:color w:val="000000"/>
          <w:sz w:val="28"/>
          <w:szCs w:val="28"/>
          <w:highlight w:val="none"/>
          <w:u w:val="none"/>
          <w:lang w:val="en-US" w:eastAsia="zh-CN"/>
        </w:rPr>
      </w:pPr>
      <w:r>
        <w:rPr>
          <w:rFonts w:hint="eastAsia" w:ascii="仿宋" w:hAnsi="仿宋" w:eastAsia="仿宋" w:cs="Times New Roman"/>
          <w:color w:val="000000"/>
          <w:sz w:val="28"/>
          <w:szCs w:val="28"/>
          <w:highlight w:val="none"/>
          <w:u w:val="none"/>
          <w:lang w:val="en-US" w:eastAsia="zh-CN"/>
        </w:rPr>
        <w:t xml:space="preserve">水面：水面保洁及水生植物按照指定范围定时清理维护；水生植物密度适宜，花期正常，花色鲜艳美观，无干枯叶、残花等，挺水植物、浮水植物和沉水植物等过渡自然，密度合理，长势良好；及时清除水中杂草、塑料垃圾、水生植物的残花残叶，池底或池水过于污浊时要换水或彻底清理。</w:t>
      </w:r>
      <w:r>
        <w:rPr>
          <w:rFonts w:hint="eastAsia" w:ascii="仿宋" w:hAnsi="仿宋" w:eastAsia="仿宋" w:cs="Times New Roman"/>
          <w:color w:val="000000"/>
          <w:sz w:val="28"/>
          <w:szCs w:val="28"/>
          <w:highlight w:val="none"/>
          <w:u w:val="none"/>
          <w:lang w:val="en-US" w:eastAsia="zh-CN"/>
        </w:rPr>
      </w:r>
      <w:r/>
    </w:p>
    <w:p>
      <w:pPr>
        <w:pStyle w:val="659"/>
        <w:ind w:firstLine="560"/>
        <w:spacing w:line="520" w:lineRule="exact"/>
        <w:shd w:val="clear" w:color="auto" w:fill="auto"/>
        <w:rPr>
          <w:rFonts w:hint="eastAsia" w:ascii="仿宋" w:hAnsi="仿宋" w:eastAsia="仿宋"/>
          <w:color w:val="000000"/>
          <w:sz w:val="28"/>
          <w:highlight w:val="none"/>
        </w:rPr>
      </w:pPr>
      <w:r>
        <w:rPr>
          <w:rFonts w:hint="eastAsia" w:ascii="仿宋" w:hAnsi="仿宋" w:eastAsia="仿宋"/>
          <w:color w:val="000000"/>
          <w:sz w:val="28"/>
          <w:highlight w:val="none"/>
        </w:rPr>
        <w:t xml:space="preserve">四、退出机制（若中标的投标单位在承包养护期间，违反下列规定将被解除承包合同）:</w:t>
      </w:r>
      <w:r>
        <w:rPr>
          <w:rFonts w:hint="eastAsia" w:ascii="仿宋" w:hAnsi="仿宋" w:eastAsia="仿宋"/>
          <w:color w:val="000000"/>
          <w:sz w:val="28"/>
          <w:highlight w:val="none"/>
        </w:rPr>
      </w:r>
      <w:r/>
    </w:p>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1、养护月考核成绩一年内累计2次不合格的，取消养护资格，终止养护合同；</w:t>
      </w:r>
      <w:r>
        <w:rPr>
          <w:rFonts w:ascii="仿宋" w:hAnsi="仿宋" w:eastAsia="仿宋"/>
          <w:color w:val="000000"/>
          <w:sz w:val="28"/>
          <w:szCs w:val="28"/>
          <w:highlight w:val="none"/>
        </w:rPr>
      </w:r>
      <w:r/>
    </w:p>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2、未履行投标文件中承诺配备的机械设备或经</w:t>
      </w:r>
      <w:r>
        <w:rPr>
          <w:rFonts w:hint="eastAsia" w:ascii="仿宋" w:hAnsi="仿宋" w:eastAsia="仿宋"/>
          <w:color w:val="000000"/>
          <w:sz w:val="28"/>
          <w:szCs w:val="28"/>
          <w:highlight w:val="none"/>
          <w:lang w:val="en-US" w:eastAsia="zh-CN"/>
        </w:rPr>
        <w:t xml:space="preserve">招标人</w:t>
      </w:r>
      <w:r>
        <w:rPr>
          <w:rFonts w:hint="eastAsia" w:ascii="仿宋" w:hAnsi="仿宋" w:eastAsia="仿宋"/>
          <w:color w:val="000000"/>
          <w:sz w:val="28"/>
          <w:szCs w:val="28"/>
          <w:highlight w:val="none"/>
        </w:rPr>
        <w:t xml:space="preserve">不定期抽查发现投标文件中承诺配备的人员不在岗超过3次的，取消养护资格，终止养护合同；</w:t>
      </w:r>
      <w:r>
        <w:rPr>
          <w:rFonts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3、乙方未履行投标文件中承诺在合同签订后十五个日历天内在淮安设立能够满足绿地养护机械设备仓储、养护养护车辆停放等要求的固定场所的，取消养护资格，终止养护合同。</w:t>
      </w:r>
      <w:r>
        <w:rPr>
          <w:rFonts w:hint="eastAsia" w:ascii="仿宋" w:hAnsi="仿宋" w:eastAsia="仿宋"/>
          <w:color w:val="000000"/>
          <w:sz w:val="28"/>
          <w:szCs w:val="28"/>
          <w:highlight w:val="none"/>
        </w:rPr>
      </w:r>
      <w:r/>
    </w:p>
    <w:p>
      <w:pPr>
        <w:pStyle w:val="659"/>
        <w:ind w:firstLine="52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lang w:val="zh-CN"/>
        </w:rPr>
        <w:t xml:space="preserve">五</w:t>
      </w:r>
      <w:r>
        <w:rPr>
          <w:rFonts w:hint="eastAsia" w:ascii="仿宋" w:hAnsi="仿宋" w:eastAsia="仿宋"/>
          <w:color w:val="000000"/>
          <w:sz w:val="28"/>
          <w:highlight w:val="none"/>
        </w:rPr>
        <w:t xml:space="preserve">、</w:t>
      </w:r>
      <w:r>
        <w:rPr>
          <w:rFonts w:hint="eastAsia" w:ascii="仿宋" w:hAnsi="仿宋" w:eastAsia="仿宋"/>
          <w:color w:val="000000"/>
          <w:sz w:val="28"/>
          <w:highlight w:val="none"/>
          <w:lang w:val="en-US" w:eastAsia="zh-CN"/>
        </w:rPr>
        <w:t xml:space="preserve">淮安市2024年公园绿化养护管理</w:t>
      </w:r>
      <w:r>
        <w:rPr>
          <w:rFonts w:hint="eastAsia" w:ascii="仿宋" w:hAnsi="仿宋" w:eastAsia="仿宋"/>
          <w:color w:val="000000"/>
          <w:sz w:val="28"/>
          <w:highlight w:val="none"/>
        </w:rPr>
        <w:t xml:space="preserve">设施量清单</w:t>
      </w:r>
      <w:r>
        <w:rPr>
          <w:rFonts w:hint="eastAsia" w:ascii="仿宋" w:hAnsi="仿宋" w:eastAsia="仿宋"/>
          <w:color w:val="000000"/>
          <w:sz w:val="28"/>
          <w:highlight w:val="none"/>
        </w:rPr>
      </w:r>
      <w:r/>
    </w:p>
    <w:tbl>
      <w:tblPr>
        <w:tblW w:w="93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9"/>
        <w:gridCol w:w="3271"/>
        <w:gridCol w:w="2000"/>
        <w:gridCol w:w="1625"/>
        <w:gridCol w:w="912"/>
        <w:gridCol w:w="813"/>
      </w:tblGrid>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59"/>
              <w:jc w:val="center"/>
              <w:widowControl/>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val="en-US" w:eastAsia="zh-CN"/>
              </w:rPr>
              <w:t xml:space="preserve">序号</w:t>
            </w:r>
            <w:r>
              <w:rPr>
                <w:rFonts w:hint="eastAsia" w:ascii="仿宋" w:hAnsi="仿宋" w:eastAsia="仿宋" w:cs="仿宋"/>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659"/>
              <w:jc w:val="center"/>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绿地范围</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659"/>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绿地名称</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9"/>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数量</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9"/>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单位</w:t>
            </w: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59"/>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等级</w:t>
            </w:r>
            <w:r>
              <w:rPr>
                <w:rFonts w:hint="eastAsia" w:ascii="仿宋" w:hAnsi="仿宋" w:eastAsia="仿宋" w:cs="仿宋"/>
                <w:b/>
                <w:bCs/>
                <w:color w:val="000000"/>
                <w:sz w:val="24"/>
                <w:highlight w:val="none"/>
              </w:rPr>
            </w:r>
            <w:r/>
          </w:p>
        </w:tc>
      </w:tr>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59"/>
              <w:jc w:val="center"/>
              <w:widowControl/>
              <w:rPr>
                <w:rFonts w:hint="eastAsia" w:ascii="仿宋" w:hAnsi="仿宋" w:eastAsia="仿宋" w:cs="仿宋"/>
                <w:b/>
                <w:bCs/>
                <w:color w:val="000000"/>
                <w:sz w:val="24"/>
                <w:highlight w:val="none"/>
                <w:lang w:eastAsia="zh-CN"/>
              </w:rPr>
            </w:pPr>
            <w:r>
              <w:rPr>
                <w:rFonts w:hint="eastAsia" w:ascii="仿宋" w:hAnsi="仿宋" w:eastAsia="仿宋" w:cs="仿宋"/>
                <w:b/>
                <w:bCs/>
                <w:color w:val="000000"/>
                <w:sz w:val="24"/>
                <w:highlight w:val="none"/>
                <w:lang w:val="en-US" w:eastAsia="zh-CN" w:bidi="ar"/>
              </w:rPr>
              <w:t xml:space="preserve">1</w:t>
            </w:r>
            <w:r>
              <w:rPr>
                <w:rFonts w:hint="eastAsia" w:ascii="仿宋" w:hAnsi="仿宋" w:eastAsia="仿宋" w:cs="仿宋"/>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659"/>
              <w:jc w:val="left"/>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东至承德路，南至南湖北岸边，西至淮海南路，北至环城东路</w:t>
            </w:r>
            <w:r>
              <w:rPr>
                <w:rFonts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659"/>
              <w:jc w:val="center"/>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楚秀园绿地</w:t>
            </w:r>
            <w:r>
              <w:rPr>
                <w:rFonts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226300</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59"/>
              <w:jc w:val="center"/>
              <w:widowControl/>
              <w:rPr>
                <w:rFonts w:ascii="仿宋" w:hAnsi="仿宋" w:eastAsia="仿宋" w:cs="Times New Roman"/>
                <w:color w:val="000000"/>
                <w:sz w:val="24"/>
                <w:szCs w:val="24"/>
                <w:highlight w:val="none"/>
                <w:lang w:val="en-US" w:eastAsia="zh-CN"/>
              </w:rPr>
            </w:pPr>
            <w:r>
              <w:rPr>
                <w:rFonts w:hint="eastAsia" w:ascii="仿宋" w:hAnsi="仿宋" w:eastAsia="仿宋" w:cs="仿宋"/>
                <w:b/>
                <w:bCs/>
                <w:color w:val="000000"/>
                <w:sz w:val="24"/>
                <w:highlight w:val="none"/>
                <w:lang w:val="en-US" w:eastAsia="zh-CN"/>
              </w:rPr>
              <w:t xml:space="preserve">一级</w:t>
            </w:r>
            <w:r>
              <w:rPr>
                <w:rFonts w:ascii="仿宋" w:hAnsi="仿宋" w:eastAsia="仿宋" w:cs="Times New Roman"/>
                <w:color w:val="000000"/>
                <w:sz w:val="24"/>
                <w:szCs w:val="24"/>
                <w:highlight w:val="none"/>
                <w:lang w:val="en-US" w:eastAsia="zh-CN"/>
              </w:rPr>
            </w:r>
            <w:r/>
          </w:p>
        </w:tc>
      </w:tr>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bidi="ar"/>
              </w:rPr>
            </w:pPr>
            <w:r>
              <w:rPr>
                <w:rFonts w:hint="eastAsia" w:ascii="仿宋" w:hAnsi="仿宋" w:eastAsia="仿宋" w:cs="仿宋"/>
                <w:b/>
                <w:bCs/>
                <w:color w:val="000000"/>
                <w:sz w:val="24"/>
                <w:highlight w:val="none"/>
                <w:lang w:val="en-US" w:eastAsia="zh-CN" w:bidi="ar"/>
              </w:rPr>
              <w:t xml:space="preserve">2</w:t>
            </w:r>
            <w:r>
              <w:rPr>
                <w:rFonts w:hint="eastAsia"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659"/>
              <w:jc w:val="left"/>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东至承德路，南至新民东路，西至联盛广场，北至月季园南湖北岸</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659"/>
              <w:jc w:val="center"/>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月季园绿地</w:t>
            </w:r>
            <w:r>
              <w:rPr>
                <w:rFonts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97100</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59"/>
              <w:jc w:val="center"/>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一级</w:t>
            </w:r>
            <w:r>
              <w:rPr>
                <w:rFonts w:ascii="仿宋" w:hAnsi="仿宋" w:eastAsia="仿宋" w:cs="仿宋"/>
                <w:b/>
                <w:bCs/>
                <w:color w:val="000000"/>
                <w:sz w:val="24"/>
                <w:highlight w:val="none"/>
                <w:lang w:val="en-US" w:eastAsia="zh-CN"/>
              </w:rPr>
            </w:r>
            <w:r/>
          </w:p>
        </w:tc>
      </w:tr>
      <w:tr>
        <w:trPr>
          <w:trHeight w:val="6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bidi="ar"/>
              </w:rPr>
            </w:pPr>
            <w:r>
              <w:rPr>
                <w:rFonts w:hint="eastAsia" w:ascii="仿宋" w:hAnsi="仿宋" w:eastAsia="仿宋" w:cs="仿宋"/>
                <w:b/>
                <w:bCs/>
                <w:color w:val="000000"/>
                <w:sz w:val="24"/>
                <w:highlight w:val="none"/>
                <w:lang w:val="en-US" w:eastAsia="zh-CN" w:bidi="ar"/>
              </w:rPr>
              <w:t xml:space="preserve">3</w:t>
            </w:r>
            <w:r>
              <w:rPr>
                <w:rFonts w:hint="eastAsia"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659"/>
              <w:jc w:val="left"/>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东至南昌路、南至珠海路、西至翔宇大道、北至水渡口大道</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659"/>
              <w:jc w:val="center"/>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钵池山公园绿地</w:t>
            </w:r>
            <w:r>
              <w:rPr>
                <w:rFonts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9"/>
              <w:jc w:val="left"/>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974000（含水面453000）</w:t>
            </w:r>
            <w:r>
              <w:rPr>
                <w:rFonts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一级</w:t>
            </w:r>
            <w:r>
              <w:rPr>
                <w:rFonts w:hint="eastAsia" w:ascii="仿宋" w:hAnsi="仿宋" w:eastAsia="仿宋" w:cs="仿宋"/>
                <w:b/>
                <w:bCs/>
                <w:color w:val="000000"/>
                <w:sz w:val="24"/>
                <w:highlight w:val="none"/>
                <w:lang w:val="en-US" w:eastAsia="zh-CN"/>
              </w:rPr>
            </w:r>
            <w:r/>
          </w:p>
        </w:tc>
      </w:tr>
      <w:tr>
        <w:trPr>
          <w:trHeight w:val="2188"/>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bidi="ar"/>
              </w:rPr>
            </w:pPr>
            <w:r>
              <w:rPr>
                <w:rFonts w:hint="eastAsia" w:ascii="仿宋" w:hAnsi="仿宋" w:eastAsia="仿宋" w:cs="仿宋"/>
                <w:b/>
                <w:bCs/>
                <w:color w:val="000000"/>
                <w:sz w:val="24"/>
                <w:highlight w:val="none"/>
                <w:lang w:val="en-US" w:eastAsia="zh-CN" w:bidi="ar"/>
              </w:rPr>
              <w:t xml:space="preserve">4</w:t>
            </w:r>
            <w:r>
              <w:rPr>
                <w:rFonts w:hint="eastAsia" w:ascii="仿宋" w:hAnsi="仿宋" w:eastAsia="仿宋" w:cs="仿宋"/>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659"/>
              <w:jc w:val="left"/>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大运河两岸绿地（南岸：</w:t>
            </w:r>
            <w:r>
              <w:rPr>
                <w:rFonts w:hint="eastAsia" w:ascii="仿宋" w:hAnsi="仿宋" w:eastAsia="仿宋" w:cs="仿宋"/>
                <w:b/>
                <w:bCs/>
                <w:color w:val="000000"/>
                <w:sz w:val="24"/>
                <w:highlight w:val="none"/>
              </w:rPr>
              <w:t xml:space="preserve">清浦大桥至黄码大桥之间所属绿地</w:t>
            </w:r>
            <w:r>
              <w:rPr>
                <w:rFonts w:hint="eastAsia" w:ascii="仿宋" w:hAnsi="仿宋" w:eastAsia="仿宋" w:cs="仿宋"/>
                <w:b/>
                <w:bCs/>
                <w:color w:val="000000"/>
                <w:sz w:val="24"/>
                <w:highlight w:val="none"/>
                <w:lang w:val="en-US" w:eastAsia="zh-CN"/>
              </w:rPr>
              <w:t xml:space="preserve">围，北岸：</w:t>
            </w:r>
            <w:r>
              <w:rPr>
                <w:rFonts w:hint="eastAsia" w:ascii="仿宋" w:hAnsi="仿宋" w:eastAsia="仿宋" w:cs="仿宋"/>
                <w:b/>
                <w:bCs/>
                <w:color w:val="000000"/>
                <w:sz w:val="24"/>
                <w:highlight w:val="none"/>
              </w:rPr>
              <w:t xml:space="preserve">淮海路大桥西750米至枚皋路大桥之间所属绿地</w:t>
            </w:r>
            <w:r>
              <w:rPr>
                <w:rFonts w:hint="eastAsia" w:ascii="仿宋" w:hAnsi="仿宋" w:eastAsia="仿宋" w:cs="仿宋"/>
                <w:b/>
                <w:bCs/>
                <w:color w:val="000000"/>
                <w:sz w:val="24"/>
                <w:highlight w:val="none"/>
                <w:lang w:val="en-US" w:eastAsia="zh-CN"/>
              </w:rPr>
              <w:t xml:space="preserve">）；南园绿地（东至南园内环路外围水系边沟处，南至忠义物流园后围墙水系边，西至德园外侧，北至黄码加油站外围）。</w:t>
            </w:r>
            <w:r>
              <w:rPr>
                <w:rFonts w:hint="eastAsia"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pStyle w:val="659"/>
              <w:jc w:val="center"/>
              <w:widowControl/>
              <w:rPr>
                <w:rFonts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大运河两岸绿地及南园绿地</w:t>
            </w:r>
            <w:r>
              <w:rPr>
                <w:rFonts w:ascii="仿宋" w:hAnsi="仿宋" w:eastAsia="仿宋" w:cs="仿宋"/>
                <w:b/>
                <w:bCs/>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9"/>
              <w:jc w:val="left"/>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highlight w:val="none"/>
                <w:lang w:val="en-US" w:eastAsia="zh-CN"/>
              </w:rPr>
              <w:t xml:space="preserve">1130284（含水面30000）</w:t>
            </w:r>
            <w:r>
              <w:rPr>
                <w:rFonts w:hint="eastAsia" w:ascii="仿宋" w:hAnsi="仿宋" w:eastAsia="仿宋" w:cs="仿宋"/>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659"/>
              <w:jc w:val="center"/>
              <w:widowControl/>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b/>
                <w:bCs/>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59"/>
              <w:jc w:val="center"/>
              <w:widowControl/>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一级</w:t>
            </w:r>
            <w:r>
              <w:rPr>
                <w:rFonts w:hint="eastAsia" w:ascii="仿宋" w:hAnsi="仿宋" w:eastAsia="仿宋" w:cs="仿宋"/>
                <w:b/>
                <w:bCs/>
                <w:color w:val="000000"/>
                <w:sz w:val="24"/>
                <w:highlight w:val="none"/>
                <w:lang w:val="en-US" w:eastAsia="zh-CN"/>
              </w:rPr>
            </w:r>
            <w:r/>
          </w:p>
        </w:tc>
      </w:tr>
    </w:tbl>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highlight w:val="none"/>
        </w:rPr>
        <w:t xml:space="preserve">六、商务部分：</w:t>
      </w:r>
      <w:r>
        <w:rPr>
          <w:rFonts w:ascii="仿宋" w:hAnsi="仿宋" w:eastAsia="仿宋"/>
          <w:color w:val="000000"/>
          <w:sz w:val="28"/>
          <w:szCs w:val="28"/>
          <w:highlight w:val="none"/>
        </w:rPr>
      </w:r>
      <w:r/>
    </w:p>
    <w:p>
      <w:pPr>
        <w:pStyle w:val="659"/>
        <w:ind w:firstLine="42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（一）服务时间：</w:t>
      </w:r>
      <w:r>
        <w:rPr>
          <w:rFonts w:ascii="仿宋" w:hAnsi="仿宋" w:eastAsia="仿宋"/>
          <w:color w:val="000000"/>
          <w:sz w:val="28"/>
          <w:szCs w:val="28"/>
          <w:highlight w:val="none"/>
        </w:rPr>
      </w:r>
      <w:r/>
    </w:p>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（1）养护交接时间:中标公示期满之日起</w:t>
      </w:r>
      <w:r>
        <w:rPr>
          <w:rFonts w:hint="eastAsia" w:ascii="仿宋" w:hAnsi="仿宋" w:eastAsia="仿宋"/>
          <w:color w:val="000000"/>
          <w:sz w:val="28"/>
          <w:szCs w:val="28"/>
          <w:highlight w:val="none"/>
          <w:lang w:val="en-US" w:eastAsia="zh-CN"/>
        </w:rPr>
        <w:t xml:space="preserve">进行绿地交接</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9"/>
        <w:ind w:firstLine="560"/>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（2）养护期限:</w:t>
      </w:r>
      <w:r>
        <w:rPr>
          <w:rFonts w:hint="eastAsia" w:ascii="仿宋" w:hAnsi="仿宋" w:eastAsia="仿宋"/>
          <w:color w:val="000000"/>
          <w:sz w:val="28"/>
          <w:szCs w:val="28"/>
          <w:highlight w:val="none"/>
          <w:u w:val="single"/>
          <w:lang w:val="en-US" w:eastAsia="zh-CN"/>
        </w:rPr>
        <w:t xml:space="preserve">四个月，自合同签订之日起次日开始计算。</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（3）养护绿地到期移交时必须确保达到交接的标准，移交时发现养护质量不符合要求的，原养护单位必须整改至合格，或扣除相应的整改费用由接收单位进行整改。</w:t>
      </w:r>
      <w:r>
        <w:rPr>
          <w:rFonts w:hint="eastAsia" w:ascii="仿宋" w:hAnsi="仿宋" w:eastAsia="仿宋"/>
          <w:color w:val="000000"/>
          <w:sz w:val="28"/>
          <w:szCs w:val="28"/>
          <w:highlight w:val="none"/>
        </w:rPr>
      </w:r>
      <w:r/>
    </w:p>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（二）服务地点：采购人指定</w:t>
      </w:r>
      <w:r>
        <w:rPr>
          <w:rFonts w:ascii="仿宋" w:hAnsi="仿宋" w:eastAsia="仿宋"/>
          <w:color w:val="000000"/>
          <w:sz w:val="28"/>
          <w:szCs w:val="28"/>
          <w:highlight w:val="none"/>
        </w:rPr>
      </w:r>
      <w:r/>
    </w:p>
    <w:p>
      <w:pPr>
        <w:pStyle w:val="659"/>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（三）付款方式：</w:t>
      </w:r>
      <w:r>
        <w:rPr>
          <w:rFonts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（1）每季度末付合同价的相应款项（依据考核结果奖惩兑现后支付）。</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根据《淮安市园林绿化管理中心</w:t>
      </w:r>
      <w:r>
        <w:rPr>
          <w:rFonts w:hint="eastAsia" w:ascii="仿宋" w:hAnsi="仿宋" w:eastAsia="仿宋"/>
          <w:color w:val="000000"/>
          <w:sz w:val="28"/>
          <w:szCs w:val="28"/>
          <w:highlight w:val="none"/>
          <w:lang w:eastAsia="zh-CN"/>
        </w:rPr>
        <w:t xml:space="preserve">淮安市2024年公园绿化养护管理</w:t>
      </w:r>
      <w:r>
        <w:rPr>
          <w:rFonts w:hint="eastAsia" w:ascii="仿宋" w:hAnsi="仿宋" w:eastAsia="仿宋"/>
          <w:color w:val="000000"/>
          <w:sz w:val="28"/>
          <w:szCs w:val="28"/>
          <w:highlight w:val="none"/>
        </w:rPr>
        <w:t xml:space="preserve">管理考核办法》、《淮安市园林绿化管理中心</w:t>
      </w:r>
      <w:r>
        <w:rPr>
          <w:rFonts w:hint="eastAsia" w:ascii="仿宋" w:hAnsi="仿宋" w:eastAsia="仿宋"/>
          <w:color w:val="000000"/>
          <w:sz w:val="28"/>
          <w:szCs w:val="28"/>
          <w:highlight w:val="none"/>
          <w:lang w:eastAsia="zh-CN"/>
        </w:rPr>
        <w:t xml:space="preserve">淮安市2024年公园绿化养护管理</w:t>
      </w:r>
      <w:r>
        <w:rPr>
          <w:rFonts w:hint="eastAsia" w:ascii="仿宋" w:hAnsi="仿宋" w:eastAsia="仿宋"/>
          <w:color w:val="000000"/>
          <w:sz w:val="28"/>
          <w:szCs w:val="28"/>
          <w:highlight w:val="none"/>
        </w:rPr>
        <w:t xml:space="preserve">管理考核标准》进行日常考核管理，养护月考核成绩95分以上（含95分）为优秀，养护月考核成绩90-95分（含90分）为良好，80-90分（含80分）为合格，80分以下为不合格。</w:t>
      </w:r>
      <w:r>
        <w:rPr>
          <w:rFonts w:hint="eastAsia" w:ascii="仿宋" w:hAnsi="仿宋" w:eastAsia="仿宋"/>
          <w:color w:val="000000"/>
          <w:sz w:val="28"/>
          <w:szCs w:val="28"/>
          <w:highlight w:val="none"/>
        </w:rPr>
      </w:r>
      <w:r/>
    </w:p>
    <w:p>
      <w:pPr>
        <w:pStyle w:val="659"/>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（2）在养护单位于养护期满前按照采购方要求完成养护缺陷更正，并配合采购方和新中标单位办理移交手续后支付。如原中标人对养护缺陷不予更正，</w:t>
      </w:r>
      <w:r>
        <w:rPr>
          <w:rFonts w:hint="eastAsia" w:ascii="仿宋" w:hAnsi="仿宋" w:eastAsia="仿宋"/>
          <w:color w:val="000000"/>
          <w:sz w:val="28"/>
          <w:szCs w:val="28"/>
          <w:highlight w:val="none"/>
          <w:lang w:val="en-US" w:eastAsia="zh-CN"/>
        </w:rPr>
        <w:t xml:space="preserve">招标人</w:t>
      </w:r>
      <w:r>
        <w:rPr>
          <w:rFonts w:hint="eastAsia" w:ascii="仿宋" w:hAnsi="仿宋" w:eastAsia="仿宋"/>
          <w:color w:val="000000"/>
          <w:sz w:val="28"/>
          <w:szCs w:val="28"/>
          <w:highlight w:val="none"/>
        </w:rPr>
        <w:t xml:space="preserve">有权另请其他单位更正，所发生的费用则在最后一季度养护费中扣除。</w:t>
      </w:r>
      <w:r>
        <w:rPr>
          <w:rFonts w:hint="eastAsia" w:ascii="仿宋" w:hAnsi="仿宋" w:eastAsia="仿宋"/>
          <w:color w:val="000000"/>
          <w:sz w:val="28"/>
          <w:szCs w:val="28"/>
          <w:highlight w:val="none"/>
        </w:rPr>
      </w:r>
      <w:r/>
    </w:p>
    <w:p>
      <w:pPr>
        <w:pStyle w:val="659"/>
        <w:rPr>
          <w:rFonts w:hint="eastAsia"/>
          <w:color w:val="000000"/>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color w:val="000000"/>
          <w:highlight w:val="none"/>
        </w:rPr>
      </w:r>
      <w:r/>
    </w:p>
    <w:p>
      <w:pPr>
        <w:pStyle w:val="659"/>
        <w:ind w:firstLine="562"/>
        <w:spacing w:line="520" w:lineRule="exact"/>
        <w:tabs>
          <w:tab w:val="left" w:pos="2467" w:leader="none"/>
        </w:tabs>
        <w:rPr>
          <w:rFonts w:ascii="仿宋" w:hAnsi="仿宋" w:eastAsia="仿宋"/>
          <w:bCs/>
          <w:color w:val="000000"/>
          <w:sz w:val="28"/>
          <w:szCs w:val="28"/>
          <w:highlight w:val="none"/>
        </w:rPr>
      </w:pPr>
      <w:r>
        <w:rPr>
          <w:rFonts w:hint="eastAsia" w:ascii="黑体" w:hAnsi="黑体" w:eastAsia="黑体"/>
          <w:b/>
          <w:bCs/>
          <w:color w:val="000000"/>
          <w:sz w:val="28"/>
          <w:szCs w:val="28"/>
          <w:highlight w:val="none"/>
        </w:rPr>
        <w:t xml:space="preserve">附：相关考核标准</w:t>
      </w:r>
      <w:r>
        <w:rPr>
          <w:rFonts w:ascii="仿宋" w:hAnsi="仿宋" w:eastAsia="仿宋"/>
          <w:bCs/>
          <w:color w:val="000000"/>
          <w:sz w:val="28"/>
          <w:szCs w:val="28"/>
          <w:highlight w:val="none"/>
        </w:rPr>
      </w:r>
      <w:r/>
    </w:p>
    <w:p>
      <w:pPr>
        <w:pStyle w:val="659"/>
        <w:ind w:firstLine="560"/>
        <w:jc w:val="left"/>
        <w:spacing w:line="52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（一）</w:t>
      </w:r>
      <w:r>
        <w:rPr>
          <w:rFonts w:hint="eastAsia" w:ascii="仿宋" w:hAnsi="仿宋" w:eastAsia="仿宋"/>
          <w:color w:val="000000"/>
          <w:sz w:val="28"/>
          <w:highlight w:val="none"/>
        </w:rPr>
        <w:t xml:space="preserve">淮安市园林绿化管理中心</w:t>
      </w:r>
      <w:r>
        <w:rPr>
          <w:rFonts w:hint="eastAsia" w:ascii="仿宋" w:hAnsi="仿宋" w:eastAsia="仿宋"/>
          <w:color w:val="000000"/>
          <w:sz w:val="28"/>
          <w:highlight w:val="none"/>
          <w:lang w:eastAsia="zh-CN"/>
        </w:rPr>
        <w:t xml:space="preserve">淮安市2024年公园绿化养护管理</w:t>
      </w:r>
      <w:r>
        <w:rPr>
          <w:rFonts w:hint="eastAsia" w:ascii="仿宋" w:hAnsi="仿宋" w:eastAsia="仿宋"/>
          <w:color w:val="000000"/>
          <w:sz w:val="28"/>
          <w:highlight w:val="none"/>
        </w:rPr>
        <w:t xml:space="preserve">管理考核办法</w:t>
      </w:r>
      <w:r>
        <w:rPr>
          <w:rFonts w:ascii="仿宋" w:hAnsi="仿宋" w:eastAsia="仿宋"/>
          <w:bCs/>
          <w:color w:val="000000"/>
          <w:sz w:val="28"/>
          <w:szCs w:val="28"/>
          <w:highlight w:val="none"/>
        </w:rPr>
      </w:r>
      <w:r/>
    </w:p>
    <w:p>
      <w:pPr>
        <w:pStyle w:val="749"/>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按照淮安市园林绿化管理中心2024年印发的</w:t>
      </w:r>
      <w:r>
        <w:rPr>
          <w:rFonts w:hint="eastAsia" w:ascii="仿宋" w:hAnsi="仿宋" w:eastAsia="仿宋"/>
          <w:color w:val="000000"/>
          <w:sz w:val="28"/>
          <w:highlight w:val="none"/>
        </w:rPr>
        <w:t xml:space="preserve">《关于印发淮安市园林绿化管理中心</w:t>
      </w:r>
      <w:r>
        <w:rPr>
          <w:rFonts w:hint="eastAsia" w:ascii="仿宋" w:hAnsi="仿宋" w:eastAsia="仿宋"/>
          <w:color w:val="000000"/>
          <w:sz w:val="28"/>
          <w:highlight w:val="none"/>
          <w:lang w:eastAsia="zh-CN"/>
        </w:rPr>
        <w:t xml:space="preserve">淮安市2024年公园绿化养护管理</w:t>
      </w:r>
      <w:r>
        <w:rPr>
          <w:rFonts w:hint="eastAsia" w:ascii="仿宋" w:hAnsi="仿宋" w:eastAsia="仿宋"/>
          <w:color w:val="000000"/>
          <w:sz w:val="28"/>
          <w:highlight w:val="none"/>
        </w:rPr>
        <w:t xml:space="preserve">管理考核办法的通知》</w:t>
      </w:r>
      <w:r>
        <w:rPr>
          <w:rFonts w:hint="eastAsia" w:ascii="仿宋" w:hAnsi="仿宋" w:eastAsia="仿宋"/>
          <w:bCs/>
          <w:color w:val="000000"/>
          <w:sz w:val="28"/>
          <w:szCs w:val="28"/>
          <w:highlight w:val="none"/>
        </w:rPr>
        <w:t xml:space="preserve">执行。</w:t>
      </w:r>
      <w:r>
        <w:rPr>
          <w:rFonts w:hint="eastAsia" w:ascii="仿宋" w:hAnsi="仿宋" w:eastAsia="仿宋"/>
          <w:bCs/>
          <w:color w:val="000000"/>
          <w:sz w:val="28"/>
          <w:szCs w:val="28"/>
          <w:highlight w:val="none"/>
        </w:rPr>
      </w:r>
      <w:r/>
    </w:p>
    <w:p>
      <w:pPr>
        <w:pStyle w:val="749"/>
        <w:ind w:firstLine="560"/>
        <w:spacing w:line="520" w:lineRule="exact"/>
        <w:rPr>
          <w:rFonts w:hint="eastAsia" w:ascii="仿宋" w:hAnsi="仿宋" w:eastAsia="仿宋"/>
          <w:color w:val="000000"/>
          <w:sz w:val="28"/>
          <w:szCs w:val="28"/>
          <w:highlight w:val="none"/>
        </w:rPr>
      </w:pPr>
      <w:r>
        <w:rPr>
          <w:rFonts w:hint="eastAsia" w:ascii="仿宋" w:hAnsi="仿宋" w:eastAsia="仿宋"/>
          <w:bCs/>
          <w:color w:val="000000"/>
          <w:sz w:val="28"/>
          <w:szCs w:val="28"/>
          <w:highlight w:val="none"/>
        </w:rPr>
        <w:t xml:space="preserve">（二）</w:t>
      </w:r>
      <w:r>
        <w:rPr>
          <w:rFonts w:hint="eastAsia" w:ascii="仿宋" w:hAnsi="仿宋" w:eastAsia="仿宋"/>
          <w:color w:val="000000"/>
          <w:sz w:val="28"/>
          <w:highlight w:val="none"/>
        </w:rPr>
        <w:t xml:space="preserve">淮安市园林绿化管理中心</w:t>
      </w:r>
      <w:r>
        <w:rPr>
          <w:rFonts w:hint="eastAsia" w:ascii="仿宋" w:hAnsi="仿宋" w:eastAsia="仿宋"/>
          <w:color w:val="000000"/>
          <w:sz w:val="28"/>
          <w:highlight w:val="none"/>
          <w:lang w:eastAsia="zh-CN"/>
        </w:rPr>
        <w:t xml:space="preserve">淮安市2024年公园绿化养护管理</w:t>
      </w:r>
      <w:r>
        <w:rPr>
          <w:rFonts w:hint="eastAsia" w:ascii="仿宋" w:hAnsi="仿宋" w:eastAsia="仿宋"/>
          <w:color w:val="000000"/>
          <w:sz w:val="28"/>
          <w:highlight w:val="none"/>
        </w:rPr>
        <w:t xml:space="preserve">管理考核</w:t>
      </w:r>
      <w:r>
        <w:rPr>
          <w:rFonts w:hint="eastAsia" w:ascii="仿宋" w:hAnsi="仿宋" w:eastAsia="仿宋"/>
          <w:color w:val="000000"/>
          <w:sz w:val="28"/>
          <w:szCs w:val="28"/>
          <w:highlight w:val="none"/>
        </w:rPr>
        <w:t xml:space="preserve">标准（2024）</w:t>
      </w:r>
      <w:r>
        <w:rPr>
          <w:rFonts w:hint="eastAsia" w:ascii="仿宋" w:hAnsi="仿宋" w:eastAsia="仿宋"/>
          <w:color w:val="000000"/>
          <w:sz w:val="28"/>
          <w:szCs w:val="28"/>
          <w:highlight w:val="none"/>
        </w:rPr>
      </w:r>
      <w:r/>
    </w:p>
    <w:tbl>
      <w:tblPr>
        <w:tblW w:w="8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4560"/>
        <w:gridCol w:w="3208"/>
      </w:tblGrid>
      <w:tr>
        <w:trPr>
          <w:trHeight w:val="873"/>
        </w:trPr>
        <w:tc>
          <w:tcPr>
            <w:tcW w:w="1050" w:type="dxa"/>
            <w:vAlign w:val="center"/>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项 目</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质 量 要 求</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考 核 标 准</w:t>
            </w:r>
            <w:r>
              <w:rPr>
                <w:rFonts w:hint="eastAsia" w:ascii="仿宋" w:hAnsi="仿宋" w:eastAsia="仿宋" w:cs="Times New Roman"/>
                <w:color w:val="000000"/>
                <w:sz w:val="24"/>
                <w:highlight w:val="none"/>
              </w:rPr>
            </w:r>
            <w:r/>
          </w:p>
        </w:tc>
      </w:tr>
      <w:tr>
        <w:trPr>
          <w:trHeight w:val="233"/>
        </w:trPr>
        <w:tc>
          <w:tcPr>
            <w:tcW w:w="1050" w:type="dxa"/>
            <w:vAlign w:val="center"/>
            <w:vMerge w:val="restart"/>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一、植物管养</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修剪：1、绿篱的修剪应确保平篱线条</w:t>
            </w:r>
            <w:r>
              <w:rPr>
                <w:rFonts w:hint="eastAsia" w:ascii="仿宋" w:hAnsi="仿宋" w:eastAsia="仿宋" w:cs="Times New Roman"/>
                <w:color w:val="000000"/>
                <w:sz w:val="24"/>
                <w:highlight w:val="none"/>
                <w:lang w:val="en-US" w:eastAsia="zh-CN"/>
              </w:rPr>
              <w:t xml:space="preserve">整齐</w:t>
            </w:r>
            <w:r>
              <w:rPr>
                <w:rFonts w:hint="eastAsia" w:ascii="仿宋" w:hAnsi="仿宋" w:eastAsia="仿宋" w:cs="Times New Roman"/>
                <w:color w:val="000000"/>
                <w:sz w:val="24"/>
                <w:highlight w:val="none"/>
              </w:rPr>
              <w:t xml:space="preserve">，轮廓清晰，平篱顶面平整，高度一致；2、球类的修剪要注意大小结合、高矮结合，毛球剪成光球；3、乔木修剪应配合整形，除萌蘖枝、过密枝、内膛枝、交叉枝、病虫枝等；4、花灌木修剪应剪除萌蘖枝、病虫枝、不均衡枝、保持花灌木树形美观、匀称。影响景观的残花、残果应及时剪除。 </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未及时修剪，每处扣2分，未达到要求的每株（平方）扣1分。</w:t>
            </w:r>
            <w:r>
              <w:rPr>
                <w:rFonts w:hint="eastAsia" w:ascii="仿宋" w:hAnsi="仿宋" w:eastAsia="仿宋" w:cs="Times New Roman"/>
                <w:color w:val="000000"/>
                <w:sz w:val="24"/>
                <w:highlight w:val="none"/>
              </w:rPr>
            </w:r>
            <w:r/>
          </w:p>
        </w:tc>
      </w:tr>
      <w:tr>
        <w:trPr>
          <w:trHeight w:val="438"/>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病虫害防治：做好病虫害统防统治工作，尤其是美国白蛾，锦斑蛾等高发高危虫害的防治工作；发现树洞及时修补，防止腐朽进一步扩大。</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未及时进行病虫害防治的或防治不到位造成大规模虫害发生的，扣3分。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浇水：适时适量浇水，确保植物生长所需水分。春季树木萌发前至少浇透水1次，夏秋季连续15天无降雨应浇透水1次，冬季浇防冻水1次。耐涝性差树木应在12小时内排出根部积水。</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未及时浇水扣2分，浇水不到位扣1分，浇水不规范，影响周边环境卫生的扣1分。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施肥：结合冬季翻土切边施基肥1次，生长季追肥2次，施肥后用土覆盖、踏实、淋水透彻、找平，忌肥料裸露。</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未及时施肥扣2分，施肥不规范影响植物长势扣2分。</w:t>
            </w:r>
            <w:r>
              <w:rPr>
                <w:rFonts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切边、松土与除草：在树木根部外围切边，切边深度以10-20cm为宜，其内种植土应保持疏松，除草应除早、除小，特别是对树木危害严重的各类藤蔓及“加拿大一枝黄花”等外侵物种需及时清理，清理后的杂草及时清除，确保环境整洁。</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未按要求切边、松土与除草，每地段扣2分。</w:t>
            </w:r>
            <w:r>
              <w:rPr>
                <w:rFonts w:hint="eastAsia" w:ascii="仿宋" w:hAnsi="仿宋" w:eastAsia="仿宋" w:cs="Times New Roman"/>
                <w:color w:val="000000"/>
                <w:sz w:val="24"/>
                <w:highlight w:val="none"/>
              </w:rPr>
            </w:r>
            <w:r/>
          </w:p>
        </w:tc>
      </w:tr>
      <w:tr>
        <w:trPr>
          <w:trHeight w:val="1921"/>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支撑、防护、涂白、裹干：树木明显倾斜必须扶正（造型树木除外），落叶树在休眠期进行，常绿树在萌芽前进行。新栽、移植和扶正树木必须用支柱支撑。每年11月初开始对乔灌木进行涂白，树木涂白要求高度整齐一致，乔木及行道树涂白高度在1.3米左右，灌木涂白高度在1米左右，涂白后地面整洁干净。对香樟等不耐寒树种进行裹干防护。</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未按时间要求和质量要求进行支撑、防护、涂白和裹干的，每地段扣2分。</w:t>
            </w:r>
            <w:r>
              <w:rPr>
                <w:rFonts w:hint="eastAsia" w:ascii="仿宋" w:hAnsi="仿宋" w:eastAsia="仿宋" w:cs="Times New Roman"/>
                <w:color w:val="000000"/>
                <w:sz w:val="24"/>
                <w:highlight w:val="none"/>
              </w:rPr>
            </w:r>
            <w:r/>
          </w:p>
        </w:tc>
      </w:tr>
      <w:tr>
        <w:trPr>
          <w:trHeight w:val="462"/>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补植与调整：树木、地被完好无缺，补植的苗木的品种与规格需与现场品种规格保持一致。新补植的苗木应视情况做加固性保护。</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树木、地被缺株在7日内（高温和冰冻季节除外）未补齐的，树木每株扣1分；地被每平方米扣1分。补植的苗木品种规格与现场品种与规格不一致的，扣3分。</w:t>
            </w:r>
            <w:r>
              <w:rPr>
                <w:rFonts w:hint="eastAsia" w:ascii="仿宋" w:hAnsi="仿宋" w:eastAsia="仿宋" w:cs="Times New Roman"/>
                <w:color w:val="000000"/>
                <w:sz w:val="24"/>
                <w:highlight w:val="none"/>
              </w:rPr>
            </w:r>
            <w:r/>
          </w:p>
        </w:tc>
      </w:tr>
      <w:tr>
        <w:trPr>
          <w:trHeight w:val="1985"/>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草坪管养：草坪生长茂盛，无秃斑、无明显杂草；草坪适时修剪，高度保持在5-15公分，无明显病虫害症状，修剪及时，水肥适当；草坪覆盖率不低于95%，对绿地内与草坪交接处要进行切边，保持线条流畅清晰，乔灌木的根部保留5-10㎝的环形隔离，切边后的泥土及时清运干净。无明显病虫</w:t>
            </w:r>
            <w:r>
              <w:rPr>
                <w:rFonts w:hint="eastAsia" w:ascii="仿宋" w:hAnsi="仿宋" w:eastAsia="仿宋" w:cs="Times New Roman"/>
                <w:color w:val="000000"/>
                <w:sz w:val="24"/>
                <w:highlight w:val="none"/>
                <w:lang w:val="en-US" w:eastAsia="zh-CN"/>
              </w:rPr>
              <w:t xml:space="preserve">危</w:t>
            </w:r>
            <w:r>
              <w:rPr>
                <w:rFonts w:hint="eastAsia" w:ascii="仿宋" w:hAnsi="仿宋" w:eastAsia="仿宋" w:cs="Times New Roman"/>
                <w:color w:val="000000"/>
                <w:sz w:val="24"/>
                <w:highlight w:val="none"/>
              </w:rPr>
              <w:t xml:space="preserve">害症状。每年9月底前完成黑麦草播种并及时浇水，确保出芽率要达到98%以上。</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草坪秃斑小于5㎡，每处扣1分，大于5㎡，每处扣2分；有明显杂草，每处扣1分；草坪未及时修剪或修剪高度过低,扣2分;  出现明显病虫害症状，每处扣1分;草坪覆盖率低于95%，自行补植,未补植的,每10m2扣1分。  未切边的每处扣1分，边缘不流畅的每处扣1分，切边后泥土未及时清运的扣1分。草坪追播黑麦草不及时，对绿地景观造成影响的，每地段扣2分。</w:t>
            </w:r>
            <w:r>
              <w:rPr>
                <w:rFonts w:hint="eastAsia" w:ascii="仿宋" w:hAnsi="仿宋" w:eastAsia="仿宋" w:cs="Times New Roman"/>
                <w:color w:val="000000"/>
                <w:sz w:val="24"/>
                <w:highlight w:val="none"/>
              </w:rPr>
            </w:r>
            <w:r/>
          </w:p>
        </w:tc>
      </w:tr>
      <w:tr>
        <w:trPr>
          <w:trHeight w:val="355"/>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水生植物：水生植物密度适宜，花期正常，花色鲜艳美观，无干枯叶、残花等，挺水植物、浮水植物和沉水植物等过渡自然，密度合理，长势良好。及时清除水中杂草、塑料垃圾、水生植物的残花残叶，池底或池水过于污浊时要换水或彻底清理。</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水生植物长势太弱，影响景观效果的扣2分，未及时清理残花、残叶、杂草、垃圾的</w:t>
            </w:r>
            <w:r>
              <w:rPr>
                <w:rFonts w:hint="eastAsia" w:ascii="仿宋" w:hAnsi="仿宋" w:eastAsia="仿宋" w:cs="Times New Roman"/>
                <w:color w:val="000000"/>
                <w:sz w:val="24"/>
                <w:highlight w:val="none"/>
                <w:lang w:val="en-US" w:eastAsia="zh-CN"/>
              </w:rPr>
              <w:t xml:space="preserve">每处</w:t>
            </w:r>
            <w:r>
              <w:rPr>
                <w:rFonts w:hint="eastAsia" w:ascii="仿宋" w:hAnsi="仿宋" w:eastAsia="仿宋" w:cs="Times New Roman"/>
                <w:color w:val="000000"/>
                <w:sz w:val="24"/>
                <w:highlight w:val="none"/>
              </w:rPr>
              <w:t xml:space="preserve">扣1分。</w:t>
            </w:r>
            <w:r>
              <w:rPr>
                <w:rFonts w:ascii="仿宋" w:hAnsi="仿宋" w:eastAsia="仿宋" w:cs="Times New Roman"/>
                <w:color w:val="000000"/>
                <w:sz w:val="24"/>
                <w:highlight w:val="none"/>
              </w:rPr>
            </w:r>
            <w:r/>
          </w:p>
        </w:tc>
      </w:tr>
      <w:tr>
        <w:trPr>
          <w:trHeight w:val="809"/>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草花与花境：生长密度合适，叶间距不大于5厘米，无大面积空秃、枯死现象，无大面积病虫害危害。</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密度过稀每处扣1分。出现大于1平方米及以上空秃、枯死，每处扣1分。因病虫危害造成大面积枯、死等现场发生，每处扣1分。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古树名木：古树名木生长优良，枝繁叶茂；管养科学，注重复壮保护，且保护措施有效。</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古树名木管养不及时，造成长势不良的，每株扣2分。</w:t>
            </w:r>
            <w:r>
              <w:rPr>
                <w:rFonts w:hint="eastAsia" w:ascii="仿宋" w:hAnsi="仿宋" w:eastAsia="仿宋" w:cs="Times New Roman"/>
                <w:color w:val="000000"/>
                <w:sz w:val="24"/>
                <w:highlight w:val="none"/>
              </w:rPr>
            </w:r>
            <w:r/>
          </w:p>
        </w:tc>
      </w:tr>
      <w:tr>
        <w:trPr>
          <w:trHeight w:val="951"/>
        </w:trPr>
        <w:tc>
          <w:tcPr>
            <w:tcW w:w="1050" w:type="dxa"/>
            <w:vAlign w:val="center"/>
            <w:vMerge w:val="restart"/>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二、队伍管理与秩序维护</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绿化养护定人定岗，6000-8000㎡/人；养护人员工作期间穿戴统一工作服、遵守属地公园所制定的相关规章制度。</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工作时间地段内无管理人员，每次扣2分；有未穿工作服的，每人每次扣1分。</w:t>
            </w:r>
            <w:r>
              <w:rPr>
                <w:rFonts w:hint="eastAsia" w:ascii="仿宋" w:hAnsi="仿宋" w:eastAsia="仿宋" w:cs="Times New Roman"/>
                <w:color w:val="000000"/>
                <w:sz w:val="24"/>
                <w:highlight w:val="none"/>
              </w:rPr>
            </w:r>
            <w:r/>
          </w:p>
        </w:tc>
      </w:tr>
      <w:tr>
        <w:trPr>
          <w:trHeight w:val="169"/>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绿地、树池内无种菜、扣绳挂物、堆放杂物现象。</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绿地、树池内有种菜、扣绳挂物、堆放杂物现象的，每处扣2分。</w:t>
            </w:r>
            <w:r>
              <w:rPr>
                <w:rFonts w:hint="eastAsia" w:ascii="仿宋" w:hAnsi="仿宋" w:eastAsia="仿宋" w:cs="Times New Roman"/>
                <w:color w:val="000000"/>
                <w:sz w:val="24"/>
                <w:highlight w:val="none"/>
              </w:rPr>
            </w:r>
            <w:r/>
          </w:p>
        </w:tc>
      </w:tr>
      <w:tr>
        <w:trPr>
          <w:trHeight w:val="398"/>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绿地有专人巡查，发现践踏绿地、攀枝摘花、摇晃树木等行为及时制止，发现重大毁绿行为要及时制止，并及时上报执法部门处理。</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未及时发现和阻止毁绿行为，每次扣2分。</w:t>
            </w:r>
            <w:r>
              <w:rPr>
                <w:rFonts w:hint="eastAsia" w:ascii="仿宋" w:hAnsi="仿宋" w:eastAsia="仿宋" w:cs="Times New Roman"/>
                <w:color w:val="000000"/>
                <w:sz w:val="24"/>
                <w:highlight w:val="none"/>
              </w:rPr>
            </w:r>
            <w:r/>
          </w:p>
        </w:tc>
      </w:tr>
      <w:tr>
        <w:trPr>
          <w:trHeight w:val="637"/>
        </w:trPr>
        <w:tc>
          <w:tcPr>
            <w:tcW w:w="1050" w:type="dxa"/>
            <w:vAlign w:val="center"/>
            <w:vMerge w:val="restart"/>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三、绿化保洁与附属设施维护</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绿化垃圾要日产日清，绿地内无焚烧树叶等现象，无枯枝落叶。</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未做到的，每处扣1分。</w:t>
            </w:r>
            <w:r>
              <w:rPr>
                <w:rFonts w:hint="eastAsia" w:ascii="仿宋" w:hAnsi="仿宋" w:eastAsia="仿宋" w:cs="Times New Roman"/>
                <w:color w:val="000000"/>
                <w:sz w:val="24"/>
                <w:highlight w:val="none"/>
              </w:rPr>
            </w:r>
            <w:r/>
          </w:p>
        </w:tc>
      </w:tr>
      <w:tr>
        <w:trPr>
          <w:trHeight w:val="2630"/>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内设施完好无损，定期擦拭座椅坐凳，绿地附属设施每年油漆出新，园路铺装、花坛贴面砖、侧石完好无损，绿地内树木铭牌、文明提示牌等设施完好无损，定期对杀虫灯、美国白蛾诱捕器等进行维护，铺装路面无杂草。</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内设施损坏未及时修复的，每处扣1分；座椅坐凳不干净无法下座的，每处扣1分；道路花坛边坐凳污渍未及时清理的，每处扣1分；绿地附属设施每年未油漆的，扣2分，油漆不到位的，每处扣1分；铺装路面有杂草的，每处扣1分。</w:t>
            </w:r>
            <w:r>
              <w:rPr>
                <w:rFonts w:hint="eastAsia" w:ascii="仿宋" w:hAnsi="仿宋" w:eastAsia="仿宋" w:cs="Times New Roman"/>
                <w:color w:val="000000"/>
                <w:sz w:val="24"/>
                <w:highlight w:val="none"/>
              </w:rPr>
            </w:r>
            <w:r/>
          </w:p>
        </w:tc>
      </w:tr>
      <w:tr>
        <w:trPr>
          <w:trHeight w:val="187"/>
        </w:trPr>
        <w:tc>
          <w:tcPr>
            <w:tcW w:w="1050" w:type="dxa"/>
            <w:vAlign w:val="center"/>
            <w:vMerge w:val="restart"/>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四、安全文明养护与应急抢险</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作业现场随时保持绿地清洁、畅通，现场有专人负责安全。养护作业期间须在作业地段内设置警示标志，做好防护，水面作业需至少安排两人，并穿戴救生衣。</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未做到的，每次扣1分， 发生安全事故的，除承担相关责任外，视情况每次扣5-10分。</w:t>
            </w:r>
            <w:r>
              <w:rPr>
                <w:rFonts w:ascii="仿宋" w:hAnsi="仿宋" w:eastAsia="仿宋" w:cs="Times New Roman"/>
                <w:color w:val="000000"/>
                <w:sz w:val="24"/>
                <w:highlight w:val="none"/>
              </w:rPr>
            </w:r>
            <w:r/>
          </w:p>
        </w:tc>
      </w:tr>
      <w:tr>
        <w:trPr>
          <w:trHeight w:val="352"/>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绿地管理范围内有行政审批同意的事项时，要跟踪管理，监督施工单位在审批范围内操作，不得超范围或破坏其他绿化。</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树木移植或占用绿地施工过程中，管理力度不强，造成审批范围外绿地或植物受到损坏的，扣2-5分。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成立抢险队伍，有24小时联系电话；紧急事件必须在30分钟内到现场，及时处理好事故现场；在台风季节和大雪天气等恶劣天气，有人值班，及时抢险，确保绿地安全。</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未成立抢险队伍的，扣5分；若遇突发事件无法联络的，每次扣5分，并从养护经费中扣除处理突发事件所需的经费；在台风季节和大雪天气不及时抢险，每次扣5分。</w:t>
            </w:r>
            <w:r>
              <w:rPr>
                <w:rFonts w:hint="eastAsia" w:ascii="仿宋" w:hAnsi="仿宋" w:eastAsia="仿宋" w:cs="Times New Roman"/>
                <w:color w:val="000000"/>
                <w:sz w:val="24"/>
                <w:highlight w:val="none"/>
              </w:rPr>
            </w:r>
            <w:r/>
          </w:p>
        </w:tc>
      </w:tr>
      <w:tr>
        <w:trPr>
          <w:trHeight w:val="147"/>
        </w:trPr>
        <w:tc>
          <w:tcPr>
            <w:tcW w:w="1050" w:type="dxa"/>
            <w:vAlign w:val="center"/>
            <w:vMerge w:val="restart"/>
            <w:textDirection w:val="lrTb"/>
            <w:noWrap w:val="false"/>
          </w:tcPr>
          <w:p>
            <w:pPr>
              <w:pStyle w:val="659"/>
              <w:jc w:val="center"/>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五、档案信息管理与交办单回复</w:t>
            </w: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日常养护管理作业资料齐全（包括机械设备、农药使用，安全管理台账等），做到有记录，有统计，并且资料与实际养护情况相符。年终对全年资料进行汇总装订。明确专职信息员。每月23日报月总结（上报当月的亮点工作）。</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年底汇总的养护台帐不健全的，扣2分，未及时报月总结或内容不符合要求的，扣1分。</w:t>
            </w:r>
            <w:r>
              <w:rPr>
                <w:rFonts w:hint="eastAsia" w:ascii="仿宋" w:hAnsi="仿宋" w:eastAsia="仿宋" w:cs="Times New Roman"/>
                <w:color w:val="000000"/>
                <w:sz w:val="24"/>
                <w:highlight w:val="none"/>
              </w:rPr>
            </w:r>
            <w:r/>
          </w:p>
        </w:tc>
      </w:tr>
      <w:tr>
        <w:trPr>
          <w:trHeight w:val="90"/>
        </w:trPr>
        <w:tc>
          <w:tcPr>
            <w:tcW w:w="1050" w:type="dxa"/>
            <w:vAlign w:val="center"/>
            <w:vMerge w:val="continue"/>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r>
            <w:r/>
          </w:p>
        </w:tc>
        <w:tc>
          <w:tcPr>
            <w:tcW w:w="4560"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数字城管交办单、12345交办单、市民及媒体投诉等按时整改并回复；针对交办单存在职责不清的，实行派单制。</w:t>
            </w:r>
            <w:r>
              <w:rPr>
                <w:rFonts w:hint="eastAsia" w:ascii="仿宋" w:hAnsi="仿宋" w:eastAsia="仿宋" w:cs="Times New Roman"/>
                <w:color w:val="000000"/>
                <w:sz w:val="24"/>
                <w:highlight w:val="none"/>
              </w:rPr>
            </w:r>
            <w:r/>
          </w:p>
        </w:tc>
        <w:tc>
          <w:tcPr>
            <w:tcW w:w="3208" w:type="dxa"/>
            <w:vAlign w:val="center"/>
            <w:textDirection w:val="lrTb"/>
            <w:noWrap w:val="false"/>
          </w:tcPr>
          <w:p>
            <w:pPr>
              <w:pStyle w:val="659"/>
              <w:spacing w:line="340" w:lineRule="exact"/>
              <w:rPr>
                <w:rFonts w:hint="eastAsia" w:ascii="仿宋" w:hAnsi="仿宋" w:eastAsia="仿宋" w:cs="Times New Roman"/>
                <w:color w:val="000000"/>
                <w:sz w:val="24"/>
                <w:highlight w:val="none"/>
              </w:rPr>
            </w:pPr>
            <w:r>
              <w:rPr>
                <w:rFonts w:hint="eastAsia" w:ascii="仿宋" w:hAnsi="仿宋" w:eastAsia="仿宋" w:cs="Times New Roman"/>
                <w:color w:val="000000"/>
                <w:sz w:val="24"/>
                <w:highlight w:val="none"/>
              </w:rPr>
              <w:t xml:space="preserve">未按要求按期整改每单扣1分；对交办单推诿的扣2分；未按照派单制执行的，每件扣3分。</w:t>
            </w:r>
            <w:r>
              <w:rPr>
                <w:rFonts w:hint="eastAsia" w:ascii="仿宋" w:hAnsi="仿宋" w:eastAsia="仿宋" w:cs="Times New Roman"/>
                <w:color w:val="000000"/>
                <w:sz w:val="24"/>
                <w:highlight w:val="none"/>
              </w:rPr>
            </w:r>
            <w:r/>
          </w:p>
        </w:tc>
      </w:tr>
    </w:tbl>
    <w:p>
      <w:pPr>
        <w:pStyle w:val="749"/>
        <w:ind w:firstLine="1100"/>
        <w:rPr>
          <w:rFonts w:hint="eastAsia" w:hAnsi="宋体"/>
          <w:b/>
          <w:bCs/>
          <w:color w:val="000000"/>
          <w:sz w:val="44"/>
          <w:szCs w:val="44"/>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hAnsi="宋体"/>
          <w:b/>
          <w:bCs/>
          <w:color w:val="000000"/>
          <w:sz w:val="44"/>
          <w:szCs w:val="44"/>
          <w:highlight w:val="none"/>
        </w:rPr>
      </w:r>
      <w:r/>
    </w:p>
    <w:p>
      <w:pPr>
        <w:pStyle w:val="659"/>
        <w:ind w:firstLine="1807"/>
        <w:spacing w:line="400" w:lineRule="exact"/>
        <w:rPr>
          <w:rFonts w:hint="eastAsia" w:ascii="黑体" w:hAnsi="黑体" w:eastAsia="黑体"/>
          <w:b/>
          <w:bCs/>
          <w:sz w:val="36"/>
        </w:rPr>
      </w:pPr>
      <w:r>
        <w:rPr>
          <w:rFonts w:hint="eastAsia" w:ascii="黑体" w:hAnsi="黑体" w:eastAsia="黑体"/>
          <w:b/>
          <w:bCs/>
          <w:sz w:val="36"/>
        </w:rPr>
        <w:t xml:space="preserve">第六章   投  标  文  件</w:t>
      </w:r>
      <w:r>
        <w:rPr>
          <w:rFonts w:hint="eastAsia" w:ascii="黑体" w:hAnsi="黑体" w:eastAsia="黑体"/>
          <w:b/>
          <w:bCs/>
          <w:sz w:val="36"/>
        </w:rPr>
      </w:r>
      <w:r/>
    </w:p>
    <w:p>
      <w:pPr>
        <w:pStyle w:val="681"/>
        <w:rPr>
          <w:rFonts w:hint="eastAsia" w:ascii="黑体" w:hAnsi="黑体" w:eastAsia="黑体"/>
          <w:sz w:val="44"/>
          <w:szCs w:val="44"/>
        </w:rPr>
      </w:pPr>
      <w:r>
        <w:rPr>
          <w:rFonts w:hint="eastAsia" w:ascii="黑体" w:hAnsi="黑体" w:eastAsia="黑体"/>
          <w:sz w:val="44"/>
          <w:szCs w:val="44"/>
        </w:rPr>
      </w:r>
      <w:r/>
    </w:p>
    <w:p>
      <w:pPr>
        <w:pStyle w:val="681"/>
        <w:rPr>
          <w:rFonts w:hint="eastAsia" w:ascii="黑体" w:hAnsi="黑体" w:eastAsia="黑体"/>
          <w:sz w:val="32"/>
        </w:rPr>
      </w:pPr>
      <w:r>
        <w:rPr>
          <w:rFonts w:hint="eastAsia" w:ascii="黑体" w:hAnsi="黑体" w:eastAsia="黑体"/>
          <w:sz w:val="32"/>
        </w:rPr>
      </w:r>
      <w:r/>
    </w:p>
    <w:p>
      <w:pPr>
        <w:pStyle w:val="681"/>
        <w:rPr>
          <w:rFonts w:hint="eastAsia" w:ascii="黑体" w:hAnsi="黑体" w:eastAsia="黑体"/>
          <w:sz w:val="32"/>
        </w:rPr>
      </w:pPr>
      <w:r>
        <w:rPr>
          <w:rFonts w:hint="eastAsia" w:ascii="黑体" w:hAnsi="黑体" w:eastAsia="黑体"/>
          <w:sz w:val="32"/>
        </w:rPr>
      </w:r>
      <w:r/>
    </w:p>
    <w:p>
      <w:pPr>
        <w:pStyle w:val="681"/>
        <w:rPr>
          <w:rFonts w:hint="eastAsia" w:ascii="黑体" w:hAnsi="黑体" w:eastAsia="黑体"/>
          <w:sz w:val="32"/>
        </w:rPr>
      </w:pPr>
      <w:r>
        <w:rPr>
          <w:rFonts w:hint="eastAsia" w:ascii="黑体" w:hAnsi="黑体" w:eastAsia="黑体"/>
          <w:sz w:val="32"/>
        </w:rPr>
      </w:r>
      <w:r/>
    </w:p>
    <w:p>
      <w:pPr>
        <w:pStyle w:val="681"/>
        <w:rPr>
          <w:rFonts w:hint="eastAsia" w:ascii="黑体" w:hAnsi="黑体" w:eastAsia="黑体"/>
          <w:sz w:val="32"/>
        </w:rPr>
      </w:pPr>
      <w:r>
        <w:rPr>
          <w:rFonts w:hint="eastAsia" w:ascii="黑体" w:hAnsi="黑体" w:eastAsia="黑体"/>
          <w:sz w:val="32"/>
        </w:rPr>
      </w:r>
      <w:r/>
    </w:p>
    <w:p>
      <w:pPr>
        <w:pStyle w:val="659"/>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681"/>
        <w:rPr>
          <w:rFonts w:hint="eastAsia" w:ascii="黑体" w:hAnsi="黑体" w:eastAsia="黑体"/>
          <w:sz w:val="32"/>
        </w:rPr>
      </w:pPr>
      <w:r>
        <w:rPr>
          <w:rFonts w:hint="eastAsia" w:ascii="黑体" w:hAnsi="黑体" w:eastAsia="黑体"/>
          <w:sz w:val="32"/>
        </w:rPr>
      </w:r>
      <w:r/>
    </w:p>
    <w:p>
      <w:pPr>
        <w:pStyle w:val="681"/>
        <w:ind w:firstLine="1066"/>
        <w:rPr>
          <w:rFonts w:hint="eastAsia" w:ascii="黑体" w:hAnsi="黑体" w:eastAsia="黑体"/>
          <w:b/>
          <w:sz w:val="36"/>
          <w:szCs w:val="24"/>
        </w:rPr>
      </w:pPr>
      <w:r>
        <w:rPr>
          <w:rFonts w:hint="eastAsia" w:ascii="黑体" w:hAnsi="黑体" w:eastAsia="黑体"/>
          <w:b/>
          <w:sz w:val="36"/>
          <w:szCs w:val="24"/>
        </w:rPr>
      </w:r>
      <w:r/>
    </w:p>
    <w:p>
      <w:pPr>
        <w:pStyle w:val="681"/>
        <w:ind w:firstLine="1066"/>
        <w:rPr>
          <w:rFonts w:hint="eastAsia" w:ascii="黑体" w:hAnsi="黑体" w:eastAsia="黑体"/>
          <w:b/>
          <w:sz w:val="36"/>
          <w:szCs w:val="24"/>
        </w:rPr>
      </w:pPr>
      <w:r>
        <w:rPr>
          <w:rFonts w:hint="eastAsia" w:ascii="黑体" w:hAnsi="黑体" w:eastAsia="黑体"/>
          <w:b/>
          <w:sz w:val="36"/>
          <w:szCs w:val="24"/>
        </w:rPr>
      </w:r>
      <w:r/>
    </w:p>
    <w:p>
      <w:pPr>
        <w:pStyle w:val="681"/>
        <w:ind w:firstLine="1066"/>
        <w:rPr>
          <w:rFonts w:hint="eastAsia" w:ascii="黑体" w:hAnsi="黑体" w:eastAsia="黑体"/>
          <w:b/>
          <w:sz w:val="36"/>
          <w:szCs w:val="24"/>
        </w:rPr>
      </w:pPr>
      <w:r>
        <w:rPr>
          <w:rFonts w:hint="eastAsia" w:ascii="黑体" w:hAnsi="黑体" w:eastAsia="黑体"/>
          <w:b/>
          <w:sz w:val="36"/>
          <w:szCs w:val="24"/>
        </w:rPr>
      </w:r>
      <w:r/>
    </w:p>
    <w:p>
      <w:pPr>
        <w:pStyle w:val="681"/>
        <w:ind w:firstLine="1066"/>
        <w:rPr>
          <w:rFonts w:hint="eastAsia" w:ascii="黑体" w:hAnsi="黑体" w:eastAsia="黑体"/>
          <w:b/>
          <w:sz w:val="36"/>
          <w:szCs w:val="24"/>
        </w:rPr>
      </w:pPr>
      <w:r>
        <w:rPr>
          <w:rFonts w:hint="eastAsia" w:ascii="黑体" w:hAnsi="黑体" w:eastAsia="黑体"/>
          <w:b/>
          <w:sz w:val="36"/>
          <w:szCs w:val="24"/>
        </w:rPr>
      </w:r>
      <w:r/>
    </w:p>
    <w:p>
      <w:pPr>
        <w:pStyle w:val="681"/>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59"/>
        <w:spacing w:line="400" w:lineRule="exact"/>
        <w:rPr>
          <w:rFonts w:hint="eastAsia" w:ascii="黑体" w:hAnsi="黑体" w:eastAsia="黑体"/>
          <w:sz w:val="32"/>
          <w:szCs w:val="20"/>
        </w:rPr>
      </w:pPr>
      <w:r>
        <w:rPr>
          <w:rFonts w:hint="eastAsia" w:ascii="黑体" w:hAnsi="黑体" w:eastAsia="黑体"/>
          <w:sz w:val="32"/>
          <w:szCs w:val="20"/>
        </w:rPr>
      </w:r>
      <w:r/>
    </w:p>
    <w:p>
      <w:pPr>
        <w:pStyle w:val="659"/>
        <w:spacing w:line="400" w:lineRule="exact"/>
        <w:rPr>
          <w:rFonts w:hint="eastAsia" w:ascii="黑体" w:hAnsi="黑体" w:eastAsia="黑体"/>
          <w:sz w:val="32"/>
          <w:szCs w:val="20"/>
        </w:rPr>
      </w:pPr>
      <w:r>
        <w:rPr>
          <w:rFonts w:hint="eastAsia" w:ascii="黑体" w:hAnsi="黑体" w:eastAsia="黑体"/>
          <w:sz w:val="32"/>
          <w:szCs w:val="20"/>
        </w:rPr>
      </w:r>
      <w:r/>
    </w:p>
    <w:p>
      <w:pPr>
        <w:pStyle w:val="659"/>
        <w:spacing w:line="400" w:lineRule="exact"/>
        <w:rPr>
          <w:rFonts w:hint="eastAsia" w:ascii="黑体" w:hAnsi="黑体" w:eastAsia="黑体"/>
          <w:sz w:val="32"/>
          <w:szCs w:val="20"/>
        </w:rPr>
      </w:pPr>
      <w:r>
        <w:rPr>
          <w:rFonts w:hint="eastAsia" w:ascii="黑体" w:hAnsi="黑体" w:eastAsia="黑体"/>
          <w:sz w:val="32"/>
          <w:szCs w:val="20"/>
        </w:rPr>
      </w:r>
      <w:r/>
    </w:p>
    <w:p>
      <w:pPr>
        <w:pStyle w:val="659"/>
        <w:spacing w:line="400" w:lineRule="exact"/>
        <w:rPr>
          <w:rFonts w:hint="eastAsia" w:ascii="黑体" w:hAnsi="黑体" w:eastAsia="黑体"/>
          <w:sz w:val="32"/>
          <w:szCs w:val="20"/>
        </w:rPr>
      </w:pPr>
      <w:r>
        <w:rPr>
          <w:rFonts w:hint="eastAsia" w:ascii="黑体" w:hAnsi="黑体" w:eastAsia="黑体"/>
          <w:sz w:val="32"/>
          <w:szCs w:val="20"/>
        </w:rPr>
      </w:r>
      <w:r/>
    </w:p>
    <w:p>
      <w:pPr>
        <w:pStyle w:val="659"/>
        <w:spacing w:line="400" w:lineRule="exact"/>
        <w:rPr>
          <w:rFonts w:hint="eastAsia" w:ascii="黑体" w:hAnsi="黑体" w:eastAsia="黑体"/>
          <w:sz w:val="32"/>
          <w:szCs w:val="20"/>
        </w:rPr>
      </w:pPr>
      <w:r>
        <w:rPr>
          <w:rFonts w:hint="eastAsia" w:ascii="黑体" w:hAnsi="黑体" w:eastAsia="黑体"/>
          <w:sz w:val="32"/>
          <w:szCs w:val="20"/>
        </w:rPr>
      </w:r>
      <w:r/>
    </w:p>
    <w:p>
      <w:pPr>
        <w:pStyle w:val="659"/>
        <w:spacing w:line="400" w:lineRule="exact"/>
        <w:rPr>
          <w:rFonts w:hint="eastAsia" w:ascii="黑体" w:hAnsi="黑体" w:eastAsia="黑体"/>
          <w:sz w:val="32"/>
          <w:szCs w:val="20"/>
        </w:rPr>
      </w:pPr>
      <w:r>
        <w:rPr>
          <w:rFonts w:hint="eastAsia" w:ascii="黑体" w:hAnsi="黑体" w:eastAsia="黑体"/>
          <w:sz w:val="32"/>
          <w:szCs w:val="20"/>
        </w:rPr>
      </w:r>
      <w:r/>
    </w:p>
    <w:p>
      <w:pPr>
        <w:pStyle w:val="659"/>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rPr>
          <w:rFonts w:hint="eastAsia" w:ascii="黑体" w:hAnsi="黑体" w:eastAsia="黑体"/>
          <w:b/>
          <w:bCs/>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1904"/>
        <w:rPr>
          <w:rFonts w:hint="eastAsia" w:ascii="黑体" w:hAnsi="黑体" w:eastAsia="黑体"/>
          <w:sz w:val="32"/>
        </w:rPr>
      </w:pPr>
      <w:r>
        <w:rPr>
          <w:rFonts w:hint="eastAsia" w:ascii="黑体" w:hAnsi="黑体" w:eastAsia="黑体"/>
          <w:sz w:val="32"/>
        </w:rPr>
      </w:r>
      <w:r/>
    </w:p>
    <w:p>
      <w:pPr>
        <w:pStyle w:val="681"/>
        <w:ind w:firstLine="2103"/>
        <w:rPr>
          <w:rFonts w:hint="eastAsia" w:ascii="黑体" w:hAnsi="黑体" w:eastAsia="黑体"/>
          <w:b/>
          <w:sz w:val="32"/>
        </w:rPr>
      </w:pPr>
      <w:r>
        <w:rPr>
          <w:rFonts w:hint="eastAsia" w:ascii="黑体" w:hAnsi="黑体" w:eastAsia="黑体"/>
          <w:b/>
          <w:sz w:val="36"/>
          <w:szCs w:val="24"/>
        </w:rPr>
        <w:t xml:space="preserve">二0二四年    月    日</w:t>
      </w:r>
      <w:r>
        <w:rPr>
          <w:rFonts w:hint="eastAsia" w:ascii="黑体" w:hAnsi="黑体" w:eastAsia="黑体"/>
          <w:b/>
          <w:sz w:val="32"/>
        </w:rPr>
      </w:r>
      <w:r/>
    </w:p>
    <w:p>
      <w:pPr>
        <w:pStyle w:val="659"/>
        <w:spacing w:line="600" w:lineRule="exact"/>
        <w:rPr>
          <w:rFonts w:eastAsia="方正仿宋_GBK"/>
          <w:b/>
          <w:bCs/>
          <w:sz w:val="28"/>
          <w:szCs w:val="28"/>
          <w:lang w:val="zh-CN"/>
        </w:rPr>
      </w:pPr>
      <w:r>
        <w:rPr>
          <w:rFonts w:eastAsia="方正仿宋_GBK"/>
          <w:b/>
          <w:bCs/>
          <w:sz w:val="28"/>
          <w:szCs w:val="28"/>
          <w:lang w:val="zh-CN"/>
        </w:rPr>
      </w:r>
      <w:r/>
    </w:p>
    <w:p>
      <w:pPr>
        <w:pStyle w:val="681"/>
        <w:ind w:firstLine="2875"/>
        <w:spacing w:line="64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81"/>
        <w:spacing w:line="640" w:lineRule="exact"/>
        <w:rPr>
          <w:rFonts w:hint="eastAsia" w:ascii="仿宋" w:hAnsi="仿宋" w:eastAsia="仿宋"/>
          <w:sz w:val="28"/>
          <w:szCs w:val="24"/>
        </w:rPr>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38"/>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59"/>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9"/>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38"/>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38"/>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六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38"/>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38"/>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38"/>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38"/>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38"/>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38"/>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59"/>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81"/>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5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9"/>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81"/>
        <w:spacing w:line="640" w:lineRule="exact"/>
        <w:rPr>
          <w:rFonts w:hint="eastAsia" w:ascii="仿宋" w:hAnsi="仿宋" w:eastAsia="仿宋"/>
          <w:sz w:val="28"/>
          <w:szCs w:val="24"/>
        </w:rPr>
      </w:pPr>
      <w:r>
        <w:rPr>
          <w:rFonts w:hint="eastAsia" w:ascii="仿宋" w:hAnsi="仿宋" w:eastAsia="仿宋"/>
          <w:sz w:val="28"/>
          <w:szCs w:val="24"/>
        </w:rPr>
      </w:r>
      <w:r/>
    </w:p>
    <w:p>
      <w:pPr>
        <w:pStyle w:val="659"/>
        <w:spacing w:line="440" w:lineRule="exact"/>
        <w:rPr>
          <w:rFonts w:hint="eastAsia" w:ascii="仿宋" w:hAnsi="仿宋" w:eastAsia="仿宋"/>
          <w:sz w:val="28"/>
          <w:szCs w:val="28"/>
        </w:rPr>
      </w:pPr>
      <w:r>
        <w:rPr>
          <w:rFonts w:hint="eastAsia" w:ascii="仿宋" w:hAnsi="仿宋" w:eastAsia="仿宋"/>
          <w:sz w:val="28"/>
          <w:szCs w:val="28"/>
        </w:rPr>
      </w:r>
      <w:r/>
    </w:p>
    <w:p>
      <w:pPr>
        <w:pStyle w:val="65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5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5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59"/>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59"/>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59"/>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rPr>
                <w:rFonts w:hint="eastAsia" w:ascii="仿宋" w:hAnsi="仿宋" w:eastAsia="仿宋"/>
                <w:sz w:val="28"/>
                <w:szCs w:val="28"/>
              </w:rPr>
            </w:r>
            <w:r/>
          </w:p>
          <w:p>
            <w:pPr>
              <w:pStyle w:val="659"/>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59"/>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59"/>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59"/>
              <w:ind w:firstLine="140"/>
              <w:rPr>
                <w:rFonts w:hint="eastAsia" w:ascii="仿宋" w:hAnsi="仿宋" w:eastAsia="仿宋"/>
                <w:sz w:val="28"/>
                <w:szCs w:val="28"/>
              </w:rPr>
            </w:pPr>
            <w:r>
              <w:rPr>
                <w:rFonts w:hint="eastAsia" w:ascii="仿宋" w:hAnsi="仿宋" w:eastAsia="仿宋"/>
                <w:sz w:val="28"/>
                <w:szCs w:val="28"/>
                <w:lang w:val="en-US" w:eastAsia="zh-CN"/>
              </w:rPr>
              <w:t xml:space="preserve">服务</w:t>
            </w:r>
            <w:r>
              <w:rPr>
                <w:rFonts w:hint="eastAsia" w:ascii="仿宋" w:hAnsi="仿宋" w:eastAsia="仿宋"/>
                <w:sz w:val="28"/>
                <w:szCs w:val="28"/>
              </w:rPr>
              <w:t xml:space="preserve">时间</w:t>
            </w:r>
            <w:r>
              <w:rPr>
                <w:rFonts w:hint="eastAsia" w:ascii="仿宋" w:hAnsi="仿宋" w:eastAsia="仿宋"/>
                <w:sz w:val="28"/>
                <w:szCs w:val="28"/>
              </w:rPr>
            </w:r>
            <w:r/>
          </w:p>
        </w:tc>
        <w:tc>
          <w:tcPr>
            <w:tcW w:w="6759" w:type="dxa"/>
            <w:vAlign w:val="center"/>
            <w:textDirection w:val="lrTb"/>
            <w:noWrap w:val="false"/>
          </w:tcPr>
          <w:p>
            <w:pPr>
              <w:pStyle w:val="659"/>
              <w:ind w:firstLine="1540"/>
              <w:rPr>
                <w:rFonts w:hint="eastAsia" w:ascii="仿宋" w:hAnsi="仿宋" w:eastAsia="仿宋"/>
                <w:sz w:val="28"/>
                <w:szCs w:val="28"/>
              </w:rPr>
            </w:pPr>
            <w:r>
              <w:rPr>
                <w:rFonts w:hint="eastAsia" w:ascii="仿宋" w:hAnsi="仿宋" w:eastAsia="仿宋"/>
                <w:sz w:val="28"/>
                <w:szCs w:val="28"/>
              </w:rPr>
              <w:t xml:space="preserve">按招标文件要求执行。</w:t>
            </w:r>
            <w:r>
              <w:rPr>
                <w:rFonts w:hint="eastAsia" w:ascii="仿宋" w:hAnsi="仿宋" w:eastAsia="仿宋"/>
                <w:sz w:val="28"/>
                <w:szCs w:val="28"/>
              </w:rPr>
            </w:r>
            <w:r/>
          </w:p>
        </w:tc>
      </w:tr>
    </w:tbl>
    <w:p>
      <w:pPr>
        <w:pStyle w:val="659"/>
        <w:ind w:firstLine="411"/>
        <w:spacing w:line="440" w:lineRule="exact"/>
        <w:rPr>
          <w:rFonts w:hint="eastAsia" w:ascii="仿宋" w:hAnsi="仿宋" w:eastAsia="仿宋"/>
          <w:sz w:val="28"/>
          <w:szCs w:val="28"/>
        </w:rPr>
      </w:pPr>
      <w:r/>
      <w:bookmarkStart w:id="36" w:name="_Toc157775459"/>
      <w:r/>
      <w:bookmarkStart w:id="37" w:name="_Toc136924766"/>
      <w:r>
        <w:rPr>
          <w:rFonts w:hint="eastAsia" w:ascii="仿宋" w:hAnsi="仿宋" w:eastAsia="仿宋"/>
          <w:sz w:val="28"/>
          <w:szCs w:val="28"/>
        </w:rPr>
      </w:r>
      <w:r/>
    </w:p>
    <w:p>
      <w:pPr>
        <w:pStyle w:val="659"/>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681"/>
        <w:ind w:firstLine="2875"/>
        <w:rPr>
          <w:rFonts w:hint="eastAsia" w:hAnsi="宋体"/>
          <w:b/>
          <w:sz w:val="32"/>
          <w:szCs w:val="32"/>
        </w:rPr>
      </w:pPr>
      <w:r/>
      <w:bookmarkEnd w:id="36"/>
      <w:r/>
      <w:bookmarkEnd w:id="37"/>
      <w:r/>
      <w:bookmarkStart w:id="38" w:name="_Toc157775468"/>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ind w:firstLine="2875"/>
        <w:rPr>
          <w:rFonts w:hint="eastAsia" w:hAnsi="宋体"/>
          <w:b/>
          <w:sz w:val="32"/>
          <w:szCs w:val="32"/>
        </w:rPr>
      </w:pPr>
      <w:r>
        <w:rPr>
          <w:rFonts w:hint="eastAsia" w:hAnsi="宋体"/>
          <w:b/>
          <w:sz w:val="32"/>
          <w:szCs w:val="32"/>
        </w:rPr>
      </w:r>
      <w:r/>
    </w:p>
    <w:p>
      <w:pPr>
        <w:pStyle w:val="681"/>
        <w:jc w:val="center"/>
        <w:rPr>
          <w:rFonts w:hint="eastAsia" w:ascii="仿宋" w:hAnsi="仿宋" w:eastAsia="仿宋"/>
          <w:b/>
          <w:sz w:val="32"/>
          <w:szCs w:val="32"/>
        </w:rPr>
      </w:pP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749"/>
        <w:jc w:val="right"/>
        <w:spacing w:line="340" w:lineRule="exact"/>
        <w:rPr>
          <w:rFonts w:hint="eastAsia" w:ascii="仿宋" w:hAnsi="仿宋" w:eastAsia="仿宋" w:cs="Calibri"/>
          <w:sz w:val="24"/>
          <w:szCs w:val="24"/>
        </w:rPr>
      </w:pPr>
      <w:r>
        <w:rPr>
          <w:rFonts w:hint="eastAsia" w:ascii="仿宋" w:hAnsi="仿宋" w:eastAsia="仿宋" w:cs="Calibri"/>
          <w:sz w:val="24"/>
          <w:szCs w:val="24"/>
        </w:rPr>
        <w:t xml:space="preserve">单位:人民币元</w:t>
      </w:r>
      <w:r>
        <w:rPr>
          <w:rFonts w:hint="eastAsia" w:ascii="仿宋" w:hAnsi="仿宋" w:eastAsia="仿宋" w:cs="Calibri"/>
          <w:sz w:val="24"/>
          <w:szCs w:val="24"/>
        </w:rPr>
      </w:r>
      <w:r/>
    </w:p>
    <w:tbl>
      <w:tblPr>
        <w:tblW w:w="883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80"/>
        <w:gridCol w:w="1361"/>
        <w:gridCol w:w="1498"/>
        <w:gridCol w:w="780"/>
        <w:gridCol w:w="779"/>
        <w:gridCol w:w="910"/>
        <w:gridCol w:w="909"/>
        <w:gridCol w:w="809"/>
        <w:gridCol w:w="1009"/>
      </w:tblGrid>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序号</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绿地范围</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绿地名称</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数量</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单位</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等级</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单价</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合计</w:t>
            </w: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备注(规格)</w:t>
            </w: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r>
      <w:tr>
        <w:trPr>
          <w:trHeight w:val="72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361"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8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77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10"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9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c>
          <w:tcPr>
            <w:tcBorders>
              <w:top w:val="single" w:color="000000" w:sz="4" w:space="0"/>
              <w:left w:val="none" w:color="000000" w:sz="4" w:space="0"/>
              <w:bottom w:val="single" w:color="000000" w:sz="4" w:space="0"/>
              <w:right w:val="single" w:color="000000" w:sz="4" w:space="0"/>
            </w:tcBorders>
            <w:tcW w:w="1009"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r>
      <w:tr>
        <w:trPr>
          <w:trHeight w:val="733"/>
        </w:trPr>
        <w:tc>
          <w:tcPr>
            <w:gridSpan w:val="2"/>
            <w:tcBorders>
              <w:top w:val="single" w:color="000000" w:sz="4" w:space="0"/>
              <w:left w:val="single" w:color="000000" w:sz="4" w:space="0"/>
              <w:bottom w:val="single" w:color="000000" w:sz="4" w:space="0"/>
              <w:right w:val="single" w:color="000000" w:sz="4" w:space="0"/>
            </w:tcBorders>
            <w:tcW w:w="2141" w:type="dxa"/>
            <w:vAlign w:val="center"/>
            <w:textDirection w:val="lrTb"/>
            <w:noWrap w:val="false"/>
          </w:tcPr>
          <w:p>
            <w:pPr>
              <w:pStyle w:val="659"/>
              <w:jc w:val="center"/>
              <w:rPr>
                <w:rFonts w:ascii="仿宋" w:hAnsi="仿宋" w:eastAsia="仿宋"/>
                <w:bCs/>
                <w:sz w:val="24"/>
              </w:rPr>
            </w:pPr>
            <w:r>
              <w:rPr>
                <w:rFonts w:hint="eastAsia" w:ascii="仿宋" w:hAnsi="仿宋" w:eastAsia="仿宋"/>
                <w:bCs/>
                <w:sz w:val="24"/>
              </w:rPr>
              <w:t xml:space="preserve">总    价</w:t>
            </w:r>
            <w:r>
              <w:rPr>
                <w:rFonts w:ascii="仿宋" w:hAnsi="仿宋" w:eastAsia="仿宋"/>
                <w:bCs/>
                <w:sz w:val="24"/>
              </w:rPr>
            </w:r>
            <w:r/>
          </w:p>
        </w:tc>
        <w:tc>
          <w:tcPr>
            <w:gridSpan w:val="7"/>
            <w:tcBorders>
              <w:top w:val="single" w:color="000000" w:sz="4" w:space="0"/>
              <w:left w:val="none" w:color="000000" w:sz="4" w:space="0"/>
              <w:bottom w:val="single" w:color="000000" w:sz="4" w:space="0"/>
              <w:right w:val="single" w:color="000000" w:sz="4" w:space="0"/>
            </w:tcBorders>
            <w:tcW w:w="6694" w:type="dxa"/>
            <w:vAlign w:val="center"/>
            <w:textDirection w:val="lrTb"/>
            <w:noWrap w:val="false"/>
          </w:tcPr>
          <w:p>
            <w:pPr>
              <w:pStyle w:val="659"/>
              <w:jc w:val="center"/>
              <w:rPr>
                <w:rFonts w:ascii="仿宋" w:hAnsi="仿宋" w:eastAsia="仿宋"/>
                <w:bCs/>
                <w:sz w:val="24"/>
              </w:rPr>
            </w:pPr>
            <w:r>
              <w:rPr>
                <w:rFonts w:ascii="仿宋" w:hAnsi="仿宋" w:eastAsia="仿宋"/>
                <w:bCs/>
                <w:sz w:val="24"/>
              </w:rPr>
            </w:r>
            <w:r/>
          </w:p>
        </w:tc>
      </w:tr>
    </w:tbl>
    <w:p>
      <w:pPr>
        <w:pStyle w:val="749"/>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749"/>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w:t>
      </w:r>
      <w:r>
        <w:rPr>
          <w:rFonts w:hint="eastAsia" w:ascii="仿宋" w:hAnsi="仿宋" w:eastAsia="仿宋"/>
          <w:sz w:val="28"/>
          <w:szCs w:val="24"/>
        </w:rPr>
        <w:t xml:space="preserve">全部服务的价格及相关税费、培训、售后服务等其他有关的所有费用。包括人员工资、材料费用、机械费用、肥料费用、农药费用、浇水费用、税收、合理利润等费用。本报价必须充分考虑所有可能影响到报价的价格因素，如发生漏、缺、少项，都将被认为是投标人的报价让利行为</w:t>
      </w:r>
      <w:r>
        <w:rPr>
          <w:rFonts w:ascii="仿宋" w:hAnsi="仿宋" w:eastAsia="仿宋"/>
          <w:sz w:val="28"/>
          <w:szCs w:val="24"/>
        </w:rPr>
        <w:t xml:space="preserve">。</w:t>
      </w:r>
      <w:r>
        <w:rPr>
          <w:rFonts w:ascii="仿宋" w:hAnsi="仿宋" w:eastAsia="仿宋"/>
          <w:sz w:val="28"/>
          <w:szCs w:val="24"/>
        </w:rPr>
      </w:r>
      <w:r/>
    </w:p>
    <w:p>
      <w:pPr>
        <w:pStyle w:val="749"/>
        <w:ind w:firstLine="411"/>
        <w:spacing w:line="440" w:lineRule="exact"/>
        <w:rPr>
          <w:rFonts w:ascii="仿宋" w:hAnsi="仿宋" w:eastAsia="仿宋" w:cs="Times New Roman"/>
          <w:sz w:val="28"/>
          <w:szCs w:val="24"/>
        </w:rPr>
      </w:pPr>
      <w:r>
        <w:rPr>
          <w:rFonts w:hint="eastAsia" w:ascii="仿宋" w:hAnsi="仿宋" w:eastAsia="仿宋" w:cs="Times New Roman"/>
          <w:sz w:val="28"/>
          <w:szCs w:val="24"/>
          <w:lang w:val="en-US" w:eastAsia="zh-CN"/>
        </w:rPr>
        <w:t xml:space="preserve">2、</w:t>
      </w:r>
      <w:r>
        <w:rPr>
          <w:rFonts w:ascii="仿宋" w:hAnsi="仿宋" w:eastAsia="仿宋" w:cs="Times New Roman"/>
          <w:sz w:val="28"/>
          <w:szCs w:val="24"/>
        </w:rPr>
        <w:t xml:space="preserve">“投标分项报价表”中“投标总报价”数额应当与“开标一览表”中“投标总报价”数额一致。</w:t>
      </w:r>
      <w:r>
        <w:rPr>
          <w:rFonts w:ascii="仿宋" w:hAnsi="仿宋" w:eastAsia="仿宋" w:cs="Times New Roman"/>
          <w:sz w:val="28"/>
          <w:szCs w:val="24"/>
        </w:rPr>
      </w:r>
      <w:r/>
    </w:p>
    <w:p>
      <w:pPr>
        <w:pStyle w:val="749"/>
        <w:ind w:firstLine="411"/>
        <w:spacing w:line="440" w:lineRule="exact"/>
        <w:rPr>
          <w:rFonts w:ascii="仿宋" w:hAnsi="仿宋" w:eastAsia="仿宋"/>
          <w:sz w:val="28"/>
          <w:szCs w:val="24"/>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s="Times New Roman"/>
          <w:sz w:val="28"/>
          <w:szCs w:val="24"/>
          <w:lang w:val="en-US" w:eastAsia="zh-CN"/>
        </w:rPr>
        <w:t xml:space="preserve">3、投标人投标时未提供报价构成书面分析的或经三分之二评委认定报价不合理的作无效投标处理。投标人有义务接受评委会对其价格组成及成本构成的质询</w:t>
      </w:r>
      <w:r>
        <w:rPr>
          <w:rFonts w:ascii="仿宋" w:hAnsi="仿宋" w:eastAsia="仿宋"/>
          <w:sz w:val="28"/>
          <w:szCs w:val="24"/>
        </w:rPr>
      </w:r>
      <w:r/>
    </w:p>
    <w:p>
      <w:pPr>
        <w:pStyle w:val="749"/>
        <w:jc w:val="center"/>
        <w:spacing w:line="440" w:lineRule="exact"/>
        <w:rPr>
          <w:rFonts w:hint="eastAsia" w:ascii="仿宋" w:hAnsi="仿宋" w:eastAsia="仿宋"/>
          <w:b/>
          <w:sz w:val="32"/>
          <w:highlight w:val="yellow"/>
        </w:rPr>
      </w:pPr>
      <w:r>
        <w:rPr>
          <w:rFonts w:hint="eastAsia" w:ascii="仿宋" w:hAnsi="仿宋" w:eastAsia="仿宋"/>
          <w:b/>
          <w:sz w:val="32"/>
        </w:rPr>
        <w:t xml:space="preserve">四、</w:t>
      </w:r>
      <w:r>
        <w:rPr>
          <w:rFonts w:hint="eastAsia" w:ascii="仿宋" w:hAnsi="仿宋" w:eastAsia="仿宋"/>
          <w:b/>
          <w:sz w:val="32"/>
          <w:highlight w:val="none"/>
        </w:rPr>
        <w:t xml:space="preserve">拟派项目负责人及主要人员基本情况表</w:t>
      </w:r>
      <w:r>
        <w:rPr>
          <w:rFonts w:hint="eastAsia" w:ascii="仿宋" w:hAnsi="仿宋" w:eastAsia="仿宋"/>
          <w:b/>
          <w:sz w:val="32"/>
          <w:highlight w:val="yellow"/>
        </w:rPr>
      </w:r>
      <w:r/>
    </w:p>
    <w:tbl>
      <w:tblPr>
        <w:tblStyle w:val="697"/>
        <w:tblW w:w="89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582"/>
        <w:gridCol w:w="1237"/>
        <w:gridCol w:w="1137"/>
        <w:gridCol w:w="1641"/>
        <w:gridCol w:w="1280"/>
        <w:gridCol w:w="1280"/>
      </w:tblGrid>
      <w:tr>
        <w:trPr>
          <w:trHeight w:val="910"/>
        </w:trPr>
        <w:tc>
          <w:tcPr>
            <w:tcW w:w="760"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序号</w:t>
            </w:r>
            <w:r>
              <w:rPr>
                <w:vertAlign w:val="baseline"/>
                <w:lang w:val="en-US" w:eastAsia="zh-CN"/>
              </w:rPr>
            </w:r>
            <w:r/>
          </w:p>
        </w:tc>
        <w:tc>
          <w:tcPr>
            <w:tcW w:w="1582"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姓名</w:t>
            </w:r>
            <w:r>
              <w:rPr>
                <w:vertAlign w:val="baseline"/>
                <w:lang w:val="en-US" w:eastAsia="zh-CN"/>
              </w:rPr>
            </w:r>
            <w:r/>
          </w:p>
        </w:tc>
        <w:tc>
          <w:tcPr>
            <w:tcW w:w="1237"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身份证号</w:t>
            </w:r>
            <w:r>
              <w:rPr>
                <w:vertAlign w:val="baseline"/>
                <w:lang w:val="en-US" w:eastAsia="zh-CN"/>
              </w:rPr>
            </w:r>
            <w:r/>
          </w:p>
        </w:tc>
        <w:tc>
          <w:tcPr>
            <w:tcW w:w="1137"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职称</w:t>
            </w:r>
            <w:r>
              <w:rPr>
                <w:vertAlign w:val="baseline"/>
                <w:lang w:val="en-US" w:eastAsia="zh-CN"/>
              </w:rPr>
            </w:r>
            <w:r/>
          </w:p>
        </w:tc>
        <w:tc>
          <w:tcPr>
            <w:tcW w:w="1641"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相关证书</w:t>
            </w:r>
            <w:r>
              <w:rPr>
                <w:vertAlign w:val="baseline"/>
                <w:lang w:val="en-US" w:eastAsia="zh-CN"/>
              </w:rPr>
            </w:r>
            <w:r/>
          </w:p>
        </w:tc>
        <w:tc>
          <w:tcPr>
            <w:tcW w:w="1280"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lang w:eastAsia="zh-CN"/>
              </w:rPr>
              <w:t xml:space="preserve">拟任岗位</w:t>
            </w:r>
            <w:r>
              <w:rPr>
                <w:vertAlign w:val="baseline"/>
                <w:lang w:val="en-US" w:eastAsia="zh-CN"/>
              </w:rPr>
            </w:r>
            <w:r/>
          </w:p>
        </w:tc>
        <w:tc>
          <w:tcPr>
            <w:tcW w:w="1280" w:type="dxa"/>
            <w:vAlign w:val="center"/>
            <w:textDirection w:val="lrTb"/>
            <w:noWrap w:val="false"/>
          </w:tcPr>
          <w:p>
            <w:pPr>
              <w:pStyle w:val="730"/>
              <w:numPr>
                <w:ilvl w:val="0"/>
                <w:numId w:val="0"/>
              </w:numPr>
              <w:jc w:val="center"/>
              <w:spacing w:after="0" w:line="240" w:lineRule="auto"/>
              <w:widowControl w:val="off"/>
              <w:rPr>
                <w:lang w:val="en-US" w:eastAsia="zh-CN"/>
              </w:rPr>
            </w:pPr>
            <w:r>
              <w:rPr>
                <w:rFonts w:hint="eastAsia"/>
                <w:lang w:val="en-US" w:eastAsia="zh-CN"/>
              </w:rPr>
              <w:t xml:space="preserve">备注</w:t>
            </w:r>
            <w:r>
              <w:rPr>
                <w:lang w:val="en-US" w:eastAsia="zh-CN"/>
              </w:rPr>
            </w:r>
            <w:r/>
          </w:p>
        </w:tc>
      </w:tr>
      <w:tr>
        <w:trPr>
          <w:trHeight w:val="910"/>
        </w:trPr>
        <w:tc>
          <w:tcPr>
            <w:tcW w:w="760"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1</w:t>
            </w:r>
            <w:r>
              <w:rPr>
                <w:vertAlign w:val="baseline"/>
                <w:lang w:val="en-US" w:eastAsia="zh-CN"/>
              </w:rPr>
            </w:r>
            <w:r/>
          </w:p>
        </w:tc>
        <w:tc>
          <w:tcPr>
            <w:tcW w:w="1582"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t xml:space="preserve">项目经理</w:t>
            </w:r>
            <w:r>
              <w:rPr>
                <w:rFonts w:hint="eastAsia"/>
                <w:vertAlign w:val="baseline"/>
                <w:lang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2</w:t>
            </w:r>
            <w:r>
              <w:rPr>
                <w:vertAlign w:val="baseline"/>
                <w:lang w:val="en-US" w:eastAsia="zh-CN"/>
              </w:rPr>
            </w:r>
            <w:r/>
          </w:p>
        </w:tc>
        <w:tc>
          <w:tcPr>
            <w:tcW w:w="1582"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t xml:space="preserve">技术负责人</w:t>
            </w:r>
            <w:r>
              <w:rPr>
                <w:rFonts w:hint="eastAsia"/>
                <w:vertAlign w:val="baseline"/>
                <w:lang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3</w:t>
            </w:r>
            <w:r>
              <w:rPr>
                <w:vertAlign w:val="baseline"/>
                <w:lang w:val="en-US" w:eastAsia="zh-CN"/>
              </w:rPr>
            </w:r>
            <w:r/>
          </w:p>
        </w:tc>
        <w:tc>
          <w:tcPr>
            <w:tcW w:w="1582"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t xml:space="preserve">技术工人</w:t>
            </w:r>
            <w:r>
              <w:rPr>
                <w:rFonts w:hint="eastAsia"/>
                <w:vertAlign w:val="baseline"/>
                <w:lang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4</w:t>
            </w:r>
            <w:r>
              <w:rPr>
                <w:vertAlign w:val="baseline"/>
                <w:lang w:val="en-US" w:eastAsia="zh-CN"/>
              </w:rPr>
            </w:r>
            <w:r/>
          </w:p>
        </w:tc>
        <w:tc>
          <w:tcPr>
            <w:tcW w:w="1582" w:type="dxa"/>
            <w:vAlign w:val="center"/>
            <w:textDirection w:val="lrTb"/>
            <w:noWrap w:val="false"/>
          </w:tcPr>
          <w:p>
            <w:pPr>
              <w:pStyle w:val="730"/>
              <w:numPr>
                <w:ilvl w:val="0"/>
                <w:numId w:val="0"/>
              </w:numPr>
              <w:jc w:val="center"/>
              <w:spacing w:after="0" w:line="240" w:lineRule="auto"/>
              <w:widowControl w:val="off"/>
              <w:rPr>
                <w:vertAlign w:val="baseline"/>
                <w:lang w:val="en-US" w:eastAsia="zh-CN"/>
              </w:rPr>
            </w:pPr>
            <w:r>
              <w:rPr>
                <w:rFonts w:hint="eastAsia"/>
                <w:vertAlign w:val="baseline"/>
                <w:lang w:val="en-US" w:eastAsia="zh-CN"/>
              </w:rPr>
              <w:t xml:space="preserve">........</w:t>
            </w:r>
            <w:r>
              <w:rPr>
                <w:vertAlign w:val="baseline"/>
                <w:lang w:val="en-US"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582"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10"/>
        </w:trPr>
        <w:tc>
          <w:tcPr>
            <w:tcW w:w="76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582"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r>
        <w:trPr>
          <w:trHeight w:val="952"/>
        </w:trPr>
        <w:tc>
          <w:tcPr>
            <w:tcW w:w="76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582"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137"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641"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c>
          <w:tcPr>
            <w:tcW w:w="1280" w:type="dxa"/>
            <w:vAlign w:val="center"/>
            <w:textDirection w:val="lrTb"/>
            <w:noWrap w:val="false"/>
          </w:tcPr>
          <w:p>
            <w:pPr>
              <w:pStyle w:val="730"/>
              <w:numPr>
                <w:ilvl w:val="0"/>
                <w:numId w:val="0"/>
              </w:numPr>
              <w:jc w:val="center"/>
              <w:spacing w:after="0" w:line="240" w:lineRule="auto"/>
              <w:widowControl w:val="off"/>
              <w:rPr>
                <w:rFonts w:hint="eastAsia"/>
                <w:vertAlign w:val="baseline"/>
                <w:lang w:eastAsia="zh-CN"/>
              </w:rPr>
            </w:pPr>
            <w:r>
              <w:rPr>
                <w:rFonts w:hint="eastAsia"/>
                <w:vertAlign w:val="baseline"/>
                <w:lang w:eastAsia="zh-CN"/>
              </w:rPr>
            </w:r>
            <w:r/>
          </w:p>
        </w:tc>
      </w:tr>
    </w:tbl>
    <w:p>
      <w:pPr>
        <w:pStyle w:val="659"/>
        <w:spacing w:line="520" w:lineRule="exact"/>
        <w:rPr>
          <w:rFonts w:hint="eastAsia" w:ascii="仿宋" w:hAnsi="仿宋" w:eastAsia="仿宋"/>
          <w:sz w:val="28"/>
          <w:szCs w:val="28"/>
        </w:rPr>
      </w:pPr>
      <w:r>
        <w:rPr>
          <w:rFonts w:hint="eastAsia" w:ascii="仿宋" w:hAnsi="仿宋" w:eastAsia="仿宋"/>
          <w:sz w:val="28"/>
          <w:szCs w:val="28"/>
        </w:rPr>
      </w:r>
      <w:r/>
    </w:p>
    <w:p>
      <w:pPr>
        <w:pStyle w:val="659"/>
        <w:spacing w:line="520" w:lineRule="exact"/>
        <w:rPr>
          <w:rFonts w:hint="eastAsia" w:ascii="仿宋" w:hAnsi="仿宋" w:eastAsia="仿宋"/>
          <w:sz w:val="28"/>
          <w:szCs w:val="28"/>
        </w:rPr>
      </w:pPr>
      <w:r>
        <w:rPr>
          <w:rFonts w:hint="eastAsia" w:ascii="仿宋" w:hAnsi="仿宋" w:eastAsia="仿宋"/>
          <w:sz w:val="28"/>
          <w:szCs w:val="28"/>
        </w:rPr>
      </w:r>
      <w:r/>
    </w:p>
    <w:p>
      <w:pPr>
        <w:pStyle w:val="659"/>
        <w:spacing w:line="520" w:lineRule="exact"/>
        <w:rPr>
          <w:rFonts w:hint="eastAsia"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hint="eastAsia" w:ascii="仿宋" w:hAnsi="仿宋" w:eastAsia="仿宋"/>
          <w:sz w:val="28"/>
          <w:szCs w:val="28"/>
          <w:u w:val="single"/>
        </w:rPr>
      </w:r>
      <w:r/>
    </w:p>
    <w:p>
      <w:pPr>
        <w:pStyle w:val="659"/>
        <w:spacing w:line="520" w:lineRule="exact"/>
        <w:rPr>
          <w:rFonts w:hint="eastAsia" w:ascii="宋体" w:hAnsi="宋体"/>
          <w:b/>
          <w:sz w:val="32"/>
          <w:szCs w:val="32"/>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hint="eastAsia" w:ascii="仿宋" w:hAnsi="仿宋" w:eastAsia="仿宋"/>
          <w:sz w:val="28"/>
          <w:u w:val="single"/>
        </w:rPr>
        <w:t xml:space="preserve">（电子签章或电子签字）</w:t>
      </w:r>
      <w:r>
        <w:rPr>
          <w:rFonts w:hint="eastAsia" w:ascii="宋体" w:hAnsi="宋体"/>
          <w:b/>
          <w:sz w:val="32"/>
          <w:szCs w:val="32"/>
        </w:rPr>
      </w:r>
      <w:r/>
    </w:p>
    <w:p>
      <w:pPr>
        <w:pStyle w:val="681"/>
        <w:ind w:firstLine="948"/>
        <w:spacing w:line="520" w:lineRule="exact"/>
        <w:rPr>
          <w:rFonts w:hint="eastAsia" w:ascii="仿宋" w:hAnsi="仿宋" w:eastAsia="仿宋"/>
          <w:b/>
          <w:bCs/>
          <w:sz w:val="32"/>
          <w:szCs w:val="32"/>
        </w:rPr>
      </w:pPr>
      <w:r/>
      <w:bookmarkEnd w:id="38"/>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81"/>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59"/>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9"/>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9"/>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59"/>
        <w:ind w:firstLine="56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投标人拟选派的项目负责人（或项目经理）和技术负责人必须具有园林绿化（或者风景园林专业）中级及以上职称证书 (若职称证书的专业是建设工程的,须提供专业为园林绿化相关专业的毕业证书)</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须提供相关证书及</w:t>
      </w:r>
      <w:r>
        <w:rPr>
          <w:rFonts w:hint="eastAsia" w:ascii="仿宋" w:hAnsi="仿宋" w:eastAsia="仿宋"/>
          <w:sz w:val="28"/>
          <w:szCs w:val="28"/>
        </w:rPr>
        <w:t xml:space="preserve">投标人为其缴纳的自2024年以来任意一个月的社会保险证明。</w:t>
      </w:r>
      <w:r>
        <w:rPr>
          <w:rFonts w:hint="eastAsia" w:ascii="仿宋" w:hAnsi="仿宋" w:eastAsia="仿宋"/>
          <w:sz w:val="28"/>
          <w:szCs w:val="28"/>
          <w:lang w:val="zh-CN"/>
        </w:rPr>
        <w:t xml:space="preserve">（扫描件加盖投标人电子签章）</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9"/>
        <w:ind w:firstLine="157"/>
        <w:spacing w:line="440" w:lineRule="exact"/>
        <w:rPr>
          <w:rFonts w:hint="eastAsia" w:ascii="宋体" w:hAnsi="宋体"/>
          <w:b/>
          <w:bCs/>
          <w:sz w:val="32"/>
          <w:szCs w:val="32"/>
        </w:rPr>
      </w:pPr>
      <w:r>
        <w:rPr>
          <w:rFonts w:hint="eastAsia" w:ascii="宋体" w:hAnsi="宋体"/>
          <w:b/>
          <w:bCs/>
          <w:sz w:val="32"/>
          <w:szCs w:val="32"/>
        </w:rPr>
      </w:r>
      <w:r/>
    </w:p>
    <w:p>
      <w:pPr>
        <w:pStyle w:val="659"/>
        <w:jc w:val="left"/>
        <w:widowControl/>
        <w:rPr>
          <w:rFonts w:hint="eastAsia" w:ascii="宋体" w:hAnsi="宋体" w:cs="Arial"/>
          <w:b/>
          <w:bCs/>
          <w:sz w:val="32"/>
        </w:rPr>
      </w:pPr>
      <w:r>
        <w:rPr>
          <w:rFonts w:hint="eastAsia" w:ascii="宋体" w:hAnsi="宋体" w:cs="Arial"/>
          <w:b/>
          <w:bCs/>
          <w:sz w:val="32"/>
        </w:rPr>
      </w:r>
      <w:r/>
    </w:p>
    <w:p>
      <w:pPr>
        <w:pStyle w:val="659"/>
        <w:ind w:firstLine="1428"/>
        <w:jc w:val="left"/>
        <w:spacing w:line="520" w:lineRule="exact"/>
        <w:widowControl/>
        <w:rPr>
          <w:rFonts w:hint="eastAsia" w:ascii="仿宋" w:hAnsi="仿宋" w:eastAsia="仿宋" w:cs="Arial"/>
          <w:b/>
          <w:bCs/>
          <w:sz w:val="32"/>
        </w:rPr>
      </w:pPr>
      <w:r>
        <w:rPr>
          <w:rFonts w:ascii="宋体" w:hAnsi="宋体"/>
          <w:b/>
          <w:sz w:val="36"/>
        </w:rPr>
        <w:br w:type="page" w:clear="all"/>
      </w:r>
      <w:bookmarkStart w:id="39"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59"/>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2877"/>
        <w:spacing w:line="440" w:lineRule="exact"/>
        <w:rPr>
          <w:rFonts w:hint="eastAsia" w:ascii="宋体" w:hAnsi="宋体"/>
          <w:b/>
          <w:sz w:val="36"/>
        </w:rPr>
      </w:pPr>
      <w:r>
        <w:rPr>
          <w:rFonts w:hint="eastAsia" w:ascii="宋体" w:hAnsi="宋体"/>
          <w:b/>
          <w:sz w:val="36"/>
        </w:rPr>
      </w:r>
      <w:r/>
    </w:p>
    <w:p>
      <w:pPr>
        <w:pStyle w:val="659"/>
        <w:ind w:firstLine="0"/>
        <w:jc w:val="center"/>
        <w:keepLines w:val="0"/>
        <w:keepNext w:val="0"/>
        <w:pageBreakBefore w:val="0"/>
        <w:spacing w:line="440" w:lineRule="exact"/>
        <w:widowControl w:val="off"/>
        <w:rPr>
          <w:rFonts w:hint="eastAsia" w:ascii="仿宋" w:hAnsi="仿宋" w:eastAsia="仿宋"/>
          <w:b/>
          <w:sz w:val="32"/>
          <w:szCs w:val="32"/>
        </w:rPr>
      </w:pPr>
      <w:r>
        <w:rPr>
          <w:rFonts w:hint="eastAsia" w:ascii="仿宋" w:hAnsi="仿宋" w:eastAsia="仿宋"/>
          <w:b/>
          <w:sz w:val="32"/>
          <w:szCs w:val="32"/>
        </w:rPr>
        <w:t xml:space="preserve">七</w:t>
      </w:r>
      <w:r>
        <w:rPr>
          <w:rFonts w:hint="eastAsia" w:ascii="仿宋" w:hAnsi="仿宋" w:eastAsia="仿宋"/>
          <w:b/>
          <w:sz w:val="32"/>
          <w:szCs w:val="32"/>
          <w:lang w:val="en-US" w:eastAsia="zh-CN"/>
        </w:rPr>
        <w:t xml:space="preserve">、</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59"/>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59"/>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59"/>
        <w:ind w:firstLine="2891"/>
        <w:spacing w:line="640" w:lineRule="exact"/>
        <w:rPr>
          <w:rFonts w:ascii="仿宋" w:hAnsi="仿宋" w:eastAsia="仿宋" w:cs="楷体_GB2312"/>
          <w:b/>
          <w:bCs/>
          <w:sz w:val="32"/>
          <w:szCs w:val="32"/>
          <w:lang w:val="zh-CN"/>
        </w:rPr>
      </w:pPr>
      <w:r/>
      <w:bookmarkEnd w:id="39"/>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59"/>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59"/>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59"/>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59"/>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3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59"/>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color w:val="000000"/>
          <w:sz w:val="28"/>
          <w:szCs w:val="28"/>
        </w:rPr>
        <w:t xml:space="preserve">法定代表人授权其他人参加投标的，仅需填写“授权委托书”。</w:t>
      </w:r>
      <w:r>
        <w:rPr>
          <w:rFonts w:hint="eastAsia" w:ascii="仿宋" w:hAnsi="仿宋" w:eastAsia="仿宋"/>
          <w:bCs/>
          <w:color w:val="000000"/>
          <w:sz w:val="28"/>
          <w:szCs w:val="28"/>
        </w:rPr>
      </w:r>
      <w:r/>
    </w:p>
    <w:p>
      <w:pPr>
        <w:pStyle w:val="659"/>
        <w:ind w:left="-359" w:firstLine="357"/>
        <w:spacing w:line="640" w:lineRule="exact"/>
        <w:rPr>
          <w:rFonts w:hint="eastAsia" w:ascii="仿宋" w:hAnsi="仿宋" w:eastAsia="仿宋"/>
          <w:b/>
          <w:sz w:val="32"/>
        </w:rPr>
      </w:pPr>
      <w:r>
        <w:rPr>
          <w:rFonts w:hint="eastAsia" w:ascii="仿宋" w:hAnsi="仿宋" w:eastAsia="仿宋"/>
          <w:b/>
          <w:sz w:val="32"/>
        </w:rPr>
      </w:r>
      <w:r/>
    </w:p>
    <w:p>
      <w:pPr>
        <w:pStyle w:val="659"/>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59"/>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59"/>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59"/>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59"/>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9"/>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9"/>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color w:val="000000"/>
          <w:sz w:val="28"/>
          <w:szCs w:val="28"/>
        </w:rPr>
        <w:t xml:space="preserve">法定代表人直接参加投标的，仅需填写“法定代表人资格证明”。</w:t>
      </w:r>
      <w:r>
        <w:rPr>
          <w:rFonts w:hint="eastAsia" w:ascii="仿宋" w:hAnsi="仿宋" w:eastAsia="仿宋"/>
          <w:color w:val="000000"/>
          <w:sz w:val="28"/>
          <w:szCs w:val="28"/>
        </w:rPr>
      </w:r>
      <w:r/>
    </w:p>
    <w:p>
      <w:pPr>
        <w:pStyle w:val="659"/>
        <w:ind w:left="-359" w:firstLine="357"/>
        <w:spacing w:line="640" w:lineRule="exact"/>
        <w:rPr>
          <w:rFonts w:hint="eastAsia" w:ascii="仿宋" w:hAnsi="仿宋" w:eastAsia="仿宋"/>
          <w:b/>
          <w:sz w:val="32"/>
        </w:rPr>
      </w:pPr>
      <w:r>
        <w:rPr>
          <w:rFonts w:hint="eastAsia" w:ascii="仿宋" w:hAnsi="仿宋" w:eastAsia="仿宋"/>
          <w:b/>
          <w:sz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667"/>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59"/>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9"/>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59"/>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9"/>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b/>
          <w:sz w:val="32"/>
          <w:szCs w:val="32"/>
        </w:rPr>
      </w:pPr>
      <w:r>
        <w:rPr>
          <w:rFonts w:hint="eastAsia" w:ascii="仿宋" w:hAnsi="仿宋" w:eastAsia="仿宋"/>
          <w:b/>
          <w:sz w:val="32"/>
          <w:szCs w:val="32"/>
        </w:rPr>
      </w:r>
      <w:r/>
    </w:p>
    <w:p>
      <w:pPr>
        <w:pStyle w:val="659"/>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59"/>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67"/>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6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6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6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67"/>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6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6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59"/>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67"/>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67"/>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9"/>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67"/>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6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6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6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67"/>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67"/>
        <w:ind w:firstLine="560"/>
        <w:spacing w:line="640" w:lineRule="exact"/>
        <w:rPr>
          <w:rFonts w:ascii="仿宋" w:hAnsi="仿宋" w:eastAsia="仿宋"/>
          <w:sz w:val="28"/>
          <w:szCs w:val="28"/>
        </w:rPr>
      </w:pPr>
      <w:r>
        <w:rPr>
          <w:rFonts w:ascii="仿宋" w:hAnsi="仿宋" w:eastAsia="仿宋"/>
          <w:sz w:val="28"/>
          <w:szCs w:val="28"/>
        </w:rPr>
      </w:r>
      <w:r/>
    </w:p>
    <w:p>
      <w:pPr>
        <w:pStyle w:val="65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9"/>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50</w:t>
    </w:r>
    <w:r>
      <w:fldChar w:fldCharType="end"/>
    </w:r>
    <w:r>
      <w:rPr>
        <w:rStyle w:val="699"/>
      </w:rPr>
    </w:r>
    <w:r/>
  </w:p>
  <w:p>
    <w:pPr>
      <w:pStyle w:val="68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right" w:pos="8306" w:leader="none"/>
      </w:tabs>
      <w:rPr>
        <w:rStyle w:val="699"/>
      </w:rPr>
      <w:framePr w:wrap="around" w:vAnchor="text" w:hAnchor="margin" w:xAlign="center" w:y="1"/>
    </w:pPr>
    <w:r>
      <w:fldChar w:fldCharType="begin"/>
    </w:r>
    <w:r>
      <w:rPr>
        <w:rStyle w:val="699"/>
      </w:rPr>
      <w:instrText xml:space="preserve">PAGE  </w:instrText>
    </w:r>
    <w:r>
      <w:fldChar w:fldCharType="end"/>
    </w:r>
    <w:r>
      <w:rPr>
        <w:rStyle w:val="699"/>
      </w:rPr>
    </w:r>
    <w:r/>
  </w:p>
  <w:p>
    <w:pPr>
      <w:pStyle w:val="6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659"/>
      </w:p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3">
    <w:multiLevelType w:val="hybridMultilevel"/>
    <w:lvl w:ilvl="0">
      <w:start w:val="1"/>
      <w:numFmt w:val="chineseCountingThousand"/>
      <w:pStyle w:val="727"/>
      <w:isLgl w:val="false"/>
      <w:suff w:val="nothing"/>
      <w:lvlText w:val="第%1章"/>
      <w:lvlJc w:val="left"/>
      <w:pPr>
        <w:pStyle w:val="659"/>
        <w:ind w:left="640" w:firstLine="0"/>
      </w:pPr>
      <w:rPr>
        <w:rFonts w:hint="eastAsia"/>
      </w:rPr>
    </w:lvl>
    <w:lvl w:ilvl="1">
      <w:start w:val="1"/>
      <w:numFmt w:val="decimal"/>
      <w:isLgl w:val="false"/>
      <w:suff w:val="nothing"/>
      <w:lvlText w:val=""/>
      <w:lvlJc w:val="left"/>
      <w:pPr>
        <w:pStyle w:val="659"/>
        <w:ind w:left="640" w:firstLine="0"/>
      </w:pPr>
      <w:rPr>
        <w:rFonts w:hint="eastAsia"/>
      </w:rPr>
    </w:lvl>
    <w:lvl w:ilvl="2">
      <w:start w:val="1"/>
      <w:numFmt w:val="decimal"/>
      <w:isLgl w:val="false"/>
      <w:suff w:val="nothing"/>
      <w:lvlText w:val=""/>
      <w:lvlJc w:val="left"/>
      <w:pPr>
        <w:pStyle w:val="659"/>
        <w:ind w:left="640" w:firstLine="0"/>
      </w:pPr>
      <w:rPr>
        <w:rFonts w:hint="eastAsia"/>
      </w:rPr>
    </w:lvl>
    <w:lvl w:ilvl="3">
      <w:start w:val="1"/>
      <w:numFmt w:val="decimal"/>
      <w:isLgl w:val="false"/>
      <w:suff w:val="nothing"/>
      <w:lvlText w:val=""/>
      <w:lvlJc w:val="left"/>
      <w:pPr>
        <w:pStyle w:val="659"/>
        <w:ind w:left="640" w:firstLine="0"/>
      </w:pPr>
      <w:rPr>
        <w:rFonts w:hint="eastAsia"/>
      </w:rPr>
    </w:lvl>
    <w:lvl w:ilvl="4">
      <w:start w:val="1"/>
      <w:numFmt w:val="decimal"/>
      <w:isLgl w:val="false"/>
      <w:suff w:val="nothing"/>
      <w:lvlText w:val=""/>
      <w:lvlJc w:val="left"/>
      <w:pPr>
        <w:pStyle w:val="659"/>
        <w:ind w:left="640" w:firstLine="0"/>
      </w:pPr>
      <w:rPr>
        <w:rFonts w:hint="eastAsia"/>
      </w:rPr>
    </w:lvl>
    <w:lvl w:ilvl="5">
      <w:start w:val="1"/>
      <w:numFmt w:val="decimal"/>
      <w:isLgl w:val="false"/>
      <w:suff w:val="nothing"/>
      <w:lvlText w:val=""/>
      <w:lvlJc w:val="left"/>
      <w:pPr>
        <w:pStyle w:val="659"/>
        <w:ind w:left="640" w:firstLine="0"/>
      </w:pPr>
      <w:rPr>
        <w:rFonts w:hint="eastAsia"/>
      </w:rPr>
    </w:lvl>
    <w:lvl w:ilvl="6">
      <w:start w:val="1"/>
      <w:numFmt w:val="decimal"/>
      <w:isLgl w:val="false"/>
      <w:suff w:val="nothing"/>
      <w:lvlText w:val=""/>
      <w:lvlJc w:val="left"/>
      <w:pPr>
        <w:pStyle w:val="659"/>
        <w:ind w:left="640" w:firstLine="0"/>
      </w:pPr>
      <w:rPr>
        <w:rFonts w:hint="eastAsia"/>
      </w:rPr>
    </w:lvl>
    <w:lvl w:ilvl="7">
      <w:start w:val="1"/>
      <w:numFmt w:val="decimal"/>
      <w:isLgl w:val="false"/>
      <w:suff w:val="nothing"/>
      <w:lvlText w:val=""/>
      <w:lvlJc w:val="left"/>
      <w:pPr>
        <w:pStyle w:val="659"/>
        <w:ind w:left="640" w:firstLine="0"/>
      </w:pPr>
      <w:rPr>
        <w:rFonts w:hint="eastAsia"/>
      </w:rPr>
    </w:lvl>
    <w:lvl w:ilvl="8">
      <w:start w:val="1"/>
      <w:numFmt w:val="decimal"/>
      <w:isLgl w:val="false"/>
      <w:suff w:val="nothing"/>
      <w:lvlText w:val=""/>
      <w:lvlJc w:val="left"/>
      <w:pPr>
        <w:pStyle w:val="659"/>
        <w:ind w:left="640" w:firstLine="0"/>
      </w:pPr>
      <w:rPr>
        <w:rFonts w:hint="eastAsia"/>
      </w:rPr>
    </w:lvl>
  </w:abstractNum>
  <w:abstractNum w:abstractNumId="4">
    <w:multiLevelType w:val="hybridMultilevel"/>
    <w:lvl w:ilvl="0">
      <w:start w:val="2"/>
      <w:numFmt w:val="decimal"/>
      <w:isLgl w:val="false"/>
      <w:suff w:val="nothing"/>
      <w:lvlText w:val="%1、"/>
      <w:lvlJc w:val="left"/>
      <w:pPr>
        <w:pStyle w:val="659"/>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42"/>
      <w:isLgl w:val="false"/>
      <w:suff w:val="tab"/>
      <w:lvlText w:val="%1、"/>
      <w:lvlJc w:val="left"/>
      <w:pPr>
        <w:pStyle w:val="659"/>
        <w:ind w:left="420" w:hanging="420"/>
        <w:tabs>
          <w:tab w:val="num" w:pos="420" w:leader="none"/>
        </w:tabs>
      </w:pPr>
      <w:rPr>
        <w:rFonts w:hint="eastAsia"/>
        <w:b/>
        <w:i w:val="0"/>
      </w:rPr>
    </w:lvl>
    <w:lvl w:ilvl="1">
      <w:start w:val="1"/>
      <w:numFmt w:val="lowerLetter"/>
      <w:isLgl w:val="false"/>
      <w:suff w:val="tab"/>
      <w:lvlText w:val="%2)"/>
      <w:lvlJc w:val="left"/>
      <w:pPr>
        <w:pStyle w:val="659"/>
        <w:ind w:left="840" w:hanging="420"/>
        <w:tabs>
          <w:tab w:val="num" w:pos="840" w:leader="none"/>
        </w:tabs>
      </w:pPr>
    </w:lvl>
    <w:lvl w:ilvl="2">
      <w:start w:val="1"/>
      <w:numFmt w:val="lowerRoman"/>
      <w:isLgl w:val="false"/>
      <w:suff w:val="tab"/>
      <w:lvlText w:val="%3."/>
      <w:lvlJc w:val="right"/>
      <w:pPr>
        <w:pStyle w:val="659"/>
        <w:ind w:left="1260" w:hanging="420"/>
        <w:tabs>
          <w:tab w:val="num" w:pos="1260" w:leader="none"/>
        </w:tabs>
      </w:pPr>
    </w:lvl>
    <w:lvl w:ilvl="3">
      <w:start w:val="1"/>
      <w:numFmt w:val="decimal"/>
      <w:isLgl w:val="false"/>
      <w:suff w:val="tab"/>
      <w:lvlText w:val="%4."/>
      <w:lvlJc w:val="left"/>
      <w:pPr>
        <w:pStyle w:val="659"/>
        <w:ind w:left="1680" w:hanging="420"/>
        <w:tabs>
          <w:tab w:val="num" w:pos="1680" w:leader="none"/>
        </w:tabs>
      </w:pPr>
    </w:lvl>
    <w:lvl w:ilvl="4">
      <w:start w:val="1"/>
      <w:numFmt w:val="lowerLetter"/>
      <w:isLgl w:val="false"/>
      <w:suff w:val="tab"/>
      <w:lvlText w:val="%5)"/>
      <w:lvlJc w:val="left"/>
      <w:pPr>
        <w:pStyle w:val="659"/>
        <w:ind w:left="2100" w:hanging="420"/>
        <w:tabs>
          <w:tab w:val="num" w:pos="2100" w:leader="none"/>
        </w:tabs>
      </w:pPr>
    </w:lvl>
    <w:lvl w:ilvl="5">
      <w:start w:val="1"/>
      <w:numFmt w:val="lowerRoman"/>
      <w:isLgl w:val="false"/>
      <w:suff w:val="tab"/>
      <w:lvlText w:val="%6."/>
      <w:lvlJc w:val="right"/>
      <w:pPr>
        <w:pStyle w:val="659"/>
        <w:ind w:left="2520" w:hanging="420"/>
        <w:tabs>
          <w:tab w:val="num" w:pos="2520" w:leader="none"/>
        </w:tabs>
      </w:pPr>
    </w:lvl>
    <w:lvl w:ilvl="6">
      <w:start w:val="1"/>
      <w:numFmt w:val="decimal"/>
      <w:isLgl w:val="false"/>
      <w:suff w:val="tab"/>
      <w:lvlText w:val="%7."/>
      <w:lvlJc w:val="left"/>
      <w:pPr>
        <w:pStyle w:val="659"/>
        <w:ind w:left="2940" w:hanging="420"/>
        <w:tabs>
          <w:tab w:val="num" w:pos="2940" w:leader="none"/>
        </w:tabs>
      </w:pPr>
    </w:lvl>
    <w:lvl w:ilvl="7">
      <w:start w:val="1"/>
      <w:numFmt w:val="lowerLetter"/>
      <w:isLgl w:val="false"/>
      <w:suff w:val="tab"/>
      <w:lvlText w:val="%8)"/>
      <w:lvlJc w:val="left"/>
      <w:pPr>
        <w:pStyle w:val="659"/>
        <w:ind w:left="3360" w:hanging="420"/>
        <w:tabs>
          <w:tab w:val="num" w:pos="3360" w:leader="none"/>
        </w:tabs>
      </w:pPr>
    </w:lvl>
    <w:lvl w:ilvl="8">
      <w:start w:val="1"/>
      <w:numFmt w:val="lowerRoman"/>
      <w:isLgl w:val="false"/>
      <w:suff w:val="tab"/>
      <w:lvlText w:val="%9."/>
      <w:lvlJc w:val="right"/>
      <w:pPr>
        <w:pStyle w:val="659"/>
        <w:ind w:left="3780" w:hanging="420"/>
        <w:tabs>
          <w:tab w:val="num" w:pos="3780" w:leader="none"/>
        </w:tabs>
      </w:pPr>
    </w:lvl>
  </w:abstractNum>
  <w:abstractNum w:abstractNumId="6">
    <w:multiLevelType w:val="hybridMultilevel"/>
    <w:lvl w:ilvl="0">
      <w:start w:val="2"/>
      <w:numFmt w:val="chineseCountingThousand"/>
      <w:pStyle w:val="725"/>
      <w:isLgl w:val="false"/>
      <w:suff w:val="nothing"/>
      <w:lvlText w:val="第%1部分"/>
      <w:lvlJc w:val="center"/>
      <w:pPr>
        <w:pStyle w:val="659"/>
        <w:ind w:left="432" w:firstLine="288"/>
      </w:pPr>
      <w:rPr>
        <w:rFonts w:hint="eastAsia"/>
        <w:sz w:val="28"/>
        <w:szCs w:val="28"/>
        <w:lang w:val="en-US"/>
      </w:rPr>
    </w:lvl>
    <w:lvl w:ilvl="1">
      <w:start w:val="1"/>
      <w:numFmt w:val="chineseCountingThousand"/>
      <w:isLgl w:val="false"/>
      <w:suff w:val="nothing"/>
      <w:lvlText w:val="%2、"/>
      <w:lvlJc w:val="left"/>
      <w:pPr>
        <w:pStyle w:val="659"/>
        <w:ind w:left="360" w:firstLine="0"/>
      </w:pPr>
      <w:rPr>
        <w:rFonts w:hint="eastAsia"/>
        <w:lang w:val="en-US"/>
      </w:rPr>
    </w:lvl>
    <w:lvl w:ilvl="2">
      <w:start w:val="1"/>
      <w:numFmt w:val="chineseCountingThousand"/>
      <w:isLgl w:val="false"/>
      <w:suff w:val="nothing"/>
      <w:lvlText w:val="(%3)"/>
      <w:lvlJc w:val="left"/>
      <w:pPr>
        <w:pStyle w:val="659"/>
        <w:ind w:left="0" w:firstLine="0"/>
      </w:pPr>
      <w:rPr>
        <w:rFonts w:hint="eastAsia"/>
      </w:rPr>
    </w:lvl>
    <w:lvl w:ilvl="3">
      <w:start w:val="1"/>
      <w:numFmt w:val="decimal"/>
      <w:isLgl w:val="false"/>
      <w:suff w:val="nothing"/>
      <w:lvlText w:val="%4、"/>
      <w:lvlJc w:val="left"/>
      <w:pPr>
        <w:pStyle w:val="659"/>
        <w:ind w:left="0" w:firstLine="0"/>
      </w:pPr>
      <w:rPr>
        <w:rFonts w:hint="eastAsia"/>
      </w:rPr>
    </w:lvl>
    <w:lvl w:ilvl="4">
      <w:start w:val="1"/>
      <w:numFmt w:val="upperLetter"/>
      <w:isLgl w:val="false"/>
      <w:suff w:val="nothing"/>
      <w:lvlText w:val="%5、"/>
      <w:lvlJc w:val="left"/>
      <w:pPr>
        <w:pStyle w:val="659"/>
        <w:ind w:left="0" w:firstLine="0"/>
      </w:pPr>
      <w:rPr>
        <w:rFonts w:hint="eastAsia"/>
      </w:rPr>
    </w:lvl>
    <w:lvl w:ilvl="5">
      <w:start w:val="1"/>
      <w:numFmt w:val="decimal"/>
      <w:isLgl w:val="false"/>
      <w:suff w:val="nothing"/>
      <w:lvlText w:val=""/>
      <w:lvlJc w:val="left"/>
      <w:pPr>
        <w:pStyle w:val="659"/>
        <w:ind w:left="0" w:firstLine="0"/>
      </w:pPr>
      <w:rPr>
        <w:rFonts w:hint="eastAsia"/>
      </w:rPr>
    </w:lvl>
    <w:lvl w:ilvl="6">
      <w:start w:val="1"/>
      <w:numFmt w:val="decimal"/>
      <w:isLgl w:val="false"/>
      <w:suff w:val="nothing"/>
      <w:lvlText w:val=""/>
      <w:lvlJc w:val="left"/>
      <w:pPr>
        <w:pStyle w:val="659"/>
        <w:ind w:left="0" w:firstLine="0"/>
      </w:pPr>
      <w:rPr>
        <w:rFonts w:hint="eastAsia"/>
      </w:rPr>
    </w:lvl>
    <w:lvl w:ilvl="7">
      <w:start w:val="1"/>
      <w:numFmt w:val="decimal"/>
      <w:isLgl w:val="false"/>
      <w:suff w:val="nothing"/>
      <w:lvlText w:val=""/>
      <w:lvlJc w:val="left"/>
      <w:pPr>
        <w:pStyle w:val="659"/>
        <w:ind w:left="0" w:firstLine="0"/>
      </w:pPr>
      <w:rPr>
        <w:rFonts w:hint="eastAsia"/>
      </w:rPr>
    </w:lvl>
    <w:lvl w:ilvl="8">
      <w:start w:val="1"/>
      <w:numFmt w:val="decimal"/>
      <w:isLgl w:val="false"/>
      <w:suff w:val="nothing"/>
      <w:lvlText w:val=""/>
      <w:lvlJc w:val="left"/>
      <w:pPr>
        <w:pStyle w:val="659"/>
        <w:ind w:left="0" w:firstLine="0"/>
      </w:pPr>
      <w:rPr>
        <w:rFonts w:hint="eastAsia"/>
      </w:rPr>
    </w:lvl>
  </w:abstractNum>
  <w:num w:numId="1">
    <w:abstractNumId w:val="6"/>
  </w:num>
  <w:num w:numId="2">
    <w:abstractNumId w:val="3"/>
  </w:num>
  <w:num w:numId="3">
    <w:abstractNumId w:val="5"/>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59"/>
    <w:link w:val="659"/>
    <w:qFormat/>
    <w:pPr>
      <w:jc w:val="both"/>
      <w:widowControl w:val="off"/>
    </w:pPr>
    <w:rPr>
      <w:sz w:val="21"/>
      <w:szCs w:val="24"/>
      <w:lang w:val="en-US" w:eastAsia="zh-CN" w:bidi="ar-SA"/>
    </w:rPr>
  </w:style>
  <w:style w:type="paragraph" w:styleId="660">
    <w:name w:val="标题 1"/>
    <w:basedOn w:val="659"/>
    <w:next w:val="659"/>
    <w:link w:val="659"/>
    <w:uiPriority w:val="9"/>
    <w:qFormat/>
    <w:pPr>
      <w:keepLines/>
      <w:keepNext/>
      <w:spacing w:before="340" w:after="330" w:line="578" w:lineRule="auto"/>
      <w:outlineLvl w:val="0"/>
    </w:pPr>
    <w:rPr>
      <w:b/>
      <w:bCs/>
      <w:sz w:val="44"/>
      <w:szCs w:val="44"/>
    </w:rPr>
  </w:style>
  <w:style w:type="paragraph" w:styleId="661">
    <w:name w:val="标题 2"/>
    <w:basedOn w:val="659"/>
    <w:next w:val="667"/>
    <w:link w:val="659"/>
    <w:uiPriority w:val="9"/>
    <w:qFormat/>
    <w:pPr>
      <w:keepLines/>
      <w:keepNext/>
      <w:spacing w:before="260" w:after="260" w:line="413" w:lineRule="auto"/>
      <w:outlineLvl w:val="1"/>
    </w:pPr>
    <w:rPr>
      <w:rFonts w:ascii="Arial" w:hAnsi="Arial" w:eastAsia="黑体"/>
      <w:b/>
      <w:sz w:val="32"/>
      <w:szCs w:val="20"/>
    </w:rPr>
  </w:style>
  <w:style w:type="paragraph" w:styleId="662">
    <w:name w:val="标题 3"/>
    <w:basedOn w:val="659"/>
    <w:next w:val="659"/>
    <w:link w:val="659"/>
    <w:uiPriority w:val="9"/>
    <w:qFormat/>
    <w:pPr>
      <w:keepLines/>
      <w:keepNext/>
      <w:spacing w:before="260" w:after="260" w:line="413" w:lineRule="auto"/>
      <w:outlineLvl w:val="2"/>
    </w:pPr>
    <w:rPr>
      <w:rFonts w:ascii="Arial" w:hAnsi="Arial"/>
      <w:b/>
      <w:sz w:val="32"/>
      <w:szCs w:val="20"/>
    </w:rPr>
  </w:style>
  <w:style w:type="paragraph" w:styleId="663">
    <w:name w:val="标题 4"/>
    <w:basedOn w:val="659"/>
    <w:next w:val="659"/>
    <w:link w:val="669"/>
    <w:uiPriority w:val="9"/>
    <w:qFormat/>
    <w:pPr>
      <w:keepLines/>
      <w:keepNext/>
      <w:spacing w:before="280" w:after="290" w:line="376" w:lineRule="auto"/>
      <w:outlineLvl w:val="3"/>
    </w:pPr>
    <w:rPr>
      <w:rFonts w:ascii="Cambria" w:hAnsi="Cambria"/>
      <w:b/>
      <w:bCs/>
      <w:sz w:val="28"/>
      <w:szCs w:val="28"/>
    </w:rPr>
  </w:style>
  <w:style w:type="paragraph" w:styleId="664">
    <w:name w:val="标题 5"/>
    <w:basedOn w:val="659"/>
    <w:next w:val="659"/>
    <w:link w:val="670"/>
    <w:uiPriority w:val="9"/>
    <w:qFormat/>
    <w:pPr>
      <w:keepLines/>
      <w:keepNext/>
      <w:spacing w:before="280" w:after="290" w:line="376" w:lineRule="auto"/>
      <w:outlineLvl w:val="4"/>
    </w:pPr>
    <w:rPr>
      <w:b/>
      <w:bCs/>
      <w:sz w:val="28"/>
      <w:szCs w:val="28"/>
    </w:rPr>
  </w:style>
  <w:style w:type="character" w:styleId="665">
    <w:name w:val="默认段落字体"/>
    <w:next w:val="665"/>
    <w:link w:val="659"/>
    <w:semiHidden/>
  </w:style>
  <w:style w:type="table" w:styleId="666">
    <w:name w:val="普通表格"/>
    <w:next w:val="666"/>
    <w:link w:val="65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67">
    <w:name w:val="正文缩进"/>
    <w:basedOn w:val="659"/>
    <w:next w:val="667"/>
    <w:link w:val="668"/>
    <w:pPr>
      <w:ind w:firstLine="420"/>
    </w:pPr>
    <w:rPr>
      <w:szCs w:val="20"/>
    </w:rPr>
  </w:style>
  <w:style w:type="character" w:styleId="668">
    <w:name w:val="正文缩进 Char"/>
    <w:next w:val="668"/>
    <w:link w:val="667"/>
    <w:rPr>
      <w:sz w:val="21"/>
    </w:rPr>
  </w:style>
  <w:style w:type="character" w:styleId="669">
    <w:name w:val="标题 4 Char"/>
    <w:next w:val="669"/>
    <w:link w:val="663"/>
    <w:uiPriority w:val="9"/>
    <w:rPr>
      <w:rFonts w:ascii="Cambria" w:hAnsi="Cambria"/>
      <w:b/>
      <w:bCs/>
      <w:sz w:val="28"/>
      <w:szCs w:val="28"/>
    </w:rPr>
  </w:style>
  <w:style w:type="character" w:styleId="670">
    <w:name w:val="标题 5 Char"/>
    <w:next w:val="670"/>
    <w:link w:val="664"/>
    <w:uiPriority w:val="9"/>
    <w:rPr>
      <w:b/>
      <w:bCs/>
      <w:sz w:val="28"/>
      <w:szCs w:val="28"/>
    </w:rPr>
  </w:style>
  <w:style w:type="paragraph" w:styleId="671">
    <w:name w:val="题注"/>
    <w:basedOn w:val="659"/>
    <w:next w:val="659"/>
    <w:link w:val="659"/>
    <w:uiPriority w:val="35"/>
    <w:qFormat/>
    <w:pPr>
      <w:jc w:val="center"/>
      <w:spacing w:before="156" w:after="156" w:line="360" w:lineRule="auto"/>
    </w:pPr>
    <w:rPr>
      <w:rFonts w:ascii="Arial" w:hAnsi="Arial" w:cs="Arial"/>
      <w:sz w:val="24"/>
      <w:szCs w:val="20"/>
    </w:rPr>
  </w:style>
  <w:style w:type="paragraph" w:styleId="672">
    <w:name w:val="文档结构图"/>
    <w:basedOn w:val="659"/>
    <w:next w:val="672"/>
    <w:link w:val="659"/>
    <w:semiHidden/>
    <w:pPr>
      <w:shd w:val="clear" w:color="auto" w:fill="000080"/>
    </w:pPr>
  </w:style>
  <w:style w:type="paragraph" w:styleId="673">
    <w:name w:val="批注文字"/>
    <w:basedOn w:val="659"/>
    <w:next w:val="673"/>
    <w:link w:val="674"/>
    <w:uiPriority w:val="99"/>
    <w:unhideWhenUsed/>
    <w:pPr>
      <w:jc w:val="left"/>
    </w:pPr>
  </w:style>
  <w:style w:type="character" w:styleId="674">
    <w:name w:val="批注文字 Char"/>
    <w:next w:val="674"/>
    <w:link w:val="673"/>
    <w:uiPriority w:val="99"/>
    <w:rPr>
      <w:sz w:val="21"/>
      <w:szCs w:val="24"/>
    </w:rPr>
  </w:style>
  <w:style w:type="paragraph" w:styleId="675">
    <w:name w:val="正文文本 3"/>
    <w:basedOn w:val="659"/>
    <w:next w:val="675"/>
    <w:link w:val="659"/>
    <w:rPr>
      <w:rFonts w:ascii="楷体_GB2312" w:hAnsi="Arial" w:eastAsia="楷体_GB2312" w:cs="Arial"/>
      <w:b/>
      <w:bCs/>
      <w:color w:val="000000"/>
      <w:sz w:val="24"/>
    </w:rPr>
  </w:style>
  <w:style w:type="paragraph" w:styleId="676">
    <w:name w:val="正文文本"/>
    <w:basedOn w:val="659"/>
    <w:next w:val="677"/>
    <w:link w:val="65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7">
    <w:name w:val="目录 1"/>
    <w:basedOn w:val="659"/>
    <w:next w:val="659"/>
    <w:link w:val="659"/>
    <w:semiHidden/>
  </w:style>
  <w:style w:type="paragraph" w:styleId="678">
    <w:name w:val="正文文本缩进"/>
    <w:basedOn w:val="659"/>
    <w:next w:val="678"/>
    <w:link w:val="659"/>
    <w:pPr>
      <w:ind w:firstLine="630"/>
    </w:pPr>
    <w:rPr>
      <w:rFonts w:ascii="楷体_GB2312" w:eastAsia="楷体_GB2312"/>
      <w:sz w:val="32"/>
      <w:szCs w:val="20"/>
    </w:rPr>
  </w:style>
  <w:style w:type="paragraph" w:styleId="679">
    <w:name w:val="文本块"/>
    <w:basedOn w:val="659"/>
    <w:next w:val="679"/>
    <w:link w:val="659"/>
    <w:pPr>
      <w:ind w:left="420" w:right="33"/>
      <w:jc w:val="left"/>
    </w:pPr>
    <w:rPr>
      <w:sz w:val="24"/>
      <w:szCs w:val="20"/>
    </w:rPr>
  </w:style>
  <w:style w:type="paragraph" w:styleId="680">
    <w:name w:val="目录 3"/>
    <w:basedOn w:val="659"/>
    <w:next w:val="659"/>
    <w:link w:val="659"/>
    <w:semiHidden/>
    <w:pPr>
      <w:ind w:left="840"/>
      <w:spacing w:line="300" w:lineRule="auto"/>
      <w:tabs>
        <w:tab w:val="right" w:pos="9344" w:leader="dot"/>
      </w:tabs>
    </w:pPr>
    <w:rPr>
      <w:rFonts w:ascii="Arial" w:hAnsi="Arial" w:cs="Arial"/>
      <w:szCs w:val="21"/>
    </w:rPr>
  </w:style>
  <w:style w:type="paragraph" w:styleId="681">
    <w:name w:val="纯文本"/>
    <w:basedOn w:val="659"/>
    <w:next w:val="681"/>
    <w:link w:val="682"/>
    <w:rPr>
      <w:rFonts w:ascii="宋体" w:hAnsi="Courier New"/>
      <w:szCs w:val="20"/>
    </w:rPr>
  </w:style>
  <w:style w:type="character" w:styleId="682">
    <w:name w:val="纯文本 Char"/>
    <w:next w:val="682"/>
    <w:link w:val="681"/>
    <w:rPr>
      <w:rFonts w:ascii="宋体" w:hAnsi="Courier New" w:eastAsia="宋体"/>
      <w:sz w:val="21"/>
      <w:lang w:val="en-US" w:eastAsia="zh-CN" w:bidi="ar-SA"/>
    </w:rPr>
  </w:style>
  <w:style w:type="paragraph" w:styleId="683">
    <w:name w:val="正文文本缩进 2"/>
    <w:basedOn w:val="659"/>
    <w:next w:val="683"/>
    <w:link w:val="659"/>
    <w:pPr>
      <w:ind w:left="420"/>
      <w:spacing w:after="120" w:line="480" w:lineRule="auto"/>
    </w:pPr>
  </w:style>
  <w:style w:type="paragraph" w:styleId="684">
    <w:name w:val="批注框文本"/>
    <w:basedOn w:val="659"/>
    <w:next w:val="684"/>
    <w:link w:val="685"/>
    <w:rPr>
      <w:sz w:val="18"/>
      <w:szCs w:val="18"/>
    </w:rPr>
  </w:style>
  <w:style w:type="character" w:styleId="685">
    <w:name w:val="批注框文本 Char"/>
    <w:next w:val="685"/>
    <w:link w:val="684"/>
    <w:rPr>
      <w:sz w:val="18"/>
      <w:szCs w:val="18"/>
    </w:rPr>
  </w:style>
  <w:style w:type="paragraph" w:styleId="686">
    <w:name w:val="页脚"/>
    <w:basedOn w:val="659"/>
    <w:next w:val="686"/>
    <w:link w:val="687"/>
    <w:pPr>
      <w:jc w:val="left"/>
      <w:tabs>
        <w:tab w:val="center" w:pos="4153" w:leader="none"/>
        <w:tab w:val="right" w:pos="8306" w:leader="none"/>
      </w:tabs>
    </w:pPr>
    <w:rPr>
      <w:sz w:val="18"/>
      <w:szCs w:val="18"/>
    </w:rPr>
  </w:style>
  <w:style w:type="character" w:styleId="687">
    <w:name w:val="页脚 Char"/>
    <w:next w:val="687"/>
    <w:link w:val="686"/>
    <w:rPr>
      <w:sz w:val="18"/>
      <w:szCs w:val="18"/>
    </w:rPr>
  </w:style>
  <w:style w:type="paragraph" w:styleId="688">
    <w:name w:val="页眉"/>
    <w:basedOn w:val="659"/>
    <w:next w:val="688"/>
    <w:link w:val="689"/>
    <w:pPr>
      <w:jc w:val="center"/>
      <w:tabs>
        <w:tab w:val="center" w:pos="4153" w:leader="none"/>
        <w:tab w:val="right" w:pos="8306" w:leader="none"/>
      </w:tabs>
      <w:pBdr>
        <w:bottom w:val="single" w:color="000000" w:sz="6" w:space="1"/>
      </w:pBdr>
    </w:pPr>
    <w:rPr>
      <w:sz w:val="18"/>
      <w:szCs w:val="18"/>
    </w:rPr>
  </w:style>
  <w:style w:type="character" w:styleId="689">
    <w:name w:val="页眉 Char"/>
    <w:next w:val="689"/>
    <w:link w:val="688"/>
    <w:rPr>
      <w:sz w:val="18"/>
      <w:szCs w:val="18"/>
    </w:rPr>
  </w:style>
  <w:style w:type="paragraph" w:styleId="690">
    <w:name w:val="正文文本缩进 3"/>
    <w:basedOn w:val="659"/>
    <w:next w:val="690"/>
    <w:link w:val="659"/>
    <w:uiPriority w:val="99"/>
    <w:pPr>
      <w:ind w:firstLine="420"/>
    </w:pPr>
    <w:rPr>
      <w:rFonts w:eastAsia="楷体_GB2312"/>
    </w:rPr>
  </w:style>
  <w:style w:type="paragraph" w:styleId="691">
    <w:name w:val="目录 2"/>
    <w:basedOn w:val="659"/>
    <w:next w:val="659"/>
    <w:link w:val="659"/>
    <w:semiHidden/>
    <w:pPr>
      <w:ind w:left="420"/>
    </w:pPr>
    <w:rPr>
      <w:szCs w:val="20"/>
    </w:rPr>
  </w:style>
  <w:style w:type="paragraph" w:styleId="692">
    <w:name w:val="正文文本 2"/>
    <w:basedOn w:val="659"/>
    <w:next w:val="692"/>
    <w:link w:val="693"/>
    <w:pPr>
      <w:spacing w:line="440" w:lineRule="exact"/>
    </w:pPr>
    <w:rPr>
      <w:rFonts w:ascii="楷体_GB2312" w:eastAsia="楷体_GB2312"/>
      <w:sz w:val="28"/>
    </w:rPr>
  </w:style>
  <w:style w:type="character" w:styleId="693">
    <w:name w:val="正文文本 2 Char"/>
    <w:next w:val="693"/>
    <w:link w:val="692"/>
    <w:rPr>
      <w:rFonts w:ascii="楷体_GB2312" w:eastAsia="楷体_GB2312"/>
      <w:sz w:val="28"/>
      <w:szCs w:val="24"/>
    </w:rPr>
  </w:style>
  <w:style w:type="paragraph" w:styleId="694">
    <w:name w:val="批注主题"/>
    <w:basedOn w:val="673"/>
    <w:next w:val="673"/>
    <w:link w:val="695"/>
    <w:rPr>
      <w:b/>
      <w:bCs/>
    </w:rPr>
  </w:style>
  <w:style w:type="character" w:styleId="695">
    <w:name w:val="批注主题 Char"/>
    <w:next w:val="695"/>
    <w:link w:val="694"/>
    <w:rPr>
      <w:b/>
      <w:bCs/>
      <w:sz w:val="21"/>
      <w:szCs w:val="24"/>
    </w:rPr>
  </w:style>
  <w:style w:type="paragraph" w:styleId="696">
    <w:name w:val="正文首行缩进 2"/>
    <w:basedOn w:val="678"/>
    <w:next w:val="696"/>
    <w:link w:val="659"/>
    <w:pPr>
      <w:ind w:left="420" w:firstLine="420"/>
      <w:spacing w:after="120"/>
      <w:widowControl/>
    </w:pPr>
    <w:rPr>
      <w:rFonts w:ascii="仿宋_GB2312" w:eastAsia="仿宋_GB2312"/>
      <w:color w:val="ff6600"/>
      <w:sz w:val="21"/>
    </w:rPr>
  </w:style>
  <w:style w:type="table" w:styleId="697">
    <w:name w:val="网格型"/>
    <w:basedOn w:val="666"/>
    <w:next w:val="697"/>
    <w:link w:val="65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8">
    <w:name w:val="要点"/>
    <w:next w:val="698"/>
    <w:link w:val="659"/>
    <w:qFormat/>
    <w:rPr>
      <w:b w:val="0"/>
      <w:i w:val="0"/>
    </w:rPr>
  </w:style>
  <w:style w:type="character" w:styleId="699">
    <w:name w:val="页码"/>
    <w:next w:val="699"/>
    <w:link w:val="659"/>
  </w:style>
  <w:style w:type="character" w:styleId="700">
    <w:name w:val="已访问的超链接"/>
    <w:next w:val="700"/>
    <w:link w:val="659"/>
    <w:rPr>
      <w:color w:val="800080"/>
      <w:u w:val="none"/>
    </w:rPr>
  </w:style>
  <w:style w:type="character" w:styleId="701">
    <w:name w:val="强调"/>
    <w:next w:val="701"/>
    <w:link w:val="659"/>
    <w:qFormat/>
    <w:rPr>
      <w:b w:val="0"/>
      <w:i w:val="0"/>
    </w:rPr>
  </w:style>
  <w:style w:type="character" w:styleId="702">
    <w:name w:val="HTML 定义"/>
    <w:next w:val="702"/>
    <w:link w:val="659"/>
    <w:rPr>
      <w:b w:val="0"/>
      <w:i w:val="0"/>
    </w:rPr>
  </w:style>
  <w:style w:type="character" w:styleId="703">
    <w:name w:val="HTML 打字机"/>
    <w:next w:val="703"/>
    <w:link w:val="659"/>
    <w:rPr>
      <w:rFonts w:ascii="monospace" w:hAnsi="monospace" w:eastAsia="monospace" w:cs="monospace"/>
      <w:sz w:val="20"/>
    </w:rPr>
  </w:style>
  <w:style w:type="character" w:styleId="704">
    <w:name w:val="HTML 缩写"/>
    <w:next w:val="704"/>
    <w:link w:val="659"/>
  </w:style>
  <w:style w:type="character" w:styleId="705">
    <w:name w:val="HTML 变量"/>
    <w:next w:val="705"/>
    <w:link w:val="659"/>
    <w:rPr>
      <w:b w:val="0"/>
      <w:i w:val="0"/>
    </w:rPr>
  </w:style>
  <w:style w:type="character" w:styleId="706">
    <w:name w:val="超链接"/>
    <w:next w:val="706"/>
    <w:link w:val="659"/>
    <w:rPr>
      <w:color w:val="0000ff"/>
      <w:u w:val="none"/>
    </w:rPr>
  </w:style>
  <w:style w:type="character" w:styleId="707">
    <w:name w:val="HTML 代码"/>
    <w:next w:val="707"/>
    <w:link w:val="659"/>
    <w:rPr>
      <w:rFonts w:ascii="monospace" w:hAnsi="monospace" w:eastAsia="monospace" w:cs="monospace"/>
      <w:b w:val="0"/>
      <w:i w:val="0"/>
      <w:sz w:val="20"/>
    </w:rPr>
  </w:style>
  <w:style w:type="character" w:styleId="708">
    <w:name w:val="批注引用"/>
    <w:next w:val="708"/>
    <w:link w:val="659"/>
    <w:rPr>
      <w:sz w:val="21"/>
      <w:szCs w:val="21"/>
    </w:rPr>
  </w:style>
  <w:style w:type="character" w:styleId="709">
    <w:name w:val="HTML 引文"/>
    <w:next w:val="709"/>
    <w:link w:val="659"/>
    <w:rPr>
      <w:b w:val="0"/>
      <w:i w:val="0"/>
    </w:rPr>
  </w:style>
  <w:style w:type="character" w:styleId="710">
    <w:name w:val="HTML 键盘"/>
    <w:next w:val="710"/>
    <w:link w:val="659"/>
    <w:rPr>
      <w:rFonts w:ascii="monospace" w:hAnsi="monospace" w:eastAsia="monospace" w:cs="monospace"/>
      <w:sz w:val="20"/>
    </w:rPr>
  </w:style>
  <w:style w:type="character" w:styleId="711">
    <w:name w:val="HTML 样本"/>
    <w:next w:val="711"/>
    <w:link w:val="659"/>
    <w:rPr>
      <w:rFonts w:ascii="monospace" w:hAnsi="monospace" w:eastAsia="monospace" w:cs="monospace"/>
    </w:rPr>
  </w:style>
  <w:style w:type="character" w:styleId="712">
    <w:name w:val="hour_pm"/>
    <w:next w:val="712"/>
    <w:link w:val="659"/>
  </w:style>
  <w:style w:type="character" w:styleId="713">
    <w:name w:val="Font Style37"/>
    <w:next w:val="713"/>
    <w:link w:val="659"/>
    <w:rPr>
      <w:rFonts w:ascii="Arial" w:hAnsi="Arial" w:cs="Arial"/>
      <w:sz w:val="16"/>
      <w:szCs w:val="16"/>
    </w:rPr>
  </w:style>
  <w:style w:type="character" w:styleId="714">
    <w:name w:val="Plain Text Char"/>
    <w:next w:val="714"/>
    <w:link w:val="659"/>
    <w:rPr>
      <w:rFonts w:ascii="宋体" w:hAnsi="Courier New" w:eastAsia="宋体"/>
      <w:sz w:val="21"/>
      <w:lang w:val="en-US" w:eastAsia="zh-CN" w:bidi="ar-SA"/>
    </w:rPr>
  </w:style>
  <w:style w:type="character" w:styleId="715">
    <w:name w:val="hour_am"/>
    <w:next w:val="715"/>
    <w:link w:val="659"/>
  </w:style>
  <w:style w:type="character" w:styleId="716">
    <w:name w:val="old"/>
    <w:next w:val="716"/>
    <w:link w:val="659"/>
    <w:rPr>
      <w:color w:val="999999"/>
    </w:rPr>
  </w:style>
  <w:style w:type="character" w:styleId="717">
    <w:name w:val="glyphicon"/>
    <w:next w:val="717"/>
    <w:link w:val="659"/>
  </w:style>
  <w:style w:type="character" w:styleId="718">
    <w:name w:val="Font Style29"/>
    <w:next w:val="718"/>
    <w:link w:val="659"/>
    <w:rPr>
      <w:rFonts w:ascii="Arial" w:hAnsi="Arial" w:cs="Arial"/>
      <w:sz w:val="14"/>
      <w:szCs w:val="14"/>
    </w:rPr>
  </w:style>
  <w:style w:type="character" w:styleId="719">
    <w:name w:val="标题 2 Char,节 Char,Heading 2 Hidden Char,Heading 2 CCBS Char,H2 Char,sect 1.2 Char,H21 Char,sect 1.21 Char,H22 Char,sect 1.22 Char,H211 Char,sect 1.211 Char,H23 Char,sect 1.23 Char,H212 Char,sect 1.212 Char,2nd level Char,h2 Char,2 Char,Header 2 Char"/>
    <w:next w:val="719"/>
    <w:link w:val="659"/>
    <w:rPr>
      <w:rFonts w:ascii="Arial" w:hAnsi="Arial" w:eastAsia="黑体"/>
      <w:b/>
      <w:sz w:val="32"/>
      <w:lang w:val="en-US" w:eastAsia="zh-CN"/>
    </w:rPr>
  </w:style>
  <w:style w:type="character" w:styleId="720">
    <w:name w:val="Font Style30"/>
    <w:next w:val="720"/>
    <w:link w:val="659"/>
    <w:rPr>
      <w:rFonts w:ascii="宋体" w:eastAsia="宋体" w:cs="宋体"/>
      <w:sz w:val="14"/>
      <w:szCs w:val="14"/>
    </w:rPr>
  </w:style>
  <w:style w:type="character" w:styleId="721">
    <w:name w:val="hover"/>
    <w:next w:val="721"/>
    <w:link w:val="659"/>
    <w:rPr>
      <w:shd w:val="clear" w:color="auto" w:fill="eeeeee"/>
    </w:rPr>
  </w:style>
  <w:style w:type="character" w:styleId="722">
    <w:name w:val="Font Style36"/>
    <w:next w:val="722"/>
    <w:link w:val="659"/>
    <w:rPr>
      <w:rFonts w:ascii="宋体" w:eastAsia="宋体" w:cs="宋体"/>
      <w:sz w:val="16"/>
      <w:szCs w:val="16"/>
    </w:rPr>
  </w:style>
  <w:style w:type="character" w:styleId="723">
    <w:name w:val="Font Style28"/>
    <w:next w:val="723"/>
    <w:link w:val="659"/>
    <w:rPr>
      <w:rFonts w:ascii="Constantia" w:hAnsi="Constantia" w:cs="Constantia"/>
      <w:sz w:val="28"/>
      <w:szCs w:val="28"/>
    </w:rPr>
  </w:style>
  <w:style w:type="paragraph" w:styleId="724">
    <w:name w:val="正文（无缩进）"/>
    <w:basedOn w:val="659"/>
    <w:next w:val="724"/>
    <w:link w:val="659"/>
    <w:qFormat/>
    <w:pPr>
      <w:spacing w:line="360" w:lineRule="auto"/>
    </w:pPr>
    <w:rPr>
      <w:rFonts w:ascii="Calibri" w:hAnsi="Calibri"/>
      <w:sz w:val="24"/>
      <w:szCs w:val="21"/>
    </w:rPr>
  </w:style>
  <w:style w:type="paragraph" w:styleId="725">
    <w:name w:val="标题1"/>
    <w:basedOn w:val="660"/>
    <w:next w:val="659"/>
    <w:link w:val="659"/>
    <w:pPr>
      <w:numPr>
        <w:ilvl w:val="0"/>
        <w:numId w:val="1"/>
      </w:numPr>
      <w:jc w:val="left"/>
      <w:spacing w:line="578" w:lineRule="atLeast"/>
    </w:pPr>
  </w:style>
  <w:style w:type="paragraph" w:styleId="726">
    <w:name w:val=" Char Char Char Char Char Char Char Char Char Char Char Char Char"/>
    <w:basedOn w:val="659"/>
    <w:next w:val="726"/>
    <w:link w:val="659"/>
    <w:pPr>
      <w:jc w:val="left"/>
      <w:spacing w:after="160" w:line="240" w:lineRule="exact"/>
      <w:widowControl/>
    </w:pPr>
    <w:rPr>
      <w:rFonts w:ascii="Verdana" w:hAnsi="Verdana"/>
      <w:sz w:val="20"/>
      <w:szCs w:val="20"/>
      <w:lang w:eastAsia="en-US"/>
    </w:rPr>
  </w:style>
  <w:style w:type="paragraph" w:styleId="727">
    <w:name w:val="我的样式"/>
    <w:basedOn w:val="660"/>
    <w:next w:val="659"/>
    <w:link w:val="659"/>
    <w:pPr>
      <w:numPr>
        <w:ilvl w:val="0"/>
        <w:numId w:val="2"/>
      </w:numPr>
      <w:spacing w:line="360" w:lineRule="auto"/>
    </w:pPr>
    <w:rPr>
      <w:rFonts w:ascii="仿宋_GB2312" w:eastAsia="仿宋_GB2312"/>
      <w:sz w:val="32"/>
      <w:szCs w:val="30"/>
    </w:rPr>
  </w:style>
  <w:style w:type="paragraph" w:styleId="728">
    <w:name w:val="默认段落字体 Para Char Char Char Char Char Char Char Char Char1 Char Char Char Char Char Char Char"/>
    <w:basedOn w:val="672"/>
    <w:next w:val="728"/>
    <w:link w:val="659"/>
    <w:rPr>
      <w:rFonts w:ascii="Tahoma" w:hAnsi="Tahoma"/>
      <w:sz w:val="24"/>
    </w:rPr>
  </w:style>
  <w:style w:type="paragraph" w:styleId="729">
    <w:name w:val="样式1"/>
    <w:basedOn w:val="659"/>
    <w:next w:val="729"/>
    <w:link w:val="659"/>
    <w:pPr>
      <w:numPr>
        <w:ilvl w:val="0"/>
        <w:numId w:val="1"/>
      </w:numPr>
      <w:tabs>
        <w:tab w:val="left" w:pos="1110" w:leader="none"/>
      </w:tabs>
    </w:pPr>
    <w:rPr>
      <w:rFonts w:ascii="宋体" w:hAnsi="宋体"/>
      <w:szCs w:val="21"/>
    </w:rPr>
  </w:style>
  <w:style w:type="paragraph" w:styleId="730">
    <w:name w:val="Default"/>
    <w:next w:val="730"/>
    <w:link w:val="659"/>
    <w:pPr>
      <w:widowControl w:val="off"/>
    </w:pPr>
    <w:rPr>
      <w:rFonts w:ascii="仿宋" w:eastAsia="仿宋" w:cs="仿宋"/>
      <w:color w:val="000000"/>
      <w:sz w:val="24"/>
      <w:szCs w:val="24"/>
      <w:lang w:val="en-US" w:eastAsia="zh-CN" w:bidi="ar-SA"/>
    </w:rPr>
  </w:style>
  <w:style w:type="paragraph" w:styleId="731">
    <w:name w:val=" Char Char Char1 Char Char Char Char"/>
    <w:basedOn w:val="659"/>
    <w:next w:val="731"/>
    <w:link w:val="659"/>
    <w:pPr>
      <w:jc w:val="left"/>
      <w:spacing w:after="160" w:line="240" w:lineRule="exact"/>
      <w:widowControl/>
    </w:pPr>
    <w:rPr>
      <w:rFonts w:ascii="宋体" w:hAnsi="宋体"/>
      <w:b/>
      <w:sz w:val="28"/>
      <w:szCs w:val="28"/>
    </w:rPr>
  </w:style>
  <w:style w:type="paragraph" w:styleId="732">
    <w:name w:val="Style9"/>
    <w:basedOn w:val="659"/>
    <w:next w:val="732"/>
    <w:link w:val="659"/>
    <w:pPr>
      <w:jc w:val="left"/>
    </w:pPr>
    <w:rPr>
      <w:rFonts w:ascii="宋体"/>
      <w:sz w:val="24"/>
    </w:rPr>
  </w:style>
  <w:style w:type="paragraph" w:styleId="733">
    <w:name w:val="Char Char1 Char Char Char Char Char Char"/>
    <w:basedOn w:val="659"/>
    <w:next w:val="733"/>
    <w:link w:val="659"/>
    <w:pPr>
      <w:jc w:val="center"/>
      <w:widowControl/>
    </w:pPr>
    <w:rPr>
      <w:rFonts w:ascii="宋体" w:hAnsi="宋体"/>
      <w:b/>
      <w:sz w:val="24"/>
      <w:lang w:eastAsia="en-US"/>
    </w:rPr>
  </w:style>
  <w:style w:type="paragraph" w:styleId="734">
    <w:name w:val="_Style 56"/>
    <w:basedOn w:val="672"/>
    <w:next w:val="734"/>
    <w:link w:val="659"/>
    <w:pPr>
      <w:spacing w:line="436" w:lineRule="exact"/>
    </w:pPr>
    <w:rPr>
      <w:szCs w:val="20"/>
    </w:rPr>
  </w:style>
  <w:style w:type="paragraph" w:styleId="735">
    <w:name w:val="Style10"/>
    <w:basedOn w:val="659"/>
    <w:next w:val="735"/>
    <w:link w:val="659"/>
    <w:pPr>
      <w:jc w:val="left"/>
    </w:pPr>
    <w:rPr>
      <w:rFonts w:ascii="宋体"/>
      <w:sz w:val="24"/>
    </w:rPr>
  </w:style>
  <w:style w:type="paragraph" w:styleId="736">
    <w:name w:val="Char Char Char Char"/>
    <w:basedOn w:val="672"/>
    <w:next w:val="736"/>
    <w:link w:val="659"/>
    <w:pPr>
      <w:spacing w:line="360" w:lineRule="auto"/>
    </w:pPr>
    <w:rPr>
      <w:rFonts w:ascii="Tahoma" w:hAnsi="Tahoma"/>
      <w:sz w:val="24"/>
    </w:rPr>
  </w:style>
  <w:style w:type="paragraph" w:styleId="737">
    <w:name w:val="正文（缩进） Char1"/>
    <w:basedOn w:val="659"/>
    <w:next w:val="737"/>
    <w:link w:val="659"/>
    <w:pPr>
      <w:ind w:firstLine="480"/>
      <w:spacing w:before="156" w:after="156" w:line="360" w:lineRule="auto"/>
    </w:pPr>
    <w:rPr>
      <w:sz w:val="24"/>
    </w:rPr>
  </w:style>
  <w:style w:type="paragraph" w:styleId="738">
    <w:name w:val="普通正文"/>
    <w:basedOn w:val="659"/>
    <w:next w:val="738"/>
    <w:link w:val="659"/>
    <w:pPr>
      <w:ind w:firstLine="480"/>
      <w:jc w:val="left"/>
      <w:spacing w:before="120" w:after="120" w:line="360" w:lineRule="auto"/>
    </w:pPr>
    <w:rPr>
      <w:rFonts w:ascii="Arial" w:hAnsi="Arial"/>
      <w:sz w:val="24"/>
    </w:rPr>
  </w:style>
  <w:style w:type="paragraph" w:styleId="739">
    <w:name w:val="修订"/>
    <w:next w:val="739"/>
    <w:link w:val="659"/>
    <w:uiPriority w:val="99"/>
    <w:semiHidden/>
    <w:rPr>
      <w:sz w:val="21"/>
      <w:szCs w:val="24"/>
      <w:lang w:val="en-US" w:eastAsia="zh-CN" w:bidi="ar-SA"/>
    </w:rPr>
  </w:style>
  <w:style w:type="paragraph" w:styleId="740">
    <w:name w:val=" Char"/>
    <w:basedOn w:val="659"/>
    <w:next w:val="740"/>
    <w:link w:val="659"/>
    <w:pPr>
      <w:ind w:left="420" w:hanging="420"/>
      <w:jc w:val="left"/>
      <w:tabs>
        <w:tab w:val="left" w:pos="420" w:leader="none"/>
      </w:tabs>
    </w:pPr>
    <w:rPr>
      <w:szCs w:val="20"/>
    </w:rPr>
  </w:style>
  <w:style w:type="paragraph" w:styleId="741">
    <w:name w:val="文档正文"/>
    <w:basedOn w:val="659"/>
    <w:next w:val="741"/>
    <w:link w:val="659"/>
    <w:pPr>
      <w:ind w:firstLine="567"/>
      <w:spacing w:line="480" w:lineRule="atLeast"/>
    </w:pPr>
    <w:rPr>
      <w:rFonts w:ascii="仿宋_GB2312"/>
      <w:szCs w:val="20"/>
    </w:rPr>
  </w:style>
  <w:style w:type="paragraph" w:styleId="742">
    <w:name w:val="要点标题"/>
    <w:basedOn w:val="659"/>
    <w:next w:val="742"/>
    <w:link w:val="659"/>
    <w:pPr>
      <w:numPr>
        <w:ilvl w:val="0"/>
        <w:numId w:val="3"/>
      </w:numPr>
      <w:jc w:val="left"/>
      <w:tabs>
        <w:tab w:val="left" w:pos="420" w:leader="none"/>
      </w:tabs>
    </w:pPr>
    <w:rPr>
      <w:rFonts w:ascii="宋体" w:hAnsi="宋体"/>
      <w:b/>
      <w:sz w:val="24"/>
    </w:rPr>
  </w:style>
  <w:style w:type="paragraph" w:styleId="743">
    <w:name w:val="Style11"/>
    <w:basedOn w:val="659"/>
    <w:next w:val="743"/>
    <w:link w:val="659"/>
    <w:pPr>
      <w:jc w:val="left"/>
      <w:spacing w:line="446" w:lineRule="exact"/>
    </w:pPr>
    <w:rPr>
      <w:rFonts w:ascii="宋体"/>
      <w:sz w:val="24"/>
    </w:rPr>
  </w:style>
  <w:style w:type="paragraph" w:styleId="744">
    <w:name w:val="Char1"/>
    <w:basedOn w:val="659"/>
    <w:next w:val="744"/>
    <w:link w:val="659"/>
    <w:pPr>
      <w:ind w:left="840" w:hanging="420"/>
      <w:tabs>
        <w:tab w:val="left" w:pos="840" w:leader="none"/>
      </w:tabs>
    </w:pPr>
    <w:rPr>
      <w:sz w:val="24"/>
    </w:rPr>
  </w:style>
  <w:style w:type="paragraph" w:styleId="745">
    <w:name w:val="Char"/>
    <w:basedOn w:val="659"/>
    <w:next w:val="745"/>
    <w:link w:val="659"/>
    <w:pPr>
      <w:tabs>
        <w:tab w:val="left" w:pos="360" w:leader="none"/>
      </w:tabs>
    </w:pPr>
    <w:rPr>
      <w:sz w:val="24"/>
    </w:rPr>
  </w:style>
  <w:style w:type="paragraph" w:styleId="746">
    <w:name w:val="Style12"/>
    <w:basedOn w:val="659"/>
    <w:next w:val="746"/>
    <w:link w:val="659"/>
    <w:pPr>
      <w:jc w:val="left"/>
    </w:pPr>
    <w:rPr>
      <w:rFonts w:ascii="宋体"/>
      <w:sz w:val="24"/>
    </w:rPr>
  </w:style>
  <w:style w:type="paragraph" w:styleId="747">
    <w:name w:val="表格正文"/>
    <w:next w:val="747"/>
    <w:link w:val="659"/>
    <w:pPr>
      <w:spacing w:line="0" w:lineRule="atLeast"/>
    </w:pPr>
    <w:rPr>
      <w:sz w:val="24"/>
      <w:szCs w:val="24"/>
      <w:lang w:val="en-US" w:eastAsia="zh-CN" w:bidi="he-IL"/>
    </w:rPr>
  </w:style>
  <w:style w:type="paragraph" w:styleId="748">
    <w:name w:val="首行缩进"/>
    <w:basedOn w:val="659"/>
    <w:next w:val="748"/>
    <w:link w:val="659"/>
    <w:qFormat/>
    <w:pPr>
      <w:ind w:firstLine="420"/>
      <w:spacing w:line="360" w:lineRule="auto"/>
    </w:pPr>
    <w:rPr>
      <w:sz w:val="20"/>
    </w:rPr>
  </w:style>
  <w:style w:type="paragraph" w:styleId="749">
    <w:name w:val="纯文本1"/>
    <w:basedOn w:val="659"/>
    <w:next w:val="730"/>
    <w:link w:val="659"/>
    <w:qFormat/>
    <w:rPr>
      <w:rFonts w:ascii="宋体" w:hAnsi="Courier New"/>
      <w:szCs w:val="20"/>
    </w:rPr>
  </w:style>
  <w:style w:type="paragraph" w:styleId="750">
    <w:name w:val="文本块1"/>
    <w:basedOn w:val="659"/>
    <w:next w:val="750"/>
    <w:link w:val="659"/>
    <w:qFormat/>
    <w:pPr>
      <w:ind w:left="420" w:right="33"/>
      <w:jc w:val="left"/>
    </w:pPr>
    <w:rPr>
      <w:sz w:val="24"/>
      <w:szCs w:val="20"/>
    </w:rPr>
  </w:style>
  <w:style w:type="character" w:styleId="7096" w:default="1">
    <w:name w:val="Default Paragraph Font"/>
    <w:uiPriority w:val="1"/>
    <w:semiHidden/>
    <w:unhideWhenUsed/>
  </w:style>
  <w:style w:type="numbering" w:styleId="7097" w:default="1">
    <w:name w:val="No List"/>
    <w:uiPriority w:val="99"/>
    <w:semiHidden/>
    <w:unhideWhenUsed/>
  </w:style>
  <w:style w:type="table" w:styleId="70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3</cp:revision>
  <dcterms:created xsi:type="dcterms:W3CDTF">2024-01-08T08:47:00Z</dcterms:created>
  <dcterms:modified xsi:type="dcterms:W3CDTF">2024-08-07T06:35:49Z</dcterms:modified>
</cp:coreProperties>
</file>