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992"/>
        <w:ind w:firstLine="0"/>
        <w:rPr>
          <w:rFonts w:hint="eastAsia"/>
          <w:b/>
          <w:bCs/>
          <w:sz w:val="32"/>
        </w:rPr>
      </w:pPr>
      <w:r>
        <w:rPr>
          <w:rFonts w:hint="eastAsia"/>
          <w:b/>
          <w:bCs/>
          <w:sz w:val="32"/>
        </w:rPr>
        <w:t xml:space="preserve">项目名称：南京医科大学电梯采购项目 </w:t>
      </w:r>
      <w:r/>
    </w:p>
    <w:p>
      <w:pPr>
        <w:jc w:val="left"/>
        <w:spacing w:line="360" w:lineRule="auto"/>
        <w:rPr>
          <w:rFonts w:hint="eastAsia"/>
          <w:b/>
          <w:bCs/>
          <w:sz w:val="32"/>
          <w:szCs w:val="32"/>
          <w:highlight w:val="none"/>
        </w:rPr>
      </w:pPr>
      <w:r>
        <w:rPr>
          <w:rFonts w:hint="eastAsia"/>
          <w:b/>
          <w:bCs/>
          <w:sz w:val="32"/>
        </w:rPr>
        <w:t xml:space="preserve">项目编号：JSZC-320000-SCZX-G2025-0206</w:t>
      </w:r>
      <w:r>
        <w:rPr>
          <w:rFonts w:hint="eastAsia"/>
          <w:b/>
          <w:bCs/>
          <w:sz w:val="32"/>
        </w:rPr>
        <w:tab/>
      </w:r>
      <w:r/>
    </w:p>
    <w:p>
      <w:pPr>
        <w:jc w:val="left"/>
        <w:spacing w:line="360" w:lineRule="auto"/>
        <w:rPr>
          <w:rFonts w:hint="eastAsia"/>
          <w:b/>
          <w:bCs/>
          <w:sz w:val="32"/>
          <w:szCs w:val="32"/>
        </w:rPr>
      </w:pPr>
      <w:r>
        <w:rPr>
          <w:rFonts w:hint="eastAsia"/>
          <w:b/>
          <w:bCs/>
          <w:sz w:val="32"/>
          <w:highlight w:val="none"/>
        </w:rPr>
        <w:t xml:space="preserve">（第</w:t>
      </w:r>
      <w:r>
        <w:rPr>
          <w:rFonts w:hint="eastAsia"/>
          <w:b/>
          <w:bCs/>
          <w:sz w:val="32"/>
          <w:highlight w:val="none"/>
          <w:lang w:val="en-US" w:eastAsia="zh-CN"/>
        </w:rPr>
        <w:t xml:space="preserve">五</w:t>
      </w:r>
      <w:r>
        <w:rPr>
          <w:rFonts w:hint="eastAsia"/>
          <w:b/>
          <w:bCs/>
          <w:sz w:val="32"/>
          <w:highlight w:val="none"/>
        </w:rPr>
        <w:t xml:space="preserve">次更正稿） </w:t>
      </w:r>
      <w:r/>
    </w:p>
    <w:p>
      <w:pPr>
        <w:jc w:val="left"/>
        <w:spacing w:line="360" w:lineRule="auto"/>
        <w:rPr>
          <w:rFonts w:hint="eastAsia" w:ascii="宋体" w:hAnsi="宋体"/>
          <w:color w:val="000000"/>
          <w:sz w:val="24"/>
          <w:szCs w:val="24"/>
        </w:rPr>
      </w:pPr>
      <w:r>
        <w:rPr>
          <w:rFonts w:hint="eastAsia"/>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pStyle w:val="992"/>
        <w:ind w:firstLine="0"/>
        <w:jc w:val="center"/>
        <w:rPr>
          <w:rFonts w:hint="eastAsia"/>
          <w:b/>
          <w:bCs/>
          <w:sz w:val="32"/>
        </w:rPr>
      </w:pPr>
      <w:r>
        <w:rPr>
          <w:rFonts w:hint="eastAsia"/>
          <w:b/>
          <w:bCs/>
          <w:sz w:val="32"/>
        </w:rPr>
        <w:t xml:space="preserve">2025年</w:t>
      </w:r>
      <w:r>
        <w:rPr>
          <w:rFonts w:hint="eastAsia"/>
          <w:b/>
          <w:bCs/>
          <w:sz w:val="32"/>
          <w:lang w:val="en-US" w:eastAsia="zh-CN"/>
        </w:rPr>
        <w:t xml:space="preserve">9</w:t>
      </w:r>
      <w:r>
        <w:rPr>
          <w:rFonts w:hint="eastAsia"/>
          <w:b/>
          <w:bCs/>
          <w:sz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…………………………………16</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…………………………………32</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……………………38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……………………………43</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受南京医科大学的委托，江苏省政府采购中心就南京医科大学电梯采购项目(JSZC-320000-SCZX-G2025-0206)项目进行公开招标采购，欢迎符合条件的供应商投标。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南京医科大学电梯采购项目</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2025年</w:t>
      </w:r>
      <w:r>
        <w:rPr>
          <w:rFonts w:hint="eastAsia" w:ascii="宋体" w:hAnsi="宋体"/>
          <w:color w:val="000000"/>
          <w:sz w:val="24"/>
          <w:szCs w:val="24"/>
          <w:u w:val="single"/>
          <w:lang w:val="en-US" w:eastAsia="zh-CN"/>
        </w:rPr>
        <w:t xml:space="preserve">10</w:t>
      </w:r>
      <w:r>
        <w:rPr>
          <w:rFonts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16</w:t>
      </w:r>
      <w:r>
        <w:rPr>
          <w:rFonts w:ascii="宋体" w:hAnsi="宋体"/>
          <w:color w:val="000000"/>
          <w:sz w:val="24"/>
          <w:szCs w:val="24"/>
          <w:u w:val="single"/>
        </w:rPr>
        <w:t xml:space="preserve">日9点30分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1.项目编号：JSZC-320000-SCZX-G2025-0206</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南京医科大学电梯采购项目</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3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247</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73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210</w:t>
            </w:r>
            <w:r/>
          </w:p>
        </w:tc>
      </w:tr>
    </w:tbl>
    <w:p>
      <w:pPr>
        <w:ind w:firstLine="480"/>
        <w:spacing w:line="400" w:lineRule="exact"/>
        <w:rPr>
          <w:rFonts w:ascii="宋体" w:hAnsi="宋体"/>
          <w:color w:val="000000"/>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本项目拟对南京医科大学江宁校区、五台校区两个校区部分电梯进行更换，其中江宁校区5台（药学院2台、逸夫楼1台、博学楼1台、学生食堂1台）、五台校区4台（研究生公寓4台）。现需报废更换两个校区9台电梯。</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sz w:val="24"/>
          <w:szCs w:val="24"/>
          <w:u w:val="single"/>
        </w:rPr>
      </w:pPr>
      <w:r/>
      <w:bookmarkStart w:id="12" w:name="_Toc28359080"/>
      <w:r/>
      <w:bookmarkStart w:id="13" w:name="_Toc28359003"/>
      <w:r/>
      <w:bookmarkStart w:id="14" w:name="_Toc35393791"/>
      <w:r/>
      <w:bookmarkStart w:id="15" w:name="_Toc38985264"/>
      <w:r/>
      <w:bookmarkStart w:id="16" w:name="_Toc35393622"/>
      <w:r>
        <w:rPr>
          <w:rFonts w:hint="eastAsia" w:ascii="宋体" w:hAnsi="宋体"/>
          <w:sz w:val="24"/>
          <w:szCs w:val="24"/>
        </w:rPr>
        <w:t xml:space="preserve">6.合同履行期限：合同签订后分两批次交货，第一批次</w:t>
      </w:r>
      <w:r>
        <w:rPr>
          <w:rFonts w:hint="eastAsia" w:ascii="宋体" w:hAnsi="宋体"/>
          <w:sz w:val="24"/>
          <w:szCs w:val="24"/>
          <w:lang w:val="en-US" w:eastAsia="zh-CN"/>
        </w:rPr>
        <w:t xml:space="preserve">75</w:t>
      </w:r>
      <w:r>
        <w:rPr>
          <w:rFonts w:hint="eastAsia" w:ascii="宋体" w:hAnsi="宋体"/>
          <w:sz w:val="24"/>
          <w:szCs w:val="24"/>
        </w:rPr>
        <w:t xml:space="preserve">天内完工，第二批次</w:t>
      </w:r>
      <w:r>
        <w:rPr>
          <w:rFonts w:hint="eastAsia" w:ascii="宋体" w:hAnsi="宋体"/>
          <w:sz w:val="24"/>
          <w:szCs w:val="24"/>
          <w:lang w:val="en-US" w:eastAsia="zh-CN"/>
        </w:rPr>
        <w:t xml:space="preserve">90</w:t>
      </w:r>
      <w:r>
        <w:rPr>
          <w:rFonts w:hint="eastAsia" w:ascii="宋体" w:hAnsi="宋体"/>
          <w:sz w:val="24"/>
          <w:szCs w:val="24"/>
        </w:rPr>
        <w:t xml:space="preserve">天内完成，总工期不超过90天；质保期不少于</w:t>
      </w:r>
      <w:r>
        <w:rPr>
          <w:rFonts w:hint="eastAsia" w:ascii="宋体" w:hAnsi="宋体"/>
          <w:sz w:val="24"/>
          <w:szCs w:val="24"/>
          <w:u w:val="single"/>
        </w:rPr>
        <w:t xml:space="preserve">2</w:t>
      </w:r>
      <w:r>
        <w:rPr>
          <w:rFonts w:hint="eastAsia" w:ascii="宋体" w:hAnsi="宋体"/>
          <w:sz w:val="24"/>
          <w:szCs w:val="24"/>
        </w:rPr>
        <w:t xml:space="preserve">年、维保期不少于</w:t>
      </w:r>
      <w:r>
        <w:rPr>
          <w:rFonts w:hint="eastAsia" w:ascii="宋体" w:hAnsi="宋体"/>
          <w:sz w:val="24"/>
          <w:szCs w:val="24"/>
          <w:u w:val="single"/>
        </w:rPr>
        <w:t xml:space="preserve">2</w:t>
      </w:r>
      <w:r>
        <w:rPr>
          <w:rFonts w:hint="eastAsia" w:ascii="宋体" w:hAnsi="宋体"/>
          <w:sz w:val="24"/>
          <w:szCs w:val="24"/>
        </w:rPr>
        <w:t xml:space="preserve">年。</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35393792"/>
      <w:r/>
      <w:bookmarkStart w:id="18" w:name="_Toc38985265"/>
      <w:r/>
      <w:bookmarkStart w:id="19" w:name="_Toc28359081"/>
      <w:r/>
      <w:bookmarkStart w:id="20" w:name="_Toc28359004"/>
      <w:r/>
      <w:bookmarkStart w:id="21"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lang w:val="en-US" w:eastAsia="zh-CN"/>
        </w:rPr>
        <w:t xml:space="preserve">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4.本项目不接受联合体投标。</w:t>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ind w:firstLine="480"/>
        <w:spacing w:line="400" w:lineRule="exact"/>
        <w:rPr>
          <w:rFonts w:hint="eastAsia" w:ascii="宋体" w:hAnsi="宋体"/>
          <w:sz w:val="24"/>
          <w:szCs w:val="24"/>
        </w:rPr>
      </w:pPr>
      <w:r>
        <w:rPr>
          <w:rFonts w:hint="eastAsia" w:ascii="宋体" w:hAnsi="宋体"/>
          <w:sz w:val="24"/>
          <w:szCs w:val="24"/>
        </w:rPr>
        <w:t xml:space="preserve">1.投标人所投品牌制造商须具有《中华人民共和国特种设备(电梯)制造许可证》或《中华人民共和国特种设备生产许可证》许可项目电梯制造(含安装、修理、改造)。须上传证书扫描件至投标系统。</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82"/>
      <w:r/>
      <w:bookmarkStart w:id="23" w:name="_Toc28359005"/>
      <w:r/>
      <w:bookmarkStart w:id="24" w:name="_Toc35393793"/>
      <w:r/>
      <w:bookmarkStart w:id="25" w:name="_Toc38985266"/>
      <w:r/>
      <w:bookmarkStart w:id="26" w:name="_Toc35393624"/>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ascii="宋体" w:hAnsi="宋体"/>
          <w:color w:val="000000"/>
          <w:sz w:val="24"/>
          <w:szCs w:val="24"/>
          <w:u w:val="single"/>
        </w:rPr>
        <w:t xml:space="preserve">2025年</w:t>
      </w:r>
      <w:r>
        <w:rPr>
          <w:rFonts w:hint="eastAsia" w:ascii="宋体" w:hAnsi="宋体"/>
          <w:color w:val="000000"/>
          <w:sz w:val="24"/>
          <w:szCs w:val="24"/>
          <w:u w:val="single"/>
          <w:lang w:val="en-US" w:eastAsia="zh-CN"/>
        </w:rPr>
        <w:t xml:space="preserve">10</w:t>
      </w:r>
      <w:r>
        <w:rPr>
          <w:rFonts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16</w:t>
      </w:r>
      <w:r>
        <w:rPr>
          <w:rFonts w:ascii="宋体" w:hAnsi="宋体"/>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35393794"/>
      <w:r/>
      <w:bookmarkStart w:id="28" w:name="_Toc35393625"/>
      <w:r/>
      <w:bookmarkStart w:id="29" w:name="_Toc28359084"/>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b/>
          <w:bCs/>
          <w:color w:val="000000"/>
          <w:sz w:val="32"/>
          <w:szCs w:val="32"/>
        </w:rPr>
        <w:outlineLvl w:val="2"/>
      </w:pPr>
      <w:r/>
      <w:bookmarkStart w:id="32" w:name="_Toc35393795"/>
      <w:r/>
      <w:bookmarkStart w:id="33" w:name="_Toc38985268"/>
      <w:r/>
      <w:bookmarkStart w:id="34" w:name="_Toc35393626"/>
      <w:r>
        <w:rPr>
          <w:rFonts w:hint="eastAsia"/>
          <w:b/>
          <w:bCs/>
          <w:color w:val="000000"/>
          <w:sz w:val="32"/>
          <w:szCs w:val="32"/>
        </w:rPr>
        <w:t xml:space="preserve">六、其他补充事宜</w:t>
      </w:r>
      <w:bookmarkEnd w:id="32"/>
      <w:r/>
      <w:bookmarkEnd w:id="33"/>
      <w:r/>
      <w:bookmarkEnd w:id="34"/>
      <w:r/>
      <w:r/>
    </w:p>
    <w:p>
      <w:pPr>
        <w:ind w:firstLine="480"/>
        <w:spacing w:line="400" w:lineRule="exact"/>
        <w:rPr>
          <w:rFonts w:hint="eastAsia" w:ascii="宋体" w:hAnsi="宋体" w:cs="宋体"/>
          <w:color w:val="000000"/>
          <w:sz w:val="24"/>
          <w:szCs w:val="24"/>
        </w:rPr>
      </w:pPr>
      <w:r/>
      <w:bookmarkStart w:id="35" w:name="_Toc38985269"/>
      <w:r/>
      <w:bookmarkStart w:id="36" w:name="_Toc35393627"/>
      <w:r/>
      <w:bookmarkStart w:id="37" w:name="_Toc35393796"/>
      <w:r/>
      <w:bookmarkStart w:id="38" w:name="_Toc28359008"/>
      <w:r/>
      <w:bookmarkStart w:id="39" w:name="_Toc28359085"/>
      <w:r>
        <w:rPr>
          <w:rFonts w:hint="eastAsia" w:ascii="宋体" w:hAnsi="宋体" w:cs="宋体"/>
          <w:color w:val="000000"/>
          <w:sz w:val="24"/>
          <w:szCs w:val="24"/>
        </w:rPr>
        <w:t xml:space="preserve">勘察现场：本项目由采购人统一组织现场集中勘察工作，各投标人提前自行联系采购人办理入校手续。</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勘查时间：2025年9月</w:t>
      </w:r>
      <w:r>
        <w:rPr>
          <w:rFonts w:hint="eastAsia" w:ascii="宋体" w:hAnsi="宋体" w:cs="宋体"/>
          <w:color w:val="000000"/>
          <w:sz w:val="24"/>
          <w:szCs w:val="24"/>
          <w:lang w:val="en-US" w:eastAsia="zh-CN"/>
        </w:rPr>
        <w:t xml:space="preserve">30</w:t>
      </w:r>
      <w:r>
        <w:rPr>
          <w:rFonts w:hint="eastAsia" w:ascii="宋体" w:hAnsi="宋体" w:cs="宋体"/>
          <w:color w:val="000000"/>
          <w:sz w:val="24"/>
          <w:szCs w:val="24"/>
        </w:rPr>
        <w:t xml:space="preserve">日 09:00至11:</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rPr>
        <w:t xml:space="preserve">0</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现场地点：南京市龙眠大道101号 南京医科大学</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联系人：陈老师；联系方式：025-86869249</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现场勘察时投标人代表请持本人身份证、携带企业法人营业执照复印件（加盖企业公章）、法人授权委托书（格式自拟），准时到达现场并签到。</w:t>
      </w:r>
      <w:r/>
    </w:p>
    <w:p>
      <w:pPr>
        <w:ind w:firstLine="496"/>
        <w:keepLines/>
        <w:keepNext/>
        <w:spacing w:before="156" w:after="156" w:line="400" w:lineRule="exact"/>
        <w:rPr>
          <w:rFonts w:hint="eastAsia" w:ascii="宋体" w:hAnsi="宋体" w:cs="宋体"/>
          <w:color w:val="000000"/>
          <w:sz w:val="24"/>
          <w:szCs w:val="24"/>
        </w:rPr>
        <w:outlineLvl w:val="2"/>
      </w:pPr>
      <w:r>
        <w:rPr>
          <w:rFonts w:hint="eastAsia" w:ascii="宋体" w:hAnsi="宋体" w:cs="宋体"/>
          <w:color w:val="000000"/>
          <w:sz w:val="24"/>
          <w:szCs w:val="24"/>
        </w:rPr>
      </w:r>
      <w:r>
        <w:rPr>
          <w:rFonts w:hint="eastAsia" w:ascii="宋体" w:hAnsi="宋体" w:cs="宋体"/>
          <w:color w:val="000000"/>
          <w:sz w:val="24"/>
          <w:szCs w:val="24"/>
        </w:rPr>
        <w:t xml:space="preserve">投标人务必对项目现场和周围环境进行仔细认真地踏勘，对现场资料和数据所作出的推论、解释和结论及由此造成的后果由投标人负责。未勘察现场或勘察工作不详细的供应商中标后，不得以不完全了解现场情况为理由而向采购人提出任何索赔或其他要求</w:t>
      </w:r>
      <w:r>
        <w:rPr>
          <w:rFonts w:hint="eastAsia" w:ascii="宋体" w:hAnsi="宋体" w:cs="宋体"/>
          <w:color w:val="000000"/>
          <w:sz w:val="24"/>
          <w:szCs w:val="24"/>
        </w:rPr>
        <w:t xml:space="preserve">。</w:t>
      </w:r>
      <w:r/>
    </w:p>
    <w:p>
      <w:pPr>
        <w:ind w:firstLine="496"/>
        <w:keepLines/>
        <w:keepNext/>
        <w:spacing w:before="156" w:after="156" w:line="400" w:lineRule="exact"/>
        <w:rPr>
          <w:b/>
          <w:bCs/>
          <w:color w:val="000000"/>
          <w:sz w:val="32"/>
          <w:szCs w:val="32"/>
        </w:rPr>
        <w:outlineLvl w:val="2"/>
      </w:pPr>
      <w:r>
        <w:rPr>
          <w:rFonts w:hint="eastAsia"/>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南京医科大学</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江苏省南京市江宁区龙眠大道101号</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陈老师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09"/>
      <w:r/>
      <w:bookmarkStart w:id="41" w:name="_Toc28359086"/>
      <w:r>
        <w:rPr>
          <w:rFonts w:hint="eastAsia" w:ascii="宋体" w:hAnsi="宋体"/>
          <w:color w:val="000000"/>
          <w:sz w:val="24"/>
          <w:szCs w:val="24"/>
          <w:u w:val="single"/>
        </w:rPr>
        <w:t xml:space="preserve">025-86869249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025-83668550、83668519</w:t>
      </w:r>
      <w:bookmarkEnd w:id="42"/>
      <w:r/>
      <w:bookmarkEnd w:id="43"/>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fldChar w:fldCharType="begin"/>
      </w:r>
      <w:r>
        <w:rPr>
          <w:bCs/>
          <w:szCs w:val="21"/>
        </w:rPr>
        <w:instrText xml:space="preserve"> HYPERLINK "http://www.ccgp-jiangsu.gov.cn/jiangsu/zlxz/ee/ee3a4bc5a3454aa2b0d9312230633ce9.html" </w:instrText>
      </w:r>
      <w:r>
        <w:rPr>
          <w:bCs/>
          <w:szCs w:val="21"/>
        </w:rPr>
        <w:fldChar w:fldCharType="separate"/>
      </w:r>
      <w:r>
        <w:rPr>
          <w:rStyle w:val="977"/>
          <w:bCs/>
          <w:color w:val="000000"/>
          <w:szCs w:val="21"/>
        </w:rPr>
        <w:t xml:space="preserve">http://www.ccgp-jiangsu.gov.cn/jiangsu/zlxz/ee/ee3a4bc5a3454aa2b0d9312230633ce9.html</w:t>
      </w:r>
      <w:r>
        <w:rPr>
          <w:bCs/>
          <w:szCs w:val="21"/>
        </w:rPr>
        <w:fldChar w:fldCharType="end"/>
      </w:r>
      <w:r>
        <w:rPr>
          <w:bCs/>
          <w:szCs w:val="21"/>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color w:val="000000"/>
          <w:sz w:val="24"/>
          <w:szCs w:val="24"/>
        </w:rPr>
      </w:pPr>
      <w:r>
        <w:rPr>
          <w:rFonts w:ascii="宋体" w:hAnsi="宋体"/>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b/>
          <w:bCs/>
          <w:color w:val="000000"/>
          <w:sz w:val="32"/>
          <w:szCs w:val="32"/>
        </w:rPr>
        <w:outlineLvl w:val="2"/>
      </w:pPr>
      <w:r/>
      <w:bookmarkStart w:id="49" w:name="_Toc16938519"/>
      <w:r/>
      <w:bookmarkStart w:id="50" w:name="_Toc120614214"/>
      <w:r/>
      <w:bookmarkStart w:id="51" w:name="_Toc20823275"/>
      <w:r/>
      <w:bookmarkStart w:id="52" w:name="_Toc513029203"/>
      <w:r>
        <w:rPr>
          <w:rFonts w:hint="eastAsia"/>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16938521"/>
      <w:r/>
      <w:bookmarkStart w:id="59" w:name="_Toc513029205"/>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rPr>
        <w:outlineLvl w:val="3"/>
      </w:pPr>
      <w:r/>
      <w:bookmarkStart w:id="61" w:name="_Toc513029206"/>
      <w:r/>
      <w:bookmarkStart w:id="62" w:name="_Toc16938522"/>
      <w:r/>
      <w:bookmarkStart w:id="63" w:name="_Toc20823278"/>
      <w:r>
        <w:rPr>
          <w:rFonts w:hint="eastAsia" w:ascii="Arial" w:hAnsi="Arial" w:eastAsia="黑体" w:cs="Arial"/>
          <w:color w:val="000000"/>
          <w:sz w:val="28"/>
          <w:szCs w:val="28"/>
        </w:rPr>
        <w:t xml:space="preserve">3、适用法律</w:t>
      </w:r>
      <w:bookmarkEnd w:id="61"/>
      <w:r/>
      <w:bookmarkEnd w:id="62"/>
      <w:r/>
      <w:bookmarkEnd w:id="63"/>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462564067"/>
      <w:r/>
      <w:bookmarkStart w:id="66" w:name="_Toc16938523"/>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b/>
          <w:bCs/>
          <w:color w:val="000000"/>
          <w:sz w:val="32"/>
          <w:szCs w:val="32"/>
        </w:rPr>
        <w:outlineLvl w:val="2"/>
      </w:pPr>
      <w:r/>
      <w:bookmarkStart w:id="68" w:name="_Toc513029209"/>
      <w:r/>
      <w:bookmarkStart w:id="69" w:name="_Toc16938525"/>
      <w:r/>
      <w:bookmarkStart w:id="70" w:name="_Toc120614215"/>
      <w:r/>
      <w:bookmarkStart w:id="71" w:name="_Toc20823281"/>
      <w:r>
        <w:rPr>
          <w:rFonts w:hint="eastAsia"/>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hint="eastAsia" w:ascii="Arial" w:hAnsi="Arial" w:eastAsia="黑体" w:cs="Arial"/>
          <w:color w:val="000000"/>
          <w:sz w:val="28"/>
          <w:szCs w:val="28"/>
        </w:rPr>
        <w:outlineLvl w:val="3"/>
      </w:pPr>
      <w:r/>
      <w:bookmarkStart w:id="72" w:name="_Toc513029210"/>
      <w:r/>
      <w:bookmarkStart w:id="73" w:name="_Toc16938526"/>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5" w:name="_Toc20823284"/>
      <w:r/>
      <w:bookmarkStart w:id="76" w:name="_Toc16938528"/>
      <w:r/>
      <w:bookmarkStart w:id="77" w:name="_Toc462564071"/>
      <w:r/>
      <w:bookmarkStart w:id="78"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b/>
          <w:bCs/>
          <w:color w:val="000000"/>
          <w:sz w:val="32"/>
          <w:szCs w:val="32"/>
        </w:rPr>
        <w:outlineLvl w:val="2"/>
      </w:pPr>
      <w:r/>
      <w:bookmarkStart w:id="79" w:name="_Toc513029213"/>
      <w:r/>
      <w:bookmarkStart w:id="80" w:name="_Toc120614216"/>
      <w:r/>
      <w:bookmarkStart w:id="81" w:name="_Toc20823285"/>
      <w:r/>
      <w:bookmarkStart w:id="82" w:name="_Toc16938529"/>
      <w:r/>
      <w:bookmarkStart w:id="83" w:name="_Toc462564072"/>
      <w:r>
        <w:rPr>
          <w:rFonts w:hint="eastAsia"/>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hint="eastAsia" w:ascii="Arial" w:hAnsi="Arial" w:eastAsia="黑体" w:cs="Arial"/>
          <w:b/>
          <w:color w:val="000000"/>
          <w:sz w:val="28"/>
          <w:szCs w:val="28"/>
        </w:rPr>
        <w:outlineLvl w:val="3"/>
      </w:pPr>
      <w:r/>
      <w:bookmarkStart w:id="84" w:name="_Toc20823286"/>
      <w:r/>
      <w:bookmarkStart w:id="85" w:name="_Toc16938530"/>
      <w:r/>
      <w:bookmarkStart w:id="86" w:name="_Toc513029214"/>
      <w:r/>
      <w:bookmarkStart w:id="87"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8" w:name="_Toc513029215"/>
      <w:r/>
      <w:bookmarkStart w:id="89" w:name="_Toc20823287"/>
      <w:r/>
      <w:bookmarkStart w:id="90" w:name="_Toc16938531"/>
      <w:r/>
      <w:bookmarkStart w:id="9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49090507"/>
      <w:r/>
      <w:bookmarkStart w:id="96" w:name="_Toc513029219"/>
      <w:r/>
      <w:bookmarkStart w:id="97" w:name="_Toc513029216"/>
      <w:r/>
      <w:bookmarkStart w:id="98" w:name="_Toc14577357"/>
      <w:r/>
      <w:bookmarkStart w:id="99" w:name="_Toc49090509"/>
      <w:r/>
      <w:bookmarkStart w:id="100" w:name="_Toc14577354"/>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5" w:name="_Hlt26954848"/>
      <w:r/>
      <w:bookmarkEnd w:id="105"/>
      <w:r/>
      <w:bookmarkStart w:id="106" w:name="_Hlt26954731"/>
      <w:r/>
      <w:bookmarkEnd w:id="106"/>
      <w:r/>
      <w:bookmarkStart w:id="107" w:name="_Hlt26670486"/>
      <w:r/>
      <w:bookmarkEnd w:id="107"/>
      <w:r/>
      <w:bookmarkStart w:id="108" w:name="_Hlt26670482"/>
      <w:r/>
      <w:bookmarkEnd w:id="108"/>
      <w:r/>
      <w:bookmarkStart w:id="109" w:name="_Hlt26954846"/>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400" w:lineRule="exact"/>
        <w:rPr>
          <w:rFonts w:hint="eastAsia" w:ascii="Arial" w:hAnsi="Arial" w:eastAsia="黑体" w:cs="Arial"/>
          <w:color w:val="000000"/>
          <w:sz w:val="28"/>
          <w:szCs w:val="28"/>
        </w:rPr>
        <w:outlineLvl w:val="3"/>
      </w:pPr>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b/>
          <w:bCs/>
          <w:color w:val="000000"/>
          <w:sz w:val="32"/>
          <w:szCs w:val="32"/>
        </w:rPr>
        <w:outlineLvl w:val="2"/>
      </w:pPr>
      <w:r/>
      <w:bookmarkStart w:id="114" w:name="_Hlt26954739"/>
      <w:r/>
      <w:bookmarkEnd w:id="114"/>
      <w:r/>
      <w:bookmarkStart w:id="115" w:name="_Hlt26954852"/>
      <w:r/>
      <w:bookmarkEnd w:id="115"/>
      <w:r/>
      <w:bookmarkStart w:id="116" w:name="_Toc513029224"/>
      <w:r/>
      <w:bookmarkStart w:id="117" w:name="_Toc20823296"/>
      <w:r/>
      <w:bookmarkStart w:id="118" w:name="_Toc120614217"/>
      <w:r/>
      <w:bookmarkStart w:id="119" w:name="_Toc16938540"/>
      <w:r>
        <w:rPr>
          <w:rFonts w:hint="eastAsia"/>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hint="eastAsia" w:ascii="黑体" w:hAnsi="Arial" w:eastAsia="黑体" w:cs="Arial"/>
          <w:color w:val="000000"/>
          <w:sz w:val="28"/>
          <w:szCs w:val="28"/>
        </w:rPr>
        <w:outlineLvl w:val="3"/>
      </w:pPr>
      <w:r/>
      <w:bookmarkStart w:id="120" w:name="_Toc513029225"/>
      <w:r/>
      <w:bookmarkStart w:id="121" w:name="_Toc16938541"/>
      <w:r/>
      <w:bookmarkStart w:id="122" w:name="_Toc20823297"/>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513029226"/>
      <w:r/>
      <w:bookmarkStart w:id="126" w:name="_Toc20823298"/>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0" w:name="_Toc16938544"/>
      <w:r/>
      <w:bookmarkStart w:id="131" w:name="_Toc20823300"/>
      <w:r/>
      <w:bookmarkStart w:id="132"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b/>
          <w:bCs/>
          <w:color w:val="000000"/>
          <w:sz w:val="32"/>
          <w:szCs w:val="32"/>
        </w:rPr>
        <w:outlineLvl w:val="2"/>
      </w:pPr>
      <w:r/>
      <w:bookmarkStart w:id="133" w:name="_Toc20823301"/>
      <w:r/>
      <w:bookmarkStart w:id="134" w:name="_Toc120614218"/>
      <w:r/>
      <w:bookmarkStart w:id="135" w:name="_Toc16938545"/>
      <w:r/>
      <w:bookmarkStart w:id="136" w:name="_Toc513029229"/>
      <w:r>
        <w:rPr>
          <w:rFonts w:hint="eastAsia"/>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hint="eastAsia" w:ascii="Arial" w:hAnsi="Arial" w:eastAsia="黑体" w:cs="Arial"/>
          <w:color w:val="000000"/>
          <w:sz w:val="28"/>
          <w:szCs w:val="28"/>
        </w:rPr>
        <w:outlineLvl w:val="3"/>
      </w:pPr>
      <w:r/>
      <w:bookmarkStart w:id="137" w:name="_Toc513029230"/>
      <w:r/>
      <w:bookmarkStart w:id="138" w:name="_Toc20823302"/>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0" w:name="_Toc16938547"/>
      <w:r/>
      <w:bookmarkStart w:id="141" w:name="_Toc513029231"/>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3" w:name="_Toc513029232"/>
      <w:r/>
      <w:bookmarkStart w:id="144" w:name="_Toc16938548"/>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513029233"/>
      <w:r/>
      <w:bookmarkStart w:id="147" w:name="_Toc16938549"/>
      <w:r/>
      <w:bookmarkStart w:id="148"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513029234"/>
      <w:r/>
      <w:bookmarkStart w:id="150" w:name="_Toc16938550"/>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w:t>
      </w:r>
      <w:r>
        <w:rPr>
          <w:rFonts w:hint="eastAsia" w:ascii="宋体" w:hAnsi="宋体"/>
          <w:bCs/>
          <w:sz w:val="24"/>
          <w:szCs w:val="21"/>
        </w:rPr>
        <w:t xml:space="preserve">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w:t>
      </w:r>
      <w:r>
        <w:rPr>
          <w:rFonts w:hint="eastAsia" w:ascii="宋体" w:hAnsi="宋体"/>
          <w:bCs/>
          <w:color w:val="000000"/>
          <w:sz w:val="24"/>
          <w:szCs w:val="21"/>
        </w:rPr>
        <w:t xml:space="preserve">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如本项目采购产品被财政部、国家发改委、生态环境部等列入“节能产品品目清单”、“环境标志产品品目清单”强制采购范围，而投标人所投标产品不在强</w:t>
      </w:r>
      <w:r>
        <w:rPr>
          <w:rFonts w:hint="eastAsia" w:ascii="宋体" w:hAnsi="宋体"/>
          <w:bCs/>
          <w:color w:val="000000"/>
          <w:sz w:val="24"/>
          <w:szCs w:val="21"/>
        </w:rPr>
        <w:t xml:space="preserve">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b/>
          <w:bCs/>
          <w:color w:val="000000"/>
          <w:sz w:val="32"/>
          <w:szCs w:val="32"/>
        </w:rPr>
        <w:outlineLvl w:val="2"/>
      </w:pPr>
      <w:r/>
      <w:bookmarkStart w:id="160" w:name="_Toc120614220"/>
      <w:r/>
      <w:bookmarkStart w:id="161" w:name="_Toc513029236"/>
      <w:r/>
      <w:bookmarkStart w:id="162" w:name="_Toc20823308"/>
      <w:r/>
      <w:bookmarkStart w:id="163" w:name="_Toc16938552"/>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hint="eastAsia" w:ascii="黑体" w:hAnsi="宋体" w:eastAsia="黑体"/>
          <w:bCs/>
          <w:color w:val="000000"/>
          <w:sz w:val="30"/>
          <w:szCs w:val="30"/>
        </w:rPr>
        <w:outlineLvl w:val="3"/>
      </w:pPr>
      <w:r/>
      <w:bookmarkStart w:id="164" w:name="_Toc16938553"/>
      <w:r/>
      <w:bookmarkStart w:id="165" w:name="_Toc513029237"/>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bookmarkStart w:id="167" w:name="_Toc120614221"/>
      <w:r/>
      <w:bookmarkStart w:id="168" w:name="_Toc20823314"/>
      <w:r/>
      <w:bookmarkStart w:id="169" w:name="_Toc16938558"/>
      <w:r/>
      <w:bookmarkStart w:id="170" w:name="_Toc479757207"/>
      <w:r/>
      <w:bookmarkStart w:id="171" w:name="_Toc513029242"/>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2" w:name="_Toc20823315"/>
      <w:r/>
      <w:bookmarkEnd w:id="172"/>
      <w:r/>
      <w:bookmarkStart w:id="173" w:name="_Toc3995"/>
      <w:r/>
      <w:bookmarkEnd w:id="173"/>
      <w:r/>
      <w:bookmarkStart w:id="174" w:name="_Toc16938559"/>
      <w:r/>
      <w:bookmarkEnd w:id="174"/>
      <w:r/>
      <w:bookmarkStart w:id="175" w:name="_Toc513029243"/>
      <w:r/>
      <w:bookmarkEnd w:id="175"/>
      <w:r/>
      <w:bookmarkStart w:id="176" w:name="_Hlt16619350"/>
      <w:r/>
      <w:bookmarkStart w:id="177" w:name="_Toc16938590"/>
      <w:r/>
      <w:bookmarkStart w:id="178" w:name="_Toc20823346"/>
      <w:r/>
      <w:bookmarkStart w:id="179" w:name="_Toc120614244"/>
      <w:r/>
      <w:bookmarkStart w:id="180" w:name="_Toc462564139"/>
      <w:r/>
      <w:bookmarkStart w:id="181" w:name="_Toc479757211"/>
      <w:r/>
      <w:r/>
    </w:p>
    <w:p>
      <w:pPr>
        <w:pStyle w:val="9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5"/>
        <w:spacing w:line="400" w:lineRule="exact"/>
        <w:rPr>
          <w:rFonts w:ascii="黑体" w:hAnsi="黑体" w:eastAsia="黑体"/>
          <w:sz w:val="28"/>
          <w:szCs w:val="28"/>
        </w:rPr>
      </w:pPr>
      <w:r>
        <w:rPr>
          <w:rFonts w:ascii="黑体" w:hAnsi="黑体" w:eastAsia="黑体"/>
          <w:sz w:val="28"/>
          <w:szCs w:val="28"/>
        </w:rPr>
      </w:r>
      <w:r/>
    </w:p>
    <w:p>
      <w:pPr>
        <w:pStyle w:val="90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0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3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szCs w:val="21"/>
        </w:rPr>
      </w:pPr>
      <w:r>
        <w:rPr>
          <w:rFonts w:hint="eastAsia" w:ascii="宋体" w:hAnsi="宋体"/>
          <w:b/>
          <w:szCs w:val="21"/>
        </w:rPr>
        <w:t xml:space="preserve">项目信息</w:t>
      </w:r>
      <w:r/>
    </w:p>
    <w:p>
      <w:pPr>
        <w:pStyle w:val="93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3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3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1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18"/>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8"/>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8"/>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8"/>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8"/>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8"/>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8"/>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8"/>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18"/>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18"/>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18"/>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6"/>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pStyle w:val="1018"/>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18"/>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18"/>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18"/>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905"/>
        <w:spacing w:line="400" w:lineRule="exact"/>
        <w:rPr>
          <w:rFonts w:ascii="宋体" w:hAnsi="宋体"/>
          <w:b w:val="0"/>
          <w:bCs w:val="0"/>
          <w:sz w:val="21"/>
          <w:szCs w:val="21"/>
        </w:rPr>
      </w:pPr>
      <w:r>
        <w:rPr>
          <w:lang w:val="en"/>
        </w:rPr>
        <w:t xml:space="preserve">   </w:t>
      </w:r>
      <w:r/>
    </w:p>
    <w:p>
      <w:pPr>
        <w:pStyle w:val="986"/>
        <w:rPr>
          <w:lang w:eastAsia="zh-CN"/>
        </w:rPr>
      </w:pPr>
      <w:r>
        <w:rPr>
          <w:lang w:eastAsia="zh-CN"/>
        </w:rPr>
      </w:r>
      <w:r/>
    </w:p>
    <w:tbl>
      <w:tblPr>
        <w:tblStyle w:val="733"/>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93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0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18"/>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4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spacing w:line="400" w:lineRule="exact"/>
        <w:rPr>
          <w:rFonts w:hint="eastAsia"/>
        </w:rPr>
      </w:pPr>
      <w:r>
        <w:rPr>
          <w:rFonts w:hint="eastAsia" w:ascii="宋体" w:hAnsi="宋体"/>
          <w:szCs w:val="21"/>
        </w:rPr>
        <w:t xml:space="preserve">13.1 </w:t>
      </w:r>
      <w:r>
        <w:rPr>
          <w:rFonts w:hint="eastAsia" w:ascii="宋体" w:hAnsi="宋体" w:cs="宋体"/>
          <w:szCs w:val="15"/>
        </w:rPr>
        <w:t xml:space="preserve">本项不收取履约保证金。</w:t>
      </w:r>
      <w:r>
        <w:rPr>
          <w:rFonts w:hint="eastAsia" w:ascii="宋体" w:hAnsi="宋体"/>
          <w:szCs w:val="21"/>
        </w:rPr>
        <w:t xml:space="preserve">        </w:t>
      </w:r>
      <w:r>
        <w:rPr>
          <w:rFonts w:hint="eastAsia" w:ascii="宋体" w:hAnsi="宋体" w:cs="宋体"/>
          <w:szCs w:val="15"/>
        </w:rPr>
        <w:t xml:space="preserve"> </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8"/>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1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1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1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1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905"/>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733"/>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不接受联合体。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30天内。</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Pr>
                <w:rFonts w:hint="eastAsia"/>
              </w:rPr>
              <w:t xml:space="preserve">无。</w:t>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Pr>
                <w:rFonts w:hint="eastAsia" w:ascii="宋体" w:hAnsi="宋体" w:cs="宋体"/>
                <w:bCs/>
                <w:szCs w:val="21"/>
              </w:rPr>
              <w:t xml:space="preserve">甲方指定地点，由乙方负责办理运输和装卸等，费用由乙方负责，甲方组织验收，检验不合格或不符合质量要求，供应商除无条件退货、返工外，还应承担甲方由此造成的一切损失。</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Pr>
                <w:rFonts w:hint="eastAsia"/>
              </w:rPr>
              <w:t xml:space="preserve">无。</w:t>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Pr>
                <w:rFonts w:hint="eastAsia"/>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szCs w:val="21"/>
                <w:u w:val="single"/>
              </w:rPr>
              <w:t xml:space="preserve">24</w:t>
            </w:r>
            <w:r>
              <w:rPr>
                <w:rFonts w:hint="eastAsia" w:ascii="宋体" w:hAnsi="宋体"/>
                <w:szCs w:val="21"/>
              </w:rPr>
              <w:t xml:space="preserve">个月。</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30分钟。</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18"/>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szCs w:val="21"/>
                <w:u w:val="single"/>
              </w:rPr>
              <w:t xml:space="preserve">    </w:t>
            </w:r>
            <w:r>
              <w:rPr>
                <w:rFonts w:hint="eastAsia" w:ascii="宋体" w:hAnsi="宋体"/>
                <w:szCs w:val="21"/>
              </w:rPr>
              <w:t xml:space="preserve">个月。</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24个月的免费维保服务。</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rPr>
              <w:t xml:space="preserve">设备价的0.3%/台/天。</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rPr>
              <w:t xml:space="preserve">无。</w:t>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rPr>
              <w:t xml:space="preserve">无。</w:t>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2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南京市江宁区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南京市江宁区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南京市江宁区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无。</w:t>
            </w:r>
            <w:r/>
          </w:p>
        </w:tc>
      </w:tr>
    </w:tbl>
    <w:p>
      <w:pPr>
        <w:pStyle w:val="93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hint="eastAsia" w:ascii="宋体" w:hAnsi="宋体"/>
          <w:color w:val="000000"/>
          <w:sz w:val="24"/>
          <w:szCs w:val="24"/>
        </w:rPr>
      </w:pPr>
      <w:r/>
      <w:bookmarkStart w:id="182" w:name="_Toc49090575"/>
      <w:r/>
      <w:bookmarkStart w:id="183" w:name="_Toc26554093"/>
      <w:r>
        <w:rPr>
          <w:rFonts w:hint="eastAsia" w:ascii="宋体" w:hAnsi="宋体"/>
          <w:color w:val="000000"/>
          <w:sz w:val="24"/>
          <w:szCs w:val="24"/>
        </w:rPr>
        <w:t xml:space="preserve">项目属性:货物类项目。</w:t>
      </w:r>
      <w:r/>
    </w:p>
    <w:p>
      <w:pPr>
        <w:spacing w:line="0" w:lineRule="atLeast"/>
        <w:rPr>
          <w:rFonts w:ascii="宋体" w:hAnsi="宋体"/>
          <w:sz w:val="24"/>
          <w:szCs w:val="24"/>
        </w:rPr>
      </w:pPr>
      <w:r>
        <w:rPr>
          <w:rFonts w:hint="eastAsia" w:ascii="宋体" w:hAnsi="宋体"/>
          <w:sz w:val="24"/>
          <w:szCs w:val="24"/>
        </w:rPr>
        <w:t xml:space="preserve">核心产品</w:t>
      </w:r>
      <w:r/>
    </w:p>
    <w:tbl>
      <w:tblPr>
        <w:tblStyle w:val="73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szCs w:val="21"/>
              </w:rPr>
            </w:pPr>
            <w:r>
              <w:rPr>
                <w:rFonts w:hint="eastAsia" w:ascii="宋体" w:hAnsi="宋体" w:cs="宋体"/>
                <w:sz w:val="24"/>
                <w:szCs w:val="24"/>
              </w:rPr>
              <w:t xml:space="preserve">DT7、DT8、DT9有机房客梯</w:t>
            </w:r>
            <w:r/>
          </w:p>
        </w:tc>
      </w:tr>
    </w:tbl>
    <w:p>
      <w:pPr>
        <w:spacing w:line="0" w:lineRule="atLeast"/>
        <w:rPr>
          <w:rFonts w:ascii="宋体" w:hAnsi="宋体"/>
          <w:sz w:val="24"/>
          <w:szCs w:val="24"/>
        </w:rPr>
      </w:pP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73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top"/>
            <w:textDirection w:val="lrTb"/>
            <w:noWrap w:val="false"/>
          </w:tcPr>
          <w:p>
            <w:pPr>
              <w:jc w:val="center"/>
              <w:rPr>
                <w:rFonts w:hint="eastAsia" w:ascii="宋体" w:hAnsi="宋体"/>
                <w:szCs w:val="21"/>
              </w:rPr>
            </w:pPr>
            <w:r>
              <w:rPr>
                <w:rFonts w:hint="eastAsia" w:ascii="宋体" w:hAnsi="宋体"/>
                <w:szCs w:val="21"/>
              </w:rPr>
              <w:t xml:space="preserve">否</w:t>
            </w:r>
            <w:r/>
          </w:p>
        </w:tc>
      </w:tr>
    </w:tbl>
    <w:p>
      <w:pPr>
        <w:spacing w:line="0" w:lineRule="atLeast"/>
        <w:rPr>
          <w:rFonts w:ascii="宋体" w:hAnsi="宋体"/>
          <w:bCs/>
          <w:color w:val="000000"/>
          <w:sz w:val="24"/>
          <w:szCs w:val="24"/>
        </w:rPr>
      </w:pPr>
      <w:r>
        <w:rPr>
          <w:rFonts w:hint="eastAsia" w:ascii="宋体" w:hAnsi="宋体"/>
          <w:bCs/>
          <w:color w:val="000000"/>
          <w:sz w:val="24"/>
          <w:szCs w:val="24"/>
        </w:rPr>
        <w:t xml:space="preserve">采购</w:t>
      </w:r>
      <w:r>
        <w:rPr>
          <w:rFonts w:ascii="宋体" w:hAnsi="宋体"/>
          <w:bCs/>
          <w:color w:val="000000"/>
          <w:sz w:val="24"/>
          <w:szCs w:val="24"/>
        </w:rPr>
        <w:t xml:space="preserve">标的清单</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center"/>
            <w:textDirection w:val="lrTb"/>
            <w:noWrap w:val="false"/>
          </w:tcPr>
          <w:p>
            <w:pPr>
              <w:spacing w:line="276" w:lineRule="auto"/>
              <w:rPr>
                <w:rFonts w:ascii="宋体" w:hAnsi="宋体"/>
                <w:sz w:val="24"/>
                <w:szCs w:val="24"/>
              </w:rPr>
            </w:pPr>
            <w:r>
              <w:rPr>
                <w:rFonts w:hint="eastAsia" w:ascii="宋体" w:hAnsi="宋体" w:cs="宋体"/>
                <w:sz w:val="24"/>
                <w:szCs w:val="24"/>
              </w:rPr>
              <w:t xml:space="preserve">DT1、DT2有机房客梯</w:t>
            </w:r>
            <w:r/>
          </w:p>
        </w:tc>
        <w:tc>
          <w:tcPr>
            <w:tcW w:w="285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35"/>
        </w:trPr>
        <w:tc>
          <w:tcPr>
            <w:tcW w:w="545" w:type="dxa"/>
            <w:vAlign w:val="top"/>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3291" w:type="dxa"/>
            <w:vAlign w:val="center"/>
            <w:textDirection w:val="lrTb"/>
            <w:noWrap w:val="false"/>
          </w:tcPr>
          <w:p>
            <w:pPr>
              <w:spacing w:line="276" w:lineRule="auto"/>
              <w:rPr>
                <w:rFonts w:ascii="宋体" w:hAnsi="宋体"/>
                <w:sz w:val="24"/>
                <w:szCs w:val="24"/>
              </w:rPr>
            </w:pPr>
            <w:r>
              <w:rPr>
                <w:rFonts w:hint="eastAsia" w:ascii="宋体" w:hAnsi="宋体" w:cs="宋体"/>
                <w:sz w:val="24"/>
                <w:szCs w:val="24"/>
              </w:rPr>
              <w:t xml:space="preserve">DT3无机房客梯</w:t>
            </w:r>
            <w:r/>
          </w:p>
        </w:tc>
        <w:tc>
          <w:tcPr>
            <w:tcW w:w="285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W w:w="545" w:type="dxa"/>
            <w:vAlign w:val="top"/>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3291" w:type="dxa"/>
            <w:vAlign w:val="center"/>
            <w:textDirection w:val="lrTb"/>
            <w:noWrap w:val="false"/>
          </w:tcPr>
          <w:p>
            <w:pPr>
              <w:spacing w:line="276" w:lineRule="auto"/>
              <w:rPr>
                <w:rFonts w:ascii="宋体" w:hAnsi="宋体"/>
                <w:sz w:val="24"/>
                <w:szCs w:val="24"/>
              </w:rPr>
            </w:pPr>
            <w:r>
              <w:rPr>
                <w:rFonts w:hint="eastAsia" w:ascii="宋体" w:hAnsi="宋体" w:cs="宋体"/>
                <w:sz w:val="24"/>
                <w:szCs w:val="24"/>
              </w:rPr>
              <w:t xml:space="preserve">DT4无机房客梯</w:t>
            </w:r>
            <w:r/>
          </w:p>
        </w:tc>
        <w:tc>
          <w:tcPr>
            <w:tcW w:w="285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W w:w="545" w:type="dxa"/>
            <w:vAlign w:val="top"/>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3291" w:type="dxa"/>
            <w:vAlign w:val="center"/>
            <w:textDirection w:val="lrTb"/>
            <w:noWrap w:val="false"/>
          </w:tcPr>
          <w:p>
            <w:pPr>
              <w:spacing w:line="276" w:lineRule="auto"/>
              <w:rPr>
                <w:rFonts w:ascii="宋体" w:hAnsi="宋体"/>
                <w:sz w:val="24"/>
                <w:szCs w:val="24"/>
              </w:rPr>
            </w:pPr>
            <w:r>
              <w:rPr>
                <w:rFonts w:hint="eastAsia" w:ascii="宋体" w:hAnsi="宋体" w:cs="宋体"/>
                <w:sz w:val="24"/>
                <w:szCs w:val="24"/>
              </w:rPr>
              <w:t xml:space="preserve">DT5有机房客梯</w:t>
            </w:r>
            <w:r/>
          </w:p>
        </w:tc>
        <w:tc>
          <w:tcPr>
            <w:tcW w:w="285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W w:w="545" w:type="dxa"/>
            <w:vAlign w:val="top"/>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3291" w:type="dxa"/>
            <w:vAlign w:val="center"/>
            <w:textDirection w:val="lrTb"/>
            <w:noWrap w:val="false"/>
          </w:tcPr>
          <w:p>
            <w:pPr>
              <w:spacing w:line="276" w:lineRule="auto"/>
              <w:rPr>
                <w:rFonts w:ascii="宋体" w:hAnsi="宋体"/>
                <w:sz w:val="24"/>
                <w:szCs w:val="24"/>
              </w:rPr>
            </w:pPr>
            <w:r>
              <w:rPr>
                <w:rFonts w:hint="eastAsia" w:ascii="宋体" w:hAnsi="宋体" w:cs="宋体"/>
                <w:sz w:val="24"/>
                <w:szCs w:val="24"/>
              </w:rPr>
              <w:t xml:space="preserve">DT6有机房客梯</w:t>
            </w:r>
            <w:r/>
          </w:p>
        </w:tc>
        <w:tc>
          <w:tcPr>
            <w:tcW w:w="285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22"/>
        </w:trPr>
        <w:tc>
          <w:tcPr>
            <w:tcW w:w="545" w:type="dxa"/>
            <w:vAlign w:val="top"/>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3291" w:type="dxa"/>
            <w:vAlign w:val="center"/>
            <w:textDirection w:val="lrTb"/>
            <w:noWrap w:val="false"/>
          </w:tcPr>
          <w:p>
            <w:pPr>
              <w:spacing w:line="276" w:lineRule="auto"/>
              <w:rPr>
                <w:rFonts w:ascii="宋体" w:hAnsi="宋体"/>
                <w:sz w:val="24"/>
                <w:szCs w:val="24"/>
              </w:rPr>
            </w:pPr>
            <w:r>
              <w:rPr>
                <w:rFonts w:hint="eastAsia" w:ascii="宋体" w:hAnsi="宋体" w:cs="宋体"/>
                <w:sz w:val="24"/>
                <w:szCs w:val="24"/>
              </w:rPr>
              <w:t xml:space="preserve">DT7、DT8、DT9有机房客梯</w:t>
            </w:r>
            <w:r/>
          </w:p>
        </w:tc>
        <w:tc>
          <w:tcPr>
            <w:tcW w:w="285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spacing w:line="0" w:lineRule="atLeast"/>
        <w:rPr>
          <w:rFonts w:ascii="宋体" w:hAnsi="宋体"/>
          <w:b/>
          <w:color w:val="000000"/>
          <w:sz w:val="24"/>
          <w:szCs w:val="24"/>
        </w:rPr>
      </w:pPr>
      <w:r>
        <w:rPr>
          <w:rFonts w:ascii="宋体" w:hAnsi="宋体"/>
          <w:b/>
          <w:color w:val="000000"/>
          <w:sz w:val="24"/>
          <w:szCs w:val="24"/>
        </w:rPr>
      </w:r>
      <w:r/>
    </w:p>
    <w:p>
      <w:pPr>
        <w:pStyle w:val="904"/>
        <w:jc w:val="both"/>
        <w:rPr>
          <w:rFonts w:ascii="宋体" w:hAnsi="宋体" w:eastAsia="宋体" w:cs="宋体"/>
          <w:sz w:val="24"/>
          <w:szCs w:val="24"/>
        </w:rPr>
      </w:pPr>
      <w:r>
        <w:rPr>
          <w:rFonts w:hint="eastAsia" w:ascii="宋体" w:hAnsi="宋体" w:eastAsia="宋体" w:cs="宋体"/>
          <w:sz w:val="24"/>
          <w:szCs w:val="24"/>
        </w:rPr>
        <w:t xml:space="preserve">一、项目概述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本项目拟对南京医科大学江宁校区、五台校区两个校区部分电梯进行更换，其中江宁校区5台（药学院2台、逸夫楼1台、博学楼1台、学生食堂1台）、五台校区</w:t>
      </w:r>
      <w:r>
        <w:rPr>
          <w:rFonts w:ascii="宋体" w:hAnsi="宋体" w:cs="宋体"/>
          <w:sz w:val="24"/>
          <w:szCs w:val="24"/>
        </w:rPr>
        <w:t xml:space="preserve">4台（研究生公寓4台）</w:t>
      </w:r>
      <w:r>
        <w:rPr>
          <w:rFonts w:hint="eastAsia" w:ascii="宋体" w:hAnsi="宋体" w:cs="宋体"/>
          <w:sz w:val="24"/>
          <w:szCs w:val="24"/>
        </w:rPr>
        <w:t xml:space="preserve">。现需报废更换两个校区9台电梯。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勘察现场：本项目由采购人统一组织现场集中勘察工作，各投标人提前自行联系采购人办理入校手续。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勘查时间：2025年9月</w:t>
      </w:r>
      <w:r>
        <w:rPr>
          <w:rFonts w:hint="eastAsia" w:ascii="宋体" w:hAnsi="宋体" w:cs="宋体"/>
          <w:sz w:val="24"/>
          <w:szCs w:val="24"/>
          <w:lang w:val="en-US" w:eastAsia="zh-CN"/>
        </w:rPr>
        <w:t xml:space="preserve">30</w:t>
      </w:r>
      <w:r>
        <w:rPr>
          <w:rFonts w:hint="eastAsia" w:ascii="宋体" w:hAnsi="宋体" w:cs="宋体"/>
          <w:sz w:val="24"/>
          <w:szCs w:val="24"/>
        </w:rPr>
        <w:t xml:space="preserve">日 09:00至11:</w:t>
      </w:r>
      <w:r>
        <w:rPr>
          <w:rFonts w:hint="eastAsia" w:ascii="宋体" w:hAnsi="宋体" w:cs="宋体"/>
          <w:sz w:val="24"/>
          <w:szCs w:val="24"/>
          <w:lang w:val="en-US" w:eastAsia="zh-CN"/>
        </w:rPr>
        <w:t xml:space="preserve">0</w:t>
      </w:r>
      <w:r>
        <w:rPr>
          <w:rFonts w:hint="eastAsia" w:ascii="宋体" w:hAnsi="宋体" w:cs="宋体"/>
          <w:sz w:val="24"/>
          <w:szCs w:val="24"/>
        </w:rPr>
        <w:t xml:space="preserve">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现场地点：南京市龙眠大道101号 南京医科大学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联系人：陈老师；联系方式：025-86869249</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现场勘察时投标人代表请持本人身份证、携带企业法人营业执照复印件（加盖企业公章）、法人授权委托书（格式自拟），准时到达现场并签到。</w:t>
      </w:r>
      <w:r/>
    </w:p>
    <w:p>
      <w:pPr>
        <w:ind w:firstLine="480"/>
        <w:spacing w:line="360" w:lineRule="auto"/>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t xml:space="preserve">投标人务必对项目现场和周围环境进行仔细认真地踏勘，对现场资料和数据所作出的推论、解释和结论及由此造成的后果由投标人负责。未勘察现场或勘察工作不详细的供应商中标后，不得以不完全了解现场情况为理由而向采购人提出任何索赔或其他要求。</w:t>
      </w:r>
      <w:r>
        <w:rPr>
          <w:rFonts w:hint="eastAsia" w:ascii="宋体" w:hAnsi="宋体" w:cs="宋体"/>
          <w:sz w:val="24"/>
          <w:szCs w:val="24"/>
        </w:rPr>
      </w:r>
      <w:r/>
    </w:p>
    <w:p>
      <w:pPr>
        <w:pStyle w:val="904"/>
        <w:jc w:val="both"/>
        <w:rPr>
          <w:rFonts w:ascii="宋体" w:hAnsi="宋体" w:eastAsia="宋体" w:cs="宋体"/>
          <w:sz w:val="24"/>
          <w:szCs w:val="24"/>
        </w:rPr>
      </w:pPr>
      <w:r>
        <w:rPr>
          <w:rFonts w:hint="eastAsia" w:ascii="宋体" w:hAnsi="宋体" w:eastAsia="宋体" w:cs="宋体"/>
          <w:color w:val="000000"/>
          <w:sz w:val="24"/>
          <w:szCs w:val="24"/>
        </w:rPr>
        <w:t xml:space="preserve">二</w:t>
      </w:r>
      <w:r>
        <w:rPr>
          <w:rFonts w:hint="eastAsia" w:ascii="宋体" w:hAnsi="宋体" w:eastAsia="宋体" w:cs="宋体"/>
          <w:sz w:val="24"/>
          <w:szCs w:val="24"/>
        </w:rPr>
        <w:t xml:space="preserve">、货物清单</w:t>
      </w:r>
      <w:r/>
    </w:p>
    <w:tbl>
      <w:tblPr>
        <w:tblStyle w:val="733"/>
        <w:tblW w:w="8380" w:type="dxa"/>
        <w:tblInd w:w="-14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autofit"/>
        <w:tblCellMar>
          <w:left w:w="50" w:type="dxa"/>
          <w:top w:w="0" w:type="dxa"/>
          <w:right w:w="0" w:type="dxa"/>
          <w:bottom w:w="0" w:type="dxa"/>
        </w:tblCellMar>
        <w:tblLook w:val="04A0" w:firstRow="1" w:lastRow="0" w:firstColumn="1" w:lastColumn="0" w:noHBand="0" w:noVBand="1"/>
      </w:tblPr>
      <w:tblGrid>
        <w:gridCol w:w="791"/>
        <w:gridCol w:w="1709"/>
        <w:gridCol w:w="1800"/>
        <w:gridCol w:w="735"/>
        <w:gridCol w:w="1935"/>
        <w:gridCol w:w="1410"/>
      </w:tblGrid>
      <w:tr>
        <w:trPr>
          <w:trHeight w:val="667"/>
        </w:trPr>
        <w:tc>
          <w:tcPr>
            <w:shd w:val="clear" w:color="auto" w:fill="f2f2f2"/>
            <w:tcW w:w="791" w:type="dxa"/>
            <w:vAlign w:val="center"/>
            <w:textDirection w:val="lrTb"/>
            <w:noWrap w:val="false"/>
          </w:tcPr>
          <w:p>
            <w:pPr>
              <w:jc w:val="center"/>
              <w:spacing w:line="276" w:lineRule="auto"/>
              <w:rPr>
                <w:rFonts w:ascii="宋体" w:hAnsi="宋体" w:cs="宋体"/>
                <w:b/>
                <w:sz w:val="24"/>
                <w:szCs w:val="24"/>
              </w:rPr>
            </w:pPr>
            <w:r/>
            <w:bookmarkStart w:id="184" w:name="_Hlk198112360"/>
            <w:r>
              <w:rPr>
                <w:rFonts w:hint="eastAsia" w:ascii="宋体" w:hAnsi="宋体" w:cs="宋体"/>
                <w:b/>
                <w:sz w:val="24"/>
                <w:szCs w:val="24"/>
              </w:rPr>
              <w:t xml:space="preserve">序号</w:t>
            </w:r>
            <w:r/>
          </w:p>
        </w:tc>
        <w:tc>
          <w:tcPr>
            <w:shd w:val="clear" w:color="auto" w:fill="f2f2f2"/>
            <w:tcW w:w="1709" w:type="dxa"/>
            <w:vAlign w:val="center"/>
            <w:textDirection w:val="lrTb"/>
            <w:noWrap w:val="false"/>
          </w:tcPr>
          <w:p>
            <w:pPr>
              <w:jc w:val="center"/>
              <w:spacing w:line="276" w:lineRule="auto"/>
              <w:rPr>
                <w:rFonts w:ascii="宋体" w:hAnsi="宋体" w:cs="宋体"/>
                <w:b/>
                <w:sz w:val="24"/>
                <w:szCs w:val="24"/>
              </w:rPr>
            </w:pPr>
            <w:r>
              <w:rPr>
                <w:rFonts w:hint="eastAsia" w:ascii="宋体" w:hAnsi="宋体" w:cs="宋体"/>
                <w:b/>
                <w:sz w:val="24"/>
                <w:szCs w:val="24"/>
              </w:rPr>
              <w:t xml:space="preserve">设备编号</w:t>
            </w:r>
            <w:r/>
          </w:p>
        </w:tc>
        <w:tc>
          <w:tcPr>
            <w:shd w:val="clear" w:color="auto" w:fill="f2f2f2"/>
            <w:tcW w:w="1800" w:type="dxa"/>
            <w:vAlign w:val="center"/>
            <w:textDirection w:val="lrTb"/>
            <w:noWrap w:val="false"/>
          </w:tcPr>
          <w:p>
            <w:pPr>
              <w:jc w:val="center"/>
              <w:spacing w:line="276" w:lineRule="auto"/>
              <w:rPr>
                <w:rFonts w:ascii="宋体" w:hAnsi="宋体" w:cs="宋体"/>
                <w:b/>
                <w:sz w:val="24"/>
                <w:szCs w:val="24"/>
              </w:rPr>
            </w:pPr>
            <w:r>
              <w:rPr>
                <w:rFonts w:hint="eastAsia" w:ascii="宋体" w:hAnsi="宋体" w:cs="宋体"/>
                <w:b/>
                <w:sz w:val="24"/>
                <w:szCs w:val="24"/>
              </w:rPr>
              <w:t xml:space="preserve">所属建筑</w:t>
            </w:r>
            <w:r/>
          </w:p>
        </w:tc>
        <w:tc>
          <w:tcPr>
            <w:shd w:val="clear" w:color="auto" w:fill="f2f2f2"/>
            <w:tcW w:w="735" w:type="dxa"/>
            <w:vAlign w:val="center"/>
            <w:textDirection w:val="lrTb"/>
            <w:noWrap w:val="false"/>
          </w:tcPr>
          <w:p>
            <w:pPr>
              <w:jc w:val="center"/>
              <w:spacing w:line="276" w:lineRule="auto"/>
              <w:rPr>
                <w:rFonts w:ascii="宋体" w:hAnsi="宋体" w:cs="宋体"/>
                <w:b/>
                <w:sz w:val="24"/>
                <w:szCs w:val="24"/>
              </w:rPr>
            </w:pPr>
            <w:r>
              <w:rPr>
                <w:rFonts w:hint="eastAsia" w:ascii="宋体" w:hAnsi="宋体" w:cs="宋体"/>
                <w:b/>
                <w:sz w:val="24"/>
                <w:szCs w:val="24"/>
              </w:rPr>
              <w:t xml:space="preserve">数量</w:t>
            </w:r>
            <w:r/>
          </w:p>
        </w:tc>
        <w:tc>
          <w:tcPr>
            <w:shd w:val="clear" w:color="auto" w:fill="f2f2f2"/>
            <w:tcW w:w="1935" w:type="dxa"/>
            <w:vAlign w:val="center"/>
            <w:textDirection w:val="lrTb"/>
            <w:noWrap w:val="false"/>
          </w:tcPr>
          <w:p>
            <w:pPr>
              <w:jc w:val="center"/>
              <w:spacing w:line="276" w:lineRule="auto"/>
              <w:rPr>
                <w:rFonts w:ascii="宋体" w:hAnsi="宋体" w:cs="宋体"/>
                <w:b/>
                <w:sz w:val="24"/>
                <w:szCs w:val="24"/>
              </w:rPr>
            </w:pPr>
            <w:r>
              <w:rPr>
                <w:rFonts w:hint="eastAsia" w:ascii="宋体" w:hAnsi="宋体" w:cs="宋体"/>
                <w:b/>
                <w:sz w:val="24"/>
                <w:szCs w:val="24"/>
              </w:rPr>
              <w:t xml:space="preserve">规格</w:t>
            </w:r>
            <w:r/>
          </w:p>
        </w:tc>
        <w:tc>
          <w:tcPr>
            <w:shd w:val="clear" w:color="auto" w:fill="f2f2f2"/>
            <w:tcW w:w="1410" w:type="dxa"/>
            <w:vAlign w:val="center"/>
            <w:textDirection w:val="lrTb"/>
            <w:noWrap w:val="false"/>
          </w:tcPr>
          <w:p>
            <w:pPr>
              <w:jc w:val="center"/>
              <w:spacing w:line="276" w:lineRule="auto"/>
              <w:rPr>
                <w:rFonts w:ascii="宋体" w:hAnsi="宋体" w:cs="宋体"/>
                <w:b/>
                <w:sz w:val="24"/>
                <w:szCs w:val="24"/>
              </w:rPr>
            </w:pPr>
            <w:r>
              <w:rPr>
                <w:rFonts w:hint="eastAsia" w:ascii="宋体" w:hAnsi="宋体" w:cs="宋体"/>
                <w:b/>
                <w:sz w:val="24"/>
                <w:szCs w:val="24"/>
              </w:rPr>
              <w:t xml:space="preserve">备注</w:t>
            </w:r>
            <w:r/>
          </w:p>
        </w:tc>
      </w:tr>
      <w:tr>
        <w:trPr>
          <w:trHeight w:val="1361" w:hRule="exact"/>
        </w:trPr>
        <w:tc>
          <w:tcPr>
            <w:tcW w:w="79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w:t>
            </w:r>
            <w:r/>
          </w:p>
        </w:tc>
        <w:tc>
          <w:tcPr>
            <w:tcW w:w="1709"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DT1、DT2有机房客梯</w:t>
            </w:r>
            <w:r/>
          </w:p>
        </w:tc>
        <w:tc>
          <w:tcPr>
            <w:tcW w:w="180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江宁校区药学院</w:t>
            </w:r>
            <w:r/>
          </w:p>
        </w:tc>
        <w:tc>
          <w:tcPr>
            <w:tcW w:w="7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2台</w:t>
            </w:r>
            <w:r/>
          </w:p>
        </w:tc>
        <w:tc>
          <w:tcPr>
            <w:tcW w:w="19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载重：≥1000KG；</w:t>
            </w:r>
            <w:r/>
          </w:p>
          <w:p>
            <w:pPr>
              <w:spacing w:line="276" w:lineRule="auto"/>
              <w:rPr>
                <w:rFonts w:ascii="宋体" w:hAnsi="宋体" w:cs="宋体"/>
                <w:sz w:val="24"/>
                <w:szCs w:val="24"/>
              </w:rPr>
            </w:pPr>
            <w:r>
              <w:rPr>
                <w:rFonts w:hint="eastAsia" w:ascii="宋体" w:hAnsi="宋体" w:cs="宋体"/>
                <w:sz w:val="24"/>
                <w:szCs w:val="24"/>
              </w:rPr>
              <w:t xml:space="preserve">速度：≥1.75m/s；</w:t>
            </w:r>
            <w:r/>
          </w:p>
          <w:p>
            <w:pPr>
              <w:spacing w:line="276" w:lineRule="auto"/>
              <w:rPr>
                <w:rFonts w:hint="eastAsia" w:ascii="宋体" w:hAnsi="宋体" w:cs="宋体"/>
                <w:sz w:val="24"/>
                <w:szCs w:val="24"/>
              </w:rPr>
            </w:pPr>
            <w:r>
              <w:rPr>
                <w:rFonts w:hint="eastAsia" w:ascii="宋体" w:hAnsi="宋体" w:cs="宋体"/>
                <w:sz w:val="24"/>
                <w:szCs w:val="24"/>
              </w:rPr>
              <w:t xml:space="preserve">停靠：6层6站</w:t>
            </w:r>
            <w:r/>
          </w:p>
        </w:tc>
        <w:tc>
          <w:tcPr>
            <w:tcW w:w="1410"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并联；第一批次安装；</w:t>
            </w:r>
            <w:r/>
          </w:p>
        </w:tc>
      </w:tr>
      <w:tr>
        <w:trPr>
          <w:trHeight w:val="3436" w:hRule="exact"/>
        </w:trPr>
        <w:tc>
          <w:tcPr>
            <w:tcW w:w="79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2</w:t>
            </w:r>
            <w:r/>
          </w:p>
        </w:tc>
        <w:tc>
          <w:tcPr>
            <w:tcW w:w="1709"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DT3无机房</w:t>
            </w:r>
            <w:r/>
          </w:p>
          <w:p>
            <w:pPr>
              <w:spacing w:line="276" w:lineRule="auto"/>
              <w:rPr>
                <w:rFonts w:ascii="宋体" w:hAnsi="宋体" w:cs="宋体"/>
                <w:sz w:val="24"/>
                <w:szCs w:val="24"/>
              </w:rPr>
            </w:pPr>
            <w:r>
              <w:rPr>
                <w:rFonts w:hint="eastAsia" w:ascii="宋体" w:hAnsi="宋体" w:cs="宋体"/>
                <w:sz w:val="24"/>
                <w:szCs w:val="24"/>
              </w:rPr>
              <w:t xml:space="preserve">客梯</w:t>
            </w:r>
            <w:r/>
          </w:p>
        </w:tc>
        <w:tc>
          <w:tcPr>
            <w:tcW w:w="180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江宁校区逸夫楼</w:t>
            </w:r>
            <w:r/>
          </w:p>
        </w:tc>
        <w:tc>
          <w:tcPr>
            <w:tcW w:w="7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1台</w:t>
            </w:r>
            <w:r/>
          </w:p>
        </w:tc>
        <w:tc>
          <w:tcPr>
            <w:tcW w:w="19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载重：≥1000KG；</w:t>
            </w:r>
            <w:r/>
          </w:p>
          <w:p>
            <w:pPr>
              <w:spacing w:line="276" w:lineRule="auto"/>
              <w:rPr>
                <w:rFonts w:ascii="宋体" w:hAnsi="宋体" w:cs="宋体"/>
                <w:sz w:val="24"/>
                <w:szCs w:val="24"/>
              </w:rPr>
            </w:pPr>
            <w:r>
              <w:rPr>
                <w:rFonts w:hint="eastAsia" w:ascii="宋体" w:hAnsi="宋体" w:cs="宋体"/>
                <w:sz w:val="24"/>
                <w:szCs w:val="24"/>
              </w:rPr>
              <w:t xml:space="preserve">速度：≥1.75m/s；</w:t>
            </w:r>
            <w:r/>
          </w:p>
          <w:p>
            <w:pPr>
              <w:spacing w:line="276" w:lineRule="auto"/>
              <w:rPr>
                <w:rFonts w:ascii="宋体" w:hAnsi="宋体" w:cs="宋体"/>
                <w:sz w:val="24"/>
                <w:szCs w:val="24"/>
              </w:rPr>
            </w:pPr>
            <w:r>
              <w:rPr>
                <w:rFonts w:hint="eastAsia" w:ascii="宋体" w:hAnsi="宋体" w:cs="宋体"/>
                <w:sz w:val="24"/>
                <w:szCs w:val="24"/>
              </w:rPr>
              <w:t xml:space="preserve">停靠：5层5站</w:t>
            </w:r>
            <w:r/>
          </w:p>
        </w:tc>
        <w:tc>
          <w:tcPr>
            <w:tcW w:w="141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原B1楼学校进行回填后，B1楼不停靠，层站由原6层6站变更为5层5站；第一批次安装；</w:t>
            </w:r>
            <w:r/>
          </w:p>
        </w:tc>
      </w:tr>
      <w:tr>
        <w:trPr>
          <w:trHeight w:val="1451" w:hRule="exact"/>
        </w:trPr>
        <w:tc>
          <w:tcPr>
            <w:tcW w:w="79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3</w:t>
            </w:r>
            <w:r/>
          </w:p>
        </w:tc>
        <w:tc>
          <w:tcPr>
            <w:tcW w:w="1709"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DT4无机房</w:t>
            </w:r>
            <w:r/>
          </w:p>
          <w:p>
            <w:pPr>
              <w:spacing w:line="276" w:lineRule="auto"/>
              <w:rPr>
                <w:rFonts w:ascii="宋体" w:hAnsi="宋体" w:cs="宋体"/>
                <w:sz w:val="24"/>
                <w:szCs w:val="24"/>
              </w:rPr>
            </w:pPr>
            <w:r>
              <w:rPr>
                <w:rFonts w:hint="eastAsia" w:ascii="宋体" w:hAnsi="宋体" w:cs="宋体"/>
                <w:sz w:val="24"/>
                <w:szCs w:val="24"/>
              </w:rPr>
              <w:t xml:space="preserve">客梯</w:t>
            </w:r>
            <w:r/>
          </w:p>
        </w:tc>
        <w:tc>
          <w:tcPr>
            <w:tcW w:w="180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江宁校区博学楼</w:t>
            </w:r>
            <w:r/>
          </w:p>
        </w:tc>
        <w:tc>
          <w:tcPr>
            <w:tcW w:w="7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1台</w:t>
            </w:r>
            <w:r/>
          </w:p>
        </w:tc>
        <w:tc>
          <w:tcPr>
            <w:tcW w:w="19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载重：≥1000KG；</w:t>
            </w:r>
            <w:r/>
          </w:p>
          <w:p>
            <w:pPr>
              <w:spacing w:line="276" w:lineRule="auto"/>
              <w:rPr>
                <w:rFonts w:ascii="宋体" w:hAnsi="宋体" w:cs="宋体"/>
                <w:sz w:val="24"/>
                <w:szCs w:val="24"/>
              </w:rPr>
            </w:pPr>
            <w:r>
              <w:rPr>
                <w:rFonts w:hint="eastAsia" w:ascii="宋体" w:hAnsi="宋体" w:cs="宋体"/>
                <w:sz w:val="24"/>
                <w:szCs w:val="24"/>
              </w:rPr>
              <w:t xml:space="preserve">速度：≥1.75m/s；</w:t>
            </w:r>
            <w:r/>
          </w:p>
          <w:p>
            <w:pPr>
              <w:spacing w:line="276" w:lineRule="auto"/>
              <w:rPr>
                <w:rFonts w:ascii="宋体" w:hAnsi="宋体" w:cs="宋体"/>
                <w:sz w:val="24"/>
                <w:szCs w:val="24"/>
              </w:rPr>
            </w:pPr>
            <w:r>
              <w:rPr>
                <w:rFonts w:hint="eastAsia" w:ascii="宋体" w:hAnsi="宋体" w:cs="宋体"/>
                <w:sz w:val="24"/>
                <w:szCs w:val="24"/>
              </w:rPr>
              <w:t xml:space="preserve">停靠：5层5站</w:t>
            </w:r>
            <w:r/>
          </w:p>
        </w:tc>
        <w:tc>
          <w:tcPr>
            <w:tcW w:w="141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第一批次安装；</w:t>
            </w:r>
            <w:r/>
          </w:p>
        </w:tc>
      </w:tr>
      <w:tr>
        <w:trPr>
          <w:trHeight w:val="1521" w:hRule="exact"/>
        </w:trPr>
        <w:tc>
          <w:tcPr>
            <w:tcW w:w="79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4</w:t>
            </w:r>
            <w:r/>
          </w:p>
        </w:tc>
        <w:tc>
          <w:tcPr>
            <w:tcW w:w="1709"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DT5有机房</w:t>
            </w:r>
            <w:r/>
          </w:p>
          <w:p>
            <w:pPr>
              <w:spacing w:line="276" w:lineRule="auto"/>
              <w:rPr>
                <w:rFonts w:ascii="宋体" w:hAnsi="宋体" w:cs="宋体"/>
                <w:sz w:val="24"/>
                <w:szCs w:val="24"/>
              </w:rPr>
            </w:pPr>
            <w:r>
              <w:rPr>
                <w:rFonts w:hint="eastAsia" w:ascii="宋体" w:hAnsi="宋体" w:cs="宋体"/>
                <w:sz w:val="24"/>
                <w:szCs w:val="24"/>
              </w:rPr>
              <w:t xml:space="preserve">客梯</w:t>
            </w:r>
            <w:r/>
          </w:p>
        </w:tc>
        <w:tc>
          <w:tcPr>
            <w:tcW w:w="180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江宁校区学生食堂2#楼</w:t>
            </w:r>
            <w:r/>
          </w:p>
        </w:tc>
        <w:tc>
          <w:tcPr>
            <w:tcW w:w="7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1台</w:t>
            </w:r>
            <w:r/>
          </w:p>
        </w:tc>
        <w:tc>
          <w:tcPr>
            <w:tcW w:w="19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载重：≥1000KG；</w:t>
            </w:r>
            <w:r/>
          </w:p>
          <w:p>
            <w:pPr>
              <w:spacing w:line="276" w:lineRule="auto"/>
              <w:rPr>
                <w:rFonts w:ascii="宋体" w:hAnsi="宋体" w:cs="宋体"/>
                <w:sz w:val="24"/>
                <w:szCs w:val="24"/>
              </w:rPr>
            </w:pPr>
            <w:r>
              <w:rPr>
                <w:rFonts w:hint="eastAsia" w:ascii="宋体" w:hAnsi="宋体" w:cs="宋体"/>
                <w:sz w:val="24"/>
                <w:szCs w:val="24"/>
              </w:rPr>
              <w:t xml:space="preserve">速度：≥1.0m/s；</w:t>
            </w:r>
            <w:r/>
          </w:p>
          <w:p>
            <w:pPr>
              <w:spacing w:line="276" w:lineRule="auto"/>
              <w:rPr>
                <w:rFonts w:ascii="宋体" w:hAnsi="宋体" w:cs="宋体"/>
                <w:sz w:val="24"/>
                <w:szCs w:val="24"/>
              </w:rPr>
            </w:pPr>
            <w:r>
              <w:rPr>
                <w:rFonts w:hint="eastAsia" w:ascii="宋体" w:hAnsi="宋体" w:cs="宋体"/>
                <w:sz w:val="24"/>
                <w:szCs w:val="24"/>
              </w:rPr>
              <w:t xml:space="preserve">停靠：2层2站</w:t>
            </w:r>
            <w:r/>
          </w:p>
        </w:tc>
        <w:tc>
          <w:tcPr>
            <w:tcW w:w="141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第一批次安装；</w:t>
            </w:r>
            <w:r/>
          </w:p>
        </w:tc>
      </w:tr>
      <w:tr>
        <w:trPr>
          <w:trHeight w:val="1866" w:hRule="exact"/>
        </w:trPr>
        <w:tc>
          <w:tcPr>
            <w:tcW w:w="79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5</w:t>
            </w:r>
            <w:r/>
          </w:p>
        </w:tc>
        <w:tc>
          <w:tcPr>
            <w:tcW w:w="1709"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DT6有机房</w:t>
            </w:r>
            <w:r/>
          </w:p>
          <w:p>
            <w:pPr>
              <w:spacing w:line="276" w:lineRule="auto"/>
              <w:rPr>
                <w:rFonts w:ascii="宋体" w:hAnsi="宋体" w:cs="宋体"/>
                <w:sz w:val="24"/>
                <w:szCs w:val="24"/>
              </w:rPr>
            </w:pPr>
            <w:r>
              <w:rPr>
                <w:rFonts w:hint="eastAsia" w:ascii="宋体" w:hAnsi="宋体" w:cs="宋体"/>
                <w:sz w:val="24"/>
                <w:szCs w:val="24"/>
              </w:rPr>
              <w:t xml:space="preserve">客梯</w:t>
            </w:r>
            <w:r/>
          </w:p>
        </w:tc>
        <w:tc>
          <w:tcPr>
            <w:tcW w:w="180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五台校区研究生公寓（生殖中心使用）</w:t>
            </w:r>
            <w:r/>
          </w:p>
        </w:tc>
        <w:tc>
          <w:tcPr>
            <w:tcW w:w="7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1台</w:t>
            </w:r>
            <w:r/>
          </w:p>
        </w:tc>
        <w:tc>
          <w:tcPr>
            <w:tcW w:w="19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载重：≥1000KG；</w:t>
            </w:r>
            <w:r/>
          </w:p>
          <w:p>
            <w:pPr>
              <w:spacing w:line="276" w:lineRule="auto"/>
              <w:rPr>
                <w:rFonts w:ascii="宋体" w:hAnsi="宋体" w:cs="宋体"/>
                <w:sz w:val="24"/>
                <w:szCs w:val="24"/>
              </w:rPr>
            </w:pPr>
            <w:r>
              <w:rPr>
                <w:rFonts w:hint="eastAsia" w:ascii="宋体" w:hAnsi="宋体" w:cs="宋体"/>
                <w:sz w:val="24"/>
                <w:szCs w:val="24"/>
              </w:rPr>
              <w:t xml:space="preserve">速度：≥2.0m/s；</w:t>
            </w:r>
            <w:r/>
          </w:p>
          <w:p>
            <w:pPr>
              <w:spacing w:line="276" w:lineRule="auto"/>
              <w:rPr>
                <w:rFonts w:ascii="宋体" w:hAnsi="宋体" w:cs="宋体"/>
                <w:sz w:val="24"/>
                <w:szCs w:val="24"/>
              </w:rPr>
            </w:pPr>
            <w:r>
              <w:rPr>
                <w:rFonts w:hint="eastAsia" w:ascii="宋体" w:hAnsi="宋体" w:cs="宋体"/>
                <w:sz w:val="24"/>
                <w:szCs w:val="24"/>
              </w:rPr>
              <w:t xml:space="preserve">停靠：15层15站</w:t>
            </w:r>
            <w:r/>
          </w:p>
        </w:tc>
        <w:tc>
          <w:tcPr>
            <w:tcW w:w="141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第一批次安装；</w:t>
            </w:r>
            <w:r/>
          </w:p>
        </w:tc>
      </w:tr>
      <w:tr>
        <w:trPr>
          <w:trHeight w:val="1716" w:hRule="exact"/>
        </w:trPr>
        <w:tc>
          <w:tcPr>
            <w:tcW w:w="79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6</w:t>
            </w:r>
            <w:r/>
          </w:p>
        </w:tc>
        <w:tc>
          <w:tcPr>
            <w:tcW w:w="1709"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DT7、DT8、DT9有机房客梯</w:t>
            </w:r>
            <w:r/>
          </w:p>
        </w:tc>
        <w:tc>
          <w:tcPr>
            <w:tcW w:w="180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五台校区研究生公寓</w:t>
            </w:r>
            <w:r/>
          </w:p>
        </w:tc>
        <w:tc>
          <w:tcPr>
            <w:tcW w:w="7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3台</w:t>
            </w:r>
            <w:r/>
          </w:p>
        </w:tc>
        <w:tc>
          <w:tcPr>
            <w:tcW w:w="1935"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载重：≥1000KG；</w:t>
            </w:r>
            <w:r/>
          </w:p>
          <w:p>
            <w:pPr>
              <w:spacing w:line="276" w:lineRule="auto"/>
              <w:rPr>
                <w:rFonts w:ascii="宋体" w:hAnsi="宋体" w:cs="宋体"/>
                <w:sz w:val="24"/>
                <w:szCs w:val="24"/>
              </w:rPr>
            </w:pPr>
            <w:r>
              <w:rPr>
                <w:rFonts w:hint="eastAsia" w:ascii="宋体" w:hAnsi="宋体" w:cs="宋体"/>
                <w:sz w:val="24"/>
                <w:szCs w:val="24"/>
              </w:rPr>
              <w:t xml:space="preserve">速度：≥2.0m/s；</w:t>
            </w:r>
            <w:r/>
          </w:p>
          <w:p>
            <w:pPr>
              <w:spacing w:line="276" w:lineRule="auto"/>
              <w:rPr>
                <w:rFonts w:ascii="宋体" w:hAnsi="宋体" w:cs="宋体"/>
                <w:sz w:val="24"/>
                <w:szCs w:val="24"/>
              </w:rPr>
            </w:pPr>
            <w:r>
              <w:rPr>
                <w:rFonts w:hint="eastAsia" w:ascii="宋体" w:hAnsi="宋体" w:cs="宋体"/>
                <w:sz w:val="24"/>
                <w:szCs w:val="24"/>
              </w:rPr>
              <w:t xml:space="preserve">停靠：14层14站</w:t>
            </w:r>
            <w:r/>
          </w:p>
        </w:tc>
        <w:tc>
          <w:tcPr>
            <w:tcW w:w="1410"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DT7、DT8第一批安装，DT9第二批次安装；</w:t>
            </w:r>
            <w:bookmarkEnd w:id="184"/>
            <w:r/>
            <w:r/>
          </w:p>
        </w:tc>
      </w:tr>
    </w:tbl>
    <w:p>
      <w:pPr>
        <w:spacing w:line="360" w:lineRule="auto"/>
        <w:rPr>
          <w:rFonts w:ascii="宋体" w:hAnsi="宋体" w:cs="宋体"/>
          <w:b/>
          <w:bCs/>
          <w:sz w:val="24"/>
          <w:szCs w:val="24"/>
        </w:rPr>
      </w:pPr>
      <w:r>
        <w:rPr>
          <w:rFonts w:hint="eastAsia" w:ascii="宋体" w:hAnsi="宋体" w:cs="宋体"/>
          <w:b/>
          <w:bCs/>
          <w:sz w:val="24"/>
          <w:szCs w:val="24"/>
        </w:rPr>
        <w:t xml:space="preserve">1、招标范围</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b/>
          <w:bCs/>
          <w:i/>
          <w:sz w:val="24"/>
          <w:szCs w:val="21"/>
          <w:u w:val="single"/>
        </w:rPr>
        <w:t xml:space="preserve">本项目为交钥匙项目，中标供应商应为采购人提供本项目的土建整改（包括基坑土建整改、井道土建整改及</w:t>
      </w:r>
      <w:r>
        <w:rPr>
          <w:rFonts w:hint="eastAsia" w:ascii="宋体" w:hAnsi="宋体"/>
          <w:b/>
          <w:bCs/>
          <w:i/>
          <w:sz w:val="24"/>
          <w:szCs w:val="21"/>
          <w:u w:val="single"/>
          <w:lang w:val="zh-CN"/>
        </w:rPr>
        <w:t xml:space="preserve">井道吊钩整改</w:t>
      </w:r>
      <w:r>
        <w:rPr>
          <w:rFonts w:hint="eastAsia" w:ascii="宋体" w:hAnsi="宋体"/>
          <w:b/>
          <w:bCs/>
          <w:i/>
          <w:sz w:val="24"/>
          <w:szCs w:val="21"/>
          <w:u w:val="single"/>
        </w:rPr>
        <w:t xml:space="preserve">、井道密封、</w:t>
      </w:r>
      <w:r>
        <w:rPr>
          <w:rFonts w:hint="eastAsia" w:ascii="宋体" w:hAnsi="宋体"/>
          <w:b/>
          <w:bCs/>
          <w:i/>
          <w:sz w:val="24"/>
          <w:szCs w:val="21"/>
          <w:u w:val="single"/>
          <w:lang w:val="zh-CN"/>
        </w:rPr>
        <w:t xml:space="preserve">门洞改造费及恢复原状的费用，外召唤空洞修复（不锈钢铁板做背衬板）</w:t>
      </w:r>
      <w:r>
        <w:rPr>
          <w:rFonts w:hint="eastAsia" w:ascii="宋体" w:hAnsi="宋体"/>
          <w:b/>
          <w:bCs/>
          <w:i/>
          <w:sz w:val="24"/>
          <w:szCs w:val="21"/>
          <w:u w:val="single"/>
        </w:rPr>
        <w:t xml:space="preserve">）、新梯安装（包括井道内的埋件、机房钢梁等）、新梯调试、新梯维修保养、垃圾清运、新设备及施工现场保洁等一条龙服务)，采购人只接收通过当地质量监督部门验收合格并发放准运证明的电梯设备。本项目从实施开始至验收、售后服务结束等环节过程中涉及的所有费用均应列入投标总价，采购人不再支付其他任何费用。</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（2）中标单位在中标后，需针对投标文件中的施工方案进行优化，其中包括：围挡方案、土建整改方案（包括基坑土建整改、井道土建整改及</w:t>
      </w:r>
      <w:r>
        <w:rPr>
          <w:rFonts w:hint="eastAsia" w:ascii="宋体" w:hAnsi="宋体" w:cs="宋体"/>
          <w:bCs/>
          <w:sz w:val="24"/>
          <w:szCs w:val="24"/>
          <w:lang w:val="zh-CN"/>
        </w:rPr>
        <w:t xml:space="preserve">井道吊钩整改</w:t>
      </w:r>
      <w:r>
        <w:rPr>
          <w:rFonts w:hint="eastAsia" w:ascii="宋体" w:hAnsi="宋体" w:cs="宋体"/>
          <w:sz w:val="24"/>
          <w:szCs w:val="24"/>
        </w:rPr>
        <w:t xml:space="preserve">、井道密封、</w:t>
      </w:r>
      <w:r>
        <w:rPr>
          <w:rFonts w:hint="eastAsia" w:ascii="宋体" w:hAnsi="宋体" w:cs="宋体"/>
          <w:bCs/>
          <w:sz w:val="24"/>
          <w:szCs w:val="24"/>
          <w:lang w:val="zh-CN"/>
        </w:rPr>
        <w:t xml:space="preserve">门洞改造费及恢复原状的费用，外召唤空洞修复（不锈钢铁板做背衬板）</w:t>
      </w:r>
      <w:r>
        <w:rPr>
          <w:rFonts w:hint="eastAsia" w:ascii="宋体" w:hAnsi="宋体" w:cs="宋体"/>
          <w:sz w:val="24"/>
          <w:szCs w:val="24"/>
        </w:rPr>
        <w:t xml:space="preserve">）、电梯外观选型方案（外呼、操纵箱、按钮、轿厢、轿顶、地面、扶手、轿门、厅门等）、电梯安装（包括井道内的埋件、机房钢梁</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机房配电箱至电梯控制柜电缆</w:t>
      </w:r>
      <w:r>
        <w:rPr>
          <w:rFonts w:hint="eastAsia" w:ascii="宋体" w:hAnsi="宋体" w:cs="宋体"/>
          <w:sz w:val="24"/>
          <w:szCs w:val="24"/>
        </w:rPr>
        <w:t xml:space="preserve">等）及验收方案等供业主单位确认，待确认后方可进行施工，中标价不做调整，投标人需充分考虑此项费用（因本项目的特殊性，施工方案必须充分考虑方案的安全性、业主单位对</w:t>
      </w:r>
      <w:r>
        <w:rPr>
          <w:rFonts w:hint="eastAsia" w:ascii="宋体" w:hAnsi="宋体" w:cs="宋体"/>
          <w:color w:val="000000"/>
          <w:sz w:val="24"/>
          <w:szCs w:val="24"/>
        </w:rPr>
        <w:t xml:space="preserve">作息时间的要求等）。</w:t>
      </w:r>
      <w:r/>
    </w:p>
    <w:p>
      <w:pPr>
        <w:spacing w:line="360" w:lineRule="auto"/>
        <w:rPr>
          <w:rFonts w:ascii="宋体" w:hAnsi="宋体" w:cs="宋体"/>
          <w:b/>
          <w:sz w:val="24"/>
          <w:szCs w:val="24"/>
        </w:rPr>
      </w:pPr>
      <w:r>
        <w:rPr>
          <w:rFonts w:hint="eastAsia" w:ascii="宋体" w:hAnsi="宋体" w:cs="宋体"/>
          <w:b/>
          <w:sz w:val="24"/>
          <w:szCs w:val="24"/>
        </w:rPr>
        <w:t xml:space="preserve">2、商务要求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（1）交货期、交货方式及交货地点</w:t>
      </w:r>
      <w:r/>
    </w:p>
    <w:p>
      <w:pPr>
        <w:ind w:firstLine="480"/>
        <w:spacing w:line="360" w:lineRule="auto"/>
        <w:rPr>
          <w:rFonts w:ascii="宋体" w:hAnsi="宋体" w:cs="宋体"/>
          <w:bCs/>
          <w:sz w:val="24"/>
          <w:szCs w:val="24"/>
        </w:rPr>
      </w:pPr>
      <w:r>
        <w:rPr>
          <w:rFonts w:hint="eastAsia" w:ascii="宋体" w:hAnsi="宋体" w:cs="宋体"/>
          <w:bCs/>
          <w:sz w:val="24"/>
          <w:szCs w:val="24"/>
        </w:rPr>
        <w:t xml:space="preserve">交货期：</w:t>
      </w:r>
      <w:r>
        <w:rPr>
          <w:rFonts w:hint="eastAsia" w:ascii="宋体" w:hAnsi="宋体"/>
          <w:b/>
          <w:bCs/>
          <w:i/>
          <w:sz w:val="24"/>
          <w:szCs w:val="21"/>
          <w:u w:val="single"/>
        </w:rPr>
        <w:t xml:space="preserve">合同签订后分两批次交货，第一批次</w:t>
      </w:r>
      <w:r>
        <w:rPr>
          <w:rFonts w:hint="eastAsia" w:ascii="宋体" w:hAnsi="宋体"/>
          <w:b/>
          <w:bCs/>
          <w:i/>
          <w:sz w:val="24"/>
          <w:szCs w:val="21"/>
          <w:u w:val="single"/>
          <w:lang w:val="en-US" w:eastAsia="zh-CN"/>
        </w:rPr>
        <w:t xml:space="preserve">75</w:t>
      </w:r>
      <w:r>
        <w:rPr>
          <w:rFonts w:hint="eastAsia" w:ascii="宋体" w:hAnsi="宋体"/>
          <w:b/>
          <w:bCs/>
          <w:i/>
          <w:sz w:val="24"/>
          <w:szCs w:val="21"/>
          <w:u w:val="single"/>
        </w:rPr>
        <w:t xml:space="preserve">天内完工，第二批次</w:t>
      </w:r>
      <w:r>
        <w:rPr>
          <w:rFonts w:hint="eastAsia" w:ascii="宋体" w:hAnsi="宋体"/>
          <w:b/>
          <w:bCs/>
          <w:i/>
          <w:sz w:val="24"/>
          <w:szCs w:val="21"/>
          <w:u w:val="single"/>
          <w:lang w:val="en-US" w:eastAsia="zh-CN"/>
        </w:rPr>
        <w:t xml:space="preserve">90</w:t>
      </w:r>
      <w:r>
        <w:rPr>
          <w:rFonts w:hint="eastAsia" w:ascii="宋体" w:hAnsi="宋体"/>
          <w:b/>
          <w:bCs/>
          <w:i/>
          <w:sz w:val="24"/>
          <w:szCs w:val="21"/>
          <w:u w:val="single"/>
        </w:rPr>
        <w:t xml:space="preserve">天内完成，总工期不超过90天。</w:t>
      </w:r>
      <w:r/>
    </w:p>
    <w:p>
      <w:pPr>
        <w:ind w:firstLine="480"/>
        <w:spacing w:line="360" w:lineRule="auto"/>
        <w:rPr>
          <w:rFonts w:ascii="宋体" w:hAnsi="宋体" w:cs="宋体"/>
          <w:bCs/>
          <w:sz w:val="24"/>
          <w:szCs w:val="24"/>
        </w:rPr>
      </w:pPr>
      <w:r>
        <w:rPr>
          <w:rFonts w:hint="eastAsia" w:ascii="宋体" w:hAnsi="宋体" w:cs="宋体"/>
          <w:bCs/>
          <w:sz w:val="24"/>
          <w:szCs w:val="24"/>
        </w:rPr>
        <w:t xml:space="preserve">交货方式：供应商在采购人指定地点交货，并完成安装、调试。</w:t>
      </w:r>
      <w:r/>
    </w:p>
    <w:p>
      <w:pPr>
        <w:ind w:firstLine="480"/>
        <w:spacing w:line="360" w:lineRule="auto"/>
        <w:rPr>
          <w:rFonts w:ascii="宋体" w:hAnsi="宋体" w:cs="宋体"/>
          <w:bCs/>
          <w:sz w:val="24"/>
          <w:szCs w:val="24"/>
        </w:rPr>
      </w:pPr>
      <w:r>
        <w:rPr>
          <w:rFonts w:hint="eastAsia" w:ascii="宋体" w:hAnsi="宋体" w:cs="宋体"/>
          <w:bCs/>
          <w:sz w:val="24"/>
          <w:szCs w:val="24"/>
        </w:rPr>
        <w:t xml:space="preserve">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（2）付款方式</w:t>
      </w:r>
      <w:r/>
    </w:p>
    <w:p>
      <w:pPr>
        <w:ind w:firstLine="480"/>
        <w:spacing w:line="360" w:lineRule="auto"/>
        <w:rPr>
          <w:rFonts w:ascii="宋体" w:hAnsi="宋体" w:cs="宋体"/>
          <w:bCs/>
          <w:sz w:val="24"/>
          <w:szCs w:val="24"/>
        </w:rPr>
      </w:pPr>
      <w:r>
        <w:rPr>
          <w:rFonts w:hint="eastAsia" w:ascii="宋体" w:hAnsi="宋体" w:cs="宋体"/>
          <w:bCs/>
          <w:sz w:val="24"/>
          <w:szCs w:val="24"/>
        </w:rPr>
        <w:t xml:space="preserve">3.1 本项目电梯设备及安装为总价包干合同</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第1次付款：合同签订后10个工作日内，采购人按合同价的10%支付定金。</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第2次付款：提交生产计划并经采购人认可，采购人按合同价的50%支付排产款。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第3次付款：现场安装调试合格后，经采购人所在地技术监督部门验收合格、采购人获得使用许可证后，付至合同价的100</w:t>
      </w:r>
      <w:r>
        <w:rPr>
          <w:rFonts w:ascii="宋体" w:hAnsi="宋体" w:cs="宋体"/>
          <w:bCs/>
          <w:sz w:val="24"/>
          <w:szCs w:val="24"/>
        </w:rPr>
        <w:t xml:space="preserve">%。</w:t>
      </w:r>
      <w:r/>
    </w:p>
    <w:p>
      <w:pPr>
        <w:spacing w:line="360" w:lineRule="auto"/>
        <w:rPr>
          <w:rFonts w:ascii="宋体" w:hAnsi="宋体" w:cs="宋体"/>
          <w:color w:val="000000"/>
          <w:sz w:val="24"/>
          <w:szCs w:val="24"/>
        </w:rPr>
      </w:pPr>
      <w:r>
        <w:rPr>
          <w:rFonts w:hint="eastAsia" w:ascii="宋体" w:hAnsi="宋体" w:cs="宋体"/>
          <w:b/>
          <w:bCs/>
          <w:color w:val="000000"/>
          <w:sz w:val="24"/>
          <w:szCs w:val="24"/>
        </w:rPr>
        <w:t xml:space="preserve">2、安装要求</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1、投标人应按《电梯制造与安装安全规范》等规定对本项目进行深化设计，确保电梯选型及安装符合本项目实际及国家相关规定。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应制订针对本项目的设计方案，包括匹配本项目要求的产品选型、产品技术性能优势介绍、产品安全性介绍、系统拓扑图、电梯轿厢的效果图等，设计方案应充分考虑学校使用的实际，确保项目高质量完成及后期稳定、安全运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安装方式：交钥匙工程，即本次采购电梯所需电梯的全部设备、材料、随设备的备品配件及专用工具，运抵采购人工地现场，负责安装、调试，直至采购人所在地质量监督部门验收合格，获得质量监督部门发给的使用许可证，交付采购人使用。</w:t>
      </w:r>
      <w:r/>
    </w:p>
    <w:p>
      <w:pPr>
        <w:ind w:firstLine="480"/>
        <w:spacing w:line="360" w:lineRule="auto"/>
        <w:rPr>
          <w:rFonts w:ascii="宋体" w:hAnsi="宋体" w:cs="宋体"/>
          <w:color w:val="auto"/>
          <w:sz w:val="24"/>
          <w:szCs w:val="24"/>
        </w:rPr>
      </w:pPr>
      <w:r>
        <w:rPr>
          <w:rFonts w:hint="eastAsia" w:ascii="宋体" w:hAnsi="宋体" w:cs="宋体"/>
          <w:color w:val="000000"/>
          <w:sz w:val="24"/>
          <w:szCs w:val="24"/>
        </w:rPr>
        <w:t xml:space="preserve">（2）安装时间：满足甲方要求，</w:t>
      </w:r>
      <w:r>
        <w:rPr>
          <w:rFonts w:hint="eastAsia" w:ascii="宋体" w:hAnsi="宋体" w:cs="宋体"/>
          <w:bCs/>
          <w:color w:val="000000"/>
          <w:sz w:val="24"/>
          <w:szCs w:val="24"/>
        </w:rPr>
        <w:t xml:space="preserve">本次采购电梯共分两批次进行安装，第一批次（</w:t>
      </w:r>
      <w:r>
        <w:rPr>
          <w:rFonts w:hint="eastAsia" w:ascii="宋体" w:hAnsi="宋体" w:cs="宋体"/>
          <w:bCs/>
          <w:color w:val="000000"/>
          <w:sz w:val="24"/>
          <w:szCs w:val="24"/>
          <w:lang w:val="en-US" w:eastAsia="zh-CN"/>
        </w:rPr>
        <w:t xml:space="preserve">75</w:t>
      </w:r>
      <w:r>
        <w:rPr>
          <w:rFonts w:hint="eastAsia" w:ascii="宋体" w:hAnsi="宋体" w:cs="宋体"/>
          <w:bCs/>
          <w:color w:val="000000"/>
          <w:sz w:val="24"/>
          <w:szCs w:val="24"/>
        </w:rPr>
        <w:t xml:space="preserve">天）需安装江宁校区药学院2台电梯、逸夫楼1台电梯、博学楼1台电梯及学生食堂2#梯，五台校区研究生公</w:t>
      </w:r>
      <w:r>
        <w:rPr>
          <w:rFonts w:hint="eastAsia" w:ascii="宋体" w:hAnsi="宋体" w:cs="宋体"/>
          <w:bCs/>
          <w:color w:val="auto"/>
          <w:sz w:val="24"/>
          <w:szCs w:val="24"/>
        </w:rPr>
        <w:t xml:space="preserve">寓3台电梯（DT6、DT7、DT8）；第二批次（90天）需安装五台校区研究生公寓</w:t>
      </w:r>
      <w:r>
        <w:rPr>
          <w:rFonts w:ascii="宋体" w:hAnsi="宋体" w:cs="宋体"/>
          <w:bCs/>
          <w:color w:val="auto"/>
          <w:sz w:val="24"/>
          <w:szCs w:val="24"/>
        </w:rPr>
        <w:t xml:space="preserve">1</w:t>
      </w:r>
      <w:r>
        <w:rPr>
          <w:rFonts w:hint="eastAsia" w:ascii="宋体" w:hAnsi="宋体" w:cs="宋体"/>
          <w:bCs/>
          <w:color w:val="auto"/>
          <w:sz w:val="24"/>
          <w:szCs w:val="24"/>
        </w:rPr>
        <w:t xml:space="preserve">台电梯（</w:t>
      </w:r>
      <w:r>
        <w:rPr>
          <w:rFonts w:ascii="宋体" w:hAnsi="宋体" w:cs="宋体"/>
          <w:bCs/>
          <w:color w:val="auto"/>
          <w:sz w:val="24"/>
          <w:szCs w:val="24"/>
        </w:rPr>
        <w:t xml:space="preserve">DT9</w:t>
      </w:r>
      <w:r>
        <w:rPr>
          <w:rFonts w:hint="eastAsia" w:ascii="宋体" w:hAnsi="宋体" w:cs="宋体"/>
          <w:bCs/>
          <w:color w:val="auto"/>
          <w:sz w:val="24"/>
          <w:szCs w:val="24"/>
        </w:rPr>
        <w:t xml:space="preserve">），总工期90天。</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（3）安装调试、检测、验收费含在投标总报价内。</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3、投标人应制定针对本项目的技术方案，包括提供完整、详细、可行的主要技术说明方案、设计深化图纸及提供各项详细技术参数</w:t>
      </w:r>
      <w:r>
        <w:rPr>
          <w:rFonts w:hint="eastAsia" w:ascii="宋体" w:hAnsi="宋体" w:cs="宋体"/>
          <w:color w:val="auto"/>
          <w:sz w:val="24"/>
          <w:szCs w:val="24"/>
          <w:lang w:val="en-US" w:eastAsia="zh-CN"/>
        </w:rPr>
        <w:t xml:space="preserve">及设备选型方案</w:t>
      </w:r>
      <w:r>
        <w:rPr>
          <w:rFonts w:hint="eastAsia" w:ascii="宋体" w:hAnsi="宋体" w:cs="宋体"/>
          <w:color w:val="auto"/>
          <w:sz w:val="24"/>
          <w:szCs w:val="24"/>
        </w:rPr>
        <w:t xml:space="preserve">等。</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4、投标人应制定针对本项目的进度控制方案，包括所投产品（需标明所投产品的品牌及相应的系列型号）的生产供货计划，新梯安装计划及进度工期</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进度监控方案、进度偏差分析与纠偏措施、进度保障措施</w:t>
      </w:r>
      <w:r>
        <w:rPr>
          <w:rFonts w:hint="eastAsia" w:ascii="宋体" w:hAnsi="宋体" w:cs="宋体"/>
          <w:color w:val="auto"/>
          <w:sz w:val="24"/>
          <w:szCs w:val="24"/>
        </w:rPr>
        <w:t xml:space="preserve">等。</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5、投标人应制定针对本项目的安装调试方案，包括提供完整、详细、可行的新梯安装程序、</w:t>
      </w:r>
      <w:r>
        <w:rPr>
          <w:rFonts w:hint="eastAsia" w:ascii="宋体" w:hAnsi="宋体" w:cs="宋体"/>
          <w:color w:val="auto"/>
          <w:sz w:val="24"/>
          <w:szCs w:val="24"/>
          <w:lang w:val="en-US" w:eastAsia="zh-CN"/>
        </w:rPr>
        <w:t xml:space="preserve">安装前准备工作、</w:t>
      </w:r>
      <w:r>
        <w:rPr>
          <w:rFonts w:hint="eastAsia" w:ascii="宋体" w:hAnsi="宋体" w:cs="宋体"/>
          <w:color w:val="auto"/>
          <w:sz w:val="24"/>
          <w:szCs w:val="24"/>
        </w:rPr>
        <w:t xml:space="preserve">施工方案、安全保障措施、施工质量保证措施、人员配置措施</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调试方案、调试过程安全管控方案</w:t>
      </w:r>
      <w:r>
        <w:rPr>
          <w:rFonts w:hint="eastAsia" w:ascii="宋体" w:hAnsi="宋体" w:cs="宋体"/>
          <w:color w:val="auto"/>
          <w:sz w:val="24"/>
          <w:szCs w:val="24"/>
        </w:rPr>
        <w:t xml:space="preserve">等。</w:t>
      </w:r>
      <w:r/>
    </w:p>
    <w:p>
      <w:pPr>
        <w:ind w:firstLine="480"/>
        <w:spacing w:line="360" w:lineRule="auto"/>
        <w:rPr>
          <w:rFonts w:ascii="宋体" w:hAnsi="宋体" w:cs="宋体"/>
          <w:color w:val="000000"/>
          <w:sz w:val="24"/>
          <w:szCs w:val="24"/>
        </w:rPr>
      </w:pPr>
      <w:r>
        <w:rPr>
          <w:rFonts w:hint="eastAsia" w:ascii="宋体" w:hAnsi="宋体" w:cs="宋体"/>
          <w:color w:val="auto"/>
          <w:sz w:val="24"/>
          <w:szCs w:val="24"/>
        </w:rPr>
        <w:t xml:space="preserve">6、投标人应制定针对本项目的安全文明施工方案，</w:t>
      </w:r>
      <w:r>
        <w:rPr>
          <w:rFonts w:hint="eastAsia" w:ascii="宋体" w:hAnsi="宋体" w:cs="宋体"/>
          <w:color w:val="auto"/>
          <w:sz w:val="24"/>
          <w:szCs w:val="24"/>
          <w:lang w:val="en-US" w:eastAsia="zh-CN"/>
        </w:rPr>
        <w:t xml:space="preserve">包括安全管理体系、各环节安全防护措施、文明施工管理措施、应急处置机制等。</w:t>
      </w:r>
      <w:r>
        <w:rPr>
          <w:rFonts w:hint="eastAsia" w:ascii="宋体" w:hAnsi="宋体" w:cs="宋体"/>
          <w:color w:val="auto"/>
          <w:sz w:val="24"/>
          <w:szCs w:val="24"/>
        </w:rPr>
        <w:t xml:space="preserve">本项目在高校内，安装工作期间高校仍在正常工作。施工环境复杂，安全要求高，投标人应根据招标文件要求及本项目实际，提供科学、细化的项目安全文明施工控制方案，要求项目实施过程中，不发生任何事故及做好环境、噪声等控制，供应商对</w:t>
      </w:r>
      <w:r>
        <w:rPr>
          <w:rFonts w:hint="eastAsia" w:ascii="宋体" w:hAnsi="宋体" w:cs="宋体"/>
          <w:color w:val="000000"/>
          <w:sz w:val="24"/>
          <w:szCs w:val="24"/>
        </w:rPr>
        <w:t xml:space="preserve">于安装电梯有关的文明施工、环境保护、安全生产、治安与消防负主体责任。投标人须做好安全防护、围挡、个人安全防护措施，施工区域悬挂警示标志和安全文明用语；每天施工完毕需清洁井道外场地，以防人员意外滑到和伤害。施工前须与采购人签订安全协议，施工期间的安全责任由成交供应商负责，若发生安全事故，所有损失由成交供应商承担，给学校造成损失的，追究相关责任。</w:t>
      </w:r>
      <w:r/>
    </w:p>
    <w:p>
      <w:pPr>
        <w:spacing w:line="360" w:lineRule="auto"/>
        <w:rPr>
          <w:rFonts w:ascii="宋体" w:hAnsi="宋体" w:cs="宋体"/>
          <w:b/>
          <w:bCs/>
          <w:color w:val="000000"/>
          <w:sz w:val="24"/>
          <w:szCs w:val="24"/>
        </w:rPr>
      </w:pPr>
      <w:r>
        <w:rPr>
          <w:rFonts w:hint="eastAsia" w:ascii="宋体" w:hAnsi="宋体" w:cs="宋体"/>
          <w:b/>
          <w:color w:val="000000"/>
          <w:sz w:val="24"/>
          <w:szCs w:val="24"/>
        </w:rPr>
        <w:t xml:space="preserve">3、</w:t>
      </w:r>
      <w:r>
        <w:rPr>
          <w:rFonts w:hint="eastAsia" w:ascii="宋体" w:hAnsi="宋体" w:cs="宋体"/>
          <w:b/>
          <w:bCs/>
          <w:color w:val="000000"/>
          <w:sz w:val="24"/>
          <w:szCs w:val="24"/>
        </w:rPr>
        <w:t xml:space="preserve">售后服务要求：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（一）质保要求</w:t>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（1）质保期：所购电梯整套设备质保期为最终验收合格后24个月。</w:t>
      </w:r>
      <w:r/>
    </w:p>
    <w:p>
      <w:pPr>
        <w:pStyle w:val="1019"/>
        <w:ind w:firstLine="480"/>
        <w:spacing w:line="360" w:lineRule="auto"/>
        <w:rPr>
          <w:rFonts w:hint="eastAsia" w:ascii="宋体" w:hAnsi="宋体"/>
          <w:b/>
          <w:bCs/>
          <w:i/>
          <w:color w:val="000000"/>
          <w:sz w:val="24"/>
          <w:szCs w:val="21"/>
          <w:u w:val="single"/>
        </w:rPr>
      </w:pPr>
      <w:r>
        <w:rPr>
          <w:rFonts w:hint="eastAsia" w:ascii="宋体" w:hAnsi="宋体" w:cs="宋体"/>
          <w:color w:val="000000"/>
          <w:sz w:val="24"/>
          <w:szCs w:val="24"/>
        </w:rPr>
        <w:t xml:space="preserve">（2）</w:t>
      </w:r>
      <w:r>
        <w:rPr>
          <w:rFonts w:hint="eastAsia" w:ascii="宋体" w:hAnsi="宋体"/>
          <w:b/>
          <w:bCs/>
          <w:i/>
          <w:color w:val="000000"/>
          <w:sz w:val="24"/>
          <w:szCs w:val="21"/>
          <w:u w:val="single"/>
        </w:rPr>
        <w:t xml:space="preserve">售后服务单位应为</w:t>
      </w:r>
      <w:r>
        <w:rPr>
          <w:rFonts w:hint="eastAsia" w:ascii="宋体" w:hAnsi="宋体"/>
          <w:b/>
          <w:bCs/>
          <w:i/>
          <w:color w:val="000000"/>
          <w:sz w:val="24"/>
          <w:szCs w:val="21"/>
          <w:u w:val="single"/>
          <w:lang w:val="en-US" w:eastAsia="zh-CN"/>
        </w:rPr>
        <w:t xml:space="preserve">中标单位</w:t>
      </w:r>
      <w:r>
        <w:rPr>
          <w:rFonts w:hint="eastAsia" w:ascii="宋体" w:hAnsi="宋体"/>
          <w:b/>
          <w:bCs/>
          <w:i/>
          <w:color w:val="000000"/>
          <w:sz w:val="24"/>
          <w:szCs w:val="21"/>
          <w:u w:val="single"/>
        </w:rPr>
        <w:t xml:space="preserve">，除不可抗力外，电梯日常维护保养单位接到电梯困人报告后，应当在三十分钟内到达现场开展救援，并及时报告质量技术监督部门；接到其他故障报告后，应当在一小时内到达现场排除故障。（提供上述承诺函）</w:t>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（3）当备件停止生产的情况下，卖方应事先将停止生产的计划通知买方，使买方有足够的时间采购所需的备件；在停止生产后，如买方要求，卖方应免费向买方提供备件的蓝图、图纸和规格。</w:t>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（4）应提供的伴随服务：</w:t>
      </w:r>
      <w:r/>
    </w:p>
    <w:p>
      <w:pPr>
        <w:pStyle w:val="101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1）安装调试中负责进行电气及机械设备维修、操作及对操作、维护人员的培训；免费提供上述服务，并请在投标报价中说明。</w:t>
      </w:r>
      <w:r/>
    </w:p>
    <w:p>
      <w:pPr>
        <w:pStyle w:val="1019"/>
        <w:ind w:firstLine="480"/>
        <w:spacing w:line="360" w:lineRule="auto"/>
        <w:rPr>
          <w:rFonts w:hint="eastAsia" w:ascii="宋体" w:hAnsi="宋体" w:cs="宋体"/>
          <w:color w:val="auto"/>
          <w:sz w:val="24"/>
          <w:szCs w:val="24"/>
        </w:rPr>
      </w:pPr>
      <w:r>
        <w:rPr>
          <w:rFonts w:hint="eastAsia" w:ascii="宋体" w:hAnsi="宋体" w:cs="宋体"/>
          <w:color w:val="000000"/>
          <w:sz w:val="24"/>
          <w:szCs w:val="24"/>
        </w:rPr>
        <w:t xml:space="preserve">2）要求提供的备件：保证货物正常运行的标准配置的附件及专用工具，均应包括在</w:t>
      </w:r>
      <w:r>
        <w:rPr>
          <w:rFonts w:hint="eastAsia" w:ascii="宋体" w:hAnsi="宋体" w:cs="宋体"/>
          <w:color w:val="auto"/>
          <w:sz w:val="24"/>
          <w:szCs w:val="24"/>
        </w:rPr>
        <w:t xml:space="preserve">货物的投标报价中。并应将数量和单价单列，供评标时使用。</w:t>
      </w:r>
      <w:r/>
    </w:p>
    <w:p>
      <w:pPr>
        <w:pStyle w:val="1019"/>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（二）售后服务方案</w:t>
      </w:r>
      <w:r/>
    </w:p>
    <w:p>
      <w:pPr>
        <w:pStyle w:val="1019"/>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1、投标人应制定针对本项目的售后服务方案，包括质保维修方案、售后服务体系、服务范围</w:t>
      </w:r>
      <w:r>
        <w:rPr>
          <w:rFonts w:hint="eastAsia" w:ascii="宋体" w:hAnsi="宋体" w:cs="宋体"/>
          <w:color w:val="auto"/>
          <w:sz w:val="24"/>
          <w:szCs w:val="24"/>
          <w:lang w:val="en-US" w:eastAsia="zh-CN"/>
        </w:rPr>
        <w:t xml:space="preserve">与内容</w:t>
      </w:r>
      <w:r>
        <w:rPr>
          <w:rFonts w:hint="eastAsia" w:ascii="宋体" w:hAnsi="宋体" w:cs="宋体"/>
          <w:color w:val="auto"/>
          <w:sz w:val="24"/>
          <w:szCs w:val="24"/>
        </w:rPr>
        <w:t xml:space="preserve">、响应时间、故障解决方案、专业技术人员保障等。</w:t>
      </w:r>
      <w:r/>
    </w:p>
    <w:p>
      <w:pPr>
        <w:pStyle w:val="1019"/>
        <w:ind w:firstLine="480"/>
        <w:spacing w:line="360" w:lineRule="auto"/>
        <w:rPr>
          <w:rFonts w:hint="eastAsia" w:ascii="宋体" w:hAnsi="宋体" w:cs="仿宋"/>
          <w:bCs/>
          <w:color w:val="auto"/>
          <w:sz w:val="24"/>
          <w:szCs w:val="24"/>
          <w:lang w:val="en-US" w:eastAsia="zh-CN"/>
        </w:rPr>
      </w:pPr>
      <w:r>
        <w:rPr>
          <w:rFonts w:hint="eastAsia" w:ascii="宋体" w:hAnsi="宋体" w:cs="宋体"/>
          <w:color w:val="auto"/>
          <w:sz w:val="24"/>
          <w:szCs w:val="24"/>
        </w:rPr>
        <w:t xml:space="preserve">2、投标人应制定针对本项目的应急处理方案</w:t>
      </w:r>
      <w:r>
        <w:rPr>
          <w:rFonts w:hint="eastAsia" w:ascii="宋体" w:hAnsi="宋体" w:cs="宋体"/>
          <w:color w:val="auto"/>
          <w:sz w:val="24"/>
          <w:szCs w:val="24"/>
          <w:lang w:eastAsia="zh-CN"/>
        </w:rPr>
        <w:t xml:space="preserve">，</w:t>
      </w:r>
      <w:r>
        <w:rPr>
          <w:rFonts w:hint="eastAsia" w:ascii="宋体" w:hAnsi="宋体" w:cs="仿宋"/>
          <w:bCs/>
          <w:color w:val="auto"/>
          <w:sz w:val="24"/>
          <w:szCs w:val="24"/>
        </w:rPr>
        <w:t xml:space="preserve">包括</w:t>
      </w:r>
      <w:r>
        <w:rPr>
          <w:rFonts w:hint="eastAsia" w:ascii="宋体" w:hAnsi="宋体" w:cs="仿宋"/>
          <w:bCs/>
          <w:color w:val="auto"/>
          <w:sz w:val="24"/>
          <w:szCs w:val="24"/>
          <w:lang w:val="en-US" w:eastAsia="zh-CN"/>
        </w:rPr>
        <w:t xml:space="preserve">应急处理体系</w:t>
      </w:r>
      <w:r>
        <w:rPr>
          <w:rFonts w:hint="eastAsia" w:ascii="宋体" w:hAnsi="宋体" w:cs="仿宋"/>
          <w:bCs/>
          <w:color w:val="auto"/>
          <w:sz w:val="24"/>
          <w:szCs w:val="24"/>
        </w:rPr>
        <w:t xml:space="preserve">、</w:t>
      </w:r>
      <w:r>
        <w:rPr>
          <w:rFonts w:hint="eastAsia" w:ascii="宋体" w:hAnsi="宋体" w:cs="仿宋"/>
          <w:bCs/>
          <w:color w:val="auto"/>
          <w:sz w:val="24"/>
          <w:szCs w:val="24"/>
          <w:lang w:val="en-US" w:eastAsia="zh-CN"/>
        </w:rPr>
        <w:t xml:space="preserve">电梯事故应急救援方案、意外事件应急措施、相关记录等。</w:t>
      </w:r>
      <w:r/>
    </w:p>
    <w:p>
      <w:pPr>
        <w:pStyle w:val="1019"/>
        <w:ind w:firstLine="480"/>
        <w:spacing w:line="360" w:lineRule="auto"/>
        <w:rPr>
          <w:rFonts w:ascii="宋体" w:hAnsi="宋体" w:cs="宋体"/>
          <w:color w:val="auto"/>
          <w:sz w:val="24"/>
          <w:szCs w:val="24"/>
        </w:rPr>
      </w:pPr>
      <w:r>
        <w:rPr>
          <w:rFonts w:hint="eastAsia" w:ascii="宋体" w:hAnsi="宋体" w:cs="仿宋"/>
          <w:bCs/>
          <w:color w:val="auto"/>
          <w:sz w:val="24"/>
          <w:szCs w:val="24"/>
          <w:lang w:val="en-US" w:eastAsia="zh-CN"/>
        </w:rPr>
        <w:t xml:space="preserve">3、</w:t>
      </w:r>
      <w:r>
        <w:rPr>
          <w:rFonts w:hint="eastAsia" w:ascii="宋体" w:hAnsi="宋体" w:cs="宋体"/>
          <w:color w:val="auto"/>
          <w:sz w:val="24"/>
          <w:szCs w:val="24"/>
        </w:rPr>
        <w:t xml:space="preserve">投标人应制定针对本项目的培训方案，包括培训内容、培训方式、培训人员、培训频次等内容。</w:t>
      </w:r>
      <w:r/>
    </w:p>
    <w:p>
      <w:pPr>
        <w:pStyle w:val="1019"/>
        <w:ind w:firstLine="482"/>
        <w:spacing w:line="360" w:lineRule="auto"/>
        <w:rPr>
          <w:rFonts w:ascii="宋体" w:hAnsi="宋体" w:cs="宋体"/>
          <w:color w:val="auto"/>
          <w:sz w:val="24"/>
          <w:szCs w:val="24"/>
        </w:rPr>
      </w:pPr>
      <w:r>
        <w:rPr>
          <w:rFonts w:hint="eastAsia" w:ascii="宋体" w:hAnsi="宋体" w:cs="宋体"/>
          <w:b/>
          <w:color w:val="auto"/>
          <w:sz w:val="24"/>
          <w:szCs w:val="24"/>
        </w:rPr>
        <w:t xml:space="preserve">4、验收标准：</w:t>
      </w:r>
      <w:r>
        <w:rPr>
          <w:rFonts w:hint="eastAsia" w:ascii="宋体" w:hAnsi="宋体" w:cs="宋体"/>
          <w:color w:val="auto"/>
          <w:sz w:val="24"/>
          <w:szCs w:val="24"/>
        </w:rPr>
        <w:t xml:space="preserve">采购人验收，供应商安装调试结束，取得安全检验合格证及电梯使用登记证，且能正常使用。</w:t>
      </w:r>
      <w:r/>
    </w:p>
    <w:p>
      <w:pPr>
        <w:pStyle w:val="1019"/>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b/>
          <w:bCs/>
          <w:color w:val="auto"/>
          <w:sz w:val="24"/>
          <w:szCs w:val="24"/>
        </w:rPr>
        <w:t xml:space="preserve">其他要求</w:t>
      </w:r>
      <w:r>
        <w:rPr>
          <w:rFonts w:hint="eastAsia" w:ascii="宋体" w:hAnsi="宋体" w:cs="宋体"/>
          <w:color w:val="auto"/>
          <w:sz w:val="24"/>
          <w:szCs w:val="24"/>
        </w:rPr>
        <w:t xml:space="preserve">：</w:t>
      </w:r>
      <w:r/>
    </w:p>
    <w:p>
      <w:pPr>
        <w:pStyle w:val="1019"/>
        <w:ind w:firstLine="482"/>
        <w:spacing w:line="360" w:lineRule="auto"/>
        <w:rPr>
          <w:rFonts w:hint="default" w:ascii="宋体" w:hAnsi="宋体" w:eastAsia="宋体" w:cs="宋体"/>
          <w:color w:val="auto"/>
          <w:sz w:val="24"/>
          <w:szCs w:val="24"/>
          <w:lang w:val="en-US" w:eastAsia="zh-CN"/>
        </w:rPr>
      </w:pPr>
      <w:r>
        <w:rPr>
          <w:rFonts w:hint="eastAsia" w:ascii="宋体" w:hAnsi="宋体"/>
          <w:b/>
          <w:bCs/>
          <w:i/>
          <w:color w:val="auto"/>
          <w:sz w:val="24"/>
          <w:szCs w:val="21"/>
          <w:u w:val="single"/>
        </w:rPr>
        <w:t xml:space="preserve">本项目所采购电梯质保期内，采购电梯每年的年检费、电梯保险费</w:t>
      </w:r>
      <w:r>
        <w:rPr>
          <w:rFonts w:hint="eastAsia" w:ascii="宋体" w:hAnsi="宋体"/>
          <w:b/>
          <w:bCs/>
          <w:i/>
          <w:color w:val="auto"/>
          <w:sz w:val="24"/>
          <w:szCs w:val="21"/>
          <w:u w:val="single"/>
          <w:lang w:val="en-US" w:eastAsia="zh-CN"/>
        </w:rPr>
        <w:t xml:space="preserve">等所有费用</w:t>
      </w:r>
      <w:r>
        <w:rPr>
          <w:rFonts w:hint="eastAsia" w:ascii="宋体" w:hAnsi="宋体"/>
          <w:b/>
          <w:bCs/>
          <w:i/>
          <w:color w:val="auto"/>
          <w:sz w:val="24"/>
          <w:szCs w:val="21"/>
          <w:u w:val="single"/>
        </w:rPr>
        <w:t xml:space="preserve">由中标单位承担。</w:t>
      </w:r>
      <w:r>
        <w:rPr>
          <w:rFonts w:hint="eastAsia" w:ascii="宋体" w:hAnsi="宋体"/>
          <w:b/>
          <w:bCs/>
          <w:i/>
          <w:color w:val="auto"/>
          <w:sz w:val="24"/>
          <w:szCs w:val="21"/>
          <w:u w:val="single"/>
          <w:lang w:val="en-US" w:eastAsia="zh-CN"/>
        </w:rPr>
        <w:t xml:space="preserve">如中标单位承诺延长免费维保期的，采购电梯（除人为损坏及进水导致的故障以外）每年的年检费、电梯保险费等所有费用由中标单位承担。</w:t>
      </w:r>
      <w:r/>
    </w:p>
    <w:p>
      <w:pPr>
        <w:pStyle w:val="904"/>
        <w:jc w:val="both"/>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三、具体技术要求</w:t>
      </w:r>
      <w:r/>
    </w:p>
    <w:p>
      <w:pPr>
        <w:pStyle w:val="904"/>
        <w:ind w:firstLine="481"/>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本项目采购电梯的曳引机（主机）、控制柜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门机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安全钳及限速器</w:t>
      </w:r>
      <w:r>
        <w:rPr>
          <w:rFonts w:hint="eastAsia" w:ascii="宋体" w:hAnsi="宋体" w:eastAsia="宋体" w:cs="宋体"/>
          <w:color w:val="000000"/>
          <w:sz w:val="24"/>
          <w:szCs w:val="24"/>
        </w:rPr>
        <w:t xml:space="preserve">，须与对应整机型式试验报告的品牌及型号一致</w:t>
      </w:r>
      <w:r>
        <w:rPr>
          <w:rFonts w:hint="eastAsia" w:ascii="宋体" w:hAnsi="宋体" w:eastAsia="宋体" w:cs="宋体"/>
          <w:color w:val="000000"/>
          <w:sz w:val="24"/>
          <w:szCs w:val="24"/>
          <w:lang w:eastAsia="zh-CN"/>
        </w:rPr>
        <w:t xml:space="preserve">。</w:t>
      </w:r>
      <w:bookmarkStart w:id="196" w:name="_GoBack"/>
      <w:r/>
      <w:bookmarkEnd w:id="196"/>
      <w:r/>
      <w:r/>
    </w:p>
    <w:p>
      <w:pPr>
        <w:ind w:firstLine="481"/>
        <w:rPr>
          <w:rFonts w:hint="eastAsia" w:ascii="宋体" w:hAnsi="宋体" w:cs="宋体"/>
          <w:color w:val="000000"/>
          <w:sz w:val="24"/>
          <w:szCs w:val="24"/>
        </w:rPr>
      </w:pPr>
      <w:r>
        <w:rPr>
          <w:rFonts w:hint="eastAsia" w:ascii="宋体" w:hAnsi="宋体" w:cs="宋体"/>
          <w:color w:val="000000"/>
          <w:sz w:val="24"/>
          <w:szCs w:val="24"/>
        </w:rPr>
        <w:t xml:space="preserve">本项目采购电梯的</w:t>
      </w:r>
      <w:r>
        <w:rPr>
          <w:rFonts w:hint="eastAsia" w:ascii="宋体" w:hAnsi="宋体" w:cs="仿宋"/>
          <w:bCs/>
          <w:color w:val="000000"/>
          <w:sz w:val="24"/>
          <w:szCs w:val="24"/>
        </w:rPr>
        <w:t xml:space="preserve">轿门门锁、层门门锁、缓冲器、上行超速保护装置、轿厢意外移动保护装置</w:t>
      </w:r>
      <w:r>
        <w:rPr>
          <w:rFonts w:hint="eastAsia" w:hAnsi="宋体" w:cs="Calibri"/>
          <w:color w:val="000000"/>
          <w:sz w:val="24"/>
          <w:szCs w:val="24"/>
        </w:rPr>
        <w:t xml:space="preserve">，需与对应整机型式试验报告的品牌及型号一致</w:t>
      </w:r>
      <w:r>
        <w:rPr>
          <w:rFonts w:hint="eastAsia" w:ascii="宋体" w:hAnsi="宋体" w:cs="宋体"/>
          <w:color w:val="000000"/>
          <w:sz w:val="24"/>
          <w:szCs w:val="24"/>
        </w:rPr>
        <w:t xml:space="preserve">。</w:t>
      </w:r>
      <w:r/>
    </w:p>
    <w:p>
      <w:pPr>
        <w:ind w:firstLine="481"/>
        <w:rPr>
          <w:rFonts w:hint="eastAsia" w:ascii="宋体" w:hAnsi="宋体" w:cs="宋体"/>
          <w:color w:val="000000"/>
          <w:sz w:val="24"/>
          <w:szCs w:val="24"/>
        </w:rPr>
      </w:pPr>
      <w:r>
        <w:rPr>
          <w:rFonts w:hint="eastAsia" w:ascii="宋体" w:hAnsi="宋体" w:cs="宋体"/>
          <w:color w:val="000000"/>
          <w:sz w:val="24"/>
          <w:szCs w:val="24"/>
        </w:rPr>
        <w:t xml:space="preserve">本项目采购电梯，电梯安装后应满足《中华人民共和国特种设备安全法》、</w:t>
      </w:r>
      <w:r>
        <w:rPr>
          <w:rFonts w:hint="eastAsia" w:ascii="宋体" w:hAnsi="宋体" w:cs="宋体"/>
          <w:sz w:val="24"/>
          <w:szCs w:val="24"/>
        </w:rPr>
        <w:t xml:space="preserve">《电梯制造与安装安全规范》（GB7588-2020）、《电梯工程施工质量验收规范》（GB50310-2016）、《电梯型式试验规则》（TSG T7001-2016）、《电梯技术条件》</w:t>
      </w:r>
      <w:r>
        <w:rPr>
          <w:rFonts w:hint="eastAsia" w:ascii="宋体" w:hAnsi="宋体" w:cs="宋体"/>
          <w:color w:val="000000"/>
          <w:sz w:val="24"/>
          <w:szCs w:val="24"/>
        </w:rPr>
        <w:t xml:space="preserve">（GB10058-2009）、《电梯安装验收规范》（GB10060-2011）及国家现行其它规范、标准等所规定的规范要求。</w:t>
      </w:r>
      <w:r/>
    </w:p>
    <w:p>
      <w:pPr>
        <w:ind w:firstLine="481"/>
        <w:rPr>
          <w:rFonts w:hint="eastAsia" w:ascii="宋体" w:hAnsi="宋体" w:cs="宋体"/>
          <w:color w:val="000000"/>
          <w:sz w:val="24"/>
          <w:szCs w:val="24"/>
        </w:rPr>
      </w:pPr>
      <w:r>
        <w:rPr>
          <w:rFonts w:hint="eastAsia" w:ascii="宋体" w:hAnsi="宋体" w:cs="宋体"/>
          <w:color w:val="000000"/>
          <w:sz w:val="24"/>
          <w:szCs w:val="24"/>
        </w:rPr>
        <w:t xml:space="preserve">性能要求：</w:t>
      </w:r>
      <w:r/>
    </w:p>
    <w:p>
      <w:pPr>
        <w:numPr>
          <w:ilvl w:val="0"/>
          <w:numId w:val="12"/>
        </w:numPr>
        <w:ind w:firstLine="481"/>
        <w:rPr>
          <w:rFonts w:hint="eastAsia" w:ascii="宋体" w:hAnsi="宋体" w:cs="宋体"/>
          <w:color w:val="000000"/>
          <w:sz w:val="24"/>
          <w:szCs w:val="24"/>
        </w:rPr>
      </w:pPr>
      <w:r>
        <w:rPr>
          <w:rFonts w:hint="eastAsia" w:ascii="宋体" w:hAnsi="宋体" w:cs="宋体"/>
          <w:color w:val="000000"/>
          <w:sz w:val="24"/>
          <w:szCs w:val="24"/>
        </w:rPr>
        <w:t xml:space="preserve">监控线：每部梯随行电缆中应配一根屏蔽监控软线缆，便于今后在轿厢中安装监控探头；同时投标人须在轿厢内预留监控探头的接口。</w:t>
      </w:r>
      <w:r/>
    </w:p>
    <w:p>
      <w:pPr>
        <w:numPr>
          <w:ilvl w:val="0"/>
          <w:numId w:val="12"/>
        </w:numPr>
        <w:ind w:firstLine="481"/>
        <w:rPr>
          <w:rFonts w:ascii="宋体" w:hAnsi="宋体"/>
          <w:color w:val="000000"/>
          <w:sz w:val="24"/>
          <w:szCs w:val="24"/>
        </w:rPr>
      </w:pPr>
      <w:r>
        <w:rPr>
          <w:rFonts w:hint="eastAsia" w:ascii="宋体" w:hAnsi="宋体"/>
          <w:color w:val="000000"/>
          <w:sz w:val="24"/>
          <w:szCs w:val="24"/>
        </w:rPr>
        <w:t xml:space="preserve">电梯运行噪声达标：运行时机房内平均噪声值：≤80dB，运行中轿厢内最大噪声值：≤60dB，开关门过程最大噪声值：≤65dB。</w:t>
      </w:r>
      <w:r/>
    </w:p>
    <w:p>
      <w:pPr>
        <w:numPr>
          <w:ilvl w:val="0"/>
          <w:numId w:val="12"/>
        </w:numPr>
        <w:ind w:firstLine="481"/>
        <w:rPr>
          <w:rFonts w:ascii="宋体" w:hAnsi="宋体"/>
          <w:color w:val="000000"/>
          <w:sz w:val="24"/>
          <w:szCs w:val="24"/>
        </w:rPr>
      </w:pPr>
      <w:r>
        <w:rPr>
          <w:rFonts w:ascii="宋体" w:hAnsi="宋体"/>
          <w:color w:val="000000"/>
          <w:sz w:val="24"/>
          <w:szCs w:val="24"/>
        </w:rPr>
        <w:t xml:space="preserve">提升电梯运行舒适感，轿厢垂直方向和水平方向的振动加速度：轿厢垂直震动≤ 0.2M/s2</w:t>
      </w:r>
      <w:r>
        <w:rPr>
          <w:rFonts w:hint="eastAsia" w:ascii="宋体" w:hAnsi="宋体"/>
          <w:color w:val="000000"/>
          <w:sz w:val="24"/>
          <w:szCs w:val="24"/>
        </w:rPr>
        <w:t xml:space="preserve">，</w:t>
      </w:r>
      <w:r>
        <w:rPr>
          <w:rFonts w:ascii="宋体" w:hAnsi="宋体"/>
          <w:color w:val="000000"/>
          <w:sz w:val="24"/>
          <w:szCs w:val="24"/>
        </w:rPr>
        <w:t xml:space="preserve">轿厢水平震动≤ 0.2m/s2</w:t>
      </w:r>
      <w:r>
        <w:rPr>
          <w:rFonts w:hint="eastAsia" w:ascii="宋体" w:hAnsi="宋体"/>
          <w:color w:val="000000"/>
          <w:sz w:val="24"/>
          <w:szCs w:val="24"/>
        </w:rPr>
        <w:t xml:space="preserve">。</w:t>
      </w:r>
      <w:r/>
    </w:p>
    <w:p>
      <w:pPr>
        <w:numPr>
          <w:ilvl w:val="0"/>
          <w:numId w:val="12"/>
        </w:numPr>
        <w:ind w:firstLine="481"/>
        <w:rPr>
          <w:rFonts w:ascii="宋体" w:hAnsi="宋体"/>
          <w:color w:val="000000"/>
          <w:sz w:val="24"/>
          <w:szCs w:val="24"/>
        </w:rPr>
      </w:pPr>
      <w:r>
        <w:rPr>
          <w:rFonts w:ascii="宋体" w:hAnsi="宋体"/>
          <w:color w:val="000000"/>
          <w:sz w:val="24"/>
          <w:szCs w:val="24"/>
        </w:rPr>
        <w:t xml:space="preserve">自动精确平层：平层精度应小于±3mm</w:t>
      </w:r>
      <w:r>
        <w:rPr>
          <w:rFonts w:hint="eastAsia" w:ascii="宋体" w:hAnsi="宋体"/>
          <w:color w:val="000000"/>
          <w:sz w:val="24"/>
          <w:szCs w:val="24"/>
        </w:rPr>
        <w:t xml:space="preserve">。</w:t>
      </w:r>
      <w:r/>
    </w:p>
    <w:p>
      <w:pPr>
        <w:numPr>
          <w:ilvl w:val="0"/>
          <w:numId w:val="12"/>
        </w:numPr>
        <w:ind w:firstLine="481"/>
        <w:rPr>
          <w:rFonts w:ascii="宋体" w:hAnsi="宋体"/>
          <w:color w:val="000000"/>
          <w:sz w:val="24"/>
          <w:szCs w:val="24"/>
        </w:rPr>
      </w:pPr>
      <w:r>
        <w:rPr>
          <w:rFonts w:ascii="宋体" w:hAnsi="宋体"/>
          <w:color w:val="000000"/>
          <w:sz w:val="24"/>
          <w:szCs w:val="24"/>
        </w:rPr>
        <w:t xml:space="preserve">电梯基站位置可调，具有基站返回功能（可根据用户实际使用情况设定返回层）。</w:t>
      </w:r>
      <w:r/>
    </w:p>
    <w:p>
      <w:pPr>
        <w:numPr>
          <w:ilvl w:val="0"/>
          <w:numId w:val="12"/>
        </w:numPr>
        <w:ind w:firstLine="481"/>
        <w:rPr>
          <w:rFonts w:ascii="宋体" w:hAnsi="宋体"/>
          <w:color w:val="000000"/>
          <w:sz w:val="24"/>
          <w:szCs w:val="24"/>
        </w:rPr>
      </w:pPr>
      <w:r>
        <w:rPr>
          <w:rFonts w:ascii="宋体" w:hAnsi="宋体"/>
          <w:color w:val="000000"/>
          <w:sz w:val="24"/>
          <w:szCs w:val="24"/>
        </w:rPr>
        <w:t xml:space="preserve">停电应急自平层功能：突发停电时，电梯可就近平层，开门放人。</w:t>
      </w:r>
      <w:r/>
    </w:p>
    <w:p>
      <w:pPr>
        <w:numPr>
          <w:ilvl w:val="0"/>
          <w:numId w:val="12"/>
        </w:numPr>
        <w:ind w:firstLine="481"/>
        <w:rPr>
          <w:rFonts w:ascii="宋体" w:hAnsi="宋体"/>
          <w:color w:val="000000"/>
          <w:sz w:val="24"/>
          <w:szCs w:val="24"/>
        </w:rPr>
      </w:pPr>
      <w:r>
        <w:rPr>
          <w:rFonts w:ascii="宋体" w:hAnsi="宋体"/>
          <w:color w:val="000000"/>
          <w:sz w:val="24"/>
          <w:szCs w:val="24"/>
        </w:rPr>
        <w:t xml:space="preserve">所投电梯曳引机制动器，轿厢内加载至额定载荷并保持60min，主机制动器各部件完好，曳引轮不转动、轿厢未发生明显位移，制动器可保持良好的静态制动性能。</w:t>
      </w:r>
      <w:r/>
    </w:p>
    <w:p>
      <w:pPr>
        <w:numPr>
          <w:ilvl w:val="0"/>
          <w:numId w:val="12"/>
        </w:numPr>
        <w:ind w:firstLine="481"/>
        <w:rPr>
          <w:rFonts w:ascii="宋体" w:hAnsi="宋体"/>
          <w:color w:val="000000"/>
          <w:sz w:val="24"/>
          <w:szCs w:val="24"/>
        </w:rPr>
      </w:pPr>
      <w:r>
        <w:rPr>
          <w:rFonts w:ascii="宋体" w:hAnsi="宋体"/>
          <w:color w:val="000000"/>
          <w:sz w:val="24"/>
          <w:szCs w:val="24"/>
        </w:rPr>
        <w:t xml:space="preserve">投标电梯曳引机实测温升，曳引机实测温升</w:t>
      </w:r>
      <w:r>
        <w:rPr>
          <w:rFonts w:hint="eastAsia" w:ascii="宋体" w:hAnsi="宋体"/>
          <w:color w:val="000000"/>
          <w:sz w:val="24"/>
          <w:szCs w:val="24"/>
        </w:rPr>
        <w:t xml:space="preserve">应</w:t>
      </w:r>
      <w:r>
        <w:rPr>
          <w:rFonts w:ascii="宋体" w:hAnsi="宋体"/>
          <w:color w:val="000000"/>
          <w:sz w:val="24"/>
          <w:szCs w:val="24"/>
        </w:rPr>
        <w:t xml:space="preserve">≤</w:t>
      </w:r>
      <w:r>
        <w:rPr>
          <w:rFonts w:hint="eastAsia" w:ascii="宋体" w:hAnsi="宋体"/>
          <w:color w:val="000000"/>
          <w:sz w:val="24"/>
          <w:szCs w:val="24"/>
        </w:rPr>
        <w:t xml:space="preserve">8</w:t>
      </w:r>
      <w:r>
        <w:rPr>
          <w:rFonts w:ascii="宋体" w:hAnsi="宋体"/>
          <w:color w:val="000000"/>
          <w:sz w:val="24"/>
          <w:szCs w:val="24"/>
        </w:rPr>
        <w:t xml:space="preserve">5K</w:t>
      </w:r>
      <w:r>
        <w:rPr>
          <w:rFonts w:hint="eastAsia" w:ascii="宋体" w:hAnsi="宋体"/>
          <w:color w:val="000000"/>
          <w:sz w:val="24"/>
          <w:szCs w:val="24"/>
        </w:rPr>
        <w:t xml:space="preserve">。</w:t>
      </w:r>
      <w:r/>
    </w:p>
    <w:p>
      <w:pPr>
        <w:numPr>
          <w:ilvl w:val="0"/>
          <w:numId w:val="12"/>
        </w:numPr>
        <w:ind w:firstLine="481"/>
        <w:rPr>
          <w:rFonts w:ascii="宋体" w:hAnsi="宋体"/>
          <w:color w:val="000000"/>
          <w:sz w:val="24"/>
          <w:szCs w:val="24"/>
        </w:rPr>
      </w:pPr>
      <w:r>
        <w:rPr>
          <w:rFonts w:ascii="宋体" w:hAnsi="宋体"/>
          <w:color w:val="000000"/>
          <w:sz w:val="24"/>
          <w:szCs w:val="24"/>
        </w:rPr>
        <w:t xml:space="preserve">本次所投型号电梯的主机功率因数</w:t>
      </w:r>
      <w:r>
        <w:rPr>
          <w:rFonts w:hint="eastAsia" w:ascii="宋体" w:hAnsi="宋体"/>
          <w:color w:val="000000"/>
          <w:sz w:val="24"/>
          <w:szCs w:val="24"/>
        </w:rPr>
        <w:t xml:space="preserve">应</w:t>
      </w:r>
      <w:r>
        <w:rPr>
          <w:rFonts w:ascii="宋体" w:hAnsi="宋体"/>
          <w:color w:val="000000"/>
          <w:sz w:val="24"/>
          <w:szCs w:val="24"/>
        </w:rPr>
        <w:t xml:space="preserve">≥0.9</w:t>
      </w:r>
      <w:r>
        <w:rPr>
          <w:rFonts w:hint="eastAsia" w:ascii="宋体" w:hAnsi="宋体"/>
          <w:color w:val="000000"/>
          <w:sz w:val="24"/>
          <w:szCs w:val="24"/>
        </w:rPr>
        <w:t xml:space="preserve">3。</w:t>
      </w:r>
      <w:r/>
    </w:p>
    <w:p>
      <w:pPr>
        <w:numPr>
          <w:ilvl w:val="0"/>
          <w:numId w:val="12"/>
        </w:numPr>
        <w:ind w:firstLine="481"/>
        <w:rPr>
          <w:rFonts w:ascii="宋体" w:hAnsi="宋体"/>
          <w:color w:val="000000"/>
          <w:sz w:val="24"/>
          <w:szCs w:val="24"/>
        </w:rPr>
      </w:pPr>
      <w:r>
        <w:rPr>
          <w:rFonts w:ascii="宋体" w:hAnsi="宋体"/>
          <w:color w:val="000000"/>
          <w:sz w:val="24"/>
          <w:szCs w:val="24"/>
        </w:rPr>
        <w:t xml:space="preserve">所投电梯的曳引机机壳防护等级</w:t>
      </w:r>
      <w:r>
        <w:rPr>
          <w:rFonts w:hint="eastAsia" w:ascii="宋体" w:hAnsi="宋体"/>
          <w:color w:val="000000"/>
          <w:sz w:val="24"/>
          <w:szCs w:val="24"/>
        </w:rPr>
        <w:t xml:space="preserve">应</w:t>
      </w:r>
      <w:r>
        <w:rPr>
          <w:rFonts w:ascii="Arial" w:hAnsi="Arial" w:cs="Arial"/>
          <w:color w:val="000000"/>
          <w:sz w:val="24"/>
          <w:szCs w:val="24"/>
        </w:rPr>
        <w:t xml:space="preserve">≥</w:t>
      </w:r>
      <w:r>
        <w:rPr>
          <w:rFonts w:ascii="宋体" w:hAnsi="宋体"/>
          <w:color w:val="000000"/>
          <w:sz w:val="24"/>
          <w:szCs w:val="24"/>
        </w:rPr>
        <w:t xml:space="preserve">IP</w:t>
      </w:r>
      <w:r>
        <w:rPr>
          <w:rFonts w:hint="eastAsia" w:ascii="宋体" w:hAnsi="宋体"/>
          <w:color w:val="000000"/>
          <w:sz w:val="24"/>
          <w:szCs w:val="24"/>
        </w:rPr>
        <w:t xml:space="preserve">31。</w:t>
      </w:r>
      <w:r/>
    </w:p>
    <w:p>
      <w:pPr>
        <w:numPr>
          <w:ilvl w:val="0"/>
          <w:numId w:val="12"/>
        </w:numPr>
        <w:ind w:firstLine="481"/>
        <w:rPr>
          <w:rFonts w:ascii="宋体" w:hAnsi="宋体"/>
          <w:color w:val="000000"/>
          <w:sz w:val="24"/>
          <w:szCs w:val="24"/>
        </w:rPr>
      </w:pPr>
      <w:r>
        <w:rPr>
          <w:rFonts w:ascii="宋体" w:hAnsi="宋体"/>
          <w:color w:val="000000"/>
          <w:sz w:val="24"/>
          <w:szCs w:val="24"/>
        </w:rPr>
        <w:t xml:space="preserve">所投电梯的控制柜柜壳防护等级</w:t>
      </w:r>
      <w:r>
        <w:rPr>
          <w:rFonts w:hint="eastAsia" w:ascii="宋体" w:hAnsi="宋体"/>
          <w:color w:val="000000"/>
          <w:sz w:val="24"/>
          <w:szCs w:val="24"/>
        </w:rPr>
        <w:t xml:space="preserve">应</w:t>
      </w:r>
      <w:r>
        <w:rPr>
          <w:rFonts w:ascii="Arial" w:hAnsi="Arial" w:cs="Arial"/>
          <w:color w:val="000000"/>
          <w:sz w:val="24"/>
          <w:szCs w:val="24"/>
        </w:rPr>
        <w:t xml:space="preserve">≥</w:t>
      </w:r>
      <w:r>
        <w:rPr>
          <w:rFonts w:hint="eastAsia" w:ascii="宋体" w:hAnsi="宋体"/>
          <w:color w:val="000000"/>
          <w:sz w:val="24"/>
          <w:szCs w:val="24"/>
        </w:rPr>
        <w:t xml:space="preserve">IP42。</w:t>
      </w:r>
      <w:r/>
    </w:p>
    <w:p>
      <w:pPr>
        <w:numPr>
          <w:ilvl w:val="0"/>
          <w:numId w:val="12"/>
        </w:numPr>
        <w:ind w:firstLine="481"/>
        <w:rPr>
          <w:rFonts w:ascii="宋体" w:hAnsi="宋体"/>
          <w:color w:val="000000"/>
          <w:sz w:val="24"/>
          <w:szCs w:val="24"/>
        </w:rPr>
      </w:pPr>
      <w:r>
        <w:rPr>
          <w:rFonts w:hint="eastAsia" w:ascii="宋体" w:hAnsi="宋体"/>
          <w:color w:val="000000"/>
          <w:sz w:val="24"/>
          <w:szCs w:val="24"/>
          <w:lang w:val="en-US" w:eastAsia="zh-CN"/>
        </w:rPr>
        <w:t xml:space="preserve">所投电梯的层门锁装置应通过耐久性试验，动作寿命</w:t>
      </w:r>
      <w:r>
        <w:rPr>
          <w:rFonts w:hint="eastAsia" w:ascii="宋体" w:hAnsi="宋体"/>
          <w:color w:val="000000"/>
          <w:sz w:val="24"/>
          <w:szCs w:val="24"/>
        </w:rPr>
        <w:t xml:space="preserve">应</w:t>
      </w:r>
      <w:r>
        <w:rPr>
          <w:rFonts w:hint="eastAsia" w:ascii="Arial" w:hAnsi="Arial" w:cs="Arial"/>
          <w:color w:val="000000"/>
          <w:sz w:val="24"/>
          <w:szCs w:val="24"/>
          <w:lang w:val="en-US" w:eastAsia="zh-CN"/>
        </w:rPr>
        <w:t xml:space="preserve">达到</w:t>
      </w:r>
      <w:r>
        <w:rPr>
          <w:rFonts w:hint="eastAsia" w:ascii="宋体" w:hAnsi="宋体"/>
          <w:color w:val="000000"/>
          <w:sz w:val="24"/>
          <w:szCs w:val="24"/>
          <w:lang w:val="en-US" w:eastAsia="zh-CN"/>
        </w:rPr>
        <w:t xml:space="preserve">750万次。</w:t>
      </w:r>
      <w:r/>
    </w:p>
    <w:p>
      <w:pPr>
        <w:numPr>
          <w:ilvl w:val="0"/>
          <w:numId w:val="12"/>
        </w:numPr>
        <w:ind w:firstLine="481"/>
        <w:rPr>
          <w:rFonts w:ascii="宋体" w:hAnsi="宋体"/>
          <w:color w:val="000000"/>
          <w:sz w:val="24"/>
          <w:szCs w:val="24"/>
        </w:rPr>
      </w:pPr>
      <w:r>
        <w:rPr>
          <w:rFonts w:hint="eastAsia" w:ascii="宋体" w:hAnsi="宋体"/>
          <w:color w:val="000000"/>
          <w:sz w:val="24"/>
          <w:szCs w:val="24"/>
          <w:lang w:val="en-US" w:eastAsia="zh-CN"/>
        </w:rPr>
        <w:t xml:space="preserve">所投电梯的曳引机能效等级应达到2级。</w:t>
      </w:r>
      <w:r/>
    </w:p>
    <w:p>
      <w:pPr>
        <w:numPr>
          <w:ilvl w:val="0"/>
          <w:numId w:val="12"/>
        </w:numPr>
        <w:ind w:firstLine="481"/>
        <w:rPr>
          <w:rFonts w:ascii="宋体" w:hAnsi="宋体"/>
          <w:color w:val="000000"/>
          <w:sz w:val="24"/>
          <w:szCs w:val="24"/>
        </w:rPr>
      </w:pPr>
      <w:r>
        <w:rPr>
          <w:rFonts w:hint="eastAsia" w:ascii="宋体" w:hAnsi="宋体"/>
          <w:color w:val="000000"/>
          <w:sz w:val="24"/>
          <w:szCs w:val="24"/>
          <w:lang w:val="en-US" w:eastAsia="zh-CN"/>
        </w:rPr>
        <w:t xml:space="preserve">所投电梯的光幕的光束数目</w:t>
      </w:r>
      <w:r>
        <w:rPr>
          <w:rFonts w:ascii="Arial" w:hAnsi="Arial" w:cs="Arial"/>
          <w:color w:val="000000"/>
          <w:sz w:val="24"/>
          <w:szCs w:val="24"/>
        </w:rPr>
        <w:t xml:space="preserve">≥</w:t>
      </w:r>
      <w:r>
        <w:rPr>
          <w:rFonts w:hint="eastAsia" w:ascii="宋体" w:hAnsi="宋体"/>
          <w:color w:val="000000"/>
          <w:sz w:val="24"/>
          <w:szCs w:val="24"/>
          <w:lang w:val="en-US" w:eastAsia="zh-CN"/>
        </w:rPr>
        <w:t xml:space="preserve">120束。</w:t>
      </w:r>
      <w:r/>
    </w:p>
    <w:p>
      <w:pPr>
        <w:pStyle w:val="904"/>
        <w:jc w:val="both"/>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1、药学院</w:t>
      </w:r>
      <w:r/>
    </w:p>
    <w:tbl>
      <w:tblPr>
        <w:tblStyle w:val="733"/>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技术参数及要求</w:t>
            </w:r>
            <w:r/>
          </w:p>
        </w:tc>
        <w:tc>
          <w:tcPr>
            <w:tcW w:w="3969"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招标要求</w:t>
            </w:r>
            <w:r/>
          </w:p>
        </w:tc>
        <w:tc>
          <w:tcPr>
            <w:tcW w:w="1417"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备注</w:t>
            </w:r>
            <w:r/>
          </w:p>
        </w:tc>
      </w:tr>
      <w:tr>
        <w:trPr>
          <w:trHeight w:val="782"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建筑尺寸</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2300*2700，以现场实际尺寸为准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76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64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4300，以现场实际尺寸为准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机房</w:t>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顶楼</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底坑深度（mm）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1700，以现场实际尺寸为准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配置要求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p>
        </w:tc>
        <w:tc>
          <w:tcPr>
            <w:tcW w:w="3969" w:type="dxa"/>
            <w:vAlign w:val="center"/>
            <w:textDirection w:val="lrTb"/>
            <w:noWrap w:val="false"/>
          </w:tcPr>
          <w:p>
            <w:pPr>
              <w:pStyle w:val="1020"/>
              <w:jc w:val="center"/>
              <w:spacing w:after="100" w:afterAutospacing="1"/>
              <w:rPr>
                <w:rFonts w:hint="default" w:ascii="宋体" w:hAnsi="宋体" w:eastAsia="宋体" w:cs="宋体"/>
                <w:lang w:val="en-US" w:eastAsia="zh-CN"/>
              </w:rPr>
            </w:pPr>
            <w:r>
              <w:rPr>
                <w:rFonts w:hint="eastAsia" w:ascii="宋体" w:hAnsi="宋体" w:eastAsia="宋体" w:cs="宋体"/>
              </w:rPr>
              <w:t xml:space="preserve">光幕保护</w:t>
            </w:r>
            <w:r>
              <w:rPr>
                <w:rFonts w:hint="eastAsia" w:ascii="宋体" w:hAnsi="宋体" w:eastAsia="宋体" w:cs="宋体"/>
                <w:lang w:eastAsia="zh-CN"/>
              </w:rPr>
              <w:t xml:space="preserve">，</w:t>
            </w:r>
            <w:r>
              <w:rPr>
                <w:rFonts w:hint="eastAsia" w:ascii="宋体" w:hAnsi="宋体" w:eastAsia="宋体" w:cs="宋体"/>
                <w:lang w:val="en-US" w:eastAsia="zh-CN"/>
              </w:rPr>
              <w:t xml:space="preserve">不小于120束</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380V 50H    Z220V+10% 50HZ</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性能要求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额定速度允差：-5%到+3%（国标）</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振动（按照ISO18738）：垂直（平均）≤15mg；水平（平均）≤15mg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满足国家标准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≥1000kg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≥1.75m/s</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6</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spacing w:line="276" w:lineRule="auto"/>
              <w:rPr>
                <w:rFonts w:ascii="宋体" w:hAnsi="宋体" w:cs="宋体"/>
                <w:color w:val="auto"/>
                <w:sz w:val="24"/>
                <w:szCs w:val="24"/>
              </w:rPr>
            </w:pPr>
            <w:r>
              <w:rPr>
                <w:rFonts w:hint="eastAsia" w:ascii="宋体" w:hAnsi="宋体" w:cs="宋体"/>
                <w:color w:val="auto"/>
                <w:sz w:val="24"/>
                <w:szCs w:val="24"/>
              </w:rPr>
              <w:t xml:space="preserve">内外装饰要求</w:t>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w:t>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轿厢顶</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lang w:val="en-US" w:eastAsia="zh-CN"/>
              </w:rPr>
              <w:t xml:space="preserve">配置通风，</w:t>
            </w:r>
            <w:r>
              <w:rPr>
                <w:rFonts w:hint="eastAsia" w:ascii="宋体" w:hAnsi="宋体" w:eastAsia="宋体" w:cs="宋体"/>
                <w:color w:val="auto"/>
              </w:rPr>
              <w:t xml:space="preserve">备有应急电源操作。顶部装饰要求简洁、明快、大方的标准轿顶，照明明亮美观（LED节能灯）轿厢高度≥2400mm</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轿厢壁</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镜面不锈钢+发纹304不锈钢材质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脚踏板</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680" w:hRule="exact"/>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轿厢地面</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大理石地面，供应商提供三种款式供业主选择</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719" w:hRule="exact"/>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灯具</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LED照明，应急照明，轿内灯光及风扇自动关闭</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751" w:hRule="exact"/>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操作盘</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面板材质</w:t>
            </w:r>
            <w:r/>
          </w:p>
        </w:tc>
        <w:tc>
          <w:tcPr>
            <w:tcW w:w="3969" w:type="dxa"/>
            <w:vAlign w:val="center"/>
            <w:textDirection w:val="lrTb"/>
            <w:noWrap w:val="false"/>
          </w:tcPr>
          <w:p>
            <w:pPr>
              <w:pStyle w:val="1020"/>
              <w:jc w:val="center"/>
              <w:spacing w:after="100" w:afterAutospacing="1"/>
              <w:rPr>
                <w:rFonts w:hint="default" w:ascii="宋体" w:hAnsi="宋体" w:eastAsia="宋体" w:cs="宋体"/>
                <w:color w:val="auto"/>
                <w:lang w:val="en-US"/>
              </w:rPr>
            </w:pPr>
            <w:r>
              <w:rPr>
                <w:rFonts w:hint="eastAsia" w:ascii="宋体" w:hAnsi="宋体" w:eastAsia="宋体" w:cs="宋体"/>
                <w:color w:val="auto"/>
              </w:rPr>
              <w:t xml:space="preserve">发纹304不锈钢材质厚度</w:t>
            </w:r>
            <w:r>
              <w:rPr>
                <w:rFonts w:hint="eastAsia" w:ascii="宋体" w:hAnsi="宋体" w:eastAsia="宋体" w:cs="宋体"/>
                <w:color w:val="auto"/>
                <w:lang w:eastAsia="zh-CN"/>
              </w:rPr>
              <w:t xml:space="preserve">，</w:t>
            </w:r>
            <w:r>
              <w:rPr>
                <w:rFonts w:hint="eastAsia" w:eastAsia="宋体"/>
                <w:lang w:val="en-US" w:eastAsia="zh-CN"/>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776"/>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显示器显示内容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大于或等于10.4寸液晶显示和方向数字显示</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操作功能</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隐藏式对讲机</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标示要求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方向指示、层显、超载及运行方向</w:t>
            </w:r>
            <w:r/>
          </w:p>
        </w:tc>
        <w:tc>
          <w:tcPr>
            <w:tcW w:w="1417" w:type="dxa"/>
            <w:vAlign w:val="center"/>
            <w:textDirection w:val="lrTb"/>
            <w:noWrap w:val="false"/>
          </w:tcPr>
          <w:p>
            <w:pPr>
              <w:spacing w:line="276" w:lineRule="auto"/>
              <w:rPr>
                <w:rFonts w:ascii="宋体" w:hAnsi="宋体" w:cs="宋体"/>
                <w:color w:val="auto"/>
                <w:sz w:val="24"/>
                <w:szCs w:val="24"/>
              </w:rPr>
            </w:pPr>
            <w:r>
              <w:rPr>
                <w:rFonts w:ascii="宋体" w:hAnsi="宋体" w:cs="宋体"/>
                <w:color w:val="auto"/>
                <w:sz w:val="24"/>
                <w:szCs w:val="24"/>
              </w:rPr>
            </w:r>
            <w:r/>
          </w:p>
        </w:tc>
      </w:tr>
      <w:tr>
        <w:trPr>
          <w:trHeight w:val="63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不锈钢按钮、开关门按钮、紧急呼叫按钮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5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展开面积</w:t>
            </w:r>
            <w:r/>
          </w:p>
        </w:tc>
        <w:tc>
          <w:tcPr>
            <w:tcW w:w="3969"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大门套，展开面≥400mm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3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楼层  召唤</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液晶显示，运行方向、检修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6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安装位置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厅门侧方无底盒安装</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地坎</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功能配置及要求</w:t>
            </w:r>
            <w:r/>
          </w:p>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自动再平层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电梯受阻失速保护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制动器冗余保护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司机操作</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称重启动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上电再平层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选层器修正</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安全停靠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停层开门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逆变装置高温检测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轿厢意外移动保护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关门力矩控制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换向重开门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强制开门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门负载检测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门传感器自诊断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开门受阻控制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门速自适应控制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即时关门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安装用开门保持</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响铃强制关门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重复关门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本层再开门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光幕</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轿厢应急照明</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警铃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操纵箱异常处理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轿内反向指令消除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轿内照明/通风装置自动关闭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层站召唤自动登记</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层站微机异常处理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首层站运行控制开关</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独立运行</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电梯不启动报警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次层停靠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超载报警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运行次数与时间统计</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多方通话装置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预留视频电缆（数字式）</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轿内误指令人工消除（轿内按钮型）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highlight w:val="yellow"/>
              </w:rPr>
            </w:pPr>
            <w:r>
              <w:rPr>
                <w:rFonts w:hint="eastAsia" w:ascii="宋体" w:hAnsi="宋体" w:eastAsia="宋体" w:cs="宋体"/>
              </w:rPr>
              <w:t xml:space="preserve">停电应急平层装置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bl>
    <w:p>
      <w:pPr>
        <w:rPr>
          <w:rFonts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4"/>
          <w:szCs w:val="24"/>
        </w:rPr>
      </w:r>
      <w:r/>
    </w:p>
    <w:p>
      <w:pPr>
        <w:pStyle w:val="904"/>
        <w:jc w:val="both"/>
        <w:rPr>
          <w:rFonts w:ascii="宋体" w:hAnsi="宋体" w:eastAsia="宋体" w:cs="宋体"/>
          <w:sz w:val="24"/>
          <w:szCs w:val="24"/>
        </w:rPr>
      </w:pPr>
      <w:r>
        <w:rPr>
          <w:rFonts w:hint="eastAsia" w:ascii="宋体" w:hAnsi="宋体" w:eastAsia="宋体" w:cs="宋体"/>
          <w:b/>
          <w:bCs/>
          <w:sz w:val="24"/>
          <w:szCs w:val="24"/>
        </w:rPr>
        <w:t xml:space="preserve">2、逸夫楼</w:t>
      </w:r>
      <w:r/>
    </w:p>
    <w:tbl>
      <w:tblPr>
        <w:tblStyle w:val="733"/>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技术参数及要求</w:t>
            </w:r>
            <w:r/>
          </w:p>
        </w:tc>
        <w:tc>
          <w:tcPr>
            <w:tcW w:w="3969"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招标要求</w:t>
            </w:r>
            <w:r/>
          </w:p>
        </w:tc>
        <w:tc>
          <w:tcPr>
            <w:tcW w:w="1417"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备注</w:t>
            </w:r>
            <w:r/>
          </w:p>
        </w:tc>
      </w:tr>
      <w:tr>
        <w:trPr>
          <w:trHeight w:val="662"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建筑尺寸</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2100*2100，以现场实际尺寸为准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72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73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3900，以现场实际尺寸为准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机房</w:t>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底坑深度（mm）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1500，以现场实际尺寸为准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配置要求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开门方式</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中分门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门保护装置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光幕保护</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不小于120束</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电源适应</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380V 50H    Z220V+10% 50HZ</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性能要求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额定速度允许误差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额定速度允差：-5%到+3%（国标）</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乘客电梯轿厢运行时垂直方向和水平方向的振动加速度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振动（按照ISO18738）：垂直（平均）≤15mg；水平（平均）≤15mg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平层准确度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+5mm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噪声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满足国家标准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载重量</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≥1000kg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提升速度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≥1.75m/s</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站数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5</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内外装饰要求</w:t>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轿厢顶</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lang w:val="en-US" w:eastAsia="zh-CN"/>
              </w:rPr>
              <w:t xml:space="preserve">配置通风，</w:t>
            </w:r>
            <w:r>
              <w:rPr>
                <w:rFonts w:hint="eastAsia" w:ascii="宋体" w:hAnsi="宋体" w:eastAsia="宋体" w:cs="宋体"/>
                <w:color w:val="auto"/>
              </w:rPr>
              <w:t xml:space="preserve">备有应急电源操作。顶部装饰要求简洁、明快、大方的标准轿顶，照明明亮美观（LED节能灯）轿厢高度≥2400mm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轿厢壁</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镜面不锈钢+发纹304不锈钢材质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脚踏板</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轿厢地面</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大理石地面，供应商提供三种款式供业主选择</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灯具</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LED照明，应急照明，轿内灯光及风扇自动关闭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4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操作盘</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发纹304不锈钢材质厚度</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显示器显示内容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大于或等于10.4寸液晶显示和方向数字显示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7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操作功能</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隐藏式对讲机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标示要求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方向指示、层显、超载及运行方向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40"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按钮要求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不锈钢按钮、开关门按钮、紧急呼叫按钮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厅门</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门套</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9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color w:val="auto"/>
              </w:rPr>
            </w:pPr>
            <w:r>
              <w:rPr>
                <w:rFonts w:hint="eastAsia" w:ascii="宋体" w:hAnsi="宋体" w:eastAsia="宋体" w:cs="宋体"/>
                <w:color w:val="auto"/>
              </w:rPr>
              <w:t xml:space="preserve">展开面积</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大门套，展开面≥400mm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3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楼层  召唤</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液晶显示，运行方向、检修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0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4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安装位置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厅门侧方无底盒安装</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地坎</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功能配置及要求</w:t>
            </w:r>
            <w:r/>
          </w:p>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自动再平层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电梯受阻失速保护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制动器冗余保护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司机操作</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称重启动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上电再平层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选层器修正</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安全停靠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停层开门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逆变装置高温检测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轿厢意外移动保护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关门力矩控制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换向重开门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强制开门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门负载检测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门传感器自诊断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开门受阻控制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门速自适应控制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即时关门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安装用开门保持</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响铃强制关门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重复关门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本层再开门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光幕</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轿厢应急照明</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警铃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操纵箱异常处理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轿内反向指令消除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轿内照明/通风装置自动关闭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层站召唤自动登记</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层站微机异常处理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首层站运行控制开关</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独立运行</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电梯不启动报警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次层停靠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超载报警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运行次数与时间统计</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多方通话装置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预留视频电缆（数字式）</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轿内误指令人工消除（轿内按钮型）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453"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453"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4"/>
          <w:szCs w:val="24"/>
        </w:rPr>
      </w:r>
      <w:r/>
    </w:p>
    <w:p>
      <w:pPr>
        <w:pStyle w:val="904"/>
        <w:jc w:val="both"/>
        <w:rPr>
          <w:rFonts w:ascii="宋体" w:hAnsi="宋体" w:eastAsia="宋体" w:cs="宋体"/>
          <w:sz w:val="24"/>
          <w:szCs w:val="24"/>
        </w:rPr>
      </w:pPr>
      <w:r>
        <w:rPr>
          <w:rFonts w:hint="eastAsia" w:ascii="宋体" w:hAnsi="宋体" w:eastAsia="宋体" w:cs="宋体"/>
          <w:sz w:val="24"/>
          <w:szCs w:val="24"/>
        </w:rPr>
        <w:t xml:space="preserve">3、博学楼</w:t>
      </w:r>
      <w:r/>
    </w:p>
    <w:tbl>
      <w:tblPr>
        <w:tblStyle w:val="733"/>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技术参数及要求</w:t>
            </w:r>
            <w:r/>
          </w:p>
        </w:tc>
        <w:tc>
          <w:tcPr>
            <w:tcW w:w="3969"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招标要求</w:t>
            </w:r>
            <w:r/>
          </w:p>
        </w:tc>
        <w:tc>
          <w:tcPr>
            <w:tcW w:w="1417"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备注</w:t>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建筑尺寸</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2100*2100，以现场实际尺寸为准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3900，以现场实际尺寸为准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机房</w:t>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底坑深度（mm）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1480，以现场实际尺寸为准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配置要求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光幕保护</w:t>
            </w:r>
            <w:r>
              <w:rPr>
                <w:rFonts w:hint="eastAsia" w:ascii="宋体" w:hAnsi="宋体" w:eastAsia="宋体" w:cs="宋体"/>
                <w:lang w:eastAsia="zh-CN"/>
              </w:rPr>
              <w:t xml:space="preserve">，</w:t>
            </w:r>
            <w:r>
              <w:rPr>
                <w:rFonts w:hint="eastAsia" w:ascii="宋体" w:hAnsi="宋体" w:eastAsia="宋体" w:cs="宋体"/>
                <w:lang w:val="en-US" w:eastAsia="zh-CN"/>
              </w:rPr>
              <w:t xml:space="preserve">不小于120束</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380V 50H    Z220V+10% 50HZ</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性能要求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额定速度允差：-5%到+3%（国标）</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振动（按照ISO18738）：垂直（平均）≤15mg；水平（平均）≤15mg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满足国家标准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≥1000kg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≥1.75m/s</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5</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内外装饰要求</w:t>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lang w:val="en-US" w:eastAsia="zh-CN"/>
              </w:rPr>
              <w:t xml:space="preserve">配置通风，</w:t>
            </w:r>
            <w:r>
              <w:rPr>
                <w:rFonts w:hint="eastAsia" w:ascii="宋体" w:hAnsi="宋体" w:eastAsia="宋体" w:cs="宋体"/>
                <w:color w:val="auto"/>
              </w:rPr>
              <w:t xml:space="preserve">备有应急电源操作。顶部装饰要求简洁、明快、大方的标准轿顶，照明明亮美观（LED节能灯）轿厢高度≥2400mm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镜面不锈钢+发纹304不锈钢材质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54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大理石地面，供应商提供三种款式供业主选择</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LED照明，应急照明，轿内灯光及风扇自动关闭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82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发纹304不锈钢材质厚度</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大于或等于10.4寸液晶显示和方向数字显示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90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隐藏式对讲机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3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方向指示、层显、超载及运行方向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7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不锈钢按钮、开关门按钮、紧急呼叫按钮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1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展开面积</w:t>
            </w:r>
            <w:r/>
          </w:p>
        </w:tc>
        <w:tc>
          <w:tcPr>
            <w:tcW w:w="3969" w:type="dxa"/>
            <w:vAlign w:val="center"/>
            <w:textDirection w:val="lrTb"/>
            <w:noWrap w:val="false"/>
          </w:tcPr>
          <w:p>
            <w:pPr>
              <w:pStyle w:val="1020"/>
              <w:jc w:val="center"/>
              <w:spacing w:after="100" w:afterAutospacing="1"/>
              <w:rPr>
                <w:rFonts w:hint="eastAsia" w:ascii="宋体" w:hAnsi="宋体" w:eastAsia="宋体" w:cs="宋体"/>
                <w:color w:val="auto"/>
              </w:rPr>
            </w:pPr>
            <w:r>
              <w:rPr>
                <w:rFonts w:hint="eastAsia" w:ascii="宋体" w:hAnsi="宋体" w:eastAsia="宋体" w:cs="宋体"/>
                <w:color w:val="auto"/>
              </w:rPr>
              <w:t xml:space="preserve">大门套，展开面≥400mm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29"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液晶显示，运行方向、检修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56"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2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厅门侧方无底盒安装</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功能配置及要求</w:t>
            </w:r>
            <w:r/>
          </w:p>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自动再平层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电梯受阻失速保护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制动器冗余保护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司机操作</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称重启动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上电再平层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选层器修正</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安全停靠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停层开门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逆变装置高温检测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轿厢意外移动保护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关门力矩控制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换向重开门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强制开门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门负载检测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门传感器自诊断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开门受阻控制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门速自适应控制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即时关门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安装用开门保持</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响铃强制关门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重复关门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本层再开门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光幕</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轿厢应急照明</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警铃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操纵箱异常处理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轿内反向指令消除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轿内照明/通风装置自动关闭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层站召唤自动登记</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层站微机异常处理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首层站运行控制开关</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独立运行</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电梯不启动报警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次层停靠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超载报警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运行次数与时间统计</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多方通话装置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预留视频电缆（数字式）</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轿内误指令人工消除（轿内按钮型）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bl>
    <w:p>
      <w:pPr>
        <w:pStyle w:val="904"/>
        <w:jc w:val="both"/>
        <w:rPr>
          <w:rFonts w:ascii="宋体" w:hAnsi="宋体" w:eastAsia="宋体" w:cs="宋体"/>
          <w:sz w:val="24"/>
          <w:szCs w:val="24"/>
        </w:rPr>
      </w:pPr>
      <w:r>
        <w:rPr>
          <w:rFonts w:hint="eastAsia" w:ascii="宋体" w:hAnsi="宋体" w:eastAsia="宋体" w:cs="宋体"/>
          <w:b/>
          <w:bCs/>
          <w:sz w:val="24"/>
          <w:szCs w:val="24"/>
        </w:rPr>
        <w:t xml:space="preserve">4、学生食堂2#梯</w:t>
      </w:r>
      <w:r/>
    </w:p>
    <w:tbl>
      <w:tblPr>
        <w:tblStyle w:val="733"/>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技术参数及要求</w:t>
            </w:r>
            <w:r/>
          </w:p>
        </w:tc>
        <w:tc>
          <w:tcPr>
            <w:tcW w:w="3969"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招标要求</w:t>
            </w:r>
            <w:r/>
          </w:p>
        </w:tc>
        <w:tc>
          <w:tcPr>
            <w:tcW w:w="1417"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备注</w:t>
            </w:r>
            <w:r/>
          </w:p>
        </w:tc>
      </w:tr>
      <w:tr>
        <w:trPr>
          <w:trHeight w:val="662"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建筑尺寸</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2400*2350，以现场实际尺寸为准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66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94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5100，以现场实际尺寸为准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机房</w:t>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顶楼</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底坑深度（mm）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1500，以现场实际尺寸为准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配置要求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中分门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光幕保护</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不小于120束</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380V 50H    Z220V+10% 50HZ</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性能要求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额定速度允差：-5%到+3%（国标）</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振动（按照ISO18738）：垂直（平均）≤15mg；水平（平均）≤15mg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+5mm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满足国家标准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≥1000kg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≥1.0m/s</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2</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内外装饰要求</w:t>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lang w:val="en-US" w:eastAsia="zh-CN"/>
              </w:rPr>
              <w:t xml:space="preserve">配置通风，</w:t>
            </w:r>
            <w:r>
              <w:rPr>
                <w:rFonts w:hint="eastAsia" w:ascii="宋体" w:hAnsi="宋体" w:eastAsia="宋体" w:cs="宋体"/>
                <w:color w:val="auto"/>
              </w:rPr>
              <w:t xml:space="preserve">备有应急电源操作。顶部装饰要求简洁、明快、大方的标准轿顶，照明明亮美观（LED节能灯）轿厢高度≥2400mm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镜面不锈钢+发纹304不锈钢材质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大理石地面，供应商提供三种款式供业主选择</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LED照明，应急照明，轿内灯光及风扇自动关闭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1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发纹304不锈钢材质厚度</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大于或等于10.4寸液晶显示和方向数字显示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1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隐藏式对讲机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8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方向指示、层显、超载及运行方向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805"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不锈钢按钮、开关门按钮、紧急呼叫按钮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4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展开面积</w:t>
            </w:r>
            <w:r/>
          </w:p>
        </w:tc>
        <w:tc>
          <w:tcPr>
            <w:tcW w:w="3969" w:type="dxa"/>
            <w:vAlign w:val="center"/>
            <w:textDirection w:val="lrTb"/>
            <w:noWrap w:val="false"/>
          </w:tcPr>
          <w:p>
            <w:pPr>
              <w:pStyle w:val="1020"/>
              <w:jc w:val="center"/>
              <w:spacing w:after="100" w:afterAutospacing="1"/>
              <w:rPr>
                <w:rFonts w:hint="eastAsia" w:ascii="宋体" w:hAnsi="宋体" w:eastAsia="宋体" w:cs="宋体"/>
                <w:color w:val="auto"/>
              </w:rPr>
            </w:pPr>
            <w:r>
              <w:rPr>
                <w:rFonts w:hint="eastAsia" w:ascii="宋体" w:hAnsi="宋体" w:eastAsia="宋体" w:cs="宋体"/>
                <w:color w:val="auto"/>
              </w:rPr>
              <w:t xml:space="preserve">大门套，展开面≥400mm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1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液晶显示，运行方向、检修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1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8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厅门侧方无底盒安装</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功能配置及要求</w:t>
            </w:r>
            <w:r/>
          </w:p>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自动再平层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电梯受阻失速保护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制动器冗余保护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司机操作</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称重启动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上电再平层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选层器修正</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安全停靠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停层开门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逆变装置高温检测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轿厢意外移动保护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关门力矩控制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换向重开门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强制开门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门负载检测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门传感器自诊断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开门受阻控制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门速自适应控制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即时关门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安装用开门保持</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响铃强制关门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重复关门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本层再开门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光幕</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轿厢应急照明</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警铃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操纵箱异常处理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轿内反向指令消除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轿内照明/通风装置自动关闭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层站召唤自动登记</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层站微机异常处理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首层站运行控制开关</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独立运行</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电梯不启动报警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次层停靠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超载报警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运行次数与时间统计</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多方通话装置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预留视频电缆（数字式）</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轿内误指令人工消除（轿内按钮型）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bl>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5、五台校区研究生公寓（生殖中心使用）</w:t>
      </w:r>
      <w:r/>
    </w:p>
    <w:tbl>
      <w:tblPr>
        <w:tblStyle w:val="733"/>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技术参数及要求</w:t>
            </w:r>
            <w:r/>
          </w:p>
        </w:tc>
        <w:tc>
          <w:tcPr>
            <w:tcW w:w="3969"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招标要求</w:t>
            </w:r>
            <w:r/>
          </w:p>
        </w:tc>
        <w:tc>
          <w:tcPr>
            <w:tcW w:w="1417"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备注</w:t>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建筑尺寸</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2400*2300，以现场实际尺寸为准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4800，以现场实际尺寸为准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机房</w:t>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顶楼</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底坑深度（mm）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1800，以现场实际尺寸为准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配置要求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中分门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光幕保护</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不小于120束</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380V 50H    Z220V+10% 50HZ</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性能要求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额定速度允差：-5%到+3%（国标）</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振动（按照ISO18738）：垂直（平均）≤15mg；水平（平均）≤15mg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+5mm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满足国家标准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≥1000kg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≥2.0m/s</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15</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内外装饰要求</w:t>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lang w:val="en-US" w:eastAsia="zh-CN"/>
              </w:rPr>
              <w:t xml:space="preserve">配置通风，</w:t>
            </w:r>
            <w:r>
              <w:rPr>
                <w:rFonts w:hint="eastAsia" w:ascii="宋体" w:hAnsi="宋体" w:eastAsia="宋体" w:cs="宋体"/>
                <w:color w:val="auto"/>
              </w:rPr>
              <w:t xml:space="preserve">备有应急电源操作。顶部装饰要求简洁、明快、大方的标准轿顶，照明明亮美观（LED节能灯）轿厢高度≥2400mm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轿厢壁</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镜面不锈钢+发纹304不锈钢材质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脚踏板</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轿厢地面</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大理石地面，供应商提供三种款式供业主选择</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灯具</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LED照明，应急照明，轿内灯光及风扇自动关闭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05"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操作盘</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发纹304不锈钢材质厚度</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95"/>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显示器显示内容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大于或等于10.4寸液晶显示和方向数字显示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操作功能</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隐藏式对讲机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标示要求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方向指示、层显、超载及运行方向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73"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按钮要求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不锈钢按钮、开关门按钮、紧急呼叫按钮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厅门</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门套</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6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color w:val="auto"/>
              </w:rPr>
            </w:pPr>
            <w:r>
              <w:rPr>
                <w:rFonts w:hint="eastAsia" w:ascii="宋体" w:hAnsi="宋体" w:eastAsia="宋体" w:cs="宋体"/>
                <w:color w:val="auto"/>
              </w:rPr>
              <w:t xml:space="preserve">展开面积</w:t>
            </w:r>
            <w:r/>
          </w:p>
        </w:tc>
        <w:tc>
          <w:tcPr>
            <w:tcW w:w="3969" w:type="dxa"/>
            <w:vAlign w:val="center"/>
            <w:textDirection w:val="lrTb"/>
            <w:noWrap w:val="false"/>
          </w:tcPr>
          <w:p>
            <w:pPr>
              <w:pStyle w:val="1020"/>
              <w:jc w:val="center"/>
              <w:spacing w:after="100" w:afterAutospacing="1"/>
              <w:rPr>
                <w:rFonts w:hint="eastAsia" w:ascii="宋体" w:hAnsi="宋体" w:eastAsia="宋体" w:cs="宋体"/>
                <w:color w:val="auto"/>
              </w:rPr>
            </w:pPr>
            <w:r>
              <w:rPr>
                <w:rFonts w:hint="eastAsia" w:ascii="宋体" w:hAnsi="宋体" w:eastAsia="宋体" w:cs="宋体"/>
                <w:color w:val="auto"/>
              </w:rPr>
              <w:t xml:space="preserve">大门套，展开面≥400mm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6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楼层  召唤</w:t>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液晶显示，运行方向、检修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22"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color w:val="auto"/>
              </w:rPr>
            </w:pPr>
            <w:r>
              <w:rPr>
                <w:rFonts w:ascii="宋体" w:hAnsi="宋体" w:eastAsia="宋体" w:cs="宋体"/>
                <w:color w:val="auto"/>
              </w:rPr>
            </w:r>
            <w:r/>
          </w:p>
        </w:tc>
        <w:tc>
          <w:tcPr>
            <w:tcW w:w="1134"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安装位置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厅门侧方无底盒安装</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地坎</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功能配置及要求</w:t>
            </w:r>
            <w:r/>
          </w:p>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自动再平层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电梯受阻失速保护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制动器冗余保护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司机操作</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称重启动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上电再平层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选层器修正</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安全停靠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停层开门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逆变装置高温检测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轿厢意外移动保护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关门力矩控制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换向重开门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强制开门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门负载检测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门传感器自诊断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开门受阻控制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门速自适应控制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即时关门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安装用开门保持</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响铃强制关门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重复关门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本层再开门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光幕</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轿厢应急照明</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警铃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操纵箱异常处理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轿内反向指令消除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轿内照明/通风装置自动关闭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层站召唤自动登记</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层站微机异常处理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首层站运行控制开关</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独立运行</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电梯不启动报警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次层停靠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超载报警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运行次数与时间统计</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多方通话装置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预留视频电缆（数字式）</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轿内误指令人工消除（轿内按钮型）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bl>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6、五台校区研究生公寓</w:t>
      </w:r>
      <w:r/>
    </w:p>
    <w:tbl>
      <w:tblPr>
        <w:tblStyle w:val="733"/>
        <w:tblW w:w="8647"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142"/>
        <w:gridCol w:w="709"/>
        <w:gridCol w:w="1134"/>
        <w:gridCol w:w="3969"/>
        <w:gridCol w:w="1417"/>
      </w:tblGrid>
      <w:tr>
        <w:trPr>
          <w:trHeight w:val="397" w:hRule="exact"/>
        </w:trPr>
        <w:tc>
          <w:tcPr>
            <w:gridSpan w:val="5"/>
            <w:tcW w:w="326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技术参数及要求</w:t>
            </w:r>
            <w:r/>
          </w:p>
        </w:tc>
        <w:tc>
          <w:tcPr>
            <w:tcW w:w="3969"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招标要求</w:t>
            </w:r>
            <w:r/>
          </w:p>
        </w:tc>
        <w:tc>
          <w:tcPr>
            <w:tcW w:w="1417"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备注</w:t>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建筑尺寸</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井道尺寸（宽*深mm）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2400*2300，以现场实际尺寸为准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轿厢尺寸（宽*深mm）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厂家深化最大尺寸</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厅门尺寸（宽*高mm）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900*2100，以现场实际尺寸为准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顶层高度（mm）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4800，以现场实际尺寸为准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restart"/>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机房</w:t>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位置</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顶楼</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567" w:type="dxa"/>
            <w:vAlign w:val="center"/>
            <w:vMerge w:val="continue"/>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c>
          <w:tcPr>
            <w:gridSpan w:val="3"/>
            <w:tcW w:w="1985"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层高（mm）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底坑深度（mm）</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1800，以现场实际尺寸为准</w:t>
            </w:r>
            <w:r/>
          </w:p>
        </w:tc>
        <w:tc>
          <w:tcPr>
            <w:tcW w:w="1417" w:type="dxa"/>
            <w:vAlign w:val="center"/>
            <w:textDirection w:val="lrTb"/>
            <w:noWrap w:val="false"/>
          </w:tcPr>
          <w:p>
            <w:pPr>
              <w:jc w:val="cente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配置要求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拖动方式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传动方式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精密紧凑永磁同步无齿轮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控制方式</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双控，全集选控制方式（主板32位电脑控制（非双16位）</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门机系统</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VVVF变频变压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开门方式</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中分门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门保护装置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光幕保护</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不小于120束</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电源适应</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380V 50H    Z220V+10% 50HZ</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性能要求</w:t>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额定速度允许误差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额定速度允差：-5%到+3%（国标）</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乘客电梯轿厢运行时垂直方向和水平方向的振动加速度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振动（按照ISO18738）：垂直（平均）≤15mg；水平（平均）≤15mg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平层准确度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+5mm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噪声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满足国家标准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载重量</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≥1000kg</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提升速度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≥2.0m/s</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4"/>
            <w:tcW w:w="255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站数</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14</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内外装饰要求</w:t>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w:t>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轿厢顶</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lang w:val="en-US" w:eastAsia="zh-CN"/>
              </w:rPr>
              <w:t xml:space="preserve">配置通风，</w:t>
            </w:r>
            <w:r>
              <w:rPr>
                <w:rFonts w:hint="eastAsia" w:ascii="宋体" w:hAnsi="宋体" w:eastAsia="宋体" w:cs="宋体"/>
                <w:color w:val="auto"/>
              </w:rPr>
              <w:t xml:space="preserve">备有应急电源操作。顶部装饰要求简洁、明快、大方的标准轿顶，照明明亮美观（LED节能灯）轿厢高度≥2400mm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轿厢壁</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镜面不锈钢+发纹304不锈钢材质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w:t>
            </w:r>
            <w:r>
              <w:rPr>
                <w:rFonts w:hint="eastAsia" w:ascii="宋体" w:hAnsi="宋体" w:eastAsia="宋体" w:cs="宋体"/>
                <w:color w:val="auto"/>
                <w:lang w:eastAsia="zh-CN"/>
              </w:rPr>
              <w:t xml:space="preserve">，</w:t>
            </w:r>
            <w:r>
              <w:rPr>
                <w:rFonts w:hint="eastAsia" w:ascii="宋体" w:hAnsi="宋体"/>
                <w:color w:val="auto"/>
                <w:szCs w:val="21"/>
              </w:rPr>
              <w:t xml:space="preserve">≥</w:t>
            </w:r>
            <w:r>
              <w:rPr>
                <w:rFonts w:ascii="宋体" w:hAnsi="宋体"/>
                <w:color w:val="auto"/>
                <w:szCs w:val="21"/>
              </w:rPr>
              <w:t xml:space="preserve">1.2mm</w:t>
            </w:r>
            <w:r>
              <w:rPr>
                <w:rFonts w:hint="eastAsia" w:ascii="宋体" w:hAnsi="宋体"/>
                <w:color w:val="auto"/>
                <w:szCs w:val="21"/>
              </w:rPr>
              <w:t xml:space="preserve">；</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脚踏板</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0"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轿厢地面</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大理石地面，供应商提供三种款式供业主选择</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19"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灯具</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LED照明，应急照明，轿内灯光及风扇自动关闭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操作盘</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发纹304不锈钢材质厚度</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显示器显示内容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大于或等于10.4寸液晶显示和方向数字显示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操作功能</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隐藏式对讲机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标示要求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方向指示、层显、超载及运行方向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56"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按钮要求</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不锈钢按钮、开关门按钮、紧急呼叫按钮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厅门及门套</w:t>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厅门</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门套</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厚度</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厚度≥1.2mm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4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展开面积</w:t>
            </w:r>
            <w:r/>
          </w:p>
        </w:tc>
        <w:tc>
          <w:tcPr>
            <w:tcW w:w="3969" w:type="dxa"/>
            <w:vAlign w:val="center"/>
            <w:textDirection w:val="lrTb"/>
            <w:noWrap w:val="false"/>
          </w:tcPr>
          <w:p>
            <w:pPr>
              <w:pStyle w:val="1020"/>
              <w:jc w:val="center"/>
              <w:spacing w:after="100" w:afterAutospacing="1"/>
              <w:rPr>
                <w:rFonts w:hint="eastAsia" w:ascii="宋体" w:hAnsi="宋体" w:eastAsia="宋体" w:cs="宋体"/>
                <w:color w:val="auto"/>
              </w:rPr>
            </w:pPr>
            <w:r>
              <w:rPr>
                <w:rFonts w:hint="eastAsia" w:ascii="宋体" w:hAnsi="宋体" w:eastAsia="宋体" w:cs="宋体"/>
                <w:color w:val="auto"/>
              </w:rPr>
              <w:t xml:space="preserve">大门套，展开面≥400mm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颜色</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不锈钢色</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8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楼层  召唤</w:t>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显示内容</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液晶显示，运行方向、检修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65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vMerge w:val="restart"/>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面板材质</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发纹304不锈钢</w:t>
            </w:r>
            <w:r>
              <w:rPr>
                <w:rFonts w:hint="eastAsia" w:ascii="宋体" w:hAnsi="宋体" w:eastAsia="宋体" w:cs="宋体"/>
                <w:color w:val="auto"/>
                <w:lang w:eastAsia="zh-CN"/>
              </w:rPr>
              <w:t xml:space="preserve">，</w:t>
            </w:r>
            <w:r>
              <w:rPr>
                <w:rFonts w:hint="eastAsia" w:ascii="宋体" w:hAnsi="宋体"/>
                <w:color w:val="auto"/>
                <w:szCs w:val="21"/>
              </w:rPr>
              <w:t xml:space="preserve">厚度</w:t>
            </w:r>
            <w:r>
              <w:rPr>
                <w:rFonts w:hint="eastAsia" w:ascii="宋体" w:hAnsi="宋体" w:eastAsia="宋体"/>
                <w:color w:val="auto"/>
                <w:szCs w:val="21"/>
                <w:lang w:val="en-US" w:eastAsia="zh-CN"/>
              </w:rPr>
              <w:t xml:space="preserve">不小于3mm</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73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tcW w:w="1134"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安装位置</w:t>
            </w:r>
            <w:r/>
          </w:p>
        </w:tc>
        <w:tc>
          <w:tcPr>
            <w:tcW w:w="3969" w:type="dxa"/>
            <w:vAlign w:val="center"/>
            <w:textDirection w:val="lrTb"/>
            <w:noWrap w:val="false"/>
          </w:tcPr>
          <w:p>
            <w:pPr>
              <w:pStyle w:val="1020"/>
              <w:jc w:val="center"/>
              <w:spacing w:after="100" w:afterAutospacing="1"/>
              <w:rPr>
                <w:rFonts w:ascii="宋体" w:hAnsi="宋体" w:eastAsia="宋体" w:cs="宋体"/>
                <w:color w:val="auto"/>
              </w:rPr>
            </w:pPr>
            <w:r>
              <w:rPr>
                <w:rFonts w:hint="eastAsia" w:ascii="宋体" w:hAnsi="宋体" w:eastAsia="宋体" w:cs="宋体"/>
                <w:color w:val="auto"/>
              </w:rPr>
              <w:t xml:space="preserve">厅门侧方无底盒安装</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tcW w:w="709"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709" w:type="dxa"/>
            <w:vAlign w:val="center"/>
            <w:vMerge w:val="continue"/>
            <w:textDirection w:val="lrTb"/>
            <w:noWrap w:val="false"/>
          </w:tcPr>
          <w:p>
            <w:pPr>
              <w:pStyle w:val="1020"/>
              <w:jc w:val="center"/>
              <w:spacing w:after="100" w:afterAutospacing="1"/>
              <w:rPr>
                <w:rFonts w:ascii="宋体" w:hAnsi="宋体" w:eastAsia="宋体" w:cs="宋体"/>
              </w:rPr>
            </w:pPr>
            <w:r>
              <w:rPr>
                <w:rFonts w:ascii="宋体" w:hAnsi="宋体" w:eastAsia="宋体" w:cs="宋体"/>
              </w:rPr>
            </w:r>
            <w:r/>
          </w:p>
        </w:tc>
        <w:tc>
          <w:tcPr>
            <w:gridSpan w:val="2"/>
            <w:tcW w:w="1843"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地坎</w:t>
            </w:r>
            <w:r/>
          </w:p>
        </w:tc>
        <w:tc>
          <w:tcPr>
            <w:tcW w:w="3969"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硬质铝合金</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功能配置及要求</w:t>
            </w:r>
            <w:r/>
          </w:p>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自动再平层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电梯受阻失速保护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制动器冗余保护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司机操作</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称重启动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上电再平层</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选层器修正</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安全停靠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停层开门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逆变装置高温检测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轿厢意外移动保护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关门保护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关门力矩控制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换向重开门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强制开门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门负载检测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门传感器自诊断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开门受阻控制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门速自适应控制</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即时关门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安装用开门保持</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响铃强制关门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重复关门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本层再开门</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光幕</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轿厢应急照明</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警铃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操纵箱异常处理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轿内反向指令消除</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轿内照明/通风装置自动关闭</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层站召唤自动登记</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层站微机异常处理</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首层站运行控制开关</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独立运行</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电梯不启动报警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次层停靠</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超载报警</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层站运行方向指示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关门按钮响应指示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开门按钮响应指示</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运行次数与时间统计</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多方通话装置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预留视频电缆（数字式）</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轿内误指令人工消除（轿内按钮型）</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hint="eastAsia" w:ascii="宋体" w:hAnsi="宋体" w:eastAsia="宋体" w:cs="宋体"/>
              </w:rPr>
            </w:pPr>
            <w:r>
              <w:rPr>
                <w:rFonts w:hint="eastAsia" w:ascii="宋体" w:hAnsi="宋体" w:eastAsia="宋体" w:cs="宋体"/>
              </w:rPr>
              <w:t xml:space="preserve">停电应急平层装置</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97" w:hRule="exact"/>
        </w:trPr>
        <w:tc>
          <w:tcPr>
            <w:gridSpan w:val="3"/>
            <w:tcW w:w="141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tcW w:w="5812" w:type="dxa"/>
            <w:vAlign w:val="center"/>
            <w:textDirection w:val="lrTb"/>
            <w:noWrap w:val="false"/>
          </w:tcPr>
          <w:p>
            <w:pPr>
              <w:pStyle w:val="1020"/>
              <w:jc w:val="center"/>
              <w:spacing w:after="100" w:afterAutospacing="1"/>
              <w:rPr>
                <w:rFonts w:ascii="宋体" w:hAnsi="宋体" w:eastAsia="宋体" w:cs="宋体"/>
              </w:rPr>
            </w:pPr>
            <w:r>
              <w:rPr>
                <w:rFonts w:hint="eastAsia" w:ascii="宋体" w:hAnsi="宋体" w:eastAsia="宋体" w:cs="宋体"/>
              </w:rPr>
              <w:t xml:space="preserve">配1P单冷空调</w:t>
            </w:r>
            <w:r/>
          </w:p>
        </w:tc>
        <w:tc>
          <w:tcPr>
            <w:tcW w:w="1417"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r>
    </w:tbl>
    <w:p>
      <w:pPr>
        <w:contextualSpacing/>
        <w:ind w:firstLine="482"/>
        <w:spacing w:line="360" w:lineRule="auto"/>
        <w:widowControl/>
        <w:rPr>
          <w:rFonts w:ascii="宋体" w:hAnsi="宋体"/>
          <w:b/>
          <w:sz w:val="24"/>
        </w:rPr>
      </w:pPr>
      <w:r>
        <w:rPr>
          <w:rFonts w:hint="eastAsia" w:ascii="宋体" w:hAnsi="宋体"/>
          <w:b/>
          <w:sz w:val="24"/>
        </w:rPr>
        <w:t xml:space="preserve">注：</w:t>
      </w:r>
      <w:r/>
    </w:p>
    <w:p>
      <w:pPr>
        <w:contextualSpacing/>
        <w:ind w:firstLine="480"/>
        <w:spacing w:line="360" w:lineRule="auto"/>
        <w:widowControl/>
        <w:rPr>
          <w:rFonts w:hint="eastAsia" w:ascii="宋体" w:hAnsi="宋体"/>
          <w:sz w:val="24"/>
        </w:rPr>
      </w:pPr>
      <w:r>
        <w:rPr>
          <w:rFonts w:hint="eastAsia" w:ascii="宋体" w:hAnsi="宋体"/>
          <w:sz w:val="24"/>
        </w:rPr>
        <w:t xml:space="preserve">（1）五方通话系统电梯机房到轿厢内布线包含在投标报价中。</w:t>
      </w:r>
      <w:r/>
    </w:p>
    <w:p>
      <w:pPr>
        <w:contextualSpacing/>
        <w:ind w:firstLine="480"/>
        <w:spacing w:line="360" w:lineRule="auto"/>
        <w:widowControl/>
        <w:rPr>
          <w:rFonts w:hint="eastAsia" w:ascii="宋体" w:hAnsi="宋体"/>
          <w:sz w:val="24"/>
        </w:rPr>
      </w:pPr>
      <w:r>
        <w:rPr>
          <w:rFonts w:hint="eastAsia" w:ascii="宋体" w:hAnsi="宋体"/>
          <w:sz w:val="24"/>
        </w:rPr>
        <w:t xml:space="preserve">（2）以上土建尺寸为参考尺寸，实际尺寸以现场测绘图纸为准。</w:t>
      </w:r>
      <w:r/>
    </w:p>
    <w:p>
      <w:pPr>
        <w:contextualSpacing/>
        <w:ind w:firstLine="480"/>
        <w:spacing w:line="360" w:lineRule="auto"/>
        <w:widowControl/>
        <w:rPr>
          <w:rFonts w:hint="eastAsia" w:ascii="宋体" w:hAnsi="宋体"/>
          <w:sz w:val="24"/>
        </w:rPr>
      </w:pPr>
      <w:r>
        <w:rPr>
          <w:rFonts w:hint="eastAsia" w:ascii="宋体" w:hAnsi="宋体"/>
          <w:sz w:val="24"/>
        </w:rPr>
        <w:t xml:space="preserve">（3）原电梯内安防监控摄像头，投标单位中标后需配合学校重新安装轿厢内安防监控摄像头，报价包含在投标报价中。</w:t>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7、电梯应符合的技术标准要求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（1）GB/T7588-2020《电梯制造与安装安全规范》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（2）GB/T10058-2009《电梯技术条件》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（3）GB/T10059-2009《电梯试验方法》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（4）GB10060-2011《电梯安装验收规范》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（5）GB50182-93《电气装置安装工程电梯电气装置施工验收规范》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（6）GB7025-2008《电梯主要参数及轿厢、井道、机房的型式与尺寸》</w:t>
      </w:r>
      <w:r/>
    </w:p>
    <w:p>
      <w:pPr>
        <w:ind w:firstLine="480"/>
        <w:spacing w:line="360" w:lineRule="auto"/>
        <w:rPr>
          <w:rFonts w:ascii="宋体" w:hAnsi="宋体" w:cs="宋体"/>
          <w:bCs/>
          <w:sz w:val="24"/>
          <w:szCs w:val="24"/>
        </w:rPr>
      </w:pPr>
      <w:r>
        <w:rPr>
          <w:rFonts w:hint="eastAsia" w:ascii="宋体" w:hAnsi="宋体" w:cs="宋体"/>
          <w:bCs/>
          <w:sz w:val="24"/>
          <w:szCs w:val="24"/>
        </w:rPr>
        <w:t xml:space="preserve">（7）GB8903-2005《电梯用钢丝绳》</w:t>
      </w:r>
      <w:r/>
    </w:p>
    <w:p>
      <w:pPr>
        <w:ind w:firstLine="480"/>
        <w:spacing w:line="360" w:lineRule="auto"/>
        <w:rPr>
          <w:rFonts w:ascii="宋体" w:hAnsi="宋体" w:cs="宋体"/>
          <w:bCs/>
          <w:sz w:val="24"/>
          <w:szCs w:val="24"/>
        </w:rPr>
      </w:pPr>
      <w:r>
        <w:rPr>
          <w:rFonts w:hint="eastAsia" w:ascii="宋体" w:hAnsi="宋体" w:cs="宋体"/>
          <w:bCs/>
          <w:sz w:val="24"/>
          <w:szCs w:val="24"/>
        </w:rPr>
        <w:t xml:space="preserve">（8）GB50310-2002《电梯工程施工质量验收规范》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（9）GB50763-2012《无障碍设计规范》</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（10）GB/T24478-2009《电梯曳引机》</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（11）其他</w:t>
      </w:r>
      <w:bookmarkStart w:id="185" w:name="_Hlk135317920"/>
      <w:r>
        <w:rPr>
          <w:rFonts w:hint="eastAsia" w:ascii="宋体" w:hAnsi="宋体" w:cs="宋体"/>
          <w:bCs/>
          <w:sz w:val="24"/>
          <w:szCs w:val="24"/>
        </w:rPr>
        <w:t xml:space="preserve">与电梯相关的国家、行业和地方的法律法规、规范规程、标准、图集</w:t>
      </w:r>
      <w:bookmarkEnd w:id="185"/>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上述规范及技术条件并非全部，未列入而又相关的仍应采用。如有停用或废止的，应以相应的最新版本为准。</w:t>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8、技术资料要求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中标供应商应向采购人应承诺至少提供以下技术资料（一梯一份），其费用已包括在响应价格之内：①电梯安装图；②电气设备及系统原理图；③电气设备及系统安装线路图；④构件、机械安装图；⑤安装手册、操作手册以及维修保养手册；⑥制造、安装标准和技术规范；⑦安装和验收报告(包括验收数据资料)；⑧零部件目录；⑨投标人应交付的其它资料和专用工具；⑩采购人认为应交付的其他资料。</w:t>
      </w:r>
      <w:r>
        <w:rPr>
          <w:rFonts w:hint="eastAsia" w:ascii="宋体" w:hAnsi="宋体" w:cs="宋体"/>
          <w:b/>
          <w:sz w:val="24"/>
          <w:szCs w:val="24"/>
        </w:rPr>
        <w:t xml:space="preserve">（提供承诺函，格式自拟，加盖公章）</w:t>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四、项目实施方案要求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项目的实施方案应符合本项目实际需要，并确保在学校规定的时间内完成。</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提供针对本项目具体的生产方案、供货计划及进度控制。本次采购电梯共分两批次进行安装，第一批次需安装江宁校区药学院2台电梯、逸夫楼1台电梯、博学楼1台电梯及学生食堂2#梯，五台校区研究生公寓3台电梯（DT6、DT7、DT8）；第二批次需安装五台校区研究生公寓</w:t>
      </w:r>
      <w:r>
        <w:rPr>
          <w:rFonts w:ascii="宋体" w:hAnsi="宋体" w:cs="宋体"/>
          <w:bCs/>
          <w:sz w:val="24"/>
          <w:szCs w:val="24"/>
        </w:rPr>
        <w:t xml:space="preserve">1</w:t>
      </w:r>
      <w:r>
        <w:rPr>
          <w:rFonts w:hint="eastAsia" w:ascii="宋体" w:hAnsi="宋体" w:cs="宋体"/>
          <w:bCs/>
          <w:sz w:val="24"/>
          <w:szCs w:val="24"/>
        </w:rPr>
        <w:t xml:space="preserve">台电梯（</w:t>
      </w:r>
      <w:r>
        <w:rPr>
          <w:rFonts w:ascii="宋体" w:hAnsi="宋体" w:cs="宋体"/>
          <w:bCs/>
          <w:sz w:val="24"/>
          <w:szCs w:val="24"/>
        </w:rPr>
        <w:t xml:space="preserve">DT9</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2、提供针对本项目具体的安装方案，包括针对本项目提供完整、详细可行的主要施工方案、调试方案、验收方案、工程质量保证措施、人员配置措施、进度管理计划等</w:t>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五、售后服务要求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 投标人依据现场实际情况和招标文件的要求，提供具体详实的售后服务方案：包括售后服务及电梯故障响应机制，在电梯发生故障时将故障排除，对于电梯的维修和质保应满足以下要求。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1）电梯交付后，中标供应商须提供电梯使用地的报修电话，并保证24小时有人接听。中标供应商必须参照《电梯使用管理与维修保养规则》的要求，电梯困人的求援时间不应超过20分钟，故障反应时间小于30分钟，一般故障修复时间小于60分钟，较大故障修复时间小于36小时。完成修理后，中标供应商应提交维修情况书面报告（包括但不限于故障原因、修理概况、恢复正常的时间和日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2）质保期最少2年（具体以投标人实际承诺为准）。质保期内，中标供应商每1个月至少例行检查维保2次，并将检查情况书面报告采购人；质保期届满前30日内，中标供应商应全面检查一次，并将检查情况书面报告采购人。</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培训方案：投标人依据现场实际情况和招标文件的要求，提供完备的售后培训方案：投标人提供专业电梯维修从业人员，在中标后，针对本次投标的电梯品牌，提供电梯安全管理使用培训手册，对甲方电梯管理员进行电梯安全管理及使用的培训，提供针对本次投标梯型电梯的日常维修保养作业指导书以及应急演练方案。</w:t>
      </w:r>
      <w:r/>
    </w:p>
    <w:p>
      <w:pPr>
        <w:pStyle w:val="904"/>
        <w:jc w:val="both"/>
        <w:rPr>
          <w:rFonts w:ascii="宋体" w:hAnsi="宋体" w:eastAsia="宋体" w:cs="宋体"/>
          <w:b/>
          <w:bCs/>
          <w:sz w:val="24"/>
          <w:szCs w:val="24"/>
        </w:rPr>
      </w:pPr>
      <w:r>
        <w:rPr>
          <w:rFonts w:hint="eastAsia" w:ascii="宋体" w:hAnsi="宋体" w:eastAsia="宋体" w:cs="宋体"/>
          <w:b/>
          <w:bCs/>
          <w:sz w:val="24"/>
          <w:szCs w:val="24"/>
        </w:rPr>
        <w:t xml:space="preserve">六、验收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1、在交货之前，制造商应对产品质量、规格、性能和数量/重量进行精确和全面的检测，并出具证明产品与招标文件要求相符的证明书。</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2、检测、检验和试验证明设备达到文件的技术规定, 并获得南京市特种设备安全监督检验研究院特种设备使用登记证和特种设备使用标志，批准运营后，双方即签署验收文件，设备即视为验收通过。</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3、货物抵达工地后,双方根据装箱文件清点件数及外观质量验收,并出具书面验收证明。</w:t>
      </w:r>
      <w:r/>
    </w:p>
    <w:p>
      <w:pPr>
        <w:ind w:firstLine="480"/>
        <w:spacing w:line="360" w:lineRule="auto"/>
        <w:rPr>
          <w:rFonts w:ascii="宋体" w:hAnsi="宋体" w:cs="宋体"/>
          <w:bCs/>
          <w:sz w:val="24"/>
          <w:szCs w:val="24"/>
        </w:rPr>
      </w:pPr>
      <w:r>
        <w:rPr>
          <w:rFonts w:hint="eastAsia" w:ascii="宋体" w:hAnsi="宋体" w:cs="宋体"/>
          <w:bCs/>
          <w:sz w:val="24"/>
          <w:szCs w:val="24"/>
        </w:rPr>
        <w:t xml:space="preserve">4、货物到达采购人工地至交付使用前所有的安全保管工作由供应商负责。</w:t>
      </w:r>
      <w:r/>
    </w:p>
    <w:p>
      <w:pPr>
        <w:ind w:firstLine="480"/>
        <w:spacing w:line="360" w:lineRule="auto"/>
        <w:rPr>
          <w:rFonts w:ascii="宋体" w:hAnsi="宋体" w:cs="宋体"/>
          <w:bCs/>
          <w:sz w:val="24"/>
          <w:szCs w:val="24"/>
        </w:rPr>
      </w:pPr>
      <w:r>
        <w:rPr>
          <w:rFonts w:hint="eastAsia" w:ascii="宋体" w:hAnsi="宋体" w:cs="宋体"/>
          <w:bCs/>
          <w:sz w:val="24"/>
          <w:szCs w:val="24"/>
        </w:rPr>
        <w:t xml:space="preserve">5、电梯验收要求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①第1次验收：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p>
    <w:p>
      <w:pPr>
        <w:ind w:firstLine="480"/>
        <w:spacing w:line="360" w:lineRule="auto"/>
        <w:rPr>
          <w:rFonts w:ascii="宋体" w:hAnsi="宋体" w:cs="宋体"/>
          <w:bCs/>
          <w:color w:val="000000"/>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2 \* GB3 </w:instrText>
      </w:r>
      <w:r>
        <w:rPr>
          <w:rFonts w:hint="eastAsia" w:ascii="宋体" w:hAnsi="宋体" w:cs="宋体"/>
          <w:bCs/>
          <w:sz w:val="24"/>
          <w:szCs w:val="24"/>
        </w:rPr>
        <w:fldChar w:fldCharType="separate"/>
      </w:r>
      <w:r>
        <w:rPr>
          <w:rFonts w:hint="eastAsia" w:ascii="宋体" w:hAnsi="宋体" w:cs="宋体"/>
          <w:bCs/>
          <w:sz w:val="24"/>
          <w:szCs w:val="24"/>
        </w:rPr>
        <w:t xml:space="preserve">②</w:t>
      </w:r>
      <w:r>
        <w:rPr>
          <w:rFonts w:hint="eastAsia" w:ascii="宋体" w:hAnsi="宋体" w:cs="宋体"/>
          <w:bCs/>
          <w:sz w:val="24"/>
          <w:szCs w:val="24"/>
        </w:rPr>
        <w:fldChar w:fldCharType="end"/>
      </w:r>
      <w:r>
        <w:rPr>
          <w:rFonts w:hint="eastAsia" w:ascii="宋体" w:hAnsi="宋体" w:cs="宋体"/>
          <w:bCs/>
          <w:sz w:val="24"/>
          <w:szCs w:val="24"/>
        </w:rPr>
        <w:t xml:space="preserve">第2次验收：安装完成由供应商负责向南京市场监督管理局质量技术监督部门（特检院）送交有关验收资料，经南京市场监督管理局质量技术监督部门（特检院</w:t>
      </w:r>
      <w:r>
        <w:rPr>
          <w:rFonts w:hint="eastAsia" w:ascii="宋体" w:hAnsi="宋体" w:cs="宋体"/>
          <w:bCs/>
          <w:color w:val="000000"/>
          <w:sz w:val="24"/>
          <w:szCs w:val="24"/>
        </w:rPr>
        <w:t xml:space="preserve">）检验验收合格。并由供应商负责办理特种设备使用登记证，特种设备使用标志。使用前办理完成电梯安全责任保险。</w:t>
      </w:r>
      <w:r/>
    </w:p>
    <w:p>
      <w:pPr>
        <w:pStyle w:val="904"/>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04"/>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七、投标人履约能力</w:t>
      </w:r>
      <w:r/>
    </w:p>
    <w:p>
      <w:pPr>
        <w:ind w:firstLine="480"/>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t xml:space="preserve">投标人</w:t>
      </w:r>
      <w:r>
        <w:rPr>
          <w:rFonts w:hint="eastAsia" w:ascii="宋体" w:hAnsi="宋体"/>
          <w:bCs/>
          <w:color w:val="000000"/>
          <w:sz w:val="24"/>
          <w:szCs w:val="24"/>
          <w:lang w:val="en-US" w:eastAsia="zh-CN"/>
        </w:rPr>
        <w:t xml:space="preserve">或所投产品</w:t>
      </w:r>
      <w:r>
        <w:rPr>
          <w:rFonts w:hint="eastAsia" w:ascii="宋体" w:hAnsi="宋体"/>
          <w:bCs/>
          <w:color w:val="000000"/>
          <w:sz w:val="24"/>
          <w:szCs w:val="24"/>
        </w:rPr>
        <w:t xml:space="preserve">需有202</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年6月1日以来已完成的类似的更换（旧电梯换新）电梯业绩。</w:t>
      </w:r>
      <w:r/>
    </w:p>
    <w:p>
      <w:pPr>
        <w:ind w:firstLine="481"/>
        <w:rPr>
          <w:rFonts w:hint="eastAsia" w:ascii="宋体" w:hAnsi="宋体" w:cs="宋体"/>
          <w:color w:val="000000"/>
          <w:sz w:val="24"/>
          <w:szCs w:val="24"/>
        </w:rPr>
      </w:pPr>
      <w:r>
        <w:rPr>
          <w:rFonts w:hint="eastAsia" w:ascii="宋体" w:hAnsi="宋体"/>
          <w:bCs/>
          <w:color w:val="000000"/>
          <w:sz w:val="24"/>
          <w:szCs w:val="24"/>
          <w:lang w:val="en-US" w:eastAsia="zh-CN"/>
        </w:rPr>
        <w:t xml:space="preserve">2、</w:t>
      </w:r>
      <w:r>
        <w:rPr>
          <w:rFonts w:ascii="宋体" w:hAnsi="宋体"/>
          <w:color w:val="000000"/>
          <w:sz w:val="24"/>
          <w:szCs w:val="24"/>
        </w:rPr>
        <w:t xml:space="preserve">投标人</w:t>
      </w:r>
      <w:r>
        <w:rPr>
          <w:rFonts w:hint="eastAsia" w:ascii="宋体" w:hAnsi="宋体"/>
          <w:color w:val="000000"/>
          <w:sz w:val="24"/>
          <w:szCs w:val="24"/>
        </w:rPr>
        <w:t xml:space="preserve">应有完整的，在</w:t>
      </w:r>
      <w:r>
        <w:rPr>
          <w:rFonts w:ascii="宋体" w:hAnsi="宋体"/>
          <w:color w:val="000000"/>
          <w:sz w:val="24"/>
          <w:szCs w:val="24"/>
        </w:rPr>
        <w:t xml:space="preserve">有效期内的ISO9001质量管理体系认证证书、ISO14001环境管理体系认证证书</w:t>
      </w:r>
      <w:r>
        <w:rPr>
          <w:rFonts w:hint="eastAsia" w:ascii="宋体" w:hAnsi="宋体"/>
          <w:color w:val="000000"/>
          <w:sz w:val="24"/>
          <w:szCs w:val="24"/>
        </w:rPr>
        <w:t xml:space="preserve">和</w:t>
      </w:r>
      <w:r>
        <w:rPr>
          <w:rFonts w:ascii="宋体" w:hAnsi="宋体"/>
          <w:color w:val="000000"/>
          <w:sz w:val="24"/>
          <w:szCs w:val="24"/>
        </w:rPr>
        <w:t xml:space="preserve">ISO45001职业健康安全管理体系认证证书</w:t>
      </w:r>
      <w:r>
        <w:rPr>
          <w:rFonts w:hint="eastAsia" w:ascii="宋体" w:hAnsi="宋体"/>
          <w:color w:val="000000"/>
          <w:sz w:val="24"/>
          <w:szCs w:val="24"/>
        </w:rPr>
        <w:t xml:space="preserve">。</w:t>
      </w:r>
      <w:r/>
    </w:p>
    <w:p>
      <w:pPr>
        <w:ind w:firstLine="480"/>
        <w:rPr>
          <w:rFonts w:hint="eastAsia" w:ascii="宋体" w:hAnsi="宋体" w:eastAsia="宋体"/>
          <w:bCs/>
          <w:color w:val="000000"/>
          <w:sz w:val="24"/>
          <w:szCs w:val="24"/>
          <w:lang w:val="en-US" w:eastAsia="zh-CN"/>
        </w:rPr>
      </w:pPr>
      <w:r>
        <w:rPr>
          <w:rFonts w:hint="eastAsia" w:ascii="宋体" w:hAnsi="宋体" w:eastAsia="宋体"/>
          <w:bCs/>
          <w:color w:val="000000"/>
          <w:sz w:val="24"/>
          <w:szCs w:val="24"/>
          <w:lang w:val="en-US" w:eastAsia="zh-CN"/>
        </w:rPr>
      </w:r>
      <w:r/>
    </w:p>
    <w:p>
      <w:pPr>
        <w:ind w:firstLine="480"/>
        <w:rPr>
          <w:rFonts w:ascii="宋体" w:hAnsi="宋体"/>
          <w:bCs/>
          <w:color w:val="000000"/>
          <w:sz w:val="24"/>
          <w:szCs w:val="24"/>
        </w:rPr>
      </w:pPr>
      <w:r>
        <w:rPr>
          <w:rFonts w:ascii="宋体" w:hAnsi="宋体"/>
          <w:bCs/>
          <w:color w:val="000000"/>
          <w:sz w:val="24"/>
          <w:szCs w:val="24"/>
        </w:rPr>
      </w:r>
      <w:r/>
    </w:p>
    <w:p>
      <w:pPr>
        <w:rPr>
          <w:rFonts w:hint="eastAsia" w:ascii="黑体" w:eastAsia="黑体"/>
          <w:bCs/>
          <w:color w:val="000000"/>
          <w:sz w:val="44"/>
          <w:szCs w:val="28"/>
        </w:rPr>
      </w:pPr>
      <w:r>
        <w:rPr>
          <w:rFonts w:ascii="黑体" w:eastAsia="黑体"/>
          <w:bCs/>
          <w:color w:val="000000"/>
          <w:sz w:val="44"/>
        </w:rPr>
        <w:br w:type="page" w:clear="all"/>
      </w:r>
      <w:bookmarkStart w:id="186" w:name="_Toc120614281"/>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rFonts w:hint="eastAsia"/>
          <w:color w:val="000000"/>
          <w:szCs w:val="21"/>
        </w:rPr>
      </w:pPr>
      <w:r>
        <w:rPr>
          <w:rFonts w:hint="eastAsia"/>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3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4325" w:type="dxa"/>
            <w:vAlign w:val="top"/>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w:t>
      </w:r>
      <w:r>
        <w:rPr>
          <w:rFonts w:hint="eastAsia" w:ascii="宋体" w:hAnsi="宋体"/>
          <w:sz w:val="24"/>
          <w:szCs w:val="24"/>
        </w:rPr>
        <w:t xml:space="preserve">提供相应的《中小微企业声</w:t>
      </w:r>
      <w:r>
        <w:rPr>
          <w:rFonts w:hint="eastAsia" w:ascii="宋体" w:hAnsi="宋体"/>
          <w:color w:val="000000"/>
          <w:sz w:val="24"/>
          <w:szCs w:val="24"/>
        </w:rPr>
        <w:t xml:space="preserve">明函》。</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73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序号</w:t>
            </w:r>
            <w:r/>
          </w:p>
        </w:tc>
        <w:tc>
          <w:tcPr>
            <w:tcW w:w="1179" w:type="dxa"/>
            <w:vAlign w:val="center"/>
            <w:textDirection w:val="lrTb"/>
            <w:noWrap w:val="false"/>
          </w:tcPr>
          <w:p>
            <w:pPr>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评审因素</w:t>
            </w:r>
            <w:r/>
          </w:p>
        </w:tc>
        <w:tc>
          <w:tcPr>
            <w:tcW w:w="6330" w:type="dxa"/>
            <w:vAlign w:val="center"/>
            <w:textDirection w:val="lrTb"/>
            <w:noWrap w:val="false"/>
          </w:tcPr>
          <w:p>
            <w:pPr>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评审细则</w:t>
            </w:r>
            <w:r/>
          </w:p>
        </w:tc>
        <w:tc>
          <w:tcPr>
            <w:tcW w:w="647" w:type="dxa"/>
            <w:vAlign w:val="center"/>
            <w:textDirection w:val="lrTb"/>
            <w:noWrap w:val="false"/>
          </w:tcPr>
          <w:p>
            <w:pPr>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分值</w:t>
            </w:r>
            <w:r/>
          </w:p>
        </w:tc>
        <w:tc>
          <w:tcPr>
            <w:tcW w:w="900" w:type="dxa"/>
            <w:vAlign w:val="center"/>
            <w:textDirection w:val="lrTb"/>
            <w:noWrap w:val="false"/>
          </w:tcPr>
          <w:p>
            <w:pPr>
              <w:jc w:val="center"/>
              <w:spacing w:before="68" w:line="264" w:lineRule="auto"/>
              <w:rPr>
                <w:rFonts w:ascii="宋体" w:hAnsi="宋体" w:cs="宋体"/>
                <w:b/>
                <w:bCs/>
                <w:color w:val="000000"/>
                <w:spacing w:val="-3"/>
                <w:sz w:val="24"/>
                <w:szCs w:val="24"/>
              </w:rPr>
            </w:pPr>
            <w:r>
              <w:rPr>
                <w:rFonts w:hint="eastAsia" w:ascii="宋体" w:hAnsi="宋体" w:cs="宋体"/>
                <w:b/>
                <w:bCs/>
                <w:color w:val="000000"/>
                <w:spacing w:val="-3"/>
                <w:sz w:val="24"/>
                <w:szCs w:val="24"/>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ascii="宋体" w:hAnsi="宋体" w:cs="宋体"/>
                <w:color w:val="000000"/>
                <w:sz w:val="24"/>
                <w:szCs w:val="24"/>
              </w:rPr>
            </w:pPr>
            <w:r>
              <w:rPr>
                <w:rFonts w:hint="eastAsia" w:ascii="宋体" w:hAnsi="宋体" w:cs="宋体"/>
                <w:b/>
                <w:bCs/>
                <w:color w:val="000000"/>
                <w:spacing w:val="-3"/>
                <w:sz w:val="24"/>
                <w:szCs w:val="24"/>
              </w:rPr>
              <w:t xml:space="preserve">1.价</w:t>
            </w:r>
            <w:r>
              <w:rPr>
                <w:rFonts w:hint="eastAsia" w:ascii="宋体" w:hAnsi="宋体" w:cs="宋体"/>
                <w:b/>
                <w:bCs/>
                <w:color w:val="000000"/>
                <w:spacing w:val="-2"/>
                <w:sz w:val="24"/>
                <w:szCs w:val="24"/>
              </w:rPr>
              <w:t xml:space="preserve">格</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color w:val="000000"/>
                <w:sz w:val="24"/>
                <w:szCs w:val="24"/>
              </w:rPr>
            </w:pPr>
            <w:r>
              <w:rPr>
                <w:rFonts w:hint="eastAsia" w:ascii="宋体" w:hAnsi="宋体" w:cs="宋体"/>
                <w:color w:val="000000"/>
                <w:spacing w:val="-6"/>
                <w:sz w:val="24"/>
                <w:szCs w:val="24"/>
              </w:rPr>
              <w:t xml:space="preserve">1</w:t>
            </w:r>
            <w:r>
              <w:rPr>
                <w:rFonts w:hint="eastAsia" w:ascii="宋体" w:hAnsi="宋体" w:cs="宋体"/>
                <w:color w:val="000000"/>
                <w:spacing w:val="-5"/>
                <w:sz w:val="24"/>
                <w:szCs w:val="24"/>
              </w:rPr>
              <w:t xml:space="preserve">.1</w:t>
            </w:r>
            <w:r/>
          </w:p>
        </w:tc>
        <w:tc>
          <w:tcPr>
            <w:tcW w:w="1179" w:type="dxa"/>
            <w:vAlign w:val="center"/>
            <w:textDirection w:val="lrTb"/>
            <w:noWrap w:val="false"/>
          </w:tcPr>
          <w:p>
            <w:pPr>
              <w:jc w:val="left"/>
              <w:spacing w:before="68" w:line="264" w:lineRule="auto"/>
              <w:rPr>
                <w:rFonts w:ascii="宋体" w:hAnsi="宋体" w:cs="宋体"/>
                <w:color w:val="000000"/>
                <w:sz w:val="24"/>
                <w:szCs w:val="24"/>
              </w:rPr>
            </w:pPr>
            <w:r>
              <w:rPr>
                <w:rFonts w:hint="eastAsia" w:ascii="宋体" w:hAnsi="宋体" w:cs="宋体"/>
                <w:color w:val="000000"/>
                <w:spacing w:val="-2"/>
                <w:sz w:val="24"/>
                <w:szCs w:val="24"/>
              </w:rPr>
              <w:t xml:space="preserve">价格分</w:t>
            </w:r>
            <w:r/>
          </w:p>
        </w:tc>
        <w:tc>
          <w:tcPr>
            <w:tcW w:w="6330" w:type="dxa"/>
            <w:vAlign w:val="center"/>
            <w:textDirection w:val="lrTb"/>
            <w:noWrap w:val="false"/>
          </w:tcPr>
          <w:p>
            <w:pPr>
              <w:jc w:val="left"/>
              <w:spacing w:line="264" w:lineRule="auto"/>
              <w:rPr>
                <w:rFonts w:ascii="宋体" w:hAnsi="宋体" w:cs="宋体"/>
                <w:color w:val="000000"/>
                <w:sz w:val="24"/>
                <w:szCs w:val="24"/>
              </w:rPr>
            </w:pPr>
            <w:r>
              <w:rPr>
                <w:rFonts w:hint="eastAsia" w:ascii="宋体" w:hAnsi="宋体" w:cs="宋体"/>
                <w:color w:val="000000"/>
                <w:spacing w:val="1"/>
                <w:sz w:val="24"/>
                <w:szCs w:val="24"/>
              </w:rPr>
              <w:t xml:space="preserve">采用低价优先</w:t>
            </w:r>
            <w:r>
              <w:rPr>
                <w:rFonts w:hint="eastAsia" w:ascii="宋体" w:hAnsi="宋体" w:cs="宋体"/>
                <w:color w:val="000000"/>
                <w:sz w:val="24"/>
                <w:szCs w:val="24"/>
              </w:rPr>
              <w:t xml:space="preserve">法计算，即满足招标文件要求且投标价格最低的投标</w:t>
            </w:r>
            <w:r>
              <w:rPr>
                <w:rFonts w:hint="eastAsia" w:ascii="宋体" w:hAnsi="宋体" w:cs="宋体"/>
                <w:color w:val="000000"/>
                <w:spacing w:val="1"/>
                <w:sz w:val="24"/>
                <w:szCs w:val="24"/>
              </w:rPr>
              <w:t xml:space="preserve">报价为评标基准</w:t>
            </w:r>
            <w:r>
              <w:rPr>
                <w:rFonts w:hint="eastAsia" w:ascii="宋体" w:hAnsi="宋体" w:cs="宋体"/>
                <w:color w:val="000000"/>
                <w:sz w:val="24"/>
                <w:szCs w:val="24"/>
              </w:rPr>
              <w:t xml:space="preserve">价，其价格分为满分。其他供应商的价格分统一按</w:t>
            </w:r>
            <w:r>
              <w:rPr>
                <w:rFonts w:hint="eastAsia" w:ascii="宋体" w:hAnsi="宋体" w:cs="宋体"/>
                <w:color w:val="000000"/>
                <w:spacing w:val="-1"/>
                <w:sz w:val="24"/>
                <w:szCs w:val="24"/>
              </w:rPr>
              <w:t xml:space="preserve">照下列公</w:t>
            </w:r>
            <w:r>
              <w:rPr>
                <w:rFonts w:hint="eastAsia" w:ascii="宋体" w:hAnsi="宋体" w:cs="宋体"/>
                <w:color w:val="000000"/>
                <w:sz w:val="24"/>
                <w:szCs w:val="24"/>
              </w:rPr>
              <w:t xml:space="preserve">式计算：投标报价得分=(评标基准价/投标报价)×30（小数点保留两位）</w:t>
            </w:r>
            <w:r/>
          </w:p>
        </w:tc>
        <w:tc>
          <w:tcPr>
            <w:tcW w:w="647" w:type="dxa"/>
            <w:vAlign w:val="center"/>
            <w:textDirection w:val="lrTb"/>
            <w:noWrap w:val="false"/>
          </w:tcPr>
          <w:p>
            <w:pPr>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30</w:t>
            </w:r>
            <w:r/>
          </w:p>
        </w:tc>
        <w:tc>
          <w:tcPr>
            <w:tcW w:w="900" w:type="dxa"/>
            <w:vAlign w:val="center"/>
            <w:textDirection w:val="lrTb"/>
            <w:noWrap w:val="false"/>
          </w:tcPr>
          <w:p>
            <w:pPr>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价格分</w:t>
            </w:r>
            <w:r/>
          </w:p>
        </w:tc>
      </w:tr>
      <w:tr>
        <w:trPr>
          <w:jc w:val="center"/>
          <w:trHeight w:val="460"/>
        </w:trPr>
        <w:tc>
          <w:tcPr>
            <w:gridSpan w:val="5"/>
            <w:tcW w:w="9575" w:type="dxa"/>
            <w:vAlign w:val="top"/>
            <w:textDirection w:val="lrTb"/>
            <w:noWrap w:val="false"/>
          </w:tcPr>
          <w:p>
            <w:pPr>
              <w:ind w:left="114"/>
              <w:spacing w:before="123" w:line="264" w:lineRule="auto"/>
              <w:rPr>
                <w:rFonts w:ascii="宋体" w:hAnsi="宋体" w:cs="宋体"/>
                <w:color w:val="000000"/>
                <w:sz w:val="24"/>
                <w:szCs w:val="24"/>
              </w:rPr>
            </w:pPr>
            <w:r>
              <w:rPr>
                <w:rFonts w:hint="eastAsia" w:ascii="宋体" w:hAnsi="宋体" w:cs="宋体"/>
                <w:b/>
                <w:bCs/>
                <w:color w:val="000000"/>
                <w:spacing w:val="-3"/>
                <w:sz w:val="24"/>
                <w:szCs w:val="24"/>
              </w:rPr>
              <w:t xml:space="preserve">2.技术</w:t>
            </w:r>
            <w:r/>
          </w:p>
        </w:tc>
      </w:tr>
      <w:tr>
        <w:trPr>
          <w:jc w:val="center"/>
          <w:trHeight w:val="90"/>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2.1</w:t>
            </w:r>
            <w:r/>
          </w:p>
        </w:tc>
        <w:tc>
          <w:tcPr>
            <w:tcW w:w="1179" w:type="dxa"/>
            <w:vAlign w:val="center"/>
            <w:textDirection w:val="lrTb"/>
            <w:noWrap w:val="false"/>
          </w:tcPr>
          <w:p>
            <w:pPr>
              <w:jc w:val="center"/>
              <w:rPr>
                <w:rFonts w:hint="eastAsia" w:ascii="宋体" w:hAnsi="宋体" w:cs="仿宋"/>
                <w:color w:val="auto"/>
                <w:sz w:val="24"/>
                <w:szCs w:val="24"/>
              </w:rPr>
            </w:pPr>
            <w:r>
              <w:rPr>
                <w:rFonts w:hint="eastAsia" w:ascii="宋体" w:hAnsi="宋体" w:cs="仿宋"/>
                <w:color w:val="auto"/>
                <w:sz w:val="24"/>
                <w:szCs w:val="24"/>
              </w:rPr>
              <w:t xml:space="preserve">电梯主要部件</w:t>
            </w:r>
            <w:r/>
          </w:p>
        </w:tc>
        <w:tc>
          <w:tcPr>
            <w:tcW w:w="6330" w:type="dxa"/>
            <w:vAlign w:val="center"/>
            <w:textDirection w:val="lrTb"/>
            <w:noWrap w:val="false"/>
          </w:tcPr>
          <w:p>
            <w:pPr>
              <w:rPr>
                <w:rFonts w:hint="eastAsia" w:ascii="宋体" w:hAnsi="宋体" w:cs="仿宋"/>
                <w:bCs/>
                <w:color w:val="auto"/>
                <w:sz w:val="24"/>
                <w:szCs w:val="24"/>
                <w:lang w:val="en-US" w:eastAsia="zh-CN"/>
              </w:rPr>
            </w:pPr>
            <w:r>
              <w:rPr>
                <w:rFonts w:hint="eastAsia" w:ascii="宋体" w:hAnsi="宋体" w:cs="仿宋"/>
                <w:bCs/>
                <w:color w:val="auto"/>
                <w:sz w:val="24"/>
                <w:szCs w:val="24"/>
                <w:lang w:val="en-US" w:eastAsia="zh-CN"/>
              </w:rPr>
              <w:t xml:space="preserve">2.1.1、所投产品（需标明所投产品的品牌及相应的系列型号）的曳引机部件与对应整机型式试验报告的品牌及型号一致，满足得3分，其余不得分。（提供带CMA标识整机型式试验报告及带CMA标识曳引机部件型式试验报告原件扫描件上传至电子投标文件中，否则不予得分）</w:t>
            </w:r>
            <w:r/>
          </w:p>
          <w:p>
            <w:pPr>
              <w:rPr>
                <w:rFonts w:hint="eastAsia" w:ascii="宋体" w:hAnsi="宋体" w:cs="仿宋"/>
                <w:bCs/>
                <w:color w:val="auto"/>
                <w:sz w:val="24"/>
                <w:szCs w:val="24"/>
                <w:lang w:val="en-US" w:eastAsia="zh-CN"/>
              </w:rPr>
            </w:pPr>
            <w:r>
              <w:rPr>
                <w:rFonts w:hint="eastAsia" w:ascii="宋体" w:hAnsi="宋体" w:cs="仿宋"/>
                <w:bCs/>
                <w:color w:val="auto"/>
                <w:sz w:val="24"/>
                <w:szCs w:val="24"/>
                <w:lang w:val="en-US" w:eastAsia="zh-CN"/>
              </w:rPr>
              <w:t xml:space="preserve">2.1.2、所投产品（需标明所投产品的品牌及相应的系列型号）的控制柜部件与对应整机型式试验报告的品牌及型号一致，满足得3分，其余不得分。（提供带CMA标识整机型式试验报告及带CMA标识控制柜部件型式试验报告原件扫描件上传至电子投标文件中，否则不予得分）</w:t>
            </w:r>
            <w:r/>
          </w:p>
          <w:p>
            <w:pPr>
              <w:rPr>
                <w:rFonts w:hint="eastAsia" w:ascii="宋体" w:hAnsi="宋体" w:cs="仿宋"/>
                <w:bCs/>
                <w:color w:val="auto"/>
                <w:sz w:val="24"/>
                <w:szCs w:val="24"/>
                <w:lang w:val="en-US" w:eastAsia="zh-CN"/>
              </w:rPr>
            </w:pPr>
            <w:r>
              <w:rPr>
                <w:rFonts w:hint="eastAsia" w:ascii="宋体" w:hAnsi="宋体" w:cs="仿宋"/>
                <w:bCs/>
                <w:color w:val="auto"/>
                <w:sz w:val="24"/>
                <w:szCs w:val="24"/>
                <w:lang w:val="en-US" w:eastAsia="zh-CN"/>
              </w:rPr>
              <w:t xml:space="preserve">2.1.3、所投产品（需标明所投产品的品牌及相应的系列型号）的门机与对应整机型式试验报告的品牌及型号一致，满足得3分，其余不得分。（提供带CMA标识整机型式试验报告及带CMA标识门机部件型式试验报告原件扫描件上传至电子投标文件中，否则不予得分）</w:t>
            </w:r>
            <w:r/>
          </w:p>
          <w:p>
            <w:pPr>
              <w:rPr>
                <w:rFonts w:hint="eastAsia" w:ascii="宋体" w:hAnsi="宋体" w:cs="仿宋"/>
                <w:bCs/>
                <w:color w:val="auto"/>
                <w:sz w:val="24"/>
                <w:szCs w:val="24"/>
                <w:lang w:val="en-US" w:eastAsia="zh-CN"/>
              </w:rPr>
            </w:pPr>
            <w:r>
              <w:rPr>
                <w:rFonts w:hint="eastAsia" w:ascii="宋体" w:hAnsi="宋体" w:cs="仿宋"/>
                <w:bCs/>
                <w:color w:val="auto"/>
                <w:sz w:val="24"/>
                <w:szCs w:val="24"/>
                <w:lang w:val="en-US" w:eastAsia="zh-CN"/>
              </w:rPr>
              <w:t xml:space="preserve">2.1.4、所投产品（需标明所投产品的品牌及相应的系列型号）的安全钳与对应整机型式试验报告的品牌及型号一致，满足得3分，其余不得分。（提供带CMA标识整机型式试验报告及带CMA标识安全钳部件型式试验报告原件扫描件上传至电子投标文件中，否则不予得分）</w:t>
            </w:r>
            <w:r/>
          </w:p>
          <w:p>
            <w:pPr>
              <w:rPr>
                <w:rFonts w:hint="eastAsia" w:ascii="宋体" w:hAnsi="宋体" w:cs="仿宋"/>
                <w:bCs/>
                <w:color w:val="auto"/>
                <w:sz w:val="24"/>
                <w:szCs w:val="24"/>
              </w:rPr>
            </w:pPr>
            <w:r>
              <w:rPr>
                <w:rFonts w:hint="eastAsia" w:ascii="宋体" w:hAnsi="宋体" w:cs="仿宋"/>
                <w:bCs/>
                <w:color w:val="auto"/>
                <w:sz w:val="24"/>
                <w:szCs w:val="24"/>
                <w:lang w:val="en-US" w:eastAsia="zh-CN"/>
              </w:rPr>
              <w:t xml:space="preserve">2.1.5、所投产品（需标明所投产品的品牌及相应的系列型号）的限速器与对应整机型式试验报告的品牌及型号一致，满足得3分，其余不得分。（提供带CMA标识整机型式试验报告及带CMA标识限速器部件型式试验报告原件扫描件上传至电子投标文件中，否则不予得分）</w:t>
            </w:r>
            <w:r/>
          </w:p>
        </w:tc>
        <w:tc>
          <w:tcPr>
            <w:tcW w:w="647" w:type="dxa"/>
            <w:vAlign w:val="center"/>
            <w:textDirection w:val="lrTb"/>
            <w:noWrap w:val="false"/>
          </w:tcPr>
          <w:p>
            <w:pPr>
              <w:jc w:val="center"/>
              <w:spacing w:before="68" w:line="264"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tcW w:w="900" w:type="dxa"/>
            <w:vAlign w:val="center"/>
            <w:textDirection w:val="lrTb"/>
            <w:noWrap w:val="false"/>
          </w:tcPr>
          <w:p>
            <w:pPr>
              <w:jc w:val="center"/>
              <w:spacing w:before="68" w:line="264" w:lineRule="auto"/>
              <w:rPr>
                <w:rFonts w:hint="eastAsia" w:ascii="宋体" w:hAnsi="宋体" w:cs="宋体"/>
                <w:color w:val="000000"/>
                <w:spacing w:val="-6"/>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p>
        </w:tc>
      </w:tr>
      <w:tr>
        <w:trPr>
          <w:jc w:val="center"/>
          <w:trHeight w:val="90"/>
        </w:trPr>
        <w:tc>
          <w:tcPr>
            <w:tcW w:w="519" w:type="dxa"/>
            <w:vAlign w:val="center"/>
            <w:vMerge w:val="restart"/>
            <w:textDirection w:val="lrTb"/>
            <w:noWrap w:val="false"/>
          </w:tcPr>
          <w:p>
            <w:pPr>
              <w:jc w:val="center"/>
              <w:spacing w:before="68" w:line="264" w:lineRule="auto"/>
              <w:rPr>
                <w:rFonts w:hint="eastAsia" w:ascii="宋体" w:hAnsi="宋体" w:eastAsia="宋体" w:cs="宋体"/>
                <w:color w:val="000000"/>
                <w:spacing w:val="-2"/>
                <w:sz w:val="24"/>
                <w:szCs w:val="24"/>
                <w:lang w:eastAsia="zh-CN"/>
              </w:rPr>
            </w:pPr>
            <w:r>
              <w:rPr>
                <w:rFonts w:hint="eastAsia" w:ascii="宋体" w:hAnsi="宋体" w:cs="宋体"/>
                <w:color w:val="000000"/>
                <w:spacing w:val="-2"/>
                <w:sz w:val="24"/>
                <w:szCs w:val="24"/>
              </w:rPr>
              <w:t xml:space="preserve">2.</w:t>
            </w:r>
            <w:r>
              <w:rPr>
                <w:rFonts w:hint="eastAsia" w:ascii="宋体" w:hAnsi="宋体" w:cs="宋体"/>
                <w:color w:val="000000"/>
                <w:spacing w:val="-2"/>
                <w:sz w:val="24"/>
                <w:szCs w:val="24"/>
                <w:lang w:val="en-US" w:eastAsia="zh-CN"/>
              </w:rPr>
              <w:t xml:space="preserve">2</w:t>
            </w:r>
            <w:r/>
          </w:p>
        </w:tc>
        <w:tc>
          <w:tcPr>
            <w:tcW w:w="1179" w:type="dxa"/>
            <w:vAlign w:val="center"/>
            <w:vMerge w:val="restart"/>
            <w:textDirection w:val="lrTb"/>
            <w:noWrap w:val="false"/>
          </w:tcPr>
          <w:p>
            <w:pPr>
              <w:jc w:val="center"/>
              <w:rPr>
                <w:rFonts w:ascii="宋体" w:hAnsi="宋体" w:cs="宋体"/>
                <w:color w:val="000000"/>
                <w:spacing w:val="-2"/>
                <w:sz w:val="24"/>
                <w:szCs w:val="24"/>
              </w:rPr>
            </w:pPr>
            <w:r>
              <w:rPr>
                <w:rFonts w:hint="eastAsia" w:ascii="宋体" w:hAnsi="宋体" w:cs="仿宋"/>
                <w:color w:val="000000"/>
                <w:sz w:val="24"/>
                <w:szCs w:val="24"/>
              </w:rPr>
              <w:t xml:space="preserve">电梯安全性</w:t>
            </w:r>
            <w:r>
              <w:rPr>
                <w:rFonts w:ascii="宋体" w:hAnsi="宋体" w:cs="仿宋"/>
                <w:color w:val="000000"/>
                <w:sz w:val="24"/>
                <w:szCs w:val="24"/>
              </w:rPr>
              <w:t xml:space="preserve"> </w:t>
            </w:r>
            <w:r/>
          </w:p>
        </w:tc>
        <w:tc>
          <w:tcPr>
            <w:tcW w:w="6330" w:type="dxa"/>
            <w:vAlign w:val="center"/>
            <w:textDirection w:val="lrTb"/>
            <w:noWrap w:val="false"/>
          </w:tcPr>
          <w:p>
            <w:pPr>
              <w:rPr>
                <w:rFonts w:ascii="宋体" w:hAnsi="宋体" w:cs="宋体"/>
                <w:color w:val="000000"/>
                <w:spacing w:val="-1"/>
                <w:sz w:val="24"/>
                <w:szCs w:val="24"/>
                <w:lang w:val="zh-CN"/>
              </w:rPr>
            </w:pPr>
            <w:r>
              <w:rPr>
                <w:rFonts w:hint="eastAsia" w:ascii="宋体" w:hAnsi="宋体" w:cs="仿宋"/>
                <w:bCs/>
                <w:color w:val="000000"/>
                <w:sz w:val="24"/>
                <w:szCs w:val="24"/>
              </w:rPr>
              <w:t xml:space="preserve">所投产品（需标明所投产品的品牌及相应的系列型号）的轿门门锁、层门门锁、缓冲器、上行超速保护装置、轿厢意外移动保护装置与对应整机型式试验报告的品牌及型号一致，完全符合的得5分，有一项及以上不符合的，得0分。（提供所有梯型带CMA标识整机型式试验报告及带CMA标识的轿门门锁、层门门锁、缓冲器、上行超速保护装置、轿厢意外移动保护装置的型式试验报告原件扫描件上传至电子投标文件中，否则不予得分）。</w:t>
            </w:r>
            <w:r/>
          </w:p>
        </w:tc>
        <w:tc>
          <w:tcPr>
            <w:tcW w:w="647" w:type="dxa"/>
            <w:vAlign w:val="center"/>
            <w:textDirection w:val="lrTb"/>
            <w:noWrap w:val="false"/>
          </w:tcPr>
          <w:p>
            <w:pPr>
              <w:jc w:val="center"/>
              <w:rPr>
                <w:rFonts w:ascii="宋体" w:hAnsi="宋体" w:cs="宋体"/>
                <w:color w:val="000000"/>
                <w:sz w:val="24"/>
                <w:szCs w:val="24"/>
              </w:rPr>
            </w:pPr>
            <w:r>
              <w:rPr>
                <w:rFonts w:ascii="宋体" w:hAnsi="宋体" w:cs="仿宋"/>
                <w:bCs/>
                <w:sz w:val="24"/>
                <w:szCs w:val="24"/>
              </w:rPr>
              <w:t xml:space="preserve">5</w:t>
            </w:r>
            <w:r/>
          </w:p>
        </w:tc>
        <w:tc>
          <w:tcPr>
            <w:tcW w:w="900" w:type="dxa"/>
            <w:vAlign w:val="center"/>
            <w:textDirection w:val="lrTb"/>
            <w:noWrap w:val="false"/>
          </w:tcPr>
          <w:p>
            <w:pPr>
              <w:jc w:val="center"/>
              <w:spacing w:before="68" w:line="264" w:lineRule="auto"/>
              <w:rPr>
                <w:rFonts w:ascii="宋体" w:hAnsi="宋体" w:cs="宋体"/>
                <w:color w:val="000000"/>
                <w:sz w:val="24"/>
                <w:szCs w:val="24"/>
              </w:rPr>
            </w:pPr>
            <w:r>
              <w:rPr>
                <w:rFonts w:hint="eastAsia" w:ascii="宋体" w:hAnsi="宋体" w:cs="宋体"/>
                <w:color w:val="000000"/>
                <w:sz w:val="24"/>
                <w:szCs w:val="24"/>
              </w:rPr>
              <w:t xml:space="preserve">客观分</w:t>
            </w:r>
            <w:r/>
          </w:p>
        </w:tc>
      </w:tr>
      <w:tr>
        <w:trPr>
          <w:jc w:val="center"/>
          <w:trHeight w:val="90"/>
        </w:trPr>
        <w:tc>
          <w:tcPr>
            <w:tcW w:w="519" w:type="dxa"/>
            <w:vAlign w:val="center"/>
            <w:textDirection w:val="lrTb"/>
            <w:noWrap w:val="false"/>
          </w:tcPr>
          <w:p>
            <w:pPr>
              <w:jc w:val="center"/>
              <w:spacing w:before="68" w:line="264" w:lineRule="auto"/>
              <w:rPr>
                <w:rFonts w:hint="default" w:ascii="宋体" w:hAnsi="宋体" w:cs="宋体"/>
                <w:color w:val="000000"/>
                <w:spacing w:val="-2"/>
                <w:sz w:val="24"/>
                <w:szCs w:val="24"/>
                <w:lang w:val="en-US"/>
              </w:rPr>
            </w:pPr>
            <w:r>
              <w:rPr>
                <w:rFonts w:hint="eastAsia" w:ascii="宋体" w:hAnsi="宋体" w:cs="宋体"/>
                <w:color w:val="000000"/>
                <w:spacing w:val="-2"/>
                <w:sz w:val="24"/>
                <w:szCs w:val="24"/>
                <w:lang w:val="en-US" w:eastAsia="zh-CN"/>
              </w:rPr>
              <w:t xml:space="preserve">2.3</w:t>
            </w:r>
            <w:r/>
          </w:p>
        </w:tc>
        <w:tc>
          <w:tcPr>
            <w:tcW w:w="1179" w:type="dxa"/>
            <w:vAlign w:val="center"/>
            <w:textDirection w:val="lrTb"/>
            <w:noWrap w:val="false"/>
          </w:tcPr>
          <w:p>
            <w:pPr>
              <w:jc w:val="center"/>
              <w:rPr>
                <w:rFonts w:hint="eastAsia" w:ascii="宋体" w:hAnsi="宋体" w:cs="仿宋"/>
                <w:color w:val="000000"/>
                <w:sz w:val="24"/>
                <w:szCs w:val="24"/>
              </w:rPr>
            </w:pPr>
            <w:r>
              <w:rPr>
                <w:rFonts w:hint="eastAsia" w:ascii="宋体" w:hAnsi="宋体" w:cs="仿宋"/>
                <w:color w:val="000000"/>
                <w:sz w:val="24"/>
                <w:szCs w:val="24"/>
                <w:lang w:val="en-US" w:eastAsia="zh-CN"/>
              </w:rPr>
              <w:t xml:space="preserve">电梯光幕性能</w:t>
            </w:r>
            <w:r/>
          </w:p>
        </w:tc>
        <w:tc>
          <w:tcPr>
            <w:tcW w:w="6330" w:type="dxa"/>
            <w:vAlign w:val="center"/>
            <w:textDirection w:val="lrTb"/>
            <w:noWrap w:val="false"/>
          </w:tcPr>
          <w:p>
            <w:pPr>
              <w:rPr>
                <w:rFonts w:hint="eastAsia" w:ascii="宋体" w:hAnsi="宋体" w:cs="宋体"/>
                <w:color w:val="auto"/>
                <w:spacing w:val="-1"/>
                <w:sz w:val="24"/>
                <w:szCs w:val="24"/>
              </w:rPr>
            </w:pPr>
            <w:r>
              <w:rPr>
                <w:rFonts w:hint="eastAsia" w:ascii="宋体" w:hAnsi="宋体" w:eastAsia="宋体" w:cs="仿宋"/>
                <w:bCs/>
                <w:color w:val="auto"/>
                <w:sz w:val="24"/>
                <w:szCs w:val="24"/>
                <w:lang w:val="en-US" w:eastAsia="zh-CN"/>
              </w:rPr>
              <w:t xml:space="preserve">对所投产品（需标明所投产品的品牌及相应的系列型号）的光幕光束≥150束，得5分，150束＞光幕光束≥120束，得3分，其他，得0分；（提供整机型式试验报告原件扫描件或带CMA标识的检验报告原件扫描件上传至电子投标文件中，否则不予得分）</w:t>
            </w:r>
            <w:r/>
          </w:p>
        </w:tc>
        <w:tc>
          <w:tcPr>
            <w:tcW w:w="647" w:type="dxa"/>
            <w:vAlign w:val="center"/>
            <w:textDirection w:val="lrTb"/>
            <w:noWrap w:val="false"/>
          </w:tcPr>
          <w:p>
            <w:pPr>
              <w:jc w:val="center"/>
              <w:spacing w:before="68" w:line="264" w:lineRule="auto"/>
              <w:rPr>
                <w:rFonts w:hint="eastAsia" w:ascii="宋体" w:hAnsi="宋体" w:cs="仿宋"/>
                <w:bCs/>
                <w:sz w:val="24"/>
                <w:szCs w:val="24"/>
              </w:rPr>
            </w:pPr>
            <w:r>
              <w:rPr>
                <w:rFonts w:hint="eastAsia" w:ascii="宋体" w:hAnsi="宋体" w:cs="宋体"/>
                <w:color w:val="000000"/>
                <w:spacing w:val="-2"/>
                <w:sz w:val="24"/>
                <w:szCs w:val="24"/>
                <w:lang w:val="en-US" w:eastAsia="zh-CN"/>
              </w:rPr>
              <w:t xml:space="preserve">5</w:t>
            </w:r>
            <w:r/>
          </w:p>
        </w:tc>
        <w:tc>
          <w:tcPr>
            <w:tcW w:w="900" w:type="dxa"/>
            <w:vAlign w:val="center"/>
            <w:textDirection w:val="lrTb"/>
            <w:noWrap w:val="false"/>
          </w:tcPr>
          <w:p>
            <w:pPr>
              <w:jc w:val="center"/>
              <w:rPr>
                <w:rFonts w:hint="eastAsia" w:ascii="宋体" w:hAnsi="宋体" w:cs="宋体"/>
                <w:color w:val="000000"/>
                <w:sz w:val="24"/>
                <w:szCs w:val="24"/>
              </w:rPr>
            </w:pPr>
            <w:r>
              <w:rPr>
                <w:rFonts w:hint="eastAsia" w:ascii="宋体" w:hAnsi="宋体" w:cs="仿宋"/>
                <w:color w:val="000000"/>
                <w:sz w:val="24"/>
                <w:szCs w:val="24"/>
                <w:lang w:val="en-US" w:eastAsia="zh-CN"/>
              </w:rPr>
              <w:t xml:space="preserve">客观分</w:t>
            </w:r>
            <w:r/>
          </w:p>
        </w:tc>
      </w:tr>
      <w:tr>
        <w:trPr>
          <w:jc w:val="center"/>
          <w:trHeight w:val="472"/>
        </w:trPr>
        <w:tc>
          <w:tcPr>
            <w:gridSpan w:val="5"/>
            <w:tcW w:w="9575" w:type="dxa"/>
            <w:vAlign w:val="center"/>
            <w:textDirection w:val="lrTb"/>
            <w:noWrap w:val="false"/>
          </w:tcPr>
          <w:p>
            <w:pPr>
              <w:spacing w:before="68" w:line="264" w:lineRule="auto"/>
              <w:rPr>
                <w:rFonts w:ascii="宋体" w:hAnsi="宋体" w:cs="宋体"/>
                <w:color w:val="000000"/>
                <w:sz w:val="24"/>
                <w:szCs w:val="24"/>
              </w:rPr>
            </w:pPr>
            <w:r>
              <w:rPr>
                <w:rFonts w:hint="eastAsia" w:ascii="宋体" w:hAnsi="宋体" w:cs="宋体"/>
                <w:color w:val="000000"/>
                <w:sz w:val="24"/>
                <w:szCs w:val="24"/>
              </w:rPr>
              <w:t xml:space="preserve">3、履约能力</w:t>
            </w:r>
            <w:r/>
          </w:p>
        </w:tc>
      </w:tr>
      <w:tr>
        <w:trPr>
          <w:jc w:val="center"/>
          <w:trHeight w:val="1083"/>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3.1</w:t>
            </w:r>
            <w:r/>
          </w:p>
        </w:tc>
        <w:tc>
          <w:tcPr>
            <w:tcW w:w="1179" w:type="dxa"/>
            <w:vAlign w:val="center"/>
            <w:textDirection w:val="lrTb"/>
            <w:noWrap w:val="false"/>
          </w:tcPr>
          <w:p>
            <w:pPr>
              <w:jc w:val="center"/>
              <w:rPr>
                <w:rFonts w:ascii="宋体" w:hAnsi="宋体"/>
                <w:color w:val="000000"/>
                <w:spacing w:val="-3"/>
                <w:sz w:val="24"/>
                <w:szCs w:val="24"/>
              </w:rPr>
            </w:pPr>
            <w:r>
              <w:rPr>
                <w:rFonts w:hint="eastAsia" w:ascii="宋体" w:hAnsi="宋体" w:cs="仿宋"/>
                <w:color w:val="000000"/>
                <w:sz w:val="24"/>
                <w:szCs w:val="24"/>
              </w:rPr>
              <w:t xml:space="preserve">履约能力1</w:t>
            </w:r>
            <w:r/>
          </w:p>
        </w:tc>
        <w:tc>
          <w:tcPr>
            <w:tcW w:w="6330" w:type="dxa"/>
            <w:vAlign w:val="center"/>
            <w:textDirection w:val="lrTb"/>
            <w:noWrap w:val="false"/>
          </w:tcPr>
          <w:p>
            <w:pPr>
              <w:rPr>
                <w:rFonts w:ascii="宋体" w:hAnsi="宋体" w:cs="宋体"/>
                <w:color w:val="000000"/>
                <w:sz w:val="24"/>
                <w:szCs w:val="24"/>
                <w:lang w:val="zh-CN"/>
              </w:rPr>
            </w:pPr>
            <w:r>
              <w:rPr>
                <w:rFonts w:hint="eastAsia" w:ascii="宋体" w:hAnsi="宋体" w:eastAsia="宋体" w:cs="仿宋"/>
                <w:bCs/>
                <w:color w:val="000000"/>
                <w:sz w:val="24"/>
                <w:szCs w:val="24"/>
              </w:rPr>
              <w:t xml:space="preserve">提供投标人有效期内的ISO9001质量管理体系认证证书、ISO14001 环境管理体系认证证书、ISO45001职业健康安全管理体系认证证书的，每一项得1分。本项最高得3分。（提供证书复印件，否则不得分）。</w:t>
            </w:r>
            <w:r/>
          </w:p>
        </w:tc>
        <w:tc>
          <w:tcPr>
            <w:tcW w:w="647" w:type="dxa"/>
            <w:vAlign w:val="center"/>
            <w:textDirection w:val="lrTb"/>
            <w:noWrap w:val="false"/>
          </w:tcPr>
          <w:p>
            <w:pPr>
              <w:jc w:val="center"/>
              <w:spacing w:before="68" w:line="264" w:lineRule="auto"/>
              <w:rPr>
                <w:rFonts w:ascii="宋体" w:hAnsi="宋体" w:cs="宋体"/>
                <w:color w:val="000000"/>
                <w:sz w:val="24"/>
                <w:szCs w:val="24"/>
              </w:rPr>
            </w:pPr>
            <w:r>
              <w:rPr>
                <w:rFonts w:ascii="宋体" w:hAnsi="宋体" w:cs="宋体"/>
                <w:color w:val="000000"/>
                <w:sz w:val="24"/>
                <w:szCs w:val="24"/>
              </w:rPr>
              <w:t xml:space="preserve">3</w:t>
            </w:r>
            <w:r/>
          </w:p>
        </w:tc>
        <w:tc>
          <w:tcPr>
            <w:tcW w:w="900" w:type="dxa"/>
            <w:vAlign w:val="center"/>
            <w:textDirection w:val="lrTb"/>
            <w:noWrap w:val="false"/>
          </w:tcPr>
          <w:p>
            <w:pPr>
              <w:jc w:val="center"/>
              <w:spacing w:before="68" w:line="264" w:lineRule="auto"/>
              <w:rPr>
                <w:rFonts w:ascii="宋体" w:hAnsi="宋体" w:cs="宋体"/>
                <w:color w:val="000000"/>
                <w:spacing w:val="-6"/>
                <w:sz w:val="24"/>
                <w:szCs w:val="24"/>
              </w:rPr>
            </w:pPr>
            <w:r>
              <w:rPr>
                <w:rFonts w:hint="eastAsia" w:ascii="宋体" w:hAnsi="宋体" w:cs="宋体"/>
                <w:color w:val="000000"/>
                <w:spacing w:val="-6"/>
                <w:sz w:val="24"/>
                <w:szCs w:val="24"/>
              </w:rPr>
              <w:t xml:space="preserve">客观分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lang w:eastAsia="zh-CN"/>
              </w:rPr>
            </w:pPr>
            <w:r>
              <w:rPr>
                <w:rFonts w:hint="eastAsia" w:ascii="宋体" w:hAnsi="宋体" w:cs="宋体"/>
                <w:color w:val="000000"/>
                <w:spacing w:val="-2"/>
                <w:sz w:val="24"/>
                <w:szCs w:val="24"/>
              </w:rPr>
              <w:t xml:space="preserve">3.</w:t>
            </w:r>
            <w:r>
              <w:rPr>
                <w:rFonts w:hint="eastAsia" w:ascii="宋体" w:hAnsi="宋体" w:cs="宋体"/>
                <w:color w:val="000000"/>
                <w:spacing w:val="-2"/>
                <w:sz w:val="24"/>
                <w:szCs w:val="24"/>
                <w:lang w:val="en-US" w:eastAsia="zh-CN"/>
              </w:rPr>
              <w:t xml:space="preserve">2</w:t>
            </w:r>
            <w:r/>
          </w:p>
        </w:tc>
        <w:tc>
          <w:tcPr>
            <w:tcW w:w="1179" w:type="dxa"/>
            <w:vAlign w:val="center"/>
            <w:textDirection w:val="lrTb"/>
            <w:noWrap w:val="false"/>
          </w:tcPr>
          <w:p>
            <w:pPr>
              <w:jc w:val="center"/>
              <w:rPr>
                <w:rFonts w:hint="eastAsia" w:ascii="宋体" w:hAnsi="宋体" w:cs="仿宋"/>
                <w:color w:val="000000"/>
                <w:sz w:val="24"/>
                <w:szCs w:val="24"/>
              </w:rPr>
            </w:pPr>
            <w:r>
              <w:rPr>
                <w:rFonts w:hint="eastAsia" w:ascii="宋体" w:hAnsi="宋体" w:cs="仿宋"/>
                <w:color w:val="000000"/>
                <w:sz w:val="24"/>
                <w:szCs w:val="24"/>
              </w:rPr>
              <w:t xml:space="preserve">业绩</w:t>
            </w:r>
            <w:r/>
          </w:p>
        </w:tc>
        <w:tc>
          <w:tcPr>
            <w:tcW w:w="6330" w:type="dxa"/>
            <w:vAlign w:val="center"/>
            <w:textDirection w:val="lrTb"/>
            <w:noWrap w:val="false"/>
          </w:tcPr>
          <w:p>
            <w:pPr>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投标人或所投产品具有202</w:t>
            </w:r>
            <w:r>
              <w:rPr>
                <w:rFonts w:hint="eastAsia" w:ascii="宋体" w:hAnsi="宋体" w:cs="仿宋"/>
                <w:bCs/>
                <w:color w:val="000000"/>
                <w:sz w:val="24"/>
                <w:szCs w:val="24"/>
                <w:lang w:val="en-US" w:eastAsia="zh-CN"/>
              </w:rPr>
              <w:t xml:space="preserve">2</w:t>
            </w:r>
            <w:r>
              <w:rPr>
                <w:rFonts w:hint="eastAsia" w:ascii="宋体" w:hAnsi="宋体" w:eastAsia="宋体" w:cs="仿宋"/>
                <w:bCs/>
                <w:color w:val="000000"/>
                <w:sz w:val="24"/>
                <w:szCs w:val="24"/>
              </w:rPr>
              <w:t xml:space="preserve">年6月1日以来已完成的类似的更换（旧电梯换新）电梯业绩，提供合同及竣工验收证明，有1个得1分，满分3分。</w:t>
            </w:r>
            <w:r/>
          </w:p>
          <w:p>
            <w:pPr>
              <w:rPr>
                <w:rFonts w:hint="eastAsia" w:ascii="宋体" w:hAnsi="宋体"/>
                <w:bCs/>
                <w:color w:val="000000"/>
                <w:sz w:val="24"/>
                <w:szCs w:val="24"/>
              </w:rPr>
            </w:pPr>
            <w:r>
              <w:rPr>
                <w:rFonts w:hint="eastAsia" w:ascii="宋体" w:hAnsi="宋体" w:eastAsia="宋体" w:cs="仿宋"/>
                <w:bCs/>
                <w:color w:val="000000"/>
                <w:sz w:val="24"/>
                <w:szCs w:val="24"/>
              </w:rPr>
              <w:t xml:space="preserve">注：投标文件中提供合同及竣工验收证明或电梯监督检验报告（缺一不可）复印件加盖投标人公章，时间以合同为准，合同关键页需包括合同首页、标的时间、金额、签字盖章页等反应上述内容，否则视为未提供，未提供或未按要求提供的不得分。</w:t>
            </w:r>
            <w:r/>
          </w:p>
        </w:tc>
        <w:tc>
          <w:tcPr>
            <w:tcW w:w="647" w:type="dxa"/>
            <w:vAlign w:val="center"/>
            <w:textDirection w:val="lrTb"/>
            <w:noWrap w:val="false"/>
          </w:tcPr>
          <w:p>
            <w:pPr>
              <w:jc w:val="center"/>
              <w:spacing w:before="68" w:line="264" w:lineRule="auto"/>
              <w:rPr>
                <w:rFonts w:ascii="宋体" w:hAnsi="宋体" w:cs="宋体"/>
                <w:color w:val="000000"/>
                <w:sz w:val="24"/>
                <w:szCs w:val="24"/>
              </w:rPr>
            </w:pPr>
            <w:r>
              <w:rPr>
                <w:rFonts w:hint="eastAsia" w:ascii="宋体" w:hAnsi="宋体" w:cs="宋体"/>
                <w:color w:val="000000"/>
                <w:sz w:val="24"/>
                <w:szCs w:val="24"/>
              </w:rPr>
              <w:t xml:space="preserve">3</w:t>
            </w:r>
            <w:r/>
          </w:p>
        </w:tc>
        <w:tc>
          <w:tcPr>
            <w:tcW w:w="900" w:type="dxa"/>
            <w:vAlign w:val="center"/>
            <w:textDirection w:val="lrTb"/>
            <w:noWrap w:val="false"/>
          </w:tcPr>
          <w:p>
            <w:pPr>
              <w:jc w:val="center"/>
              <w:spacing w:before="68" w:line="264" w:lineRule="auto"/>
              <w:rPr>
                <w:rFonts w:hint="eastAsia" w:ascii="宋体" w:hAnsi="宋体" w:cs="宋体"/>
                <w:color w:val="000000"/>
                <w:spacing w:val="-6"/>
                <w:sz w:val="24"/>
                <w:szCs w:val="24"/>
              </w:rPr>
            </w:pPr>
            <w:r>
              <w:rPr>
                <w:rFonts w:hint="eastAsia" w:ascii="宋体" w:hAnsi="宋体" w:cs="宋体"/>
                <w:color w:val="000000"/>
                <w:spacing w:val="-6"/>
                <w:sz w:val="24"/>
                <w:szCs w:val="24"/>
              </w:rPr>
              <w:t xml:space="preserve">客</w:t>
            </w:r>
            <w:r>
              <w:rPr>
                <w:rFonts w:hint="eastAsia" w:ascii="宋体" w:hAnsi="宋体" w:cs="宋体"/>
                <w:color w:val="000000"/>
                <w:spacing w:val="-4"/>
                <w:sz w:val="24"/>
                <w:szCs w:val="24"/>
              </w:rPr>
              <w:t xml:space="preserve">观分</w:t>
            </w:r>
            <w:r/>
          </w:p>
        </w:tc>
      </w:tr>
      <w:tr>
        <w:trPr>
          <w:jc w:val="center"/>
          <w:trHeight w:val="1083"/>
        </w:trPr>
        <w:tc>
          <w:tcPr>
            <w:shd w:val="clear" w:color="auto" w:fill="auto"/>
            <w:tcW w:w="519" w:type="dxa"/>
            <w:vAlign w:val="center"/>
            <w:textDirection w:val="lrTb"/>
            <w:noWrap w:val="false"/>
          </w:tcPr>
          <w:p>
            <w:pPr>
              <w:jc w:val="center"/>
              <w:spacing w:before="68" w:line="264" w:lineRule="auto"/>
              <w:rPr>
                <w:rFonts w:hint="eastAsia" w:ascii="宋体" w:hAnsi="宋体" w:eastAsia="宋体" w:cs="宋体"/>
                <w:color w:val="auto"/>
                <w:spacing w:val="-2"/>
                <w:sz w:val="24"/>
                <w:szCs w:val="24"/>
                <w:lang w:val="en-US" w:eastAsia="zh-CN" w:bidi="ar-SA"/>
              </w:rPr>
            </w:pPr>
            <w:r>
              <w:rPr>
                <w:rFonts w:hint="eastAsia" w:ascii="宋体" w:hAnsi="宋体" w:cs="宋体"/>
                <w:color w:val="auto"/>
                <w:spacing w:val="-2"/>
                <w:sz w:val="24"/>
                <w:szCs w:val="24"/>
                <w:lang w:val="en-US" w:eastAsia="zh-CN"/>
              </w:rPr>
              <w:t xml:space="preserve">3.3</w:t>
            </w:r>
            <w:r/>
          </w:p>
        </w:tc>
        <w:tc>
          <w:tcPr>
            <w:shd w:val="clear" w:color="auto" w:fill="auto"/>
            <w:tcW w:w="1179" w:type="dxa"/>
            <w:vAlign w:val="center"/>
            <w:textDirection w:val="lrTb"/>
            <w:noWrap w:val="false"/>
          </w:tcPr>
          <w:p>
            <w:pPr>
              <w:jc w:val="center"/>
              <w:rPr>
                <w:rFonts w:hint="eastAsia" w:ascii="宋体" w:hAnsi="宋体" w:eastAsia="宋体" w:cs="仿宋"/>
                <w:color w:val="auto"/>
                <w:sz w:val="24"/>
                <w:szCs w:val="24"/>
                <w:lang w:val="en-US" w:eastAsia="zh-CN" w:bidi="ar-SA"/>
              </w:rPr>
            </w:pPr>
            <w:r>
              <w:rPr>
                <w:rFonts w:hint="eastAsia" w:ascii="宋体" w:hAnsi="宋体" w:cs="仿宋"/>
                <w:color w:val="auto"/>
                <w:sz w:val="24"/>
                <w:szCs w:val="24"/>
                <w:lang w:val="en-US" w:eastAsia="zh-CN"/>
              </w:rPr>
              <w:t xml:space="preserve">售后维保单位</w:t>
            </w:r>
            <w:r/>
          </w:p>
        </w:tc>
        <w:tc>
          <w:tcPr>
            <w:shd w:val="clear" w:color="auto" w:fill="auto"/>
            <w:tcW w:w="6330" w:type="dxa"/>
            <w:vAlign w:val="center"/>
            <w:textDirection w:val="lrTb"/>
            <w:noWrap w:val="false"/>
          </w:tcPr>
          <w:p>
            <w:pPr>
              <w:rPr>
                <w:rFonts w:hint="default" w:ascii="宋体" w:hAnsi="宋体" w:eastAsia="宋体"/>
                <w:bCs/>
                <w:color w:val="auto"/>
                <w:sz w:val="24"/>
                <w:szCs w:val="24"/>
                <w:lang w:val="en-US" w:eastAsia="zh-CN"/>
              </w:rPr>
            </w:pPr>
            <w:r>
              <w:rPr>
                <w:rFonts w:hint="eastAsia" w:ascii="宋体" w:hAnsi="宋体"/>
                <w:bCs/>
                <w:color w:val="auto"/>
                <w:sz w:val="24"/>
                <w:szCs w:val="24"/>
                <w:lang w:val="en-US" w:eastAsia="zh-CN"/>
              </w:rPr>
              <w:t xml:space="preserve">承诺每延长一年免费维保的得1分，免费延长维保的最多得2分。</w:t>
            </w:r>
            <w:r/>
          </w:p>
          <w:p>
            <w:pPr>
              <w:rPr>
                <w:rFonts w:hint="eastAsia" w:ascii="宋体" w:hAnsi="宋体" w:eastAsia="宋体" w:cs="Times New Roman"/>
                <w:bCs/>
                <w:color w:val="auto"/>
                <w:sz w:val="24"/>
                <w:szCs w:val="24"/>
                <w:lang w:val="en-US" w:eastAsia="zh-CN" w:bidi="ar-SA"/>
              </w:rPr>
            </w:pPr>
            <w:r>
              <w:rPr>
                <w:rFonts w:hint="eastAsia" w:ascii="宋体" w:hAnsi="宋体"/>
                <w:bCs/>
                <w:color w:val="auto"/>
                <w:sz w:val="24"/>
                <w:szCs w:val="24"/>
              </w:rPr>
              <w:t xml:space="preserve">注：投标文件中提供相应内容的承诺函，并加盖公章，否则不得分。</w:t>
            </w:r>
            <w:r/>
          </w:p>
        </w:tc>
        <w:tc>
          <w:tcPr>
            <w:shd w:val="clear" w:color="auto" w:fill="auto"/>
            <w:tcW w:w="647" w:type="dxa"/>
            <w:vAlign w:val="center"/>
            <w:textDirection w:val="lrTb"/>
            <w:noWrap w:val="false"/>
          </w:tcPr>
          <w:p>
            <w:pPr>
              <w:jc w:val="center"/>
              <w:rPr>
                <w:rFonts w:hint="eastAsia" w:ascii="宋体" w:hAnsi="宋体" w:eastAsia="宋体" w:cs="仿宋"/>
                <w:bCs/>
                <w:color w:val="auto"/>
                <w:sz w:val="24"/>
                <w:szCs w:val="24"/>
                <w:lang w:val="en-US" w:eastAsia="zh-CN" w:bidi="ar-SA"/>
              </w:rPr>
            </w:pPr>
            <w:r>
              <w:rPr>
                <w:rFonts w:hint="eastAsia" w:ascii="宋体" w:hAnsi="宋体" w:cs="仿宋"/>
                <w:bCs/>
                <w:color w:val="auto"/>
                <w:sz w:val="24"/>
                <w:szCs w:val="24"/>
                <w:lang w:val="en-US" w:eastAsia="zh-CN"/>
              </w:rPr>
              <w:t xml:space="preserve">2</w:t>
            </w:r>
            <w:r/>
          </w:p>
        </w:tc>
        <w:tc>
          <w:tcPr>
            <w:shd w:val="clear" w:color="auto" w:fill="auto"/>
            <w:tcW w:w="900" w:type="dxa"/>
            <w:vAlign w:val="center"/>
            <w:textDirection w:val="lrTb"/>
            <w:noWrap w:val="false"/>
          </w:tcPr>
          <w:p>
            <w:pPr>
              <w:jc w:val="center"/>
              <w:spacing w:before="68" w:line="264" w:lineRule="auto"/>
              <w:rPr>
                <w:rFonts w:hint="eastAsia" w:ascii="宋体" w:hAnsi="宋体" w:eastAsia="宋体" w:cs="宋体"/>
                <w:color w:val="auto"/>
                <w:sz w:val="24"/>
                <w:szCs w:val="24"/>
                <w:lang w:val="en-US" w:eastAsia="zh-CN" w:bidi="ar-SA"/>
              </w:rPr>
            </w:pPr>
            <w:r>
              <w:rPr>
                <w:rFonts w:hint="eastAsia" w:ascii="宋体" w:hAnsi="宋体" w:cs="宋体"/>
                <w:color w:val="auto"/>
                <w:spacing w:val="-6"/>
                <w:sz w:val="24"/>
                <w:szCs w:val="24"/>
              </w:rPr>
              <w:t xml:space="preserve">客</w:t>
            </w:r>
            <w:r>
              <w:rPr>
                <w:rFonts w:hint="eastAsia" w:ascii="宋体" w:hAnsi="宋体" w:cs="宋体"/>
                <w:color w:val="auto"/>
                <w:spacing w:val="-4"/>
                <w:sz w:val="24"/>
                <w:szCs w:val="24"/>
              </w:rPr>
              <w:t xml:space="preserve">观分</w:t>
            </w:r>
            <w:r/>
          </w:p>
        </w:tc>
      </w:tr>
      <w:tr>
        <w:trPr>
          <w:jc w:val="center"/>
          <w:trHeight w:val="269"/>
        </w:trPr>
        <w:tc>
          <w:tcPr>
            <w:gridSpan w:val="5"/>
            <w:tcW w:w="9575" w:type="dxa"/>
            <w:vAlign w:val="top"/>
            <w:textDirection w:val="lrTb"/>
            <w:noWrap w:val="false"/>
          </w:tcPr>
          <w:p>
            <w:pPr>
              <w:spacing w:before="123" w:line="264" w:lineRule="auto"/>
              <w:rPr>
                <w:rFonts w:hint="eastAsia" w:ascii="宋体" w:hAnsi="宋体" w:cs="宋体"/>
                <w:color w:val="000000"/>
                <w:sz w:val="24"/>
                <w:szCs w:val="24"/>
              </w:rPr>
            </w:pPr>
            <w:r>
              <w:rPr>
                <w:rFonts w:hint="eastAsia" w:ascii="宋体" w:hAnsi="宋体" w:cs="宋体"/>
                <w:color w:val="000000"/>
                <w:sz w:val="24"/>
                <w:szCs w:val="24"/>
              </w:rPr>
              <w:t xml:space="preserve">4、服务</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4.1</w:t>
            </w:r>
            <w:r/>
          </w:p>
        </w:tc>
        <w:tc>
          <w:tcPr>
            <w:tcW w:w="1179" w:type="dxa"/>
            <w:vAlign w:val="center"/>
            <w:textDirection w:val="lrTb"/>
            <w:noWrap w:val="false"/>
          </w:tcPr>
          <w:p>
            <w:pPr>
              <w:jc w:val="center"/>
              <w:rPr>
                <w:rFonts w:hint="eastAsia" w:ascii="宋体" w:hAnsi="宋体" w:cs="宋体"/>
                <w:color w:val="000000"/>
                <w:spacing w:val="-2"/>
                <w:sz w:val="24"/>
                <w:szCs w:val="24"/>
              </w:rPr>
            </w:pPr>
            <w:r>
              <w:rPr>
                <w:rFonts w:hint="eastAsia" w:ascii="宋体" w:hAnsi="宋体" w:cs="仿宋"/>
                <w:color w:val="000000"/>
                <w:sz w:val="24"/>
                <w:szCs w:val="24"/>
              </w:rPr>
              <w:t xml:space="preserve">技术方案       </w:t>
            </w:r>
            <w:r/>
          </w:p>
        </w:tc>
        <w:tc>
          <w:tcPr>
            <w:tcW w:w="6330" w:type="dxa"/>
            <w:vAlign w:val="center"/>
            <w:textDirection w:val="lrTb"/>
            <w:noWrap w:val="false"/>
          </w:tcPr>
          <w:p>
            <w:pPr>
              <w:rPr>
                <w:rFonts w:hint="eastAsia" w:ascii="宋体" w:hAnsi="宋体"/>
                <w:bCs/>
                <w:color w:val="000000"/>
                <w:sz w:val="24"/>
                <w:szCs w:val="24"/>
                <w:lang w:val="zh-CN"/>
              </w:rPr>
            </w:pPr>
            <w:r>
              <w:rPr>
                <w:rFonts w:hint="eastAsia" w:ascii="宋体" w:hAnsi="宋体"/>
                <w:bCs/>
                <w:color w:val="000000"/>
                <w:sz w:val="24"/>
                <w:szCs w:val="24"/>
              </w:rPr>
              <w:t xml:space="preserve">投标人应根据招标要求及项目实施具体需要，提供本项目的技术方案，包括</w:t>
            </w:r>
            <w:r>
              <w:rPr>
                <w:rFonts w:hint="eastAsia" w:ascii="宋体" w:hAnsi="宋体"/>
                <w:bCs/>
                <w:color w:val="000000"/>
                <w:sz w:val="24"/>
                <w:szCs w:val="24"/>
                <w:lang w:val="zh-CN"/>
              </w:rPr>
              <w:t xml:space="preserve">提供完整、详细、可行的主要技术说明方案</w:t>
            </w:r>
            <w:r>
              <w:rPr>
                <w:rFonts w:hint="eastAsia" w:ascii="宋体" w:hAnsi="宋体"/>
                <w:bCs/>
                <w:color w:val="000000"/>
                <w:sz w:val="24"/>
                <w:szCs w:val="24"/>
              </w:rPr>
              <w:t xml:space="preserve">、设计深化图纸及提供各项详细技术参数等，技术方案优于招标文件需求得5分，满足招标文件需求得3分，不满足招标文件需求或未提供的，得0分。</w:t>
            </w:r>
            <w:r/>
          </w:p>
        </w:tc>
        <w:tc>
          <w:tcPr>
            <w:tcW w:w="647" w:type="dxa"/>
            <w:vAlign w:val="center"/>
            <w:textDirection w:val="lrTb"/>
            <w:noWrap w:val="false"/>
          </w:tcPr>
          <w:p>
            <w:pPr>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900" w:type="dxa"/>
            <w:vAlign w:val="center"/>
            <w:textDirection w:val="lrTb"/>
            <w:noWrap w:val="false"/>
          </w:tcPr>
          <w:p>
            <w:pPr>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4.2</w:t>
            </w:r>
            <w:r/>
          </w:p>
        </w:tc>
        <w:tc>
          <w:tcPr>
            <w:tcW w:w="1179"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进度控制方案</w:t>
            </w:r>
            <w:r/>
          </w:p>
        </w:tc>
        <w:tc>
          <w:tcPr>
            <w:tcW w:w="6330" w:type="dxa"/>
            <w:vAlign w:val="center"/>
            <w:textDirection w:val="lrTb"/>
            <w:noWrap w:val="false"/>
          </w:tcPr>
          <w:p>
            <w:pPr>
              <w:rPr>
                <w:bCs/>
                <w:color w:val="000000"/>
                <w:sz w:val="24"/>
                <w:szCs w:val="24"/>
              </w:rPr>
            </w:pPr>
            <w:r>
              <w:rPr>
                <w:rFonts w:hint="eastAsia" w:ascii="宋体" w:hAnsi="宋体" w:eastAsia="宋体" w:cs="仿宋"/>
                <w:bCs/>
                <w:color w:val="000000"/>
                <w:sz w:val="24"/>
                <w:szCs w:val="24"/>
              </w:rPr>
              <w:t xml:space="preserve">投标人应根据招标要求及项目实施具体需要，提供本项目的进度控制方案，包括所投产品（需标明所投产品的品牌及相应的系列型号）的生产供货计划，新梯安装计划及进度工期等，进度控制方案优于招标文件需求得5分，满足招标文件需求得3分，</w:t>
            </w:r>
            <w:r>
              <w:rPr>
                <w:rFonts w:hint="eastAsia" w:ascii="宋体" w:hAnsi="宋体"/>
                <w:bCs/>
                <w:color w:val="000000"/>
                <w:sz w:val="24"/>
                <w:szCs w:val="24"/>
              </w:rPr>
              <w:t xml:space="preserve">不满足招标文件需求或未提供的</w:t>
            </w:r>
            <w:r>
              <w:rPr>
                <w:rFonts w:hint="eastAsia" w:ascii="宋体" w:hAnsi="宋体" w:eastAsia="宋体" w:cs="仿宋"/>
                <w:bCs/>
                <w:color w:val="000000"/>
                <w:sz w:val="24"/>
                <w:szCs w:val="24"/>
              </w:rPr>
              <w:t xml:space="preserve">，得0分。</w:t>
            </w:r>
            <w:r/>
          </w:p>
        </w:tc>
        <w:tc>
          <w:tcPr>
            <w:tcW w:w="647" w:type="dxa"/>
            <w:vAlign w:val="center"/>
            <w:textDirection w:val="lrTb"/>
            <w:noWrap w:val="false"/>
          </w:tcPr>
          <w:p>
            <w:pPr>
              <w:jc w:val="center"/>
              <w:rPr>
                <w:rFonts w:ascii="宋体" w:hAnsi="宋体" w:cs="仿宋"/>
                <w:bCs/>
                <w:color w:val="333333"/>
                <w:sz w:val="24"/>
                <w:szCs w:val="24"/>
              </w:rPr>
            </w:pPr>
            <w:r>
              <w:rPr>
                <w:rFonts w:hint="eastAsia" w:ascii="宋体" w:hAnsi="宋体" w:cs="仿宋"/>
                <w:bCs/>
                <w:color w:val="333333"/>
                <w:sz w:val="24"/>
                <w:szCs w:val="24"/>
              </w:rPr>
              <w:t xml:space="preserve">5</w:t>
            </w:r>
            <w:r/>
          </w:p>
        </w:tc>
        <w:tc>
          <w:tcPr>
            <w:tcW w:w="900" w:type="dxa"/>
            <w:vAlign w:val="center"/>
            <w:textDirection w:val="lrTb"/>
            <w:noWrap w:val="false"/>
          </w:tcPr>
          <w:p>
            <w:pPr>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4.3</w:t>
            </w:r>
            <w:r/>
          </w:p>
        </w:tc>
        <w:tc>
          <w:tcPr>
            <w:tcW w:w="1179" w:type="dxa"/>
            <w:vAlign w:val="center"/>
            <w:textDirection w:val="lrTb"/>
            <w:noWrap w:val="false"/>
          </w:tcPr>
          <w:p>
            <w:pPr>
              <w:jc w:val="center"/>
              <w:rPr>
                <w:rFonts w:hint="eastAsia" w:ascii="宋体" w:hAnsi="宋体" w:cs="仿宋"/>
                <w:color w:val="000000"/>
                <w:sz w:val="24"/>
                <w:szCs w:val="24"/>
              </w:rPr>
            </w:pPr>
            <w:r>
              <w:rPr>
                <w:rFonts w:hint="eastAsia" w:ascii="宋体" w:hAnsi="宋体" w:cs="仿宋"/>
                <w:color w:val="000000"/>
                <w:sz w:val="24"/>
                <w:szCs w:val="24"/>
              </w:rPr>
              <w:t xml:space="preserve">安装调试方案</w:t>
            </w:r>
            <w:r/>
          </w:p>
        </w:tc>
        <w:tc>
          <w:tcPr>
            <w:tcW w:w="6330" w:type="dxa"/>
            <w:vAlign w:val="center"/>
            <w:textDirection w:val="lrTb"/>
            <w:noWrap w:val="false"/>
          </w:tcPr>
          <w:p>
            <w:pPr>
              <w:rPr>
                <w:rFonts w:hint="eastAsia"/>
                <w:bCs/>
                <w:color w:val="000000"/>
                <w:sz w:val="24"/>
                <w:szCs w:val="24"/>
                <w:lang w:val="zh-CN"/>
              </w:rPr>
            </w:pPr>
            <w:r>
              <w:rPr>
                <w:rFonts w:hint="eastAsia" w:ascii="宋体" w:hAnsi="宋体" w:eastAsia="宋体" w:cs="仿宋"/>
                <w:bCs/>
                <w:color w:val="000000"/>
                <w:sz w:val="24"/>
                <w:szCs w:val="24"/>
              </w:rPr>
              <w:t xml:space="preserve">投标人应根据招标要求及项目实施具体需要，</w:t>
            </w:r>
            <w:r>
              <w:rPr>
                <w:rFonts w:hint="eastAsia" w:ascii="宋体" w:hAnsi="宋体" w:eastAsia="宋体" w:cs="仿宋"/>
                <w:bCs/>
                <w:color w:val="000000"/>
                <w:sz w:val="24"/>
                <w:szCs w:val="24"/>
                <w:lang w:val="zh-CN"/>
              </w:rPr>
              <w:t xml:space="preserve">提供本项目</w:t>
            </w:r>
            <w:r>
              <w:rPr>
                <w:rFonts w:hint="eastAsia" w:ascii="宋体" w:hAnsi="宋体" w:eastAsia="宋体" w:cs="仿宋"/>
                <w:bCs/>
                <w:color w:val="000000"/>
                <w:sz w:val="24"/>
                <w:szCs w:val="24"/>
              </w:rPr>
              <w:t xml:space="preserve">的安装调试方案，包括</w:t>
            </w:r>
            <w:r>
              <w:rPr>
                <w:rFonts w:hint="eastAsia" w:ascii="宋体" w:hAnsi="宋体" w:eastAsia="宋体" w:cs="仿宋"/>
                <w:bCs/>
                <w:color w:val="000000"/>
                <w:sz w:val="24"/>
                <w:szCs w:val="24"/>
                <w:lang w:val="zh-CN"/>
              </w:rPr>
              <w:t xml:space="preserve">提供完整、详细、可行的</w:t>
            </w:r>
            <w:r>
              <w:rPr>
                <w:rFonts w:hint="eastAsia" w:ascii="宋体" w:hAnsi="宋体" w:eastAsia="宋体" w:cs="仿宋"/>
                <w:bCs/>
                <w:color w:val="000000"/>
                <w:sz w:val="24"/>
                <w:szCs w:val="24"/>
              </w:rPr>
              <w:t xml:space="preserve">新梯安装程序、施工方案、安全保障措施、</w:t>
            </w:r>
            <w:r>
              <w:rPr>
                <w:rFonts w:hint="eastAsia" w:ascii="宋体" w:hAnsi="宋体" w:eastAsia="宋体" w:cs="仿宋"/>
                <w:bCs/>
                <w:color w:val="000000"/>
                <w:sz w:val="24"/>
                <w:szCs w:val="24"/>
                <w:lang w:val="zh-CN"/>
              </w:rPr>
              <w:t xml:space="preserve">施工质量保证措施、人员配置措施等进行</w:t>
            </w:r>
            <w:r>
              <w:rPr>
                <w:rFonts w:hint="eastAsia" w:ascii="宋体" w:hAnsi="宋体" w:eastAsia="宋体" w:cs="仿宋"/>
                <w:bCs/>
                <w:color w:val="000000"/>
                <w:sz w:val="24"/>
                <w:szCs w:val="24"/>
              </w:rPr>
              <w:t xml:space="preserve">综合</w:t>
            </w:r>
            <w:r>
              <w:rPr>
                <w:rFonts w:hint="eastAsia" w:ascii="宋体" w:hAnsi="宋体" w:eastAsia="宋体" w:cs="仿宋"/>
                <w:bCs/>
                <w:color w:val="000000"/>
                <w:sz w:val="24"/>
                <w:szCs w:val="24"/>
                <w:lang w:val="zh-CN"/>
              </w:rPr>
              <w:t xml:space="preserve">评</w:t>
            </w:r>
            <w:r>
              <w:rPr>
                <w:rFonts w:hint="eastAsia" w:ascii="宋体" w:hAnsi="宋体" w:eastAsia="宋体" w:cs="仿宋"/>
                <w:bCs/>
                <w:color w:val="000000"/>
                <w:sz w:val="24"/>
                <w:szCs w:val="24"/>
              </w:rPr>
              <w:t xml:space="preserve">分</w:t>
            </w:r>
            <w:r>
              <w:rPr>
                <w:rFonts w:hint="eastAsia" w:ascii="宋体" w:hAnsi="宋体" w:eastAsia="宋体" w:cs="仿宋"/>
                <w:bCs/>
                <w:color w:val="000000"/>
                <w:sz w:val="24"/>
                <w:szCs w:val="24"/>
                <w:lang w:val="zh-CN"/>
              </w:rPr>
              <w:t xml:space="preserve">。</w:t>
            </w:r>
            <w:r>
              <w:rPr>
                <w:rFonts w:hint="eastAsia" w:ascii="宋体" w:hAnsi="宋体" w:eastAsia="宋体" w:cs="仿宋"/>
                <w:bCs/>
                <w:color w:val="000000"/>
                <w:sz w:val="24"/>
                <w:szCs w:val="24"/>
              </w:rPr>
              <w:t xml:space="preserve">方案优于招标文件需求得5分，满足招标文件需求得3分，</w:t>
            </w:r>
            <w:r>
              <w:rPr>
                <w:rFonts w:hint="eastAsia" w:ascii="宋体" w:hAnsi="宋体"/>
                <w:bCs/>
                <w:color w:val="000000"/>
                <w:sz w:val="24"/>
                <w:szCs w:val="24"/>
              </w:rPr>
              <w:t xml:space="preserve">不满足招标文件需求或未提供的</w:t>
            </w:r>
            <w:r>
              <w:rPr>
                <w:rFonts w:hint="eastAsia" w:ascii="宋体" w:hAnsi="宋体" w:eastAsia="宋体" w:cs="仿宋"/>
                <w:bCs/>
                <w:color w:val="000000"/>
                <w:sz w:val="24"/>
                <w:szCs w:val="24"/>
              </w:rPr>
              <w:t xml:space="preserve">，得0分。</w:t>
            </w:r>
            <w:r/>
          </w:p>
        </w:tc>
        <w:tc>
          <w:tcPr>
            <w:tcW w:w="647" w:type="dxa"/>
            <w:vAlign w:val="center"/>
            <w:textDirection w:val="lrTb"/>
            <w:noWrap w:val="false"/>
          </w:tcPr>
          <w:p>
            <w:pPr>
              <w:jc w:val="center"/>
              <w:rPr>
                <w:rFonts w:hint="eastAsia" w:ascii="宋体" w:hAnsi="宋体" w:cs="仿宋"/>
                <w:bCs/>
                <w:color w:val="000000"/>
                <w:sz w:val="24"/>
                <w:szCs w:val="24"/>
              </w:rPr>
            </w:pPr>
            <w:r>
              <w:rPr>
                <w:rFonts w:hint="eastAsia" w:ascii="宋体" w:hAnsi="宋体" w:cs="仿宋"/>
                <w:bCs/>
                <w:color w:val="000000"/>
                <w:sz w:val="24"/>
                <w:szCs w:val="24"/>
              </w:rPr>
              <w:t xml:space="preserve">5</w:t>
            </w:r>
            <w:r/>
          </w:p>
        </w:tc>
        <w:tc>
          <w:tcPr>
            <w:tcW w:w="900" w:type="dxa"/>
            <w:vAlign w:val="center"/>
            <w:textDirection w:val="lrTb"/>
            <w:noWrap w:val="false"/>
          </w:tcPr>
          <w:p>
            <w:pPr>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4.4</w:t>
            </w:r>
            <w:r/>
          </w:p>
        </w:tc>
        <w:tc>
          <w:tcPr>
            <w:tcW w:w="1179"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安全文明施工方案</w:t>
            </w:r>
            <w:r/>
          </w:p>
        </w:tc>
        <w:tc>
          <w:tcPr>
            <w:tcW w:w="6330" w:type="dxa"/>
            <w:vAlign w:val="center"/>
            <w:textDirection w:val="lrTb"/>
            <w:noWrap w:val="false"/>
          </w:tcPr>
          <w:p>
            <w:pPr>
              <w:rPr>
                <w:rFonts w:hint="eastAsia"/>
                <w:bCs/>
                <w:color w:val="000000"/>
                <w:sz w:val="24"/>
                <w:szCs w:val="24"/>
              </w:rPr>
            </w:pPr>
            <w:r>
              <w:rPr>
                <w:rFonts w:hint="eastAsia" w:ascii="宋体" w:hAnsi="宋体" w:eastAsia="宋体" w:cs="仿宋"/>
                <w:bCs/>
                <w:color w:val="000000"/>
                <w:sz w:val="24"/>
                <w:szCs w:val="24"/>
              </w:rPr>
              <w:t xml:space="preserve">投标人应根据招标要求及项目实施具体需要，提供本项目的安全文明施工方案，包括提供完整、详细、可行的对于安装电梯有关的文明施工、环境保护、安全生产、治安与消防负主体责任等进行综合评分。方案优于招标文件需求得5分，满足招标文件需求得3分，</w:t>
            </w:r>
            <w:r>
              <w:rPr>
                <w:rFonts w:hint="eastAsia" w:ascii="宋体" w:hAnsi="宋体"/>
                <w:bCs/>
                <w:color w:val="000000"/>
                <w:sz w:val="24"/>
                <w:szCs w:val="24"/>
              </w:rPr>
              <w:t xml:space="preserve">不满足招标文件需求或未提供的</w:t>
            </w:r>
            <w:r>
              <w:rPr>
                <w:rFonts w:hint="eastAsia" w:ascii="宋体" w:hAnsi="宋体" w:eastAsia="宋体" w:cs="仿宋"/>
                <w:bCs/>
                <w:color w:val="000000"/>
                <w:sz w:val="24"/>
                <w:szCs w:val="24"/>
              </w:rPr>
              <w:t xml:space="preserve">，得0分。</w:t>
            </w:r>
            <w:r/>
          </w:p>
        </w:tc>
        <w:tc>
          <w:tcPr>
            <w:tcW w:w="647" w:type="dxa"/>
            <w:vAlign w:val="center"/>
            <w:textDirection w:val="lrTb"/>
            <w:noWrap w:val="false"/>
          </w:tcPr>
          <w:p>
            <w:pPr>
              <w:jc w:val="center"/>
              <w:rPr>
                <w:rFonts w:ascii="宋体" w:hAnsi="宋体" w:cs="仿宋"/>
                <w:bCs/>
                <w:color w:val="000000"/>
                <w:sz w:val="24"/>
                <w:szCs w:val="24"/>
              </w:rPr>
            </w:pPr>
            <w:r>
              <w:rPr>
                <w:rFonts w:hint="eastAsia" w:ascii="宋体" w:hAnsi="宋体" w:cs="仿宋"/>
                <w:bCs/>
                <w:color w:val="000000"/>
                <w:sz w:val="24"/>
                <w:szCs w:val="24"/>
              </w:rPr>
              <w:t xml:space="preserve">5</w:t>
            </w:r>
            <w:r/>
          </w:p>
        </w:tc>
        <w:tc>
          <w:tcPr>
            <w:tcW w:w="900" w:type="dxa"/>
            <w:vAlign w:val="center"/>
            <w:textDirection w:val="lrTb"/>
            <w:noWrap w:val="false"/>
          </w:tcPr>
          <w:p>
            <w:pPr>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主观分</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4.5</w:t>
            </w:r>
            <w:r/>
          </w:p>
        </w:tc>
        <w:tc>
          <w:tcPr>
            <w:tcW w:w="1179" w:type="dxa"/>
            <w:vAlign w:val="center"/>
            <w:textDirection w:val="lrTb"/>
            <w:noWrap w:val="false"/>
          </w:tcPr>
          <w:p>
            <w:pPr>
              <w:jc w:val="center"/>
              <w:rPr>
                <w:rFonts w:hint="eastAsia" w:ascii="宋体" w:hAnsi="宋体" w:cs="宋体"/>
                <w:color w:val="auto"/>
                <w:spacing w:val="-1"/>
                <w:sz w:val="24"/>
                <w:szCs w:val="24"/>
              </w:rPr>
            </w:pPr>
            <w:r>
              <w:rPr>
                <w:rFonts w:hint="eastAsia" w:ascii="宋体" w:hAnsi="宋体" w:cs="仿宋"/>
                <w:color w:val="auto"/>
                <w:sz w:val="24"/>
                <w:szCs w:val="24"/>
              </w:rPr>
              <w:t xml:space="preserve">售后服务方 案</w:t>
            </w:r>
            <w:r/>
          </w:p>
        </w:tc>
        <w:tc>
          <w:tcPr>
            <w:tcW w:w="6330" w:type="dxa"/>
            <w:vAlign w:val="center"/>
            <w:textDirection w:val="lrTb"/>
            <w:noWrap w:val="false"/>
          </w:tcPr>
          <w:p>
            <w:pPr>
              <w:rPr>
                <w:rFonts w:hint="eastAsia" w:ascii="宋体" w:hAnsi="宋体"/>
                <w:color w:val="auto"/>
                <w:sz w:val="24"/>
                <w:szCs w:val="24"/>
                <w:lang w:val="zh-CN"/>
              </w:rPr>
            </w:pPr>
            <w:r>
              <w:rPr>
                <w:rFonts w:hint="eastAsia" w:ascii="宋体" w:hAnsi="宋体" w:cs="仿宋"/>
                <w:bCs/>
                <w:color w:val="auto"/>
                <w:sz w:val="24"/>
                <w:szCs w:val="24"/>
              </w:rPr>
              <w:t xml:space="preserve">评委根据投标人提供的售后服务方案（包括质保维修方案、售后服务体系、服务范围、响应时间、故障解决方案、专业技术人员保障等）内容是否全面、详细进行综合评分。方案优于招标文件需求得5分，满足招标文件需求得3分，</w:t>
            </w:r>
            <w:r>
              <w:rPr>
                <w:rFonts w:hint="eastAsia" w:ascii="宋体" w:hAnsi="宋体"/>
                <w:bCs/>
                <w:color w:val="auto"/>
                <w:sz w:val="24"/>
                <w:szCs w:val="24"/>
              </w:rPr>
              <w:t xml:space="preserve">不满足招标文件需求或未提供的</w:t>
            </w:r>
            <w:r>
              <w:rPr>
                <w:rFonts w:hint="eastAsia" w:ascii="宋体" w:hAnsi="宋体" w:cs="仿宋"/>
                <w:bCs/>
                <w:color w:val="auto"/>
                <w:sz w:val="24"/>
                <w:szCs w:val="24"/>
              </w:rPr>
              <w:t xml:space="preserve">，得0分。</w:t>
            </w:r>
            <w:r/>
          </w:p>
        </w:tc>
        <w:tc>
          <w:tcPr>
            <w:tcW w:w="647" w:type="dxa"/>
            <w:vAlign w:val="center"/>
            <w:textDirection w:val="lrTb"/>
            <w:noWrap w:val="false"/>
          </w:tcPr>
          <w:p>
            <w:pPr>
              <w:jc w:val="center"/>
              <w:rPr>
                <w:rFonts w:hint="eastAsia" w:ascii="宋体" w:hAnsi="宋体" w:cs="仿宋"/>
                <w:bCs/>
                <w:color w:val="auto"/>
                <w:sz w:val="24"/>
                <w:szCs w:val="24"/>
              </w:rPr>
            </w:pPr>
            <w:r>
              <w:rPr>
                <w:rFonts w:hint="eastAsia" w:ascii="宋体" w:hAnsi="宋体" w:cs="仿宋"/>
                <w:bCs/>
                <w:color w:val="auto"/>
                <w:sz w:val="24"/>
                <w:szCs w:val="24"/>
              </w:rPr>
              <w:t xml:space="preserve">5</w:t>
            </w:r>
            <w:r/>
          </w:p>
        </w:tc>
        <w:tc>
          <w:tcPr>
            <w:tcW w:w="900" w:type="dxa"/>
            <w:vAlign w:val="center"/>
            <w:textDirection w:val="lrTb"/>
            <w:noWrap w:val="false"/>
          </w:tcPr>
          <w:p>
            <w:pPr>
              <w:jc w:val="center"/>
              <w:spacing w:before="68" w:line="264" w:lineRule="auto"/>
              <w:rPr>
                <w:rFonts w:hint="eastAsia" w:ascii="宋体" w:hAnsi="宋体" w:cs="宋体"/>
                <w:color w:val="auto"/>
                <w:sz w:val="24"/>
                <w:szCs w:val="24"/>
              </w:rPr>
            </w:pPr>
            <w:r>
              <w:rPr>
                <w:rFonts w:hint="eastAsia" w:ascii="宋体" w:hAnsi="宋体" w:cs="宋体"/>
                <w:color w:val="auto"/>
                <w:sz w:val="24"/>
                <w:szCs w:val="24"/>
              </w:rPr>
              <w:t xml:space="preserve">主观分</w:t>
            </w:r>
            <w:r/>
          </w:p>
        </w:tc>
      </w:tr>
      <w:tr>
        <w:trPr>
          <w:jc w:val="center"/>
          <w:trHeight w:val="387"/>
        </w:trPr>
        <w:tc>
          <w:tcPr>
            <w:tcW w:w="519" w:type="dxa"/>
            <w:vAlign w:val="center"/>
            <w:textDirection w:val="lrTb"/>
            <w:noWrap w:val="false"/>
          </w:tcPr>
          <w:p>
            <w:pPr>
              <w:jc w:val="center"/>
              <w:spacing w:before="68" w:line="264" w:lineRule="auto"/>
              <w:rPr>
                <w:rFonts w:hint="default"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4.6</w:t>
            </w:r>
            <w:r/>
          </w:p>
        </w:tc>
        <w:tc>
          <w:tcPr>
            <w:shd w:val="clear" w:color="auto" w:fill="auto"/>
            <w:tcW w:w="1179" w:type="dxa"/>
            <w:vAlign w:val="center"/>
            <w:textDirection w:val="lrTb"/>
            <w:noWrap w:val="false"/>
          </w:tcPr>
          <w:p>
            <w:pPr>
              <w:jc w:val="center"/>
              <w:rPr>
                <w:rFonts w:hint="eastAsia" w:ascii="宋体" w:hAnsi="宋体" w:eastAsia="宋体" w:cs="仿宋"/>
                <w:color w:val="auto"/>
                <w:sz w:val="24"/>
                <w:szCs w:val="24"/>
                <w:lang w:val="en-US" w:eastAsia="zh-CN" w:bidi="ar-SA"/>
              </w:rPr>
            </w:pPr>
            <w:r>
              <w:rPr>
                <w:rFonts w:hint="eastAsia" w:ascii="宋体" w:hAnsi="宋体" w:cs="仿宋"/>
                <w:color w:val="auto"/>
                <w:sz w:val="24"/>
                <w:szCs w:val="24"/>
                <w:lang w:val="en-US" w:eastAsia="zh-CN"/>
              </w:rPr>
              <w:t xml:space="preserve">应急处理预案</w:t>
            </w:r>
            <w:r/>
          </w:p>
        </w:tc>
        <w:tc>
          <w:tcPr>
            <w:shd w:val="clear" w:color="auto" w:fill="auto"/>
            <w:tcW w:w="6330" w:type="dxa"/>
            <w:vAlign w:val="center"/>
            <w:textDirection w:val="lrTb"/>
            <w:noWrap w:val="false"/>
          </w:tcPr>
          <w:p>
            <w:pPr>
              <w:rPr>
                <w:rFonts w:hint="eastAsia" w:ascii="宋体" w:hAnsi="宋体" w:eastAsia="宋体" w:cs="Times New Roman"/>
                <w:bCs/>
                <w:color w:val="auto"/>
                <w:sz w:val="24"/>
                <w:szCs w:val="24"/>
                <w:lang w:val="en-US" w:eastAsia="zh-CN" w:bidi="ar-SA"/>
              </w:rPr>
            </w:pPr>
            <w:r>
              <w:rPr>
                <w:rFonts w:hint="eastAsia" w:ascii="宋体" w:hAnsi="宋体" w:cs="仿宋"/>
                <w:bCs/>
                <w:color w:val="auto"/>
                <w:sz w:val="24"/>
                <w:szCs w:val="24"/>
              </w:rPr>
              <w:t xml:space="preserve">评委根据投标人提供的</w:t>
            </w:r>
            <w:r>
              <w:rPr>
                <w:rFonts w:hint="eastAsia" w:ascii="宋体" w:hAnsi="宋体" w:cs="仿宋"/>
                <w:bCs/>
                <w:color w:val="auto"/>
                <w:sz w:val="24"/>
                <w:szCs w:val="24"/>
                <w:lang w:val="en-US" w:eastAsia="zh-CN"/>
              </w:rPr>
              <w:t xml:space="preserve">电梯</w:t>
            </w:r>
            <w:r>
              <w:rPr>
                <w:rFonts w:hint="eastAsia" w:ascii="宋体" w:hAnsi="宋体" w:cs="仿宋"/>
                <w:bCs/>
                <w:color w:val="auto"/>
                <w:sz w:val="24"/>
                <w:szCs w:val="24"/>
              </w:rPr>
              <w:t xml:space="preserve">应急处理方案（包括</w:t>
            </w:r>
            <w:r>
              <w:rPr>
                <w:rFonts w:hint="eastAsia" w:ascii="宋体" w:hAnsi="宋体" w:cs="仿宋"/>
                <w:bCs/>
                <w:color w:val="auto"/>
                <w:sz w:val="24"/>
                <w:szCs w:val="24"/>
                <w:lang w:val="en-US" w:eastAsia="zh-CN"/>
              </w:rPr>
              <w:t xml:space="preserve">应急处理体系</w:t>
            </w:r>
            <w:r>
              <w:rPr>
                <w:rFonts w:hint="eastAsia" w:ascii="宋体" w:hAnsi="宋体" w:cs="仿宋"/>
                <w:bCs/>
                <w:color w:val="auto"/>
                <w:sz w:val="24"/>
                <w:szCs w:val="24"/>
              </w:rPr>
              <w:t xml:space="preserve">、</w:t>
            </w:r>
            <w:r>
              <w:rPr>
                <w:rFonts w:hint="eastAsia" w:ascii="宋体" w:hAnsi="宋体" w:cs="仿宋"/>
                <w:bCs/>
                <w:color w:val="auto"/>
                <w:sz w:val="24"/>
                <w:szCs w:val="24"/>
                <w:lang w:val="en-US" w:eastAsia="zh-CN"/>
              </w:rPr>
              <w:t xml:space="preserve">电梯事故应急救援方案、意外事件应急措施、相关记录等</w:t>
            </w:r>
            <w:r>
              <w:rPr>
                <w:rFonts w:hint="eastAsia" w:ascii="宋体" w:hAnsi="宋体" w:cs="仿宋"/>
                <w:bCs/>
                <w:color w:val="auto"/>
                <w:sz w:val="24"/>
                <w:szCs w:val="24"/>
              </w:rPr>
              <w:t xml:space="preserve">）内容是否全面、详细进行综合评分。方案优于招标文件需求得5分，满足招标文件需求得3分，</w:t>
            </w:r>
            <w:r>
              <w:rPr>
                <w:rFonts w:hint="eastAsia" w:ascii="宋体" w:hAnsi="宋体"/>
                <w:bCs/>
                <w:color w:val="auto"/>
                <w:sz w:val="24"/>
                <w:szCs w:val="24"/>
              </w:rPr>
              <w:t xml:space="preserve">不满足招标文件需求或未提供的</w:t>
            </w:r>
            <w:r>
              <w:rPr>
                <w:rFonts w:hint="eastAsia" w:ascii="宋体" w:hAnsi="宋体" w:cs="仿宋"/>
                <w:bCs/>
                <w:color w:val="auto"/>
                <w:sz w:val="24"/>
                <w:szCs w:val="24"/>
              </w:rPr>
              <w:t xml:space="preserve">，得0分。</w:t>
            </w:r>
            <w:r/>
          </w:p>
        </w:tc>
        <w:tc>
          <w:tcPr>
            <w:shd w:val="clear" w:color="auto" w:fill="auto"/>
            <w:tcW w:w="647" w:type="dxa"/>
            <w:vAlign w:val="center"/>
            <w:textDirection w:val="lrTb"/>
            <w:noWrap w:val="false"/>
          </w:tcPr>
          <w:p>
            <w:pPr>
              <w:jc w:val="center"/>
              <w:rPr>
                <w:rFonts w:hint="eastAsia" w:ascii="宋体" w:hAnsi="宋体" w:eastAsia="宋体" w:cs="仿宋"/>
                <w:bCs/>
                <w:color w:val="auto"/>
                <w:sz w:val="24"/>
                <w:szCs w:val="24"/>
                <w:lang w:val="en-US" w:eastAsia="zh-CN" w:bidi="ar-SA"/>
              </w:rPr>
            </w:pPr>
            <w:r>
              <w:rPr>
                <w:rFonts w:hint="eastAsia" w:ascii="宋体" w:hAnsi="宋体" w:cs="仿宋"/>
                <w:bCs/>
                <w:color w:val="auto"/>
                <w:sz w:val="24"/>
                <w:szCs w:val="24"/>
                <w:lang w:val="en-US" w:eastAsia="zh-CN"/>
              </w:rPr>
              <w:t xml:space="preserve">5</w:t>
            </w:r>
            <w:r/>
          </w:p>
        </w:tc>
        <w:tc>
          <w:tcPr>
            <w:shd w:val="clear" w:color="auto" w:fill="auto"/>
            <w:tcW w:w="900" w:type="dxa"/>
            <w:vAlign w:val="center"/>
            <w:textDirection w:val="lrTb"/>
            <w:noWrap w:val="false"/>
          </w:tcPr>
          <w:p>
            <w:pPr>
              <w:jc w:val="center"/>
              <w:spacing w:before="68" w:line="264"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rPr>
              <w:t xml:space="preserve">主观分</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lang w:eastAsia="zh-CN"/>
              </w:rPr>
            </w:pPr>
            <w:r>
              <w:rPr>
                <w:rFonts w:hint="eastAsia" w:ascii="宋体" w:hAnsi="宋体" w:cs="宋体"/>
                <w:color w:val="000000"/>
                <w:spacing w:val="-2"/>
                <w:sz w:val="24"/>
                <w:szCs w:val="24"/>
              </w:rPr>
              <w:t xml:space="preserve">4.</w:t>
            </w:r>
            <w:r>
              <w:rPr>
                <w:rFonts w:hint="eastAsia" w:ascii="宋体" w:hAnsi="宋体" w:cs="宋体"/>
                <w:color w:val="000000"/>
                <w:spacing w:val="-2"/>
                <w:sz w:val="24"/>
                <w:szCs w:val="24"/>
                <w:lang w:val="en-US" w:eastAsia="zh-CN"/>
              </w:rPr>
              <w:t xml:space="preserve">7</w:t>
            </w:r>
            <w:r/>
          </w:p>
        </w:tc>
        <w:tc>
          <w:tcPr>
            <w:tcW w:w="1179" w:type="dxa"/>
            <w:vAlign w:val="center"/>
            <w:textDirection w:val="lrTb"/>
            <w:noWrap w:val="false"/>
          </w:tcPr>
          <w:p>
            <w:pPr>
              <w:jc w:val="center"/>
              <w:rPr>
                <w:rFonts w:ascii="宋体" w:hAnsi="宋体" w:cs="仿宋"/>
                <w:color w:val="auto"/>
                <w:sz w:val="24"/>
                <w:szCs w:val="24"/>
              </w:rPr>
            </w:pPr>
            <w:r>
              <w:rPr>
                <w:rFonts w:hint="eastAsia" w:ascii="宋体" w:hAnsi="宋体" w:cs="仿宋"/>
                <w:color w:val="auto"/>
                <w:sz w:val="24"/>
                <w:szCs w:val="24"/>
              </w:rPr>
              <w:t xml:space="preserve">培训方案</w:t>
            </w:r>
            <w:r/>
          </w:p>
        </w:tc>
        <w:tc>
          <w:tcPr>
            <w:tcW w:w="6330" w:type="dxa"/>
            <w:vAlign w:val="center"/>
            <w:textDirection w:val="lrTb"/>
            <w:noWrap w:val="false"/>
          </w:tcPr>
          <w:p>
            <w:pPr>
              <w:rPr>
                <w:rFonts w:ascii="宋体" w:hAnsi="宋体" w:cs="仿宋"/>
                <w:bCs/>
                <w:color w:val="auto"/>
                <w:sz w:val="24"/>
                <w:szCs w:val="24"/>
              </w:rPr>
            </w:pPr>
            <w:r>
              <w:rPr>
                <w:rFonts w:hint="eastAsia" w:ascii="宋体" w:hAnsi="宋体"/>
                <w:bCs/>
                <w:color w:val="auto"/>
                <w:sz w:val="24"/>
                <w:szCs w:val="24"/>
              </w:rPr>
              <w:t xml:space="preserve">投标人应根据招标要求及项目实施具体需要，提供本项目的培训方案，包括提供完整、详细、可行的培训内容、培训方式、培训人员、培训频次等内容进行综合评分。</w:t>
            </w:r>
            <w:r>
              <w:rPr>
                <w:rFonts w:hint="eastAsia" w:ascii="宋体" w:hAnsi="宋体" w:cs="仿宋"/>
                <w:bCs/>
                <w:color w:val="auto"/>
                <w:sz w:val="24"/>
                <w:szCs w:val="24"/>
              </w:rPr>
              <w:t xml:space="preserve">方案优于招标文件需求得5分，满足招标文件需求得3分，不满足或未提供招标文件需求的，得0分。</w:t>
            </w:r>
            <w:r/>
          </w:p>
        </w:tc>
        <w:tc>
          <w:tcPr>
            <w:tcW w:w="647" w:type="dxa"/>
            <w:vAlign w:val="center"/>
            <w:textDirection w:val="lrTb"/>
            <w:noWrap w:val="false"/>
          </w:tcPr>
          <w:p>
            <w:pPr>
              <w:jc w:val="center"/>
              <w:rPr>
                <w:rFonts w:hint="eastAsia" w:ascii="宋体" w:hAnsi="宋体" w:eastAsia="宋体" w:cs="仿宋"/>
                <w:bCs/>
                <w:color w:val="auto"/>
                <w:sz w:val="24"/>
                <w:szCs w:val="24"/>
                <w:lang w:eastAsia="zh-CN"/>
              </w:rPr>
            </w:pPr>
            <w:r>
              <w:rPr>
                <w:rFonts w:hint="eastAsia" w:ascii="宋体" w:hAnsi="宋体" w:cs="仿宋"/>
                <w:bCs/>
                <w:color w:val="auto"/>
                <w:sz w:val="24"/>
                <w:szCs w:val="24"/>
                <w:lang w:val="en-US" w:eastAsia="zh-CN"/>
              </w:rPr>
              <w:t xml:space="preserve">5</w:t>
            </w:r>
            <w:r/>
          </w:p>
        </w:tc>
        <w:tc>
          <w:tcPr>
            <w:tcW w:w="900" w:type="dxa"/>
            <w:vAlign w:val="center"/>
            <w:textDirection w:val="lrTb"/>
            <w:noWrap w:val="false"/>
          </w:tcPr>
          <w:p>
            <w:pPr>
              <w:jc w:val="center"/>
              <w:spacing w:before="68" w:line="264" w:lineRule="auto"/>
              <w:rPr>
                <w:rFonts w:hint="eastAsia" w:ascii="宋体" w:hAnsi="宋体" w:cs="宋体"/>
                <w:color w:val="auto"/>
                <w:sz w:val="24"/>
                <w:szCs w:val="24"/>
              </w:rPr>
            </w:pPr>
            <w:r>
              <w:rPr>
                <w:rFonts w:hint="eastAsia" w:ascii="宋体" w:hAnsi="宋体" w:cs="宋体"/>
                <w:color w:val="auto"/>
                <w:sz w:val="24"/>
                <w:szCs w:val="24"/>
              </w:rPr>
              <w:t xml:space="preserve">主观分</w:t>
            </w:r>
            <w:r/>
          </w:p>
        </w:tc>
      </w:tr>
      <w:tr>
        <w:trPr>
          <w:jc w:val="center"/>
          <w:trHeight w:val="387"/>
        </w:trPr>
        <w:tc>
          <w:tcPr>
            <w:gridSpan w:val="5"/>
            <w:tcW w:w="9575" w:type="dxa"/>
            <w:vAlign w:val="center"/>
            <w:textDirection w:val="lrTb"/>
            <w:noWrap w:val="false"/>
          </w:tcPr>
          <w:p>
            <w:pPr>
              <w:jc w:val="left"/>
              <w:spacing w:before="68" w:line="264" w:lineRule="auto"/>
              <w:rPr>
                <w:rFonts w:hint="eastAsia" w:ascii="宋体" w:hAnsi="宋体" w:cs="宋体"/>
                <w:color w:val="000000"/>
                <w:sz w:val="24"/>
                <w:szCs w:val="24"/>
              </w:rPr>
            </w:pPr>
            <w:r>
              <w:rPr>
                <w:rFonts w:hint="eastAsia" w:ascii="宋体" w:hAnsi="宋体" w:cs="宋体"/>
                <w:color w:val="000000"/>
                <w:spacing w:val="-2"/>
                <w:sz w:val="24"/>
                <w:szCs w:val="24"/>
              </w:rPr>
              <w:t xml:space="preserve">5、节能环保</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5.1</w:t>
            </w:r>
            <w:r/>
          </w:p>
        </w:tc>
        <w:tc>
          <w:tcPr>
            <w:tcW w:w="1179" w:type="dxa"/>
            <w:vAlign w:val="center"/>
            <w:textDirection w:val="lrTb"/>
            <w:noWrap w:val="false"/>
          </w:tcPr>
          <w:p>
            <w:pPr>
              <w:jc w:val="center"/>
              <w:rPr>
                <w:rFonts w:ascii="宋体" w:hAnsi="宋体" w:cs="仿宋"/>
                <w:color w:val="000000"/>
                <w:sz w:val="24"/>
                <w:szCs w:val="24"/>
              </w:rPr>
            </w:pPr>
            <w:r>
              <w:rPr>
                <w:rFonts w:hint="eastAsia" w:ascii="宋体" w:hAnsi="宋体" w:cs="仿宋"/>
                <w:color w:val="000000"/>
                <w:sz w:val="24"/>
                <w:szCs w:val="24"/>
              </w:rPr>
              <w:t xml:space="preserve">节能产品</w:t>
            </w:r>
            <w:r/>
          </w:p>
        </w:tc>
        <w:tc>
          <w:tcPr>
            <w:tcW w:w="6330" w:type="dxa"/>
            <w:vAlign w:val="center"/>
            <w:textDirection w:val="lrTb"/>
            <w:noWrap w:val="false"/>
          </w:tcPr>
          <w:p>
            <w:pPr>
              <w:rPr>
                <w:rFonts w:hint="eastAsia" w:cs="宋体"/>
                <w:color w:val="000000"/>
                <w:sz w:val="24"/>
                <w:szCs w:val="24"/>
                <w:lang w:val="zh-CN"/>
              </w:rPr>
            </w:pPr>
            <w:r>
              <w:rPr>
                <w:rFonts w:hint="eastAsia" w:ascii="宋体" w:hAnsi="宋体"/>
                <w:color w:val="000000"/>
                <w:sz w:val="24"/>
                <w:szCs w:val="24"/>
              </w:rPr>
              <w:t xml:space="preserve">投标产品属于财政部、国家发改委公布的“节能产品品目清单”范围内的，投标人提供国家确定的认证机构出具的、处于有效期之内的该节能产品认证证书复印件的，有1个得0.5分，最多得</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分。如投标产品均属于政府强制采购节能产品品目清单范围内，本项不得分。</w:t>
            </w:r>
            <w:r/>
          </w:p>
        </w:tc>
        <w:tc>
          <w:tcPr>
            <w:tcW w:w="647" w:type="dxa"/>
            <w:vAlign w:val="center"/>
            <w:textDirection w:val="lrTb"/>
            <w:noWrap w:val="false"/>
          </w:tcPr>
          <w:p>
            <w:pPr>
              <w:jc w:val="center"/>
              <w:rPr>
                <w:rFonts w:hint="default" w:ascii="宋体" w:hAnsi="宋体" w:cs="仿宋"/>
                <w:bCs/>
                <w:color w:val="000000"/>
                <w:sz w:val="24"/>
                <w:szCs w:val="24"/>
                <w:lang w:val="en-US"/>
              </w:rPr>
            </w:pPr>
            <w:r>
              <w:rPr>
                <w:rFonts w:hint="eastAsia" w:ascii="宋体" w:hAnsi="宋体" w:cs="仿宋"/>
                <w:bCs/>
                <w:color w:val="000000"/>
                <w:sz w:val="24"/>
                <w:szCs w:val="24"/>
                <w:lang w:val="en-US" w:eastAsia="zh-CN"/>
              </w:rPr>
              <w:t xml:space="preserve">1</w:t>
            </w:r>
            <w:r/>
          </w:p>
        </w:tc>
        <w:tc>
          <w:tcPr>
            <w:tcW w:w="900" w:type="dxa"/>
            <w:vAlign w:val="center"/>
            <w:textDirection w:val="lrTb"/>
            <w:noWrap w:val="false"/>
          </w:tcPr>
          <w:p>
            <w:pPr>
              <w:jc w:val="center"/>
              <w:spacing w:before="68" w:line="264" w:lineRule="auto"/>
              <w:rPr>
                <w:rFonts w:ascii="宋体" w:hAnsi="宋体" w:cs="宋体"/>
                <w:color w:val="000000"/>
                <w:sz w:val="24"/>
                <w:szCs w:val="24"/>
              </w:rPr>
            </w:pPr>
            <w:r>
              <w:rPr>
                <w:rFonts w:hint="eastAsia" w:ascii="宋体" w:hAnsi="宋体" w:cs="宋体"/>
                <w:color w:val="000000"/>
                <w:sz w:val="24"/>
                <w:szCs w:val="24"/>
              </w:rPr>
              <w:t xml:space="preserve">客观分</w:t>
            </w:r>
            <w:r/>
          </w:p>
        </w:tc>
      </w:tr>
      <w:tr>
        <w:trPr>
          <w:jc w:val="center"/>
          <w:trHeight w:val="387"/>
        </w:trPr>
        <w:tc>
          <w:tcPr>
            <w:tcW w:w="519" w:type="dxa"/>
            <w:vAlign w:val="center"/>
            <w:textDirection w:val="lrTb"/>
            <w:noWrap w:val="false"/>
          </w:tcPr>
          <w:p>
            <w:pPr>
              <w:jc w:val="center"/>
              <w:spacing w:before="68" w:line="264" w:lineRule="auto"/>
              <w:rPr>
                <w:rFonts w:ascii="宋体" w:hAnsi="宋体" w:cs="宋体"/>
                <w:color w:val="000000"/>
                <w:spacing w:val="-2"/>
                <w:sz w:val="24"/>
                <w:szCs w:val="24"/>
              </w:rPr>
            </w:pPr>
            <w:r>
              <w:rPr>
                <w:rFonts w:hint="eastAsia" w:ascii="宋体" w:hAnsi="宋体" w:cs="宋体"/>
                <w:color w:val="000000"/>
                <w:spacing w:val="-2"/>
                <w:sz w:val="24"/>
                <w:szCs w:val="24"/>
              </w:rPr>
              <w:t xml:space="preserve">5.2</w:t>
            </w:r>
            <w:r/>
          </w:p>
        </w:tc>
        <w:tc>
          <w:tcPr>
            <w:tcW w:w="1179" w:type="dxa"/>
            <w:vAlign w:val="center"/>
            <w:textDirection w:val="lrTb"/>
            <w:noWrap w:val="false"/>
          </w:tcPr>
          <w:p>
            <w:pPr>
              <w:jc w:val="center"/>
              <w:rPr>
                <w:rFonts w:hint="eastAsia" w:ascii="宋体" w:hAnsi="宋体" w:cs="仿宋"/>
                <w:color w:val="000000"/>
                <w:sz w:val="24"/>
                <w:szCs w:val="24"/>
              </w:rPr>
            </w:pPr>
            <w:r>
              <w:rPr>
                <w:rFonts w:hint="eastAsia" w:ascii="宋体" w:hAnsi="宋体" w:cs="仿宋"/>
                <w:color w:val="000000"/>
                <w:sz w:val="24"/>
                <w:szCs w:val="24"/>
              </w:rPr>
              <w:t xml:space="preserve">环境标志产品</w:t>
            </w:r>
            <w:r/>
          </w:p>
        </w:tc>
        <w:tc>
          <w:tcPr>
            <w:tcW w:w="6330" w:type="dxa"/>
            <w:vAlign w:val="center"/>
            <w:textDirection w:val="lrTb"/>
            <w:noWrap w:val="false"/>
          </w:tcPr>
          <w:p>
            <w:pPr>
              <w:rPr>
                <w:rFonts w:hint="eastAsia" w:cs="宋体"/>
                <w:color w:val="000000"/>
                <w:sz w:val="24"/>
                <w:szCs w:val="24"/>
                <w:lang w:val="zh-CN"/>
              </w:rPr>
            </w:pPr>
            <w:r>
              <w:rPr>
                <w:rFonts w:hint="eastAsia" w:ascii="宋体" w:hAnsi="宋体"/>
                <w:color w:val="000000"/>
                <w:sz w:val="24"/>
                <w:szCs w:val="24"/>
              </w:rPr>
              <w:t xml:space="preserve">投标产品属于财政部、生态环境部公布的“环境标志产品品目清单”范围内的，投标人提供国家确定的认证机构出具的、处于有效期内的该</w:t>
            </w:r>
            <w:r>
              <w:rPr>
                <w:rFonts w:hint="eastAsia" w:ascii="宋体" w:hAnsi="宋体"/>
                <w:color w:val="000000"/>
                <w:sz w:val="24"/>
                <w:szCs w:val="24"/>
                <w:lang w:val="en-US" w:eastAsia="zh-CN"/>
              </w:rPr>
              <w:t xml:space="preserve">投标产品</w:t>
            </w:r>
            <w:r>
              <w:rPr>
                <w:rFonts w:hint="eastAsia" w:ascii="宋体" w:hAnsi="宋体"/>
                <w:color w:val="000000"/>
                <w:sz w:val="24"/>
                <w:szCs w:val="24"/>
              </w:rPr>
              <w:t xml:space="preserve">环境标志产品认证证书复印件的，有1个得0.5分，最多得</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分。</w:t>
            </w:r>
            <w:r/>
          </w:p>
        </w:tc>
        <w:tc>
          <w:tcPr>
            <w:tcW w:w="647" w:type="dxa"/>
            <w:vAlign w:val="center"/>
            <w:textDirection w:val="lrTb"/>
            <w:noWrap w:val="false"/>
          </w:tcPr>
          <w:p>
            <w:pPr>
              <w:jc w:val="center"/>
              <w:rPr>
                <w:rFonts w:hint="default" w:ascii="宋体" w:hAnsi="宋体" w:cs="仿宋"/>
                <w:bCs/>
                <w:color w:val="000000"/>
                <w:sz w:val="24"/>
                <w:szCs w:val="24"/>
                <w:lang w:val="en-US"/>
              </w:rPr>
            </w:pPr>
            <w:r>
              <w:rPr>
                <w:rFonts w:hint="eastAsia" w:ascii="宋体" w:hAnsi="宋体" w:cs="仿宋"/>
                <w:bCs/>
                <w:color w:val="000000"/>
                <w:sz w:val="24"/>
                <w:szCs w:val="24"/>
                <w:lang w:val="en-US" w:eastAsia="zh-CN"/>
              </w:rPr>
              <w:t xml:space="preserve">1</w:t>
            </w:r>
            <w:r/>
          </w:p>
        </w:tc>
        <w:tc>
          <w:tcPr>
            <w:tcW w:w="900" w:type="dxa"/>
            <w:vAlign w:val="center"/>
            <w:textDirection w:val="lrTb"/>
            <w:noWrap w:val="false"/>
          </w:tcPr>
          <w:p>
            <w:pPr>
              <w:jc w:val="center"/>
              <w:spacing w:before="68"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jc w:val="center"/>
          <w:trHeight w:val="464"/>
        </w:trPr>
        <w:tc>
          <w:tcPr>
            <w:tcW w:w="519" w:type="dxa"/>
            <w:vAlign w:val="center"/>
            <w:textDirection w:val="lrTb"/>
            <w:noWrap w:val="false"/>
          </w:tcPr>
          <w:p>
            <w:pPr>
              <w:jc w:val="center"/>
              <w:spacing w:line="264" w:lineRule="auto"/>
              <w:rPr>
                <w:rFonts w:ascii="宋体" w:hAnsi="宋体" w:cs="宋体"/>
                <w:color w:val="000000"/>
                <w:sz w:val="24"/>
                <w:szCs w:val="24"/>
              </w:rPr>
            </w:pPr>
            <w:r>
              <w:rPr>
                <w:rFonts w:hint="eastAsia" w:ascii="宋体" w:hAnsi="宋体" w:cs="宋体"/>
                <w:color w:val="000000"/>
                <w:spacing w:val="-3"/>
                <w:sz w:val="24"/>
                <w:szCs w:val="24"/>
              </w:rPr>
              <w:t xml:space="preserve">合</w:t>
            </w:r>
            <w:r>
              <w:rPr>
                <w:rFonts w:hint="eastAsia" w:ascii="宋体" w:hAnsi="宋体" w:cs="宋体"/>
                <w:color w:val="000000"/>
                <w:spacing w:val="-2"/>
                <w:sz w:val="24"/>
                <w:szCs w:val="24"/>
              </w:rPr>
              <w:t xml:space="preserve">计</w:t>
            </w:r>
            <w:r/>
          </w:p>
        </w:tc>
        <w:tc>
          <w:tcPr>
            <w:gridSpan w:val="2"/>
            <w:tcW w:w="7509" w:type="dxa"/>
            <w:vAlign w:val="center"/>
            <w:textDirection w:val="lrTb"/>
            <w:noWrap w:val="false"/>
          </w:tcPr>
          <w:p>
            <w:pPr>
              <w:ind w:left="172"/>
              <w:jc w:val="center"/>
              <w:spacing w:before="123" w:line="264" w:lineRule="auto"/>
              <w:rPr>
                <w:rFonts w:ascii="宋体" w:hAnsi="宋体" w:cs="宋体"/>
                <w:color w:val="000000"/>
                <w:spacing w:val="-2"/>
                <w:sz w:val="24"/>
                <w:szCs w:val="24"/>
              </w:rPr>
            </w:pPr>
            <w:r>
              <w:rPr>
                <w:rFonts w:ascii="宋体" w:hAnsi="宋体" w:cs="宋体"/>
                <w:color w:val="000000"/>
                <w:spacing w:val="-2"/>
                <w:sz w:val="24"/>
                <w:szCs w:val="24"/>
              </w:rPr>
            </w:r>
            <w:r/>
          </w:p>
        </w:tc>
        <w:tc>
          <w:tcPr>
            <w:gridSpan w:val="2"/>
            <w:tcW w:w="1547" w:type="dxa"/>
            <w:vAlign w:val="center"/>
            <w:textDirection w:val="lrTb"/>
            <w:noWrap w:val="false"/>
          </w:tcPr>
          <w:p>
            <w:pPr>
              <w:jc w:val="center"/>
              <w:spacing w:line="264" w:lineRule="auto"/>
              <w:rPr>
                <w:rFonts w:ascii="宋体" w:hAnsi="宋体" w:cs="宋体"/>
                <w:color w:val="000000"/>
                <w:sz w:val="24"/>
                <w:szCs w:val="24"/>
              </w:rPr>
            </w:pPr>
            <w:r>
              <w:rPr>
                <w:rFonts w:hint="eastAsia" w:ascii="宋体" w:hAnsi="宋体" w:cs="宋体"/>
                <w:color w:val="000000"/>
                <w:spacing w:val="-11"/>
                <w:sz w:val="24"/>
                <w:szCs w:val="24"/>
              </w:rPr>
              <w:t xml:space="preserve">100分</w:t>
            </w:r>
            <w:r/>
          </w:p>
        </w:tc>
      </w:tr>
    </w:tbl>
    <w:p>
      <w:pPr>
        <w:ind w:firstLine="480"/>
        <w:spacing w:before="120" w:after="120" w:line="3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rPr>
          <w:rFonts w:hint="eastAsia"/>
          <w:color w:val="000000"/>
          <w:szCs w:val="21"/>
        </w:rPr>
      </w:pPr>
      <w:r>
        <w:rPr>
          <w:rFonts w:hint="eastAsia"/>
          <w:color w:val="000000"/>
          <w:szCs w:val="21"/>
        </w:rPr>
      </w:r>
      <w:r/>
    </w:p>
    <w:p>
      <w:pPr>
        <w:keepNext/>
        <w:rPr>
          <w:rFonts w:hint="eastAsia" w:ascii="黑体" w:eastAsia="黑体"/>
          <w:bCs/>
          <w:color w:val="000000"/>
          <w:sz w:val="44"/>
          <w:szCs w:val="28"/>
        </w:rPr>
        <w:outlineLvl w:val="0"/>
      </w:pPr>
      <w:r>
        <w:rPr>
          <w:rFonts w:hint="eastAsia" w:ascii="黑体" w:eastAsia="黑体"/>
          <w:bCs/>
          <w:color w:val="000000"/>
          <w:sz w:val="44"/>
          <w:szCs w:val="28"/>
        </w:rPr>
      </w:r>
      <w:r/>
    </w:p>
    <w:p>
      <w:pPr>
        <w:keepNext/>
        <w:rPr>
          <w:rFonts w:hint="eastAsia" w:ascii="黑体" w:eastAsia="黑体"/>
          <w:bCs/>
          <w:color w:val="000000"/>
          <w:sz w:val="44"/>
          <w:szCs w:val="28"/>
        </w:rPr>
        <w:outlineLvl w:val="0"/>
      </w:pPr>
      <w:r>
        <w:rPr>
          <w:rFonts w:hint="eastAsia" w:ascii="黑体" w:eastAsia="黑体"/>
          <w:bCs/>
          <w:color w:val="000000"/>
          <w:sz w:val="44"/>
          <w:szCs w:val="28"/>
        </w:rPr>
      </w:r>
      <w:r/>
    </w:p>
    <w:p>
      <w:pPr>
        <w:keepNext/>
        <w:rPr>
          <w:rFonts w:hint="eastAsia" w:ascii="黑体" w:eastAsia="黑体"/>
          <w:bCs/>
          <w:color w:val="000000"/>
          <w:sz w:val="44"/>
          <w:szCs w:val="28"/>
        </w:rPr>
        <w:outlineLvl w:val="0"/>
      </w:pPr>
      <w:r>
        <w:rPr>
          <w:rFonts w:hint="eastAsia" w:ascii="黑体" w:eastAsia="黑体"/>
          <w:bCs/>
          <w:color w:val="000000"/>
          <w:sz w:val="44"/>
          <w:szCs w:val="28"/>
        </w:rPr>
      </w:r>
      <w:r/>
    </w:p>
    <w:p>
      <w:pP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2"/>
      <w:r/>
      <w:bookmarkEnd w:id="183"/>
      <w:r/>
      <w:bookmarkEnd w:id="186"/>
      <w:r>
        <w:rPr>
          <w:rFonts w:hint="eastAsia" w:ascii="黑体" w:eastAsia="黑体"/>
          <w:bCs/>
          <w:color w:val="000000"/>
          <w:sz w:val="44"/>
          <w:szCs w:val="28"/>
        </w:rPr>
        <w:t xml:space="preserve">文件格式 </w:t>
      </w:r>
      <w:r/>
    </w:p>
    <w:p>
      <w:pPr>
        <w:jc w:val="center"/>
        <w:rPr>
          <w:rFonts w:hint="eastAsia" w:ascii="宋体" w:hAnsi="宋体"/>
          <w:b/>
          <w:color w:val="000000"/>
          <w:sz w:val="72"/>
          <w:szCs w:val="21"/>
        </w:rPr>
      </w:pPr>
      <w:r/>
      <w:bookmarkStart w:id="187" w:name="_Hlt26955039"/>
      <w:r/>
      <w:bookmarkEnd w:id="187"/>
      <w:r/>
      <w:bookmarkStart w:id="188" w:name="_Hlt26671244"/>
      <w:r/>
      <w:bookmarkEnd w:id="188"/>
      <w:r/>
      <w:bookmarkStart w:id="189" w:name="_Toc120614282"/>
      <w:r/>
      <w:bookmarkStart w:id="190" w:name="_Toc26554094"/>
      <w:r/>
      <w:bookmarkStart w:id="191"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color w:val="000000"/>
          <w:sz w:val="24"/>
          <w:szCs w:val="24"/>
          <w:lang w:val="en-US" w:eastAsia="zh-CN"/>
        </w:rPr>
        <w:t xml:space="preserve">上一</w:t>
      </w:r>
      <w:r>
        <w:rPr>
          <w:rFonts w:hint="eastAsia" w:ascii="宋体" w:hAnsi="宋体"/>
          <w:sz w:val="24"/>
          <w:szCs w:val="21"/>
        </w:rPr>
        <w:t xml:space="preserve">年度的财务状况报告（投标人成立不满一年无需提供）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33"/>
        <w:tblW w:w="10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082"/>
        <w:gridCol w:w="992"/>
        <w:gridCol w:w="992"/>
        <w:gridCol w:w="993"/>
        <w:gridCol w:w="1148"/>
      </w:tblGrid>
      <w:tr>
        <w:trPr>
          <w:cantSplit/>
          <w:jc w:val="center"/>
          <w:trHeight w:val="544"/>
        </w:trPr>
        <w:tc>
          <w:tcPr>
            <w:tcW w:w="5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08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9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c>
          <w:tcPr>
            <w:tcW w:w="11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10</w:t>
            </w:r>
            <w:r/>
          </w:p>
        </w:tc>
      </w:tr>
      <w:tr>
        <w:trPr>
          <w:cantSplit/>
          <w:jc w:val="center"/>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08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到货期</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安装期</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1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vAlign w:val="top"/>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82"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92"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到货后  日</w:t>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vAlign w:val="top"/>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8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top"/>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vAlign w:val="top"/>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8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top"/>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vAlign w:val="top"/>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8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top"/>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249"/>
        </w:trPr>
        <w:tc>
          <w:tcPr>
            <w:tcW w:w="500" w:type="dxa"/>
            <w:vAlign w:val="top"/>
            <w:textDirection w:val="lrTb"/>
            <w:noWrap w:val="false"/>
          </w:tcPr>
          <w:p>
            <w:pPr>
              <w:jc w:val="center"/>
              <w:rPr>
                <w:rFonts w:ascii="宋体" w:hAnsi="宋体"/>
                <w:sz w:val="24"/>
                <w:szCs w:val="24"/>
              </w:rPr>
            </w:pPr>
            <w:r>
              <w:rPr>
                <w:rFonts w:ascii="宋体" w:hAnsi="宋体"/>
                <w:sz w:val="24"/>
                <w:szCs w:val="24"/>
              </w:rPr>
            </w:r>
            <w:r/>
          </w:p>
        </w:tc>
        <w:tc>
          <w:tcPr>
            <w:gridSpan w:val="9"/>
            <w:tcW w:w="8539"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148" w:type="dxa"/>
            <w:vAlign w:val="top"/>
            <w:textDirection w:val="lrTb"/>
            <w:noWrap w:val="false"/>
          </w:tcPr>
          <w:p>
            <w:pPr>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9"/>
      <w:r/>
      <w:bookmarkEnd w:id="190"/>
      <w:r/>
      <w:bookmarkEnd w:id="191"/>
      <w:r/>
      <w:bookmarkStart w:id="192"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sz w:val="24"/>
          <w:szCs w:val="24"/>
        </w:rPr>
      </w:pPr>
      <w:r>
        <w:rPr>
          <w:rFonts w:hint="eastAsia"/>
          <w:color w:val="000000"/>
          <w:sz w:val="24"/>
          <w:szCs w:val="24"/>
        </w:rPr>
        <w:t xml:space="preserve">本授权</w:t>
      </w:r>
      <w:r>
        <w:rPr>
          <w:rFonts w:hint="eastAsia"/>
          <w:sz w:val="24"/>
          <w:szCs w:val="24"/>
        </w:rPr>
        <w:t xml:space="preserve">书于______年____月____日起生效，特此声明。</w:t>
      </w:r>
      <w:r/>
    </w:p>
    <w:p>
      <w:pPr>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sz w:val="24"/>
          <w:szCs w:val="24"/>
        </w:rPr>
        <w:t xml:space="preserve">      日期：</w:t>
      </w:r>
      <w:bookmarkStart w:id="193" w:name="_格式3__银行出具的资信证明"/>
      <w:r/>
      <w:bookmarkEnd w:id="193"/>
      <w:r/>
      <w:bookmarkStart w:id="194" w:name="_Hlt26955070"/>
      <w:r/>
      <w:bookmarkEnd w:id="194"/>
      <w:r/>
      <w:bookmarkStart w:id="195" w:name="_Hlt26671380"/>
      <w:r/>
      <w:bookmarkEnd w:id="195"/>
      <w:r>
        <w:rPr>
          <w:rFonts w:hint="eastAsia"/>
          <w:sz w:val="24"/>
          <w:szCs w:val="24"/>
          <w:u w:val="single"/>
        </w:rPr>
        <w:t xml:space="preserve">           </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（采购人单位名称）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宋体" w:hAnsi="宋体"/>
          <w:sz w:val="24"/>
          <w:szCs w:val="24"/>
        </w:rPr>
      </w:pPr>
      <w:r>
        <w:rPr>
          <w:rFonts w:ascii="宋体" w:hAnsi="宋体"/>
          <w:sz w:val="24"/>
          <w:szCs w:val="24"/>
        </w:rPr>
      </w:r>
      <w:r/>
    </w:p>
    <w:p>
      <w:pPr>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rPr>
          <w:color w:val="000000"/>
          <w:szCs w:val="21"/>
        </w:rPr>
      </w:pPr>
      <w:r>
        <w:rPr>
          <w:color w:val="000000"/>
          <w:szCs w:val="21"/>
        </w:rPr>
      </w:r>
      <w:r/>
    </w:p>
    <w:p>
      <w:pPr>
        <w:rPr>
          <w:color w:val="000000"/>
          <w:szCs w:val="21"/>
        </w:rPr>
      </w:pPr>
      <w:r>
        <w:rPr>
          <w:color w:val="000000"/>
          <w:szCs w:val="21"/>
        </w:rPr>
      </w:r>
      <w:r/>
    </w:p>
    <w:p>
      <w:pPr>
        <w:rPr>
          <w:rFonts w:hint="eastAsia"/>
          <w:color w:val="000000"/>
          <w:szCs w:val="21"/>
        </w:rPr>
      </w:pPr>
      <w:r>
        <w:rPr>
          <w:rFonts w:hint="eastAsia"/>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bookmarkEnd w:id="180"/>
      <w:r/>
      <w:bookmarkEnd w:id="181"/>
      <w:r/>
      <w:bookmarkEnd w:id="192"/>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rPr>
        <w:lang w:val="zh-CN"/>
      </w:rPr>
      <w:t xml:space="preserve">44</w:t>
    </w:r>
    <w:r>
      <w:fldChar w:fldCharType="end"/>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63</w:t>
    </w:r>
    <w:r>
      <w:rPr>
        <w:rFonts w:ascii="宋体" w:hAnsi="宋体"/>
      </w:rPr>
      <w:fldChar w:fldCharType="end"/>
    </w:r>
    <w:r/>
  </w:p>
  <w:p>
    <w:pPr>
      <w:pStyle w:val="950"/>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11"/>
      <w:isLgl w:val="false"/>
      <w:suff w:val="nothing"/>
      <w:lvlText w:val=""/>
      <w:lvlJc w:val="left"/>
      <w:pPr>
        <w:ind w:left="0" w:firstLine="0"/>
      </w:pPr>
      <w:rPr>
        <w:rFonts w:hint="eastAsia"/>
      </w:rPr>
    </w:lvl>
    <w:lvl w:ilvl="7">
      <w:start w:val="1"/>
      <w:numFmt w:val="decimal"/>
      <w:pStyle w:val="912"/>
      <w:isLgl w:val="false"/>
      <w:suff w:val="nothing"/>
      <w:lvlText w:val=""/>
      <w:lvlJc w:val="left"/>
      <w:pPr>
        <w:ind w:left="0" w:firstLine="0"/>
      </w:pPr>
      <w:rPr>
        <w:rFonts w:hint="eastAsia"/>
      </w:rPr>
    </w:lvl>
    <w:lvl w:ilvl="8">
      <w:start w:val="1"/>
      <w:numFmt w:val="decimal"/>
      <w:pStyle w:val="913"/>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9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3">
    <w:name w:val="Heading 1"/>
    <w:basedOn w:val="722"/>
    <w:next w:val="722"/>
    <w:link w:val="756"/>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57"/>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58"/>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59"/>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0"/>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1"/>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3"/>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64"/>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2"/>
    <w:uiPriority w:val="99"/>
    <w:semiHidden/>
    <w:unhideWhenUsed/>
    <w:qFormat/>
    <w:pPr>
      <w:jc w:val="left"/>
    </w:pPr>
  </w:style>
  <w:style w:type="paragraph" w:styleId="737">
    <w:name w:val="toc 5"/>
    <w:basedOn w:val="722"/>
    <w:next w:val="722"/>
    <w:uiPriority w:val="39"/>
    <w:unhideWhenUsed/>
    <w:qFormat/>
    <w:pPr>
      <w:ind w:left="1134" w:right="0" w:firstLine="0"/>
      <w:spacing w:after="57"/>
    </w:pPr>
  </w:style>
  <w:style w:type="paragraph" w:styleId="738">
    <w:name w:val="toc 3"/>
    <w:basedOn w:val="722"/>
    <w:next w:val="722"/>
    <w:uiPriority w:val="39"/>
    <w:unhideWhenUsed/>
    <w:qFormat/>
    <w:pPr>
      <w:ind w:left="567" w:right="0" w:firstLine="0"/>
      <w:spacing w:after="57"/>
    </w:pPr>
  </w:style>
  <w:style w:type="paragraph" w:styleId="739">
    <w:name w:val="toc 8"/>
    <w:basedOn w:val="722"/>
    <w:next w:val="722"/>
    <w:uiPriority w:val="39"/>
    <w:unhideWhenUsed/>
    <w:qFormat/>
    <w:pPr>
      <w:ind w:left="1984" w:right="0" w:firstLine="0"/>
      <w:spacing w:after="57"/>
    </w:pPr>
  </w:style>
  <w:style w:type="paragraph" w:styleId="740">
    <w:name w:val="endnote text"/>
    <w:basedOn w:val="722"/>
    <w:link w:val="902"/>
    <w:uiPriority w:val="99"/>
    <w:semiHidden/>
    <w:unhideWhenUsed/>
    <w:qFormat/>
    <w:pPr>
      <w:spacing w:after="0" w:line="240" w:lineRule="auto"/>
    </w:pPr>
    <w:rPr>
      <w:sz w:val="20"/>
    </w:rPr>
  </w:style>
  <w:style w:type="paragraph" w:styleId="741">
    <w:name w:val="Footer"/>
    <w:basedOn w:val="722"/>
    <w:link w:val="775"/>
    <w:uiPriority w:val="99"/>
    <w:unhideWhenUsed/>
    <w:qFormat/>
    <w:pPr>
      <w:spacing w:after="0" w:line="240" w:lineRule="auto"/>
      <w:tabs>
        <w:tab w:val="center" w:pos="7143" w:leader="none"/>
        <w:tab w:val="right" w:pos="14287" w:leader="none"/>
      </w:tabs>
    </w:pPr>
  </w:style>
  <w:style w:type="paragraph" w:styleId="742">
    <w:name w:val="Header"/>
    <w:basedOn w:val="722"/>
    <w:link w:val="773"/>
    <w:uiPriority w:val="99"/>
    <w:unhideWhenUsed/>
    <w:qFormat/>
    <w:pPr>
      <w:spacing w:after="0" w:line="240" w:lineRule="auto"/>
      <w:tabs>
        <w:tab w:val="center" w:pos="7143" w:leader="none"/>
        <w:tab w:val="right" w:pos="14287" w:leader="none"/>
      </w:tabs>
    </w:pPr>
  </w:style>
  <w:style w:type="paragraph" w:styleId="743">
    <w:name w:val="toc 1"/>
    <w:basedOn w:val="722"/>
    <w:next w:val="722"/>
    <w:uiPriority w:val="39"/>
    <w:unhideWhenUsed/>
    <w:qFormat/>
    <w:pPr>
      <w:ind w:left="0" w:right="0" w:firstLine="0"/>
      <w:spacing w:after="57"/>
    </w:pPr>
  </w:style>
  <w:style w:type="paragraph" w:styleId="744">
    <w:name w:val="toc 4"/>
    <w:basedOn w:val="722"/>
    <w:next w:val="722"/>
    <w:uiPriority w:val="39"/>
    <w:unhideWhenUsed/>
    <w:qFormat/>
    <w:pPr>
      <w:ind w:left="850" w:right="0" w:firstLine="0"/>
      <w:spacing w:after="57"/>
    </w:pPr>
  </w:style>
  <w:style w:type="paragraph" w:styleId="745">
    <w:name w:val="Subtitle"/>
    <w:basedOn w:val="722"/>
    <w:next w:val="722"/>
    <w:link w:val="768"/>
    <w:uiPriority w:val="11"/>
    <w:qFormat/>
    <w:pPr>
      <w:spacing w:before="200" w:after="200"/>
    </w:pPr>
    <w:rPr>
      <w:sz w:val="24"/>
      <w:szCs w:val="24"/>
    </w:rPr>
  </w:style>
  <w:style w:type="paragraph" w:styleId="746">
    <w:name w:val="footnote text"/>
    <w:basedOn w:val="722"/>
    <w:link w:val="901"/>
    <w:uiPriority w:val="99"/>
    <w:semiHidden/>
    <w:unhideWhenUsed/>
    <w:qFormat/>
    <w:pPr>
      <w:spacing w:after="40" w:line="240" w:lineRule="auto"/>
    </w:pPr>
    <w:rPr>
      <w:sz w:val="18"/>
    </w:rPr>
  </w:style>
  <w:style w:type="paragraph" w:styleId="747">
    <w:name w:val="toc 6"/>
    <w:basedOn w:val="722"/>
    <w:next w:val="722"/>
    <w:uiPriority w:val="39"/>
    <w:unhideWhenUsed/>
    <w:qFormat/>
    <w:pPr>
      <w:ind w:left="1417" w:right="0" w:firstLine="0"/>
      <w:spacing w:after="57"/>
    </w:pPr>
  </w:style>
  <w:style w:type="paragraph" w:styleId="748">
    <w:name w:val="table of figures"/>
    <w:basedOn w:val="722"/>
    <w:next w:val="722"/>
    <w:uiPriority w:val="99"/>
    <w:unhideWhenUsed/>
    <w:qFormat/>
    <w:pPr>
      <w:spacing w:after="0" w:afterAutospacing="0"/>
    </w:pPr>
  </w:style>
  <w:style w:type="paragraph" w:styleId="749">
    <w:name w:val="toc 2"/>
    <w:basedOn w:val="722"/>
    <w:next w:val="722"/>
    <w:uiPriority w:val="39"/>
    <w:unhideWhenUsed/>
    <w:qFormat/>
    <w:pPr>
      <w:ind w:left="283" w:right="0" w:firstLine="0"/>
      <w:spacing w:after="57"/>
    </w:pPr>
  </w:style>
  <w:style w:type="paragraph" w:styleId="750">
    <w:name w:val="toc 9"/>
    <w:basedOn w:val="722"/>
    <w:next w:val="722"/>
    <w:uiPriority w:val="39"/>
    <w:unhideWhenUsed/>
    <w:qFormat/>
    <w:pPr>
      <w:ind w:left="2268" w:right="0" w:firstLine="0"/>
      <w:spacing w:after="57"/>
    </w:pPr>
  </w:style>
  <w:style w:type="paragraph" w:styleId="751">
    <w:name w:val="Title"/>
    <w:basedOn w:val="722"/>
    <w:next w:val="722"/>
    <w:link w:val="767"/>
    <w:uiPriority w:val="10"/>
    <w:qFormat/>
    <w:pPr>
      <w:contextualSpacing/>
      <w:spacing w:before="300" w:after="200"/>
    </w:pPr>
    <w:rPr>
      <w:sz w:val="48"/>
      <w:szCs w:val="48"/>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Heading 1 Char"/>
    <w:link w:val="723"/>
    <w:uiPriority w:val="9"/>
    <w:qFormat/>
    <w:rPr>
      <w:rFonts w:ascii="Arial" w:hAnsi="Arial" w:eastAsia="Arial" w:cs="Arial"/>
      <w:sz w:val="40"/>
      <w:szCs w:val="40"/>
    </w:rPr>
  </w:style>
  <w:style w:type="character" w:styleId="757" w:customStyle="1">
    <w:name w:val="Heading 2 Char"/>
    <w:link w:val="724"/>
    <w:uiPriority w:val="9"/>
    <w:qFormat/>
    <w:rPr>
      <w:rFonts w:ascii="Arial" w:hAnsi="Arial" w:eastAsia="Arial" w:cs="Arial"/>
      <w:sz w:val="34"/>
    </w:rPr>
  </w:style>
  <w:style w:type="character" w:styleId="758" w:customStyle="1">
    <w:name w:val="Heading 3 Char"/>
    <w:link w:val="725"/>
    <w:uiPriority w:val="9"/>
    <w:qFormat/>
    <w:rPr>
      <w:rFonts w:ascii="Arial" w:hAnsi="Arial" w:eastAsia="Arial" w:cs="Arial"/>
      <w:sz w:val="30"/>
      <w:szCs w:val="30"/>
    </w:rPr>
  </w:style>
  <w:style w:type="character" w:styleId="759" w:customStyle="1">
    <w:name w:val="Heading 4 Char"/>
    <w:link w:val="726"/>
    <w:uiPriority w:val="9"/>
    <w:qFormat/>
    <w:rPr>
      <w:rFonts w:ascii="Arial" w:hAnsi="Arial" w:eastAsia="Arial" w:cs="Arial"/>
      <w:b/>
      <w:bCs/>
      <w:sz w:val="26"/>
      <w:szCs w:val="26"/>
    </w:rPr>
  </w:style>
  <w:style w:type="character" w:styleId="760" w:customStyle="1">
    <w:name w:val="Heading 5 Char"/>
    <w:link w:val="727"/>
    <w:uiPriority w:val="9"/>
    <w:qFormat/>
    <w:rPr>
      <w:rFonts w:ascii="Arial" w:hAnsi="Arial" w:eastAsia="Arial" w:cs="Arial"/>
      <w:b/>
      <w:bCs/>
      <w:sz w:val="24"/>
      <w:szCs w:val="24"/>
    </w:rPr>
  </w:style>
  <w:style w:type="character" w:styleId="761" w:customStyle="1">
    <w:name w:val="Heading 6 Char"/>
    <w:link w:val="728"/>
    <w:uiPriority w:val="9"/>
    <w:qFormat/>
    <w:rPr>
      <w:rFonts w:ascii="Arial" w:hAnsi="Arial" w:eastAsia="Arial" w:cs="Arial"/>
      <w:b/>
      <w:bCs/>
      <w:sz w:val="22"/>
      <w:szCs w:val="22"/>
    </w:rPr>
  </w:style>
  <w:style w:type="character" w:styleId="762" w:customStyle="1">
    <w:name w:val="Heading 7 Char"/>
    <w:link w:val="729"/>
    <w:uiPriority w:val="9"/>
    <w:qFormat/>
    <w:rPr>
      <w:rFonts w:ascii="Arial" w:hAnsi="Arial" w:eastAsia="Arial" w:cs="Arial"/>
      <w:b/>
      <w:bCs/>
      <w:i/>
      <w:iCs/>
      <w:sz w:val="22"/>
      <w:szCs w:val="22"/>
    </w:rPr>
  </w:style>
  <w:style w:type="character" w:styleId="763" w:customStyle="1">
    <w:name w:val="Heading 8 Char"/>
    <w:link w:val="730"/>
    <w:uiPriority w:val="9"/>
    <w:qFormat/>
    <w:rPr>
      <w:rFonts w:ascii="Arial" w:hAnsi="Arial" w:eastAsia="Arial" w:cs="Arial"/>
      <w:i/>
      <w:iCs/>
      <w:sz w:val="22"/>
      <w:szCs w:val="22"/>
    </w:rPr>
  </w:style>
  <w:style w:type="character" w:styleId="764" w:customStyle="1">
    <w:name w:val="Heading 9 Char"/>
    <w:link w:val="731"/>
    <w:uiPriority w:val="9"/>
    <w:qFormat/>
    <w:rPr>
      <w:rFonts w:ascii="Arial" w:hAnsi="Arial" w:eastAsia="Arial" w:cs="Arial"/>
      <w:i/>
      <w:iCs/>
      <w:sz w:val="21"/>
      <w:szCs w:val="21"/>
    </w:rPr>
  </w:style>
  <w:style w:type="paragraph" w:styleId="765">
    <w:name w:val="List Paragraph"/>
    <w:basedOn w:val="722"/>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51"/>
    <w:uiPriority w:val="10"/>
    <w:qFormat/>
    <w:rPr>
      <w:sz w:val="48"/>
      <w:szCs w:val="48"/>
    </w:rPr>
  </w:style>
  <w:style w:type="character" w:styleId="768" w:customStyle="1">
    <w:name w:val="Subtitle Char"/>
    <w:link w:val="745"/>
    <w:uiPriority w:val="11"/>
    <w:qFormat/>
    <w:rPr>
      <w:sz w:val="24"/>
      <w:szCs w:val="24"/>
    </w:rPr>
  </w:style>
  <w:style w:type="paragraph" w:styleId="769">
    <w:name w:val="Quote"/>
    <w:basedOn w:val="722"/>
    <w:next w:val="722"/>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22"/>
    <w:next w:val="722"/>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42"/>
    <w:uiPriority w:val="99"/>
    <w:qFormat/>
  </w:style>
  <w:style w:type="character" w:styleId="774" w:customStyle="1">
    <w:name w:val="Footer Char"/>
    <w:link w:val="741"/>
    <w:uiPriority w:val="99"/>
    <w:qFormat/>
  </w:style>
  <w:style w:type="character" w:styleId="775" w:customStyle="1">
    <w:name w:val="Caption Char"/>
    <w:link w:val="741"/>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6"/>
    <w:uiPriority w:val="99"/>
    <w:qFormat/>
    <w:rPr>
      <w:sz w:val="18"/>
    </w:rPr>
  </w:style>
  <w:style w:type="character" w:styleId="902" w:customStyle="1">
    <w:name w:val="Endnote Text Char"/>
    <w:link w:val="740"/>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22"/>
    <w:next w:val="722"/>
    <w:link w:val="916"/>
    <w:uiPriority w:val="0"/>
    <w:qFormat/>
    <w:pPr>
      <w:jc w:val="center"/>
      <w:keepNext/>
      <w:outlineLvl w:val="0"/>
    </w:pPr>
    <w:rPr>
      <w:rFonts w:ascii="楷体_GB2312" w:hAnsi="Times New Roman" w:eastAsia="楷体_GB2312" w:cs="Times New Roman"/>
      <w:sz w:val="28"/>
      <w:szCs w:val="28"/>
    </w:rPr>
  </w:style>
  <w:style w:type="paragraph" w:styleId="905" w:customStyle="1">
    <w:name w:val="标题 21"/>
    <w:basedOn w:val="722"/>
    <w:next w:val="906"/>
    <w:link w:val="9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6" w:customStyle="1">
    <w:name w:val="正文缩进1"/>
    <w:basedOn w:val="722"/>
    <w:link w:val="918"/>
    <w:uiPriority w:val="0"/>
    <w:qFormat/>
    <w:pPr>
      <w:ind w:firstLine="420"/>
    </w:pPr>
    <w:rPr>
      <w:szCs w:val="21"/>
    </w:rPr>
  </w:style>
  <w:style w:type="paragraph" w:styleId="907" w:customStyle="1">
    <w:name w:val="标题 31"/>
    <w:basedOn w:val="722"/>
    <w:next w:val="906"/>
    <w:link w:val="91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8" w:customStyle="1">
    <w:name w:val="标题 41"/>
    <w:basedOn w:val="722"/>
    <w:next w:val="906"/>
    <w:link w:val="920"/>
    <w:uiPriority w:val="0"/>
    <w:qFormat/>
    <w:pPr>
      <w:keepLines/>
      <w:keepNext/>
      <w:spacing w:before="280" w:after="290" w:line="376" w:lineRule="auto"/>
      <w:outlineLvl w:val="3"/>
    </w:pPr>
    <w:rPr>
      <w:rFonts w:ascii="Arial" w:hAnsi="Arial" w:eastAsia="黑体" w:cs="Arial"/>
      <w:b/>
      <w:bCs/>
      <w:sz w:val="28"/>
      <w:szCs w:val="28"/>
    </w:rPr>
  </w:style>
  <w:style w:type="paragraph" w:styleId="909" w:customStyle="1">
    <w:name w:val="标题 51"/>
    <w:basedOn w:val="722"/>
    <w:next w:val="906"/>
    <w:link w:val="921"/>
    <w:uiPriority w:val="0"/>
    <w:qFormat/>
    <w:pPr>
      <w:keepNext/>
      <w:outlineLvl w:val="4"/>
    </w:pPr>
    <w:rPr>
      <w:rFonts w:ascii="宋体" w:hAnsi="Times New Roman" w:eastAsia="宋体" w:cs="Times New Roman"/>
      <w:color w:val="000000"/>
      <w:sz w:val="28"/>
      <w:szCs w:val="28"/>
    </w:rPr>
  </w:style>
  <w:style w:type="paragraph" w:styleId="910" w:customStyle="1">
    <w:name w:val="标题 61"/>
    <w:basedOn w:val="722"/>
    <w:next w:val="722"/>
    <w:link w:val="92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1" w:customStyle="1">
    <w:name w:val="标题 71"/>
    <w:basedOn w:val="722"/>
    <w:next w:val="722"/>
    <w:link w:val="92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2" w:customStyle="1">
    <w:name w:val="标题 81"/>
    <w:basedOn w:val="722"/>
    <w:next w:val="722"/>
    <w:link w:val="92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3" w:customStyle="1">
    <w:name w:val="标题 91"/>
    <w:basedOn w:val="722"/>
    <w:next w:val="722"/>
    <w:link w:val="92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4" w:customStyle="1">
    <w:name w:val="默认段落字体1"/>
    <w:link w:val="722"/>
    <w:uiPriority w:val="1"/>
    <w:unhideWhenUsed/>
    <w:qFormat/>
  </w:style>
  <w:style w:type="table" w:styleId="915" w:customStyle="1">
    <w:name w:val="普通表格1"/>
    <w:uiPriority w:val="99"/>
    <w:unhideWhenUsed/>
    <w:qFormat/>
    <w:tblPr/>
  </w:style>
  <w:style w:type="character" w:styleId="916" w:customStyle="1">
    <w:name w:val="标题 1 字符"/>
    <w:link w:val="904"/>
    <w:uiPriority w:val="0"/>
    <w:qFormat/>
    <w:rPr>
      <w:rFonts w:ascii="楷体_GB2312" w:hAnsi="Times New Roman" w:eastAsia="楷体_GB2312" w:cs="Times New Roman"/>
      <w:sz w:val="28"/>
      <w:szCs w:val="28"/>
    </w:rPr>
  </w:style>
  <w:style w:type="character" w:styleId="917" w:customStyle="1">
    <w:name w:val="标题 2 字符"/>
    <w:link w:val="905"/>
    <w:uiPriority w:val="0"/>
    <w:qFormat/>
    <w:rPr>
      <w:rFonts w:ascii="Arial" w:hAnsi="Arial" w:eastAsia="幼圆" w:cs="Arial"/>
      <w:b/>
      <w:bCs/>
      <w:sz w:val="44"/>
      <w:szCs w:val="44"/>
    </w:rPr>
  </w:style>
  <w:style w:type="character" w:styleId="918" w:customStyle="1">
    <w:name w:val="正文缩进 字符"/>
    <w:link w:val="906"/>
    <w:uiPriority w:val="0"/>
    <w:qFormat/>
    <w:rPr>
      <w:szCs w:val="21"/>
    </w:rPr>
  </w:style>
  <w:style w:type="character" w:styleId="919" w:customStyle="1">
    <w:name w:val="标题 3 字符"/>
    <w:link w:val="907"/>
    <w:uiPriority w:val="0"/>
    <w:qFormat/>
    <w:rPr>
      <w:rFonts w:ascii="Times New Roman" w:hAnsi="Times New Roman" w:eastAsia="宋体" w:cs="Times New Roman"/>
      <w:b/>
      <w:bCs/>
      <w:sz w:val="32"/>
      <w:szCs w:val="32"/>
    </w:rPr>
  </w:style>
  <w:style w:type="character" w:styleId="920" w:customStyle="1">
    <w:name w:val="标题 4 字符"/>
    <w:link w:val="908"/>
    <w:uiPriority w:val="0"/>
    <w:qFormat/>
    <w:rPr>
      <w:rFonts w:ascii="Arial" w:hAnsi="Arial" w:eastAsia="黑体" w:cs="Arial"/>
      <w:b/>
      <w:bCs/>
      <w:sz w:val="28"/>
      <w:szCs w:val="28"/>
    </w:rPr>
  </w:style>
  <w:style w:type="character" w:styleId="921" w:customStyle="1">
    <w:name w:val="标题 5 字符"/>
    <w:link w:val="909"/>
    <w:uiPriority w:val="0"/>
    <w:qFormat/>
    <w:rPr>
      <w:rFonts w:ascii="宋体" w:hAnsi="Times New Roman" w:eastAsia="宋体" w:cs="Times New Roman"/>
      <w:color w:val="000000"/>
      <w:sz w:val="28"/>
      <w:szCs w:val="28"/>
    </w:rPr>
  </w:style>
  <w:style w:type="character" w:styleId="922" w:customStyle="1">
    <w:name w:val="标题 6 字符"/>
    <w:link w:val="910"/>
    <w:uiPriority w:val="0"/>
    <w:qFormat/>
    <w:rPr>
      <w:rFonts w:ascii="Arial" w:hAnsi="Arial" w:eastAsia="黑体" w:cs="Times New Roman"/>
      <w:b/>
      <w:bCs/>
      <w:sz w:val="24"/>
      <w:szCs w:val="24"/>
    </w:rPr>
  </w:style>
  <w:style w:type="character" w:styleId="923" w:customStyle="1">
    <w:name w:val="标题 7 字符"/>
    <w:link w:val="911"/>
    <w:uiPriority w:val="0"/>
    <w:qFormat/>
    <w:rPr>
      <w:rFonts w:ascii="Times New Roman" w:hAnsi="Times New Roman" w:eastAsia="宋体" w:cs="Times New Roman"/>
      <w:b/>
      <w:bCs/>
      <w:sz w:val="24"/>
      <w:szCs w:val="24"/>
    </w:rPr>
  </w:style>
  <w:style w:type="character" w:styleId="924" w:customStyle="1">
    <w:name w:val="标题 8 字符"/>
    <w:link w:val="912"/>
    <w:uiPriority w:val="0"/>
    <w:qFormat/>
    <w:rPr>
      <w:rFonts w:ascii="Arial" w:hAnsi="Arial" w:eastAsia="黑体" w:cs="Times New Roman"/>
      <w:sz w:val="24"/>
      <w:szCs w:val="24"/>
    </w:rPr>
  </w:style>
  <w:style w:type="character" w:styleId="925" w:customStyle="1">
    <w:name w:val="标题 9 字符"/>
    <w:link w:val="913"/>
    <w:uiPriority w:val="0"/>
    <w:qFormat/>
    <w:rPr>
      <w:rFonts w:ascii="Arial" w:hAnsi="Arial" w:eastAsia="黑体" w:cs="Times New Roman"/>
      <w:szCs w:val="21"/>
    </w:rPr>
  </w:style>
  <w:style w:type="paragraph" w:styleId="926" w:customStyle="1">
    <w:name w:val="列表 31"/>
    <w:basedOn w:val="722"/>
    <w:uiPriority w:val="0"/>
    <w:qFormat/>
    <w:pPr>
      <w:ind w:left="100" w:hanging="200"/>
    </w:pPr>
    <w:rPr>
      <w:rFonts w:ascii="Times New Roman" w:hAnsi="Times New Roman" w:eastAsia="宋体" w:cs="Times New Roman"/>
      <w:szCs w:val="21"/>
    </w:rPr>
  </w:style>
  <w:style w:type="paragraph" w:styleId="927" w:customStyle="1">
    <w:name w:val="目录 71"/>
    <w:basedOn w:val="722"/>
    <w:next w:val="722"/>
    <w:uiPriority w:val="0"/>
    <w:semiHidden/>
    <w:qFormat/>
    <w:pPr>
      <w:ind w:left="1260"/>
      <w:jc w:val="left"/>
    </w:pPr>
    <w:rPr>
      <w:rFonts w:ascii="Times New Roman" w:hAnsi="Times New Roman" w:eastAsia="宋体" w:cs="Times New Roman"/>
      <w:szCs w:val="21"/>
    </w:rPr>
  </w:style>
  <w:style w:type="paragraph" w:styleId="928" w:customStyle="1">
    <w:name w:val="文档结构图1"/>
    <w:basedOn w:val="722"/>
    <w:link w:val="929"/>
    <w:uiPriority w:val="0"/>
    <w:semiHidden/>
    <w:qFormat/>
    <w:pPr>
      <w:shd w:val="clear" w:color="auto" w:fill="000080"/>
    </w:pPr>
    <w:rPr>
      <w:rFonts w:ascii="Times New Roman" w:hAnsi="Times New Roman" w:eastAsia="宋体" w:cs="Times New Roman"/>
      <w:szCs w:val="21"/>
    </w:rPr>
  </w:style>
  <w:style w:type="character" w:styleId="929" w:customStyle="1">
    <w:name w:val="文档结构图 字符"/>
    <w:link w:val="928"/>
    <w:uiPriority w:val="0"/>
    <w:semiHidden/>
    <w:qFormat/>
    <w:rPr>
      <w:rFonts w:ascii="Times New Roman" w:hAnsi="Times New Roman" w:eastAsia="宋体" w:cs="Times New Roman"/>
      <w:szCs w:val="21"/>
      <w:shd w:val="clear" w:color="auto" w:fill="000080"/>
    </w:rPr>
  </w:style>
  <w:style w:type="paragraph" w:styleId="930" w:customStyle="1">
    <w:name w:val="批注文字1"/>
    <w:basedOn w:val="722"/>
    <w:link w:val="931"/>
    <w:uiPriority w:val="0"/>
    <w:unhideWhenUsed/>
    <w:qFormat/>
    <w:pPr>
      <w:jc w:val="left"/>
    </w:pPr>
  </w:style>
  <w:style w:type="character" w:styleId="931" w:customStyle="1">
    <w:name w:val="批注文字 字符"/>
    <w:link w:val="930"/>
    <w:uiPriority w:val="99"/>
    <w:semiHidden/>
    <w:qFormat/>
  </w:style>
  <w:style w:type="paragraph" w:styleId="932" w:customStyle="1">
    <w:name w:val="正文文本 31"/>
    <w:basedOn w:val="722"/>
    <w:link w:val="933"/>
    <w:uiPriority w:val="0"/>
    <w:qFormat/>
    <w:rPr>
      <w:rFonts w:ascii="仿宋_GB2312" w:hAnsi="Arial" w:eastAsia="仿宋_GB2312" w:cs="Times New Roman"/>
      <w:sz w:val="32"/>
      <w:szCs w:val="32"/>
    </w:rPr>
  </w:style>
  <w:style w:type="character" w:styleId="933" w:customStyle="1">
    <w:name w:val="正文文本 3 字符"/>
    <w:link w:val="932"/>
    <w:uiPriority w:val="0"/>
    <w:qFormat/>
    <w:rPr>
      <w:rFonts w:ascii="仿宋_GB2312" w:hAnsi="Arial" w:eastAsia="仿宋_GB2312" w:cs="Times New Roman"/>
      <w:sz w:val="32"/>
      <w:szCs w:val="32"/>
    </w:rPr>
  </w:style>
  <w:style w:type="paragraph" w:styleId="934" w:customStyle="1">
    <w:name w:val="正文文本1"/>
    <w:basedOn w:val="722"/>
    <w:link w:val="935"/>
    <w:uiPriority w:val="0"/>
    <w:qFormat/>
    <w:rPr>
      <w:rFonts w:ascii="楷体_GB2312" w:hAnsi="Arial" w:eastAsia="楷体_GB2312" w:cs="Times New Roman"/>
      <w:sz w:val="28"/>
      <w:szCs w:val="28"/>
    </w:rPr>
  </w:style>
  <w:style w:type="character" w:styleId="935" w:customStyle="1">
    <w:name w:val="正文文本 字符"/>
    <w:link w:val="934"/>
    <w:uiPriority w:val="0"/>
    <w:qFormat/>
    <w:rPr>
      <w:rFonts w:ascii="楷体_GB2312" w:hAnsi="Arial" w:eastAsia="楷体_GB2312" w:cs="Times New Roman"/>
      <w:sz w:val="28"/>
      <w:szCs w:val="28"/>
    </w:rPr>
  </w:style>
  <w:style w:type="paragraph" w:styleId="936" w:customStyle="1">
    <w:name w:val="正文文本缩进1"/>
    <w:basedOn w:val="722"/>
    <w:link w:val="937"/>
    <w:uiPriority w:val="0"/>
    <w:unhideWhenUsed/>
    <w:qFormat/>
    <w:pPr>
      <w:ind w:left="420"/>
      <w:spacing w:after="120"/>
    </w:pPr>
  </w:style>
  <w:style w:type="character" w:styleId="937" w:customStyle="1">
    <w:name w:val="正文文本缩进 字符"/>
    <w:link w:val="936"/>
    <w:uiPriority w:val="99"/>
    <w:semiHidden/>
    <w:qFormat/>
  </w:style>
  <w:style w:type="paragraph" w:styleId="938" w:customStyle="1">
    <w:name w:val="列表 21"/>
    <w:basedOn w:val="722"/>
    <w:uiPriority w:val="0"/>
    <w:qFormat/>
    <w:pPr>
      <w:ind w:left="100" w:hanging="200"/>
    </w:pPr>
    <w:rPr>
      <w:rFonts w:ascii="Times New Roman" w:hAnsi="Times New Roman" w:eastAsia="宋体" w:cs="Times New Roman"/>
      <w:szCs w:val="21"/>
    </w:rPr>
  </w:style>
  <w:style w:type="paragraph" w:styleId="939" w:customStyle="1">
    <w:name w:val="目录 51"/>
    <w:basedOn w:val="722"/>
    <w:next w:val="722"/>
    <w:uiPriority w:val="0"/>
    <w:semiHidden/>
    <w:qFormat/>
    <w:pPr>
      <w:ind w:left="840"/>
      <w:jc w:val="left"/>
    </w:pPr>
    <w:rPr>
      <w:rFonts w:ascii="Times New Roman" w:hAnsi="Times New Roman" w:eastAsia="宋体" w:cs="Times New Roman"/>
      <w:szCs w:val="21"/>
    </w:rPr>
  </w:style>
  <w:style w:type="paragraph" w:styleId="940" w:customStyle="1">
    <w:name w:val="目录 31"/>
    <w:basedOn w:val="722"/>
    <w:next w:val="722"/>
    <w:uiPriority w:val="0"/>
    <w:semiHidden/>
    <w:qFormat/>
    <w:pPr>
      <w:ind w:left="420"/>
      <w:jc w:val="left"/>
    </w:pPr>
    <w:rPr>
      <w:rFonts w:ascii="Times New Roman" w:hAnsi="Times New Roman" w:eastAsia="宋体" w:cs="Times New Roman"/>
      <w:i/>
      <w:iCs/>
      <w:szCs w:val="24"/>
    </w:rPr>
  </w:style>
  <w:style w:type="paragraph" w:styleId="941" w:customStyle="1">
    <w:name w:val="纯文本1"/>
    <w:basedOn w:val="722"/>
    <w:link w:val="942"/>
    <w:uiPriority w:val="0"/>
    <w:qFormat/>
    <w:rPr>
      <w:rFonts w:ascii="宋体" w:hAnsi="Courier New" w:eastAsia="宋体" w:cs="Courier New"/>
      <w:szCs w:val="21"/>
    </w:rPr>
  </w:style>
  <w:style w:type="character" w:styleId="942" w:customStyle="1">
    <w:name w:val="纯文本 字符"/>
    <w:link w:val="941"/>
    <w:uiPriority w:val="0"/>
    <w:qFormat/>
    <w:rPr>
      <w:rFonts w:ascii="宋体" w:hAnsi="Courier New" w:eastAsia="宋体" w:cs="Courier New"/>
      <w:szCs w:val="21"/>
    </w:rPr>
  </w:style>
  <w:style w:type="paragraph" w:styleId="943" w:customStyle="1">
    <w:name w:val="目录 81"/>
    <w:basedOn w:val="722"/>
    <w:next w:val="722"/>
    <w:uiPriority w:val="0"/>
    <w:semiHidden/>
    <w:qFormat/>
    <w:pPr>
      <w:ind w:left="1470"/>
      <w:jc w:val="left"/>
    </w:pPr>
    <w:rPr>
      <w:rFonts w:ascii="Times New Roman" w:hAnsi="Times New Roman" w:eastAsia="宋体" w:cs="Times New Roman"/>
      <w:szCs w:val="21"/>
    </w:rPr>
  </w:style>
  <w:style w:type="paragraph" w:styleId="944" w:customStyle="1">
    <w:name w:val="日期1"/>
    <w:basedOn w:val="722"/>
    <w:next w:val="722"/>
    <w:link w:val="945"/>
    <w:uiPriority w:val="0"/>
    <w:qFormat/>
    <w:rPr>
      <w:rFonts w:ascii="Times New Roman" w:hAnsi="Times New Roman" w:eastAsia="宋体" w:cs="Times New Roman"/>
      <w:sz w:val="24"/>
      <w:szCs w:val="24"/>
    </w:rPr>
  </w:style>
  <w:style w:type="character" w:styleId="945" w:customStyle="1">
    <w:name w:val="日期 字符"/>
    <w:link w:val="944"/>
    <w:uiPriority w:val="0"/>
    <w:qFormat/>
    <w:rPr>
      <w:rFonts w:ascii="Times New Roman" w:hAnsi="Times New Roman" w:eastAsia="宋体" w:cs="Times New Roman"/>
      <w:sz w:val="24"/>
      <w:szCs w:val="24"/>
    </w:rPr>
  </w:style>
  <w:style w:type="paragraph" w:styleId="946" w:customStyle="1">
    <w:name w:val="正文文本缩进 21"/>
    <w:basedOn w:val="722"/>
    <w:link w:val="947"/>
    <w:uiPriority w:val="0"/>
    <w:qFormat/>
    <w:pPr>
      <w:ind w:left="630" w:firstLine="645"/>
    </w:pPr>
    <w:rPr>
      <w:rFonts w:ascii="Arial" w:hAnsi="Arial" w:eastAsia="仿宋_GB2312" w:cs="Arial"/>
      <w:sz w:val="32"/>
      <w:szCs w:val="32"/>
    </w:rPr>
  </w:style>
  <w:style w:type="character" w:styleId="947" w:customStyle="1">
    <w:name w:val="正文文本缩进 2 字符"/>
    <w:link w:val="946"/>
    <w:uiPriority w:val="0"/>
    <w:qFormat/>
    <w:rPr>
      <w:rFonts w:ascii="Arial" w:hAnsi="Arial" w:eastAsia="仿宋_GB2312" w:cs="Arial"/>
      <w:sz w:val="32"/>
      <w:szCs w:val="32"/>
    </w:rPr>
  </w:style>
  <w:style w:type="paragraph" w:styleId="948" w:customStyle="1">
    <w:name w:val="批注框文本1"/>
    <w:basedOn w:val="722"/>
    <w:link w:val="949"/>
    <w:uiPriority w:val="0"/>
    <w:semiHidden/>
    <w:qFormat/>
    <w:rPr>
      <w:rFonts w:ascii="Times New Roman" w:hAnsi="Times New Roman" w:eastAsia="宋体" w:cs="Times New Roman"/>
      <w:sz w:val="18"/>
      <w:szCs w:val="18"/>
    </w:rPr>
  </w:style>
  <w:style w:type="character" w:styleId="949" w:customStyle="1">
    <w:name w:val="批注框文本 字符"/>
    <w:link w:val="948"/>
    <w:uiPriority w:val="0"/>
    <w:semiHidden/>
    <w:qFormat/>
    <w:rPr>
      <w:rFonts w:ascii="Times New Roman" w:hAnsi="Times New Roman" w:eastAsia="宋体" w:cs="Times New Roman"/>
      <w:sz w:val="18"/>
      <w:szCs w:val="18"/>
    </w:rPr>
  </w:style>
  <w:style w:type="paragraph" w:styleId="950" w:customStyle="1">
    <w:name w:val="页脚1"/>
    <w:basedOn w:val="722"/>
    <w:link w:val="95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51" w:customStyle="1">
    <w:name w:val="页脚 字符"/>
    <w:link w:val="950"/>
    <w:uiPriority w:val="99"/>
    <w:qFormat/>
    <w:rPr>
      <w:rFonts w:ascii="Times New Roman" w:hAnsi="Times New Roman" w:eastAsia="宋体" w:cs="Times New Roman"/>
      <w:sz w:val="18"/>
      <w:szCs w:val="18"/>
    </w:rPr>
  </w:style>
  <w:style w:type="paragraph" w:styleId="952" w:customStyle="1">
    <w:name w:val="页眉1"/>
    <w:basedOn w:val="722"/>
    <w:link w:val="95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customStyle="1">
    <w:name w:val="页眉 字符"/>
    <w:link w:val="952"/>
    <w:uiPriority w:val="0"/>
    <w:qFormat/>
    <w:rPr>
      <w:rFonts w:ascii="Times New Roman" w:hAnsi="Times New Roman" w:eastAsia="宋体" w:cs="Times New Roman"/>
      <w:sz w:val="18"/>
      <w:szCs w:val="18"/>
    </w:rPr>
  </w:style>
  <w:style w:type="paragraph" w:styleId="954" w:customStyle="1">
    <w:name w:val="目录 11"/>
    <w:basedOn w:val="722"/>
    <w:next w:val="72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5" w:customStyle="1">
    <w:name w:val="目录 41"/>
    <w:basedOn w:val="722"/>
    <w:next w:val="722"/>
    <w:uiPriority w:val="0"/>
    <w:semiHidden/>
    <w:qFormat/>
    <w:pPr>
      <w:ind w:left="630"/>
      <w:jc w:val="left"/>
    </w:pPr>
    <w:rPr>
      <w:rFonts w:ascii="Times New Roman" w:hAnsi="Times New Roman" w:eastAsia="宋体" w:cs="Times New Roman"/>
      <w:szCs w:val="21"/>
    </w:rPr>
  </w:style>
  <w:style w:type="paragraph" w:styleId="956" w:customStyle="1">
    <w:name w:val="列表1"/>
    <w:basedOn w:val="722"/>
    <w:uiPriority w:val="0"/>
    <w:qFormat/>
    <w:pPr>
      <w:ind w:left="200" w:hanging="200"/>
    </w:pPr>
    <w:rPr>
      <w:rFonts w:ascii="Times New Roman" w:hAnsi="Times New Roman" w:eastAsia="宋体" w:cs="Times New Roman"/>
      <w:szCs w:val="21"/>
    </w:rPr>
  </w:style>
  <w:style w:type="paragraph" w:styleId="957" w:customStyle="1">
    <w:name w:val="目录 61"/>
    <w:basedOn w:val="722"/>
    <w:next w:val="722"/>
    <w:uiPriority w:val="0"/>
    <w:semiHidden/>
    <w:qFormat/>
    <w:pPr>
      <w:ind w:left="1050"/>
      <w:jc w:val="left"/>
    </w:pPr>
    <w:rPr>
      <w:rFonts w:ascii="Times New Roman" w:hAnsi="Times New Roman" w:eastAsia="宋体" w:cs="Times New Roman"/>
      <w:szCs w:val="21"/>
    </w:rPr>
  </w:style>
  <w:style w:type="paragraph" w:styleId="958" w:customStyle="1">
    <w:name w:val="正文文本缩进 31"/>
    <w:basedOn w:val="722"/>
    <w:link w:val="959"/>
    <w:uiPriority w:val="0"/>
    <w:qFormat/>
    <w:pPr>
      <w:ind w:left="645" w:firstLine="645"/>
    </w:pPr>
    <w:rPr>
      <w:rFonts w:ascii="Arial" w:hAnsi="Arial" w:eastAsia="仿宋_GB2312" w:cs="Arial"/>
      <w:color w:val="ffff00"/>
      <w:sz w:val="32"/>
      <w:szCs w:val="32"/>
    </w:rPr>
  </w:style>
  <w:style w:type="character" w:styleId="959" w:customStyle="1">
    <w:name w:val="正文文本缩进 3 字符"/>
    <w:link w:val="958"/>
    <w:uiPriority w:val="0"/>
    <w:qFormat/>
    <w:rPr>
      <w:rFonts w:ascii="Arial" w:hAnsi="Arial" w:eastAsia="仿宋_GB2312" w:cs="Arial"/>
      <w:color w:val="ffff00"/>
      <w:sz w:val="32"/>
      <w:szCs w:val="32"/>
    </w:rPr>
  </w:style>
  <w:style w:type="paragraph" w:styleId="960" w:customStyle="1">
    <w:name w:val="图表目录1"/>
    <w:basedOn w:val="722"/>
    <w:next w:val="722"/>
    <w:uiPriority w:val="0"/>
    <w:semiHidden/>
    <w:qFormat/>
    <w:pPr>
      <w:ind w:left="840" w:hanging="420"/>
    </w:pPr>
    <w:rPr>
      <w:rFonts w:ascii="Times New Roman" w:hAnsi="Times New Roman" w:eastAsia="宋体" w:cs="Times New Roman"/>
      <w:szCs w:val="21"/>
    </w:rPr>
  </w:style>
  <w:style w:type="paragraph" w:styleId="961" w:customStyle="1">
    <w:name w:val="目录 21"/>
    <w:basedOn w:val="722"/>
    <w:next w:val="722"/>
    <w:uiPriority w:val="0"/>
    <w:semiHidden/>
    <w:qFormat/>
    <w:pPr>
      <w:ind w:left="210"/>
      <w:jc w:val="left"/>
    </w:pPr>
    <w:rPr>
      <w:rFonts w:ascii="Times New Roman" w:hAnsi="Times New Roman" w:eastAsia="宋体" w:cs="Times New Roman"/>
      <w:smallCaps/>
      <w:szCs w:val="24"/>
    </w:rPr>
  </w:style>
  <w:style w:type="paragraph" w:styleId="962" w:customStyle="1">
    <w:name w:val="目录 91"/>
    <w:basedOn w:val="722"/>
    <w:next w:val="722"/>
    <w:uiPriority w:val="0"/>
    <w:semiHidden/>
    <w:qFormat/>
    <w:pPr>
      <w:ind w:left="1680"/>
      <w:jc w:val="left"/>
    </w:pPr>
    <w:rPr>
      <w:rFonts w:ascii="Times New Roman" w:hAnsi="Times New Roman" w:eastAsia="宋体" w:cs="Times New Roman"/>
      <w:szCs w:val="21"/>
    </w:rPr>
  </w:style>
  <w:style w:type="paragraph" w:styleId="963" w:customStyle="1">
    <w:name w:val="正文文本 21"/>
    <w:basedOn w:val="722"/>
    <w:link w:val="964"/>
    <w:uiPriority w:val="0"/>
    <w:qFormat/>
    <w:pPr>
      <w:jc w:val="center"/>
      <w:widowControl/>
    </w:pPr>
    <w:rPr>
      <w:rFonts w:ascii="楷体_GB2312" w:hAnsi="Times New Roman" w:eastAsia="楷体_GB2312" w:cs="Times New Roman"/>
      <w:sz w:val="28"/>
      <w:szCs w:val="28"/>
    </w:rPr>
  </w:style>
  <w:style w:type="character" w:styleId="964" w:customStyle="1">
    <w:name w:val="正文文本 2 字符"/>
    <w:link w:val="963"/>
    <w:uiPriority w:val="0"/>
    <w:qFormat/>
    <w:rPr>
      <w:rFonts w:ascii="楷体_GB2312" w:hAnsi="Times New Roman" w:eastAsia="楷体_GB2312" w:cs="Times New Roman"/>
      <w:sz w:val="28"/>
      <w:szCs w:val="28"/>
    </w:rPr>
  </w:style>
  <w:style w:type="paragraph" w:styleId="965" w:customStyle="1">
    <w:name w:val="普通(网站)1"/>
    <w:basedOn w:val="722"/>
    <w:uiPriority w:val="99"/>
    <w:qFormat/>
    <w:pPr>
      <w:jc w:val="left"/>
      <w:spacing w:before="100" w:beforeAutospacing="1" w:after="100" w:afterAutospacing="1"/>
      <w:widowControl/>
    </w:pPr>
    <w:rPr>
      <w:rFonts w:ascii="宋体" w:hAnsi="宋体" w:eastAsia="宋体" w:cs="宋体"/>
      <w:sz w:val="24"/>
      <w:szCs w:val="24"/>
    </w:rPr>
  </w:style>
  <w:style w:type="paragraph" w:styleId="966" w:customStyle="1">
    <w:name w:val="索引 11"/>
    <w:basedOn w:val="722"/>
    <w:next w:val="722"/>
    <w:uiPriority w:val="0"/>
    <w:semiHidden/>
    <w:qFormat/>
    <w:pPr>
      <w:spacing w:line="240" w:lineRule="atLeast"/>
    </w:pPr>
    <w:rPr>
      <w:rFonts w:ascii="Times New Roman" w:hAnsi="Times New Roman" w:eastAsia="宋体" w:cs="Times New Roman"/>
      <w:b/>
      <w:bCs/>
      <w:szCs w:val="21"/>
    </w:rPr>
  </w:style>
  <w:style w:type="paragraph" w:styleId="967" w:customStyle="1">
    <w:name w:val="批注主题1"/>
    <w:basedOn w:val="930"/>
    <w:next w:val="930"/>
    <w:link w:val="968"/>
    <w:uiPriority w:val="0"/>
    <w:semiHidden/>
    <w:qFormat/>
    <w:rPr>
      <w:rFonts w:ascii="Times New Roman" w:hAnsi="Times New Roman" w:eastAsia="宋体" w:cs="Times New Roman"/>
      <w:b/>
      <w:bCs/>
      <w:szCs w:val="21"/>
    </w:rPr>
  </w:style>
  <w:style w:type="character" w:styleId="968" w:customStyle="1">
    <w:name w:val="批注主题 字符"/>
    <w:link w:val="967"/>
    <w:uiPriority w:val="0"/>
    <w:semiHidden/>
    <w:qFormat/>
    <w:rPr>
      <w:rFonts w:ascii="Times New Roman" w:hAnsi="Times New Roman" w:eastAsia="宋体" w:cs="Times New Roman"/>
      <w:b/>
      <w:bCs/>
      <w:szCs w:val="21"/>
    </w:rPr>
  </w:style>
  <w:style w:type="paragraph" w:styleId="969" w:customStyle="1">
    <w:name w:val="正文首行缩进1"/>
    <w:basedOn w:val="722"/>
    <w:link w:val="970"/>
    <w:uiPriority w:val="0"/>
    <w:qFormat/>
    <w:pPr>
      <w:ind w:firstLine="200"/>
      <w:spacing w:line="360" w:lineRule="auto"/>
    </w:pPr>
    <w:rPr>
      <w:rFonts w:ascii="仿宋_GB2312" w:hAnsi="Times New Roman" w:eastAsia="仿宋_GB2312" w:cs="Times New Roman"/>
      <w:sz w:val="30"/>
      <w:szCs w:val="30"/>
    </w:rPr>
  </w:style>
  <w:style w:type="character" w:styleId="970" w:customStyle="1">
    <w:name w:val="正文首行缩进 字符"/>
    <w:link w:val="969"/>
    <w:uiPriority w:val="0"/>
    <w:qFormat/>
    <w:rPr>
      <w:rFonts w:ascii="仿宋_GB2312" w:hAnsi="Times New Roman" w:eastAsia="仿宋_GB2312" w:cs="Times New Roman"/>
      <w:sz w:val="30"/>
      <w:szCs w:val="30"/>
    </w:rPr>
  </w:style>
  <w:style w:type="paragraph" w:styleId="971" w:customStyle="1">
    <w:name w:val="正文首行缩进 211"/>
    <w:basedOn w:val="936"/>
    <w:link w:val="972"/>
    <w:uiPriority w:val="0"/>
    <w:qFormat/>
    <w:pPr>
      <w:ind w:left="0" w:firstLine="420"/>
      <w:spacing w:after="0" w:line="360" w:lineRule="auto"/>
    </w:pPr>
    <w:rPr>
      <w:rFonts w:ascii="宋体" w:hAnsi="宋体" w:eastAsia="宋体" w:cs="Times New Roman"/>
      <w:szCs w:val="20"/>
    </w:rPr>
  </w:style>
  <w:style w:type="character" w:styleId="972" w:customStyle="1">
    <w:name w:val="正文首行缩进 2 字符"/>
    <w:link w:val="971"/>
    <w:uiPriority w:val="0"/>
    <w:qFormat/>
    <w:rPr>
      <w:rFonts w:ascii="宋体" w:hAnsi="宋体" w:eastAsia="宋体" w:cs="Times New Roman"/>
      <w:szCs w:val="20"/>
    </w:rPr>
  </w:style>
  <w:style w:type="table" w:styleId="973" w:customStyle="1">
    <w:name w:val="网格型1"/>
    <w:basedOn w:val="915"/>
    <w:uiPriority w:val="0"/>
    <w:qFormat/>
    <w:pPr>
      <w:jc w:val="both"/>
      <w:widowControl w:val="off"/>
    </w:pPr>
    <w:rPr>
      <w:rFonts w:ascii="Times New Roman" w:hAnsi="Times New Roman" w:eastAsia="宋体" w:cs="Times New Roman"/>
      <w:sz w:val="20"/>
      <w:szCs w:val="20"/>
    </w:rPr>
    <w:tblPr/>
  </w:style>
  <w:style w:type="character" w:styleId="974" w:customStyle="1">
    <w:name w:val="要点1"/>
    <w:link w:val="722"/>
    <w:uiPriority w:val="0"/>
    <w:qFormat/>
    <w:rPr>
      <w:b/>
      <w:bCs/>
    </w:rPr>
  </w:style>
  <w:style w:type="character" w:styleId="975" w:customStyle="1">
    <w:name w:val="页码1"/>
    <w:link w:val="722"/>
    <w:uiPriority w:val="0"/>
    <w:qFormat/>
  </w:style>
  <w:style w:type="character" w:styleId="976" w:customStyle="1">
    <w:name w:val="已访问的超链接1"/>
    <w:link w:val="722"/>
    <w:uiPriority w:val="0"/>
    <w:qFormat/>
    <w:rPr>
      <w:color w:val="800080"/>
      <w:u w:val="single"/>
    </w:rPr>
  </w:style>
  <w:style w:type="character" w:styleId="977" w:customStyle="1">
    <w:name w:val="超链接1"/>
    <w:link w:val="722"/>
    <w:uiPriority w:val="0"/>
    <w:qFormat/>
    <w:rPr>
      <w:color w:val="0000ff"/>
      <w:u w:val="single"/>
    </w:rPr>
  </w:style>
  <w:style w:type="character" w:styleId="978" w:customStyle="1">
    <w:name w:val="批注引用1"/>
    <w:link w:val="722"/>
    <w:uiPriority w:val="0"/>
    <w:semiHidden/>
    <w:qFormat/>
    <w:rPr>
      <w:sz w:val="21"/>
      <w:szCs w:val="21"/>
    </w:rPr>
  </w:style>
  <w:style w:type="paragraph" w:styleId="979" w:customStyle="1">
    <w:name w:val="正文首行缩进 21"/>
    <w:basedOn w:val="980"/>
    <w:next w:val="722"/>
    <w:uiPriority w:val="0"/>
    <w:qFormat/>
    <w:pPr>
      <w:ind w:left="0" w:firstLine="420"/>
      <w:spacing w:after="0" w:line="360" w:lineRule="auto"/>
    </w:pPr>
    <w:rPr>
      <w:rFonts w:ascii="宋体" w:hAnsi="宋体"/>
      <w:szCs w:val="20"/>
    </w:rPr>
  </w:style>
  <w:style w:type="paragraph" w:styleId="980" w:customStyle="1">
    <w:name w:val="正文文本缩进11"/>
    <w:basedOn w:val="722"/>
    <w:next w:val="981"/>
    <w:uiPriority w:val="0"/>
    <w:unhideWhenUsed/>
    <w:qFormat/>
    <w:pPr>
      <w:ind w:left="420"/>
      <w:spacing w:after="120"/>
    </w:pPr>
  </w:style>
  <w:style w:type="paragraph" w:styleId="981" w:customStyle="1">
    <w:name w:val="寄信人地址1"/>
    <w:basedOn w:val="722"/>
    <w:uiPriority w:val="0"/>
    <w:qFormat/>
    <w:rPr>
      <w:rFonts w:ascii="Arial" w:hAnsi="Arial" w:cs="宋体"/>
    </w:rPr>
  </w:style>
  <w:style w:type="character" w:styleId="982" w:customStyle="1">
    <w:name w:val="font5 Char"/>
    <w:link w:val="722"/>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722"/>
    <w:link w:val="98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22"/>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722"/>
    <w:next w:val="934"/>
    <w:uiPriority w:val="0"/>
    <w:qFormat/>
    <w:pPr>
      <w:spacing w:after="120"/>
    </w:pPr>
    <w:rPr>
      <w:rFonts w:ascii="宋体" w:hAnsi="Arial" w:eastAsia="宋体" w:cs="Times New Roman"/>
      <w:bCs/>
      <w:iCs/>
      <w:szCs w:val="24"/>
    </w:rPr>
  </w:style>
  <w:style w:type="paragraph" w:styleId="988" w:customStyle="1">
    <w:name w:val="xl2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customStyle="1">
    <w:name w:val="xl2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customStyle="1">
    <w:name w:val="Char"/>
    <w:basedOn w:val="722"/>
    <w:uiPriority w:val="0"/>
    <w:qFormat/>
    <w:pPr>
      <w:ind w:firstLine="200"/>
      <w:tabs>
        <w:tab w:val="left" w:pos="360" w:leader="none"/>
      </w:tabs>
    </w:pPr>
    <w:rPr>
      <w:rFonts w:ascii="Times New Roman" w:hAnsi="Times New Roman" w:eastAsia="宋体" w:cs="Times New Roman"/>
      <w:sz w:val="28"/>
      <w:szCs w:val="30"/>
    </w:rPr>
  </w:style>
  <w:style w:type="paragraph" w:styleId="991" w:customStyle="1">
    <w:name w:val=" Char"/>
    <w:basedOn w:val="928"/>
    <w:uiPriority w:val="0"/>
    <w:qFormat/>
    <w:rPr>
      <w:rFonts w:ascii="Tahoma" w:hAnsi="Tahoma"/>
      <w:sz w:val="24"/>
      <w:szCs w:val="24"/>
    </w:rPr>
  </w:style>
  <w:style w:type="paragraph" w:styleId="992" w:customStyle="1">
    <w:name w:val="普通正文"/>
    <w:basedOn w:val="722"/>
    <w:uiPriority w:val="0"/>
    <w:qFormat/>
    <w:pPr>
      <w:ind w:firstLine="480"/>
      <w:jc w:val="left"/>
      <w:spacing w:before="120" w:after="120" w:line="360" w:lineRule="auto"/>
    </w:pPr>
    <w:rPr>
      <w:rFonts w:ascii="Arial" w:hAnsi="Arial" w:eastAsia="宋体" w:cs="Times New Roman"/>
      <w:sz w:val="24"/>
      <w:szCs w:val="24"/>
    </w:rPr>
  </w:style>
  <w:style w:type="paragraph" w:styleId="993" w:customStyle="1">
    <w:name w:val="table_lines"/>
    <w:basedOn w:val="722"/>
    <w:uiPriority w:val="0"/>
    <w:qFormat/>
    <w:pPr>
      <w:jc w:val="left"/>
      <w:widowControl/>
    </w:pPr>
    <w:rPr>
      <w:rFonts w:ascii="Times New Roman" w:hAnsi="Times New Roman" w:eastAsia="宋体" w:cs="Times New Roman"/>
      <w:sz w:val="20"/>
      <w:szCs w:val="20"/>
      <w:lang w:val="de-DE" w:eastAsia="de-DE"/>
    </w:rPr>
  </w:style>
  <w:style w:type="paragraph" w:styleId="9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5" w:customStyle="1">
    <w:name w:val="font7"/>
    <w:basedOn w:val="72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6" w:customStyle="1">
    <w:name w:val=" Char Char Char Char"/>
    <w:basedOn w:val="928"/>
    <w:uiPriority w:val="0"/>
    <w:qFormat/>
    <w:pPr>
      <w:spacing w:line="360" w:lineRule="auto"/>
    </w:pPr>
    <w:rPr>
      <w:rFonts w:ascii="Tahoma" w:hAnsi="Tahoma"/>
      <w:sz w:val="24"/>
      <w:szCs w:val="24"/>
    </w:rPr>
  </w:style>
  <w:style w:type="paragraph" w:styleId="997" w:customStyle="1">
    <w:name w:val="列出段落"/>
    <w:basedOn w:val="722"/>
    <w:uiPriority w:val="0"/>
    <w:qFormat/>
    <w:pPr>
      <w:contextualSpacing/>
      <w:ind w:left="720"/>
      <w:jc w:val="left"/>
      <w:widowControl/>
    </w:pPr>
    <w:rPr>
      <w:rFonts w:ascii="Calibri" w:hAnsi="Calibri" w:eastAsia="宋体" w:cs="Times New Roman"/>
      <w:sz w:val="24"/>
      <w:szCs w:val="24"/>
      <w:lang w:eastAsia="en-US" w:bidi="en-US"/>
    </w:rPr>
  </w:style>
  <w:style w:type="paragraph" w:styleId="998" w:customStyle="1">
    <w:name w:val="4"/>
    <w:basedOn w:val="722"/>
    <w:next w:val="958"/>
    <w:uiPriority w:val="0"/>
    <w:qFormat/>
    <w:pPr>
      <w:ind w:firstLine="420"/>
      <w:spacing w:line="360" w:lineRule="auto"/>
    </w:pPr>
    <w:rPr>
      <w:rFonts w:ascii="Times New Roman" w:hAnsi="Times New Roman" w:eastAsia="宋体" w:cs="Times New Roman"/>
      <w:color w:val="ff0000"/>
      <w:sz w:val="24"/>
      <w:szCs w:val="24"/>
    </w:rPr>
  </w:style>
  <w:style w:type="paragraph" w:styleId="999" w:customStyle="1">
    <w:name w:val="普通 (Web)"/>
    <w:basedOn w:val="722"/>
    <w:uiPriority w:val="0"/>
    <w:qFormat/>
    <w:pPr>
      <w:jc w:val="left"/>
      <w:spacing w:before="100" w:beforeAutospacing="1" w:after="100" w:afterAutospacing="1"/>
      <w:widowControl/>
    </w:pPr>
    <w:rPr>
      <w:rFonts w:ascii="宋体" w:hAnsi="宋体" w:eastAsia="宋体" w:cs="Times New Roman"/>
      <w:sz w:val="24"/>
      <w:szCs w:val="24"/>
    </w:rPr>
  </w:style>
  <w:style w:type="paragraph" w:styleId="1000" w:customStyle="1">
    <w:name w:val=" Char Char Char Char Char Char Char Char Char Char"/>
    <w:basedOn w:val="722"/>
    <w:uiPriority w:val="0"/>
    <w:qFormat/>
    <w:pPr>
      <w:spacing w:line="360" w:lineRule="auto"/>
    </w:pPr>
    <w:rPr>
      <w:rFonts w:ascii="Times New Roman" w:hAnsi="Times New Roman" w:eastAsia="宋体" w:cs="Times New Roman"/>
      <w:sz w:val="24"/>
      <w:szCs w:val="20"/>
    </w:rPr>
  </w:style>
  <w:style w:type="paragraph" w:styleId="1001" w:customStyle="1">
    <w:name w:val="样式1"/>
    <w:basedOn w:val="722"/>
    <w:uiPriority w:val="0"/>
    <w:qFormat/>
    <w:pPr>
      <w:numPr>
        <w:ilvl w:val="0"/>
        <w:numId w:val="3"/>
      </w:numPr>
    </w:pPr>
    <w:rPr>
      <w:rFonts w:ascii="宋体" w:hAnsi="宋体" w:eastAsia="宋体" w:cs="Times New Roman"/>
      <w:szCs w:val="21"/>
    </w:rPr>
  </w:style>
  <w:style w:type="paragraph" w:styleId="1002" w:customStyle="1">
    <w:name w:val="font6"/>
    <w:basedOn w:val="72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customStyle="1">
    <w:name w:val="标题3"/>
    <w:basedOn w:val="722"/>
    <w:next w:val="722"/>
    <w:uiPriority w:val="0"/>
    <w:qFormat/>
    <w:pPr>
      <w:ind w:firstLine="624"/>
      <w:spacing w:line="590" w:lineRule="atLeast"/>
    </w:pPr>
    <w:rPr>
      <w:rFonts w:ascii="方正黑体_GBK" w:hAnsi="Times New Roman" w:eastAsia="方正黑体_GBK" w:cs="Times New Roman"/>
      <w:sz w:val="32"/>
      <w:szCs w:val="32"/>
    </w:rPr>
  </w:style>
  <w:style w:type="paragraph" w:styleId="1006" w:customStyle="1">
    <w:name w:val="xl24"/>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xl29"/>
    <w:basedOn w:val="72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customStyle="1">
    <w:name w:val="Char Char Char Char Char Char Char Char"/>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customStyle="1">
    <w:name w:val=" Char Char Char Char Char Char Char Char"/>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1011" w:customStyle="1">
    <w:name w:val="xl30"/>
    <w:basedOn w:val="72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2" w:customStyle="1">
    <w:name w:val="Char Char Char Char"/>
    <w:basedOn w:val="928"/>
    <w:uiPriority w:val="0"/>
    <w:qFormat/>
    <w:pPr>
      <w:spacing w:line="360" w:lineRule="auto"/>
    </w:pPr>
    <w:rPr>
      <w:rFonts w:ascii="Tahoma" w:hAnsi="Tahoma"/>
      <w:sz w:val="24"/>
      <w:szCs w:val="24"/>
    </w:rPr>
  </w:style>
  <w:style w:type="paragraph" w:styleId="1013" w:customStyle="1">
    <w:name w:val="table_1stline"/>
    <w:basedOn w:val="72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4" w:customStyle="1">
    <w:name w:val="font5"/>
    <w:basedOn w:val="72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5" w:customStyle="1">
    <w:name w:val="标题1"/>
    <w:basedOn w:val="722"/>
    <w:next w:val="72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9" w:customStyle="1">
    <w:name w:val="正文_1_0"/>
    <w:uiPriority w:val="0"/>
    <w:unhideWhenUsed/>
    <w:qFormat/>
    <w:pPr>
      <w:jc w:val="both"/>
      <w:widowControl w:val="off"/>
    </w:pPr>
    <w:rPr>
      <w:rFonts w:hint="default" w:ascii="Calibri" w:hAnsi="Calibri" w:eastAsia="宋体" w:cs="Times New Roman"/>
      <w:sz w:val="21"/>
      <w:szCs w:val="22"/>
      <w:lang w:val="en-US" w:eastAsia="zh-CN" w:bidi="ar-SA"/>
    </w:rPr>
  </w:style>
  <w:style w:type="paragraph" w:styleId="1020" w:customStyle="1">
    <w:name w:val="Normal_3"/>
    <w:uiPriority w:val="0"/>
    <w:unhideWhenUsed/>
    <w:qFormat/>
    <w:rPr>
      <w:rFonts w:hint="default" w:ascii="Times New Roman" w:hAnsi="Times New Roman" w:eastAsia="Times New Roman" w:cs="Times New Roman"/>
      <w:sz w:val="24"/>
      <w:szCs w:val="24"/>
      <w:lang w:val="en-US" w:eastAsia="zh-CN" w:bidi="ar-SA"/>
    </w:rPr>
  </w:style>
  <w:style w:type="table" w:styleId="1021" w:customStyle="1">
    <w:name w:val="Table Normal"/>
    <w:uiPriority w:val="0"/>
    <w:qFormat/>
    <w:rPr>
      <w:lang w:val="en-US" w:eastAsia="zh-CN" w:bidi="ar-SA"/>
    </w:rPr>
    <w:tbl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13</cp:revision>
  <dcterms:created xsi:type="dcterms:W3CDTF">2023-03-16T02:13:00Z</dcterms:created>
  <dcterms:modified xsi:type="dcterms:W3CDTF">2025-09-22T04:33:07Z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eyJoZGlkIjoiYzMyZDRjOWJlZmQzMmQ0MzA2MzVmNWE4ZjRmOTM1NmYiLCJ1c2VySWQiOiI1MjQ0ODMwMDkifQ==</vt:lpwstr>
  </property>
  <property fmtid="{D5CDD505-2E9C-101B-9397-08002B2CF9AE}" pid="3" name="KSOProductBuildVer">
    <vt:lpwstr>2052-12.1.0.16929</vt:lpwstr>
  </property>
  <property fmtid="{D5CDD505-2E9C-101B-9397-08002B2CF9AE}" pid="4" name="ICV">
    <vt:lpwstr>56CC9B2FFD5E40E7A9D565A16E08924E_13</vt:lpwstr>
  </property>
</Properties>
</file>