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通州区2025年农药零差率统一配供、废弃农药包装物和农膜统一回收处理项目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JSZC-320612-HSGL-G2024-0099</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5096"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南通市通州区供销合作总社</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二〇二四年十一月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受[南通市通州区供销合作总社]的委托，江苏衡晟项目管理咨询有限公司就[通州区2025年农药零差率统一配供、废弃农药包装物和农膜统一回收处理项目]进行公开招标采购，欢迎符合条件的供应商投标。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通州区2025年农药零差率统一配供、废弃农药包装物和农膜统一回收处理项目</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2024年12月10日 9点 30分（</w:t>
      </w:r>
      <w:r>
        <w:rPr>
          <w:rFonts w:ascii="SimSun" w:hAnsi="SimSun" w:eastAsia="SimSun" w:cs="SimSun"/>
          <w:color w:val="000000"/>
          <w:sz w:val="24"/>
        </w:rPr>
        <w:t xml:space="preserve">北京时间）前递交投标文件。</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1.项目编号：JSZC-320612-HSGL-G2024-0099</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2.项目名称：通州区2025年农药零差率统一配供、废弃农药包装物和农膜统一回收处理项目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w:t>
      </w:r>
      <w:r>
        <w:rPr>
          <w:rFonts w:ascii="SimSun" w:hAnsi="SimSun" w:eastAsia="SimSun" w:cs="SimSun"/>
          <w:color w:val="000000"/>
          <w:sz w:val="24"/>
          <w:highlight w:val="yellow"/>
        </w:rPr>
        <w:t xml:space="preserve">项目采购预算为人民币约895万元</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color w:val="000000"/>
          <w:sz w:val="24"/>
          <w:highlight w:val="yellow"/>
        </w:rPr>
        <w:t xml:space="preserve">最高限价为245.5万元。</w:t>
      </w:r>
      <w:r>
        <w:rPr>
          <w:rFonts w:ascii="SimSun" w:hAnsi="SimSun" w:eastAsia="SimSun" w:cs="SimSun"/>
          <w:color w:val="000000"/>
          <w:sz w:val="24"/>
        </w:rPr>
        <w:t xml:space="preserve">含农药零差率配供、农药废弃包装物回收、废弃地膜回收等三项补贴给实施主体的费用，不含补贴给农户、配供与回收网点的费用、无害化处置费用、第三方审计费用、信息平台维护费、网点建设、回收袋、考核奖励等</w:t>
      </w:r>
      <w:r>
        <w:rPr>
          <w:rFonts w:ascii="SimSun" w:hAnsi="SimSun" w:eastAsia="SimSun" w:cs="SimSun"/>
          <w:color w:val="000000"/>
          <w:sz w:val="24"/>
          <w:highlight w:val="yellow"/>
        </w:rPr>
        <w:t xml:space="preserve">不可竞争费649.5万元</w:t>
      </w:r>
      <w:r>
        <w:rPr>
          <w:rFonts w:ascii="SimSun" w:hAnsi="SimSun" w:eastAsia="SimSun" w:cs="SimSun"/>
          <w:color w:val="000000"/>
          <w:sz w:val="24"/>
        </w:rPr>
        <w:t xml:space="preserve">。</w:t>
      </w:r>
      <w:r>
        <w:rPr>
          <w:rFonts w:ascii="SimSun" w:hAnsi="SimSun" w:eastAsia="SimSun" w:cs="SimSun"/>
          <w:color w:val="000000"/>
          <w:sz w:val="24"/>
          <w:highlight w:val="yellow"/>
        </w:rPr>
        <w:t xml:space="preserve">2025年合同价以本年度中标单价计算</w:t>
      </w:r>
      <w:r>
        <w:rPr>
          <w:rFonts w:ascii="SimSun" w:hAnsi="SimSun" w:eastAsia="SimSun" w:cs="SimSun"/>
          <w:color w:val="000000"/>
          <w:sz w:val="24"/>
        </w:rPr>
        <w:t xml:space="preserve">。投标报价超过最高限价的投标将作为无效投标处理。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5.采购需求：（1）采购项目概述：</w:t>
      </w:r>
      <w:r>
        <w:rPr>
          <w:rFonts w:ascii="SimSun" w:hAnsi="SimSun" w:eastAsia="SimSun" w:cs="SimSun"/>
          <w:color w:val="000000"/>
          <w:sz w:val="24"/>
          <w:u w:val="single"/>
        </w:rPr>
        <w:t xml:space="preserve">围绕农药“零差率”、全程“可追溯”、致力“惠百姓”的目标，对全区粮、油、果、蔬四大类农产品和苗木绿化用药，紧扣农药统一配送、规范经营、安全使用和农业废弃包装物分类回收、集中处理等关键环节，加强“五个统一”管理（即统一主体、统一配送、统一价格、统一回收、统一补贴），在全区推广农药统一配供体系建设，实现废弃农药包装物和废弃农膜回收率85%以上、无害化处理率100%。</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具体做法是：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（2）本项目实施范围在全区进行。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（3）实行“一条线经营”。农药零差率统一配供的企业，同时为实施废弃农药包装物和农膜回收处理主体（以下简称实施主体）。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（4）在每年生产季节前提出当季农药采购品种和数量。通过公开招标，确定供货单位。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全区范围内所有取得农药经营许可证的单位和个人，有相应的经营场所和仓储用房，具备使用信息管理系统条件，交通便捷，均可申报设立农药零差率统一配供、废弃农药包装物和农膜统一回收中心网点。各镇（街道）具体负责审核推荐，原则上每个镇（街道）设置不少于1个中心网点，最多不超过5个，废弃农药包装物和农膜的回收网点原则上每个村1个，作为中心网点的分点，由实施主体和中心网点负责管理。区供销合作总社负责确认，实施主体负责与各网点签订合同，落实相关业务，并负责考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实施主体及基层网点同时承担农药统一配供、废弃农膜及农药包装物的回收工作。各基层网点统一配置相应的回收桶/袋，设置醒目的标识标牌，公示回收价格，对所在地的废弃农药包装物和农膜按规定标准进行回收。实施主体在全区范围内设置3个回收中转点，严格依法办理审批手续，落实安全措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农药零差率配供建立农资统一配供电子管理系统，各网点通过终端销售管理系统，完成对各类农户基础信息数据查验和农药销售统计，实行规范化管理。镇（街道）负责日常监管审核，区供销总社在镇（街道）审核基础上进行抽查复核，区供销总社每半年委托第三方审计一次，并将最终审核结果报区财政局，区财政局根据审核结果每半年拨付一次补助经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具体检测内容详见第四章项目需求。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6.合同履行期限：2025年1月1日—2027年 12 月 31 日。合同履行期限为 3 年，本次招标预算895万元为2025年度总预算金额。</w:t>
      </w:r>
      <w:r>
        <w:rPr>
          <w:rFonts w:ascii="SimSun" w:hAnsi="SimSun" w:eastAsia="SimSun" w:cs="SimSun"/>
          <w:color w:val="000000"/>
          <w:sz w:val="24"/>
        </w:rPr>
        <w:t xml:space="preserve">2026、2027年实施主体不再另行招标，各年度合同单价以2025年中标单价计算，2026、2027年度合同金额届时另行商定，并签订补充协议。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highlight w:val="yellow"/>
        </w:rPr>
        <w:t xml:space="preserve">是否专门面向中小企业：是。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10、本项目是否接受联合体投标：不接受。</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农药配送企业应具备农药经营许可证</w:t>
      </w:r>
      <w:r>
        <w:rPr>
          <w:rFonts w:ascii="SimSun" w:hAnsi="SimSun" w:eastAsia="SimSun" w:cs="SimSun"/>
          <w:b/>
          <w:color w:val="000000"/>
          <w:sz w:val="24"/>
        </w:rPr>
        <w:t xml:space="preserve">。</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2024 年12月10日9点30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南通市通州区供销合作总社 </w:t>
      </w:r>
      <w:r>
        <w:rPr>
          <w:rFonts w:ascii="SimSun" w:hAnsi="SimSun" w:eastAsia="SimSun" w:cs="SimSun"/>
          <w:color w:val="000000"/>
          <w:sz w:val="24"/>
        </w:rPr>
        <w:t xml:space="preserve">          </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吴先生</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0513-86512693</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15206290292</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4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4.3本项目代理费为人民币4000元，由中标供应商支付，投标报价时综合考虑。</w:t>
      </w:r>
      <w:r/>
    </w:p>
    <w:p>
      <w:pPr>
        <w:pStyle w:val="646"/>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4"/>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前按招标公告中的通讯地址，以书面形式通知招标人或代理机构。</w:t>
      </w:r>
      <w:r/>
    </w:p>
    <w:p>
      <w:pPr>
        <w:pStyle w:val="64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4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4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4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pStyle w:val="646"/>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4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23.1凡是与审查、澄清、评价和比较投标的有关资料以及授标建议等，采购人、评委、交易中心均不得向投标人或与评标无关的其他人员透露。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25.6投标人在开、评标全过程中应保持通讯畅通，及时登录苏采云系统查阅、答复相关信息，并安排专人与交易中心及评标委员会联系。</w:t>
      </w:r>
      <w:r/>
    </w:p>
    <w:p>
      <w:pPr>
        <w:pStyle w:val="64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4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4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交招标人和招标代理将在“江苏政府采购网”发布中标公告，公告期限为1个工作日。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4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4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44"/>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4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4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1、成交供应商在收到成交通知书后，根据合同内容规定成交供应商缴纳合同价</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rPr>
        <w:t xml:space="preserve">的履约保证金，以银行汇票或现金支票或银行保函（见索即付）形式在签订合同前交纳。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履约保证金在合同约定期间内完成之日起 </w:t>
      </w:r>
      <w:r>
        <w:rPr>
          <w:rFonts w:ascii="Times New Roman" w:hAnsi="Times New Roman" w:eastAsia="Times New Roman" w:cs="Times New Roman"/>
          <w:color w:val="000000"/>
          <w:sz w:val="24"/>
        </w:rPr>
        <w:t xml:space="preserve">30 </w:t>
      </w:r>
      <w:r>
        <w:rPr>
          <w:rFonts w:ascii="Calibri" w:hAnsi="Calibri" w:eastAsia="Calibri" w:cs="Calibri"/>
          <w:color w:val="000000"/>
          <w:sz w:val="24"/>
        </w:rPr>
        <w:t xml:space="preserve">个工作日内，甲方应将履约保证金退还乙方；如甲方迟于约定时间退还履约保证金，除不可抗力因素外，自超过付款期限之日起，每周甲方应付给乙方未退还金额万分之一的违约金，违约金总计不超过应退履约保证金总金额的</w:t>
      </w:r>
      <w:r>
        <w:rPr>
          <w:rFonts w:ascii="Times New Roman" w:hAnsi="Times New Roman" w:eastAsia="Times New Roman" w:cs="Times New Roman"/>
          <w:color w:val="000000"/>
          <w:sz w:val="24"/>
        </w:rPr>
        <w:t xml:space="preserve">5%</w:t>
      </w:r>
      <w:r>
        <w:rPr>
          <w:rFonts w:ascii="Calibri" w:hAnsi="Calibri" w:eastAsia="Calibri" w:cs="Calibri"/>
          <w:color w:val="000000"/>
          <w:sz w:val="24"/>
        </w:rPr>
        <w:t xml:space="preserve">，不足一周按一周计算。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 目 名 称：</w:t>
      </w:r>
      <w:r>
        <w:rPr>
          <w:rFonts w:ascii="SimSun" w:hAnsi="SimSun" w:eastAsia="SimSun" w:cs="SimSun"/>
          <w:color w:val="000000"/>
          <w:sz w:val="30"/>
          <w:u w:val="single"/>
        </w:rPr>
        <w:t xml:space="preserve">通州区2025年农药零差率统一配供、废弃农药包装物和农膜统一回收处理项目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 方：南通市通州区供销合作总社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乙 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签订日期：</w:t>
      </w:r>
      <w:r>
        <w:rPr>
          <w:rFonts w:ascii="SimSun" w:hAnsi="SimSun" w:eastAsia="SimSun" w:cs="SimSun"/>
          <w:color w:val="000000"/>
          <w:sz w:val="30"/>
          <w:u w:val="single"/>
        </w:rPr>
        <w:t xml:space="preserve">         年    月    日 </w:t>
      </w: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960"/>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  月，</w:t>
      </w:r>
      <w:r>
        <w:rPr>
          <w:rFonts w:ascii="SimSun" w:hAnsi="SimSun" w:eastAsia="SimSun" w:cs="SimSun"/>
          <w:b/>
          <w:color w:val="000000"/>
          <w:sz w:val="24"/>
          <w:u w:val="single"/>
        </w:rPr>
        <w:t xml:space="preserve">南通市通州区供销合作总社</w:t>
      </w:r>
      <w:r>
        <w:rPr>
          <w:rFonts w:ascii="SimSun" w:hAnsi="SimSun" w:eastAsia="SimSun" w:cs="SimSun"/>
          <w:color w:val="000000"/>
          <w:sz w:val="24"/>
        </w:rPr>
        <w:t xml:space="preserve">以公开招标方式对</w:t>
      </w:r>
      <w:r>
        <w:rPr>
          <w:rFonts w:ascii="SimSun" w:hAnsi="SimSun" w:eastAsia="SimSun" w:cs="SimSun"/>
          <w:b/>
          <w:color w:val="000000"/>
          <w:sz w:val="24"/>
          <w:u w:val="single"/>
        </w:rPr>
        <w:t xml:space="preserve">通州区2025年农药零差率统一配供、废弃农药包装物和农膜统一回收处理项目</w:t>
      </w:r>
      <w:r>
        <w:rPr>
          <w:rFonts w:ascii="SimSun" w:hAnsi="SimSun" w:eastAsia="SimSun" w:cs="SimSun"/>
          <w:color w:val="000000"/>
          <w:sz w:val="24"/>
        </w:rPr>
        <w:t xml:space="preserve">进行了采购。经评标委员会评定，为该项目中标供应商。现于中标通知书发出之日起三十日内，按照采购文件确定的事项签订本合同。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南通市通州区供销合作总社</w:t>
      </w:r>
      <w:r>
        <w:rPr>
          <w:rFonts w:ascii="SimSun" w:hAnsi="SimSun" w:eastAsia="SimSun" w:cs="SimSun"/>
          <w:color w:val="000000"/>
          <w:sz w:val="24"/>
        </w:rPr>
        <w:t xml:space="preserve">(以下简称：甲方)和 </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(以下简称：乙方)协商一致，约定以下合同条款，以兹共同遵守、全面履行。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合同组成部分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本合同及其补充合同、变更协议；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投标文件（含澄清或者说明文件）；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招标文件（含澄清或者修改文件）；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其他相关采购文件。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标的名称：</w:t>
      </w:r>
      <w:r>
        <w:rPr>
          <w:rFonts w:ascii="SimSun" w:hAnsi="SimSun" w:eastAsia="SimSun" w:cs="SimSun"/>
          <w:b/>
          <w:color w:val="000000"/>
          <w:sz w:val="24"/>
          <w:u w:val="single"/>
        </w:rPr>
        <w:t xml:space="preserve">通州区2025年农药零差率统一配供、废弃农药包装物和农膜统一回收处理项目</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标的数量：实施主体配供农药品种须经区供销合作总社、区农业农村局审核批准，</w:t>
      </w:r>
      <w:r>
        <w:rPr>
          <w:rFonts w:ascii="SimSun" w:hAnsi="SimSun" w:eastAsia="SimSun" w:cs="SimSun"/>
          <w:color w:val="000000"/>
          <w:sz w:val="24"/>
          <w:highlight w:val="yellow"/>
        </w:rPr>
        <w:t xml:space="preserve">且不少于40 种，每个网点农药配供品种不少于 15 个</w:t>
      </w:r>
      <w:r>
        <w:rPr>
          <w:rFonts w:ascii="SimSun" w:hAnsi="SimSun" w:eastAsia="SimSun" w:cs="SimSun"/>
          <w:color w:val="000000"/>
          <w:sz w:val="24"/>
        </w:rPr>
        <w:t xml:space="preserve">，全年</w:t>
      </w:r>
      <w:r>
        <w:rPr>
          <w:rFonts w:ascii="SimSun" w:hAnsi="SimSun" w:eastAsia="SimSun" w:cs="SimSun"/>
          <w:color w:val="000000"/>
          <w:sz w:val="24"/>
          <w:highlight w:val="yellow"/>
        </w:rPr>
        <w:t xml:space="preserve">配供农药销售额2000万元，农药废弃包装物回收1500万件（其中瓶装800万件、袋装750万件），废弃地膜回收400吨。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标的质量：及时配供到位、及时回收到位。</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价款：</w:t>
      </w:r>
      <w:r>
        <w:rPr>
          <w:rFonts w:ascii="SimSun" w:hAnsi="SimSun" w:eastAsia="SimSun" w:cs="SimSun"/>
          <w:color w:val="000000"/>
          <w:sz w:val="24"/>
        </w:rPr>
        <w:t xml:space="preserve">本合同总价为：。</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通州区</w:t>
      </w:r>
      <w:r>
        <w:rPr>
          <w:rFonts w:ascii="Cambria" w:hAnsi="Cambria" w:eastAsia="Cambria" w:cs="Cambria"/>
          <w:b/>
          <w:color w:val="000000"/>
          <w:sz w:val="32"/>
        </w:rPr>
        <w:t xml:space="preserve">2025</w:t>
      </w:r>
      <w:r>
        <w:rPr>
          <w:rFonts w:ascii="SimSun" w:hAnsi="SimSun" w:eastAsia="SimSun" w:cs="SimSun"/>
          <w:b/>
          <w:color w:val="000000"/>
          <w:sz w:val="32"/>
        </w:rPr>
        <w:t xml:space="preserve">年农药零差率配供、废弃物回收处理项目</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trHeight w:val="15"/>
        </w:trPr>
        <w:tc>
          <w:tcPr>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15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1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c>
          <w:tcPr>
            <w:gridSpan w:val="2"/>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6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38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10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3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2"/>
        </w:trPr>
        <w:tc>
          <w:tcPr>
            <w:tcBorders>
              <w:top w:val="single" w:color="000000" w:sz="8" w:space="0"/>
              <w:left w:val="single" w:color="000000" w:sz="8" w:space="0"/>
              <w:bottom w:val="single" w:color="000000" w:sz="8" w:space="0"/>
              <w:right w:val="single" w:color="000000" w:sz="8" w:space="0"/>
            </w:tcBorders>
            <w:tcMar>
              <w:left w:w="13" w:type="dxa"/>
              <w:top w:w="13" w:type="dxa"/>
              <w:right w:w="13"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5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配供销售额</w:t>
            </w:r>
            <w:r/>
          </w:p>
        </w:tc>
        <w:tc>
          <w:tcPr>
            <w:gridSpan w:val="3"/>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不可竞争费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（农户网点补助、其他费用）</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（实施主体补助）</w:t>
            </w:r>
            <w:r/>
          </w:p>
        </w:tc>
        <w:tc>
          <w:tcPr>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32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w:t>
            </w:r>
            <w:r/>
          </w:p>
        </w:tc>
      </w:tr>
      <w:tr>
        <w:trPr>
          <w:trHeight w:val="402"/>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5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（万元）</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（万元）</w:t>
            </w:r>
            <w:r/>
          </w:p>
        </w:tc>
        <w:tc>
          <w:tcPr>
            <w:vMerge w:val="continue"/>
            <w:textDirection w:val="lrTb"/>
            <w:noWrap w:val="false"/>
          </w:tcPr>
          <w:p>
            <w:r/>
            <w:r/>
          </w:p>
        </w:tc>
      </w:tr>
      <w:tr>
        <w:trPr>
          <w:trHeight w:val="42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5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农药零差率配供</w:t>
            </w:r>
            <w:r/>
          </w:p>
        </w:tc>
        <w:tc>
          <w:tcPr>
            <w:gridSpan w:val="3"/>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53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2000</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网点补助12%。</w:t>
            </w:r>
            <w:r/>
          </w:p>
        </w:tc>
      </w:tr>
      <w:tr>
        <w:trPr>
          <w:trHeight w:val="403"/>
        </w:trPr>
        <w:tc>
          <w:tcPr>
            <w:vMerge w:val="continue"/>
            <w:textDirection w:val="lrTb"/>
            <w:noWrap w:val="false"/>
          </w:tcPr>
          <w:p>
            <w:r/>
            <w:r/>
          </w:p>
        </w:tc>
        <w:tc>
          <w:tcPr>
            <w:gridSpan w:val="2"/>
            <w:vMerge w:val="continue"/>
            <w:textDirection w:val="lrTb"/>
            <w:noWrap w:val="false"/>
          </w:tcPr>
          <w:p>
            <w:r/>
            <w:r/>
          </w:p>
        </w:tc>
        <w:tc>
          <w:tcPr>
            <w:gridSpan w:val="3"/>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u w:val="single"/>
              </w:rPr>
              <w:t xml:space="preserve"> 限价160万元，报价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配送主体补助8%。</w:t>
            </w:r>
            <w:r/>
          </w:p>
        </w:tc>
      </w:tr>
      <w:tr>
        <w:trPr>
          <w:trHeight w:val="645"/>
        </w:trPr>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0" w:type="dxa"/>
            <w:vAlign w:val="center"/>
            <w:textDirection w:val="lrTb"/>
            <w:noWrap/>
          </w:tcPr>
          <w:p>
            <w:pPr>
              <w:spacing w:before="0" w:after="0" w:line="57" w:lineRule="atLeast"/>
            </w:pPr>
            <w:r/>
            <w:r/>
          </w:p>
        </w:tc>
        <w:tc>
          <w:tcPr>
            <w:gridSpan w:val="2"/>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（万件）</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回收价格    （元/件）</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费用（万元）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3298" w:type="dxa"/>
            <w:vAlign w:val="center"/>
            <w:textDirection w:val="lrTb"/>
            <w:noWrap w:val="false"/>
          </w:tcPr>
          <w:p>
            <w:pPr>
              <w:spacing w:before="0" w:after="0" w:line="57" w:lineRule="atLeast"/>
            </w:pPr>
            <w:r/>
            <w:r/>
          </w:p>
        </w:tc>
      </w:tr>
      <w:tr>
        <w:trPr>
          <w:trHeight w:val="360"/>
        </w:trPr>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11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农药废弃包装物回收</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瓶装</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800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0.2</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160</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single" w:color="000000" w:sz="8" w:space="0"/>
              <w:left w:val="single" w:color="000000" w:sz="8" w:space="0"/>
              <w:bottom w:val="none" w:color="000000" w:sz="4" w:space="0"/>
              <w:right w:val="single" w:color="000000" w:sz="8" w:space="0"/>
            </w:tcBorders>
            <w:tcMar>
              <w:left w:w="13" w:type="dxa"/>
              <w:top w:w="13" w:type="dxa"/>
              <w:right w:w="13" w:type="dxa"/>
              <w:bottom w:w="0" w:type="dxa"/>
            </w:tcMar>
            <w:tcW w:w="32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由网点直接兑付农户，实施主体收集时即付网点费用。</w:t>
            </w:r>
            <w:r/>
          </w:p>
        </w:tc>
      </w:tr>
      <w:tr>
        <w:trPr>
          <w:trHeight w:val="3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袋装</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750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0.1</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75</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gridSpan w:val="2"/>
            <w:tcBorders>
              <w:top w:val="single" w:color="000000" w:sz="8" w:space="0"/>
              <w:left w:val="none" w:color="000000" w:sz="4" w:space="0"/>
              <w:bottom w:val="none" w:color="000000" w:sz="4" w:space="0"/>
              <w:right w:val="single" w:color="000000" w:sz="8" w:space="0"/>
            </w:tcBorders>
            <w:tcMar>
              <w:left w:w="13" w:type="dxa"/>
              <w:top w:w="13" w:type="dxa"/>
              <w:right w:w="13" w:type="dxa"/>
              <w:bottom w:w="0" w:type="dxa"/>
            </w:tcMar>
            <w:tcW w:w="15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回收补贴费用</w:t>
            </w:r>
            <w:r/>
          </w:p>
        </w:tc>
        <w:tc>
          <w:tcPr>
            <w:gridSpan w:val="2"/>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13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1550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0.05</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77.5</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网点补贴0.05元/件</w:t>
            </w:r>
            <w:r/>
          </w:p>
        </w:tc>
      </w:tr>
      <w:tr>
        <w:trPr>
          <w:trHeight w:val="200"/>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0.05</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u w:val="single"/>
              </w:rPr>
              <w:t xml:space="preserve">限价77.5万元，报价    </w:t>
            </w:r>
            <w:r/>
          </w:p>
        </w:tc>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实施主体补贴0.05元/件</w:t>
            </w:r>
            <w:r/>
          </w:p>
        </w:tc>
      </w:tr>
      <w:tr>
        <w:trPr>
          <w:trHeight w:val="360"/>
        </w:trPr>
        <w:tc>
          <w:tcPr>
            <w:vMerge w:val="continue"/>
            <w:textDirection w:val="lrTb"/>
            <w:noWrap w:val="false"/>
          </w:tcPr>
          <w:p>
            <w:r/>
            <w:r/>
          </w:p>
        </w:tc>
        <w:tc>
          <w:tcPr>
            <w:gridSpan w:val="2"/>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无害化处置费</w:t>
            </w:r>
            <w:r/>
          </w:p>
        </w:tc>
        <w:tc>
          <w:tcPr>
            <w:gridSpan w:val="2"/>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1725元/吨</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43</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区财政按实支付</w:t>
            </w:r>
            <w:r/>
          </w:p>
        </w:tc>
      </w:tr>
      <w:tr>
        <w:trPr>
          <w:trHeight w:val="570"/>
        </w:trPr>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回收数量</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回收价格</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补助标准</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0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补助经费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spacing w:before="0" w:after="0" w:line="57" w:lineRule="atLeast"/>
            </w:pPr>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废弃大棚膜回收</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1200吨</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市场价</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市场回收</w:t>
            </w:r>
            <w:r/>
          </w:p>
        </w:tc>
      </w:tr>
      <w:tr>
        <w:trPr>
          <w:trHeight w:val="275"/>
        </w:trPr>
        <w:tc>
          <w:tcPr>
            <w:vMerge w:val="continue"/>
            <w:textDirection w:val="lrTb"/>
            <w:noWrap w:val="false"/>
          </w:tcPr>
          <w:p>
            <w:r/>
            <w:r/>
          </w:p>
        </w:tc>
        <w:tc>
          <w:tcPr>
            <w:gridSpan w:val="2"/>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15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废弃地膜回收</w:t>
            </w:r>
            <w:r/>
          </w:p>
        </w:tc>
        <w:tc>
          <w:tcPr>
            <w:gridSpan w:val="2"/>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13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400吨</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0.6元/公斤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农户</w:t>
            </w:r>
            <w:r/>
          </w:p>
        </w:tc>
      </w:tr>
      <w:tr>
        <w:trPr>
          <w:trHeight w:val="225"/>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0.2元/公斤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回收点</w:t>
            </w:r>
            <w:r/>
          </w:p>
        </w:tc>
      </w:tr>
      <w:tr>
        <w:trPr>
          <w:trHeight w:val="425"/>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0.2元/公斤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u w:val="single"/>
              </w:rPr>
              <w:t xml:space="preserve">限价8万元，报价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实施主体</w:t>
            </w:r>
            <w:r/>
          </w:p>
        </w:tc>
      </w:tr>
      <w:tr>
        <w:trPr>
          <w:trHeight w:val="459"/>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处置费用，按实结报</w:t>
            </w:r>
            <w:r/>
          </w:p>
        </w:tc>
      </w:tr>
      <w:tr>
        <w:trPr>
          <w:trHeight w:val="36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2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小计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60"/>
        </w:trPr>
        <w:tc>
          <w:tcPr>
            <w:tcBorders>
              <w:top w:val="none" w:color="000000" w:sz="4" w:space="0"/>
              <w:left w:val="single" w:color="000000" w:sz="8" w:space="0"/>
              <w:bottom w:val="single" w:color="000000" w:sz="8"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gridSpan w:val="5"/>
            <w:tcBorders>
              <w:top w:val="single" w:color="000000" w:sz="8" w:space="0"/>
              <w:left w:val="single" w:color="000000" w:sz="8" w:space="0"/>
              <w:bottom w:val="single" w:color="000000" w:sz="8" w:space="0"/>
              <w:right w:val="single" w:color="000000" w:sz="8" w:space="0"/>
            </w:tcBorders>
            <w:tcMar>
              <w:left w:w="13" w:type="dxa"/>
              <w:top w:w="13" w:type="dxa"/>
              <w:right w:w="13" w:type="dxa"/>
              <w:bottom w:w="0" w:type="dxa"/>
            </w:tcMar>
            <w:tcW w:w="68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第三方审计费用</w:t>
            </w:r>
            <w:r/>
          </w:p>
        </w:tc>
        <w:tc>
          <w:tcPr>
            <w:gridSpan w:val="3"/>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6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22</w:t>
            </w:r>
            <w:r>
              <w:rPr>
                <w:rFonts w:ascii="FangSong" w:hAnsi="FangSong" w:eastAsia="FangSong" w:cs="FangSong"/>
                <w:color w:val="000000"/>
                <w:sz w:val="22"/>
              </w:rPr>
              <w:t xml:space="preserve">万元</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1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none" w:color="000000" w:sz="4" w:space="0"/>
              <w:right w:val="single" w:color="000000" w:sz="8" w:space="0"/>
            </w:tcBorders>
            <w:tcMar>
              <w:left w:w="13" w:type="dxa"/>
              <w:top w:w="13" w:type="dxa"/>
              <w:right w:w="13" w:type="dxa"/>
              <w:bottom w:w="0" w:type="dxa"/>
            </w:tcMar>
            <w:tcW w:w="329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由区供销总社招标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确定实施单位，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经审计后按实结报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60"/>
        </w:trPr>
        <w:tc>
          <w:tcPr>
            <w:tcBorders>
              <w:top w:val="none" w:color="000000" w:sz="4" w:space="0"/>
              <w:left w:val="single" w:color="000000" w:sz="8" w:space="0"/>
              <w:bottom w:val="single" w:color="000000" w:sz="8"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gridSpan w:val="5"/>
            <w:tcBorders>
              <w:top w:val="single" w:color="000000" w:sz="8" w:space="0"/>
              <w:left w:val="single" w:color="000000" w:sz="8" w:space="0"/>
              <w:bottom w:val="single" w:color="000000" w:sz="8" w:space="0"/>
              <w:right w:val="single" w:color="000000" w:sz="8" w:space="0"/>
            </w:tcBorders>
            <w:tcMar>
              <w:left w:w="13" w:type="dxa"/>
              <w:top w:w="13" w:type="dxa"/>
              <w:right w:w="13" w:type="dxa"/>
              <w:bottom w:w="0" w:type="dxa"/>
            </w:tcMar>
            <w:tcW w:w="68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信息平台维护费</w:t>
            </w:r>
            <w:r/>
          </w:p>
        </w:tc>
        <w:tc>
          <w:tcPr>
            <w:gridSpan w:val="3"/>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1068"/>
        </w:trPr>
        <w:tc>
          <w:tcPr>
            <w:tcBorders>
              <w:top w:val="none" w:color="000000" w:sz="4" w:space="0"/>
              <w:left w:val="single" w:color="000000" w:sz="8" w:space="0"/>
              <w:bottom w:val="none" w:color="000000" w:sz="4"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gridSpan w:val="5"/>
            <w:tcBorders>
              <w:top w:val="single" w:color="000000" w:sz="8" w:space="0"/>
              <w:left w:val="single" w:color="000000" w:sz="8" w:space="0"/>
              <w:bottom w:val="none" w:color="000000" w:sz="4" w:space="0"/>
              <w:right w:val="single" w:color="000000" w:sz="8" w:space="0"/>
            </w:tcBorders>
            <w:tcMar>
              <w:left w:w="13" w:type="dxa"/>
              <w:top w:w="13" w:type="dxa"/>
              <w:right w:w="13" w:type="dxa"/>
              <w:bottom w:w="0" w:type="dxa"/>
            </w:tcMar>
            <w:tcW w:w="68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网点建设、回收袋、考核奖励</w:t>
            </w:r>
            <w:r/>
          </w:p>
        </w:tc>
        <w:tc>
          <w:tcPr>
            <w:gridSpan w:val="3"/>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11"/>
        </w:trPr>
        <w:tc>
          <w:tcPr>
            <w:tcBorders>
              <w:top w:val="single" w:color="000000" w:sz="8" w:space="0"/>
              <w:left w:val="single" w:color="000000" w:sz="8" w:space="0"/>
              <w:bottom w:val="single" w:color="000000" w:sz="8"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gridSpan w:val="5"/>
            <w:tcBorders>
              <w:top w:val="single" w:color="000000" w:sz="8" w:space="0"/>
              <w:left w:val="single" w:color="000000" w:sz="8" w:space="0"/>
              <w:bottom w:val="single" w:color="000000" w:sz="8" w:space="0"/>
              <w:right w:val="single" w:color="000000" w:sz="8" w:space="0"/>
            </w:tcBorders>
            <w:tcMar>
              <w:left w:w="13" w:type="dxa"/>
              <w:top w:w="13" w:type="dxa"/>
              <w:right w:w="13" w:type="dxa"/>
              <w:bottom w:w="0" w:type="dxa"/>
            </w:tcMar>
            <w:tcW w:w="68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gridSpan w:val="3"/>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不可竞争费649.5万元</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投标报价</w:t>
            </w:r>
            <w:r>
              <w:rPr>
                <w:rFonts w:ascii="FangSong" w:hAnsi="FangSong" w:eastAsia="FangSong" w:cs="FangSong"/>
                <w:b/>
                <w:color w:val="000000"/>
                <w:sz w:val="24"/>
                <w:u w:val="single"/>
              </w:rPr>
              <w:t xml:space="preserve">          万元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付款方式和发票开具方式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1.4.1付款方式：</w:t>
      </w:r>
      <w:r>
        <w:rPr>
          <w:rFonts w:ascii="SimSun" w:hAnsi="SimSun" w:eastAsia="SimSun" w:cs="SimSun"/>
          <w:color w:val="000000"/>
          <w:sz w:val="24"/>
          <w:u w:val="single"/>
        </w:rPr>
        <w:t xml:space="preserve">经第三方审计结束后。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发票开具方式：。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履行期限、地点和方式及义务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履行期限：</w:t>
      </w:r>
      <w:r>
        <w:rPr>
          <w:rFonts w:ascii="SimSun" w:hAnsi="SimSun" w:eastAsia="SimSun" w:cs="SimSun"/>
          <w:color w:val="000000"/>
          <w:sz w:val="24"/>
          <w:u w:val="single"/>
        </w:rPr>
        <w:t xml:space="preserve">    年  月  日—  年  月  日</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履行地点：；通州区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履行方式：</w:t>
      </w:r>
      <w:r>
        <w:rPr>
          <w:rFonts w:ascii="SimSun" w:hAnsi="SimSun" w:eastAsia="SimSun" w:cs="SimSun"/>
          <w:color w:val="000000"/>
          <w:sz w:val="24"/>
          <w:u w:val="single"/>
        </w:rPr>
        <w:t xml:space="preserve">可</w:t>
      </w:r>
      <w:r>
        <w:rPr>
          <w:rFonts w:ascii="SimSun" w:hAnsi="SimSun" w:eastAsia="SimSun" w:cs="SimSun"/>
          <w:color w:val="000000"/>
          <w:sz w:val="22"/>
          <w:u w:val="single"/>
        </w:rPr>
        <w:t xml:space="preserve">以通过合同，落实网点配供</w:t>
      </w:r>
      <w:r>
        <w:rPr>
          <w:rFonts w:ascii="SimSun" w:hAnsi="SimSun" w:eastAsia="SimSun" w:cs="SimSun"/>
          <w:color w:val="000000"/>
          <w:sz w:val="24"/>
          <w:u w:val="single"/>
        </w:rPr>
        <w:t xml:space="preserve">回收职责，并进行考核奖惩</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双方的权利、义务与责任：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1.6.1甲方的权利、义务：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1、甲方有权要求乙方保守商业秘密的义务和及时反馈配送信息、客户意见等信息的权力。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2、甲方有权加强销售和回收各个环节的日常监管，对存在提供虚假台帐，报表等违规行为的，立即追缴相关补贴资金，扣减押金，取消乙方的实施主体资格，情节严重构成犯罪的，移交司法机关处理。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乙方的权利义务：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1、在乙方为甲方进行农药配送过程中发生下列情况乙方有拒收、拒配，并保留向市有关监管部门反馈的权利：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A、属于《农药管理条例》第四十四条、四十五条假农药和劣质农药的有权拒收。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B、超过产品质量保证期限的农药产品有权拒收。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C、农药产品与产品标签或者说明书、产品质量合格证不一致的有权拒收。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D、在配送过程中，对在库农药遇有客户投诉农药质量问题或各种媒体信息披露为不能出售的品种，乙方有停止配送的权利。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2、有按合同规定收取财政补贴的权利。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3、有主动配合甲方解决在农药配送各环节中的问题的义务。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4、有及时向甲方反馈其配送信息、农药信息、客户信息的义务。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乙方的责任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出现下列情形之一，由乙方承担相应的责任及损失：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1、乙方经营劣质农药或假农药的按照《农药管理条例》第五十五、五十六条规定承担所有责任和经济损失，情节严重的甲方有权解除合同并承担给甲方造成的所有损失。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2、乙方未能提供或不能完全提供配送农药产品合格证和进货发票造成验收入库延误或退厂的责任，由乙方负责。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3、由于农药滞销造成积压致使农药过期失效造成的经济损失由乙方承担。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4、在库农药出现原箱农药短少，残损、批号混装而未标识等问题，由乙方承担。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5、由于各销售网点进货、退货而引发农药损失由乙方负责。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6、由于乙方因配送农药的质量、品种、价格等原因造成客户投诉及农药损失的由乙方负责。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7、正常情况下乙方延误配送农药送达需求客户，由此造成的责任损失由乙方负责解决。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8、经乙方验收合格入库农药，因乙方储存、养护、保管不当等原因造成农药受潮、霉变、包装损坏等损失，由乙方承担。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9、在农药配送、理货上架、分拣包装、运输装卸过程中发生因乙方人为因素的农药残损、丢失及差错等责任事故造成的经济损失，由乙方承担。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10、由于乙方责任造成客户因送货超出时效、发错农药、送错地点、服务纠纷等服务态度及质量方面投诉造成责任损失，由乙方负责解决。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11、乙方在储存、运输、使用农药过程中发生重大事故的由乙方负责。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1.6.4 对乙方时间进度要求：</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1、1个月内完成全年配供农药品种招标。</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2、15日内完成全区配供中心网点的合同签订。</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3、30日内完成中心网点的标识、标牌及制度建设。</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4、45日内完成中心网点配供农药上柜销售。</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5、2个月内完成回收网点正常开展回收处理工作。</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6、1个月内完成3个回收暂存点选址和设施改造。</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7、3个月内完成3个回收暂存点的环评，确保正常开展回收处理工作。</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8、1个月内与相关企业达成全年80吨废弃农膜的回收利用协议。</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9、第3个月开始，将全年目标任务分解到月，并按月进度接受考核。</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除不可抗力外，如果乙方没有按照本合同约定的期限、地点和方式履行，那么甲方可要求乙方支付违约金，违约金按每迟延履行一日的应提供而未提供服务价格的</w:t>
      </w:r>
      <w:r>
        <w:rPr>
          <w:rFonts w:ascii="SimSun" w:hAnsi="SimSun" w:eastAsia="SimSun" w:cs="SimSun"/>
          <w:color w:val="000000"/>
          <w:sz w:val="24"/>
          <w:u w:val="single"/>
        </w:rPr>
        <w:t xml:space="preserve">5</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30</w:t>
      </w:r>
      <w:r>
        <w:rPr>
          <w:rFonts w:ascii="SimSun" w:hAnsi="SimSun" w:eastAsia="SimSun" w:cs="SimSun"/>
          <w:color w:val="000000"/>
          <w:sz w:val="24"/>
        </w:rPr>
        <w:t xml:space="preserve">%；迟延履行的违约金计算数额达到前述最高限额之日起，甲方有权在要求乙方支付违约金的同时，书面通知乙方解除本合同；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各网点登记有交售人身份信息、交售日期、数量及交售人签名的收购台账；实施主体与回收企业签订的合同；每次解缴的废弃农膜数量清单及结算单等。对各网点回收数量首次抽查出现数量不足在3%以内的，该批按实际比例结算；抽查出现数量不足在3%－6%之间的，该批数量按90%计算；抽查出现数量不足在6%－10%之间的，该批数量按80%计算；超过10%的，该批数量按实际比例的80%计算，并直接取消回收资格；第二次出现抽查数量不足的，按上述比例的下一档结算，实施主体与其解除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除不可抗力外，如果甲方没有按照本合同约定的付款方式付款，那么乙方可要求甲方支付违约金，违约金按每迟延付款一日的应付而未付款的</w:t>
      </w:r>
      <w:r>
        <w:rPr>
          <w:rFonts w:ascii="SimSun" w:hAnsi="SimSun" w:eastAsia="SimSun" w:cs="SimSun"/>
          <w:color w:val="000000"/>
          <w:sz w:val="24"/>
          <w:u w:val="single"/>
        </w:rPr>
        <w:t xml:space="preserve">0 </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0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 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合同争议的解决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本合同履行过程中发生的任何争议，双方当事人均可通过和解或者调解解决；不愿和解、调解或者和解、调解不成的，可以选择下列第种方式解决：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将争议提交仲裁委员会依申请仲裁时其现行有效的仲裁规则裁决；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向</w:t>
      </w:r>
      <w:r>
        <w:rPr>
          <w:rFonts w:ascii="SimSun" w:hAnsi="SimSun" w:eastAsia="SimSun" w:cs="SimSun"/>
          <w:color w:val="000000"/>
          <w:sz w:val="24"/>
          <w:u w:val="single"/>
        </w:rPr>
        <w:t xml:space="preserve">   合同履行地的人民法院名称）</w:t>
      </w:r>
      <w:r>
        <w:rPr>
          <w:rFonts w:ascii="SimSun" w:hAnsi="SimSun" w:eastAsia="SimSun" w:cs="SimSun"/>
          <w:color w:val="000000"/>
          <w:sz w:val="24"/>
        </w:rPr>
        <w:t xml:space="preserve">人民法院起诉。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合同生效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本合同自双方当事人盖章或者签字时生效。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      乙方</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统一社会信用代码：统一社会信用代码或身份证号码：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住所：住所：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授权代表（签字）：或授权代表（签字）: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约定送达地址：约定送达地址：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电子邮箱：电子邮箱：</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开户名称：开户名称：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开户账号：开户账号：</w:t>
      </w:r>
      <w:r/>
    </w:p>
    <w:p>
      <w:pPr>
        <w:ind w:left="0" w:right="0" w:firstLine="2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合同一般条款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定义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本合同中的下列词语应按以下内容进行解释：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“合同”系指采购人和中标供应商签订的载明双方当事人所达成的协议，并包括所有的附件、附录和构成合同的其他文件。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“合同价”系指根据合同约定，中标供应商在完全履行合同义务后，采购人应支付给中标供应商的价格。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“服务”系指中标供应商根据合同约定应向采购人履行的除货物和工程以外的其他政府采购对象，包括采购人自身需要的服务和向社会公众提供的公共服务。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“甲方”系指与中标供应商签署合同的采购人；采购人委托采购代理机构代表其与乙方签订合同的，采购人的授权委托书作为合同附件。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“现场”系指合同约定提供服务的地点。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技术规范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履约检查和问题反馈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合同履行期间，甲方有权将履行过程中出现的问题反馈给乙方，双方当事人应以书面形式约定需要完善和改进的内容。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结算方式和付款条件</w:t>
      </w:r>
      <w:r/>
    </w:p>
    <w:p>
      <w:pPr>
        <w:ind w:left="115"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2.5.1集中配送的农药实行招标价零差率销售。区财政按销售额的20%补贴给乙方，其中基层网点12%、 配供主体8%。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2.5.2农药废弃包装物按瓶装0.20元/瓶、袋装0.10元/件回收，对乙方及基层回收站点各按回收数量给予0.05元/件补贴。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2.5.3农药废弃包装无害化处置费用根据市场行情变动实时调整，由区财政承担。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农药销售补贴款、农药废弃包装物回收费用及处置费由第三方进行审计，区供销总社、区农业农村局、街道（镇）根据审核结果进行核查，并将最终审核结果报区财政局，区财政局根据相关财务审计报告和本意见规定确认拨付数额，每半年一次性拨付给乙方进行分配。农药废弃包装物无害化处置原则上每半年一次，由乙方负责实施，区供销社对废弃包装物进行抽检，抽检无误后统一运输至区环保局指定废弃物品处置企业进行销毁，区财政局根据相关财务审计报告和本合同规定确认拨付数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按照农药集中配送企业招标文书中约定，乙方应在签订本合同之后十日内向甲方交纳人民币</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万元</w:t>
      </w:r>
      <w:r>
        <w:rPr>
          <w:rFonts w:ascii="SimSun" w:hAnsi="SimSun" w:eastAsia="SimSun" w:cs="SimSun"/>
          <w:color w:val="000000"/>
          <w:sz w:val="24"/>
        </w:rPr>
        <w:t xml:space="preserve">保证金，在配送农药完成后，经第三方审计履行合同无误后返还给乙方。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技术资料和保密义务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乙方有权依据合同约定和项目需要，向甲方了解有关情况，调阅有关资料等，甲方应予积极配合；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乙方有义务妥善保管和保护由甲方提供的前款信息和资料等；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质量保证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乙方应建立和完善履行合同的内部质量保证体系，并提供相关内部规章制度给甲方，以便甲方进行监督检查；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乙方应保证履行合同的人员数量和素质、软件和硬件设备的配置、场地、环境和设施等满足全面履行合同的要求，并应接受甲方的监督检查。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延迟履行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合同变更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合同继续履行将损害国家利益和社会公共利益的，双方当事人应当以书面形式变更合同。有过错的一方应当承担赔偿责任，双方当事人都有过错的，各自承担相应的责任。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 合同转让和分包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2.11 不可抗力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2.11.1如果任何一方遭遇法律规定的不可抗力，致使合同履行受阻时，履行合同的期限应予延长，延长的期限应相当于不可抗力所影响的时间；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因不可抗力致使不能实现合同目的的，当事人可以解除合同；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 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与合同有关的一切税费，均按照中华人民共和国法律的相关规定缴纳。</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2.13 乙方破产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2.14 合同中止、终止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 双方当事人不得擅自中止或者终止合同；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2.14.2合同继续履行将损害国家利益和社会公共利益的，双方当事人应当中止或者终止合同。有过错的一方应当承担赔偿责任，双方当事人都有过错的，各自承担相应的责任。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2.15 检验和验收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 乙方按照甲方要求定期提交服务报告，甲方及时组织进行定期验收；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2.15.3 检验和验收标准、程序等具体内容以及前述验收书的效力详见相关规定。</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2.16 通知和送达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 任何一方因履行合同而以合同第一部分尾部所列明的发出的所有通知、文件、材料，均视为已向对方当事人送达；任何一方变更上述送达方式或者地址的，应于</w:t>
      </w:r>
      <w:r>
        <w:rPr>
          <w:rFonts w:ascii="SimSun" w:hAnsi="SimSun" w:eastAsia="SimSun" w:cs="SimSun"/>
          <w:color w:val="000000"/>
          <w:sz w:val="24"/>
          <w:u w:val="single"/>
        </w:rPr>
        <w:t xml:space="preserve"> 3</w:t>
      </w:r>
      <w:r>
        <w:rPr>
          <w:rFonts w:ascii="SimSun" w:hAnsi="SimSun" w:eastAsia="SimSun" w:cs="SimSun"/>
          <w:color w:val="000000"/>
          <w:sz w:val="24"/>
        </w:rPr>
        <w:t xml:space="preserve">个工作日内书面通知对方当事人，在对方当事人收到有关变更通知之前，变更前的约定送达方式或者地址仍视为有效。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2.17 合同使用的文字和适用的法律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2.17.1 合同使用汉语书就、变更和解释；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2.17.2 合同适用中华人民共和国法律。</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2.18 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2.18.1 采购文件要求乙方提交履约保证金的，乙方应按约定的方式，以支票、汇票、本票或者金融机构、担保机构出具的保函等非现金形式，提交不超过合同价10%的履约保证金；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2.18.2 履约保证金在合同履行期间内不予退还或者应完全有效，前述约定期间届满之日起</w:t>
      </w:r>
      <w:r>
        <w:rPr>
          <w:rFonts w:ascii="SimSun" w:hAnsi="SimSun" w:eastAsia="SimSun" w:cs="SimSun"/>
          <w:color w:val="000000"/>
          <w:sz w:val="24"/>
          <w:u w:val="single"/>
        </w:rPr>
        <w:t xml:space="preserve">3</w:t>
      </w:r>
      <w:r>
        <w:rPr>
          <w:rFonts w:ascii="SimSun" w:hAnsi="SimSun" w:eastAsia="SimSun" w:cs="SimSun"/>
          <w:color w:val="000000"/>
          <w:sz w:val="24"/>
        </w:rPr>
        <w:t xml:space="preserve">个工作日内，甲方应将履约保证金退还乙方；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2.19 合同份数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本合同正本一式四份，甲、乙双方各执二份。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委托方：(公章)                          受托方人：(公章)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                     组织机构代码： 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      账 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签约时间：2024年月日</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8、采购需求中必须满足的实质性要求。（请单独列出）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一、项目名称：通州区2025年农药零差率统一配供、废弃农药包装物和农膜统一回收处理项目。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二、招标范围：本</w:t>
      </w:r>
      <w:r>
        <w:rPr>
          <w:rFonts w:ascii="SimSun" w:hAnsi="SimSun" w:eastAsia="SimSun" w:cs="SimSun"/>
          <w:color w:val="000000"/>
          <w:sz w:val="24"/>
          <w:highlight w:val="yellow"/>
        </w:rPr>
        <w:t xml:space="preserve">项目采购预算为人民币约895万元</w:t>
      </w:r>
      <w:r>
        <w:rPr>
          <w:rFonts w:ascii="SimSun" w:hAnsi="SimSun" w:eastAsia="SimSun" w:cs="SimSun"/>
          <w:color w:val="000000"/>
          <w:sz w:val="24"/>
        </w:rPr>
        <w:t xml:space="preserve">。本项目设定最高限价：</w:t>
      </w:r>
      <w:r>
        <w:rPr>
          <w:rFonts w:ascii="SimSun" w:hAnsi="SimSun" w:eastAsia="SimSun" w:cs="SimSun"/>
          <w:color w:val="000000"/>
          <w:sz w:val="24"/>
          <w:highlight w:val="yellow"/>
        </w:rPr>
        <w:t xml:space="preserve">最高限价为245.5万元。</w:t>
      </w:r>
      <w:r>
        <w:rPr>
          <w:rFonts w:ascii="SimSun" w:hAnsi="SimSun" w:eastAsia="SimSun" w:cs="SimSun"/>
          <w:color w:val="000000"/>
          <w:sz w:val="24"/>
        </w:rPr>
        <w:t xml:space="preserve">含农药零差率配供、农药废弃包装物回收、废弃地膜回收等三项补贴给实施主体的费用，不含补贴给农户、配供与回收网点的费用、无害化处置费用、第三方审计费用、信息平台维护费、网点建设、回收袋、考核奖励等</w:t>
      </w:r>
      <w:r>
        <w:rPr>
          <w:rFonts w:ascii="SimSun" w:hAnsi="SimSun" w:eastAsia="SimSun" w:cs="SimSun"/>
          <w:color w:val="000000"/>
          <w:sz w:val="24"/>
          <w:highlight w:val="yellow"/>
        </w:rPr>
        <w:t xml:space="preserve">不可竞争费649.5万元</w:t>
      </w:r>
      <w:r>
        <w:rPr>
          <w:rFonts w:ascii="SimSun" w:hAnsi="SimSun" w:eastAsia="SimSun" w:cs="SimSun"/>
          <w:color w:val="000000"/>
          <w:sz w:val="24"/>
        </w:rPr>
        <w:t xml:space="preserve">。</w:t>
      </w:r>
      <w:r>
        <w:rPr>
          <w:rFonts w:ascii="SimSun" w:hAnsi="SimSun" w:eastAsia="SimSun" w:cs="SimSun"/>
          <w:color w:val="000000"/>
          <w:sz w:val="24"/>
          <w:highlight w:val="yellow"/>
        </w:rPr>
        <w:t xml:space="preserve">2025年合同价以本年度中标单价计算</w:t>
      </w:r>
      <w:r>
        <w:rPr>
          <w:rFonts w:ascii="SimSun" w:hAnsi="SimSun" w:eastAsia="SimSun" w:cs="SimSun"/>
          <w:color w:val="000000"/>
          <w:sz w:val="24"/>
        </w:rPr>
        <w:t xml:space="preserve">。投标报价超过最高限价的投标将作为无效投标处理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三、具体需求情况。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（1）采购项目概述：</w:t>
      </w:r>
      <w:r>
        <w:rPr>
          <w:rFonts w:ascii="SimSun" w:hAnsi="SimSun" w:eastAsia="SimSun" w:cs="SimSun"/>
          <w:color w:val="000000"/>
          <w:sz w:val="24"/>
          <w:u w:val="single"/>
        </w:rPr>
        <w:t xml:space="preserve">围绕农药“零差率”、全程“可追溯”、致力“惠百姓”的目标，对全区粮、油、果、蔬四大类农产品和苗木绿化用药，紧扣农药统一配送、规范经营、安全使用和农业废弃包装物分类回收、集中处理等关键环节，加强“五个统一”管理（即统一主体、统一配送、统一价格、统一回收、统一补贴），在全区推广农药统一配供体系建设，实现废弃农药包装物和废弃农膜回收率85%以上、无害化处理率100%。</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具体做法是：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（2）本项目实施范围在全区进行。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（3）实行“一条线经营”。农药零差率统一配供的企业，同时为实施废弃农药包装物和农膜回收处理主体（以下简称实施主体）。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（4）在每年生产季节前提出当季农药采购品种和数量。通过公开招标，确定供货单位。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全区范围内所有取得农药经营许可证的单位和个人，有相应的经营场所和仓储用房，具备使用信息管理系统条件，交通便捷，均可申报设立农药零差率统一配供、废弃农药包装物和农膜统一回收中心网点。各镇（街道）具体负责审核推荐，原则上每个镇（街道）设置不少于1个中心网点，最多不超过5个，废弃农药包装物和农膜的回收网点原则上每个村1个，作为中心网点的分点，由实施主体和中心网点负责管理。区供销合作总社负责确认，实施主体负责与各网点签订合同，落实相关业务，并负责考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实施主体及基层网点同时承担农药统一配供、废弃农膜及农药包装物的回收工作。各基层网点统一配置相应的回收桶/袋，设置醒目的标识标牌，公示回收价格，对所在地的废弃农药包装物和农膜按规定标准进行回收。实施主体在全区范围内设置3个回收中转点，严格依法办理审批手续，落实安全措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农药零差率配供建立农资统一配供电子管理系统，各网点通过终端销售管理系统，完成对各类农户基础信息数据查验和农药销售统计，实行规范化管理。镇（街道）负责日常监管审核，区供销总社在镇（街道）审核基础上进行抽查复核，区供销总社每半年委托第三方审计一次，并将最终审核结果报区财政局，区财政局根据审核结果每半年拨付一次补助经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6.合同履行期限：2025年1月1日—2027年 12 月 31 日。合同履行期限为 3 年，本次招标预算895万元为2025年度总预算金额。</w:t>
      </w:r>
      <w:r>
        <w:rPr>
          <w:rFonts w:ascii="SimSun" w:hAnsi="SimSun" w:eastAsia="SimSun" w:cs="SimSun"/>
          <w:color w:val="000000"/>
          <w:sz w:val="24"/>
        </w:rPr>
        <w:t xml:space="preserve">2026、2027年实施主体不再另行招标，各年度合同单价以2025年中标单价计算，2026、2027年度合同金额届时另行商定，并签订补充协议。采购标的对应的中小企业划分标准所属行业一览表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通州区2025年农药零差率统一配供、废弃农药包装物和农膜统一回收处理项目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42"/>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（8）有效的农药经营许可证；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（9）1）中小企业声明函（本项目专门面向中小企业采购）；</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2）监狱企业证明函（如符合监狱企业的需提供）；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3）残疾人福利性单位声明函（如符合残疾人福利性单位的需提供）。</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2"/>
        <w:gridCol w:w="970"/>
        <w:gridCol w:w="4690"/>
        <w:gridCol w:w="14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评分内容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总分值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企业仓库与门面总面积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100平方米≤仓库与门面总面积＜300平方米得3分；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300平方米≤仓库与门面总面积＜500平方米得6分；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500平方米≤仓库与门面总面积＜1000平方米得9分；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1000平方米≤仓库与门面总面积＜3000平方米得12分；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3000平方米≤仓库与门面总面积得15分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以房产证或房屋租赁协议为准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企业配送车辆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企业拥有运输车辆1-2台得5分，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企业拥有运输车辆3-4台得10分，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企业拥有运输车辆5台或以上得15分；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以车辆行驶证为准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企业是否营运作过省市区级涉农项目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运作一次得5分，运作二次得10分，三次以上得15分；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以政府文件或有关单位证明材料为准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企业配送制度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有科学合理的农药仓库管理制度，可操作性、合理性、科学性符合或优于项目需求的得3分，有一定关联的得2分，欠合理的得1分，不提供不得分；有科学合理的配送操作流程及管理制度可操作性、合理性、科学性符合或优于项目需求的得4分，有一定关联的得2分，欠合理的得1分，不提供不得分；企业职工中有农业或农林专业大、中专或以上毕业证书的每一人得2分，最高得8分（需提供企业为以上人员缴纳的投标截止日期前三个月（不含投标截止时间当月）中任意一个月的养老保险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农药包装废弃物回收处理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有科学合理的回收操作流程和废弃物专用仓库管理规定，符合或优于项目需求的得10分，有一定关联的得7分，欠合理的得3分，不提供不得分。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2"/>
              </w:rPr>
              <w:t xml:space="preserve"> </w:t>
            </w:r>
            <w:r/>
          </w:p>
        </w:tc>
      </w:tr>
    </w:tbl>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2"/>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、成交原则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3、评标委员会将向招标人推荐评标最后综合得分最高的前三名投标人为中标候选人，并标明排列顺序。（若“四舍五入”后出现得分相同且影响中标候选人排名时，则应以可排名的数值为准而决定排名顺序）。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（8）有效的农药经营许可证；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（9）1）中小企业声明函（本项目专门面向中小企业采购）；</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2）监狱企业证明函（如符合监狱企业的需提供）；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numPr>
          <w:ilvl w:val="0"/>
          <w:numId w:val="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价格标材料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通州区</w:t>
      </w:r>
      <w:r>
        <w:rPr>
          <w:rFonts w:ascii="Cambria" w:hAnsi="Cambria" w:eastAsia="Cambria" w:cs="Cambria"/>
          <w:b/>
          <w:color w:val="000000"/>
          <w:sz w:val="32"/>
        </w:rPr>
        <w:t xml:space="preserve">2025</w:t>
      </w:r>
      <w:r>
        <w:rPr>
          <w:rFonts w:ascii="SimSun" w:hAnsi="SimSun" w:eastAsia="SimSun" w:cs="SimSun"/>
          <w:b/>
          <w:color w:val="000000"/>
          <w:sz w:val="32"/>
        </w:rPr>
        <w:t xml:space="preserve">年农药零差率配供、废弃物回收处理项目</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trHeight w:val="15"/>
        </w:trPr>
        <w:tc>
          <w:tcPr>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15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1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c>
          <w:tcPr>
            <w:gridSpan w:val="2"/>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6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38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10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3" w:type="dxa"/>
              <w:top w:w="13" w:type="dxa"/>
              <w:right w:w="13" w:type="dxa"/>
              <w:bottom w:w="0" w:type="dxa"/>
            </w:tcMar>
            <w:tcW w:w="3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2"/>
        </w:trPr>
        <w:tc>
          <w:tcPr>
            <w:tcBorders>
              <w:top w:val="single" w:color="000000" w:sz="8" w:space="0"/>
              <w:left w:val="single" w:color="000000" w:sz="8" w:space="0"/>
              <w:bottom w:val="single" w:color="000000" w:sz="8" w:space="0"/>
              <w:right w:val="single" w:color="000000" w:sz="8" w:space="0"/>
            </w:tcBorders>
            <w:tcMar>
              <w:left w:w="13" w:type="dxa"/>
              <w:top w:w="13" w:type="dxa"/>
              <w:right w:w="13"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5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配供销售额</w:t>
            </w:r>
            <w:r/>
          </w:p>
        </w:tc>
        <w:tc>
          <w:tcPr>
            <w:gridSpan w:val="3"/>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不可竞争费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（农户网点补助、其他费用）</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（实施主体补助）</w:t>
            </w:r>
            <w:r/>
          </w:p>
        </w:tc>
        <w:tc>
          <w:tcPr>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32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w:t>
            </w:r>
            <w:r/>
          </w:p>
        </w:tc>
      </w:tr>
      <w:tr>
        <w:trPr>
          <w:trHeight w:val="402"/>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5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（万元）</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（万元）</w:t>
            </w:r>
            <w:r/>
          </w:p>
        </w:tc>
        <w:tc>
          <w:tcPr>
            <w:vMerge w:val="continue"/>
            <w:textDirection w:val="lrTb"/>
            <w:noWrap w:val="false"/>
          </w:tcPr>
          <w:p>
            <w:r/>
            <w:r/>
          </w:p>
        </w:tc>
      </w:tr>
      <w:tr>
        <w:trPr>
          <w:trHeight w:val="42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5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农药零差率配供</w:t>
            </w:r>
            <w:r/>
          </w:p>
        </w:tc>
        <w:tc>
          <w:tcPr>
            <w:gridSpan w:val="3"/>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53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2000</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网点补助12%。</w:t>
            </w:r>
            <w:r/>
          </w:p>
        </w:tc>
      </w:tr>
      <w:tr>
        <w:trPr>
          <w:trHeight w:val="403"/>
        </w:trPr>
        <w:tc>
          <w:tcPr>
            <w:vMerge w:val="continue"/>
            <w:textDirection w:val="lrTb"/>
            <w:noWrap w:val="false"/>
          </w:tcPr>
          <w:p>
            <w:r/>
            <w:r/>
          </w:p>
        </w:tc>
        <w:tc>
          <w:tcPr>
            <w:gridSpan w:val="2"/>
            <w:vMerge w:val="continue"/>
            <w:textDirection w:val="lrTb"/>
            <w:noWrap w:val="false"/>
          </w:tcPr>
          <w:p>
            <w:r/>
            <w:r/>
          </w:p>
        </w:tc>
        <w:tc>
          <w:tcPr>
            <w:gridSpan w:val="3"/>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u w:val="single"/>
              </w:rPr>
              <w:t xml:space="preserve"> 限价160万元，报价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配送主体补助8%。</w:t>
            </w:r>
            <w:r/>
          </w:p>
        </w:tc>
      </w:tr>
      <w:tr>
        <w:trPr>
          <w:trHeight w:val="645"/>
        </w:trPr>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0" w:type="dxa"/>
            <w:vAlign w:val="center"/>
            <w:textDirection w:val="lrTb"/>
            <w:noWrap/>
          </w:tcPr>
          <w:p>
            <w:pPr>
              <w:spacing w:before="0" w:after="0" w:line="57" w:lineRule="atLeast"/>
            </w:pPr>
            <w:r/>
            <w:r/>
          </w:p>
        </w:tc>
        <w:tc>
          <w:tcPr>
            <w:gridSpan w:val="2"/>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（万件）</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回收价格    （元/件）</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费用（万元）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3298" w:type="dxa"/>
            <w:vAlign w:val="center"/>
            <w:textDirection w:val="lrTb"/>
            <w:noWrap w:val="false"/>
          </w:tcPr>
          <w:p>
            <w:pPr>
              <w:spacing w:before="0" w:after="0" w:line="57" w:lineRule="atLeast"/>
            </w:pPr>
            <w:r/>
            <w:r/>
          </w:p>
        </w:tc>
      </w:tr>
      <w:tr>
        <w:trPr>
          <w:trHeight w:val="360"/>
        </w:trPr>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11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农药废弃包装物回收</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瓶装</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800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0.2</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160</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single" w:color="000000" w:sz="8" w:space="0"/>
              <w:left w:val="single" w:color="000000" w:sz="8" w:space="0"/>
              <w:bottom w:val="none" w:color="000000" w:sz="4" w:space="0"/>
              <w:right w:val="single" w:color="000000" w:sz="8" w:space="0"/>
            </w:tcBorders>
            <w:tcMar>
              <w:left w:w="13" w:type="dxa"/>
              <w:top w:w="13" w:type="dxa"/>
              <w:right w:w="13" w:type="dxa"/>
              <w:bottom w:w="0" w:type="dxa"/>
            </w:tcMar>
            <w:tcW w:w="32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由网点直接兑付农户，实施主体收集时即付网点费用。</w:t>
            </w:r>
            <w:r/>
          </w:p>
        </w:tc>
      </w:tr>
      <w:tr>
        <w:trPr>
          <w:trHeight w:val="3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袋装</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750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0.1</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75</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gridSpan w:val="2"/>
            <w:tcBorders>
              <w:top w:val="single" w:color="000000" w:sz="8" w:space="0"/>
              <w:left w:val="none" w:color="000000" w:sz="4" w:space="0"/>
              <w:bottom w:val="none" w:color="000000" w:sz="4" w:space="0"/>
              <w:right w:val="single" w:color="000000" w:sz="8" w:space="0"/>
            </w:tcBorders>
            <w:tcMar>
              <w:left w:w="13" w:type="dxa"/>
              <w:top w:w="13" w:type="dxa"/>
              <w:right w:w="13" w:type="dxa"/>
              <w:bottom w:w="0" w:type="dxa"/>
            </w:tcMar>
            <w:tcW w:w="15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回收补贴费用</w:t>
            </w:r>
            <w:r/>
          </w:p>
        </w:tc>
        <w:tc>
          <w:tcPr>
            <w:gridSpan w:val="2"/>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13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1550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0.05</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77.5</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网点补贴0.05元/件</w:t>
            </w:r>
            <w:r/>
          </w:p>
        </w:tc>
      </w:tr>
      <w:tr>
        <w:trPr>
          <w:trHeight w:val="200"/>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0.05</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u w:val="single"/>
              </w:rPr>
              <w:t xml:space="preserve">限价77.5万元，报价    </w:t>
            </w:r>
            <w:r/>
          </w:p>
        </w:tc>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实施主体补贴0.05元/件</w:t>
            </w:r>
            <w:r/>
          </w:p>
        </w:tc>
      </w:tr>
      <w:tr>
        <w:trPr>
          <w:trHeight w:val="360"/>
        </w:trPr>
        <w:tc>
          <w:tcPr>
            <w:vMerge w:val="continue"/>
            <w:textDirection w:val="lrTb"/>
            <w:noWrap w:val="false"/>
          </w:tcPr>
          <w:p>
            <w:r/>
            <w:r/>
          </w:p>
        </w:tc>
        <w:tc>
          <w:tcPr>
            <w:gridSpan w:val="2"/>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无害化处置费</w:t>
            </w:r>
            <w:r/>
          </w:p>
        </w:tc>
        <w:tc>
          <w:tcPr>
            <w:gridSpan w:val="2"/>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1725元/吨</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43</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区财政按实支付</w:t>
            </w:r>
            <w:r/>
          </w:p>
        </w:tc>
      </w:tr>
      <w:tr>
        <w:trPr>
          <w:trHeight w:val="570"/>
        </w:trPr>
        <w:tc>
          <w:tcPr>
            <w:tcBorders>
              <w:top w:val="none" w:color="000000" w:sz="4" w:space="0"/>
              <w:left w:val="single" w:color="000000" w:sz="8" w:space="0"/>
              <w:bottom w:val="single" w:color="000000" w:sz="8" w:space="0"/>
              <w:right w:val="single" w:color="000000" w:sz="8" w:space="0"/>
            </w:tcBorders>
            <w:tcMar>
              <w:left w:w="13" w:type="dxa"/>
              <w:top w:w="13" w:type="dxa"/>
              <w:right w:w="13" w:type="dxa"/>
              <w:bottom w:w="0" w:type="dxa"/>
            </w:tcMar>
            <w:tcW w:w="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回收数量</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回收价格</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补助标准</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0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补助经费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spacing w:before="0" w:after="0" w:line="57" w:lineRule="atLeast"/>
            </w:pPr>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废弃大棚膜回收</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1200吨</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市场价</w:t>
            </w:r>
            <w:r/>
          </w:p>
        </w:tc>
        <w:tc>
          <w:tcPr>
            <w:gridSpan w:val="2"/>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市场回收</w:t>
            </w:r>
            <w:r/>
          </w:p>
        </w:tc>
      </w:tr>
      <w:tr>
        <w:trPr>
          <w:trHeight w:val="275"/>
        </w:trPr>
        <w:tc>
          <w:tcPr>
            <w:vMerge w:val="continue"/>
            <w:textDirection w:val="lrTb"/>
            <w:noWrap w:val="false"/>
          </w:tcPr>
          <w:p>
            <w:r/>
            <w:r/>
          </w:p>
        </w:tc>
        <w:tc>
          <w:tcPr>
            <w:gridSpan w:val="2"/>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15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废弃地膜回收</w:t>
            </w:r>
            <w:r/>
          </w:p>
        </w:tc>
        <w:tc>
          <w:tcPr>
            <w:gridSpan w:val="2"/>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13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400吨</w:t>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0.6元/公斤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农户</w:t>
            </w:r>
            <w:r/>
          </w:p>
        </w:tc>
      </w:tr>
      <w:tr>
        <w:trPr>
          <w:trHeight w:val="225"/>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0.2元/公斤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回收点</w:t>
            </w:r>
            <w:r/>
          </w:p>
        </w:tc>
      </w:tr>
      <w:tr>
        <w:trPr>
          <w:trHeight w:val="425"/>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0.2元/公斤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u w:val="single"/>
              </w:rPr>
              <w:t xml:space="preserve">限价8万元，报价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实施主体</w:t>
            </w:r>
            <w:r/>
          </w:p>
        </w:tc>
      </w:tr>
      <w:tr>
        <w:trPr>
          <w:trHeight w:val="459"/>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处置费用，按实结报</w:t>
            </w:r>
            <w:r/>
          </w:p>
        </w:tc>
      </w:tr>
      <w:tr>
        <w:trPr>
          <w:trHeight w:val="36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2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小计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1元/公斤</w:t>
            </w:r>
            <w:r/>
          </w:p>
        </w:tc>
        <w:tc>
          <w:tcPr>
            <w:gridSpan w:val="3"/>
            <w:tcBorders>
              <w:top w:val="none" w:color="000000" w:sz="4"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60"/>
        </w:trPr>
        <w:tc>
          <w:tcPr>
            <w:tcBorders>
              <w:top w:val="none" w:color="000000" w:sz="4" w:space="0"/>
              <w:left w:val="single" w:color="000000" w:sz="8" w:space="0"/>
              <w:bottom w:val="single" w:color="000000" w:sz="8"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gridSpan w:val="5"/>
            <w:tcBorders>
              <w:top w:val="single" w:color="000000" w:sz="8" w:space="0"/>
              <w:left w:val="single" w:color="000000" w:sz="8" w:space="0"/>
              <w:bottom w:val="single" w:color="000000" w:sz="8" w:space="0"/>
              <w:right w:val="single" w:color="000000" w:sz="8" w:space="0"/>
            </w:tcBorders>
            <w:tcMar>
              <w:left w:w="13" w:type="dxa"/>
              <w:top w:w="13" w:type="dxa"/>
              <w:right w:w="13" w:type="dxa"/>
              <w:bottom w:w="0" w:type="dxa"/>
            </w:tcMar>
            <w:tcW w:w="68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第三方审计费用</w:t>
            </w:r>
            <w:r/>
          </w:p>
        </w:tc>
        <w:tc>
          <w:tcPr>
            <w:gridSpan w:val="3"/>
            <w:tcBorders>
              <w:top w:val="none" w:color="000000" w:sz="4" w:space="0"/>
              <w:left w:val="none" w:color="000000" w:sz="4" w:space="0"/>
              <w:bottom w:val="none" w:color="000000" w:sz="4" w:space="0"/>
              <w:right w:val="single" w:color="000000" w:sz="8" w:space="0"/>
            </w:tcBorders>
            <w:tcMar>
              <w:left w:w="13" w:type="dxa"/>
              <w:top w:w="13" w:type="dxa"/>
              <w:right w:w="13" w:type="dxa"/>
              <w:bottom w:w="0" w:type="dxa"/>
            </w:tcMar>
            <w:tcW w:w="-6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22</w:t>
            </w:r>
            <w:r>
              <w:rPr>
                <w:rFonts w:ascii="FangSong" w:hAnsi="FangSong" w:eastAsia="FangSong" w:cs="FangSong"/>
                <w:color w:val="000000"/>
                <w:sz w:val="22"/>
              </w:rPr>
              <w:t xml:space="preserve">万元</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1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none" w:color="000000" w:sz="4" w:space="0"/>
              <w:right w:val="single" w:color="000000" w:sz="8" w:space="0"/>
            </w:tcBorders>
            <w:tcMar>
              <w:left w:w="13" w:type="dxa"/>
              <w:top w:w="13" w:type="dxa"/>
              <w:right w:w="13" w:type="dxa"/>
              <w:bottom w:w="0" w:type="dxa"/>
            </w:tcMar>
            <w:tcW w:w="329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由区供销总社招标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确定实施单位，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经审计后按实结报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60"/>
        </w:trPr>
        <w:tc>
          <w:tcPr>
            <w:tcBorders>
              <w:top w:val="none" w:color="000000" w:sz="4" w:space="0"/>
              <w:left w:val="single" w:color="000000" w:sz="8" w:space="0"/>
              <w:bottom w:val="single" w:color="000000" w:sz="8"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gridSpan w:val="5"/>
            <w:tcBorders>
              <w:top w:val="single" w:color="000000" w:sz="8" w:space="0"/>
              <w:left w:val="single" w:color="000000" w:sz="8" w:space="0"/>
              <w:bottom w:val="single" w:color="000000" w:sz="8" w:space="0"/>
              <w:right w:val="single" w:color="000000" w:sz="8" w:space="0"/>
            </w:tcBorders>
            <w:tcMar>
              <w:left w:w="13" w:type="dxa"/>
              <w:top w:w="13" w:type="dxa"/>
              <w:right w:w="13" w:type="dxa"/>
              <w:bottom w:w="0" w:type="dxa"/>
            </w:tcMar>
            <w:tcW w:w="68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信息平台维护费</w:t>
            </w:r>
            <w:r/>
          </w:p>
        </w:tc>
        <w:tc>
          <w:tcPr>
            <w:gridSpan w:val="3"/>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1068"/>
        </w:trPr>
        <w:tc>
          <w:tcPr>
            <w:tcBorders>
              <w:top w:val="none" w:color="000000" w:sz="4" w:space="0"/>
              <w:left w:val="single" w:color="000000" w:sz="8" w:space="0"/>
              <w:bottom w:val="none" w:color="000000" w:sz="4"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gridSpan w:val="5"/>
            <w:tcBorders>
              <w:top w:val="single" w:color="000000" w:sz="8" w:space="0"/>
              <w:left w:val="single" w:color="000000" w:sz="8" w:space="0"/>
              <w:bottom w:val="none" w:color="000000" w:sz="4" w:space="0"/>
              <w:right w:val="single" w:color="000000" w:sz="8" w:space="0"/>
            </w:tcBorders>
            <w:tcMar>
              <w:left w:w="13" w:type="dxa"/>
              <w:top w:w="13" w:type="dxa"/>
              <w:right w:w="13" w:type="dxa"/>
              <w:bottom w:w="0" w:type="dxa"/>
            </w:tcMar>
            <w:tcW w:w="68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网点建设、回收袋、考核奖励</w:t>
            </w:r>
            <w:r/>
          </w:p>
        </w:tc>
        <w:tc>
          <w:tcPr>
            <w:gridSpan w:val="3"/>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11"/>
        </w:trPr>
        <w:tc>
          <w:tcPr>
            <w:tcBorders>
              <w:top w:val="single" w:color="000000" w:sz="8" w:space="0"/>
              <w:left w:val="single" w:color="000000" w:sz="8" w:space="0"/>
              <w:bottom w:val="single" w:color="000000" w:sz="8" w:space="0"/>
              <w:right w:val="none" w:color="000000" w:sz="4" w:space="0"/>
            </w:tcBorders>
            <w:tcMar>
              <w:left w:w="13" w:type="dxa"/>
              <w:top w:w="13" w:type="dxa"/>
              <w:right w:w="13"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gridSpan w:val="5"/>
            <w:tcBorders>
              <w:top w:val="single" w:color="000000" w:sz="8" w:space="0"/>
              <w:left w:val="single" w:color="000000" w:sz="8" w:space="0"/>
              <w:bottom w:val="single" w:color="000000" w:sz="8" w:space="0"/>
              <w:right w:val="single" w:color="000000" w:sz="8" w:space="0"/>
            </w:tcBorders>
            <w:tcMar>
              <w:left w:w="13" w:type="dxa"/>
              <w:top w:w="13" w:type="dxa"/>
              <w:right w:w="13" w:type="dxa"/>
              <w:bottom w:w="0" w:type="dxa"/>
            </w:tcMar>
            <w:tcW w:w="68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gridSpan w:val="3"/>
            <w:tcBorders>
              <w:top w:val="single" w:color="000000" w:sz="8" w:space="0"/>
              <w:left w:val="none" w:color="000000" w:sz="4" w:space="0"/>
              <w:bottom w:val="single" w:color="000000" w:sz="8" w:space="0"/>
              <w:right w:val="single" w:color="000000" w:sz="8" w:space="0"/>
            </w:tcBorders>
            <w:tcMar>
              <w:left w:w="13" w:type="dxa"/>
              <w:top w:w="13" w:type="dxa"/>
              <w:right w:w="13"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不可竞争费649.5万元</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投标报价</w:t>
            </w:r>
            <w:r>
              <w:rPr>
                <w:rFonts w:ascii="FangSong" w:hAnsi="FangSong" w:eastAsia="FangSong" w:cs="FangSong"/>
                <w:b/>
                <w:color w:val="000000"/>
                <w:sz w:val="24"/>
                <w:u w:val="single"/>
              </w:rPr>
              <w:t xml:space="preserve">          万元</w:t>
            </w:r>
            <w:r/>
          </w:p>
        </w:tc>
      </w:tr>
    </w:tbl>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24"/>
        </w:rPr>
        <w:t xml:space="preserve">2023</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57</w:t>
      </w:r>
      <w:r>
        <w:rPr>
          <w:rFonts w:ascii="FangSong" w:hAnsi="FangSong" w:eastAsia="FangSong" w:cs="FangSong"/>
          <w:color w:val="000000"/>
          <w:sz w:val="24"/>
        </w:rPr>
        <w:t xml:space="preserve">号）和《关于深入开展南通市政府采购线上合同信用融资业务的通知》（通财购〔</w:t>
      </w:r>
      <w:r>
        <w:rPr>
          <w:rFonts w:ascii="Times New Roman" w:hAnsi="Times New Roman" w:eastAsia="Times New Roman" w:cs="Times New Roman"/>
          <w:color w:val="000000"/>
          <w:sz w:val="24"/>
        </w:rPr>
        <w:t xml:space="preserve">2022</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68</w:t>
      </w:r>
      <w:r>
        <w:rPr>
          <w:rFonts w:ascii="FangSong" w:hAnsi="FangSong" w:eastAsia="FangSong" w:cs="FangSong"/>
          <w:color w:val="000000"/>
          <w:sz w:val="24"/>
        </w:rPr>
        <w:t xml:space="preserve">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2024-11-19T07:50:31Z</dcterms:created>
  <dcterms:modified xsi:type="dcterms:W3CDTF">2024-11-19T08:37:55Z</dcterms:modified>
</cp:coreProperties>
</file>