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jc w:val="center"/>
        <w:rPr>
          <w:rFonts w:hint="eastAsia" w:ascii="宋体" w:hAnsi="宋体" w:eastAsia="宋体" w:cs="宋体"/>
          <w:b/>
          <w:bCs/>
          <w:color w:val="000000"/>
          <w:sz w:val="52"/>
          <w:szCs w:val="52"/>
          <w:highlight w:val="none"/>
          <w:lang w:eastAsia="zh-CN"/>
        </w:rPr>
      </w:pPr>
      <w:r>
        <w:rPr>
          <w:rFonts w:hint="eastAsia" w:ascii="宋体" w:hAnsi="宋体" w:eastAsia="宋体" w:cs="宋体"/>
          <w:b/>
          <w:bCs/>
          <w:color w:val="000000"/>
          <w:sz w:val="56"/>
          <w:szCs w:val="56"/>
          <w:highlight w:val="none"/>
          <w:lang w:val="en-US" w:eastAsia="zh-CN"/>
        </w:rPr>
        <w:t xml:space="preserve"> </w:t>
      </w:r>
      <w:r>
        <w:rPr>
          <w:rFonts w:hint="eastAsia" w:ascii="宋体" w:hAnsi="宋体" w:eastAsia="宋体" w:cs="宋体"/>
          <w:b/>
          <w:bCs/>
          <w:color w:val="000000"/>
          <w:sz w:val="52"/>
          <w:szCs w:val="52"/>
          <w:highlight w:val="none"/>
          <w:lang w:eastAsia="zh-CN"/>
        </w:rPr>
        <w:t xml:space="preserve">南京市江宁区交通运输局</w:t>
      </w:r>
      <w:r>
        <w:rPr>
          <w:rFonts w:hint="eastAsia" w:ascii="宋体" w:hAnsi="宋体" w:eastAsia="宋体" w:cs="宋体"/>
          <w:b/>
          <w:bCs/>
          <w:color w:val="000000"/>
          <w:sz w:val="52"/>
          <w:szCs w:val="52"/>
          <w:highlight w:val="none"/>
          <w:lang w:eastAsia="zh-CN"/>
        </w:rPr>
      </w:r>
      <w:r/>
    </w:p>
    <w:p>
      <w:pPr>
        <w:pStyle w:val="884"/>
        <w:jc w:val="cente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lang w:val="en-US" w:eastAsia="zh-CN"/>
        </w:rPr>
        <w:t xml:space="preserve">车载电子抓拍等智慧执法装备采购项目</w:t>
      </w:r>
      <w:r>
        <w:rPr>
          <w:rFonts w:hint="eastAsia" w:ascii="宋体" w:hAnsi="宋体" w:eastAsia="宋体" w:cs="宋体"/>
          <w:b/>
          <w:bCs/>
          <w:color w:val="000000"/>
          <w:sz w:val="52"/>
          <w:szCs w:val="52"/>
          <w:highlight w:val="none"/>
        </w:rPr>
      </w:r>
      <w:r/>
    </w:p>
    <w:p>
      <w:pPr>
        <w:pStyle w:val="884"/>
        <w:jc w:val="center"/>
        <w:shd w:val="clear" w:color="auto" w:fill="auto"/>
        <w:rPr>
          <w:rFonts w:ascii="黑体" w:hAnsi="黑体" w:eastAsia="黑体" w:cs="黑体"/>
          <w:b/>
          <w:bCs/>
          <w:color w:val="000000"/>
          <w:sz w:val="48"/>
          <w:szCs w:val="48"/>
          <w:highlight w:val="none"/>
        </w:rPr>
      </w:pPr>
      <w:r>
        <w:rPr>
          <w:rFonts w:ascii="黑体" w:hAnsi="黑体" w:eastAsia="黑体" w:cs="黑体"/>
          <w:b/>
          <w:bCs/>
          <w:color w:val="000000"/>
          <w:sz w:val="48"/>
          <w:szCs w:val="48"/>
          <w:highlight w:val="none"/>
        </w:rPr>
      </w:r>
      <w:r/>
    </w:p>
    <w:p>
      <w:pPr>
        <w:pStyle w:val="884"/>
        <w:jc w:val="center"/>
        <w:shd w:val="clear" w:color="auto" w:fill="auto"/>
        <w:rPr>
          <w:rFonts w:ascii="黑体" w:hAnsi="黑体" w:eastAsia="黑体" w:cs="黑体"/>
          <w:b/>
          <w:bCs/>
          <w:color w:val="000000"/>
          <w:sz w:val="48"/>
          <w:szCs w:val="48"/>
          <w:highlight w:val="none"/>
        </w:rPr>
      </w:pPr>
      <w:r>
        <w:rPr>
          <w:rFonts w:ascii="黑体" w:hAnsi="黑体" w:eastAsia="黑体" w:cs="黑体"/>
          <w:b/>
          <w:bCs/>
          <w:color w:val="000000"/>
          <w:sz w:val="48"/>
          <w:szCs w:val="48"/>
          <w:highlight w:val="none"/>
        </w:rPr>
      </w:r>
      <w:r/>
    </w:p>
    <w:p>
      <w:pPr>
        <w:pStyle w:val="884"/>
        <w:jc w:val="center"/>
        <w:shd w:val="clear" w:color="auto" w:fill="auto"/>
        <w:rPr>
          <w:rFonts w:hint="eastAsia" w:ascii="黑体" w:hAnsi="黑体" w:eastAsia="黑体" w:cs="黑体"/>
          <w:b/>
          <w:bCs/>
          <w:color w:val="000000"/>
          <w:sz w:val="32"/>
          <w:szCs w:val="32"/>
          <w:highlight w:val="none"/>
          <w:lang w:val="en-US" w:eastAsia="zh-CN"/>
        </w:rPr>
      </w:pPr>
      <w:r>
        <w:rPr>
          <w:rFonts w:hint="eastAsia" w:ascii="黑体" w:hAnsi="黑体" w:eastAsia="黑体" w:cs="黑体"/>
          <w:b/>
          <w:bCs/>
          <w:color w:val="000000"/>
          <w:sz w:val="32"/>
          <w:szCs w:val="32"/>
          <w:highlight w:val="none"/>
        </w:rPr>
        <w:t xml:space="preserve">项目编号：</w:t>
      </w:r>
      <w:r>
        <w:rPr>
          <w:rFonts w:hint="eastAsia" w:ascii="黑体" w:hAnsi="黑体" w:eastAsia="黑体" w:cs="黑体"/>
          <w:b/>
          <w:bCs/>
          <w:color w:val="000000"/>
          <w:sz w:val="32"/>
          <w:szCs w:val="32"/>
          <w:highlight w:val="none"/>
          <w:lang w:eastAsia="zh-CN"/>
        </w:rPr>
        <w:t xml:space="preserve">JSZC-320115-JSHY-G2024-0388</w:t>
      </w:r>
      <w:r>
        <w:rPr>
          <w:rFonts w:hint="eastAsia" w:ascii="黑体" w:hAnsi="黑体" w:eastAsia="黑体" w:cs="黑体"/>
          <w:b/>
          <w:bCs/>
          <w:color w:val="000000"/>
          <w:sz w:val="32"/>
          <w:szCs w:val="32"/>
          <w:highlight w:val="none"/>
          <w:lang w:val="en-US" w:eastAsia="zh-CN"/>
        </w:rPr>
      </w:r>
      <w:r/>
    </w:p>
    <w:p>
      <w:pPr>
        <w:pStyle w:val="884"/>
        <w:shd w:val="clear" w:color="auto" w:fill="auto"/>
        <w:rPr>
          <w:rFonts w:hint="eastAsia" w:ascii="华文琥珀" w:eastAsia="华文琥珀"/>
          <w:color w:val="000000"/>
          <w:sz w:val="36"/>
          <w:szCs w:val="36"/>
          <w:highlight w:val="none"/>
        </w:rPr>
      </w:pPr>
      <w:r>
        <w:rPr>
          <w:rFonts w:hint="eastAsia" w:ascii="华文琥珀" w:eastAsia="华文琥珀"/>
          <w:color w:val="000000"/>
          <w:sz w:val="36"/>
          <w:szCs w:val="36"/>
          <w:highlight w:val="none"/>
        </w:rPr>
      </w:r>
      <w:r/>
    </w:p>
    <w:p>
      <w:pPr>
        <w:pStyle w:val="884"/>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pStyle w:val="884"/>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pStyle w:val="884"/>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pStyle w:val="884"/>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pStyle w:val="884"/>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pStyle w:val="884"/>
        <w:jc w:val="center"/>
        <w:shd w:val="clear" w:color="auto" w:fill="auto"/>
        <w:rPr>
          <w:rFonts w:hint="eastAsia" w:ascii="黑体" w:eastAsia="黑体"/>
          <w:color w:val="000000"/>
          <w:sz w:val="82"/>
          <w:szCs w:val="72"/>
          <w:highlight w:val="none"/>
        </w:rPr>
      </w:pPr>
      <w:r>
        <w:rPr>
          <w:rFonts w:hint="eastAsia" w:ascii="黑体" w:eastAsia="黑体"/>
          <w:color w:val="000000"/>
          <w:sz w:val="82"/>
          <w:szCs w:val="72"/>
          <w:highlight w:val="none"/>
        </w:rPr>
        <w:t xml:space="preserve">招  标  文  件</w:t>
      </w:r>
      <w:r>
        <w:rPr>
          <w:rFonts w:hint="eastAsia" w:ascii="黑体" w:eastAsia="黑体"/>
          <w:color w:val="000000"/>
          <w:sz w:val="82"/>
          <w:szCs w:val="72"/>
          <w:highlight w:val="none"/>
        </w:rPr>
      </w:r>
      <w:r/>
    </w:p>
    <w:p>
      <w:pPr>
        <w:pStyle w:val="884"/>
        <w:ind w:firstLine="1980"/>
        <w:jc w:val="left"/>
        <w:spacing w:line="500" w:lineRule="exact"/>
        <w:shd w:val="clear" w:color="auto" w:fill="auto"/>
        <w:rPr>
          <w:rFonts w:hint="eastAsia" w:ascii="华文楷体" w:eastAsia="华文楷体"/>
          <w:color w:val="000000"/>
          <w:sz w:val="36"/>
          <w:szCs w:val="36"/>
          <w:highlight w:val="none"/>
        </w:rPr>
      </w:pPr>
      <w:r>
        <w:rPr>
          <w:rFonts w:hint="eastAsia" w:ascii="华文楷体" w:eastAsia="华文楷体"/>
          <w:color w:val="000000"/>
          <w:sz w:val="36"/>
          <w:szCs w:val="36"/>
          <w:highlight w:val="none"/>
        </w:rPr>
      </w:r>
      <w:r/>
    </w:p>
    <w:p>
      <w:pPr>
        <w:pStyle w:val="884"/>
        <w:ind w:firstLine="1980"/>
        <w:jc w:val="left"/>
        <w:spacing w:line="500" w:lineRule="exact"/>
        <w:shd w:val="clear" w:color="auto" w:fill="auto"/>
        <w:rPr>
          <w:rFonts w:hint="eastAsia" w:ascii="华文楷体" w:eastAsia="华文楷体"/>
          <w:color w:val="000000"/>
          <w:sz w:val="36"/>
          <w:szCs w:val="36"/>
          <w:highlight w:val="none"/>
        </w:rPr>
      </w:pPr>
      <w:r>
        <w:rPr>
          <w:rFonts w:hint="eastAsia" w:ascii="华文楷体" w:eastAsia="华文楷体"/>
          <w:color w:val="000000"/>
          <w:sz w:val="36"/>
          <w:szCs w:val="36"/>
          <w:highlight w:val="none"/>
        </w:rPr>
      </w:r>
      <w:r/>
    </w:p>
    <w:p>
      <w:pPr>
        <w:pStyle w:val="884"/>
        <w:jc w:val="left"/>
        <w:spacing w:line="500" w:lineRule="exact"/>
        <w:shd w:val="clear" w:color="auto" w:fill="auto"/>
        <w:rPr>
          <w:rFonts w:hint="eastAsia" w:ascii="华文楷体" w:eastAsia="华文楷体"/>
          <w:color w:val="000000"/>
          <w:sz w:val="36"/>
          <w:szCs w:val="36"/>
          <w:highlight w:val="none"/>
        </w:rPr>
      </w:pPr>
      <w:r>
        <w:rPr>
          <w:rFonts w:hint="eastAsia" w:ascii="华文楷体" w:eastAsia="华文楷体"/>
          <w:color w:val="000000"/>
          <w:sz w:val="36"/>
          <w:szCs w:val="36"/>
          <w:highlight w:val="none"/>
        </w:rPr>
      </w:r>
      <w:r/>
    </w:p>
    <w:p>
      <w:pPr>
        <w:pStyle w:val="884"/>
        <w:shd w:val="clear" w:color="auto" w:fill="auto"/>
        <w:rPr>
          <w:rFonts w:hint="eastAsia"/>
          <w:color w:val="000000"/>
          <w:highlight w:val="none"/>
        </w:rPr>
      </w:pPr>
      <w:r>
        <w:rPr>
          <w:rFonts w:hint="eastAsia"/>
          <w:color w:val="000000"/>
          <w:highlight w:val="none"/>
        </w:rPr>
      </w:r>
      <w:r/>
    </w:p>
    <w:p>
      <w:pPr>
        <w:pStyle w:val="884"/>
        <w:shd w:val="clear" w:color="auto" w:fill="auto"/>
        <w:rPr>
          <w:rFonts w:hint="eastAsia"/>
          <w:color w:val="000000"/>
          <w:highlight w:val="none"/>
        </w:rPr>
      </w:pPr>
      <w:r>
        <w:rPr>
          <w:rFonts w:hint="eastAsia"/>
          <w:color w:val="000000"/>
          <w:highlight w:val="none"/>
        </w:rPr>
      </w:r>
      <w:r/>
    </w:p>
    <w:p>
      <w:pPr>
        <w:pStyle w:val="884"/>
        <w:shd w:val="clear" w:color="auto" w:fill="auto"/>
        <w:rPr>
          <w:color w:val="000000"/>
          <w:highlight w:val="none"/>
        </w:rPr>
      </w:pPr>
      <w:r>
        <w:rPr>
          <w:color w:val="000000"/>
          <w:highlight w:val="none"/>
        </w:rPr>
      </w:r>
      <w:r/>
    </w:p>
    <w:p>
      <w:pPr>
        <w:pStyle w:val="884"/>
        <w:shd w:val="clear" w:color="auto" w:fill="auto"/>
        <w:rPr>
          <w:color w:val="000000"/>
          <w:highlight w:val="none"/>
        </w:rPr>
      </w:pPr>
      <w:r>
        <w:rPr>
          <w:color w:val="000000"/>
          <w:highlight w:val="none"/>
        </w:rPr>
      </w:r>
      <w:r/>
    </w:p>
    <w:p>
      <w:pPr>
        <w:pStyle w:val="884"/>
        <w:shd w:val="clear" w:color="auto" w:fill="auto"/>
        <w:rPr>
          <w:rFonts w:hint="eastAsia"/>
          <w:color w:val="000000"/>
          <w:highlight w:val="none"/>
        </w:rPr>
      </w:pPr>
      <w:r>
        <w:rPr>
          <w:rFonts w:hint="eastAsia"/>
          <w:color w:val="000000"/>
          <w:highlight w:val="none"/>
        </w:rPr>
      </w:r>
      <w:r/>
    </w:p>
    <w:p>
      <w:pPr>
        <w:pStyle w:val="884"/>
        <w:shd w:val="clear" w:color="auto" w:fill="auto"/>
        <w:rPr>
          <w:rFonts w:hint="eastAsia"/>
          <w:color w:val="000000"/>
          <w:highlight w:val="none"/>
        </w:rPr>
      </w:pPr>
      <w:r>
        <w:rPr>
          <w:rFonts w:hint="eastAsia"/>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884"/>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采购人：</w:t>
            </w:r>
            <w:r>
              <w:rPr>
                <w:rFonts w:hint="eastAsia" w:ascii="黑体" w:hAnsi="黑体" w:eastAsia="黑体" w:cs="黑体"/>
                <w:b/>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884"/>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lang w:eastAsia="zh-CN"/>
              </w:rPr>
              <w:t xml:space="preserve">南京市江宁区交通运输局</w:t>
            </w:r>
            <w:r>
              <w:rPr>
                <w:rFonts w:hint="eastAsia" w:ascii="黑体" w:hAnsi="黑体" w:eastAsia="黑体" w:cs="黑体"/>
                <w:b/>
                <w:bCs/>
                <w:color w:val="000000"/>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884"/>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采购代理机构：</w:t>
            </w:r>
            <w:r>
              <w:rPr>
                <w:rFonts w:hint="eastAsia" w:ascii="黑体" w:hAnsi="黑体" w:eastAsia="黑体" w:cs="黑体"/>
                <w:b/>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884"/>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江苏弘业国际技术工程有限公司</w:t>
            </w:r>
            <w:r>
              <w:rPr>
                <w:rFonts w:hint="eastAsia" w:ascii="黑体" w:hAnsi="黑体" w:eastAsia="黑体" w:cs="黑体"/>
                <w:b/>
                <w:bCs/>
                <w:color w:val="000000"/>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884"/>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日  期：</w:t>
            </w:r>
            <w:r>
              <w:rPr>
                <w:rFonts w:hint="eastAsia" w:ascii="黑体" w:hAnsi="黑体" w:eastAsia="黑体" w:cs="黑体"/>
                <w:b/>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884"/>
              <w:shd w:val="clear" w:color="auto" w:fill="auto"/>
              <w:rPr>
                <w:rFonts w:hint="eastAsia" w:ascii="黑体" w:hAnsi="黑体" w:eastAsia="黑体" w:cs="黑体"/>
                <w:b/>
                <w:bCs/>
                <w:color w:val="000000"/>
                <w:sz w:val="32"/>
                <w:szCs w:val="32"/>
                <w:highlight w:val="none"/>
              </w:rPr>
            </w:pPr>
            <w:r/>
            <w:bookmarkStart w:id="0" w:name="EB011e21966a4746ceac4488705cfdd813"/>
            <w:r>
              <w:rPr>
                <w:rFonts w:hint="eastAsia" w:ascii="黑体" w:hAnsi="黑体" w:eastAsia="黑体" w:cs="黑体"/>
                <w:b/>
                <w:bCs/>
                <w:color w:val="000000"/>
                <w:sz w:val="32"/>
                <w:szCs w:val="32"/>
                <w:highlight w:val="none"/>
              </w:rPr>
              <w:t xml:space="preserve">2024年</w:t>
            </w:r>
            <w:r>
              <w:rPr>
                <w:rFonts w:hint="eastAsia" w:ascii="黑体" w:hAnsi="黑体" w:eastAsia="黑体" w:cs="黑体"/>
                <w:b/>
                <w:bCs/>
                <w:color w:val="000000"/>
                <w:sz w:val="32"/>
                <w:szCs w:val="32"/>
                <w:highlight w:val="none"/>
                <w:lang w:val="en-US" w:eastAsia="zh-CN"/>
              </w:rPr>
              <w:t xml:space="preserve">10</w:t>
            </w:r>
            <w:r>
              <w:rPr>
                <w:rFonts w:hint="eastAsia" w:ascii="黑体" w:hAnsi="黑体" w:eastAsia="黑体" w:cs="黑体"/>
                <w:b/>
                <w:bCs/>
                <w:color w:val="000000"/>
                <w:sz w:val="32"/>
                <w:szCs w:val="32"/>
                <w:highlight w:val="none"/>
              </w:rPr>
              <w:t xml:space="preserve">月</w:t>
            </w:r>
            <w:bookmarkEnd w:id="0"/>
            <w:r>
              <w:rPr>
                <w:rFonts w:hint="eastAsia" w:ascii="黑体" w:hAnsi="黑体" w:eastAsia="黑体" w:cs="黑体"/>
                <w:b/>
                <w:bCs/>
                <w:color w:val="000000"/>
                <w:sz w:val="32"/>
                <w:szCs w:val="32"/>
                <w:highlight w:val="none"/>
              </w:rPr>
            </w:r>
            <w:r/>
          </w:p>
        </w:tc>
      </w:tr>
    </w:tbl>
    <w:p>
      <w:pPr>
        <w:pStyle w:val="884"/>
        <w:shd w:val="clear" w:color="auto" w:fill="auto"/>
        <w:rPr>
          <w:rFonts w:hint="eastAsia"/>
          <w:color w:val="000000"/>
          <w:highlight w:val="none"/>
        </w:rPr>
      </w:pPr>
      <w:r>
        <w:rPr>
          <w:rFonts w:hint="eastAsia"/>
          <w:color w:val="000000"/>
          <w:highlight w:val="none"/>
        </w:rPr>
      </w:r>
      <w:r/>
    </w:p>
    <w:p>
      <w:pPr>
        <w:pStyle w:val="884"/>
        <w:shd w:val="clear" w:color="auto" w:fill="auto"/>
        <w:rPr>
          <w:rFonts w:hint="eastAsia"/>
          <w:color w:val="000000"/>
          <w:highlight w:val="none"/>
        </w:rPr>
      </w:pPr>
      <w:r>
        <w:rPr>
          <w:rFonts w:hint="eastAsia"/>
          <w:color w:val="000000"/>
          <w:highlight w:val="none"/>
        </w:rPr>
      </w:r>
      <w:r/>
    </w:p>
    <w:p>
      <w:pPr>
        <w:pStyle w:val="884"/>
        <w:shd w:val="clear" w:color="auto" w:fill="auto"/>
        <w:rPr>
          <w:rFonts w:hint="eastAsia"/>
          <w:color w:val="000000"/>
          <w:highlight w:val="none"/>
        </w:rPr>
      </w:pPr>
      <w:r>
        <w:rPr>
          <w:rFonts w:hint="eastAsia"/>
          <w:color w:val="000000"/>
          <w:highlight w:val="none"/>
        </w:rPr>
      </w:r>
      <w:r/>
    </w:p>
    <w:p>
      <w:pPr>
        <w:shd w:val="nil" w:color="auto"/>
        <w:rPr>
          <w:rFonts w:hint="eastAsia"/>
          <w:color w:val="000000"/>
          <w:highlight w:val="none"/>
        </w:rPr>
      </w:pPr>
      <w:r>
        <w:rPr>
          <w:rFonts w:hint="eastAsia"/>
          <w:color w:val="000000"/>
          <w:highlight w:val="none"/>
        </w:rPr>
        <w:br w:type="page" w:clear="all"/>
      </w:r>
      <w:r>
        <w:rPr>
          <w:rFonts w:hint="eastAsia"/>
          <w:color w:val="000000"/>
          <w:highlight w:val="none"/>
        </w:rPr>
      </w:r>
      <w:r/>
    </w:p>
    <w:p>
      <w:pPr>
        <w:pStyle w:val="884"/>
        <w:shd w:val="clear" w:color="auto" w:fill="auto"/>
        <w:rPr>
          <w:rFonts w:hint="eastAsia"/>
          <w:color w:val="000000"/>
          <w:highlight w:val="none"/>
        </w:rPr>
      </w:pPr>
      <w:r>
        <w:rPr>
          <w:rFonts w:hint="eastAsia"/>
          <w:color w:val="000000"/>
          <w:highlight w:val="none"/>
        </w:rPr>
      </w:r>
      <w:r/>
    </w:p>
    <w:p>
      <w:pPr>
        <w:pStyle w:val="884"/>
        <w:shd w:val="clear" w:color="auto" w:fill="auto"/>
        <w:rPr>
          <w:rFonts w:hint="eastAsia"/>
          <w:color w:val="000000"/>
          <w:highlight w:val="none"/>
        </w:rPr>
      </w:pPr>
      <w:r>
        <w:rPr>
          <w:rFonts w:hint="eastAsia"/>
          <w:color w:val="000000"/>
          <w:highlight w:val="none"/>
        </w:rPr>
      </w:r>
      <w:r/>
    </w:p>
    <w:p>
      <w:pPr>
        <w:pStyle w:val="896"/>
        <w:shd w:val="clear" w:color="auto" w:fill="auto"/>
        <w:tabs>
          <w:tab w:val="left" w:pos="6527" w:leader="none"/>
        </w:tabs>
        <w:rPr>
          <w:rFonts w:hint="eastAsia"/>
          <w:color w:val="000000"/>
          <w:highlight w:val="none"/>
        </w:rPr>
      </w:pPr>
      <w:r/>
      <w:bookmarkStart w:id="1" w:name="EB06f4f849a067447382c5c19bd1747a07"/>
      <w:r>
        <w:rPr>
          <w:rFonts w:hint="eastAsia"/>
          <w:color w:val="000000"/>
          <w:sz w:val="20"/>
          <w:highlight w:val="none"/>
        </w:rPr>
        <w:t xml:space="preserve"> </w:t>
      </w:r>
      <w:bookmarkEnd w:id="1"/>
      <w:r>
        <w:rPr>
          <w:rFonts w:hint="eastAsia"/>
          <w:color w:val="000000"/>
          <w:highlight w:val="none"/>
        </w:rPr>
        <w:tab/>
      </w:r>
      <w:r>
        <w:rPr>
          <w:rFonts w:hint="eastAsia"/>
          <w:color w:val="000000"/>
          <w:highlight w:val="none"/>
        </w:rPr>
      </w:r>
      <w:r/>
    </w:p>
    <w:p>
      <w:pPr>
        <w:pStyle w:val="884"/>
        <w:jc w:val="center"/>
        <w:shd w:val="clear" w:color="auto" w:fill="auto"/>
        <w:rPr>
          <w:rFonts w:hint="eastAsia" w:eastAsia="仿宋_GB2312"/>
          <w:color w:val="000000"/>
          <w:highlight w:val="none"/>
        </w:rPr>
      </w:pPr>
      <w:r>
        <w:rPr>
          <w:rFonts w:ascii="宋体" w:hAnsi="宋体"/>
          <w:b/>
          <w:bCs/>
          <w:color w:val="000000"/>
          <w:sz w:val="24"/>
          <w:szCs w:val="28"/>
          <w:highlight w:val="none"/>
        </w:rPr>
        <w:t xml:space="preserve">目</w:t>
      </w:r>
      <w:r>
        <w:rPr>
          <w:rFonts w:hint="eastAsia" w:ascii="宋体" w:hAnsi="宋体"/>
          <w:b/>
          <w:bCs/>
          <w:color w:val="000000"/>
          <w:sz w:val="24"/>
          <w:szCs w:val="28"/>
          <w:highlight w:val="none"/>
          <w:lang w:val="en-US" w:eastAsia="zh-CN"/>
        </w:rPr>
        <w:t xml:space="preserve">  </w:t>
      </w:r>
      <w:r>
        <w:rPr>
          <w:rFonts w:ascii="宋体" w:hAnsi="宋体"/>
          <w:b/>
          <w:bCs/>
          <w:color w:val="000000"/>
          <w:sz w:val="24"/>
          <w:szCs w:val="28"/>
          <w:highlight w:val="none"/>
        </w:rPr>
        <w:t xml:space="preserve">录</w:t>
      </w:r>
      <w:r>
        <w:rPr>
          <w:rFonts w:hint="eastAsia" w:eastAsia="仿宋_GB2312"/>
          <w:color w:val="000000"/>
          <w:highlight w:val="none"/>
        </w:rPr>
      </w:r>
      <w:r/>
    </w:p>
    <w:p>
      <w:pPr>
        <w:pStyle w:val="1059"/>
        <w:spacing w:line="440" w:lineRule="exact"/>
        <w:shd w:val="clear" w:color="auto" w:fill="auto"/>
        <w:tabs>
          <w:tab w:val="right" w:pos="8844" w:leader="dot"/>
        </w:tabs>
        <w:rPr>
          <w:rFonts w:hint="eastAsia" w:ascii="宋体" w:hAnsi="宋体" w:cs="宋体"/>
          <w:color w:val="000000"/>
          <w:sz w:val="24"/>
          <w:szCs w:val="24"/>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TOC \o "1-2" \h \u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_Toc14268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第一部分  招标公告</w:t>
      </w:r>
      <w:r>
        <w:rPr>
          <w:rFonts w:hint="eastAsia" w:ascii="宋体" w:hAnsi="宋体" w:cs="宋体"/>
          <w:b/>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_Toc14268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fldChar w:fldCharType="end"/>
      </w:r>
      <w:r>
        <w:rPr>
          <w:rFonts w:hint="eastAsia" w:ascii="宋体" w:hAnsi="宋体" w:cs="宋体"/>
          <w:b/>
          <w:color w:val="000000"/>
          <w:sz w:val="24"/>
          <w:szCs w:val="24"/>
          <w:highlight w:val="none"/>
        </w:rPr>
        <w:fldChar w:fldCharType="end"/>
      </w:r>
      <w:r>
        <w:rPr>
          <w:rFonts w:hint="eastAsia" w:ascii="宋体" w:hAnsi="宋体" w:cs="宋体"/>
          <w:color w:val="000000"/>
          <w:sz w:val="24"/>
          <w:szCs w:val="24"/>
          <w:highlight w:val="none"/>
        </w:rPr>
      </w:r>
      <w:r/>
    </w:p>
    <w:p>
      <w:pPr>
        <w:pStyle w:val="1059"/>
        <w:spacing w:line="440" w:lineRule="exact"/>
        <w:shd w:val="clear" w:color="auto" w:fill="auto"/>
        <w:tabs>
          <w:tab w:val="right" w:pos="8844" w:leader="dot"/>
        </w:tabs>
        <w:rPr>
          <w:rFonts w:hint="eastAsia" w:ascii="宋体" w:hAnsi="宋体" w:cs="宋体"/>
          <w:color w:val="000000"/>
          <w:sz w:val="24"/>
          <w:szCs w:val="24"/>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_Toc1881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第二部分  投标人须知</w:t>
      </w:r>
      <w:r>
        <w:rPr>
          <w:rFonts w:hint="eastAsia" w:ascii="宋体" w:hAnsi="宋体" w:cs="宋体"/>
          <w:b/>
          <w:color w:val="000000"/>
          <w:sz w:val="24"/>
          <w:szCs w:val="24"/>
          <w:highlight w:val="none"/>
        </w:rPr>
        <w:tab/>
      </w:r>
      <w:r>
        <w:rPr>
          <w:rFonts w:hint="eastAsia" w:ascii="宋体" w:hAnsi="宋体" w:cs="宋体"/>
          <w:color w:val="000000"/>
          <w:sz w:val="24"/>
          <w:szCs w:val="24"/>
          <w:highlight w:val="none"/>
          <w:lang w:val="en-US" w:eastAsia="zh-CN"/>
        </w:rPr>
        <w:t xml:space="preserve">7</w:t>
      </w:r>
      <w:r>
        <w:rPr>
          <w:rFonts w:hint="eastAsia" w:ascii="宋体" w:hAnsi="宋体" w:cs="宋体"/>
          <w:b/>
          <w:color w:val="000000"/>
          <w:sz w:val="24"/>
          <w:szCs w:val="24"/>
          <w:highlight w:val="none"/>
        </w:rPr>
        <w:fldChar w:fldCharType="end"/>
      </w:r>
      <w:r>
        <w:rPr>
          <w:rFonts w:hint="eastAsia" w:ascii="宋体" w:hAnsi="宋体" w:cs="宋体"/>
          <w:color w:val="000000"/>
          <w:sz w:val="24"/>
          <w:szCs w:val="24"/>
          <w:highlight w:val="none"/>
        </w:rPr>
      </w:r>
      <w:r/>
    </w:p>
    <w:p>
      <w:pPr>
        <w:pStyle w:val="1059"/>
        <w:spacing w:line="440" w:lineRule="exact"/>
        <w:shd w:val="clear" w:color="auto" w:fill="auto"/>
        <w:tabs>
          <w:tab w:val="right" w:pos="8844" w:leader="dot"/>
        </w:tabs>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_Toc22015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第三部分  评标方法和标准</w:t>
      </w:r>
      <w:r>
        <w:rPr>
          <w:rFonts w:hint="eastAsia" w:ascii="宋体" w:hAnsi="宋体" w:cs="宋体"/>
          <w:b/>
          <w:color w:val="000000"/>
          <w:sz w:val="24"/>
          <w:szCs w:val="24"/>
          <w:highlight w:val="none"/>
        </w:rPr>
        <w:tab/>
      </w:r>
      <w:r>
        <w:rPr>
          <w:rFonts w:hint="eastAsia" w:ascii="宋体" w:hAnsi="宋体" w:cs="宋体"/>
          <w:color w:val="000000"/>
          <w:sz w:val="24"/>
          <w:szCs w:val="24"/>
          <w:highlight w:val="none"/>
          <w:lang w:val="en-US" w:eastAsia="zh-CN"/>
        </w:rPr>
        <w:t xml:space="preserve">2</w:t>
      </w:r>
      <w:r>
        <w:rPr>
          <w:rFonts w:hint="eastAsia" w:ascii="宋体" w:hAnsi="宋体" w:cs="宋体"/>
          <w:b/>
          <w:color w:val="000000"/>
          <w:sz w:val="24"/>
          <w:szCs w:val="24"/>
          <w:highlight w:val="none"/>
        </w:rPr>
        <w:fldChar w:fldCharType="end"/>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color w:val="000000"/>
          <w:sz w:val="24"/>
          <w:szCs w:val="24"/>
          <w:highlight w:val="none"/>
          <w:lang w:val="en-US" w:eastAsia="zh-CN"/>
        </w:rPr>
      </w:r>
      <w:r/>
    </w:p>
    <w:p>
      <w:pPr>
        <w:pStyle w:val="1059"/>
        <w:spacing w:line="440" w:lineRule="exact"/>
        <w:shd w:val="clear" w:color="auto" w:fill="auto"/>
        <w:tabs>
          <w:tab w:val="right" w:pos="8844" w:leader="dot"/>
        </w:tabs>
        <w:rPr>
          <w:rFonts w:hint="eastAsia" w:ascii="宋体" w:hAnsi="宋体" w:eastAsia="宋体" w:cs="宋体"/>
          <w:color w:val="000000"/>
          <w:sz w:val="24"/>
          <w:szCs w:val="24"/>
          <w:highlight w:val="none"/>
          <w:lang w:val="en-US" w:eastAsia="zh-CN"/>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_Toc1505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第四部分  采购需求</w:t>
      </w:r>
      <w:r>
        <w:rPr>
          <w:rFonts w:hint="eastAsia" w:ascii="宋体" w:hAnsi="宋体" w:cs="宋体"/>
          <w:b/>
          <w:color w:val="000000"/>
          <w:sz w:val="24"/>
          <w:szCs w:val="24"/>
          <w:highlight w:val="none"/>
        </w:rPr>
        <w:tab/>
      </w:r>
      <w:r>
        <w:rPr>
          <w:rFonts w:hint="eastAsia" w:ascii="宋体" w:hAnsi="宋体" w:cs="宋体"/>
          <w:color w:val="000000"/>
          <w:sz w:val="24"/>
          <w:szCs w:val="24"/>
          <w:highlight w:val="none"/>
          <w:lang w:val="en-US" w:eastAsia="zh-CN"/>
        </w:rPr>
        <w:t xml:space="preserve">2</w:t>
      </w:r>
      <w:r>
        <w:rPr>
          <w:rFonts w:hint="eastAsia" w:ascii="宋体" w:hAnsi="宋体" w:cs="宋体"/>
          <w:b/>
          <w:color w:val="000000"/>
          <w:sz w:val="24"/>
          <w:szCs w:val="24"/>
          <w:highlight w:val="none"/>
        </w:rPr>
        <w:fldChar w:fldCharType="end"/>
      </w: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p>
      <w:pPr>
        <w:pStyle w:val="1059"/>
        <w:spacing w:line="440" w:lineRule="exact"/>
        <w:shd w:val="clear" w:color="auto" w:fill="auto"/>
        <w:tabs>
          <w:tab w:val="right" w:pos="8844" w:leader="dot"/>
        </w:tabs>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_Toc9306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第五部分  合同格式及条款</w:t>
      </w:r>
      <w:r>
        <w:rPr>
          <w:rFonts w:hint="eastAsia" w:ascii="宋体" w:hAnsi="宋体" w:cs="宋体"/>
          <w:b/>
          <w:color w:val="000000"/>
          <w:sz w:val="24"/>
          <w:szCs w:val="24"/>
          <w:highlight w:val="none"/>
        </w:rPr>
        <w:tab/>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lang w:val="en-US" w:eastAsia="zh-CN"/>
        </w:rPr>
        <w:t xml:space="preserve">8</w:t>
      </w:r>
      <w:r>
        <w:rPr>
          <w:rFonts w:hint="eastAsia" w:ascii="宋体" w:hAnsi="宋体" w:eastAsia="宋体" w:cs="宋体"/>
          <w:b/>
          <w:color w:val="000000"/>
          <w:sz w:val="24"/>
          <w:szCs w:val="24"/>
          <w:highlight w:val="none"/>
          <w:lang w:val="en-US" w:eastAsia="zh-CN"/>
        </w:rPr>
      </w:r>
      <w:r/>
    </w:p>
    <w:p>
      <w:pPr>
        <w:pStyle w:val="1059"/>
        <w:spacing w:line="440" w:lineRule="exact"/>
        <w:shd w:val="clear" w:color="auto" w:fill="auto"/>
        <w:tabs>
          <w:tab w:val="right" w:pos="8844" w:leader="dot"/>
        </w:tabs>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_Toc12366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第六部分  投标文件格式</w:t>
      </w:r>
      <w:r>
        <w:rPr>
          <w:rFonts w:hint="eastAsia" w:ascii="宋体" w:hAnsi="宋体" w:cs="宋体"/>
          <w:b/>
          <w:color w:val="000000"/>
          <w:sz w:val="24"/>
          <w:szCs w:val="24"/>
          <w:highlight w:val="none"/>
        </w:rPr>
        <w:tab/>
      </w:r>
      <w:r>
        <w:rPr>
          <w:rFonts w:hint="eastAsia" w:ascii="宋体" w:hAnsi="宋体" w:cs="宋体"/>
          <w:b/>
          <w:color w:val="000000"/>
          <w:sz w:val="24"/>
          <w:szCs w:val="24"/>
          <w:highlight w:val="none"/>
        </w:rPr>
        <w:fldChar w:fldCharType="end"/>
      </w:r>
      <w:r>
        <w:rPr>
          <w:rFonts w:hint="eastAsia" w:ascii="宋体" w:hAnsi="宋体" w:cs="宋体"/>
          <w:b w:val="0"/>
          <w:bCs/>
          <w:color w:val="000000"/>
          <w:sz w:val="24"/>
          <w:szCs w:val="24"/>
          <w:highlight w:val="none"/>
          <w:lang w:val="en-US" w:eastAsia="zh-CN"/>
        </w:rPr>
        <w:t xml:space="preserve">50</w:t>
      </w:r>
      <w:r>
        <w:rPr>
          <w:rFonts w:ascii="宋体" w:hAnsi="宋体" w:eastAsia="宋体" w:cs="宋体"/>
          <w:b/>
          <w:color w:val="000000"/>
          <w:sz w:val="24"/>
          <w:szCs w:val="24"/>
          <w:highlight w:val="none"/>
          <w:lang w:val="en-US" w:eastAsia="zh-CN"/>
        </w:rPr>
      </w:r>
      <w:r/>
    </w:p>
    <w:p>
      <w:pPr>
        <w:pStyle w:val="1106"/>
        <w:ind w:left="420"/>
        <w:spacing w:line="440" w:lineRule="exact"/>
        <w:shd w:val="clear" w:color="auto" w:fill="auto"/>
        <w:tabs>
          <w:tab w:val="right" w:pos="8844" w:leader="dot"/>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jc w:val="left"/>
        <w:shd w:val="clear" w:color="auto" w:fill="auto"/>
        <w:tabs>
          <w:tab w:val="left" w:pos="5655" w:leader="none"/>
        </w:tabs>
        <w:rPr>
          <w:rFonts w:hint="eastAsia"/>
          <w:color w:val="000000"/>
          <w:highlight w:val="none"/>
        </w:rPr>
      </w:pPr>
      <w:r>
        <w:rPr>
          <w:rFonts w:hint="eastAsia"/>
          <w:color w:val="000000"/>
          <w:highlight w:val="none"/>
        </w:rPr>
        <w:tab/>
      </w:r>
      <w:r>
        <w:rPr>
          <w:rFonts w:hint="eastAsia"/>
          <w:color w:val="000000"/>
          <w:highlight w:val="none"/>
        </w:rPr>
      </w:r>
      <w:r/>
    </w:p>
    <w:p>
      <w:pPr>
        <w:pStyle w:val="884"/>
        <w:jc w:val="center"/>
        <w:keepLines/>
        <w:keepNext/>
        <w:pageBreakBefore/>
        <w:shd w:val="clear" w:color="auto" w:fill="auto"/>
        <w:rPr>
          <w:b/>
          <w:color w:val="000000"/>
          <w:sz w:val="32"/>
          <w:highlight w:val="none"/>
        </w:rPr>
        <w:outlineLvl w:val="0"/>
      </w:pPr>
      <w:r>
        <w:rPr>
          <w:rFonts w:hint="eastAsia" w:ascii="宋体" w:hAnsi="宋体" w:cs="宋体"/>
          <w:b/>
          <w:color w:val="000000"/>
          <w:sz w:val="24"/>
          <w:szCs w:val="24"/>
          <w:highlight w:val="none"/>
        </w:rPr>
        <w:fldChar w:fldCharType="end"/>
      </w:r>
      <w:bookmarkStart w:id="2" w:name="_Toc514054470"/>
      <w:r/>
      <w:bookmarkStart w:id="3" w:name="_Toc14268"/>
      <w:r>
        <w:rPr>
          <w:rFonts w:hint="eastAsia"/>
          <w:b/>
          <w:color w:val="000000"/>
          <w:sz w:val="44"/>
          <w:szCs w:val="44"/>
          <w:highlight w:val="none"/>
        </w:rPr>
        <w:t xml:space="preserve">第一部分  招标公告</w:t>
      </w:r>
      <w:bookmarkEnd w:id="2"/>
      <w:r/>
      <w:bookmarkEnd w:id="3"/>
      <w:r>
        <w:rPr>
          <w:b/>
          <w:color w:val="000000"/>
          <w:sz w:val="32"/>
          <w:highlight w:val="none"/>
        </w:rPr>
      </w:r>
      <w:r/>
    </w:p>
    <w:tbl>
      <w:tblPr>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pStyle w:val="884"/>
              <w:spacing w:line="48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884"/>
              <w:ind w:firstLine="240"/>
              <w:spacing w:line="360" w:lineRule="auto"/>
              <w:shd w:val="clear" w:color="auto" w:fill="auto"/>
              <w:rPr>
                <w:rFonts w:hint="eastAsia" w:ascii="宋体" w:hAnsi="宋体" w:cs="宋体"/>
                <w:color w:val="000000"/>
                <w:sz w:val="24"/>
                <w:szCs w:val="24"/>
                <w:highlight w:val="none"/>
              </w:rPr>
            </w:pPr>
            <w:r/>
            <w:bookmarkStart w:id="4" w:name="OLE_LINK2"/>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南京市江宁区交通运输局</w:t>
            </w:r>
            <w:r>
              <w:rPr>
                <w:rFonts w:hint="eastAsia" w:ascii="宋体" w:hAnsi="宋体" w:cs="宋体"/>
                <w:color w:val="000000"/>
                <w:sz w:val="24"/>
                <w:szCs w:val="24"/>
                <w:highlight w:val="none"/>
                <w:lang w:val="en-US" w:eastAsia="zh-CN"/>
              </w:rPr>
              <w:t xml:space="preserve">车载电子抓拍等智慧执法装备采购项目</w:t>
            </w:r>
            <w:r>
              <w:rPr>
                <w:rFonts w:hint="eastAsia" w:ascii="宋体" w:hAnsi="宋体" w:cs="宋体"/>
                <w:color w:val="000000"/>
                <w:sz w:val="24"/>
                <w:szCs w:val="24"/>
                <w:highlight w:val="none"/>
              </w:rPr>
              <w:t xml:space="preserve">的潜在投标人应在</w:t>
            </w:r>
            <w:r>
              <w:rPr>
                <w:rFonts w:hint="eastAsia" w:ascii="宋体" w:hAnsi="宋体" w:eastAsia="宋体"/>
                <w:color w:val="000000"/>
                <w:sz w:val="24"/>
                <w:highlight w:val="none"/>
                <w:u w:val="single"/>
              </w:rPr>
              <w:t xml:space="preserve">“江苏政府采购网”</w:t>
            </w:r>
            <w:r>
              <w:rPr>
                <w:rFonts w:hint="eastAsia" w:ascii="宋体" w:hAnsi="宋体" w:cs="宋体"/>
                <w:color w:val="000000"/>
                <w:sz w:val="24"/>
                <w:szCs w:val="24"/>
                <w:highlight w:val="none"/>
              </w:rPr>
              <w:t xml:space="preserve">获取招标文件，并于2024年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21</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点（北京时间）前递交投标文件。</w:t>
            </w:r>
            <w:bookmarkEnd w:id="4"/>
            <w:r>
              <w:rPr>
                <w:rFonts w:hint="eastAsia" w:ascii="宋体" w:hAnsi="宋体" w:cs="宋体"/>
                <w:color w:val="000000"/>
                <w:sz w:val="24"/>
                <w:szCs w:val="24"/>
                <w:highlight w:val="none"/>
              </w:rPr>
            </w:r>
            <w:r/>
          </w:p>
        </w:tc>
      </w:tr>
    </w:tbl>
    <w:p>
      <w:pPr>
        <w:pStyle w:val="1136"/>
        <w:ind w:firstLine="480"/>
        <w:spacing w:line="312" w:lineRule="auto"/>
        <w:shd w:val="clear" w:color="auto" w:fill="auto"/>
        <w:tabs>
          <w:tab w:val="left" w:pos="1134" w:leader="none"/>
          <w:tab w:val="left" w:pos="5612" w:leader="none"/>
        </w:tabs>
        <w:rPr>
          <w:rFonts w:hint="eastAsia" w:ascii="宋体" w:hAnsi="宋体" w:cs="宋体"/>
          <w:color w:val="000000"/>
          <w:sz w:val="24"/>
          <w:szCs w:val="24"/>
          <w:highlight w:val="none"/>
        </w:rPr>
        <w:outlineLvl w:val="1"/>
      </w:pPr>
      <w:r/>
      <w:bookmarkStart w:id="5" w:name="_Toc2298"/>
      <w:r>
        <w:rPr>
          <w:rFonts w:hint="eastAsia" w:ascii="宋体" w:hAnsi="宋体" w:cs="宋体"/>
          <w:b/>
          <w:bCs/>
          <w:color w:val="000000"/>
          <w:sz w:val="24"/>
          <w:szCs w:val="24"/>
          <w:highlight w:val="none"/>
        </w:rPr>
        <w:t xml:space="preserve">一、项目基本情况</w:t>
      </w:r>
      <w:bookmarkEnd w:id="5"/>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1136"/>
        <w:ind w:firstLine="960"/>
        <w:spacing w:line="312" w:lineRule="auto"/>
        <w:shd w:val="clear" w:color="auto" w:fill="auto"/>
        <w:tabs>
          <w:tab w:val="left" w:pos="1134"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JSZC-320115-JSHY-G2024-0388</w:t>
      </w:r>
      <w:r>
        <w:rPr>
          <w:rFonts w:hint="eastAsia" w:ascii="宋体" w:hAnsi="宋体" w:eastAsia="宋体" w:cs="宋体"/>
          <w:color w:val="000000"/>
          <w:sz w:val="24"/>
          <w:szCs w:val="24"/>
          <w:highlight w:val="none"/>
          <w:lang w:eastAsia="zh-CN"/>
        </w:rPr>
      </w:r>
      <w:r/>
    </w:p>
    <w:p>
      <w:pPr>
        <w:pStyle w:val="1136"/>
        <w:ind w:firstLine="960"/>
        <w:spacing w:line="312" w:lineRule="auto"/>
        <w:shd w:val="clear" w:color="auto" w:fill="auto"/>
        <w:tabs>
          <w:tab w:val="left" w:pos="1134"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val="en-US" w:eastAsia="zh-CN"/>
        </w:rPr>
        <w:t xml:space="preserve">车载电子抓拍等智慧执法装备采购项目</w:t>
      </w:r>
      <w:r>
        <w:rPr>
          <w:rFonts w:hint="eastAsia" w:ascii="宋体" w:hAnsi="宋体" w:eastAsia="宋体" w:cs="宋体"/>
          <w:color w:val="000000"/>
          <w:sz w:val="24"/>
          <w:szCs w:val="24"/>
          <w:highlight w:val="none"/>
          <w:lang w:eastAsia="zh-CN"/>
        </w:rPr>
      </w:r>
      <w:r/>
    </w:p>
    <w:p>
      <w:pPr>
        <w:pStyle w:val="1136"/>
        <w:ind w:firstLine="960"/>
        <w:spacing w:line="312" w:lineRule="auto"/>
        <w:shd w:val="clear" w:color="auto" w:fill="auto"/>
        <w:tabs>
          <w:tab w:val="left" w:pos="1134"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 65万元</w:t>
      </w:r>
      <w:r>
        <w:rPr>
          <w:rFonts w:ascii="宋体" w:hAnsi="宋体" w:cs="宋体"/>
          <w:color w:val="000000"/>
          <w:sz w:val="24"/>
          <w:szCs w:val="24"/>
          <w:highlight w:val="none"/>
        </w:rPr>
      </w:r>
      <w:r/>
    </w:p>
    <w:p>
      <w:pPr>
        <w:pStyle w:val="1136"/>
        <w:ind w:firstLine="960"/>
        <w:spacing w:line="312" w:lineRule="auto"/>
        <w:shd w:val="clear" w:color="auto" w:fill="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最高限价（如有）：</w:t>
      </w:r>
      <w:r>
        <w:rPr>
          <w:rFonts w:hint="eastAsia" w:ascii="宋体" w:hAnsi="宋体" w:cs="宋体"/>
          <w:color w:val="000000"/>
          <w:sz w:val="24"/>
          <w:szCs w:val="24"/>
          <w:highlight w:val="none"/>
        </w:rPr>
      </w:r>
      <w:r/>
    </w:p>
    <w:tbl>
      <w:tblPr>
        <w:tblW w:w="9218" w:type="dxa"/>
        <w:tblInd w:w="350" w:type="dxa"/>
        <w:tblLayout w:type="fixed"/>
        <w:tblCellMar>
          <w:left w:w="108" w:type="dxa"/>
          <w:top w:w="0" w:type="dxa"/>
          <w:right w:w="108" w:type="dxa"/>
          <w:bottom w:w="0" w:type="dxa"/>
        </w:tblCellMar>
        <w:tblLook w:val="04A0" w:firstRow="1" w:lastRow="0" w:firstColumn="1" w:lastColumn="0" w:noHBand="0" w:noVBand="1"/>
      </w:tblPr>
      <w:tblGrid>
        <w:gridCol w:w="892"/>
        <w:gridCol w:w="978"/>
        <w:gridCol w:w="2900"/>
        <w:gridCol w:w="1041"/>
        <w:gridCol w:w="1852"/>
        <w:gridCol w:w="1555"/>
      </w:tblGrid>
      <w:tr>
        <w:trPr>
          <w:trHeight w:val="583"/>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84"/>
              <w:jc w:val="center"/>
              <w:shd w:val="clear" w:color="auto" w:fill="auto"/>
              <w:rPr>
                <w:rFonts w:hint="eastAsia" w:ascii="宋体" w:hAnsi="宋体" w:cs="宋体"/>
                <w:b/>
                <w:bCs/>
                <w:color w:val="000000"/>
                <w:sz w:val="24"/>
                <w:szCs w:val="24"/>
                <w:highlight w:val="none"/>
              </w:rPr>
            </w:pPr>
            <w:r/>
            <w:bookmarkStart w:id="6" w:name="OLE_LINK29"/>
            <w:r>
              <w:rPr>
                <w:rFonts w:hint="eastAsia" w:ascii="宋体" w:hAnsi="宋体" w:cs="宋体"/>
                <w:b/>
                <w:bCs/>
                <w:color w:val="000000"/>
                <w:sz w:val="24"/>
                <w:szCs w:val="24"/>
                <w:highlight w:val="none"/>
              </w:rPr>
              <w:t xml:space="preserve">包号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884"/>
              <w:jc w:val="center"/>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品目</w:t>
            </w:r>
            <w:r>
              <w:rPr>
                <w:rFonts w:hint="eastAsia"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884"/>
              <w:jc w:val="center"/>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设备名称</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884"/>
              <w:jc w:val="center"/>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4"/>
              <w:jc w:val="center"/>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最高限价     </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884"/>
              <w:jc w:val="center"/>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是否接受进口产品投标</w:t>
            </w:r>
            <w:r>
              <w:rPr>
                <w:rFonts w:hint="eastAsia" w:ascii="宋体" w:hAnsi="宋体" w:cs="宋体"/>
                <w:b/>
                <w:bCs/>
                <w:color w:val="000000"/>
                <w:sz w:val="24"/>
                <w:szCs w:val="24"/>
                <w:highlight w:val="none"/>
              </w:rPr>
            </w:r>
            <w:r/>
          </w:p>
        </w:tc>
      </w:tr>
      <w:tr>
        <w:trPr>
          <w:trHeight w:val="569"/>
        </w:trPr>
        <w:tc>
          <w:tcPr>
            <w:tcBorders>
              <w:top w:val="single" w:color="000000" w:sz="4" w:space="0"/>
              <w:left w:val="single" w:color="000000" w:sz="4" w:space="0"/>
              <w:bottom w:val="none" w:color="000000" w:sz="0" w:space="0"/>
              <w:right w:val="single" w:color="000000" w:sz="4" w:space="0"/>
            </w:tcBorders>
            <w:tcW w:w="892" w:type="dxa"/>
            <w:vAlign w:val="center"/>
            <w:vMerge w:val="restart"/>
            <w:textDirection w:val="lrTb"/>
            <w:noWrap/>
          </w:tcPr>
          <w:p>
            <w:pPr>
              <w:pStyle w:val="884"/>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2"/>
                <w:szCs w:val="22"/>
                <w:highlight w:val="none"/>
                <w:lang w:val="en-US" w:eastAsia="zh-CN"/>
              </w:rPr>
              <w:t xml:space="preserve">01</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884"/>
              <w:ind w:right="97"/>
              <w:jc w:val="center"/>
              <w:keepLines w:val="0"/>
              <w:keepNext w:val="0"/>
              <w:pageBreakBefore w:val="0"/>
              <w:spacing w:before="72" w:after="72"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01</w:t>
            </w:r>
            <w:r>
              <w:rPr>
                <w:rFonts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884"/>
              <w:ind w:right="97"/>
              <w:jc w:val="center"/>
              <w:keepLines w:val="0"/>
              <w:keepNext w:val="0"/>
              <w:pageBreakBefore w:val="0"/>
              <w:spacing w:before="72" w:after="72" w:line="24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车载电子抓拍</w:t>
            </w:r>
            <w:r>
              <w:rPr>
                <w:rFonts w:ascii="宋体" w:hAnsi="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884"/>
              <w:jc w:val="center"/>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1套</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852" w:type="dxa"/>
            <w:vAlign w:val="center"/>
            <w:vMerge w:val="restart"/>
            <w:textDirection w:val="lrTb"/>
            <w:noWrap w:val="false"/>
          </w:tcPr>
          <w:p>
            <w:pPr>
              <w:pStyle w:val="884"/>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2"/>
                <w:szCs w:val="22"/>
                <w:highlight w:val="none"/>
                <w:lang w:val="en-US" w:eastAsia="zh-CN" w:bidi="ar-SA"/>
              </w:rPr>
              <w:t xml:space="preserve">65万元 </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555" w:type="dxa"/>
            <w:vAlign w:val="center"/>
            <w:vMerge w:val="restart"/>
            <w:textDirection w:val="lrTb"/>
            <w:noWrap/>
          </w:tcPr>
          <w:p>
            <w:pPr>
              <w:pStyle w:val="1136"/>
              <w:ind w:firstLine="0"/>
              <w:jc w:val="center"/>
              <w:spacing w:line="312" w:lineRule="auto"/>
              <w:tabs>
                <w:tab w:val="left" w:pos="127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2"/>
                <w:szCs w:val="22"/>
                <w:highlight w:val="none"/>
                <w:lang w:val="en-US" w:eastAsia="zh-CN" w:bidi="ar-SA"/>
              </w:rPr>
              <w:t xml:space="preserve">否</w:t>
            </w:r>
            <w:r>
              <w:rPr>
                <w:rFonts w:hint="eastAsia" w:ascii="宋体" w:hAnsi="宋体" w:eastAsia="宋体" w:cs="宋体"/>
                <w:color w:val="000000"/>
                <w:sz w:val="24"/>
                <w:szCs w:val="24"/>
                <w:highlight w:val="none"/>
                <w:lang w:val="en-US" w:eastAsia="zh-CN"/>
              </w:rPr>
            </w:r>
            <w:r/>
          </w:p>
        </w:tc>
      </w:tr>
      <w:tr>
        <w:trPr>
          <w:trHeight w:val="569"/>
        </w:trPr>
        <w:tc>
          <w:tcPr>
            <w:tcBorders>
              <w:top w:val="none" w:color="000000" w:sz="0" w:space="0"/>
              <w:left w:val="single" w:color="000000" w:sz="4" w:space="0"/>
              <w:bottom w:val="none" w:color="000000" w:sz="0" w:space="0"/>
              <w:right w:val="single" w:color="000000" w:sz="4" w:space="0"/>
            </w:tcBorders>
            <w:tcW w:w="892" w:type="dxa"/>
            <w:vAlign w:val="center"/>
            <w:vMerge w:val="continue"/>
            <w:textDirection w:val="lrTb"/>
            <w:noWrap/>
          </w:tcPr>
          <w:p>
            <w:pPr>
              <w:pStyle w:val="884"/>
              <w:jc w:val="center"/>
              <w:shd w:val="clear" w:color="auto" w:fil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884"/>
              <w:ind w:right="97"/>
              <w:jc w:val="center"/>
              <w:keepLines w:val="0"/>
              <w:keepNext w:val="0"/>
              <w:pageBreakBefore w:val="0"/>
              <w:spacing w:before="72" w:after="72" w:line="24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02</w:t>
            </w:r>
            <w:r>
              <w:rPr>
                <w:rFonts w:ascii="宋体" w:hAnsi="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884"/>
              <w:ind w:right="97" w:firstLine="720"/>
              <w:jc w:val="both"/>
              <w:keepLines w:val="0"/>
              <w:keepNext w:val="0"/>
              <w:pageBreakBefore w:val="0"/>
              <w:spacing w:before="72" w:after="72" w:line="24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5G布控球</w:t>
            </w:r>
            <w:r>
              <w:rPr>
                <w:rFonts w:ascii="宋体" w:hAnsi="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1套</w:t>
            </w: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852" w:type="dxa"/>
            <w:vAlign w:val="center"/>
            <w:vMerge w:val="continue"/>
            <w:textDirection w:val="lrTb"/>
            <w:noWrap w:val="false"/>
          </w:tcPr>
          <w:p>
            <w:pPr>
              <w:pStyle w:val="884"/>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1555" w:type="dxa"/>
            <w:vAlign w:val="center"/>
            <w:vMerge w:val="continue"/>
            <w:textDirection w:val="lrTb"/>
            <w:noWrap/>
          </w:tcPr>
          <w:p>
            <w:pPr>
              <w:pStyle w:val="1136"/>
              <w:ind w:firstLine="0"/>
              <w:jc w:val="center"/>
              <w:spacing w:line="312" w:lineRule="auto"/>
              <w:tabs>
                <w:tab w:val="left" w:pos="1276" w:leader="none"/>
              </w:tabs>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r>
      <w:tr>
        <w:trPr>
          <w:trHeight w:val="569"/>
        </w:trPr>
        <w:tc>
          <w:tcPr>
            <w:tcBorders>
              <w:top w:val="none" w:color="000000" w:sz="0" w:space="0"/>
              <w:left w:val="single" w:color="000000" w:sz="4" w:space="0"/>
              <w:bottom w:val="single" w:color="000000" w:sz="4" w:space="0"/>
              <w:right w:val="single" w:color="000000" w:sz="4" w:space="0"/>
            </w:tcBorders>
            <w:tcW w:w="892" w:type="dxa"/>
            <w:vAlign w:val="center"/>
            <w:vMerge w:val="continue"/>
            <w:textDirection w:val="lrTb"/>
            <w:noWrap/>
          </w:tcPr>
          <w:p>
            <w:pPr>
              <w:pStyle w:val="884"/>
              <w:jc w:val="center"/>
              <w:shd w:val="clear" w:color="auto" w:fil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884"/>
              <w:ind w:right="97"/>
              <w:jc w:val="center"/>
              <w:keepLines w:val="0"/>
              <w:keepNext w:val="0"/>
              <w:pageBreakBefore w:val="0"/>
              <w:spacing w:before="72" w:after="72" w:line="24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03</w:t>
            </w:r>
            <w:r>
              <w:rPr>
                <w:rFonts w:ascii="宋体" w:hAnsi="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884"/>
              <w:ind w:right="97" w:firstLine="960"/>
              <w:jc w:val="both"/>
              <w:keepLines w:val="0"/>
              <w:keepNext w:val="0"/>
              <w:pageBreakBefore w:val="0"/>
              <w:spacing w:before="72" w:after="72" w:line="24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无人机</w:t>
            </w:r>
            <w:r>
              <w:rPr>
                <w:rFonts w:ascii="宋体" w:hAnsi="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1套</w:t>
            </w:r>
            <w:r>
              <w:rPr>
                <w:rFonts w:hint="eastAsia" w:ascii="宋体" w:hAnsi="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1852" w:type="dxa"/>
            <w:vAlign w:val="center"/>
            <w:vMerge w:val="continue"/>
            <w:textDirection w:val="lrTb"/>
            <w:noWrap w:val="false"/>
          </w:tcPr>
          <w:p>
            <w:pPr>
              <w:pStyle w:val="884"/>
              <w:jc w:val="center"/>
              <w:widowControl/>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r>
            <w:r/>
          </w:p>
        </w:tc>
        <w:tc>
          <w:tcPr>
            <w:tcBorders>
              <w:top w:val="none" w:color="000000" w:sz="0" w:space="0"/>
              <w:left w:val="single" w:color="000000" w:sz="4" w:space="0"/>
              <w:bottom w:val="single" w:color="000000" w:sz="4" w:space="0"/>
              <w:right w:val="single" w:color="000000" w:sz="4" w:space="0"/>
            </w:tcBorders>
            <w:tcW w:w="1555" w:type="dxa"/>
            <w:vAlign w:val="center"/>
            <w:vMerge w:val="continue"/>
            <w:textDirection w:val="lrTb"/>
            <w:noWrap/>
          </w:tcPr>
          <w:p>
            <w:pPr>
              <w:pStyle w:val="1136"/>
              <w:ind w:firstLine="0"/>
              <w:jc w:val="center"/>
              <w:spacing w:line="312" w:lineRule="auto"/>
              <w:tabs>
                <w:tab w:val="left" w:pos="1276" w:leader="none"/>
              </w:tabs>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r>
    </w:tbl>
    <w:p>
      <w:pPr>
        <w:pStyle w:val="1136"/>
        <w:ind w:firstLine="960"/>
        <w:spacing w:line="312" w:lineRule="auto"/>
        <w:shd w:val="clear" w:color="auto" w:fill="auto"/>
        <w:tabs>
          <w:tab w:val="left" w:pos="1134" w:leader="none"/>
        </w:tabs>
        <w:rPr>
          <w:rFonts w:hint="eastAsia" w:ascii="宋体" w:hAnsi="宋体" w:cs="宋体"/>
          <w:color w:val="000000"/>
          <w:sz w:val="24"/>
          <w:szCs w:val="24"/>
          <w:highlight w:val="none"/>
        </w:rPr>
      </w:pPr>
      <w:r/>
      <w:bookmarkEnd w:id="6"/>
      <w:r>
        <w:rPr>
          <w:rFonts w:hint="eastAsia" w:ascii="宋体" w:hAnsi="宋体" w:cs="宋体"/>
          <w:color w:val="000000"/>
          <w:sz w:val="24"/>
          <w:szCs w:val="24"/>
          <w:highlight w:val="none"/>
        </w:rPr>
        <w:t xml:space="preserve">采购需求:</w:t>
      </w:r>
      <w:bookmarkStart w:id="7" w:name="OLE_LINK3"/>
      <w:r>
        <w:rPr>
          <w:rFonts w:hint="eastAsia" w:ascii="宋体" w:hAnsi="宋体" w:cs="宋体"/>
          <w:color w:val="000000"/>
          <w:sz w:val="24"/>
          <w:szCs w:val="24"/>
          <w:highlight w:val="none"/>
        </w:rPr>
        <w:t xml:space="preserve">详见采购文件</w:t>
      </w:r>
      <w:bookmarkEnd w:id="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36"/>
        <w:ind w:firstLine="960"/>
        <w:spacing w:line="312" w:lineRule="auto"/>
        <w:shd w:val="clear" w:color="auto" w:fill="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bookmarkStart w:id="8" w:name="OLE_LINK32"/>
      <w:r>
        <w:rPr>
          <w:rFonts w:hint="eastAsia" w:ascii="宋体" w:hAnsi="宋体" w:cs="宋体"/>
          <w:color w:val="000000"/>
          <w:sz w:val="24"/>
          <w:szCs w:val="24"/>
          <w:highlight w:val="none"/>
          <w:lang w:val="en-US" w:eastAsia="zh-CN"/>
        </w:rPr>
        <w:t xml:space="preserve">自合同签订后45天内</w:t>
      </w:r>
      <w:r>
        <w:rPr>
          <w:rFonts w:hint="eastAsia" w:ascii="宋体" w:hAnsi="宋体" w:cs="宋体"/>
          <w:color w:val="000000"/>
          <w:sz w:val="24"/>
          <w:szCs w:val="24"/>
          <w:highlight w:val="none"/>
        </w:rPr>
        <w:t xml:space="preserve">。</w:t>
      </w:r>
      <w:bookmarkEnd w:id="8"/>
      <w:r>
        <w:rPr>
          <w:rFonts w:hint="eastAsia" w:ascii="宋体" w:hAnsi="宋体" w:cs="宋体"/>
          <w:color w:val="000000"/>
          <w:sz w:val="24"/>
          <w:szCs w:val="24"/>
          <w:highlight w:val="none"/>
        </w:rPr>
      </w:r>
      <w:r/>
    </w:p>
    <w:p>
      <w:pPr>
        <w:pStyle w:val="1136"/>
        <w:ind w:firstLine="960"/>
        <w:spacing w:line="312" w:lineRule="auto"/>
        <w:shd w:val="clear" w:color="auto" w:fill="auto"/>
        <w:tabs>
          <w:tab w:val="left" w:pos="1134" w:leader="none"/>
        </w:tabs>
        <w:rPr>
          <w:rFonts w:ascii="宋体" w:hAnsi="宋体" w:cs="宋体"/>
          <w:color w:val="000000"/>
          <w:sz w:val="24"/>
          <w:szCs w:val="24"/>
          <w:highlight w:val="none"/>
        </w:rPr>
      </w:pPr>
      <w:r/>
      <w:bookmarkStart w:id="9" w:name="_Toc3038"/>
      <w:r>
        <w:rPr>
          <w:rFonts w:hint="eastAsia" w:ascii="宋体" w:hAnsi="宋体" w:cs="宋体"/>
          <w:color w:val="000000"/>
          <w:sz w:val="24"/>
          <w:szCs w:val="24"/>
          <w:highlight w:val="none"/>
        </w:rPr>
        <w:t xml:space="preserve">本项目（是/否）接受联合体投标：不接受联合体</w:t>
      </w:r>
      <w:r>
        <w:rPr>
          <w:rFonts w:ascii="宋体" w:hAnsi="宋体" w:cs="宋体"/>
          <w:color w:val="000000"/>
          <w:sz w:val="24"/>
          <w:szCs w:val="24"/>
          <w:highlight w:val="none"/>
        </w:rPr>
      </w:r>
      <w:r/>
    </w:p>
    <w:p>
      <w:pPr>
        <w:pStyle w:val="1136"/>
        <w:ind w:left="567" w:firstLine="0"/>
        <w:spacing w:line="312" w:lineRule="auto"/>
        <w:shd w:val="clear" w:color="auto" w:fill="auto"/>
        <w:tabs>
          <w:tab w:val="left" w:pos="1134"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二、申请人的资格要求：</w:t>
      </w:r>
      <w:bookmarkEnd w:id="9"/>
      <w:r>
        <w:rPr>
          <w:rFonts w:hint="eastAsia" w:ascii="宋体" w:hAnsi="宋体" w:cs="宋体"/>
          <w:b/>
          <w:bCs/>
          <w:color w:val="000000"/>
          <w:sz w:val="24"/>
          <w:szCs w:val="24"/>
          <w:highlight w:val="none"/>
        </w:rPr>
      </w:r>
      <w:r/>
    </w:p>
    <w:p>
      <w:pPr>
        <w:pStyle w:val="1173"/>
        <w:ind w:left="709" w:firstLine="0"/>
        <w:spacing w:line="329" w:lineRule="auto"/>
        <w:shd w:val="clear" w:color="auto" w:fill="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1.满足《中华人民共和国政府采购法》第二十二条规定；</w:t>
      </w:r>
      <w:r>
        <w:rPr>
          <w:rFonts w:hint="eastAsia" w:ascii="宋体" w:hAnsi="宋体" w:cs="宋体"/>
          <w:color w:val="000000"/>
          <w:sz w:val="24"/>
          <w:szCs w:val="24"/>
          <w:highlight w:val="none"/>
        </w:rPr>
      </w:r>
      <w:r/>
    </w:p>
    <w:p>
      <w:pPr>
        <w:pStyle w:val="884"/>
        <w:ind w:left="1134"/>
        <w:spacing w:line="329"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10" w:name="OLE_LINK7"/>
      <w:r/>
      <w:bookmarkStart w:id="11" w:name="OLE_LINK8"/>
      <w:r>
        <w:rPr>
          <w:rFonts w:hint="eastAsia" w:ascii="宋体" w:hAnsi="宋体" w:cs="宋体"/>
          <w:color w:val="000000"/>
          <w:sz w:val="24"/>
          <w:szCs w:val="24"/>
          <w:highlight w:val="none"/>
        </w:rPr>
        <w:t xml:space="preserve">具有独立承担民事责任的能力（提供法人或者其他组织的营业执照等证明文件；供应商为自然人的，提供其身份证）</w:t>
      </w:r>
      <w:bookmarkEnd w:id="10"/>
      <w:r>
        <w:rPr>
          <w:rFonts w:hint="eastAsia" w:ascii="宋体" w:hAnsi="宋体" w:cs="宋体"/>
          <w:color w:val="000000"/>
          <w:sz w:val="24"/>
          <w:szCs w:val="24"/>
          <w:highlight w:val="none"/>
        </w:rPr>
        <w:t xml:space="preserve">；</w:t>
      </w:r>
      <w:bookmarkEnd w:id="11"/>
      <w:r>
        <w:rPr>
          <w:rFonts w:hint="eastAsia" w:ascii="宋体" w:hAnsi="宋体" w:cs="宋体"/>
          <w:color w:val="000000"/>
          <w:sz w:val="24"/>
          <w:szCs w:val="24"/>
          <w:highlight w:val="none"/>
        </w:rPr>
      </w:r>
      <w:r/>
    </w:p>
    <w:p>
      <w:pPr>
        <w:pStyle w:val="884"/>
        <w:ind w:left="1134"/>
        <w:spacing w:line="329"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bookmarkStart w:id="12" w:name="OLE_LINK9"/>
      <w:r>
        <w:rPr>
          <w:rFonts w:hint="eastAsia" w:ascii="宋体" w:hAnsi="宋体" w:cs="宋体"/>
          <w:color w:val="000000"/>
          <w:sz w:val="24"/>
          <w:szCs w:val="24"/>
          <w:highlight w:val="none"/>
        </w:rPr>
        <w:t xml:space="preserve">具有良好的商业信誉和健全的财务会计制度</w:t>
      </w:r>
      <w:r>
        <w:rPr>
          <w:rFonts w:hint="eastAsia" w:ascii="宋体" w:hAnsi="宋体" w:cs="宋体"/>
          <w:b/>
          <w:bCs/>
          <w:color w:val="000000"/>
          <w:sz w:val="24"/>
          <w:szCs w:val="24"/>
          <w:highlight w:val="none"/>
        </w:rPr>
        <w:t xml:space="preserve">（提供2023年度财务报告，至少包含资产负债表、利润表，或投标截止时间前六个月内银行出具的资信证明，成立不满一年的无须提供）；</w:t>
      </w:r>
      <w:bookmarkEnd w:id="12"/>
      <w:r>
        <w:rPr>
          <w:rFonts w:hint="eastAsia" w:ascii="宋体" w:hAnsi="宋体" w:cs="宋体"/>
          <w:color w:val="000000"/>
          <w:sz w:val="24"/>
          <w:szCs w:val="24"/>
          <w:highlight w:val="none"/>
        </w:rPr>
      </w:r>
      <w:r/>
    </w:p>
    <w:p>
      <w:pPr>
        <w:pStyle w:val="884"/>
        <w:ind w:left="1134"/>
        <w:spacing w:line="329"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3）具有履行合同所必需的设备和专业技术能力</w:t>
      </w:r>
      <w:r>
        <w:rPr>
          <w:rFonts w:hint="eastAsia" w:ascii="宋体" w:hAnsi="宋体" w:cs="宋体"/>
          <w:b/>
          <w:bCs/>
          <w:color w:val="000000"/>
          <w:sz w:val="24"/>
          <w:szCs w:val="24"/>
          <w:highlight w:val="none"/>
        </w:rPr>
        <w:t xml:space="preserve">（供应商根据履行采购项目合同需要，提供履行合同所必需的设备和专业技术能力的声明函或证明材料）；</w:t>
      </w:r>
      <w:r>
        <w:rPr>
          <w:rFonts w:hint="eastAsia" w:ascii="宋体" w:hAnsi="宋体" w:cs="宋体"/>
          <w:color w:val="000000"/>
          <w:sz w:val="24"/>
          <w:szCs w:val="24"/>
          <w:highlight w:val="none"/>
        </w:rPr>
      </w:r>
      <w:r/>
    </w:p>
    <w:p>
      <w:pPr>
        <w:pStyle w:val="884"/>
        <w:ind w:left="1134"/>
        <w:spacing w:line="329" w:lineRule="auto"/>
        <w:shd w:val="clear" w:color="auto" w:fill="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4）</w:t>
      </w:r>
      <w:bookmarkStart w:id="13" w:name="OLE_LINK10"/>
      <w:r>
        <w:rPr>
          <w:rFonts w:hint="eastAsia" w:ascii="宋体" w:hAnsi="宋体" w:cs="宋体"/>
          <w:color w:val="000000"/>
          <w:sz w:val="24"/>
          <w:szCs w:val="24"/>
          <w:highlight w:val="none"/>
        </w:rPr>
        <w:t xml:space="preserve">有依法缴纳税收和社会保障资金的良好记录（提供202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04</w:t>
      </w:r>
      <w:r>
        <w:rPr>
          <w:rFonts w:hint="eastAsia" w:ascii="宋体" w:hAnsi="宋体" w:cs="宋体"/>
          <w:color w:val="000000"/>
          <w:sz w:val="24"/>
          <w:szCs w:val="24"/>
          <w:highlight w:val="none"/>
        </w:rPr>
        <w:t xml:space="preserve">月至今）中任一月份的依法缴纳税收和社会保险费的相关材料</w:t>
      </w:r>
      <w:r>
        <w:rPr>
          <w:rFonts w:hint="eastAsia" w:ascii="宋体" w:hAnsi="宋体" w:cs="宋体"/>
          <w:b/>
          <w:bCs/>
          <w:color w:val="000000"/>
          <w:sz w:val="24"/>
          <w:szCs w:val="24"/>
          <w:highlight w:val="none"/>
        </w:rPr>
        <w:t xml:space="preserve">（提供相关主管部门证明或银行代扣证明的复印件，根据国家相关政策免缴或迟缴的需提供相关证明材料）</w:t>
      </w:r>
      <w:r>
        <w:rPr>
          <w:rFonts w:hint="eastAsia" w:ascii="宋体" w:hAnsi="宋体" w:cs="宋体"/>
          <w:b/>
          <w:bCs/>
          <w:color w:val="000000"/>
          <w:sz w:val="24"/>
          <w:szCs w:val="24"/>
          <w:highlight w:val="none"/>
        </w:rPr>
      </w:r>
      <w:r/>
    </w:p>
    <w:p>
      <w:pPr>
        <w:pStyle w:val="884"/>
        <w:ind w:left="1134"/>
        <w:spacing w:line="329" w:lineRule="auto"/>
        <w:shd w:val="clear" w:color="auto" w:fill="auto"/>
        <w:rPr>
          <w:rFonts w:hint="eastAsia" w:ascii="宋体" w:hAnsi="宋体" w:cs="宋体"/>
          <w:color w:val="000000"/>
          <w:sz w:val="24"/>
          <w:szCs w:val="24"/>
          <w:highlight w:val="none"/>
        </w:rPr>
      </w:pPr>
      <w:r/>
      <w:bookmarkEnd w:id="13"/>
      <w:r>
        <w:rPr>
          <w:rFonts w:hint="eastAsia" w:ascii="宋体" w:hAnsi="宋体" w:cs="宋体"/>
          <w:color w:val="000000"/>
          <w:sz w:val="24"/>
          <w:szCs w:val="24"/>
          <w:highlight w:val="none"/>
        </w:rPr>
        <w:t xml:space="preserve">5）</w:t>
      </w:r>
      <w:bookmarkStart w:id="14" w:name="OLE_LINK11"/>
      <w:r>
        <w:rPr>
          <w:rFonts w:hint="eastAsia" w:ascii="宋体" w:hAnsi="宋体" w:cs="宋体"/>
          <w:color w:val="000000"/>
          <w:sz w:val="24"/>
          <w:szCs w:val="24"/>
          <w:highlight w:val="none"/>
        </w:rPr>
        <w:t xml:space="preserve">参加政府采购活动前三年内，在经营活动中没有重大违法记录（提供承诺书）；</w:t>
      </w:r>
      <w:bookmarkEnd w:id="14"/>
      <w:r>
        <w:rPr>
          <w:rFonts w:hint="eastAsia" w:ascii="宋体" w:hAnsi="宋体" w:cs="宋体"/>
          <w:color w:val="000000"/>
          <w:sz w:val="24"/>
          <w:szCs w:val="24"/>
          <w:highlight w:val="none"/>
        </w:rPr>
      </w:r>
      <w:r/>
    </w:p>
    <w:p>
      <w:pPr>
        <w:pStyle w:val="884"/>
        <w:ind w:left="1134"/>
        <w:spacing w:line="329" w:lineRule="auto"/>
        <w:shd w:val="clear" w:color="auto" w:fill="auto"/>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6）南京市政府采购供应商信用记录表暨信用承诺书。</w:t>
      </w:r>
      <w:r>
        <w:rPr>
          <w:color w:val="000000"/>
          <w:highlight w:val="none"/>
          <w:lang w:val="en-US" w:eastAsia="zh-CN"/>
        </w:rPr>
      </w:r>
      <w:r/>
    </w:p>
    <w:p>
      <w:pPr>
        <w:pStyle w:val="896"/>
        <w:ind w:right="476" w:firstLine="720"/>
        <w:spacing w:before="1" w:line="406" w:lineRule="auto"/>
        <w:shd w:val="clear" w:color="auto" w:fill="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2.落实政府采购政策满足的资格要求：</w:t>
      </w:r>
      <w:r>
        <w:rPr>
          <w:rFonts w:hint="eastAsia" w:ascii="宋体" w:hAnsi="宋体" w:eastAsia="宋体" w:cs="宋体"/>
          <w:color w:val="000000"/>
          <w:sz w:val="24"/>
          <w:szCs w:val="24"/>
          <w:highlight w:val="none"/>
        </w:rPr>
      </w:r>
      <w:r/>
    </w:p>
    <w:p>
      <w:pPr>
        <w:pStyle w:val="1173"/>
        <w:ind w:left="709" w:firstLine="480"/>
        <w:spacing w:line="329" w:lineRule="auto"/>
        <w:shd w:val="clear" w:color="auto" w:fill="auto"/>
        <w:rPr>
          <w:rFonts w:hint="eastAsia" w:ascii="宋体" w:hAnsi="宋体" w:cs="宋体"/>
          <w:color w:val="000000"/>
          <w:sz w:val="24"/>
          <w:szCs w:val="24"/>
          <w:highlight w:val="none"/>
        </w:rPr>
        <w:outlineLvl w:val="2"/>
      </w:pPr>
      <w:r/>
      <w:bookmarkStart w:id="15" w:name="OLE_LINK15"/>
      <w:r>
        <w:rPr>
          <w:rFonts w:hint="eastAsia" w:ascii="宋体" w:hAnsi="宋体" w:cs="宋体"/>
          <w:color w:val="000000"/>
          <w:sz w:val="24"/>
          <w:szCs w:val="24"/>
          <w:highlight w:val="none"/>
        </w:rPr>
        <w:t xml:space="preserve">本项目属于货物类采购。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bookmarkEnd w:id="15"/>
      <w:r>
        <w:rPr>
          <w:rFonts w:hint="eastAsia" w:ascii="宋体" w:hAnsi="宋体" w:cs="宋体"/>
          <w:color w:val="000000"/>
          <w:sz w:val="24"/>
          <w:szCs w:val="24"/>
          <w:highlight w:val="none"/>
        </w:rPr>
      </w:r>
      <w:r/>
    </w:p>
    <w:p>
      <w:pPr>
        <w:pStyle w:val="1173"/>
        <w:ind w:left="709" w:firstLine="0"/>
        <w:spacing w:line="329" w:lineRule="auto"/>
        <w:shd w:val="clear" w:color="auto" w:fill="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3.本项目的特定资格要求：</w:t>
      </w:r>
      <w:r>
        <w:rPr>
          <w:rFonts w:hint="eastAsia" w:ascii="宋体" w:hAnsi="宋体" w:cs="宋体"/>
          <w:color w:val="000000"/>
          <w:sz w:val="24"/>
          <w:szCs w:val="24"/>
          <w:highlight w:val="none"/>
        </w:rPr>
      </w:r>
      <w:r/>
    </w:p>
    <w:p>
      <w:pPr>
        <w:pStyle w:val="1173"/>
        <w:numPr>
          <w:ilvl w:val="0"/>
          <w:numId w:val="5"/>
        </w:numPr>
        <w:ind w:left="1560" w:hanging="426"/>
        <w:spacing w:line="329" w:lineRule="auto"/>
        <w:shd w:val="clear" w:color="auto" w:fill="auto"/>
        <w:rPr>
          <w:rFonts w:hint="eastAsia" w:ascii="宋体" w:hAnsi="宋体" w:cs="宋体"/>
          <w:bCs/>
          <w:color w:val="000000"/>
          <w:sz w:val="24"/>
          <w:szCs w:val="24"/>
          <w:highlight w:val="none"/>
        </w:rPr>
      </w:pPr>
      <w:r/>
      <w:bookmarkStart w:id="16" w:name="OLE_LINK12"/>
      <w:r>
        <w:rPr>
          <w:rFonts w:hint="eastAsia" w:ascii="宋体" w:hAnsi="宋体" w:cs="宋体"/>
          <w:bCs/>
          <w:color w:val="000000"/>
          <w:sz w:val="24"/>
          <w:szCs w:val="24"/>
          <w:highlight w:val="none"/>
        </w:rPr>
        <w:t xml:space="preserve">拒绝被“信用中国”（www.creditchina.gov.cn）、“中国政府采购网”(www.ccgp.gov.cn）列入失信被执行人、重大税收违法案件当事人、政府采购严重失信行为的供应商参加投标。</w:t>
      </w:r>
      <w:r>
        <w:rPr>
          <w:rFonts w:hint="eastAsia" w:ascii="宋体" w:hAnsi="宋体" w:cs="宋体"/>
          <w:bCs/>
          <w:color w:val="000000"/>
          <w:sz w:val="24"/>
          <w:szCs w:val="24"/>
          <w:highlight w:val="none"/>
        </w:rPr>
      </w:r>
      <w:r/>
    </w:p>
    <w:p>
      <w:pPr>
        <w:pStyle w:val="1173"/>
        <w:ind w:left="1678" w:hanging="720"/>
        <w:spacing w:line="329" w:lineRule="auto"/>
        <w:shd w:val="clear" w:color="auto" w:fill="auto"/>
        <w:rPr>
          <w:rFonts w:hint="eastAsia" w:ascii="宋体" w:hAnsi="宋体" w:cs="宋体"/>
          <w:bCs/>
          <w:color w:val="000000"/>
          <w:sz w:val="24"/>
          <w:szCs w:val="24"/>
          <w:highlight w:val="none"/>
        </w:rPr>
      </w:pPr>
      <w:r/>
      <w:bookmarkEnd w:id="16"/>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s="宋体"/>
          <w:bCs/>
          <w:color w:val="000000"/>
          <w:sz w:val="24"/>
          <w:szCs w:val="24"/>
          <w:highlight w:val="none"/>
        </w:rPr>
      </w:r>
      <w:r/>
    </w:p>
    <w:p>
      <w:pPr>
        <w:pStyle w:val="1173"/>
        <w:ind w:left="709" w:firstLine="0"/>
        <w:spacing w:line="329" w:lineRule="auto"/>
        <w:shd w:val="clear" w:color="auto" w:fill="auto"/>
        <w:rPr>
          <w:rFonts w:hint="eastAsia" w:ascii="宋体" w:hAnsi="宋体" w:cs="宋体"/>
          <w:b/>
          <w:bCs/>
          <w:color w:val="000000"/>
          <w:sz w:val="24"/>
          <w:szCs w:val="24"/>
          <w:highlight w:val="none"/>
        </w:rPr>
        <w:outlineLvl w:val="1"/>
      </w:pPr>
      <w:r/>
      <w:bookmarkStart w:id="17" w:name="_Toc26697"/>
      <w:r>
        <w:rPr>
          <w:rFonts w:hint="eastAsia" w:ascii="宋体" w:hAnsi="宋体" w:cs="宋体"/>
          <w:b/>
          <w:bCs/>
          <w:color w:val="000000"/>
          <w:sz w:val="24"/>
          <w:szCs w:val="24"/>
          <w:highlight w:val="none"/>
        </w:rPr>
        <w:t xml:space="preserve">三、获取招标文件</w:t>
      </w:r>
      <w:bookmarkEnd w:id="17"/>
      <w:r>
        <w:rPr>
          <w:rFonts w:hint="eastAsia" w:ascii="宋体" w:hAnsi="宋体" w:cs="宋体"/>
          <w:b/>
          <w:bCs/>
          <w:color w:val="000000"/>
          <w:sz w:val="24"/>
          <w:szCs w:val="24"/>
          <w:highlight w:val="none"/>
        </w:rPr>
      </w:r>
      <w:r/>
    </w:p>
    <w:p>
      <w:pPr>
        <w:pStyle w:val="1173"/>
        <w:ind w:left="840"/>
        <w:jc w:val="left"/>
        <w:spacing w:line="329" w:lineRule="auto"/>
        <w:shd w:val="clear" w:color="auto" w:fill="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时间：</w:t>
      </w:r>
      <w:r>
        <w:rPr>
          <w:rFonts w:hint="eastAsia" w:ascii="宋体" w:hAnsi="宋体" w:cs="宋体"/>
          <w:color w:val="000000"/>
          <w:sz w:val="24"/>
          <w:szCs w:val="24"/>
          <w:highlight w:val="none"/>
          <w:lang w:val="en-US" w:eastAsia="zh-CN"/>
        </w:rPr>
        <w:t xml:space="preserve">自公告发布之日起5个工作日。</w:t>
      </w:r>
      <w:r>
        <w:rPr>
          <w:rFonts w:ascii="宋体" w:hAnsi="宋体" w:eastAsia="宋体" w:cs="宋体"/>
          <w:color w:val="000000"/>
          <w:sz w:val="24"/>
          <w:szCs w:val="24"/>
          <w:highlight w:val="none"/>
          <w:lang w:val="en-US" w:eastAsia="zh-CN"/>
        </w:rPr>
      </w:r>
      <w:r/>
    </w:p>
    <w:p>
      <w:pPr>
        <w:pStyle w:val="884"/>
        <w:ind w:firstLine="1262"/>
        <w:spacing w:line="440" w:lineRule="exact"/>
        <w:rPr>
          <w:rFonts w:hint="eastAsia" w:ascii="宋体" w:hAnsi="宋体" w:eastAsia="宋体"/>
          <w:color w:val="000000"/>
          <w:sz w:val="24"/>
          <w:highlight w:val="none"/>
          <w:u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w:t>
      </w:r>
      <w:bookmarkStart w:id="18" w:name="OLE_LINK27"/>
      <w:r>
        <w:rPr>
          <w:rFonts w:hint="eastAsia" w:ascii="宋体" w:hAnsi="宋体" w:eastAsia="宋体"/>
          <w:color w:val="000000"/>
          <w:sz w:val="24"/>
          <w:highlight w:val="none"/>
          <w:u w:val="none"/>
        </w:rPr>
        <w:t xml:space="preserve">“江苏政府采购网”</w:t>
      </w:r>
      <w:bookmarkEnd w:id="18"/>
      <w:r>
        <w:rPr>
          <w:rFonts w:hint="eastAsia" w:ascii="宋体" w:hAnsi="宋体" w:eastAsia="宋体"/>
          <w:color w:val="000000"/>
          <w:sz w:val="24"/>
          <w:highlight w:val="none"/>
          <w:u w:val="none"/>
        </w:rPr>
      </w:r>
      <w:r/>
    </w:p>
    <w:p>
      <w:pPr>
        <w:pStyle w:val="884"/>
        <w:ind w:firstLine="1262"/>
        <w:spacing w:line="44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方式：本项目采用网上注册登记方式</w:t>
      </w:r>
      <w:r>
        <w:rPr>
          <w:rFonts w:hint="eastAsia" w:ascii="宋体" w:hAnsi="宋体" w:eastAsia="宋体" w:cs="宋体"/>
          <w:color w:val="000000"/>
          <w:sz w:val="24"/>
          <w:szCs w:val="24"/>
          <w:highlight w:val="none"/>
          <w:u w:val="none"/>
          <w:lang w:val="en-US" w:eastAsia="zh-CN"/>
        </w:rPr>
        <w:t xml:space="preserve">免费获取</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rPr>
      </w:r>
      <w:r/>
    </w:p>
    <w:p>
      <w:pPr>
        <w:pStyle w:val="1136"/>
        <w:ind w:left="709" w:firstLine="0"/>
        <w:spacing w:line="360" w:lineRule="exact"/>
        <w:shd w:val="clear" w:color="auto" w:fill="auto"/>
        <w:tabs>
          <w:tab w:val="left" w:pos="1134" w:leader="none"/>
        </w:tabs>
        <w:rPr>
          <w:rFonts w:hint="eastAsia" w:ascii="宋体" w:hAnsi="宋体" w:cs="宋体"/>
          <w:b/>
          <w:bCs/>
          <w:color w:val="000000"/>
          <w:sz w:val="24"/>
          <w:szCs w:val="24"/>
          <w:highlight w:val="none"/>
        </w:rPr>
        <w:outlineLvl w:val="1"/>
      </w:pPr>
      <w:r/>
      <w:bookmarkStart w:id="19" w:name="_Toc2291"/>
      <w:r>
        <w:rPr>
          <w:rFonts w:hint="eastAsia" w:ascii="宋体" w:hAnsi="宋体" w:cs="宋体"/>
          <w:b/>
          <w:bCs/>
          <w:color w:val="000000"/>
          <w:sz w:val="24"/>
          <w:szCs w:val="24"/>
          <w:highlight w:val="none"/>
        </w:rPr>
        <w:t xml:space="preserve">四、提交投标文件截止时间、开标时间和地点</w:t>
      </w:r>
      <w:bookmarkEnd w:id="19"/>
      <w:r>
        <w:rPr>
          <w:rFonts w:hint="eastAsia" w:ascii="宋体" w:hAnsi="宋体" w:cs="宋体"/>
          <w:b/>
          <w:bCs/>
          <w:color w:val="000000"/>
          <w:sz w:val="24"/>
          <w:szCs w:val="24"/>
          <w:highlight w:val="none"/>
        </w:rPr>
      </w:r>
      <w:r/>
    </w:p>
    <w:p>
      <w:pPr>
        <w:pStyle w:val="1136"/>
        <w:ind w:left="1134" w:firstLine="0"/>
        <w:spacing w:line="312" w:lineRule="auto"/>
        <w:shd w:val="clear" w:color="auto" w:fill="auto"/>
        <w:tabs>
          <w:tab w:val="left" w:pos="1134" w:leader="none"/>
        </w:tabs>
        <w:rPr>
          <w:rFonts w:ascii="宋体" w:hAnsi="宋体" w:eastAsia="宋体" w:cs="宋体"/>
          <w:color w:val="000000"/>
          <w:sz w:val="24"/>
          <w:szCs w:val="24"/>
          <w:highlight w:val="none"/>
          <w:lang w:val="en-US" w:eastAsia="zh-CN"/>
        </w:rPr>
      </w:pPr>
      <w:r>
        <w:rPr>
          <w:rFonts w:hint="eastAsia" w:ascii="宋体" w:hAnsi="宋体"/>
          <w:bCs/>
          <w:color w:val="000000"/>
          <w:sz w:val="24"/>
          <w:szCs w:val="20"/>
          <w:highlight w:val="none"/>
        </w:rPr>
        <w:t xml:space="preserve">投标文件截止时间</w:t>
      </w:r>
      <w:r>
        <w:rPr>
          <w:rFonts w:hint="eastAsia" w:ascii="宋体" w:hAnsi="宋体"/>
          <w:bCs/>
          <w:color w:val="000000"/>
          <w:sz w:val="24"/>
          <w:szCs w:val="20"/>
          <w:highlight w:val="none"/>
          <w:lang w:val="en-US" w:eastAsia="zh-CN"/>
        </w:rPr>
        <w:t xml:space="preserve">及开标时间：</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21</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北京时间）</w:t>
      </w:r>
      <w:r>
        <w:rPr>
          <w:rFonts w:ascii="宋体" w:hAnsi="宋体" w:eastAsia="宋体" w:cs="宋体"/>
          <w:color w:val="000000"/>
          <w:sz w:val="24"/>
          <w:szCs w:val="24"/>
          <w:highlight w:val="none"/>
          <w:lang w:val="en-US" w:eastAsia="zh-CN"/>
        </w:rPr>
      </w:r>
      <w:r/>
    </w:p>
    <w:p>
      <w:pPr>
        <w:pStyle w:val="1136"/>
        <w:ind w:left="1134" w:firstLine="0"/>
        <w:spacing w:line="312" w:lineRule="auto"/>
        <w:shd w:val="clear" w:color="auto" w:fill="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w:t>
      </w:r>
      <w:bookmarkStart w:id="20" w:name="OLE_LINK28"/>
      <w:r>
        <w:rPr>
          <w:rFonts w:hint="eastAsia" w:ascii="宋体" w:hAnsi="宋体" w:eastAsia="宋体"/>
          <w:color w:val="000000"/>
          <w:sz w:val="24"/>
          <w:highlight w:val="none"/>
        </w:rPr>
        <w:t xml:space="preserve">“苏采云”政府采购交易系统网上开标大厅</w:t>
      </w:r>
      <w:bookmarkEnd w:id="20"/>
      <w:r>
        <w:rPr>
          <w:rFonts w:hint="eastAsia" w:ascii="宋体" w:hAnsi="宋体" w:eastAsia="宋体"/>
          <w:color w:val="000000"/>
          <w:sz w:val="24"/>
          <w:highlight w:val="none"/>
        </w:rPr>
        <w:t xml:space="preserve">。</w:t>
      </w:r>
      <w:r>
        <w:rPr>
          <w:rFonts w:hint="eastAsia" w:ascii="宋体" w:hAnsi="宋体" w:cs="宋体"/>
          <w:color w:val="000000"/>
          <w:sz w:val="24"/>
          <w:szCs w:val="24"/>
          <w:highlight w:val="none"/>
        </w:rPr>
      </w:r>
      <w:r/>
    </w:p>
    <w:p>
      <w:pPr>
        <w:pStyle w:val="1136"/>
        <w:ind w:left="708" w:firstLine="0"/>
        <w:spacing w:line="312" w:lineRule="auto"/>
        <w:shd w:val="clear" w:color="auto" w:fill="auto"/>
        <w:tabs>
          <w:tab w:val="left" w:pos="1134" w:leader="none"/>
        </w:tabs>
        <w:rPr>
          <w:rFonts w:hint="eastAsia" w:ascii="宋体" w:hAnsi="宋体" w:cs="宋体"/>
          <w:b/>
          <w:bCs/>
          <w:color w:val="000000"/>
          <w:sz w:val="24"/>
          <w:szCs w:val="24"/>
          <w:highlight w:val="none"/>
        </w:rPr>
        <w:outlineLvl w:val="1"/>
      </w:pPr>
      <w:r/>
      <w:bookmarkStart w:id="21" w:name="_Toc5544"/>
      <w:r>
        <w:rPr>
          <w:rFonts w:hint="eastAsia" w:ascii="宋体" w:hAnsi="宋体" w:cs="宋体"/>
          <w:b/>
          <w:bCs/>
          <w:color w:val="000000"/>
          <w:sz w:val="24"/>
          <w:szCs w:val="24"/>
          <w:highlight w:val="none"/>
        </w:rPr>
        <w:t xml:space="preserve">五、公告期限</w:t>
      </w:r>
      <w:bookmarkEnd w:id="21"/>
      <w:r>
        <w:rPr>
          <w:rFonts w:hint="eastAsia" w:ascii="宋体" w:hAnsi="宋体" w:cs="宋体"/>
          <w:b/>
          <w:bCs/>
          <w:color w:val="000000"/>
          <w:sz w:val="24"/>
          <w:szCs w:val="24"/>
          <w:highlight w:val="none"/>
        </w:rPr>
      </w:r>
      <w:r/>
    </w:p>
    <w:p>
      <w:pPr>
        <w:pStyle w:val="1136"/>
        <w:ind w:firstLine="1200"/>
        <w:spacing w:line="312" w:lineRule="auto"/>
        <w:shd w:val="clear" w:color="auto" w:fill="auto"/>
        <w:tabs>
          <w:tab w:val="left" w:pos="127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1136"/>
        <w:ind w:left="709" w:firstLine="0"/>
        <w:spacing w:line="360" w:lineRule="exact"/>
        <w:shd w:val="clear" w:color="auto" w:fill="auto"/>
        <w:tabs>
          <w:tab w:val="left" w:pos="1134" w:leader="none"/>
        </w:tabs>
        <w:rPr>
          <w:rFonts w:hint="eastAsia" w:ascii="宋体" w:hAnsi="宋体" w:cs="宋体"/>
          <w:b/>
          <w:bCs/>
          <w:color w:val="000000"/>
          <w:sz w:val="24"/>
          <w:szCs w:val="24"/>
          <w:highlight w:val="none"/>
        </w:rPr>
        <w:outlineLvl w:val="1"/>
      </w:pPr>
      <w:r/>
      <w:bookmarkStart w:id="22" w:name="_Toc12830"/>
      <w:r>
        <w:rPr>
          <w:rFonts w:hint="eastAsia" w:ascii="宋体" w:hAnsi="宋体" w:cs="宋体"/>
          <w:b/>
          <w:bCs/>
          <w:color w:val="000000"/>
          <w:sz w:val="24"/>
          <w:szCs w:val="24"/>
          <w:highlight w:val="none"/>
        </w:rPr>
        <w:t xml:space="preserve">六、其他补充事宜</w:t>
      </w:r>
      <w:bookmarkEnd w:id="22"/>
      <w:r>
        <w:rPr>
          <w:rFonts w:hint="eastAsia" w:ascii="宋体" w:hAnsi="宋体" w:cs="宋体"/>
          <w:b/>
          <w:bCs/>
          <w:color w:val="000000"/>
          <w:sz w:val="24"/>
          <w:szCs w:val="24"/>
          <w:highlight w:val="none"/>
        </w:rPr>
      </w:r>
      <w:r/>
    </w:p>
    <w:p>
      <w:pPr>
        <w:pStyle w:val="884"/>
        <w:ind w:firstLine="964"/>
        <w:spacing w:line="360" w:lineRule="auto"/>
        <w:rPr>
          <w:rFonts w:ascii="宋体" w:hAnsi="宋体" w:cs="宋体"/>
          <w:b/>
          <w:bCs w:val="0"/>
          <w:color w:val="000000"/>
          <w:sz w:val="24"/>
          <w:szCs w:val="24"/>
          <w:highlight w:val="none"/>
        </w:rPr>
      </w:pPr>
      <w:r/>
      <w:bookmarkStart w:id="23" w:name="OLE_LINK30"/>
      <w:r/>
      <w:bookmarkStart w:id="24" w:name="_Toc10479"/>
      <w:r>
        <w:rPr>
          <w:rFonts w:hint="eastAsia" w:ascii="宋体" w:hAnsi="宋体" w:eastAsia="宋体" w:cs="Times New Roman"/>
          <w:b/>
          <w:bCs w:val="0"/>
          <w:color w:val="000000"/>
          <w:sz w:val="24"/>
          <w:szCs w:val="24"/>
          <w:highlight w:val="none"/>
        </w:rPr>
        <w:t xml:space="preserve">1</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潜在供应商访问政府采购管理交易系统（苏采云）的网络地址和方法：</w:t>
      </w:r>
      <w:r>
        <w:rPr>
          <w:rFonts w:ascii="宋体" w:hAnsi="宋体" w:cs="宋体"/>
          <w:b/>
          <w:bCs w:val="0"/>
          <w:color w:val="000000"/>
          <w:sz w:val="24"/>
          <w:szCs w:val="24"/>
          <w:highlight w:val="none"/>
        </w:rPr>
      </w:r>
      <w:r/>
    </w:p>
    <w:p>
      <w:pPr>
        <w:pStyle w:val="884"/>
        <w:ind w:left="218" w:firstLine="379"/>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bCs/>
          <w:color w:val="000000"/>
          <w:sz w:val="24"/>
          <w:szCs w:val="24"/>
          <w:highlight w:val="none"/>
          <w:lang w:val="en-US" w:eastAsia="zh-CN" w:bidi="ar-SA"/>
        </w:rPr>
      </w:r>
      <w:r/>
    </w:p>
    <w:p>
      <w:pPr>
        <w:pStyle w:val="884"/>
        <w:ind w:left="218" w:firstLine="379"/>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（2）“CA数字证书”的获取：供应商需办理CA锁，“苏采云”系统目前仅支持“苏采云”系统下的政务CA，省内各地区办理的“苏采云”系统下的政务CA全省通用。</w:t>
      </w:r>
      <w:r>
        <w:rPr>
          <w:rFonts w:hint="eastAsia" w:ascii="宋体" w:hAnsi="宋体" w:eastAsia="宋体" w:cs="Times New Roman"/>
          <w:bCs/>
          <w:color w:val="000000"/>
          <w:sz w:val="24"/>
          <w:szCs w:val="24"/>
          <w:highlight w:val="none"/>
          <w:lang w:val="en-US" w:eastAsia="zh-CN" w:bidi="ar-SA"/>
        </w:rPr>
      </w:r>
      <w:r/>
    </w:p>
    <w:p>
      <w:pPr>
        <w:pStyle w:val="884"/>
        <w:ind w:left="218" w:firstLine="379"/>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（3）“CA数字证书”的办理材料以及供应商操作手册详见：http://jsxcmm.com/help/gys.html。</w:t>
      </w:r>
      <w:r>
        <w:rPr>
          <w:rFonts w:hint="eastAsia" w:ascii="宋体" w:hAnsi="宋体" w:eastAsia="宋体" w:cs="Times New Roman"/>
          <w:bCs/>
          <w:color w:val="000000"/>
          <w:sz w:val="24"/>
          <w:szCs w:val="24"/>
          <w:highlight w:val="none"/>
          <w:lang w:val="en-US" w:eastAsia="zh-CN" w:bidi="ar-SA"/>
        </w:rPr>
      </w:r>
      <w:r/>
    </w:p>
    <w:p>
      <w:pPr>
        <w:pStyle w:val="884"/>
        <w:ind w:left="218" w:firstLine="379"/>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（4）潜在供应商访问“苏采云”系统的网络地址和方法：“苏采云”系统的网址：http://jszfcg.jsczt.cn/jszc/login。</w:t>
      </w:r>
      <w:r>
        <w:rPr>
          <w:rFonts w:hint="eastAsia" w:ascii="宋体" w:hAnsi="宋体" w:eastAsia="宋体" w:cs="Times New Roman"/>
          <w:bCs/>
          <w:color w:val="000000"/>
          <w:sz w:val="24"/>
          <w:szCs w:val="24"/>
          <w:highlight w:val="none"/>
          <w:lang w:val="en-US" w:eastAsia="zh-CN" w:bidi="ar-SA"/>
        </w:rPr>
      </w:r>
      <w:r/>
    </w:p>
    <w:p>
      <w:pPr>
        <w:pStyle w:val="884"/>
        <w:ind w:left="218" w:firstLine="379"/>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（5）采购文件（后缀名为“.kedt”）、供应商操作手册及政府采购客户端工具也可通过“苏采云”系统--已报名项目--报名详情页面内相应链接进行下载。</w:t>
      </w:r>
      <w:r>
        <w:rPr>
          <w:rFonts w:hint="eastAsia" w:ascii="宋体" w:hAnsi="宋体" w:eastAsia="宋体" w:cs="Times New Roman"/>
          <w:bCs/>
          <w:color w:val="000000"/>
          <w:sz w:val="24"/>
          <w:szCs w:val="24"/>
          <w:highlight w:val="none"/>
          <w:lang w:val="en-US" w:eastAsia="zh-CN" w:bidi="ar-SA"/>
        </w:rPr>
      </w:r>
      <w:r/>
    </w:p>
    <w:p>
      <w:pPr>
        <w:pStyle w:val="884"/>
        <w:ind w:left="218" w:firstLine="379"/>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（6）招标代理机构（采购代理机构）将数据电文形式的采购文件加载至“苏采云”系统，供潜在供应商下载或者查阅。    </w:t>
      </w:r>
      <w:r>
        <w:rPr>
          <w:rFonts w:hint="eastAsia" w:ascii="宋体" w:hAnsi="宋体" w:eastAsia="宋体" w:cs="Times New Roman"/>
          <w:bCs/>
          <w:color w:val="000000"/>
          <w:sz w:val="24"/>
          <w:szCs w:val="24"/>
          <w:highlight w:val="none"/>
          <w:lang w:val="en-US" w:eastAsia="zh-CN" w:bidi="ar-SA"/>
        </w:rPr>
      </w:r>
      <w:r/>
    </w:p>
    <w:p>
      <w:pPr>
        <w:pStyle w:val="884"/>
        <w:ind w:left="218" w:firstLine="379"/>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（7）苏采云系统使用谷歌浏览器参与不见面开标。</w:t>
      </w:r>
      <w:r>
        <w:rPr>
          <w:rFonts w:hint="eastAsia" w:ascii="宋体" w:hAnsi="宋体" w:eastAsia="宋体" w:cs="Times New Roman"/>
          <w:bCs/>
          <w:color w:val="000000"/>
          <w:sz w:val="24"/>
          <w:szCs w:val="24"/>
          <w:highlight w:val="none"/>
          <w:lang w:val="en-US" w:eastAsia="zh-CN" w:bidi="ar-SA"/>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2.信用承诺</w:t>
      </w:r>
      <w:r>
        <w:rPr>
          <w:rFonts w:hint="eastAsia" w:ascii="宋体" w:hAnsi="宋体" w:eastAsia="宋体" w:cs="宋体"/>
          <w:bCs/>
          <w:color w:val="000000"/>
          <w:sz w:val="24"/>
          <w:szCs w:val="24"/>
          <w:highlight w:val="none"/>
          <w:lang w:val="en-US" w:eastAsia="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bCs/>
          <w:color w:val="000000"/>
          <w:sz w:val="24"/>
          <w:szCs w:val="24"/>
          <w:highlight w:val="none"/>
          <w:lang w:val="en-US" w:eastAsia="zh-CN"/>
        </w:rPr>
        <w:fldChar w:fldCharType="begin"/>
      </w:r>
      <w:r>
        <w:rPr>
          <w:rFonts w:hint="eastAsia" w:ascii="宋体" w:hAnsi="宋体" w:eastAsia="宋体" w:cs="宋体"/>
          <w:bCs/>
          <w:color w:val="000000"/>
          <w:sz w:val="24"/>
          <w:szCs w:val="24"/>
          <w:highlight w:val="none"/>
          <w:lang w:val="en-US" w:eastAsia="zh-CN"/>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rFonts w:hint="eastAsia" w:ascii="宋体" w:hAnsi="宋体" w:eastAsia="宋体" w:cs="宋体"/>
          <w:bCs/>
          <w:color w:val="000000"/>
          <w:sz w:val="24"/>
          <w:szCs w:val="24"/>
          <w:highlight w:val="none"/>
          <w:lang w:val="en-US" w:eastAsia="zh-CN"/>
        </w:rPr>
        <w:fldChar w:fldCharType="separate"/>
      </w:r>
      <w:r>
        <w:rPr>
          <w:rFonts w:hint="eastAsia" w:ascii="宋体" w:hAnsi="宋体" w:eastAsia="宋体" w:cs="宋体"/>
          <w:bCs/>
          <w:color w:val="000000"/>
          <w:sz w:val="24"/>
          <w:szCs w:val="24"/>
          <w:highlight w:val="none"/>
          <w:lang w:val="en-US" w:eastAsia="zh-CN"/>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eastAsia="宋体" w:cs="宋体"/>
          <w:bCs/>
          <w:color w:val="000000"/>
          <w:sz w:val="24"/>
          <w:szCs w:val="24"/>
          <w:highlight w:val="none"/>
          <w:lang w:val="en-US" w:eastAsia="zh-CN"/>
        </w:rPr>
        <w:fldChar w:fldCharType="end"/>
      </w:r>
      <w:r>
        <w:rPr>
          <w:rFonts w:hint="eastAsia" w:ascii="宋体" w:hAnsi="宋体" w:eastAsia="宋体" w:cs="宋体"/>
          <w:bCs/>
          <w:color w:val="000000"/>
          <w:sz w:val="24"/>
          <w:szCs w:val="24"/>
          <w:highlight w:val="none"/>
          <w:lang w:val="en-US" w:eastAsia="zh-CN"/>
        </w:rPr>
        <w:t xml:space="preserve"> 要求完成注册），然后在“信用记录”模块页面点击“信用记录打印”下载本单位《南京市政府采购供应商信用记录表暨信用承诺书》，由法人签字并盖单位公章，装订在响应文件中。</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在政府采购资格审查环节，供应商只需提供书面《南京市政府采购供应商信用记录表暨信用承诺书》，即可替代以下证明材料：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（1）符合国家相关规定的财务状况报告；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（2）依法缴纳税收的证明材料；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（3）依法缴纳社会保障资金的证明材料；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（4）具备履行政府采购合同所必需的设备和专业技术能力的证明材料；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（5）参加政府采购活动前三年内在经营活动中没有重大违法记录的证明材料；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（6）未被列入失信被执行人、重大税收违法失信主体、政府采购严重违法失信行为记录名单的证明材料。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    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供应商涉及以下情形的，不适用信用承诺：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（1）供应商被列入严重失信主体名单；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（2）被相关监管部门作出行政处罚且尚在处罚有效期内；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（3）其他法律、行政法规规定的不适用信用承诺的情形。 </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4"/>
          <w:szCs w:val="24"/>
          <w:highlight w:val="none"/>
          <w:lang w:val="en-US" w:eastAsia="zh-CN"/>
        </w:rPr>
      </w:r>
      <w:r/>
    </w:p>
    <w:p>
      <w:pPr>
        <w:pStyle w:val="884"/>
        <w:ind w:firstLine="42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.有关本次采购的事项若存在变动或修改，敬请及时关注“江苏省政府采购网”发布的信息。</w:t>
      </w:r>
      <w:r>
        <w:rPr>
          <w:rFonts w:ascii="宋体" w:hAnsi="宋体" w:cs="宋体"/>
          <w:b/>
          <w:bCs/>
          <w:color w:val="000000"/>
          <w:sz w:val="24"/>
          <w:szCs w:val="24"/>
          <w:highlight w:val="none"/>
        </w:rPr>
      </w:r>
      <w:r/>
    </w:p>
    <w:p>
      <w:pPr>
        <w:pStyle w:val="1136"/>
        <w:numPr>
          <w:ilvl w:val="0"/>
          <w:numId w:val="6"/>
        </w:numPr>
        <w:ind w:firstLine="723"/>
        <w:spacing w:line="312" w:lineRule="auto"/>
        <w:shd w:val="clear" w:color="auto" w:fill="auto"/>
        <w:tabs>
          <w:tab w:val="left" w:pos="1276" w:leader="none"/>
        </w:tabs>
        <w:rPr>
          <w:rFonts w:hint="eastAsia" w:ascii="宋体" w:hAnsi="宋体" w:cs="宋体"/>
          <w:b/>
          <w:bCs/>
          <w:color w:val="000000"/>
          <w:sz w:val="24"/>
          <w:szCs w:val="24"/>
          <w:highlight w:val="none"/>
        </w:rPr>
        <w:outlineLvl w:val="1"/>
      </w:pPr>
      <w:r/>
      <w:bookmarkEnd w:id="23"/>
      <w:r>
        <w:rPr>
          <w:rFonts w:hint="eastAsia" w:ascii="宋体" w:hAnsi="宋体" w:cs="宋体"/>
          <w:b/>
          <w:bCs/>
          <w:color w:val="000000"/>
          <w:sz w:val="24"/>
          <w:szCs w:val="24"/>
          <w:highlight w:val="none"/>
        </w:rPr>
        <w:t xml:space="preserve">对本次招标提出询问，请按以下方式联系。</w:t>
      </w:r>
      <w:bookmarkEnd w:id="24"/>
      <w:r>
        <w:rPr>
          <w:rFonts w:hint="eastAsia" w:ascii="宋体" w:hAnsi="宋体" w:cs="宋体"/>
          <w:b/>
          <w:bCs/>
          <w:color w:val="000000"/>
          <w:sz w:val="24"/>
          <w:szCs w:val="24"/>
          <w:highlight w:val="none"/>
        </w:rPr>
      </w:r>
      <w:r/>
    </w:p>
    <w:p>
      <w:pPr>
        <w:pStyle w:val="1136"/>
        <w:ind w:left="709" w:firstLine="560"/>
        <w:spacing w:line="329" w:lineRule="auto"/>
        <w:tabs>
          <w:tab w:val="left" w:pos="1276" w:leader="none"/>
        </w:tabs>
        <w:rPr>
          <w:rFonts w:hint="eastAsia" w:ascii="宋体" w:hAnsi="宋体" w:eastAsia="宋体" w:cs="宋体"/>
          <w:color w:val="000000"/>
          <w:sz w:val="24"/>
          <w:szCs w:val="24"/>
          <w:highlight w:val="none"/>
        </w:rPr>
      </w:pPr>
      <w:r/>
      <w:bookmarkStart w:id="25" w:name="_Toc25617"/>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136"/>
        <w:ind w:left="709" w:firstLine="560"/>
        <w:spacing w:line="329" w:lineRule="auto"/>
        <w:tabs>
          <w:tab w:val="left" w:pos="127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南京市江宁区交通运输局</w:t>
      </w:r>
      <w:r>
        <w:rPr>
          <w:rFonts w:hint="eastAsia" w:ascii="宋体" w:hAnsi="宋体" w:eastAsia="宋体" w:cs="宋体"/>
          <w:color w:val="000000"/>
          <w:sz w:val="24"/>
          <w:szCs w:val="24"/>
          <w:highlight w:val="none"/>
          <w:lang w:eastAsia="zh-CN"/>
        </w:rPr>
      </w:r>
      <w:r/>
    </w:p>
    <w:p>
      <w:pPr>
        <w:pStyle w:val="1136"/>
        <w:ind w:left="709" w:firstLine="560"/>
        <w:spacing w:line="329" w:lineRule="auto"/>
        <w:tabs>
          <w:tab w:val="left" w:pos="1276" w:leader="none"/>
        </w:tabs>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地址：南京市江宁区科宁路779号</w:t>
      </w:r>
      <w:r>
        <w:rPr>
          <w:rFonts w:hint="eastAsia" w:ascii="宋体" w:hAnsi="宋体" w:eastAsia="宋体" w:cs="宋体"/>
          <w:color w:val="000000"/>
          <w:sz w:val="24"/>
          <w:szCs w:val="24"/>
          <w:highlight w:val="none"/>
          <w:shd w:val="clear" w:color="auto" w:fill="ffffff"/>
        </w:rPr>
      </w:r>
      <w:r/>
    </w:p>
    <w:p>
      <w:pPr>
        <w:pStyle w:val="1136"/>
        <w:ind w:left="709" w:firstLine="560"/>
        <w:spacing w:line="329" w:lineRule="auto"/>
        <w:tabs>
          <w:tab w:val="left" w:pos="127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2.采购</w:t>
      </w:r>
      <w:r>
        <w:rPr>
          <w:rFonts w:hint="eastAsia" w:ascii="宋体" w:hAnsi="宋体" w:eastAsia="宋体" w:cs="宋体"/>
          <w:color w:val="000000"/>
          <w:sz w:val="24"/>
          <w:szCs w:val="24"/>
          <w:highlight w:val="none"/>
        </w:rPr>
        <w:t xml:space="preserve">代理机构信息</w:t>
      </w:r>
      <w:r>
        <w:rPr>
          <w:rFonts w:hint="eastAsia" w:ascii="宋体" w:hAnsi="宋体" w:eastAsia="宋体" w:cs="宋体"/>
          <w:color w:val="000000"/>
          <w:sz w:val="24"/>
          <w:szCs w:val="24"/>
          <w:highlight w:val="none"/>
        </w:rPr>
      </w:r>
      <w:r/>
    </w:p>
    <w:p>
      <w:pPr>
        <w:pStyle w:val="1136"/>
        <w:ind w:left="709" w:firstLine="560"/>
        <w:spacing w:line="329" w:lineRule="auto"/>
        <w:tabs>
          <w:tab w:val="left" w:pos="127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名称：江苏弘业国际技术工程有限公司</w:t>
      </w:r>
      <w:r>
        <w:rPr>
          <w:rFonts w:hint="eastAsia" w:ascii="宋体" w:hAnsi="宋体" w:eastAsia="宋体" w:cs="宋体"/>
          <w:color w:val="000000"/>
          <w:sz w:val="24"/>
          <w:szCs w:val="24"/>
          <w:highlight w:val="none"/>
        </w:rPr>
      </w:r>
      <w:r/>
    </w:p>
    <w:p>
      <w:pPr>
        <w:pStyle w:val="1136"/>
        <w:ind w:left="709" w:firstLine="560"/>
        <w:spacing w:line="329" w:lineRule="auto"/>
        <w:tabs>
          <w:tab w:val="left" w:pos="1276" w:leader="none"/>
        </w:tabs>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地址：南京市中华路50号弘业大厦</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shd w:val="clear" w:color="auto" w:fill="ffffff"/>
        </w:rPr>
      </w:r>
      <w:r/>
    </w:p>
    <w:p>
      <w:pPr>
        <w:pStyle w:val="1136"/>
        <w:ind w:left="709" w:firstLine="560"/>
        <w:spacing w:line="329" w:lineRule="auto"/>
        <w:tabs>
          <w:tab w:val="left" w:pos="1276" w:leader="none"/>
        </w:tabs>
        <w:rPr>
          <w:rFonts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rPr>
        <w:t xml:space="preserve">联系方式：025-52278</w:t>
      </w:r>
      <w:r>
        <w:rPr>
          <w:rFonts w:hint="eastAsia" w:ascii="宋体" w:hAnsi="宋体" w:eastAsia="宋体" w:cs="宋体"/>
          <w:color w:val="000000"/>
          <w:sz w:val="24"/>
          <w:szCs w:val="24"/>
          <w:highlight w:val="none"/>
          <w:shd w:val="clear" w:color="auto" w:fill="ffffff"/>
          <w:lang w:val="en-US" w:eastAsia="zh-CN"/>
        </w:rPr>
        <w:t xml:space="preserve">756</w:t>
      </w:r>
      <w:r>
        <w:rPr>
          <w:rFonts w:ascii="宋体" w:hAnsi="宋体" w:eastAsia="宋体" w:cs="宋体"/>
          <w:color w:val="000000"/>
          <w:sz w:val="24"/>
          <w:szCs w:val="24"/>
          <w:highlight w:val="none"/>
          <w:shd w:val="clear" w:color="auto" w:fill="ffffff"/>
          <w:lang w:val="en-US" w:eastAsia="zh-CN"/>
        </w:rPr>
      </w:r>
      <w:r/>
    </w:p>
    <w:p>
      <w:pPr>
        <w:pStyle w:val="1136"/>
        <w:ind w:left="709" w:firstLine="560"/>
        <w:spacing w:line="329" w:lineRule="auto"/>
        <w:tabs>
          <w:tab w:val="left" w:pos="127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真：025-52278761</w:t>
      </w:r>
      <w:r>
        <w:rPr>
          <w:rFonts w:hint="eastAsia" w:ascii="宋体" w:hAnsi="宋体" w:eastAsia="宋体" w:cs="宋体"/>
          <w:color w:val="000000"/>
          <w:sz w:val="24"/>
          <w:szCs w:val="24"/>
          <w:highlight w:val="none"/>
        </w:rPr>
      </w:r>
      <w:r/>
    </w:p>
    <w:p>
      <w:pPr>
        <w:pStyle w:val="1136"/>
        <w:ind w:left="709" w:firstLine="560"/>
        <w:spacing w:line="329" w:lineRule="auto"/>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"mailto:hollyzbzy@artall.com"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hollyzbzy@artall.com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136"/>
        <w:ind w:left="709" w:firstLine="560"/>
        <w:spacing w:line="329" w:lineRule="auto"/>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项目联系方式</w:t>
      </w:r>
      <w:r>
        <w:rPr>
          <w:rFonts w:hint="eastAsia" w:ascii="宋体" w:hAnsi="宋体" w:eastAsia="宋体" w:cs="宋体"/>
          <w:color w:val="000000"/>
          <w:sz w:val="24"/>
          <w:szCs w:val="24"/>
          <w:highlight w:val="none"/>
        </w:rPr>
      </w:r>
      <w:r/>
    </w:p>
    <w:p>
      <w:pPr>
        <w:pStyle w:val="1136"/>
        <w:ind w:left="709" w:firstLine="480"/>
        <w:spacing w:line="329" w:lineRule="auto"/>
        <w:tabs>
          <w:tab w:val="left" w:pos="127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季金金</w:t>
      </w:r>
      <w:r>
        <w:rPr>
          <w:rFonts w:hint="eastAsia" w:ascii="宋体" w:hAnsi="宋体" w:eastAsia="宋体" w:cs="宋体"/>
          <w:color w:val="000000"/>
          <w:sz w:val="24"/>
          <w:szCs w:val="24"/>
          <w:highlight w:val="none"/>
          <w:lang w:eastAsia="zh-CN"/>
        </w:rPr>
      </w:r>
      <w:r/>
    </w:p>
    <w:p>
      <w:pPr>
        <w:pStyle w:val="1136"/>
        <w:ind w:left="709" w:firstLine="560"/>
        <w:spacing w:line="329" w:lineRule="auto"/>
        <w:tabs>
          <w:tab w:val="left" w:pos="1134"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电话：</w:t>
      </w:r>
      <w:bookmarkStart w:id="26" w:name="OLE_LINK6"/>
      <w:r>
        <w:rPr>
          <w:rFonts w:hint="eastAsia" w:ascii="宋体" w:hAnsi="宋体" w:eastAsia="宋体" w:cs="宋体"/>
          <w:color w:val="000000"/>
          <w:sz w:val="24"/>
          <w:szCs w:val="24"/>
          <w:highlight w:val="none"/>
        </w:rPr>
        <w:t xml:space="preserve">025-52278</w:t>
      </w:r>
      <w:bookmarkEnd w:id="26"/>
      <w:r>
        <w:rPr>
          <w:rFonts w:hint="eastAsia" w:ascii="宋体" w:hAnsi="宋体" w:eastAsia="宋体" w:cs="宋体"/>
          <w:color w:val="000000"/>
          <w:sz w:val="24"/>
          <w:szCs w:val="24"/>
          <w:highlight w:val="none"/>
          <w:lang w:val="en-US" w:eastAsia="zh-CN"/>
        </w:rPr>
        <w:t xml:space="preserve">756</w:t>
      </w:r>
      <w:r>
        <w:rPr>
          <w:rFonts w:ascii="宋体" w:hAnsi="宋体" w:eastAsia="宋体" w:cs="宋体"/>
          <w:color w:val="000000"/>
          <w:sz w:val="24"/>
          <w:szCs w:val="24"/>
          <w:highlight w:val="none"/>
          <w:lang w:val="en-US" w:eastAsia="zh-CN"/>
        </w:rPr>
      </w:r>
      <w:r/>
    </w:p>
    <w:p>
      <w:pPr>
        <w:pStyle w:val="952"/>
        <w:ind w:firstLine="720"/>
        <w:jc w:val="right"/>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r>
      <w:r/>
    </w:p>
    <w:p>
      <w:pPr>
        <w:pStyle w:val="896"/>
        <w:shd w:val="clear" w:color="auto" w:fill="auto"/>
        <w:rPr>
          <w:rFonts w:ascii="宋体" w:hAnsi="宋体" w:eastAsia="宋体" w:cs="宋体"/>
          <w:color w:val="000000"/>
          <w:sz w:val="24"/>
          <w:szCs w:val="24"/>
          <w:highlight w:val="none"/>
        </w:rPr>
      </w:pPr>
      <w:r/>
      <w:bookmarkEnd w:id="25"/>
      <w:r>
        <w:rPr>
          <w:rFonts w:ascii="宋体" w:hAnsi="宋体" w:eastAsia="宋体" w:cs="宋体"/>
          <w:color w:val="000000"/>
          <w:sz w:val="24"/>
          <w:szCs w:val="24"/>
          <w:highlight w:val="none"/>
        </w:rPr>
      </w:r>
      <w:r/>
    </w:p>
    <w:p>
      <w:pPr>
        <w:pStyle w:val="957"/>
        <w:ind w:left="420" w:firstLine="480"/>
        <w:shd w:val="clear" w:color="auto" w:fill="auto"/>
        <w:rPr>
          <w:rFonts w:hint="eastAsia"/>
          <w:color w:val="000000"/>
          <w:highlight w:val="none"/>
        </w:rPr>
      </w:pPr>
      <w:r/>
      <w:bookmarkStart w:id="27" w:name="_Toc1881"/>
      <w:r>
        <w:rPr>
          <w:rFonts w:hint="eastAsia"/>
          <w:color w:val="000000"/>
          <w:highlight w:val="none"/>
        </w:rPr>
      </w:r>
      <w:r/>
    </w:p>
    <w:p>
      <w:pPr>
        <w:pStyle w:val="884"/>
        <w:jc w:val="center"/>
        <w:spacing w:line="240" w:lineRule="auto"/>
        <w:shd w:val="clear" w:color="auto" w:fill="auto"/>
        <w:rPr>
          <w:rFonts w:hint="eastAsia"/>
          <w:b/>
          <w:color w:val="000000"/>
          <w:sz w:val="44"/>
          <w:szCs w:val="44"/>
          <w:highlight w:val="none"/>
        </w:rPr>
        <w:outlineLvl w:val="0"/>
      </w:pPr>
      <w:r>
        <w:rPr>
          <w:rFonts w:hint="eastAsia"/>
          <w:b/>
          <w:color w:val="000000"/>
          <w:sz w:val="44"/>
          <w:szCs w:val="44"/>
          <w:highlight w:val="none"/>
        </w:rPr>
        <w:br w:type="page" w:clear="all"/>
      </w:r>
      <w:r>
        <w:rPr>
          <w:rFonts w:hint="eastAsia"/>
          <w:b/>
          <w:color w:val="000000"/>
          <w:sz w:val="44"/>
          <w:szCs w:val="44"/>
          <w:highlight w:val="none"/>
        </w:rPr>
        <w:t xml:space="preserve">第二部分  投标人须知</w:t>
      </w:r>
      <w:bookmarkEnd w:id="27"/>
      <w:r>
        <w:rPr>
          <w:rFonts w:hint="eastAsia"/>
          <w:b/>
          <w:color w:val="000000"/>
          <w:sz w:val="44"/>
          <w:szCs w:val="44"/>
          <w:highlight w:val="none"/>
        </w:rPr>
      </w:r>
      <w:r/>
    </w:p>
    <w:p>
      <w:pPr>
        <w:pStyle w:val="886"/>
        <w:jc w:val="center"/>
        <w:keepLines w:val="0"/>
        <w:keepNext w:val="0"/>
        <w:spacing w:before="0" w:after="0" w:line="240" w:lineRule="auto"/>
        <w:shd w:val="clear" w:color="auto" w:fill="auto"/>
        <w:rPr>
          <w:rFonts w:hint="eastAsia"/>
          <w:color w:val="000000"/>
          <w:highlight w:val="none"/>
        </w:rPr>
      </w:pPr>
      <w:r/>
      <w:bookmarkStart w:id="28" w:name="_Toc514054471"/>
      <w:r/>
      <w:bookmarkStart w:id="29" w:name="_Toc17705"/>
      <w:r>
        <w:rPr>
          <w:rFonts w:hint="eastAsia"/>
          <w:color w:val="000000"/>
          <w:highlight w:val="none"/>
        </w:rPr>
        <w:t xml:space="preserve">投标人须知前附表</w:t>
      </w:r>
      <w:bookmarkEnd w:id="28"/>
      <w:r/>
      <w:bookmarkEnd w:id="29"/>
      <w:r>
        <w:rPr>
          <w:rFonts w:hint="eastAsia"/>
          <w:color w:val="000000"/>
          <w:highlight w:val="none"/>
        </w:rPr>
      </w:r>
      <w:r/>
    </w:p>
    <w:tbl>
      <w:tblPr>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pStyle w:val="884"/>
              <w:jc w:val="center"/>
              <w:shd w:val="clear" w:color="auto" w:fill="auto"/>
              <w:rPr>
                <w:rFonts w:hint="eastAsia" w:ascii="仿宋_GB2312" w:hAnsi="仿宋" w:eastAsia="仿宋_GB2312"/>
                <w:b/>
                <w:bCs/>
                <w:color w:val="000000"/>
                <w:sz w:val="24"/>
                <w:szCs w:val="24"/>
                <w:highlight w:val="none"/>
              </w:rPr>
            </w:pPr>
            <w:r>
              <w:rPr>
                <w:rFonts w:hint="eastAsia" w:ascii="仿宋_GB2312" w:hAnsi="仿宋" w:eastAsia="仿宋_GB2312"/>
                <w:b/>
                <w:bCs/>
                <w:color w:val="000000"/>
                <w:sz w:val="24"/>
                <w:szCs w:val="24"/>
                <w:highlight w:val="none"/>
              </w:rPr>
              <w:t xml:space="preserve">序号</w:t>
            </w:r>
            <w:r>
              <w:rPr>
                <w:rFonts w:hint="eastAsia" w:ascii="仿宋_GB2312" w:hAnsi="仿宋" w:eastAsia="仿宋_GB2312"/>
                <w:b/>
                <w:bCs/>
                <w:color w:val="000000"/>
                <w:sz w:val="24"/>
                <w:szCs w:val="24"/>
                <w:highlight w:val="none"/>
              </w:rPr>
            </w:r>
            <w:r/>
          </w:p>
        </w:tc>
        <w:tc>
          <w:tcPr>
            <w:tcW w:w="2519" w:type="dxa"/>
            <w:vAlign w:val="center"/>
            <w:textDirection w:val="lrTb"/>
            <w:noWrap w:val="false"/>
          </w:tcPr>
          <w:p>
            <w:pPr>
              <w:pStyle w:val="884"/>
              <w:jc w:val="center"/>
              <w:shd w:val="clear" w:color="auto" w:fill="auto"/>
              <w:rPr>
                <w:rFonts w:hint="eastAsia" w:ascii="仿宋_GB2312" w:hAnsi="仿宋" w:eastAsia="仿宋_GB2312"/>
                <w:b/>
                <w:color w:val="000000"/>
                <w:sz w:val="24"/>
                <w:szCs w:val="24"/>
                <w:highlight w:val="none"/>
              </w:rPr>
            </w:pPr>
            <w:r>
              <w:rPr>
                <w:rFonts w:hint="eastAsia" w:ascii="仿宋_GB2312" w:hAnsi="仿宋" w:eastAsia="仿宋_GB2312"/>
                <w:b/>
                <w:color w:val="000000"/>
                <w:sz w:val="24"/>
                <w:szCs w:val="24"/>
                <w:highlight w:val="none"/>
              </w:rPr>
              <w:t xml:space="preserve">内容</w:t>
            </w:r>
            <w:r>
              <w:rPr>
                <w:rFonts w:hint="eastAsia" w:ascii="仿宋_GB2312" w:hAnsi="仿宋" w:eastAsia="仿宋_GB2312"/>
                <w:b/>
                <w:color w:val="000000"/>
                <w:sz w:val="24"/>
                <w:szCs w:val="24"/>
                <w:highlight w:val="none"/>
              </w:rPr>
            </w:r>
            <w:r/>
          </w:p>
        </w:tc>
        <w:tc>
          <w:tcPr>
            <w:tcW w:w="6297" w:type="dxa"/>
            <w:vAlign w:val="center"/>
            <w:textDirection w:val="lrTb"/>
            <w:noWrap w:val="false"/>
          </w:tcPr>
          <w:p>
            <w:pPr>
              <w:pStyle w:val="884"/>
              <w:jc w:val="center"/>
              <w:shd w:val="clear" w:color="auto" w:fill="auto"/>
              <w:rPr>
                <w:rFonts w:hint="eastAsia" w:ascii="仿宋_GB2312" w:hAnsi="仿宋" w:eastAsia="仿宋_GB2312"/>
                <w:b/>
                <w:bCs/>
                <w:color w:val="000000"/>
                <w:sz w:val="24"/>
                <w:szCs w:val="24"/>
                <w:highlight w:val="none"/>
              </w:rPr>
            </w:pPr>
            <w:r>
              <w:rPr>
                <w:rFonts w:hint="eastAsia" w:ascii="仿宋_GB2312" w:hAnsi="仿宋" w:eastAsia="仿宋_GB2312"/>
                <w:b/>
                <w:bCs/>
                <w:color w:val="000000"/>
                <w:sz w:val="24"/>
                <w:szCs w:val="24"/>
                <w:highlight w:val="none"/>
              </w:rPr>
              <w:t xml:space="preserve">说明及要求</w:t>
            </w:r>
            <w:r>
              <w:rPr>
                <w:rFonts w:hint="eastAsia" w:ascii="仿宋_GB2312" w:hAnsi="仿宋" w:eastAsia="仿宋_GB2312"/>
                <w:b/>
                <w:bCs/>
                <w:color w:val="000000"/>
                <w:sz w:val="24"/>
                <w:szCs w:val="24"/>
                <w:highlight w:val="none"/>
              </w:rPr>
            </w:r>
            <w:r/>
          </w:p>
        </w:tc>
      </w:tr>
      <w:tr>
        <w:trPr>
          <w:trHeight w:val="90"/>
        </w:trPr>
        <w:tc>
          <w:tcPr>
            <w:tcW w:w="1043"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519"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特别说明</w:t>
            </w:r>
            <w:r>
              <w:rPr>
                <w:rFonts w:hint="eastAsia" w:ascii="宋体" w:hAnsi="宋体" w:cs="宋体"/>
                <w:color w:val="000000"/>
                <w:sz w:val="24"/>
                <w:szCs w:val="24"/>
                <w:highlight w:val="none"/>
              </w:rPr>
            </w:r>
            <w:r/>
          </w:p>
        </w:tc>
        <w:tc>
          <w:tcPr>
            <w:tcW w:w="6297" w:type="dxa"/>
            <w:vAlign w:val="center"/>
            <w:textDirection w:val="lrTb"/>
            <w:noWrap w:val="false"/>
          </w:tcPr>
          <w:p>
            <w:pPr>
              <w:pStyle w:val="884"/>
              <w:shd w:val="clear" w:color="auto" w:fill="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若有内容与投标人须知前附表内容不一致时，以投标人须知前附表为准。</w:t>
            </w:r>
            <w:r>
              <w:rPr>
                <w:rFonts w:hint="eastAsia" w:ascii="宋体" w:hAnsi="宋体" w:cs="宋体"/>
                <w:color w:val="000000"/>
                <w:sz w:val="24"/>
                <w:szCs w:val="24"/>
                <w:highlight w:val="none"/>
              </w:rPr>
            </w:r>
            <w:r/>
          </w:p>
        </w:tc>
      </w:tr>
      <w:tr>
        <w:trPr>
          <w:trHeight w:val="90"/>
        </w:trPr>
        <w:tc>
          <w:tcPr>
            <w:tcW w:w="1043"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519"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w:t>
            </w:r>
            <w:r>
              <w:rPr>
                <w:rFonts w:hint="eastAsia" w:ascii="宋体" w:hAnsi="宋体" w:cs="宋体"/>
                <w:color w:val="000000"/>
                <w:sz w:val="24"/>
                <w:szCs w:val="24"/>
                <w:highlight w:val="none"/>
              </w:rPr>
            </w:r>
            <w:r/>
          </w:p>
        </w:tc>
        <w:tc>
          <w:tcPr>
            <w:tcW w:w="6297" w:type="dxa"/>
            <w:vAlign w:val="center"/>
            <w:textDirection w:val="lrTb"/>
            <w:noWrap w:val="false"/>
          </w:tcPr>
          <w:p>
            <w:pPr>
              <w:pStyle w:val="884"/>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本项目不收取投标保证金</w:t>
            </w:r>
            <w:r>
              <w:rPr>
                <w:rFonts w:ascii="宋体" w:hAnsi="宋体" w:cs="宋体"/>
                <w:color w:val="000000"/>
                <w:sz w:val="24"/>
                <w:szCs w:val="24"/>
                <w:highlight w:val="none"/>
              </w:rPr>
            </w:r>
            <w:r/>
          </w:p>
        </w:tc>
      </w:tr>
      <w:tr>
        <w:trPr>
          <w:trHeight w:val="90"/>
        </w:trPr>
        <w:tc>
          <w:tcPr>
            <w:tcW w:w="1043"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519"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投标有效期</w:t>
            </w:r>
            <w:r>
              <w:rPr>
                <w:rFonts w:hint="eastAsia" w:ascii="宋体" w:hAnsi="宋体" w:cs="宋体"/>
                <w:color w:val="000000"/>
                <w:sz w:val="24"/>
                <w:szCs w:val="24"/>
                <w:highlight w:val="none"/>
              </w:rPr>
            </w:r>
            <w:r/>
          </w:p>
        </w:tc>
        <w:tc>
          <w:tcPr>
            <w:tcW w:w="6297" w:type="dxa"/>
            <w:vAlign w:val="center"/>
            <w:textDirection w:val="lrTb"/>
            <w:noWrap w:val="false"/>
          </w:tcPr>
          <w:p>
            <w:pPr>
              <w:pStyle w:val="884"/>
              <w:shd w:val="clear" w:color="auto" w:fill="auto"/>
              <w:widowControl/>
              <w:rPr>
                <w:rFonts w:hint="eastAsia" w:ascii="宋体" w:hAnsi="宋体" w:cs="宋体"/>
                <w:color w:val="000000"/>
                <w:sz w:val="24"/>
                <w:szCs w:val="24"/>
                <w:highlight w:val="none"/>
              </w:rPr>
            </w:pPr>
            <w:r/>
            <w:bookmarkStart w:id="30" w:name="EBd40b5fb42f2944a3b45e579ce3941f02"/>
            <w:r>
              <w:rPr>
                <w:rFonts w:hint="eastAsia" w:ascii="宋体" w:hAnsi="宋体" w:cs="宋体"/>
                <w:color w:val="000000"/>
                <w:sz w:val="24"/>
                <w:szCs w:val="24"/>
                <w:highlight w:val="none"/>
              </w:rPr>
              <w:t xml:space="preserve">90</w:t>
            </w:r>
            <w:bookmarkEnd w:id="30"/>
            <w:r>
              <w:rPr>
                <w:rFonts w:hint="eastAsia" w:ascii="宋体" w:hAnsi="宋体" w:cs="宋体"/>
                <w:color w:val="000000"/>
                <w:sz w:val="24"/>
                <w:szCs w:val="24"/>
                <w:highlight w:val="none"/>
              </w:rPr>
              <w:t xml:space="preserve">日（从提交投标文件截止之日起算）</w:t>
            </w:r>
            <w:r>
              <w:rPr>
                <w:rFonts w:hint="eastAsia" w:ascii="宋体" w:hAnsi="宋体" w:cs="宋体"/>
                <w:color w:val="000000"/>
                <w:sz w:val="24"/>
                <w:szCs w:val="24"/>
                <w:highlight w:val="none"/>
              </w:rPr>
            </w:r>
            <w:r/>
          </w:p>
        </w:tc>
      </w:tr>
      <w:tr>
        <w:trPr>
          <w:trHeight w:val="90"/>
        </w:trPr>
        <w:tc>
          <w:tcPr>
            <w:tcW w:w="1043" w:type="dxa"/>
            <w:vAlign w:val="center"/>
            <w:textDirection w:val="lrTb"/>
            <w:noWrap w:val="false"/>
          </w:tcPr>
          <w:p>
            <w:pPr>
              <w:pStyle w:val="884"/>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2519"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评标办法</w:t>
            </w:r>
            <w:r>
              <w:rPr>
                <w:rFonts w:hint="eastAsia" w:ascii="宋体" w:hAnsi="宋体" w:cs="宋体"/>
                <w:color w:val="000000"/>
                <w:sz w:val="24"/>
                <w:szCs w:val="24"/>
                <w:highlight w:val="none"/>
              </w:rPr>
            </w:r>
            <w:r/>
          </w:p>
        </w:tc>
        <w:tc>
          <w:tcPr>
            <w:tcW w:w="6297" w:type="dxa"/>
            <w:vAlign w:val="center"/>
            <w:textDirection w:val="lrTb"/>
            <w:noWrap w:val="false"/>
          </w:tcPr>
          <w:p>
            <w:pPr>
              <w:pStyle w:val="884"/>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w:t>
            </w:r>
            <w:r>
              <w:rPr>
                <w:rFonts w:hint="eastAsia" w:ascii="宋体" w:hAnsi="宋体" w:cs="宋体"/>
                <w:color w:val="000000"/>
                <w:sz w:val="24"/>
                <w:szCs w:val="24"/>
                <w:highlight w:val="none"/>
              </w:rPr>
            </w:r>
            <w:r/>
          </w:p>
          <w:p>
            <w:pPr>
              <w:pStyle w:val="884"/>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具体评标办法详见招标文件第三部分。</w:t>
            </w:r>
            <w:r>
              <w:rPr>
                <w:rFonts w:hint="eastAsia" w:ascii="宋体" w:hAnsi="宋体" w:cs="宋体"/>
                <w:color w:val="000000"/>
                <w:sz w:val="24"/>
                <w:szCs w:val="24"/>
                <w:highlight w:val="none"/>
              </w:rPr>
            </w:r>
            <w:r/>
          </w:p>
          <w:p>
            <w:pPr>
              <w:pStyle w:val="884"/>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评标委员会按照招标文件规定的评标办法和标准，确定各投标人经评审后的得分，并按得分由高到低进行排序。</w:t>
            </w:r>
            <w:r>
              <w:rPr>
                <w:rFonts w:hint="eastAsia" w:ascii="宋体" w:hAnsi="宋体" w:cs="宋体"/>
                <w:color w:val="000000"/>
                <w:sz w:val="24"/>
                <w:szCs w:val="24"/>
                <w:highlight w:val="none"/>
              </w:rPr>
            </w:r>
            <w:r/>
          </w:p>
        </w:tc>
      </w:tr>
      <w:tr>
        <w:trPr>
          <w:trHeight w:val="90"/>
        </w:trPr>
        <w:tc>
          <w:tcPr>
            <w:tcW w:w="1043" w:type="dxa"/>
            <w:vAlign w:val="center"/>
            <w:textDirection w:val="lrTb"/>
            <w:noWrap w:val="false"/>
          </w:tcPr>
          <w:p>
            <w:pPr>
              <w:pStyle w:val="884"/>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519"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中标通知书领取</w:t>
            </w:r>
            <w:r>
              <w:rPr>
                <w:rFonts w:hint="eastAsia" w:ascii="宋体" w:hAnsi="宋体" w:cs="宋体"/>
                <w:color w:val="000000"/>
                <w:sz w:val="24"/>
                <w:szCs w:val="24"/>
                <w:highlight w:val="none"/>
              </w:rPr>
            </w:r>
            <w:r/>
          </w:p>
        </w:tc>
        <w:tc>
          <w:tcPr>
            <w:tcW w:w="6297" w:type="dxa"/>
            <w:vAlign w:val="center"/>
            <w:textDirection w:val="lrTb"/>
            <w:noWrap w:val="false"/>
          </w:tcPr>
          <w:p>
            <w:pPr>
              <w:pStyle w:val="884"/>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领取地址：</w:t>
            </w:r>
            <w:r>
              <w:rPr>
                <w:rFonts w:hint="eastAsia" w:ascii="宋体" w:hAnsi="宋体" w:eastAsia="宋体" w:cs="宋体"/>
                <w:color w:val="000000"/>
                <w:sz w:val="24"/>
                <w:szCs w:val="24"/>
                <w:highlight w:val="none"/>
              </w:rPr>
              <w:t xml:space="preserve">南京市中华路50号弘业大厦</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楼</w:t>
            </w:r>
            <w:r>
              <w:rPr>
                <w:rFonts w:hint="eastAsia" w:ascii="宋体" w:hAnsi="宋体" w:cs="宋体"/>
                <w:color w:val="000000"/>
                <w:sz w:val="24"/>
                <w:szCs w:val="24"/>
                <w:highlight w:val="none"/>
              </w:rPr>
            </w:r>
            <w:r/>
          </w:p>
          <w:p>
            <w:pPr>
              <w:pStyle w:val="884"/>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需提供材料：中标服务费缴纳截图</w:t>
            </w:r>
            <w:r>
              <w:rPr>
                <w:rFonts w:ascii="宋体" w:hAnsi="宋体" w:cs="宋体"/>
                <w:color w:val="000000"/>
                <w:sz w:val="24"/>
                <w:szCs w:val="24"/>
                <w:highlight w:val="none"/>
              </w:rPr>
            </w:r>
            <w:r/>
          </w:p>
        </w:tc>
      </w:tr>
      <w:tr>
        <w:trPr>
          <w:trHeight w:val="90"/>
        </w:trPr>
        <w:tc>
          <w:tcPr>
            <w:tcW w:w="1043" w:type="dxa"/>
            <w:vAlign w:val="center"/>
            <w:textDirection w:val="lrTb"/>
            <w:noWrap w:val="false"/>
          </w:tcPr>
          <w:p>
            <w:pPr>
              <w:pStyle w:val="884"/>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519"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中标服务费的收取</w:t>
            </w:r>
            <w:r>
              <w:rPr>
                <w:rFonts w:hint="eastAsia" w:ascii="宋体" w:hAnsi="宋体" w:cs="宋体"/>
                <w:color w:val="000000"/>
                <w:sz w:val="24"/>
                <w:szCs w:val="24"/>
                <w:highlight w:val="none"/>
              </w:rPr>
            </w:r>
            <w:r/>
          </w:p>
        </w:tc>
        <w:tc>
          <w:tcPr>
            <w:tcW w:w="6297" w:type="dxa"/>
            <w:vAlign w:val="center"/>
            <w:textDirection w:val="lrTb"/>
            <w:noWrap w:val="false"/>
          </w:tcPr>
          <w:p>
            <w:pPr>
              <w:pStyle w:val="884"/>
              <w:shd w:val="clear" w:color="auto" w:fill="auto"/>
              <w:widowControl/>
              <w:rPr>
                <w:rFonts w:hint="eastAsia" w:ascii="宋体" w:hAnsi="宋体" w:cs="宋体"/>
                <w:color w:val="000000"/>
                <w:sz w:val="24"/>
                <w:szCs w:val="24"/>
                <w:highlight w:val="none"/>
              </w:rPr>
            </w:pPr>
            <w:r/>
            <w:bookmarkStart w:id="31" w:name="OLE_LINK34"/>
            <w:r>
              <w:rPr>
                <w:rFonts w:hint="eastAsia" w:ascii="宋体" w:hAnsi="宋体" w:cs="宋体"/>
                <w:color w:val="000000"/>
                <w:sz w:val="24"/>
                <w:szCs w:val="24"/>
                <w:highlight w:val="none"/>
              </w:rPr>
              <w:t xml:space="preserve">本项目中标服务费参照发改价格[2011]534号</w:t>
            </w:r>
            <w:r>
              <w:rPr>
                <w:rFonts w:hint="eastAsia" w:ascii="宋体" w:hAnsi="宋体" w:cs="宋体"/>
                <w:color w:val="000000"/>
                <w:sz w:val="24"/>
                <w:highlight w:val="none"/>
              </w:rPr>
              <w:t xml:space="preserve">文收取</w:t>
            </w:r>
            <w:r>
              <w:rPr>
                <w:rFonts w:hint="eastAsia" w:ascii="宋体" w:hAnsi="宋体" w:cs="宋体"/>
                <w:color w:val="000000"/>
                <w:sz w:val="24"/>
                <w:szCs w:val="24"/>
                <w:highlight w:val="none"/>
              </w:rPr>
              <w:t xml:space="preserve">，中标人应在领取中标通知书前缴纳。</w:t>
            </w:r>
            <w:bookmarkEnd w:id="31"/>
            <w:r>
              <w:rPr>
                <w:rFonts w:hint="eastAsia" w:ascii="宋体" w:hAnsi="宋体" w:cs="宋体"/>
                <w:color w:val="000000"/>
                <w:sz w:val="24"/>
                <w:szCs w:val="24"/>
                <w:highlight w:val="none"/>
              </w:rPr>
            </w:r>
            <w:r/>
          </w:p>
          <w:p>
            <w:pPr>
              <w:pStyle w:val="884"/>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账户信息：</w:t>
            </w:r>
            <w:r>
              <w:rPr>
                <w:rFonts w:hint="eastAsia" w:ascii="宋体" w:hAnsi="宋体" w:cs="宋体"/>
                <w:color w:val="000000"/>
                <w:sz w:val="24"/>
                <w:szCs w:val="24"/>
                <w:highlight w:val="none"/>
              </w:rPr>
            </w:r>
            <w:r/>
          </w:p>
          <w:p>
            <w:pPr>
              <w:pStyle w:val="884"/>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户    名：</w:t>
            </w:r>
            <w:r>
              <w:rPr>
                <w:rFonts w:hint="eastAsia" w:ascii="宋体" w:hAnsi="宋体" w:eastAsia="宋体" w:cs="宋体"/>
                <w:color w:val="000000"/>
                <w:sz w:val="24"/>
                <w:szCs w:val="24"/>
                <w:highlight w:val="none"/>
              </w:rPr>
              <w:t xml:space="preserve">江苏弘业国际技术工程有限公司</w:t>
            </w:r>
            <w:r>
              <w:rPr>
                <w:rFonts w:hint="eastAsia" w:ascii="宋体" w:hAnsi="宋体" w:cs="宋体"/>
                <w:color w:val="000000"/>
                <w:sz w:val="24"/>
                <w:szCs w:val="24"/>
                <w:highlight w:val="none"/>
              </w:rPr>
            </w:r>
            <w:r/>
          </w:p>
          <w:p>
            <w:pPr>
              <w:pStyle w:val="884"/>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开户银行：</w:t>
            </w:r>
            <w:r>
              <w:rPr>
                <w:rFonts w:hint="eastAsia" w:ascii="宋体" w:hAnsi="宋体" w:eastAsia="宋体" w:cs="宋体"/>
                <w:color w:val="000000"/>
                <w:sz w:val="24"/>
                <w:szCs w:val="24"/>
                <w:highlight w:val="none"/>
              </w:rPr>
              <w:t xml:space="preserve">中国银行南京市中华路支行</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84"/>
              <w:shd w:val="clear" w:color="auto" w:fill="auto"/>
              <w:widowControl/>
              <w:rPr>
                <w:rFonts w:hint="eastAsia"/>
                <w:color w:val="000000"/>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账    号：</w:t>
            </w:r>
            <w:r>
              <w:rPr>
                <w:rFonts w:hint="eastAsia" w:ascii="宋体" w:hAnsi="宋体" w:eastAsia="宋体" w:cs="宋体"/>
                <w:color w:val="000000"/>
                <w:sz w:val="24"/>
                <w:szCs w:val="24"/>
                <w:highlight w:val="none"/>
              </w:rPr>
              <w:t xml:space="preserve">527460884999</w:t>
            </w:r>
            <w:r>
              <w:rPr>
                <w:rFonts w:hint="eastAsia"/>
                <w:color w:val="000000"/>
                <w:highlight w:val="none"/>
              </w:rPr>
            </w:r>
            <w:r/>
          </w:p>
        </w:tc>
      </w:tr>
      <w:tr>
        <w:trPr>
          <w:trHeight w:val="405"/>
        </w:trPr>
        <w:tc>
          <w:tcPr>
            <w:tcW w:w="1043" w:type="dxa"/>
            <w:vAlign w:val="center"/>
            <w:textDirection w:val="lrTb"/>
            <w:noWrap w:val="false"/>
          </w:tcPr>
          <w:p>
            <w:pPr>
              <w:pStyle w:val="884"/>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2519" w:type="dxa"/>
            <w:vAlign w:val="center"/>
            <w:textDirection w:val="lrTb"/>
            <w:noWrap w:val="false"/>
          </w:tcPr>
          <w:p>
            <w:pPr>
              <w:pStyle w:val="884"/>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w:t>
            </w:r>
            <w:r>
              <w:rPr>
                <w:rFonts w:hint="eastAsia" w:ascii="宋体" w:hAnsi="宋体" w:cs="宋体"/>
                <w:color w:val="000000"/>
                <w:sz w:val="24"/>
                <w:szCs w:val="24"/>
                <w:highlight w:val="none"/>
              </w:rPr>
            </w:r>
            <w:r/>
          </w:p>
        </w:tc>
        <w:tc>
          <w:tcPr>
            <w:tcW w:w="6297" w:type="dxa"/>
            <w:vAlign w:val="center"/>
            <w:textDirection w:val="lrTb"/>
            <w:noWrap w:val="false"/>
          </w:tcPr>
          <w:p>
            <w:pPr>
              <w:pStyle w:val="884"/>
              <w:shd w:val="clear" w:color="auto" w:fill="auto"/>
              <w:rPr>
                <w:rFonts w:hint="eastAsia"/>
                <w:color w:val="000000"/>
                <w:highlight w:val="none"/>
              </w:rPr>
            </w:pPr>
            <w:r>
              <w:rPr>
                <w:rFonts w:hint="eastAsia" w:ascii="宋体" w:hAnsi="宋体" w:cs="宋体"/>
                <w:color w:val="000000"/>
                <w:sz w:val="24"/>
                <w:szCs w:val="24"/>
                <w:highlight w:val="none"/>
              </w:rPr>
              <w:t xml:space="preserve">本项目不适用。</w:t>
            </w:r>
            <w:r>
              <w:rPr>
                <w:rFonts w:hint="eastAsia"/>
                <w:color w:val="000000"/>
                <w:highlight w:val="none"/>
              </w:rPr>
            </w:r>
            <w:r/>
          </w:p>
        </w:tc>
      </w:tr>
      <w:tr>
        <w:trPr>
          <w:trHeight w:val="518"/>
        </w:trPr>
        <w:tc>
          <w:tcPr>
            <w:tcW w:w="1043" w:type="dxa"/>
            <w:vAlign w:val="center"/>
            <w:textDirection w:val="lrTb"/>
            <w:noWrap w:val="false"/>
          </w:tcPr>
          <w:p>
            <w:pPr>
              <w:pStyle w:val="884"/>
              <w:jc w:val="center"/>
              <w:shd w:val="clear" w:color="auto" w:fill="auto"/>
              <w:rPr>
                <w:rFonts w:hint="eastAsia" w:ascii="宋体" w:hAnsi="宋体" w:eastAsia="宋体" w:cs="宋体"/>
                <w:color w:val="000000"/>
                <w:sz w:val="24"/>
                <w:szCs w:val="24"/>
                <w:highlight w:val="none"/>
                <w:lang w:eastAsia="zh-CN"/>
              </w:rPr>
            </w:pPr>
            <w:r/>
            <w:bookmarkStart w:id="32" w:name="_Toc514054472"/>
            <w:r/>
            <w:bookmarkStart w:id="33" w:name="_Toc25522"/>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2519" w:type="dxa"/>
            <w:vAlign w:val="center"/>
            <w:textDirection w:val="lrTb"/>
            <w:noWrap w:val="false"/>
          </w:tcPr>
          <w:p>
            <w:pPr>
              <w:pStyle w:val="884"/>
              <w:jc w:val="center"/>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采购标的所属行业</w:t>
            </w:r>
            <w:r>
              <w:rPr>
                <w:rFonts w:ascii="宋体" w:hAnsi="宋体" w:cs="宋体"/>
                <w:color w:val="000000"/>
                <w:sz w:val="24"/>
                <w:szCs w:val="24"/>
                <w:highlight w:val="none"/>
              </w:rPr>
            </w:r>
            <w:r/>
          </w:p>
        </w:tc>
        <w:tc>
          <w:tcPr>
            <w:tcW w:w="6297" w:type="dxa"/>
            <w:vAlign w:val="center"/>
            <w:textDirection w:val="lrTb"/>
            <w:noWrap w:val="false"/>
          </w:tcPr>
          <w:p>
            <w:pPr>
              <w:pStyle w:val="884"/>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本项目采购标的对应的行业主要为</w:t>
            </w:r>
            <w:r>
              <w:rPr>
                <w:rFonts w:hint="eastAsia" w:ascii="宋体" w:hAnsi="宋体" w:cs="宋体"/>
                <w:color w:val="000000"/>
                <w:sz w:val="24"/>
                <w:szCs w:val="24"/>
                <w:highlight w:val="none"/>
                <w:u w:val="single"/>
              </w:rPr>
              <w:t xml:space="preserve">  工业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bl>
    <w:p>
      <w:pPr>
        <w:pStyle w:val="1293"/>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一、总 则</w:t>
      </w:r>
      <w:bookmarkEnd w:id="32"/>
      <w:r/>
      <w:bookmarkEnd w:id="33"/>
      <w:r>
        <w:rPr>
          <w:rFonts w:hint="eastAsia" w:ascii="宋体" w:hAnsi="宋体" w:eastAsia="宋体" w:cs="宋体"/>
          <w:color w:val="000000"/>
          <w:highlight w:val="none"/>
        </w:rPr>
      </w:r>
      <w:r/>
    </w:p>
    <w:p>
      <w:pPr>
        <w:pStyle w:val="884"/>
        <w:ind w:firstLine="482"/>
        <w:spacing w:line="500" w:lineRule="exact"/>
        <w:shd w:val="clear" w:color="auto" w:fill="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1、招标方式</w:t>
      </w:r>
      <w:r>
        <w:rPr>
          <w:rFonts w:hint="eastAsia" w:ascii="宋体" w:hAnsi="宋体" w:cs="宋体"/>
          <w:b/>
          <w:color w:val="000000"/>
          <w:sz w:val="24"/>
          <w:highlight w:val="none"/>
        </w:rPr>
      </w:r>
      <w:r/>
    </w:p>
    <w:p>
      <w:pPr>
        <w:pStyle w:val="917"/>
        <w:ind w:firstLine="480"/>
        <w:spacing w:line="5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本次招标采取公开招标方式。</w:t>
      </w:r>
      <w:r>
        <w:rPr>
          <w:rFonts w:hint="eastAsia" w:ascii="宋体" w:hAnsi="宋体" w:eastAsia="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2、合格的投标人</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shd w:val="clear" w:color="auto" w:fill="ffc000"/>
        </w:rPr>
      </w:pPr>
      <w:r>
        <w:rPr>
          <w:rFonts w:hint="eastAsia" w:ascii="宋体" w:hAnsi="宋体" w:cs="宋体"/>
          <w:color w:val="000000"/>
          <w:sz w:val="24"/>
          <w:highlight w:val="none"/>
        </w:rPr>
        <w:t xml:space="preserve">2.1合格的投标人必须是有能力按照本招标文件规定的要求提供货物和相关服务，且具有独立承担民事等法律责任的法人或其它经济组织等。</w:t>
      </w:r>
      <w:r>
        <w:rPr>
          <w:rFonts w:hint="eastAsia" w:ascii="宋体" w:hAnsi="宋体" w:cs="宋体"/>
          <w:color w:val="000000"/>
          <w:sz w:val="24"/>
          <w:highlight w:val="none"/>
          <w:shd w:val="clear" w:color="auto" w:fill="ffc000"/>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2.2合格的投标人必须符合招标文件第一部分《招标公告》第二条及须知前附表相关规定，且具备独立完成本项目的</w:t>
      </w:r>
      <w:r>
        <w:rPr>
          <w:rFonts w:hint="eastAsia" w:ascii="宋体" w:hAnsi="宋体" w:cs="宋体"/>
          <w:color w:val="000000"/>
          <w:sz w:val="24"/>
          <w:highlight w:val="none"/>
        </w:rPr>
        <w:t xml:space="preserve">能</w:t>
      </w:r>
      <w:r>
        <w:rPr>
          <w:rFonts w:hint="eastAsia" w:ascii="宋体" w:hAnsi="宋体" w:cs="宋体"/>
          <w:color w:val="000000"/>
          <w:sz w:val="24"/>
          <w:highlight w:val="none"/>
        </w:rPr>
        <w:t xml:space="preserve">力，中标后不允许分包、转包。</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3、适用法律</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本次招标及由本次招标产生的合同受中华人民共和国的相关法律、法规制约和保护。</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4、投标费用</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投标人应自行承担所有参加投标有关的费用。</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5、招标文件的约束力</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投标人一旦参加本项目投标，即被认为接受了本招标文件的所有条件和规定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6、相同品牌产品投标</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rFonts w:hint="eastAsia" w:ascii="宋体" w:hAnsi="宋体" w:cs="宋体"/>
          <w:color w:val="000000"/>
          <w:sz w:val="24"/>
          <w:highlight w:val="none"/>
        </w:rPr>
      </w:r>
      <w:r/>
    </w:p>
    <w:p>
      <w:pPr>
        <w:pStyle w:val="884"/>
        <w:ind w:firstLine="480"/>
        <w:spacing w:line="5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6.3、非单一产品采购项目，采购人确定核心产品，并在招标文件中载明。多家投标人提供的核心产品品牌全部相同的，按前两款规定处理。</w:t>
      </w:r>
      <w:r>
        <w:rPr>
          <w:rFonts w:ascii="宋体" w:hAnsi="宋体" w:cs="宋体"/>
          <w:color w:val="000000"/>
          <w:sz w:val="24"/>
          <w:highlight w:val="none"/>
        </w:rPr>
      </w:r>
      <w:r/>
    </w:p>
    <w:p>
      <w:pPr>
        <w:pStyle w:val="1293"/>
        <w:shd w:val="clear" w:color="auto" w:fill="auto"/>
        <w:rPr>
          <w:rFonts w:hint="eastAsia" w:ascii="宋体" w:hAnsi="宋体" w:eastAsia="宋体" w:cs="宋体"/>
          <w:color w:val="000000"/>
          <w:highlight w:val="none"/>
        </w:rPr>
        <w:outlineLvl w:val="1"/>
      </w:pPr>
      <w:r/>
      <w:bookmarkStart w:id="34" w:name="_Toc514054473"/>
      <w:r/>
      <w:bookmarkStart w:id="35" w:name="_Toc21335"/>
      <w:r>
        <w:rPr>
          <w:rFonts w:hint="eastAsia" w:ascii="宋体" w:hAnsi="宋体" w:eastAsia="宋体" w:cs="宋体"/>
          <w:color w:val="000000"/>
          <w:highlight w:val="none"/>
        </w:rPr>
        <w:t xml:space="preserve">二、招标文件</w:t>
      </w:r>
      <w:bookmarkEnd w:id="34"/>
      <w:r/>
      <w:bookmarkEnd w:id="35"/>
      <w:r>
        <w:rPr>
          <w:rFonts w:hint="eastAsia" w:ascii="宋体" w:hAnsi="宋体" w:eastAsia="宋体" w:cs="宋体"/>
          <w:color w:val="000000"/>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7、招标文件构成</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第一部分：招标公告；</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第二部分：投标人须知； </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第三部分：评标方法和标准；</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第四部分：采购需求；</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第五部分：合同格式及条款；</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第六部分：投标文件格式。</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8、招标文件的澄清</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任何要求对招标文件澄清的投标人，均应在法律法规规定的时间内提出，采购代理机构对规定时间内收到的澄清要求予以答复，答复不包括问题的来源。</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9、招标文件的修改</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9.1在投标文件接收截止日期15日前，采购代理机构可以更正公告或补充文件的形式对招标文件进行修改。</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9.2</w:t>
      </w:r>
      <w:r>
        <w:rPr>
          <w:rFonts w:hint="eastAsia" w:ascii="宋体" w:hAnsi="宋体" w:eastAsia="宋体"/>
          <w:color w:val="000000"/>
          <w:sz w:val="24"/>
          <w:highlight w:val="none"/>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eastAsia="宋体"/>
          <w:color w:val="000000"/>
          <w:sz w:val="24"/>
          <w:highlight w:val="none"/>
          <w:lang w:eastAsia="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highlight w:val="none"/>
        </w:rPr>
      </w:pPr>
      <w:r>
        <w:rPr>
          <w:rFonts w:hint="eastAsia" w:ascii="宋体" w:hAnsi="宋体" w:cs="宋体"/>
          <w:color w:val="000000"/>
          <w:sz w:val="24"/>
          <w:highlight w:val="none"/>
        </w:rPr>
        <w:t xml:space="preserve">9.4采购代理机构发出的所有补充、修改和变更文件均作为招标文件的组成部分，与招标文件具有同等法律效力。 </w:t>
      </w:r>
      <w:bookmarkStart w:id="36" w:name="EB453bde7f4ddc418fae2aad9fbcd82554"/>
      <w:r>
        <w:rPr>
          <w:rFonts w:hint="eastAsia" w:ascii="宋体" w:hAnsi="宋体" w:cs="宋体"/>
          <w:color w:val="000000"/>
          <w:sz w:val="20"/>
          <w:highlight w:val="none"/>
        </w:rPr>
        <w:t xml:space="preserve"> </w:t>
      </w:r>
      <w:bookmarkEnd w:id="36"/>
      <w:r/>
      <w:bookmarkStart w:id="37" w:name="EBec71fc1696a240c4b620fe1e00b2ce58"/>
      <w:r>
        <w:rPr>
          <w:rFonts w:hint="eastAsia" w:ascii="宋体" w:hAnsi="宋体" w:cs="宋体"/>
          <w:color w:val="000000"/>
          <w:sz w:val="20"/>
          <w:highlight w:val="none"/>
        </w:rPr>
        <w:t xml:space="preserve"> </w:t>
      </w:r>
      <w:bookmarkEnd w:id="37"/>
      <w:r>
        <w:rPr>
          <w:rFonts w:hint="eastAsia" w:ascii="宋体" w:hAnsi="宋体" w:cs="宋体"/>
          <w:color w:val="000000"/>
          <w:highlight w:val="none"/>
        </w:rPr>
      </w:r>
      <w:r/>
    </w:p>
    <w:p>
      <w:pPr>
        <w:pStyle w:val="1293"/>
        <w:shd w:val="clear" w:color="auto" w:fill="auto"/>
        <w:rPr>
          <w:rFonts w:hint="eastAsia" w:ascii="宋体" w:hAnsi="宋体" w:eastAsia="宋体" w:cs="宋体"/>
          <w:color w:val="000000"/>
          <w:highlight w:val="none"/>
        </w:rPr>
        <w:outlineLvl w:val="1"/>
      </w:pPr>
      <w:r/>
      <w:bookmarkStart w:id="38" w:name="_Toc26908"/>
      <w:r/>
      <w:bookmarkStart w:id="39" w:name="_Toc514054474"/>
      <w:r>
        <w:rPr>
          <w:rFonts w:hint="eastAsia" w:ascii="宋体" w:hAnsi="宋体" w:eastAsia="宋体" w:cs="宋体"/>
          <w:color w:val="000000"/>
          <w:highlight w:val="none"/>
        </w:rPr>
        <w:t xml:space="preserve">三、投标文件的编制</w:t>
      </w:r>
      <w:bookmarkEnd w:id="38"/>
      <w:r/>
      <w:bookmarkEnd w:id="39"/>
      <w:r>
        <w:rPr>
          <w:rFonts w:hint="eastAsia" w:ascii="宋体" w:hAnsi="宋体" w:eastAsia="宋体" w:cs="宋体"/>
          <w:color w:val="000000"/>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10、投标文件的编制要求</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10.2投标文件应当对招标文件有关交货期、投标有效期、质量要求、技术标准和要求、招标范围、付款方式等实质性内容作出响应。</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11、投标文件构成</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11.1资格证明文件；</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11.1.1具有独立承担民事责任的能力（</w:t>
      </w:r>
      <w:r>
        <w:rPr>
          <w:rFonts w:hint="eastAsia" w:ascii="宋体" w:hAnsi="宋体" w:cs="宋体"/>
          <w:color w:val="000000"/>
          <w:sz w:val="24"/>
          <w:szCs w:val="24"/>
          <w:highlight w:val="none"/>
        </w:rPr>
        <w:t xml:space="preserve">提供法人或者其他组织的营业执照等证明文件；供应商为自然人的，提供其身份证</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11.1.2具有良好的商业信誉和健全的财务会计制度（提供2023年度财务报告，至少包含资产负债表、利润表，或投标截止时间前六个月内银行出具的资信证明，或财政部门认可的政府采购专业担保机构出具的投标担保函；成立不满一年的无须提供）；</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11.1.3具有履行合同所必需的设备和专业技术能力（供应商根据履行采购项目合同需要，提供履行合同所必需的设备和专业技术能力的声明函或证明材料）；</w:t>
      </w:r>
      <w:r>
        <w:rPr>
          <w:rFonts w:hint="eastAsia" w:ascii="宋体" w:hAnsi="宋体" w:cs="宋体"/>
          <w:color w:val="000000"/>
          <w:sz w:val="24"/>
          <w:highlight w:val="none"/>
        </w:rPr>
      </w:r>
      <w:r/>
    </w:p>
    <w:p>
      <w:pPr>
        <w:pStyle w:val="884"/>
        <w:ind w:firstLine="480"/>
        <w:spacing w:line="329"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11.1.4有依法缴纳税收和社会保障资金的良好记录</w:t>
      </w:r>
      <w:r>
        <w:rPr>
          <w:rFonts w:hint="eastAsia" w:ascii="宋体" w:hAnsi="宋体" w:cs="宋体"/>
          <w:color w:val="000000"/>
          <w:sz w:val="24"/>
          <w:szCs w:val="24"/>
          <w:highlight w:val="none"/>
        </w:rPr>
        <w:t xml:space="preserve">（提供202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04</w:t>
      </w:r>
      <w:r>
        <w:rPr>
          <w:rFonts w:hint="eastAsia" w:ascii="宋体" w:hAnsi="宋体" w:cs="宋体"/>
          <w:color w:val="000000"/>
          <w:sz w:val="24"/>
          <w:szCs w:val="24"/>
          <w:highlight w:val="none"/>
        </w:rPr>
        <w:t xml:space="preserve">月至今）</w:t>
      </w:r>
      <w:r>
        <w:rPr>
          <w:rFonts w:hint="eastAsia" w:ascii="宋体" w:hAnsi="宋体" w:cs="宋体"/>
          <w:color w:val="000000"/>
          <w:sz w:val="24"/>
          <w:highlight w:val="none"/>
        </w:rPr>
        <w:t xml:space="preserve">中任一月份的依法缴纳税收和社会保险费的相关材料（提供相关主管部门证明或银行代扣证明的复印件，根据国家相关政策免缴或迟缴的需提供相关证明材料）；</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11.1.5参加政府采购活动前三年内，在经营活动中没有重大违法记录（提供承诺书）；</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11.1.6法律、行政法规规定的其他条件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11.1.7</w:t>
      </w:r>
      <w:r>
        <w:rPr>
          <w:rFonts w:hint="eastAsia"/>
          <w:color w:val="000000"/>
          <w:highlight w:val="none"/>
        </w:rPr>
        <w:t xml:space="preserve"> </w:t>
      </w:r>
      <w:r>
        <w:rPr>
          <w:rFonts w:hint="eastAsia" w:ascii="宋体" w:hAnsi="宋体" w:cs="宋体"/>
          <w:color w:val="000000"/>
          <w:sz w:val="24"/>
          <w:highlight w:val="none"/>
        </w:rPr>
        <w:t xml:space="preserve">拒绝被“信用中国”（www.creditchina.gov.cn）、“中国政府采购网”(www.ccgp.gov.cn）列入失信被执行人、重大税收违法案件当事人、政府采购严重失信行为的供应商参加投标。</w:t>
      </w:r>
      <w:r>
        <w:rPr>
          <w:rFonts w:hint="eastAsia" w:ascii="宋体" w:hAnsi="宋体" w:cs="宋体"/>
          <w:color w:val="000000"/>
          <w:sz w:val="24"/>
          <w:highlight w:val="none"/>
        </w:rPr>
      </w:r>
      <w:r/>
    </w:p>
    <w:p>
      <w:pPr>
        <w:pStyle w:val="884"/>
        <w:ind w:firstLine="480"/>
        <w:spacing w:line="500" w:lineRule="exact"/>
        <w:shd w:val="clear" w:color="auto" w:fill="auto"/>
        <w:rPr>
          <w:rFonts w:ascii="宋体" w:hAnsi="宋体" w:cs="宋体"/>
          <w:bCs/>
          <w:color w:val="000000"/>
          <w:sz w:val="24"/>
          <w:szCs w:val="24"/>
          <w:highlight w:val="none"/>
        </w:rPr>
      </w:pPr>
      <w:r>
        <w:rPr>
          <w:rFonts w:hint="eastAsia" w:ascii="宋体" w:hAnsi="宋体" w:eastAsia="宋体" w:cs="宋体"/>
          <w:color w:val="000000"/>
          <w:sz w:val="24"/>
          <w:highlight w:val="none"/>
        </w:rPr>
        <w:t xml:space="preserve">11.1.8</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ascii="宋体" w:hAnsi="宋体" w:cs="宋体"/>
          <w:bCs/>
          <w:color w:val="000000"/>
          <w:sz w:val="24"/>
          <w:szCs w:val="24"/>
          <w:highlight w:val="none"/>
        </w:rPr>
      </w:r>
      <w:r/>
    </w:p>
    <w:p>
      <w:pPr>
        <w:pStyle w:val="884"/>
        <w:ind w:firstLine="480"/>
        <w:spacing w:line="500" w:lineRule="exact"/>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11.2投标函；</w:t>
      </w:r>
      <w:r>
        <w:rPr>
          <w:rFonts w:hint="eastAsia" w:ascii="宋体" w:hAnsi="宋体" w:cs="宋体"/>
          <w:bCs/>
          <w:color w:val="000000"/>
          <w:sz w:val="24"/>
          <w:szCs w:val="24"/>
          <w:highlight w:val="none"/>
        </w:rPr>
      </w:r>
      <w:r/>
    </w:p>
    <w:p>
      <w:pPr>
        <w:pStyle w:val="884"/>
        <w:ind w:firstLine="480"/>
        <w:spacing w:line="500" w:lineRule="exact"/>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11.3法定代表人身份证明或法定代表人授权委托</w:t>
      </w:r>
      <w:bookmarkStart w:id="40" w:name="EB1a77376dbd044d229c365f6951816069"/>
      <w:r>
        <w:rPr>
          <w:rFonts w:hint="eastAsia" w:ascii="宋体" w:hAnsi="宋体" w:cs="宋体"/>
          <w:bCs/>
          <w:color w:val="000000"/>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40"/>
      <w:r>
        <w:rPr>
          <w:rFonts w:hint="eastAsia" w:ascii="宋体" w:hAnsi="宋体" w:cs="宋体"/>
          <w:bCs/>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11.4报价文件</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11.4.1开标一览表；</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11.4.2明细报价表。</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11.5技术文件</w:t>
      </w:r>
      <w:r>
        <w:rPr>
          <w:rFonts w:hint="eastAsia" w:ascii="宋体" w:hAnsi="宋体" w:cs="宋体"/>
          <w:color w:val="000000"/>
          <w:sz w:val="24"/>
          <w:highlight w:val="none"/>
        </w:rPr>
      </w:r>
      <w:r/>
    </w:p>
    <w:p>
      <w:pPr>
        <w:pStyle w:val="884"/>
        <w:ind w:firstLine="480"/>
        <w:spacing w:line="500" w:lineRule="exact"/>
        <w:shd w:val="clear" w:color="auto" w:fill="auto"/>
        <w:rPr>
          <w:rFonts w:ascii="宋体" w:hAnsi="宋体" w:cs="宋体"/>
          <w:color w:val="000000"/>
          <w:sz w:val="24"/>
          <w:highlight w:val="none"/>
        </w:rPr>
      </w:pPr>
      <w:r/>
      <w:bookmarkStart w:id="41" w:name="EB7f6b24a996964930b08d6b290b36e3fd"/>
      <w:r>
        <w:rPr>
          <w:rFonts w:hint="eastAsia" w:ascii="宋体" w:hAnsi="宋体" w:cs="宋体"/>
          <w:color w:val="000000"/>
          <w:sz w:val="24"/>
          <w:highlight w:val="none"/>
        </w:rPr>
        <w:t xml:space="preserve">11.5.1技术响应偏差表</w:t>
      </w:r>
      <w:bookmarkEnd w:id="41"/>
      <w:r>
        <w:rPr>
          <w:rFonts w:hint="eastAsia" w:ascii="宋体" w:hAnsi="宋体" w:cs="宋体"/>
          <w:color w:val="000000"/>
          <w:sz w:val="24"/>
          <w:highlight w:val="none"/>
        </w:rPr>
        <w:t xml:space="preserve">,商务</w:t>
      </w:r>
      <w:r>
        <w:rPr>
          <w:rFonts w:ascii="宋体" w:hAnsi="宋体" w:cs="宋体"/>
          <w:color w:val="000000"/>
          <w:sz w:val="24"/>
          <w:highlight w:val="none"/>
        </w:rPr>
        <w:t xml:space="preserve">响应偏差表。</w:t>
      </w:r>
      <w:r>
        <w:rPr>
          <w:rFonts w:ascii="宋体" w:hAnsi="宋体" w:cs="宋体"/>
          <w:color w:val="000000"/>
          <w:sz w:val="24"/>
          <w:highlight w:val="none"/>
        </w:rPr>
      </w:r>
      <w:r/>
    </w:p>
    <w:p>
      <w:pPr>
        <w:pStyle w:val="884"/>
        <w:ind w:firstLine="480"/>
        <w:spacing w:line="500" w:lineRule="exact"/>
        <w:shd w:val="clear" w:color="auto" w:fill="auto"/>
        <w:rPr>
          <w:rFonts w:hint="eastAsia" w:ascii="宋体" w:hAnsi="宋体" w:eastAsia="宋体"/>
          <w:bCs/>
          <w:color w:val="000000"/>
          <w:sz w:val="24"/>
          <w:szCs w:val="24"/>
          <w:highlight w:val="none"/>
          <w:lang w:eastAsia="zh-CN"/>
        </w:rPr>
      </w:pPr>
      <w:r>
        <w:rPr>
          <w:rFonts w:hint="eastAsia" w:ascii="宋体" w:hAnsi="宋体" w:cs="宋体"/>
          <w:color w:val="000000"/>
          <w:sz w:val="24"/>
          <w:highlight w:val="none"/>
        </w:rPr>
        <w:t xml:space="preserve">11.5.</w:t>
      </w:r>
      <w:r>
        <w:rPr>
          <w:rFonts w:hint="eastAsia" w:ascii="宋体" w:hAnsi="宋体" w:cs="宋体"/>
          <w:color w:val="000000"/>
          <w:sz w:val="24"/>
          <w:highlight w:val="none"/>
          <w:lang w:val="en-US" w:eastAsia="zh-CN"/>
        </w:rPr>
        <w:t xml:space="preserve">2</w:t>
      </w:r>
      <w:r>
        <w:rPr>
          <w:rFonts w:hint="eastAsia" w:ascii="宋体" w:hAnsi="宋体"/>
          <w:bCs/>
          <w:color w:val="000000"/>
          <w:sz w:val="24"/>
          <w:szCs w:val="24"/>
          <w:highlight w:val="none"/>
          <w:lang w:val="en-US" w:eastAsia="zh-CN"/>
        </w:rPr>
        <w:t xml:space="preserve">其他</w:t>
      </w:r>
      <w:r>
        <w:rPr>
          <w:rFonts w:hint="eastAsia" w:ascii="宋体" w:hAnsi="宋体"/>
          <w:bCs/>
          <w:color w:val="000000"/>
          <w:sz w:val="24"/>
          <w:szCs w:val="24"/>
          <w:highlight w:val="none"/>
          <w:lang w:val="en-US" w:eastAsia="zh-CN"/>
        </w:rPr>
        <w:t xml:space="preserve">技术文件</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lang w:val="en-US" w:eastAsia="zh-CN"/>
        </w:rPr>
        <w:t xml:space="preserve">根据评分点自行提供</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lang w:eastAsia="zh-CN"/>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11.6商务文件</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bookmarkStart w:id="42" w:name="EBdc2c24f6358343e896cd43bd6621a619"/>
      <w:r>
        <w:rPr>
          <w:rFonts w:hint="eastAsia" w:ascii="宋体" w:hAnsi="宋体" w:cs="宋体"/>
          <w:color w:val="000000"/>
          <w:sz w:val="24"/>
          <w:highlight w:val="none"/>
        </w:rPr>
        <w:t xml:space="preserve">11.6.1投标人(或供货商、厂商)承担的业绩一览表，提供合同相关资料；</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11.6.2其他商务文件。</w:t>
      </w:r>
      <w:bookmarkEnd w:id="42"/>
      <w:r>
        <w:rPr>
          <w:rFonts w:hint="eastAsia" w:ascii="宋体" w:hAnsi="宋体" w:cs="宋体"/>
          <w:color w:val="000000"/>
          <w:sz w:val="24"/>
          <w:highlight w:val="none"/>
        </w:rPr>
      </w:r>
      <w:r/>
    </w:p>
    <w:p>
      <w:pPr>
        <w:pStyle w:val="884"/>
        <w:numPr>
          <w:ilvl w:val="0"/>
          <w:numId w:val="7"/>
        </w:numPr>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投标文件构成资料为非中文时应提供中文译版，并以中文为准，否则可视为未提供；</w:t>
      </w:r>
      <w:r>
        <w:rPr>
          <w:rFonts w:hint="eastAsia" w:ascii="宋体" w:hAnsi="宋体" w:cs="宋体"/>
          <w:b/>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13、投标报价</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shd w:val="clear" w:color="auto" w:fill="ffc000"/>
        </w:rPr>
      </w:pPr>
      <w:r>
        <w:rPr>
          <w:rFonts w:hint="eastAsia" w:ascii="宋体" w:hAnsi="宋体" w:cs="宋体"/>
          <w:color w:val="000000"/>
          <w:sz w:val="24"/>
          <w:highlight w:val="none"/>
        </w:rPr>
        <w:t xml:space="preserve">13.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本项目不接受备选的投标方案或有选择的报价，只允许有一个报价。投标报价内容包括：</w:t>
      </w:r>
      <w:bookmarkStart w:id="43" w:name="EB54dd097a55df4796bd5f9b6bdf2ddc40"/>
      <w:r>
        <w:rPr>
          <w:rFonts w:hint="eastAsia" w:ascii="宋体" w:hAnsi="宋体" w:cs="宋体"/>
          <w:color w:val="000000"/>
          <w:sz w:val="24"/>
          <w:highlight w:val="none"/>
        </w:rPr>
        <w:t xml:space="preserve">设备本身、安装调试费、人工费、服务费、税金以及交付使用过程中涉及到的其他一切费用。</w:t>
      </w:r>
      <w:bookmarkEnd w:id="43"/>
      <w:r>
        <w:rPr>
          <w:rFonts w:hint="eastAsia" w:ascii="宋体" w:hAnsi="宋体" w:cs="宋体"/>
          <w:color w:val="000000"/>
          <w:sz w:val="24"/>
          <w:highlight w:val="none"/>
          <w:shd w:val="clear" w:color="auto" w:fill="ffc000"/>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13.3报价注意事项：</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13.3.1价格一律以人民币计算；</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13.3.2投标人报价时应充分考虑所有可能影响到报价的因素，一旦评标结束最终中标，如发生漏、缺、少项，都将被认为是中标人的报价让利行为，损失自负。</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14、投标保证金</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本项目不收取投标保证金。</w:t>
      </w:r>
      <w:r>
        <w:rPr>
          <w:rFonts w:hint="eastAsia" w:ascii="宋体" w:hAnsi="宋体" w:cs="宋体"/>
          <w:bCs/>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15.招标代理服务费</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15.1招标代理服务费按发改价格【2011】534号文收取，由中标单位支付给采购代理机构。</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16、投标有效期</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16.1在投标人须知前附表规定的投标有效期内，投标人不得要求撤销或者修改其投标文件。 </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highlight w:val="none"/>
        </w:rPr>
      </w:pPr>
      <w:r>
        <w:rPr>
          <w:rFonts w:hint="eastAsia" w:ascii="宋体" w:hAnsi="宋体" w:cs="宋体"/>
          <w:color w:val="000000"/>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000000"/>
          <w:sz w:val="20"/>
          <w:highlight w:val="none"/>
        </w:rPr>
        <w:t xml:space="preserve">   </w:t>
      </w:r>
      <w:bookmarkStart w:id="44" w:name="EB12ed6b870f334fa092f7ed1f9a9dbab8"/>
      <w:r>
        <w:rPr>
          <w:rFonts w:hint="eastAsia" w:ascii="宋体" w:hAnsi="宋体" w:cs="宋体"/>
          <w:color w:val="000000"/>
          <w:sz w:val="20"/>
          <w:highlight w:val="none"/>
        </w:rPr>
        <w:t xml:space="preserve"> </w:t>
      </w:r>
      <w:bookmarkEnd w:id="44"/>
      <w:r/>
      <w:bookmarkStart w:id="45" w:name="EB5d36e8077cc64e309c0c0f0cd8a6f496"/>
      <w:r>
        <w:rPr>
          <w:rFonts w:hint="eastAsia" w:ascii="宋体" w:hAnsi="宋体" w:cs="宋体"/>
          <w:color w:val="000000"/>
          <w:sz w:val="20"/>
          <w:highlight w:val="none"/>
        </w:rPr>
        <w:t xml:space="preserve"> </w:t>
      </w:r>
      <w:bookmarkEnd w:id="45"/>
      <w:r>
        <w:rPr>
          <w:rFonts w:hint="eastAsia" w:ascii="宋体" w:hAnsi="宋体" w:cs="宋体"/>
          <w:color w:val="000000"/>
          <w:highlight w:val="none"/>
        </w:rPr>
      </w:r>
      <w:r/>
    </w:p>
    <w:p>
      <w:pPr>
        <w:pStyle w:val="1293"/>
        <w:shd w:val="clear" w:color="auto" w:fill="auto"/>
        <w:rPr>
          <w:rFonts w:hint="eastAsia" w:ascii="宋体" w:hAnsi="宋体" w:eastAsia="宋体" w:cs="宋体"/>
          <w:color w:val="000000"/>
          <w:highlight w:val="none"/>
        </w:rPr>
        <w:outlineLvl w:val="1"/>
      </w:pPr>
      <w:r/>
      <w:bookmarkStart w:id="46" w:name="_Toc26211"/>
      <w:r/>
      <w:bookmarkStart w:id="47" w:name="_Toc514054475"/>
      <w:r>
        <w:rPr>
          <w:rFonts w:hint="eastAsia" w:ascii="宋体" w:hAnsi="宋体" w:eastAsia="宋体" w:cs="宋体"/>
          <w:color w:val="000000"/>
          <w:highlight w:val="none"/>
        </w:rPr>
        <w:t xml:space="preserve">四、投标文件的提交</w:t>
      </w:r>
      <w:bookmarkEnd w:id="46"/>
      <w:r/>
      <w:bookmarkEnd w:id="47"/>
      <w:r>
        <w:rPr>
          <w:rFonts w:hint="eastAsia" w:ascii="宋体" w:hAnsi="宋体" w:eastAsia="宋体" w:cs="宋体"/>
          <w:color w:val="000000"/>
          <w:highlight w:val="none"/>
        </w:rPr>
      </w:r>
      <w:r/>
    </w:p>
    <w:p>
      <w:pPr>
        <w:pStyle w:val="884"/>
        <w:ind w:firstLine="482"/>
        <w:spacing w:line="500" w:lineRule="exact"/>
        <w:shd w:val="clear" w:color="auto" w:fill="auto"/>
        <w:rPr>
          <w:rFonts w:hint="eastAsia" w:ascii="宋体" w:hAnsi="宋体" w:cs="宋体"/>
          <w:b/>
          <w:color w:val="000000"/>
          <w:sz w:val="24"/>
          <w:highlight w:val="none"/>
        </w:rPr>
      </w:pPr>
      <w:r/>
      <w:bookmarkStart w:id="48" w:name="_Toc514054476"/>
      <w:r/>
      <w:bookmarkStart w:id="49" w:name="_Toc11452"/>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7.1</w:t>
      </w:r>
      <w:r>
        <w:rPr>
          <w:rFonts w:hint="eastAsia" w:ascii="宋体" w:hAnsi="宋体" w:cs="宋体"/>
          <w:b/>
          <w:color w:val="000000"/>
          <w:sz w:val="24"/>
          <w:highlight w:val="none"/>
        </w:rPr>
        <w:t xml:space="preserve">、投标文件的提交</w:t>
      </w:r>
      <w:r>
        <w:rPr>
          <w:rFonts w:hint="eastAsia" w:ascii="宋体" w:hAnsi="宋体" w:cs="宋体"/>
          <w:b/>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1</w:t>
      </w:r>
      <w:r>
        <w:rPr>
          <w:rFonts w:hint="eastAsia" w:ascii="宋体" w:hAnsi="宋体" w:eastAsia="宋体"/>
          <w:color w:val="000000"/>
          <w:sz w:val="24"/>
          <w:highlight w:val="none"/>
          <w:lang w:val="en-US" w:eastAsia="zh-CN"/>
        </w:rPr>
        <w:t xml:space="preserve">7</w:t>
      </w:r>
      <w:r>
        <w:rPr>
          <w:rFonts w:hint="eastAsia" w:ascii="宋体" w:hAnsi="宋体" w:eastAsia="宋体"/>
          <w:color w:val="000000"/>
          <w:sz w:val="24"/>
          <w:highlight w:val="none"/>
        </w:rPr>
        <w:t xml:space="preserve">.1</w:t>
      </w:r>
      <w:r>
        <w:rPr>
          <w:rFonts w:hint="eastAsia" w:ascii="宋体" w:hAnsi="宋体" w:eastAsia="宋体"/>
          <w:color w:val="000000"/>
          <w:sz w:val="24"/>
          <w:highlight w:val="none"/>
          <w:lang w:val="en-US" w:eastAsia="zh-CN"/>
        </w:rPr>
        <w:t xml:space="preserve">.1</w:t>
      </w:r>
      <w:r>
        <w:rPr>
          <w:rFonts w:hint="eastAsia" w:ascii="宋体" w:hAnsi="宋体" w:eastAsia="宋体"/>
          <w:color w:val="000000"/>
          <w:sz w:val="24"/>
          <w:highlight w:val="none"/>
        </w:rPr>
        <w:t xml:space="preserve"> 电子投标文件的递交</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投标人应当按照《操作手册》规定，在投标截止时间前制作并上传电子投标文件。</w:t>
      </w:r>
      <w:bookmarkStart w:id="50" w:name="_Toc16938542"/>
      <w:r/>
      <w:bookmarkEnd w:id="50"/>
      <w:r/>
      <w:bookmarkStart w:id="51" w:name="_Toc20823298"/>
      <w:r/>
      <w:bookmarkEnd w:id="51"/>
      <w:r>
        <w:rPr>
          <w:rFonts w:hint="eastAsia" w:ascii="宋体" w:hAnsi="宋体" w:eastAsia="宋体"/>
          <w:color w:val="000000"/>
          <w:sz w:val="24"/>
          <w:highlight w:val="none"/>
        </w:rPr>
      </w:r>
      <w:r/>
    </w:p>
    <w:p>
      <w:pPr>
        <w:pStyle w:val="884"/>
        <w:ind w:firstLine="482"/>
        <w:spacing w:line="500" w:lineRule="exac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7.2</w:t>
      </w:r>
      <w:r>
        <w:rPr>
          <w:rFonts w:hint="eastAsia" w:ascii="宋体" w:hAnsi="宋体" w:eastAsia="宋体" w:cs="宋体"/>
          <w:b/>
          <w:color w:val="000000"/>
          <w:sz w:val="24"/>
          <w:highlight w:val="none"/>
        </w:rPr>
        <w:t xml:space="preserve">、投标截止时间</w:t>
      </w:r>
      <w:r>
        <w:rPr>
          <w:rFonts w:hint="eastAsia" w:ascii="宋体" w:hAnsi="宋体" w:eastAsia="宋体" w:cs="宋体"/>
          <w:b/>
          <w:color w:val="000000"/>
          <w:sz w:val="24"/>
          <w:highlight w:val="none"/>
        </w:rPr>
      </w:r>
      <w:r/>
    </w:p>
    <w:p>
      <w:pPr>
        <w:pStyle w:val="884"/>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1投标人上传电子投标文件的时间不得迟于招标公告中规定的投标截止时间。</w:t>
      </w:r>
      <w:r>
        <w:rPr>
          <w:rFonts w:hint="eastAsia" w:ascii="宋体" w:hAnsi="宋体" w:eastAsia="宋体" w:cs="Times New Roman"/>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s="Times New Roman"/>
          <w:color w:val="000000"/>
          <w:sz w:val="24"/>
          <w:highlight w:val="none"/>
        </w:rPr>
        <w:t xml:space="preserve">投标人应充分考虑到网络环境</w:t>
      </w:r>
      <w:r>
        <w:rPr>
          <w:rFonts w:hint="eastAsia" w:ascii="宋体" w:hAnsi="宋体" w:eastAsia="宋体"/>
          <w:color w:val="000000"/>
          <w:sz w:val="24"/>
          <w:highlight w:val="none"/>
        </w:rPr>
        <w:t xml:space="preserve">、网络带宽等风险因素，如因投标人自身原因造成的电子投标文件上传不成功的按照本招标文件第二</w:t>
      </w:r>
      <w:r>
        <w:rPr>
          <w:rFonts w:hint="eastAsia" w:ascii="宋体" w:hAnsi="宋体" w:eastAsia="宋体"/>
          <w:color w:val="000000"/>
          <w:sz w:val="24"/>
          <w:highlight w:val="none"/>
          <w:lang w:val="en-US" w:eastAsia="zh-CN"/>
        </w:rPr>
        <w:t xml:space="preserve">部分</w:t>
      </w:r>
      <w:r>
        <w:rPr>
          <w:rFonts w:hint="eastAsia" w:ascii="宋体" w:hAnsi="宋体" w:eastAsia="宋体"/>
          <w:color w:val="000000"/>
          <w:sz w:val="24"/>
          <w:highlight w:val="none"/>
        </w:rPr>
        <w:t xml:space="preserve">第</w:t>
      </w: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1.2条 规定做无效投标处理。</w:t>
      </w:r>
      <w:r>
        <w:rPr>
          <w:rFonts w:hint="eastAsia" w:ascii="宋体" w:hAnsi="宋体" w:eastAsia="宋体"/>
          <w:color w:val="000000"/>
          <w:sz w:val="24"/>
          <w:highlight w:val="none"/>
        </w:rPr>
      </w:r>
      <w:r/>
    </w:p>
    <w:p>
      <w:pPr>
        <w:pStyle w:val="884"/>
        <w:ind w:firstLine="480"/>
        <w:spacing w:line="520" w:lineRule="exact"/>
        <w:rPr>
          <w:rFonts w:hint="eastAsia"/>
          <w:color w:val="000000"/>
          <w:highlight w:val="none"/>
        </w:rPr>
      </w:pPr>
      <w:r>
        <w:rPr>
          <w:rFonts w:hint="eastAsia" w:ascii="宋体" w:hAnsi="宋体" w:eastAsia="宋体"/>
          <w:color w:val="000000"/>
          <w:sz w:val="24"/>
          <w:highlight w:val="none"/>
        </w:rPr>
        <w:t xml:space="preserve">1</w:t>
      </w:r>
      <w:r>
        <w:rPr>
          <w:rFonts w:hint="eastAsia" w:ascii="宋体" w:hAnsi="宋体" w:eastAsia="宋体"/>
          <w:color w:val="000000"/>
          <w:sz w:val="24"/>
          <w:highlight w:val="none"/>
          <w:lang w:val="en-US" w:eastAsia="zh-CN"/>
        </w:rPr>
        <w:t xml:space="preserve">7</w:t>
      </w:r>
      <w:r>
        <w:rPr>
          <w:rFonts w:hint="eastAsia" w:ascii="宋体" w:hAnsi="宋体" w:eastAsia="宋体"/>
          <w:color w:val="000000"/>
          <w:sz w:val="24"/>
          <w:highlight w:val="none"/>
        </w:rPr>
        <w:t xml:space="preserve">.</w:t>
      </w:r>
      <w:r>
        <w:rPr>
          <w:rFonts w:hint="eastAsia" w:ascii="宋体" w:hAnsi="宋体" w:eastAsia="宋体"/>
          <w:color w:val="000000"/>
          <w:sz w:val="24"/>
          <w:highlight w:val="none"/>
          <w:lang w:val="en-US" w:eastAsia="zh-CN"/>
        </w:rPr>
        <w:t xml:space="preserve">2.2</w:t>
      </w:r>
      <w:r>
        <w:rPr>
          <w:rFonts w:hint="eastAsia" w:ascii="宋体" w:hAnsi="宋体" w:eastAsia="宋体"/>
          <w:color w:val="000000"/>
          <w:sz w:val="24"/>
          <w:highlight w:val="none"/>
        </w:rPr>
        <w:t xml:space="preserve">采购代理机构可以按照规定，通过修改招标文件酌情延长投标截止时间，在此情况下，投标人的所有权利和义务以及投标人受制的截止时间均应以延长后新的截止时间为准。</w:t>
      </w:r>
      <w:r>
        <w:rPr>
          <w:rFonts w:hint="eastAsia"/>
          <w:color w:val="000000"/>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17</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、投标文件被拒绝接收的情形</w:t>
      </w:r>
      <w:r>
        <w:rPr>
          <w:rFonts w:hint="eastAsia" w:ascii="宋体" w:hAnsi="宋体" w:cs="宋体"/>
          <w:b/>
          <w:color w:val="000000"/>
          <w:sz w:val="24"/>
          <w:highlight w:val="none"/>
        </w:rPr>
      </w:r>
      <w:r/>
    </w:p>
    <w:p>
      <w:pPr>
        <w:pStyle w:val="884"/>
        <w:ind w:firstLine="480"/>
        <w:spacing w:line="520" w:lineRule="exact"/>
        <w:rPr>
          <w:rFonts w:hint="eastAsia" w:ascii="宋体" w:hAnsi="宋体" w:cs="宋体"/>
          <w:color w:val="000000"/>
          <w:sz w:val="20"/>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w:t>
      </w:r>
      <w:bookmarkStart w:id="52" w:name="EB200c38d7a1c345f29b604b38d510a951"/>
      <w:r>
        <w:rPr>
          <w:rFonts w:hint="eastAsia" w:ascii="宋体" w:hAnsi="宋体" w:eastAsia="宋体"/>
          <w:color w:val="000000"/>
          <w:sz w:val="24"/>
          <w:highlight w:val="none"/>
        </w:rPr>
        <w:t xml:space="preserve">采购代理机构拒绝接收在其规定的投标截止时间后上传的任何投标文件。</w:t>
      </w:r>
      <w:r>
        <w:rPr>
          <w:rFonts w:hint="eastAsia" w:ascii="宋体" w:hAnsi="宋体" w:cs="宋体"/>
          <w:color w:val="000000"/>
          <w:sz w:val="20"/>
          <w:highlight w:val="none"/>
        </w:rPr>
        <w:t xml:space="preserve"> </w:t>
      </w:r>
      <w:bookmarkEnd w:id="52"/>
      <w:r>
        <w:rPr>
          <w:rFonts w:hint="eastAsia" w:ascii="宋体" w:hAnsi="宋体" w:cs="宋体"/>
          <w:color w:val="000000"/>
          <w:sz w:val="20"/>
          <w:highlight w:val="none"/>
        </w:rPr>
      </w:r>
      <w:r/>
    </w:p>
    <w:p>
      <w:pPr>
        <w:pStyle w:val="884"/>
        <w:ind w:firstLine="480"/>
        <w:spacing w:line="520" w:lineRule="exact"/>
        <w:rPr>
          <w:rFonts w:hint="eastAsia" w:ascii="宋体" w:hAnsi="宋体" w:eastAsia="宋体" w:cs="Times New Roman"/>
          <w:b/>
          <w:bCs/>
          <w:color w:val="000000"/>
          <w:sz w:val="24"/>
          <w:highlight w:val="none"/>
          <w:lang w:val="en-US" w:eastAsia="zh-CN"/>
        </w:rPr>
      </w:pPr>
      <w:r/>
      <w:bookmarkStart w:id="53" w:name="_Toc20823300"/>
      <w:r/>
      <w:bookmarkStart w:id="54" w:name="_Toc513029228"/>
      <w:r/>
      <w:bookmarkStart w:id="55" w:name="_Toc16938544"/>
      <w:r>
        <w:rPr>
          <w:rFonts w:hint="eastAsia" w:ascii="宋体" w:hAnsi="宋体" w:eastAsia="宋体" w:cs="Times New Roman"/>
          <w:b/>
          <w:bCs/>
          <w:color w:val="000000"/>
          <w:sz w:val="24"/>
          <w:highlight w:val="none"/>
          <w:lang w:val="en-US" w:eastAsia="zh-CN"/>
        </w:rPr>
        <w:t xml:space="preserve">17.4、投标文件的撤回和修改</w:t>
      </w:r>
      <w:bookmarkEnd w:id="53"/>
      <w:r/>
      <w:bookmarkEnd w:id="54"/>
      <w:r/>
      <w:bookmarkEnd w:id="55"/>
      <w:r>
        <w:rPr>
          <w:rFonts w:hint="eastAsia" w:ascii="宋体" w:hAnsi="宋体" w:eastAsia="宋体" w:cs="Times New Roman"/>
          <w:b/>
          <w:bCs/>
          <w:color w:val="000000"/>
          <w:sz w:val="24"/>
          <w:highlight w:val="none"/>
          <w:lang w:val="en-US" w:eastAsia="zh-CN"/>
        </w:rPr>
      </w:r>
      <w:r/>
    </w:p>
    <w:p>
      <w:pPr>
        <w:pStyle w:val="884"/>
        <w:ind w:firstLine="480"/>
        <w:spacing w:line="52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17.4.1投标文件的撤回</w:t>
      </w:r>
      <w:r>
        <w:rPr>
          <w:rFonts w:hint="eastAsia" w:ascii="宋体" w:hAnsi="宋体" w:eastAsia="宋体" w:cs="Times New Roman"/>
          <w:color w:val="000000"/>
          <w:sz w:val="24"/>
          <w:highlight w:val="none"/>
          <w:lang w:val="en-US" w:eastAsia="zh-CN"/>
        </w:rPr>
      </w:r>
      <w:r/>
    </w:p>
    <w:p>
      <w:pPr>
        <w:pStyle w:val="884"/>
        <w:ind w:firstLine="480"/>
        <w:spacing w:line="52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17.4.1.1电子投标文件的撤回</w:t>
      </w:r>
      <w:r>
        <w:rPr>
          <w:rFonts w:hint="eastAsia" w:ascii="宋体" w:hAnsi="宋体" w:eastAsia="宋体" w:cs="Times New Roman"/>
          <w:color w:val="000000"/>
          <w:sz w:val="24"/>
          <w:highlight w:val="none"/>
          <w:lang w:val="en-US" w:eastAsia="zh-CN"/>
        </w:rPr>
      </w:r>
      <w:r/>
    </w:p>
    <w:p>
      <w:pPr>
        <w:pStyle w:val="884"/>
        <w:ind w:firstLine="480"/>
        <w:spacing w:line="52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en-US" w:eastAsia="zh-CN"/>
        </w:rPr>
      </w:r>
      <w:r/>
    </w:p>
    <w:p>
      <w:pPr>
        <w:pStyle w:val="884"/>
        <w:ind w:firstLine="480"/>
        <w:spacing w:line="52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17.4.1.2投标人撤回电子投标文件，则认为其不再参与本项目投标活动。</w:t>
      </w:r>
      <w:r>
        <w:rPr>
          <w:rFonts w:hint="eastAsia" w:ascii="宋体" w:hAnsi="宋体" w:eastAsia="宋体" w:cs="Times New Roman"/>
          <w:color w:val="000000"/>
          <w:sz w:val="24"/>
          <w:highlight w:val="none"/>
          <w:lang w:val="en-US" w:eastAsia="zh-CN"/>
        </w:rPr>
      </w:r>
      <w:r/>
    </w:p>
    <w:p>
      <w:pPr>
        <w:pStyle w:val="884"/>
        <w:ind w:firstLine="480"/>
        <w:spacing w:line="52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17.4.2 投标文件的修改</w:t>
      </w:r>
      <w:r>
        <w:rPr>
          <w:rFonts w:hint="eastAsia" w:ascii="宋体" w:hAnsi="宋体" w:eastAsia="宋体" w:cs="Times New Roman"/>
          <w:color w:val="000000"/>
          <w:sz w:val="24"/>
          <w:highlight w:val="none"/>
          <w:lang w:val="en-US" w:eastAsia="zh-CN"/>
        </w:rPr>
      </w:r>
      <w:r/>
    </w:p>
    <w:p>
      <w:pPr>
        <w:pStyle w:val="884"/>
        <w:ind w:firstLine="480"/>
        <w:spacing w:line="52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17.4.2.1投标人可在投标截止时间前，对其电子投标文件进行修改，具体操作方法见《操作手册》。</w:t>
      </w:r>
      <w:r>
        <w:rPr>
          <w:rFonts w:hint="eastAsia" w:ascii="宋体" w:hAnsi="宋体" w:eastAsia="宋体" w:cs="Times New Roman"/>
          <w:color w:val="000000"/>
          <w:sz w:val="24"/>
          <w:highlight w:val="none"/>
          <w:lang w:val="en-US" w:eastAsia="zh-CN"/>
        </w:rPr>
      </w:r>
      <w:r/>
    </w:p>
    <w:p>
      <w:pPr>
        <w:pStyle w:val="884"/>
        <w:ind w:firstLine="480"/>
        <w:spacing w:line="52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17.4.2.2在投标截止时间之后，投标人不得对其电子投标文件作任何修改。</w:t>
      </w:r>
      <w:r>
        <w:rPr>
          <w:rFonts w:hint="eastAsia" w:ascii="宋体" w:hAnsi="宋体" w:eastAsia="宋体" w:cs="Times New Roman"/>
          <w:color w:val="000000"/>
          <w:sz w:val="24"/>
          <w:highlight w:val="none"/>
          <w:lang w:val="en-US" w:eastAsia="zh-CN"/>
        </w:rPr>
      </w:r>
      <w:r/>
    </w:p>
    <w:p>
      <w:pPr>
        <w:pStyle w:val="884"/>
        <w:ind w:firstLine="480"/>
        <w:spacing w:line="52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17.4.3在投标截止时间至招标文件中规定的投标有效期满之间的这段时间内，投标人不得撤回其投标。</w:t>
      </w:r>
      <w:r>
        <w:rPr>
          <w:rFonts w:hint="eastAsia" w:ascii="宋体" w:hAnsi="宋体" w:eastAsia="宋体" w:cs="Times New Roman"/>
          <w:color w:val="000000"/>
          <w:sz w:val="24"/>
          <w:highlight w:val="none"/>
          <w:lang w:val="en-US" w:eastAsia="zh-CN"/>
        </w:rPr>
      </w:r>
      <w:r/>
    </w:p>
    <w:p>
      <w:pPr>
        <w:pStyle w:val="1293"/>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五、无效标、</w:t>
      </w:r>
      <w:r>
        <w:rPr>
          <w:rFonts w:hint="eastAsia" w:ascii="宋体" w:hAnsi="宋体" w:eastAsia="宋体" w:cs="宋体"/>
          <w:color w:val="000000"/>
          <w:highlight w:val="none"/>
          <w:lang w:eastAsia="zh-CN"/>
        </w:rPr>
        <w:t xml:space="preserve">投标被拒绝</w:t>
      </w:r>
      <w:r>
        <w:rPr>
          <w:rFonts w:hint="eastAsia" w:ascii="宋体" w:hAnsi="宋体" w:eastAsia="宋体" w:cs="宋体"/>
          <w:color w:val="000000"/>
          <w:highlight w:val="none"/>
        </w:rPr>
        <w:t xml:space="preserve">、串通投标认定条款</w:t>
      </w:r>
      <w:bookmarkEnd w:id="48"/>
      <w:r/>
      <w:bookmarkEnd w:id="49"/>
      <w:r>
        <w:rPr>
          <w:rFonts w:hint="eastAsia" w:ascii="宋体" w:hAnsi="宋体" w:eastAsia="宋体" w:cs="宋体"/>
          <w:color w:val="000000"/>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18、以下情形将视为无效投标</w:t>
      </w:r>
      <w:bookmarkStart w:id="56" w:name="EB94942e5430df4fb8a077f3cf7667f212"/>
      <w:r>
        <w:rPr>
          <w:rFonts w:hint="eastAsia" w:ascii="宋体" w:hAnsi="宋体" w:cs="宋体"/>
          <w:b/>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1.1投标人在苏采云系统规定的时间内未成功解密电子投标文件的。</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1.2投标人未按照招标文件要求上传电子投标文件的。</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1.3同一投标人提交两个（含两个）以上不同的投标报价的。</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1.4投标人不具备招标文件中规定资格要求的。</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1.5投标人的报价超过了采购预算或最高限价的。</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1.6未通过符合性审查的。</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1.7不符合招标文件中规定的实质性要求和条件的</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1.9投标文件含有采购人不能接受的附加条件的。</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val="en-US" w:eastAsia="zh-CN"/>
        </w:rPr>
        <w:t xml:space="preserve">18.1.11</w:t>
      </w:r>
      <w:r>
        <w:rPr>
          <w:rFonts w:ascii="宋体" w:hAnsi="宋体" w:eastAsia="宋体"/>
          <w:color w:val="000000"/>
          <w:sz w:val="24"/>
          <w:highlight w:val="none"/>
        </w:rPr>
        <w:t xml:space="preserve">本项目采购产品</w:t>
      </w:r>
      <w:r>
        <w:rPr>
          <w:rFonts w:hint="eastAsia" w:ascii="宋体" w:hAnsi="宋体" w:eastAsia="宋体"/>
          <w:color w:val="000000"/>
          <w:sz w:val="24"/>
          <w:highlight w:val="none"/>
        </w:rPr>
        <w:t xml:space="preserve">如</w:t>
      </w:r>
      <w:r>
        <w:rPr>
          <w:rFonts w:ascii="宋体" w:hAnsi="宋体" w:eastAsia="宋体"/>
          <w:color w:val="000000"/>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1.12投标文件未按照招标文件要求加盖公章的。</w:t>
      </w:r>
      <w:r>
        <w:rPr>
          <w:rFonts w:hint="eastAsia" w:ascii="宋体" w:hAnsi="宋体" w:eastAsia="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1.1</w:t>
      </w:r>
      <w:r>
        <w:rPr>
          <w:rFonts w:hint="eastAsia" w:ascii="宋体" w:hAnsi="宋体" w:eastAsia="宋体"/>
          <w:color w:val="000000"/>
          <w:sz w:val="24"/>
          <w:highlight w:val="none"/>
          <w:lang w:val="en-US" w:eastAsia="zh-CN"/>
        </w:rPr>
        <w:t xml:space="preserve">3</w:t>
      </w:r>
      <w:r>
        <w:rPr>
          <w:rFonts w:hint="eastAsia" w:ascii="宋体" w:hAnsi="宋体" w:cs="宋体"/>
          <w:color w:val="000000"/>
          <w:sz w:val="24"/>
          <w:highlight w:val="none"/>
        </w:rPr>
        <w:t xml:space="preserve">投标文件含有采购人不能接受的附加条件的；</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1.1</w:t>
      </w:r>
      <w:r>
        <w:rPr>
          <w:rFonts w:hint="eastAsia" w:ascii="宋体" w:hAnsi="宋体" w:eastAsia="宋体"/>
          <w:color w:val="000000"/>
          <w:sz w:val="24"/>
          <w:highlight w:val="none"/>
          <w:lang w:val="en-US" w:eastAsia="zh-CN"/>
        </w:rPr>
        <w:t xml:space="preserve">4</w:t>
      </w:r>
      <w:r>
        <w:rPr>
          <w:rFonts w:hint="eastAsia" w:ascii="宋体" w:hAnsi="宋体" w:cs="宋体"/>
          <w:color w:val="000000"/>
          <w:sz w:val="24"/>
          <w:highlight w:val="none"/>
        </w:rPr>
        <w:t xml:space="preserve">投标人有本招标文件规定的恶意串通投标情形的；</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1.1</w:t>
      </w:r>
      <w:r>
        <w:rPr>
          <w:rFonts w:hint="eastAsia" w:ascii="宋体" w:hAnsi="宋体" w:eastAsia="宋体"/>
          <w:color w:val="000000"/>
          <w:sz w:val="24"/>
          <w:highlight w:val="none"/>
          <w:lang w:val="en-US" w:eastAsia="zh-CN"/>
        </w:rPr>
        <w:t xml:space="preserve">5</w:t>
      </w:r>
      <w:r>
        <w:rPr>
          <w:rFonts w:hint="eastAsia" w:ascii="宋体" w:hAnsi="宋体" w:cs="宋体"/>
          <w:color w:val="000000"/>
          <w:sz w:val="24"/>
          <w:highlight w:val="none"/>
        </w:rPr>
        <w:t xml:space="preserve">其它评标委员会认为有必要取消的投标；</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eastAsia="宋体"/>
          <w:color w:val="000000"/>
          <w:sz w:val="24"/>
          <w:highlight w:val="none"/>
          <w:lang w:eastAsia="zh-CN"/>
        </w:rPr>
        <w:t xml:space="preserve">18.</w:t>
      </w:r>
      <w:r>
        <w:rPr>
          <w:rFonts w:hint="eastAsia" w:ascii="宋体" w:hAnsi="宋体" w:eastAsia="宋体"/>
          <w:color w:val="000000"/>
          <w:sz w:val="24"/>
          <w:highlight w:val="none"/>
        </w:rPr>
        <w:t xml:space="preserve">1.1</w:t>
      </w:r>
      <w:r>
        <w:rPr>
          <w:rFonts w:hint="eastAsia" w:ascii="宋体" w:hAnsi="宋体" w:eastAsia="宋体"/>
          <w:color w:val="000000"/>
          <w:sz w:val="24"/>
          <w:highlight w:val="none"/>
          <w:lang w:val="en-US" w:eastAsia="zh-CN"/>
        </w:rPr>
        <w:t xml:space="preserve">6</w:t>
      </w:r>
      <w:r>
        <w:rPr>
          <w:rFonts w:hint="eastAsia" w:ascii="宋体" w:hAnsi="宋体" w:eastAsia="宋体"/>
          <w:color w:val="000000"/>
          <w:sz w:val="24"/>
          <w:highlight w:val="none"/>
        </w:rPr>
        <w:t xml:space="preserve">其他法律、法规及本招标文件规定的属无效投标的情形。</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bookmarkEnd w:id="56"/>
      <w:r>
        <w:rPr>
          <w:rFonts w:hint="eastAsia" w:ascii="宋体" w:hAnsi="宋体" w:cs="宋体"/>
          <w:b/>
          <w:color w:val="000000"/>
          <w:sz w:val="24"/>
          <w:highlight w:val="none"/>
        </w:rPr>
        <w:t xml:space="preserve">19、以下情形投标将被拒绝</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19.1符合专业条件的供应商或者对招标文件作实质响应的供应商不足三家的（20条规定情形除外）；</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19.2出现影响采购公正的违法、违规行为的；</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19.3因重大变故，采购任务取消的。</w:t>
      </w:r>
      <w:r>
        <w:rPr>
          <w:rFonts w:hint="eastAsia" w:ascii="宋体" w:hAnsi="宋体" w:cs="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val="en-US" w:eastAsia="zh-CN"/>
        </w:rPr>
        <w:t xml:space="preserve">19.4</w:t>
      </w:r>
      <w:r>
        <w:rPr>
          <w:rFonts w:hint="eastAsia" w:ascii="宋体" w:hAnsi="宋体" w:eastAsia="宋体"/>
          <w:color w:val="000000"/>
          <w:sz w:val="24"/>
          <w:highlight w:val="none"/>
        </w:rPr>
        <w:t xml:space="preserve">评标委员会认定招标文件存在歧义、重大缺陷导致评审工作无法进行。</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val="en-US" w:eastAsia="zh-CN"/>
        </w:rPr>
        <w:t xml:space="preserve">19.5</w:t>
      </w:r>
      <w:r>
        <w:rPr>
          <w:rFonts w:hint="eastAsia" w:ascii="宋体" w:hAnsi="宋体" w:eastAsia="宋体"/>
          <w:color w:val="000000"/>
          <w:sz w:val="24"/>
          <w:highlight w:val="none"/>
        </w:rPr>
        <w:t xml:space="preserve">因苏采云系统故障原因造成开标不成功的。</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val="en-US" w:eastAsia="zh-CN"/>
        </w:rPr>
        <w:t xml:space="preserve">19.6</w:t>
      </w:r>
      <w:r>
        <w:rPr>
          <w:rFonts w:hint="eastAsia" w:ascii="宋体" w:hAnsi="宋体" w:eastAsia="宋体"/>
          <w:color w:val="000000"/>
          <w:sz w:val="24"/>
          <w:highlight w:val="none"/>
        </w:rPr>
        <w:t xml:space="preserve">投标截止时间结束后参加投标的供应商不足三家的处理：</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lang w:val="en-US" w:eastAsia="zh-CN"/>
        </w:rPr>
        <w:t xml:space="preserve">19.7</w:t>
      </w:r>
      <w:r>
        <w:rPr>
          <w:rFonts w:hint="eastAsia" w:ascii="宋体" w:hAnsi="宋体" w:eastAsia="宋体"/>
          <w:color w:val="000000"/>
          <w:sz w:val="24"/>
          <w:highlight w:val="none"/>
        </w:rPr>
        <w:t xml:space="preserve">如出现投标截止时间结束后参加投标的供应商或者在评标期间对招标文件做出实质响应的供应商不足三家情况，按政府采购相关规定执行。</w:t>
      </w:r>
      <w:r>
        <w:rPr>
          <w:rFonts w:hint="eastAsia" w:ascii="宋体" w:hAnsi="宋体" w:eastAsia="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20、投标人不足三家情形处理</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21、凡有以下情形者，一经查实，取消中标候选人资格条款</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21.1提供虚假材料谋取中标的；</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21.2采取不正当手段诋毁、排挤其他投标人的；</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21.3与采购人、其他投标人或者采购代理机构恶意串通的；</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21.4向采购人、采购代理机构行贿或者提供其他不正当利益的；</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21.5未在规定时间内与采购人签订采购合同的；</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21.6法律、法规规定的其它情况。</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22、恶意串通投标的情形</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22.1供应商直接或间接从采购人或采购代理机构处获得其他供应商的投标情况，并修改其投标文件；</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22.2评审活动开始前供应商直接或间接从采购人或采购代理机构处获得评标委员会组成人员情况；</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22.3供应商接受采购人或采购代理机构授意撤换、修改投标文件；</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22.4供应商之间协商投标报价、技术方案等投标文件实质性内容；</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22.5属于同一集团、协会、商会等组织成员的供应商按照该组织要求协同投标；</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22.6供应商之间事先约定由某一特定供应商中标、成交；</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22.7供应商之间商定部分供应商放弃投标或者放弃中标、成交；</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22.8供应商与采购人或采购代理机构之间、供应商相互之间为谋求特定供应商中标成交或者排斥其他供应商的其他串通行为；</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22.9不同投标人的投标文件由同一单位或者个人编制；</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22.10不同投标人委托同一单位或者个人办理投标事宜；</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22.11不同投标人的投标文件载明的项目管理成员或者联系人员为同一人；</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22.12不同投标人的投标文件异常一致或者投标报价呈规律性差异；</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22.13不同投标人的投标文件相互混装；</w:t>
      </w:r>
      <w:r>
        <w:rPr>
          <w:rFonts w:hint="eastAsia" w:ascii="宋体" w:hAnsi="宋体" w:cs="宋体"/>
          <w:color w:val="000000"/>
          <w:sz w:val="24"/>
          <w:highlight w:val="none"/>
        </w:rPr>
      </w:r>
      <w:r/>
    </w:p>
    <w:p>
      <w:pPr>
        <w:pStyle w:val="1293"/>
        <w:shd w:val="clear" w:color="auto" w:fill="auto"/>
        <w:rPr>
          <w:rFonts w:hint="eastAsia" w:ascii="宋体" w:hAnsi="宋体" w:eastAsia="宋体" w:cs="宋体"/>
          <w:color w:val="000000"/>
          <w:highlight w:val="none"/>
        </w:rPr>
        <w:outlineLvl w:val="1"/>
      </w:pPr>
      <w:r/>
      <w:bookmarkStart w:id="57" w:name="_Toc29013"/>
      <w:r/>
      <w:bookmarkStart w:id="58" w:name="_Toc514054477"/>
      <w:r>
        <w:rPr>
          <w:rFonts w:hint="eastAsia" w:ascii="宋体" w:hAnsi="宋体" w:eastAsia="宋体" w:cs="宋体"/>
          <w:color w:val="000000"/>
          <w:highlight w:val="none"/>
        </w:rPr>
        <w:t xml:space="preserve">六、开标、资格审查、评标程序</w:t>
      </w:r>
      <w:bookmarkEnd w:id="57"/>
      <w:r/>
      <w:bookmarkEnd w:id="58"/>
      <w:r>
        <w:rPr>
          <w:rFonts w:hint="eastAsia" w:ascii="宋体" w:hAnsi="宋体" w:eastAsia="宋体" w:cs="宋体"/>
          <w:color w:val="000000"/>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23、开标会议</w:t>
      </w:r>
      <w:r>
        <w:rPr>
          <w:rFonts w:hint="eastAsia" w:ascii="宋体" w:hAnsi="宋体" w:cs="宋体"/>
          <w:b/>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2</w:t>
      </w:r>
      <w:r>
        <w:rPr>
          <w:rFonts w:hint="eastAsia" w:ascii="宋体" w:hAnsi="宋体" w:eastAsia="宋体"/>
          <w:color w:val="000000"/>
          <w:sz w:val="24"/>
          <w:highlight w:val="none"/>
          <w:lang w:val="en-US" w:eastAsia="zh-CN"/>
        </w:rPr>
        <w:t xml:space="preserve">3</w:t>
      </w:r>
      <w:r>
        <w:rPr>
          <w:rFonts w:hint="eastAsia" w:ascii="宋体" w:hAnsi="宋体" w:eastAsia="宋体"/>
          <w:color w:val="000000"/>
          <w:sz w:val="24"/>
          <w:highlight w:val="none"/>
        </w:rPr>
        <w:t xml:space="preserve">.1采购代理机构将在招标公告中规定的时间和地点组织公开开标。投标人应当按照《操作手册》规定，参加开标活动和在苏采云系统规定的时间内对投标文件进行解密。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2</w:t>
      </w:r>
      <w:r>
        <w:rPr>
          <w:rFonts w:hint="eastAsia" w:ascii="宋体" w:hAnsi="宋体" w:eastAsia="宋体"/>
          <w:color w:val="000000"/>
          <w:sz w:val="24"/>
          <w:highlight w:val="none"/>
          <w:lang w:val="en-US" w:eastAsia="zh-CN"/>
        </w:rPr>
        <w:t xml:space="preserve">3</w:t>
      </w:r>
      <w:r>
        <w:rPr>
          <w:rFonts w:hint="eastAsia" w:ascii="宋体" w:hAnsi="宋体" w:eastAsia="宋体"/>
          <w:color w:val="000000"/>
          <w:sz w:val="24"/>
          <w:highlight w:val="none"/>
        </w:rPr>
        <w:t xml:space="preserve">.2开标仪式由采购代理机构组织。苏采云系统将自动对项目进行开标，并宣布各投标人名称和投标价格。</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2</w:t>
      </w:r>
      <w:r>
        <w:rPr>
          <w:rFonts w:hint="eastAsia" w:ascii="宋体" w:hAnsi="宋体" w:eastAsia="宋体"/>
          <w:color w:val="000000"/>
          <w:sz w:val="24"/>
          <w:highlight w:val="none"/>
          <w:lang w:val="en-US" w:eastAsia="zh-CN"/>
        </w:rPr>
        <w:t xml:space="preserve">3</w:t>
      </w:r>
      <w:r>
        <w:rPr>
          <w:rFonts w:hint="eastAsia" w:ascii="宋体" w:hAnsi="宋体" w:eastAsia="宋体"/>
          <w:color w:val="000000"/>
          <w:sz w:val="24"/>
          <w:highlight w:val="none"/>
        </w:rPr>
        <w:t xml:space="preserve">.3投标人在开标过程中涉及到的投标文件解密、开标结果确认等工作，应按照《操作手册》规定执行。</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2</w:t>
      </w:r>
      <w:r>
        <w:rPr>
          <w:rFonts w:hint="eastAsia" w:ascii="宋体" w:hAnsi="宋体" w:eastAsia="宋体"/>
          <w:color w:val="000000"/>
          <w:sz w:val="24"/>
          <w:highlight w:val="none"/>
          <w:lang w:val="en-US" w:eastAsia="zh-CN"/>
        </w:rPr>
        <w:t xml:space="preserve">3</w:t>
      </w:r>
      <w:r>
        <w:rPr>
          <w:rFonts w:hint="eastAsia" w:ascii="宋体" w:hAnsi="宋体" w:eastAsia="宋体"/>
          <w:color w:val="000000"/>
          <w:sz w:val="24"/>
          <w:highlight w:val="none"/>
        </w:rPr>
        <w:t xml:space="preserve">.4投标人如果对开标过程和开标记录有疑义，应当根据《操作手册》规定提出，如苏采云系统中《开标记录表》宣布后</w:t>
      </w:r>
      <w:r>
        <w:rPr>
          <w:rFonts w:hint="eastAsia" w:ascii="宋体" w:hAnsi="宋体" w:eastAsia="宋体"/>
          <w:color w:val="000000"/>
          <w:sz w:val="24"/>
          <w:highlight w:val="none"/>
          <w:lang w:val="en-US" w:eastAsia="zh-CN"/>
        </w:rPr>
        <w:t xml:space="preserve">规定时间</w:t>
      </w:r>
      <w:r>
        <w:rPr>
          <w:rFonts w:hint="eastAsia" w:ascii="宋体" w:hAnsi="宋体" w:eastAsia="宋体"/>
          <w:color w:val="000000"/>
          <w:sz w:val="24"/>
          <w:highlight w:val="none"/>
        </w:rPr>
        <w:t xml:space="preserve">内未提出的，视同认可开标结果。</w:t>
      </w:r>
      <w:r>
        <w:rPr>
          <w:rFonts w:hint="eastAsia" w:ascii="宋体" w:hAnsi="宋体" w:eastAsia="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bookmarkStart w:id="59" w:name="EBa9c0a2c9e523494487594c65b2a92370"/>
      <w:r>
        <w:rPr>
          <w:rFonts w:hint="eastAsia" w:ascii="宋体" w:hAnsi="宋体" w:cs="宋体"/>
          <w:color w:val="000000"/>
          <w:sz w:val="24"/>
          <w:highlight w:val="none"/>
        </w:rPr>
        <w:t xml:space="preserve">开标结束后，采购人或经采购人委托的采购代理机构依法据招标文件规定对投标人的资格证明文件等进行审查。</w:t>
      </w:r>
      <w:bookmarkEnd w:id="59"/>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、评标委员会</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采购人应根据本项目的特点依法组建评标委员会。评标委员会负责具体评标事务，对资格审查合格的投标人进行评标，并独立履行相关职责。</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、评标原则</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“公平、公正、客观、择优”为评标的基本原则，评标委员会将根据这一原则，公正、平等地对待各投标人。</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rPr>
        <w:t xml:space="preserve">、评标过程的保密与公正</w:t>
      </w:r>
      <w:r>
        <w:rPr>
          <w:rFonts w:hint="eastAsia" w:ascii="宋体" w:hAnsi="宋体" w:eastAsia="宋体" w:cs="宋体"/>
          <w:b/>
          <w:color w:val="000000"/>
          <w:sz w:val="24"/>
          <w:highlight w:val="none"/>
        </w:rPr>
      </w:r>
      <w:r/>
    </w:p>
    <w:p>
      <w:pPr>
        <w:pStyle w:val="884"/>
        <w:ind w:firstLine="480"/>
        <w:spacing w:line="500" w:lineRule="exact"/>
        <w:shd w:val="clear" w:color="auto" w:fill="auto"/>
        <w:rPr>
          <w:rFonts w:hint="eastAsia" w:ascii="宋体" w:hAnsi="宋体" w:eastAsia="宋体"/>
          <w:color w:val="000000"/>
          <w:sz w:val="24"/>
          <w:highlight w:val="none"/>
        </w:rPr>
      </w:pPr>
      <w:r>
        <w:rPr>
          <w:rFonts w:hint="eastAsia" w:ascii="宋体" w:hAnsi="宋体" w:eastAsia="宋体"/>
          <w:color w:val="000000"/>
          <w:sz w:val="24"/>
          <w:highlight w:val="none"/>
        </w:rPr>
        <w:t xml:space="preserve">2</w:t>
      </w:r>
      <w:r>
        <w:rPr>
          <w:rFonts w:hint="eastAsia" w:ascii="宋体" w:hAnsi="宋体" w:eastAsia="宋体"/>
          <w:color w:val="000000"/>
          <w:sz w:val="24"/>
          <w:highlight w:val="none"/>
          <w:lang w:val="en-US" w:eastAsia="zh-CN"/>
        </w:rPr>
        <w:t xml:space="preserve">7</w:t>
      </w:r>
      <w:r>
        <w:rPr>
          <w:rFonts w:hint="eastAsia" w:ascii="宋体" w:hAnsi="宋体" w:eastAsia="宋体"/>
          <w:color w:val="000000"/>
          <w:sz w:val="24"/>
          <w:highlight w:val="none"/>
        </w:rPr>
        <w:t xml:space="preserve">.1凡是与审查、澄清、评价和比较投标的有关资料以及授标建议等，采购人、评委、采购代理机构均不得向投标人或与评标无关的其他人员透露。</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2</w:t>
      </w:r>
      <w:r>
        <w:rPr>
          <w:rFonts w:hint="eastAsia" w:ascii="宋体" w:hAnsi="宋体" w:eastAsia="宋体"/>
          <w:color w:val="000000"/>
          <w:sz w:val="24"/>
          <w:highlight w:val="none"/>
          <w:lang w:val="en-US" w:eastAsia="zh-CN"/>
        </w:rPr>
        <w:t xml:space="preserve">7</w:t>
      </w:r>
      <w:r>
        <w:rPr>
          <w:rFonts w:hint="eastAsia" w:ascii="宋体" w:hAnsi="宋体" w:eastAsia="宋体"/>
          <w:color w:val="000000"/>
          <w:sz w:val="24"/>
          <w:highlight w:val="none"/>
        </w:rPr>
        <w:t xml:space="preserve">.2在评标过程中，投标人不得以任何行为影响评标过程，否则其投标文件将被作为无效投标文件。</w:t>
      </w:r>
      <w:r>
        <w:rPr>
          <w:rFonts w:hint="eastAsia" w:ascii="宋体" w:hAnsi="宋体" w:eastAsia="宋体"/>
          <w:color w:val="000000"/>
          <w:sz w:val="24"/>
          <w:highlight w:val="none"/>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2</w:t>
      </w:r>
      <w:r>
        <w:rPr>
          <w:rFonts w:hint="eastAsia" w:ascii="宋体" w:hAnsi="宋体" w:eastAsia="宋体"/>
          <w:color w:val="000000"/>
          <w:sz w:val="24"/>
          <w:highlight w:val="none"/>
          <w:lang w:val="en-US" w:eastAsia="zh-CN"/>
        </w:rPr>
        <w:t xml:space="preserve">7</w:t>
      </w:r>
      <w:r>
        <w:rPr>
          <w:rFonts w:hint="eastAsia" w:ascii="宋体" w:hAnsi="宋体" w:eastAsia="宋体"/>
          <w:color w:val="000000"/>
          <w:sz w:val="24"/>
          <w:highlight w:val="none"/>
        </w:rPr>
        <w:t xml:space="preserve">.3采购代理机构和评标委员会不向未中标的投标人解释未中标原因，也不公布评标过程中的相关细节。</w:t>
      </w:r>
      <w:r>
        <w:rPr>
          <w:rFonts w:hint="eastAsia" w:ascii="宋体" w:hAnsi="宋体" w:eastAsia="宋体"/>
          <w:color w:val="000000"/>
          <w:sz w:val="24"/>
          <w:highlight w:val="none"/>
        </w:rPr>
      </w:r>
      <w:r/>
    </w:p>
    <w:p>
      <w:pPr>
        <w:pStyle w:val="884"/>
        <w:ind w:firstLine="480"/>
        <w:spacing w:line="520" w:lineRule="exact"/>
        <w:rPr>
          <w:rFonts w:hint="eastAsia"/>
          <w:color w:val="000000"/>
          <w:highlight w:val="none"/>
        </w:rPr>
      </w:pPr>
      <w:r>
        <w:rPr>
          <w:rFonts w:hint="eastAsia" w:ascii="宋体" w:hAnsi="宋体" w:eastAsia="宋体"/>
          <w:color w:val="000000"/>
          <w:sz w:val="24"/>
          <w:highlight w:val="none"/>
        </w:rPr>
        <w:t xml:space="preserve">2</w:t>
      </w:r>
      <w:r>
        <w:rPr>
          <w:rFonts w:hint="eastAsia" w:ascii="宋体" w:hAnsi="宋体" w:eastAsia="宋体"/>
          <w:color w:val="000000"/>
          <w:sz w:val="24"/>
          <w:highlight w:val="none"/>
          <w:lang w:val="en-US" w:eastAsia="zh-CN"/>
        </w:rPr>
        <w:t xml:space="preserve">7</w:t>
      </w:r>
      <w:r>
        <w:rPr>
          <w:rFonts w:hint="eastAsia" w:ascii="宋体" w:hAnsi="宋体" w:eastAsia="宋体"/>
          <w:color w:val="000000"/>
          <w:sz w:val="24"/>
          <w:highlight w:val="none"/>
        </w:rPr>
        <w:t xml:space="preserve">.4采用综合评分法的项目，未中标的投标人可于中标结果公告期限届满之日起通过苏采云系统查看自己的评审得分及排序情况。</w:t>
      </w:r>
      <w:r>
        <w:rPr>
          <w:rFonts w:hint="eastAsia"/>
          <w:color w:val="000000"/>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28、评标程序</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60" w:name="EB48e5ba2667fe4390bf237677a47020dd"/>
      <w:r>
        <w:rPr>
          <w:rFonts w:hint="eastAsia" w:ascii="宋体" w:hAnsi="宋体" w:cs="宋体"/>
          <w:color w:val="000000"/>
          <w:sz w:val="24"/>
          <w:highlight w:val="none"/>
        </w:rPr>
        <w:t xml:space="preserve">所谓重大偏离是指投标人投标文件中所述设备质量、技术规格、数量、交货期和服务等明显不能满足招标文件要求。</w:t>
      </w:r>
      <w:bookmarkEnd w:id="60"/>
      <w:r>
        <w:rPr>
          <w:rFonts w:hint="eastAsia" w:ascii="宋体" w:hAnsi="宋体" w:cs="宋体"/>
          <w:color w:val="000000"/>
          <w:sz w:val="24"/>
          <w:highlight w:val="none"/>
        </w:rPr>
        <w:t xml:space="preserve">重大偏离的认定须经评标委员会三分之二以上同意。</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28.2澄清有关问题。</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28.2.3</w:t>
      </w:r>
      <w:r>
        <w:rPr>
          <w:rFonts w:hint="eastAsia" w:ascii="宋体" w:hAnsi="宋体" w:cs="宋体"/>
          <w:color w:val="000000"/>
          <w:sz w:val="24"/>
          <w:highlight w:val="none"/>
        </w:rPr>
        <w:t xml:space="preserve">接到评委会澄清、说明和补正要求的投标人如未按规定做出澄清、说明和补正，其风险由投标人自行承担。</w:t>
      </w:r>
      <w:r>
        <w:rPr>
          <w:rFonts w:hint="eastAsia" w:ascii="宋体" w:hAnsi="宋体" w:cs="宋体"/>
          <w:color w:val="000000"/>
          <w:sz w:val="24"/>
          <w:highlight w:val="none"/>
        </w:rPr>
      </w:r>
      <w:r/>
    </w:p>
    <w:p>
      <w:pPr>
        <w:pStyle w:val="884"/>
        <w:ind w:firstLine="60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28.2.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投标文件报价出现前后不一致的，除招标文件另有规定外，按照下列规定修正：</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①投标文件中开标一览表（报价表）内容与投标文件中相应内容不一致的，以开标一览表（报价表）为准；</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②大写金额和小写金额不一致的，以大写金额为准；</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③单价金额小数点或者百分比有明显错位的，以开标一览表的总价为准，并修改单价；</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④总价金额与按单价汇总金额不一致的，以单价金额计算结果为准。</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同时出现两种以上不一致的，按照前款规定的顺序修正。修正后的报价，经投标人确认后产生约束力，投标人不确认的，其投标无效。</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28.4比较。评标委员会将按招标文件中规定的评标方法和标准，对符合性检查合格的投标文件进行商务和技术评比。</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28.5推荐中标候选人。评标委员会按照招标文件中规定的评标方法和标准推荐中标候选人。</w:t>
      </w:r>
      <w:bookmarkStart w:id="61" w:name="EB66024636071342209da8bda483232040"/>
      <w:r>
        <w:rPr>
          <w:rFonts w:hint="eastAsia" w:ascii="宋体" w:hAnsi="宋体" w:cs="宋体"/>
          <w:color w:val="000000"/>
          <w:sz w:val="24"/>
          <w:highlight w:val="none"/>
        </w:rPr>
        <w:t xml:space="preserve"> </w:t>
      </w:r>
      <w:bookmarkEnd w:id="61"/>
      <w:r>
        <w:rPr>
          <w:rFonts w:hint="eastAsia" w:ascii="宋体" w:hAnsi="宋体" w:cs="宋体"/>
          <w:color w:val="000000"/>
          <w:sz w:val="24"/>
          <w:highlight w:val="none"/>
        </w:rPr>
      </w:r>
      <w:r/>
    </w:p>
    <w:p>
      <w:pPr>
        <w:pStyle w:val="884"/>
        <w:numPr>
          <w:ilvl w:val="0"/>
          <w:numId w:val="8"/>
        </w:numPr>
        <w:ind w:firstLine="482"/>
        <w:spacing w:line="500" w:lineRule="exact"/>
        <w:shd w:val="clear" w:color="auto" w:fill="auto"/>
        <w:rPr>
          <w:rFonts w:hint="eastAsia" w:ascii="宋体" w:hAnsi="宋体" w:cs="宋体"/>
          <w:b/>
          <w:bCs/>
          <w:color w:val="000000"/>
          <w:sz w:val="24"/>
          <w:highlight w:val="none"/>
        </w:rPr>
      </w:pPr>
      <w:r/>
      <w:bookmarkStart w:id="62" w:name="EBf6bd108017b14bde8ec3ea4804c87c27"/>
      <w:r>
        <w:rPr>
          <w:rFonts w:hint="eastAsia" w:ascii="宋体" w:hAnsi="宋体" w:cs="宋体"/>
          <w:b/>
          <w:bCs/>
          <w:color w:val="000000"/>
          <w:sz w:val="24"/>
          <w:highlight w:val="none"/>
        </w:rPr>
        <w:t xml:space="preserve">政府采购政策功能落实</w:t>
      </w:r>
      <w:r>
        <w:rPr>
          <w:rFonts w:hint="eastAsia" w:ascii="宋体" w:hAnsi="宋体" w:cs="宋体"/>
          <w:b/>
          <w:bCs/>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bookmarkStart w:id="63" w:name="EBd9bc59d5f2ed4fb8a64ee2e373d8cc72"/>
      <w:r>
        <w:rPr>
          <w:rFonts w:hint="eastAsia" w:ascii="宋体" w:hAnsi="宋体" w:cs="宋体"/>
          <w:color w:val="000000"/>
          <w:sz w:val="24"/>
          <w:highlight w:val="none"/>
        </w:rPr>
        <w:t xml:space="preserve">29.1 政府采购促进中小企业发展，在政府采购活动中，供应商提供的货物、工程或者服务符合下列情形的，享受中小企业扶持政策：</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中小企业供应商参加政府采购活动，应当出具《中小企业声明函》（格式见后附件），否则不得享受相关中小企业扶持政策。</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中小企业，是指在中华人民共和国境内依法设立，依据国务院批准的中小企业划分标准（详见《关于印发中小企业划型标准规定的通知》</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29.5 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29.6 提供的产品属于政府强制采购节能产品的，供应商应当选择依据国家标准中二级能效（水效）指标认证的节能产品投标，并提供有效的节能产品认证证书复印件。</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29.7提供的产品属于环境标志产品的,供应商应当选择依据相关标准的最新版本认证的环境标志产品投标,并提供有效的环境标志产品认证证书复印件。 </w:t>
      </w:r>
      <w:bookmarkEnd w:id="63"/>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29.8进口产品政策</w:t>
      </w:r>
      <w:r>
        <w:rPr>
          <w:rFonts w:hint="eastAsia" w:ascii="宋体" w:hAnsi="宋体" w:cs="宋体"/>
          <w:color w:val="000000"/>
          <w:sz w:val="24"/>
          <w:highlight w:val="none"/>
        </w:rPr>
      </w:r>
      <w:r/>
    </w:p>
    <w:p>
      <w:pPr>
        <w:pStyle w:val="884"/>
        <w:ind w:firstLine="24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 w:val="24"/>
          <w:highlight w:val="none"/>
        </w:rPr>
      </w:r>
      <w:r/>
    </w:p>
    <w:p>
      <w:pPr>
        <w:pStyle w:val="884"/>
        <w:ind w:firstLine="24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（2）允许进口产品参加的，满足需求的国内产品可以参加。</w:t>
      </w:r>
      <w:r>
        <w:rPr>
          <w:rFonts w:hint="eastAsia" w:ascii="宋体" w:hAnsi="宋体" w:cs="宋体"/>
          <w:color w:val="000000"/>
          <w:sz w:val="24"/>
          <w:highlight w:val="none"/>
        </w:rPr>
      </w:r>
      <w:r/>
    </w:p>
    <w:p>
      <w:pPr>
        <w:pStyle w:val="884"/>
        <w:ind w:firstLine="24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（3）允许进口产品参加的，优先采购向我国企业转让技术、与我国企业签订消化吸收再创新方案的供应商的进口产品。</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29.9落实政府采购《商品包装政府采购需求标准(试行)》、《快递包装政府采购需求标准（试行）》（财办库〔2020〕123号〕、《绿色数据中心政府采购需求标准（试行）》（财库〔2023]7号）等需求标准。</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29.9.1 商品包装环保要求：应当按《关于印发〈商品包装政府采购需求标准（试行）〉、〈快递包装政府采购需求标准（试行）〉的通知》（财办库〔2020〕123号）文件执行。</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（1）商品包装层数不得超过3层，空隙率不大于40%；</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（2）商品包装尽可能使用单一材质的包装材料，如因功能需求必需使用不同材质，不同材质间应便于分离；</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（3）商品包装中铅、汞、镉、六价铬的总含量应不大于100mg/kg；</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（4）商品包装印刷使用的油墨中挥发性有机化合物(VOCs)含量应不大于 5%（以重量计）；</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（5）塑料材质商品包装上呈现的印刷颜色不得超过 6 色；</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（6）纸质商品包装应使用 75%以上的可再生纤维原料生产；</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（7）木质商品包装的原料应来源于可持续性森林。</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29.9.2 快递包装环保要求：</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（1）快递包装中重金属（铅、汞、镉、六价铬）总量应不大于 100mg/kg；</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（2）快递包装印刷使用的油墨中不应添加邻苯二甲酸酯，其挥发性有机化合物(VOCs)含量应不大于5%（以重量计）；</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（3）快递包装中使用纸基材的包装材料，纸基材中的有机氯的含量应不大于 150 mg/kg；</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（5）快递中使用的塑料包装袋不得使用聚氯乙烯作为原料，且原料应为单一材质制成，生物分解率大于60%；</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（6）快递中使用的充气类填充物不得使用聚氯乙烯作为 原料，且原料为单一材质制成，生物分解率大于60%；</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（7）快递中使用的集装袋应为单一材质制成，其重复使用次数应不小于 80 次；</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（8）快递中应使用幅宽不大于45mm 的生物降解胶带；</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（9）快递包装中不得使用溶剂型胶粘剂；</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（11）快递应使用电子面单；</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（12）直接使用商品包装作为快递包装的商品，其商品包装满足《商品包装政府采购需求标准（试行）》即可；</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（13）快递包装产品质量和封装方式应符合相关国家或行业标准技术指标要求。</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29.10 绿色低碳管理目标和服务要求：在物业、合同能源管理等服务类采购项目需求中，要强化绿色低碳管理目标和服务要求，促进绿色产品和服务推广应用。</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29.11低挥发性有机化合物产品：</w:t>
      </w:r>
      <w:r>
        <w:rPr>
          <w:rFonts w:hint="eastAsia" w:ascii="宋体" w:hAnsi="宋体" w:cs="宋体"/>
          <w:color w:val="000000"/>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000000"/>
          <w:sz w:val="24"/>
          <w:highlight w:val="none"/>
        </w:rPr>
        <w:t xml:space="preserve">予以评审优惠。</w:t>
      </w:r>
      <w:r>
        <w:rPr>
          <w:rFonts w:hint="eastAsia" w:ascii="宋体" w:hAnsi="宋体" w:cs="宋体"/>
          <w:color w:val="000000"/>
          <w:sz w:val="24"/>
          <w:highlight w:val="none"/>
          <w:lang w:val="zh-CN"/>
        </w:rPr>
        <w:t xml:space="preserve">在通用类货物、家具、印刷、公务车辆维修等采购项目中，供应商</w:t>
      </w:r>
      <w:r>
        <w:rPr>
          <w:rFonts w:hint="eastAsia" w:ascii="宋体" w:hAnsi="宋体" w:cs="宋体"/>
          <w:color w:val="000000"/>
          <w:sz w:val="24"/>
          <w:highlight w:val="none"/>
        </w:rPr>
        <w:t xml:space="preserve">应</w:t>
      </w:r>
      <w:r>
        <w:rPr>
          <w:rFonts w:hint="eastAsia" w:ascii="宋体" w:hAnsi="宋体" w:cs="宋体"/>
          <w:color w:val="000000"/>
          <w:sz w:val="24"/>
          <w:highlight w:val="none"/>
          <w:lang w:val="zh-CN"/>
        </w:rPr>
        <w:t xml:space="preserve">优先使用低挥发性原辅材料</w:t>
      </w:r>
      <w:r>
        <w:rPr>
          <w:rFonts w:hint="eastAsia" w:ascii="宋体" w:hAnsi="宋体" w:cs="宋体"/>
          <w:color w:val="000000"/>
          <w:sz w:val="24"/>
          <w:highlight w:val="none"/>
        </w:rPr>
        <w:t xml:space="preserve">，将使用低</w:t>
      </w:r>
      <w:r>
        <w:rPr>
          <w:rFonts w:hint="eastAsia" w:ascii="宋体" w:hAnsi="宋体" w:cs="宋体"/>
          <w:color w:val="000000"/>
          <w:sz w:val="24"/>
          <w:highlight w:val="none"/>
          <w:lang w:val="zh-CN"/>
        </w:rPr>
        <w:t xml:space="preserve">VOCs含量的</w:t>
      </w:r>
      <w:r>
        <w:rPr>
          <w:rFonts w:hint="eastAsia" w:ascii="宋体" w:hAnsi="宋体" w:cs="宋体"/>
          <w:color w:val="000000"/>
          <w:sz w:val="24"/>
          <w:highlight w:val="none"/>
        </w:rPr>
        <w:t xml:space="preserve">涂料、</w:t>
      </w:r>
      <w:r>
        <w:rPr>
          <w:rFonts w:hint="eastAsia" w:ascii="宋体" w:hAnsi="宋体" w:cs="宋体"/>
          <w:color w:val="000000"/>
          <w:sz w:val="24"/>
          <w:highlight w:val="none"/>
          <w:lang w:val="zh-CN"/>
        </w:rPr>
        <w:t xml:space="preserve">胶黏剂</w:t>
      </w:r>
      <w:r>
        <w:rPr>
          <w:rFonts w:hint="eastAsia" w:ascii="宋体" w:hAnsi="宋体" w:cs="宋体"/>
          <w:color w:val="000000"/>
          <w:sz w:val="24"/>
          <w:highlight w:val="none"/>
        </w:rPr>
        <w:t xml:space="preserve">等纳入合同条款。</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29.12落实政府采购《绿色建筑和绿色建材政府采购需求标准》（财库〔2022〕35号文）和《政府采购支持绿色建材促进建筑品质提升政策项目实施指南》（财办库〔2023〕52号）文件标准。</w:t>
      </w:r>
      <w:r>
        <w:rPr>
          <w:rFonts w:hint="eastAsia" w:ascii="宋体" w:hAnsi="宋体" w:cs="宋体"/>
          <w:color w:val="000000"/>
          <w:sz w:val="24"/>
          <w:highlight w:val="none"/>
        </w:rPr>
      </w:r>
      <w:r/>
    </w:p>
    <w:p>
      <w:pPr>
        <w:pStyle w:val="884"/>
        <w:ind w:firstLine="480"/>
        <w:spacing w:line="5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ascii="宋体" w:hAnsi="宋体" w:cs="宋体"/>
          <w:color w:val="000000"/>
          <w:sz w:val="24"/>
          <w:highlight w:val="none"/>
        </w:rPr>
      </w:r>
      <w:r/>
    </w:p>
    <w:p>
      <w:pPr>
        <w:pStyle w:val="884"/>
        <w:ind w:firstLine="480"/>
        <w:spacing w:line="5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29.14未按要求提供相关材料的，不享受相关政策。</w:t>
      </w:r>
      <w:r>
        <w:rPr>
          <w:rFonts w:ascii="宋体" w:hAnsi="宋体" w:cs="宋体"/>
          <w:color w:val="000000"/>
          <w:sz w:val="24"/>
          <w:highlight w:val="none"/>
        </w:rPr>
      </w:r>
      <w:r/>
    </w:p>
    <w:p>
      <w:pPr>
        <w:pStyle w:val="1293"/>
        <w:shd w:val="clear" w:color="auto" w:fill="auto"/>
        <w:rPr>
          <w:rFonts w:hint="eastAsia" w:ascii="宋体" w:hAnsi="宋体" w:eastAsia="宋体" w:cs="宋体"/>
          <w:color w:val="000000"/>
          <w:highlight w:val="none"/>
        </w:rPr>
        <w:outlineLvl w:val="1"/>
      </w:pPr>
      <w:r/>
      <w:bookmarkStart w:id="64" w:name="_Toc9744"/>
      <w:r/>
      <w:bookmarkStart w:id="65" w:name="_Toc81493168"/>
      <w:r/>
      <w:bookmarkStart w:id="66" w:name="_Toc514054478"/>
      <w:r>
        <w:rPr>
          <w:rFonts w:hint="eastAsia" w:ascii="宋体" w:hAnsi="宋体" w:eastAsia="宋体" w:cs="宋体"/>
          <w:color w:val="000000"/>
          <w:highlight w:val="none"/>
        </w:rPr>
        <w:t xml:space="preserve">七、中标及合同签订</w:t>
      </w:r>
      <w:bookmarkEnd w:id="64"/>
      <w:r/>
      <w:bookmarkEnd w:id="65"/>
      <w:r/>
      <w:bookmarkEnd w:id="66"/>
      <w:r>
        <w:rPr>
          <w:rFonts w:hint="eastAsia" w:ascii="宋体" w:hAnsi="宋体" w:eastAsia="宋体" w:cs="宋体"/>
          <w:color w:val="000000"/>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30、标后审查</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bookmarkStart w:id="67" w:name="EB17cdacdfdd1244abbb73389fe0bfffe7"/>
      <w:r>
        <w:rPr>
          <w:rFonts w:hint="eastAsia" w:ascii="宋体" w:hAnsi="宋体" w:cs="宋体"/>
          <w:color w:val="000000"/>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67"/>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31、确定中标人</w:t>
      </w:r>
      <w:r>
        <w:rPr>
          <w:rFonts w:hint="eastAsia" w:ascii="宋体" w:hAnsi="宋体" w:cs="宋体"/>
          <w:b/>
          <w:color w:val="000000"/>
          <w:sz w:val="24"/>
          <w:highlight w:val="none"/>
        </w:rPr>
      </w:r>
      <w:r/>
    </w:p>
    <w:p>
      <w:pPr>
        <w:pStyle w:val="884"/>
        <w:ind w:firstLine="480"/>
        <w:spacing w:line="5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rPr>
          <w:rFonts w:ascii="宋体" w:hAnsi="宋体" w:cs="宋体"/>
          <w:color w:val="000000"/>
          <w:sz w:val="24"/>
          <w:highlight w:val="none"/>
        </w:rPr>
      </w:r>
      <w:r/>
    </w:p>
    <w:p>
      <w:pPr>
        <w:pStyle w:val="884"/>
        <w:ind w:firstLine="480"/>
        <w:spacing w:line="5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31.2 在中标结果公告届满之前，中标人被列为失信被执行人的，取消其中标资格，并重新确定中标人。</w:t>
      </w:r>
      <w:r>
        <w:rPr>
          <w:rFonts w:ascii="宋体" w:hAnsi="宋体" w:cs="宋体"/>
          <w:color w:val="000000"/>
          <w:sz w:val="24"/>
          <w:highlight w:val="none"/>
        </w:rPr>
      </w:r>
      <w:r/>
    </w:p>
    <w:p>
      <w:pPr>
        <w:pStyle w:val="884"/>
        <w:ind w:firstLine="480"/>
        <w:spacing w:line="5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31.3采购人不得通过对样品进行检测、对供应商进行考察等方式改变评审结果。</w:t>
      </w:r>
      <w:r>
        <w:rPr>
          <w:rFonts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32、中标通知书</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32.1中标结果在财政部门指定信息媒体上发布公告，招标代理机构将向中标人发出中标通知书。</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32.2中标人应及时到招标代理机构领取中标通知书，中标通知书是签订合同的依据和组成部分。</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33、签订合同</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rPr>
          <w:rFonts w:hint="eastAsia" w:ascii="宋体" w:hAnsi="宋体" w:cs="宋体"/>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33.2中标人无正当理由未在规定时间内与采购人签订合同的，采购人有权建议取消其中标资格，监管部门将对其依法处理。</w:t>
      </w:r>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34、履约保证金</w:t>
      </w:r>
      <w:r>
        <w:rPr>
          <w:rFonts w:hint="eastAsia" w:ascii="宋体" w:hAnsi="宋体" w:cs="宋体"/>
          <w:b/>
          <w:color w:val="000000"/>
          <w:sz w:val="24"/>
          <w:highlight w:val="none"/>
        </w:rPr>
      </w:r>
      <w:r/>
    </w:p>
    <w:p>
      <w:pPr>
        <w:pStyle w:val="884"/>
        <w:ind w:firstLine="480"/>
        <w:shd w:val="clear" w:color="auto" w:fill="auto"/>
        <w:rPr>
          <w:rFonts w:hint="eastAsia" w:ascii="宋体" w:hAnsi="宋体" w:cs="宋体"/>
          <w:color w:val="000000"/>
          <w:sz w:val="24"/>
          <w:szCs w:val="24"/>
          <w:highlight w:val="none"/>
        </w:rPr>
      </w:pPr>
      <w:r/>
      <w:bookmarkStart w:id="68" w:name="EB3094b551b51c42ca93e0255d679fb06f"/>
      <w:r>
        <w:rPr>
          <w:rFonts w:hint="eastAsia" w:ascii="宋体" w:hAnsi="宋体" w:cs="宋体"/>
          <w:color w:val="000000"/>
          <w:sz w:val="24"/>
          <w:szCs w:val="24"/>
          <w:highlight w:val="none"/>
        </w:rPr>
        <w:t xml:space="preserve">见前附表。 </w:t>
      </w:r>
      <w:bookmarkEnd w:id="68"/>
      <w:r/>
      <w:bookmarkStart w:id="69" w:name="EB0d6067c6e00d44b1ad5603550c455e87"/>
      <w:r>
        <w:rPr>
          <w:rFonts w:hint="eastAsia" w:ascii="宋体" w:hAnsi="宋体" w:cs="宋体"/>
          <w:color w:val="000000"/>
          <w:sz w:val="24"/>
          <w:szCs w:val="24"/>
          <w:highlight w:val="none"/>
        </w:rPr>
        <w:t xml:space="preserve"> </w:t>
      </w:r>
      <w:bookmarkEnd w:id="69"/>
      <w:r>
        <w:rPr>
          <w:rFonts w:hint="eastAsia" w:ascii="宋体" w:hAnsi="宋体" w:cs="宋体"/>
          <w:color w:val="000000"/>
          <w:sz w:val="24"/>
          <w:szCs w:val="24"/>
          <w:highlight w:val="none"/>
        </w:rPr>
      </w:r>
      <w:r/>
    </w:p>
    <w:p>
      <w:pPr>
        <w:pStyle w:val="1293"/>
        <w:shd w:val="clear" w:color="auto" w:fill="auto"/>
        <w:rPr>
          <w:rFonts w:hint="eastAsia" w:ascii="宋体" w:hAnsi="宋体" w:eastAsia="宋体" w:cs="宋体"/>
          <w:color w:val="000000"/>
          <w:highlight w:val="none"/>
        </w:rPr>
        <w:outlineLvl w:val="1"/>
      </w:pPr>
      <w:r/>
      <w:bookmarkStart w:id="70" w:name="_Toc25599"/>
      <w:r/>
      <w:bookmarkStart w:id="71" w:name="_Toc514054479"/>
      <w:r/>
      <w:bookmarkStart w:id="72" w:name="_Toc81493169"/>
      <w:r>
        <w:rPr>
          <w:rFonts w:hint="eastAsia" w:ascii="宋体" w:hAnsi="宋体" w:eastAsia="宋体" w:cs="宋体"/>
          <w:color w:val="000000"/>
          <w:highlight w:val="none"/>
        </w:rPr>
        <w:t xml:space="preserve">八、验收及付款</w:t>
      </w:r>
      <w:bookmarkEnd w:id="70"/>
      <w:r/>
      <w:bookmarkEnd w:id="71"/>
      <w:r/>
      <w:bookmarkEnd w:id="72"/>
      <w:r>
        <w:rPr>
          <w:rFonts w:hint="eastAsia" w:ascii="宋体" w:hAnsi="宋体" w:eastAsia="宋体" w:cs="宋体"/>
          <w:color w:val="000000"/>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35、验收</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bookmarkStart w:id="73" w:name="EBbbb2492ed6b84c9193a6bb6f72a512f3"/>
      <w:r>
        <w:rPr>
          <w:rFonts w:hint="eastAsia" w:ascii="宋体" w:hAnsi="宋体" w:cs="宋体"/>
          <w:color w:val="000000"/>
          <w:sz w:val="24"/>
          <w:highlight w:val="none"/>
        </w:rPr>
        <w:t xml:space="preserve">35.1由采购人组织验收，中标人配合。</w:t>
      </w:r>
      <w:bookmarkEnd w:id="73"/>
      <w:r>
        <w:rPr>
          <w:rFonts w:hint="eastAsia" w:ascii="宋体" w:hAnsi="宋体" w:cs="宋体"/>
          <w:color w:val="000000"/>
          <w:sz w:val="24"/>
          <w:highlight w:val="none"/>
        </w:rPr>
      </w:r>
      <w:r/>
    </w:p>
    <w:p>
      <w:pPr>
        <w:pStyle w:val="884"/>
        <w:ind w:firstLine="482"/>
        <w:spacing w:line="5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36、付款</w:t>
      </w:r>
      <w:r>
        <w:rPr>
          <w:rFonts w:hint="eastAsia" w:ascii="宋体" w:hAnsi="宋体" w:cs="宋体"/>
          <w:b/>
          <w:color w:val="000000"/>
          <w:sz w:val="24"/>
          <w:highlight w:val="none"/>
        </w:rPr>
      </w:r>
      <w:r/>
    </w:p>
    <w:p>
      <w:pPr>
        <w:pStyle w:val="884"/>
        <w:ind w:firstLine="480"/>
        <w:spacing w:line="500" w:lineRule="exact"/>
        <w:shd w:val="clear" w:color="auto" w:fill="auto"/>
        <w:rPr>
          <w:rFonts w:hint="eastAsia" w:ascii="宋体" w:hAnsi="宋体" w:cs="宋体"/>
          <w:color w:val="000000"/>
          <w:sz w:val="24"/>
          <w:highlight w:val="none"/>
        </w:rPr>
      </w:pPr>
      <w:r/>
      <w:bookmarkStart w:id="74" w:name="EBf0da31fab3a04ad0893de83144a87b34"/>
      <w:r>
        <w:rPr>
          <w:rFonts w:hint="eastAsia" w:ascii="宋体" w:hAnsi="宋体" w:cs="宋体"/>
          <w:color w:val="000000"/>
          <w:sz w:val="24"/>
          <w:highlight w:val="none"/>
        </w:rPr>
        <w:t xml:space="preserve">36.1</w:t>
      </w:r>
      <w:bookmarkEnd w:id="74"/>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采购人</w:t>
      </w:r>
      <w:r>
        <w:rPr>
          <w:rFonts w:hint="eastAsia" w:ascii="宋体" w:hAnsi="宋体" w:cs="宋体"/>
          <w:color w:val="000000"/>
          <w:sz w:val="24"/>
          <w:highlight w:val="none"/>
        </w:rPr>
        <w:t xml:space="preserve">按招标文件要求办理采购款支付手续。</w:t>
      </w:r>
      <w:r>
        <w:rPr>
          <w:rFonts w:hint="eastAsia" w:ascii="宋体" w:hAnsi="宋体" w:cs="宋体"/>
          <w:color w:val="000000"/>
          <w:sz w:val="24"/>
          <w:highlight w:val="none"/>
        </w:rPr>
      </w:r>
      <w:r/>
    </w:p>
    <w:p>
      <w:pPr>
        <w:pStyle w:val="1293"/>
        <w:shd w:val="clear" w:color="auto" w:fill="auto"/>
        <w:rPr>
          <w:rFonts w:hint="eastAsia" w:ascii="宋体" w:hAnsi="宋体" w:eastAsia="宋体" w:cs="宋体"/>
          <w:color w:val="000000"/>
          <w:highlight w:val="none"/>
        </w:rPr>
        <w:outlineLvl w:val="1"/>
      </w:pPr>
      <w:r/>
      <w:bookmarkStart w:id="75" w:name="_Toc514054480"/>
      <w:r/>
      <w:bookmarkStart w:id="76" w:name="_Toc10945"/>
      <w:r/>
      <w:bookmarkStart w:id="77" w:name="_Toc81493170"/>
      <w:r>
        <w:rPr>
          <w:rFonts w:hint="eastAsia" w:ascii="宋体" w:hAnsi="宋体" w:eastAsia="宋体" w:cs="宋体"/>
          <w:color w:val="000000"/>
          <w:highlight w:val="none"/>
        </w:rPr>
        <w:t xml:space="preserve">九、质疑与投诉</w:t>
      </w:r>
      <w:bookmarkEnd w:id="75"/>
      <w:r/>
      <w:bookmarkEnd w:id="76"/>
      <w:r/>
      <w:bookmarkEnd w:id="77"/>
      <w:r>
        <w:rPr>
          <w:rFonts w:hint="eastAsia" w:ascii="宋体" w:hAnsi="宋体" w:eastAsia="宋体" w:cs="宋体"/>
          <w:color w:val="000000"/>
          <w:highlight w:val="none"/>
        </w:rPr>
      </w:r>
      <w:r/>
    </w:p>
    <w:p>
      <w:pPr>
        <w:pStyle w:val="884"/>
        <w:ind w:firstLine="422"/>
        <w:spacing w:line="500" w:lineRule="exact"/>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37、质疑与投诉</w:t>
      </w:r>
      <w:r>
        <w:rPr>
          <w:rFonts w:hint="eastAsia" w:ascii="宋体" w:hAnsi="宋体" w:cs="宋体"/>
          <w:b/>
          <w:color w:val="000000"/>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37.2供应商应知其权益受到损害之日，是指：</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（1）对本项目采购文件提出质疑的，采购文件公告期限届满之日；</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（2）对本项目采购过程提出质疑的，为各采购程序环节结束之日；</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（3）对本项目中标或者成交结果提出质疑的，为中标或者成交结果公告期限届满之日。</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37.4供应商提出质疑应当提交质疑函和必要的证明材料。质疑函的必备内容：</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（1）供应商的姓名或者名称、地址、邮编、联系人及联系电话；</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（3）具体、明确的质疑事项和质疑事项相关的请求；</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（7）供应商为自然人的，由本人签字；供应商为法人或者其他组织的，应当由法定代表人、主要负责人，或者其授权代表签字或者盖章，并加盖公章。</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37.5以联合体形式参加政府采购活动的，其质疑应当由组成联合体的所有供应商共同提出。</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37.7采购人、采购代理机构在收到质疑函后7个工作日内作出答复，并以书面形式通知质疑供应商和其他有关供应商，但质疑答复的内容不涉及商业秘密。</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rPr>
          <w:rFonts w:hint="eastAsia" w:ascii="宋体" w:hAnsi="宋体" w:cs="宋体"/>
          <w:color w:val="000000"/>
          <w:sz w:val="24"/>
          <w:szCs w:val="24"/>
          <w:highlight w:val="none"/>
        </w:rPr>
      </w:r>
      <w:r/>
    </w:p>
    <w:p>
      <w:pPr>
        <w:pStyle w:val="884"/>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37.9供应商捏造事实、提供虚假材料或者以非法手段取得证明材料进行投诉的，由财政部门列入不良行为记录名单，禁止其1至3年内参加政府采购活动。 </w:t>
      </w:r>
      <w:bookmarkEnd w:id="62"/>
      <w:r>
        <w:rPr>
          <w:rFonts w:hint="eastAsia" w:ascii="宋体" w:hAnsi="宋体" w:cs="宋体"/>
          <w:color w:val="000000"/>
          <w:sz w:val="24"/>
          <w:szCs w:val="24"/>
          <w:highlight w:val="none"/>
        </w:rPr>
      </w:r>
      <w:r/>
    </w:p>
    <w:p>
      <w:pPr>
        <w:pStyle w:val="1293"/>
        <w:shd w:val="clear" w:color="auto" w:fill="auto"/>
        <w:rPr>
          <w:rFonts w:hint="eastAsia" w:ascii="宋体" w:hAnsi="宋体" w:eastAsia="宋体" w:cs="宋体"/>
          <w:b/>
          <w:color w:val="000000"/>
          <w:highlight w:val="none"/>
        </w:rPr>
        <w:outlineLvl w:val="1"/>
      </w:pPr>
      <w:r/>
      <w:bookmarkStart w:id="78" w:name="_Toc513029242"/>
      <w:r/>
      <w:bookmarkStart w:id="79" w:name="_Toc479757207"/>
      <w:r/>
      <w:bookmarkStart w:id="80" w:name="_Toc20823314"/>
      <w:r/>
      <w:bookmarkStart w:id="81" w:name="_Toc16938558"/>
      <w:r/>
      <w:bookmarkStart w:id="82" w:name="_Toc120614221"/>
      <w:r>
        <w:rPr>
          <w:rFonts w:hint="eastAsia" w:ascii="宋体" w:hAnsi="宋体" w:eastAsia="宋体" w:cs="宋体"/>
          <w:b/>
          <w:color w:val="000000"/>
          <w:highlight w:val="none"/>
          <w:lang w:val="en-US" w:eastAsia="zh-CN"/>
        </w:rPr>
        <w:t xml:space="preserve">十、</w:t>
      </w:r>
      <w:r>
        <w:rPr>
          <w:rFonts w:hint="eastAsia" w:ascii="宋体" w:hAnsi="宋体" w:eastAsia="宋体" w:cs="宋体"/>
          <w:b/>
          <w:color w:val="000000"/>
          <w:highlight w:val="none"/>
        </w:rPr>
        <w:t xml:space="preserve">政府采购履约资金扶持政策</w:t>
      </w:r>
      <w:bookmarkEnd w:id="78"/>
      <w:r/>
      <w:bookmarkEnd w:id="79"/>
      <w:r/>
      <w:bookmarkEnd w:id="80"/>
      <w:r/>
      <w:bookmarkEnd w:id="81"/>
      <w:r/>
      <w:bookmarkEnd w:id="82"/>
      <w:r>
        <w:rPr>
          <w:rFonts w:hint="eastAsia" w:ascii="宋体" w:hAnsi="宋体" w:eastAsia="宋体" w:cs="宋体"/>
          <w:b/>
          <w:color w:val="000000"/>
          <w:highlight w:val="none"/>
        </w:rPr>
      </w:r>
      <w:r/>
    </w:p>
    <w:p>
      <w:pPr>
        <w:pStyle w:val="906"/>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中标人可凭政府采购合同办理融资贷款，详情请见江苏政府采购网“政采贷”专栏。</w:t>
      </w:r>
      <w:r>
        <w:rPr>
          <w:rFonts w:hint="eastAsia" w:ascii="宋体" w:hAnsi="宋体" w:eastAsia="宋体" w:cs="宋体"/>
          <w:color w:val="000000"/>
          <w:sz w:val="24"/>
          <w:szCs w:val="24"/>
          <w:highlight w:val="none"/>
          <w:lang w:val="en-US" w:eastAsia="zh-CN" w:bidi="ar-SA"/>
        </w:rPr>
      </w:r>
      <w:r/>
    </w:p>
    <w:p>
      <w:pPr>
        <w:pStyle w:val="884"/>
        <w:ind w:firstLine="480"/>
        <w:spacing w:line="52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 </w:t>
      </w:r>
      <w:r>
        <w:rPr>
          <w:rFonts w:hint="eastAsia" w:ascii="宋体" w:hAnsi="宋体" w:eastAsia="宋体"/>
          <w:color w:val="000000"/>
          <w:sz w:val="24"/>
          <w:highlight w:val="none"/>
        </w:rPr>
      </w:r>
      <w:r/>
    </w:p>
    <w:p>
      <w:pPr>
        <w:pStyle w:val="884"/>
        <w:jc w:val="center"/>
        <w:shd w:val="clear" w:color="auto" w:fill="auto"/>
        <w:rPr>
          <w:rFonts w:hint="eastAsia"/>
          <w:b/>
          <w:color w:val="000000"/>
          <w:sz w:val="44"/>
          <w:szCs w:val="44"/>
          <w:highlight w:val="none"/>
        </w:rPr>
        <w:outlineLvl w:val="0"/>
      </w:pPr>
      <w:r>
        <w:rPr>
          <w:rFonts w:hint="eastAsia"/>
          <w:b/>
          <w:color w:val="000000"/>
          <w:sz w:val="44"/>
          <w:szCs w:val="44"/>
          <w:highlight w:val="none"/>
        </w:rPr>
        <w:br w:type="page" w:clear="all"/>
      </w:r>
      <w:bookmarkStart w:id="83" w:name="_Toc22015"/>
      <w:r>
        <w:rPr>
          <w:rFonts w:hint="eastAsia"/>
          <w:b/>
          <w:color w:val="000000"/>
          <w:sz w:val="44"/>
          <w:szCs w:val="44"/>
          <w:highlight w:val="none"/>
        </w:rPr>
        <w:t xml:space="preserve">第三部分  </w:t>
      </w:r>
      <w:bookmarkEnd w:id="83"/>
      <w:r>
        <w:rPr>
          <w:rFonts w:hint="eastAsia"/>
          <w:b/>
          <w:color w:val="000000"/>
          <w:sz w:val="44"/>
          <w:szCs w:val="44"/>
          <w:highlight w:val="none"/>
        </w:rPr>
        <w:t xml:space="preserve">评标方法和标准</w:t>
      </w:r>
      <w:r>
        <w:rPr>
          <w:rFonts w:hint="eastAsia"/>
          <w:b/>
          <w:color w:val="000000"/>
          <w:sz w:val="44"/>
          <w:szCs w:val="44"/>
          <w:highlight w:val="none"/>
        </w:rPr>
      </w:r>
      <w:r/>
    </w:p>
    <w:p>
      <w:pPr>
        <w:pStyle w:val="884"/>
        <w:ind w:firstLine="643"/>
        <w:spacing w:before="156" w:after="156"/>
        <w:shd w:val="clear" w:color="auto" w:fill="auto"/>
        <w:rPr>
          <w:b/>
          <w:color w:val="000000"/>
          <w:sz w:val="32"/>
          <w:szCs w:val="32"/>
          <w:highlight w:val="none"/>
        </w:rPr>
        <w:outlineLvl w:val="1"/>
      </w:pPr>
      <w:r/>
      <w:bookmarkStart w:id="84" w:name="_Toc4647"/>
      <w:r/>
      <w:bookmarkStart w:id="85" w:name="_Toc24217_WPSOffice_Level2"/>
      <w:r>
        <w:rPr>
          <w:rFonts w:hint="eastAsia"/>
          <w:b/>
          <w:color w:val="000000"/>
          <w:sz w:val="32"/>
          <w:szCs w:val="32"/>
          <w:highlight w:val="none"/>
        </w:rPr>
        <w:t xml:space="preserve">一、资格审查</w:t>
      </w:r>
      <w:bookmarkEnd w:id="84"/>
      <w:r/>
      <w:bookmarkEnd w:id="85"/>
      <w:r>
        <w:rPr>
          <w:b/>
          <w:color w:val="000000"/>
          <w:sz w:val="32"/>
          <w:szCs w:val="32"/>
          <w:highlight w:val="none"/>
        </w:rPr>
      </w:r>
      <w:r/>
    </w:p>
    <w:p>
      <w:pPr>
        <w:pStyle w:val="884"/>
        <w:ind w:firstLine="4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采购人按照下列指标对各投标人的资格进行审查，未通过审查的为无效标，不参与评标。</w:t>
      </w:r>
      <w:r>
        <w:rPr>
          <w:rFonts w:hint="eastAsia" w:ascii="宋体" w:hAnsi="宋体" w:cs="宋体"/>
          <w:color w:val="000000"/>
          <w:sz w:val="24"/>
          <w:highlight w:val="none"/>
        </w:rPr>
      </w:r>
      <w:r/>
    </w:p>
    <w:tbl>
      <w:tblPr>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pStyle w:val="88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资格审查因素</w:t>
            </w:r>
            <w:r>
              <w:rPr>
                <w:rFonts w:hint="eastAsia" w:ascii="宋体" w:hAnsi="宋体" w:cs="宋体"/>
                <w:color w:val="000000"/>
                <w:highlight w:val="none"/>
              </w:rPr>
            </w:r>
            <w:r/>
          </w:p>
        </w:tc>
        <w:tc>
          <w:tcPr>
            <w:tcW w:w="4335" w:type="dxa"/>
            <w:vAlign w:val="center"/>
            <w:textDirection w:val="lrTb"/>
            <w:noWrap w:val="false"/>
          </w:tcPr>
          <w:p>
            <w:pPr>
              <w:pStyle w:val="88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审查标准</w:t>
            </w:r>
            <w:r>
              <w:rPr>
                <w:rFonts w:hint="eastAsia" w:ascii="宋体" w:hAnsi="宋体" w:cs="宋体"/>
                <w:color w:val="000000"/>
                <w:highlight w:val="none"/>
              </w:rPr>
            </w:r>
            <w:r/>
          </w:p>
        </w:tc>
      </w:tr>
      <w:tr>
        <w:trPr>
          <w:trHeight w:val="288"/>
        </w:trPr>
        <w:tc>
          <w:tcPr>
            <w:tcW w:w="4828"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Arial"/>
                <w:bCs/>
                <w:color w:val="000000"/>
                <w:highlight w:val="none"/>
              </w:rPr>
              <w:t xml:space="preserve">具有独立承担民事责任的能力</w:t>
            </w:r>
            <w:r>
              <w:rPr>
                <w:rFonts w:hint="eastAsia" w:ascii="宋体" w:hAnsi="宋体" w:cs="宋体"/>
                <w:color w:val="000000"/>
                <w:highlight w:val="none"/>
              </w:rPr>
            </w:r>
            <w:r/>
          </w:p>
        </w:tc>
        <w:tc>
          <w:tcPr>
            <w:tcW w:w="4335" w:type="dxa"/>
            <w:vAlign w:val="center"/>
            <w:vMerge w:val="restart"/>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符合招标文件第11条“投标文件构成”的要求</w:t>
            </w:r>
            <w:r>
              <w:rPr>
                <w:rFonts w:hint="eastAsia" w:ascii="宋体" w:hAnsi="宋体" w:cs="宋体"/>
                <w:color w:val="000000"/>
                <w:highlight w:val="none"/>
              </w:rPr>
            </w:r>
            <w:r/>
          </w:p>
        </w:tc>
      </w:tr>
      <w:tr>
        <w:trPr/>
        <w:tc>
          <w:tcPr>
            <w:tcW w:w="4828"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Arial"/>
                <w:bCs/>
                <w:color w:val="000000"/>
                <w:highlight w:val="none"/>
              </w:rPr>
              <w:t xml:space="preserve">具有良好的商业信誉和健全的财务会计制度</w:t>
            </w:r>
            <w:r>
              <w:rPr>
                <w:rFonts w:hint="eastAsia" w:ascii="宋体" w:hAnsi="宋体" w:cs="宋体"/>
                <w:color w:val="000000"/>
                <w:highlight w:val="none"/>
              </w:rPr>
            </w:r>
            <w:r/>
          </w:p>
        </w:tc>
        <w:tc>
          <w:tcPr>
            <w:tcW w:w="4335" w:type="dxa"/>
            <w:vAlign w:val="center"/>
            <w:vMerge w:val="continue"/>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Arial"/>
                <w:bCs/>
                <w:color w:val="000000"/>
                <w:highlight w:val="none"/>
              </w:rPr>
              <w:t xml:space="preserve">具有履行合同所必需的设备和专业技术能力</w:t>
            </w:r>
            <w:r>
              <w:rPr>
                <w:rFonts w:hint="eastAsia" w:ascii="宋体" w:hAnsi="宋体" w:cs="宋体"/>
                <w:color w:val="000000"/>
                <w:highlight w:val="none"/>
              </w:rPr>
            </w:r>
            <w:r/>
          </w:p>
        </w:tc>
        <w:tc>
          <w:tcPr>
            <w:tcW w:w="4335" w:type="dxa"/>
            <w:vAlign w:val="center"/>
            <w:vMerge w:val="continue"/>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Arial"/>
                <w:bCs/>
                <w:color w:val="000000"/>
                <w:highlight w:val="none"/>
              </w:rPr>
              <w:t xml:space="preserve">有依法缴纳税收和社会保障资金的良好记录</w:t>
            </w:r>
            <w:r>
              <w:rPr>
                <w:rFonts w:hint="eastAsia" w:ascii="宋体" w:hAnsi="宋体" w:cs="宋体"/>
                <w:color w:val="000000"/>
                <w:highlight w:val="none"/>
              </w:rPr>
            </w:r>
            <w:r/>
          </w:p>
        </w:tc>
        <w:tc>
          <w:tcPr>
            <w:tcW w:w="4335" w:type="dxa"/>
            <w:vAlign w:val="center"/>
            <w:vMerge w:val="continue"/>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312"/>
        </w:trPr>
        <w:tc>
          <w:tcPr>
            <w:tcW w:w="4828"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无重大违法行为声明</w:t>
            </w:r>
            <w:r>
              <w:rPr>
                <w:rFonts w:hint="eastAsia" w:ascii="宋体" w:hAnsi="宋体" w:cs="宋体"/>
                <w:color w:val="000000"/>
                <w:highlight w:val="none"/>
              </w:rPr>
            </w:r>
            <w:r/>
          </w:p>
        </w:tc>
        <w:tc>
          <w:tcPr>
            <w:tcW w:w="4335" w:type="dxa"/>
            <w:vAlign w:val="center"/>
            <w:vMerge w:val="continue"/>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287"/>
        </w:trPr>
        <w:tc>
          <w:tcPr>
            <w:tcW w:w="4828"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法律、行政法规规定的其他条件</w:t>
            </w:r>
            <w:r>
              <w:rPr>
                <w:rFonts w:hint="eastAsia" w:ascii="宋体" w:hAnsi="宋体" w:cs="宋体"/>
                <w:color w:val="000000"/>
                <w:highlight w:val="none"/>
              </w:rPr>
            </w:r>
            <w:r/>
          </w:p>
        </w:tc>
        <w:tc>
          <w:tcPr>
            <w:tcW w:w="4335" w:type="dxa"/>
            <w:vAlign w:val="center"/>
            <w:vMerge w:val="continue"/>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W w:w="4828" w:type="dxa"/>
            <w:vAlign w:val="center"/>
            <w:textDirection w:val="lrTb"/>
            <w:noWrap w:val="false"/>
          </w:tcPr>
          <w:p>
            <w:pPr>
              <w:pStyle w:val="884"/>
              <w:jc w:val="left"/>
              <w:shd w:val="clear" w:color="auto" w:fill="auto"/>
              <w:rPr>
                <w:rFonts w:ascii="宋体" w:hAnsi="宋体" w:cs="宋体"/>
                <w:color w:val="000000"/>
                <w:highlight w:val="none"/>
              </w:rPr>
            </w:pPr>
            <w:r>
              <w:rPr>
                <w:rFonts w:hint="eastAsia" w:ascii="宋体" w:hAnsi="宋体" w:cs="宋体"/>
                <w:color w:val="000000"/>
                <w:highlight w:val="none"/>
              </w:rPr>
              <w:t xml:space="preserve">信用信息</w:t>
            </w:r>
            <w:r>
              <w:rPr>
                <w:rFonts w:ascii="宋体" w:hAnsi="宋体" w:cs="宋体"/>
                <w:color w:val="000000"/>
                <w:highlight w:val="none"/>
              </w:rPr>
            </w:r>
            <w:r/>
          </w:p>
        </w:tc>
        <w:tc>
          <w:tcPr>
            <w:tcW w:w="4335" w:type="dxa"/>
            <w:vAlign w:val="center"/>
            <w:vMerge w:val="continue"/>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投标人的关联性要求</w:t>
            </w:r>
            <w:r>
              <w:rPr>
                <w:rFonts w:hint="eastAsia" w:ascii="宋体" w:hAnsi="宋体" w:cs="宋体"/>
                <w:color w:val="000000"/>
                <w:highlight w:val="none"/>
              </w:rPr>
            </w:r>
            <w:r/>
          </w:p>
        </w:tc>
        <w:tc>
          <w:tcPr>
            <w:tcW w:w="4335"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符合招标文件规定</w:t>
            </w:r>
            <w:r>
              <w:rPr>
                <w:rFonts w:hint="eastAsia" w:ascii="宋体" w:hAnsi="宋体" w:cs="宋体"/>
                <w:color w:val="000000"/>
                <w:highlight w:val="none"/>
              </w:rPr>
            </w:r>
            <w:r/>
          </w:p>
        </w:tc>
      </w:tr>
      <w:tr>
        <w:trPr>
          <w:trHeight w:val="90"/>
        </w:trPr>
        <w:tc>
          <w:tcPr>
            <w:tcW w:w="4828"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未提供进口产品（不允许采购进口产品时适用）</w:t>
            </w:r>
            <w:r>
              <w:rPr>
                <w:rFonts w:hint="eastAsia" w:ascii="宋体" w:hAnsi="宋体" w:cs="宋体"/>
                <w:color w:val="000000"/>
                <w:highlight w:val="none"/>
              </w:rPr>
            </w:r>
            <w:r/>
          </w:p>
        </w:tc>
        <w:tc>
          <w:tcPr>
            <w:tcW w:w="4335"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符合招标文件规定</w:t>
            </w:r>
            <w:r>
              <w:rPr>
                <w:rFonts w:hint="eastAsia" w:ascii="宋体" w:hAnsi="宋体" w:cs="宋体"/>
                <w:color w:val="000000"/>
                <w:highlight w:val="none"/>
              </w:rPr>
            </w:r>
            <w:r/>
          </w:p>
        </w:tc>
      </w:tr>
      <w:tr>
        <w:trPr/>
        <w:tc>
          <w:tcPr>
            <w:tcW w:w="4828"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符合联合体规定</w:t>
            </w:r>
            <w:r>
              <w:rPr>
                <w:rFonts w:hint="eastAsia" w:ascii="宋体" w:hAnsi="宋体" w:cs="宋体"/>
                <w:color w:val="000000"/>
                <w:highlight w:val="none"/>
              </w:rPr>
            </w:r>
            <w:r/>
          </w:p>
        </w:tc>
        <w:tc>
          <w:tcPr>
            <w:tcW w:w="4335"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符合招标文件规定</w:t>
            </w:r>
            <w:r>
              <w:rPr>
                <w:rFonts w:hint="eastAsia" w:ascii="宋体" w:hAnsi="宋体" w:cs="宋体"/>
                <w:color w:val="000000"/>
                <w:highlight w:val="none"/>
              </w:rPr>
            </w:r>
            <w:r/>
          </w:p>
        </w:tc>
      </w:tr>
      <w:tr>
        <w:trPr/>
        <w:tc>
          <w:tcPr>
            <w:tcW w:w="4828" w:type="dxa"/>
            <w:vAlign w:val="center"/>
            <w:textDirection w:val="lrTb"/>
            <w:noWrap w:val="false"/>
          </w:tcPr>
          <w:p>
            <w:pPr>
              <w:pStyle w:val="884"/>
              <w:jc w:val="left"/>
              <w:shd w:val="clear" w:color="auto" w:fill="auto"/>
              <w:rPr>
                <w:rFonts w:ascii="宋体" w:hAnsi="宋体" w:cs="宋体"/>
                <w:color w:val="000000"/>
                <w:highlight w:val="none"/>
              </w:rPr>
            </w:pPr>
            <w:r>
              <w:rPr>
                <w:rFonts w:hint="eastAsia" w:ascii="宋体" w:hAnsi="宋体" w:cs="宋体"/>
                <w:color w:val="000000"/>
                <w:highlight w:val="none"/>
              </w:rPr>
              <w:t xml:space="preserve">特定资格要求</w:t>
            </w:r>
            <w:r>
              <w:rPr>
                <w:rFonts w:ascii="宋体" w:hAnsi="宋体" w:cs="宋体"/>
                <w:color w:val="000000"/>
                <w:highlight w:val="none"/>
              </w:rPr>
            </w:r>
            <w:r/>
          </w:p>
        </w:tc>
        <w:tc>
          <w:tcPr>
            <w:tcW w:w="4335"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符合招标文件规定</w:t>
            </w:r>
            <w:r>
              <w:rPr>
                <w:rFonts w:hint="eastAsia" w:ascii="宋体" w:hAnsi="宋体" w:cs="宋体"/>
                <w:color w:val="000000"/>
                <w:highlight w:val="none"/>
              </w:rPr>
            </w:r>
            <w:r/>
          </w:p>
        </w:tc>
      </w:tr>
    </w:tbl>
    <w:p>
      <w:pPr>
        <w:pStyle w:val="884"/>
        <w:ind w:firstLine="643"/>
        <w:spacing w:before="156" w:after="156"/>
        <w:shd w:val="clear" w:color="auto" w:fill="auto"/>
        <w:rPr>
          <w:rFonts w:hint="eastAsia"/>
          <w:b/>
          <w:color w:val="000000"/>
          <w:sz w:val="32"/>
          <w:szCs w:val="32"/>
          <w:highlight w:val="none"/>
        </w:rPr>
        <w:outlineLvl w:val="1"/>
      </w:pPr>
      <w:r>
        <w:rPr>
          <w:rFonts w:hint="eastAsia"/>
          <w:b/>
          <w:color w:val="000000"/>
          <w:sz w:val="32"/>
          <w:szCs w:val="32"/>
          <w:highlight w:val="none"/>
        </w:rPr>
        <w:t xml:space="preserve">二、符合性审查</w:t>
      </w:r>
      <w:r>
        <w:rPr>
          <w:rFonts w:hint="eastAsia"/>
          <w:b/>
          <w:color w:val="000000"/>
          <w:sz w:val="32"/>
          <w:szCs w:val="32"/>
          <w:highlight w:val="none"/>
        </w:rPr>
      </w:r>
      <w:r/>
    </w:p>
    <w:p>
      <w:pPr>
        <w:pStyle w:val="884"/>
        <w:ind w:firstLine="4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符合性审查是指依据招标文件的规定，从商务和技术角度对投标文件的有效性和完整性进行审查，以确定是否对招标文件的实质性要求做出响应。</w:t>
      </w:r>
      <w:r>
        <w:rPr>
          <w:rFonts w:hint="eastAsia" w:ascii="宋体" w:hAnsi="宋体" w:cs="宋体"/>
          <w:color w:val="000000"/>
          <w:sz w:val="24"/>
          <w:highlight w:val="none"/>
        </w:rPr>
      </w:r>
      <w:r/>
    </w:p>
    <w:p>
      <w:pPr>
        <w:pStyle w:val="884"/>
        <w:ind w:firstLine="4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未通过审查的为无效标，不再参与评审。</w:t>
      </w:r>
      <w:r>
        <w:rPr>
          <w:rFonts w:hint="eastAsia" w:ascii="宋体" w:hAnsi="宋体" w:cs="宋体"/>
          <w:color w:val="000000"/>
          <w:sz w:val="24"/>
          <w:highlight w:val="none"/>
        </w:rPr>
      </w:r>
      <w:r/>
    </w:p>
    <w:tbl>
      <w:tblPr>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pStyle w:val="88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符合性审查因素</w:t>
            </w:r>
            <w:r>
              <w:rPr>
                <w:rFonts w:hint="eastAsia" w:ascii="宋体" w:hAnsi="宋体" w:cs="宋体"/>
                <w:color w:val="000000"/>
                <w:highlight w:val="none"/>
              </w:rPr>
            </w:r>
            <w:r/>
          </w:p>
        </w:tc>
        <w:tc>
          <w:tcPr>
            <w:tcW w:w="5032" w:type="dxa"/>
            <w:vAlign w:val="center"/>
            <w:textDirection w:val="lrTb"/>
            <w:noWrap w:val="false"/>
          </w:tcPr>
          <w:p>
            <w:pPr>
              <w:pStyle w:val="884"/>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审查标准</w:t>
            </w:r>
            <w:r>
              <w:rPr>
                <w:rFonts w:hint="eastAsia" w:ascii="宋体" w:hAnsi="宋体" w:cs="宋体"/>
                <w:color w:val="000000"/>
                <w:highlight w:val="none"/>
              </w:rPr>
            </w:r>
            <w:r/>
          </w:p>
        </w:tc>
      </w:tr>
      <w:tr>
        <w:trPr>
          <w:trHeight w:val="90"/>
        </w:trPr>
        <w:tc>
          <w:tcPr>
            <w:tcW w:w="4140"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投标函</w:t>
            </w:r>
            <w:r>
              <w:rPr>
                <w:rFonts w:hint="eastAsia" w:ascii="宋体" w:hAnsi="宋体" w:cs="宋体"/>
                <w:color w:val="000000"/>
                <w:highlight w:val="none"/>
              </w:rPr>
            </w:r>
            <w:r/>
          </w:p>
        </w:tc>
        <w:tc>
          <w:tcPr>
            <w:tcW w:w="5032"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符合招标文件的要求</w:t>
            </w:r>
            <w:r>
              <w:rPr>
                <w:rFonts w:hint="eastAsia" w:ascii="宋体" w:hAnsi="宋体" w:cs="宋体"/>
                <w:color w:val="000000"/>
                <w:highlight w:val="none"/>
              </w:rPr>
            </w:r>
            <w:r/>
          </w:p>
        </w:tc>
      </w:tr>
      <w:tr>
        <w:trPr>
          <w:trHeight w:val="287"/>
        </w:trPr>
        <w:tc>
          <w:tcPr>
            <w:tcW w:w="4140"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法定代表人身份证明或授权委托书</w:t>
            </w:r>
            <w:r>
              <w:rPr>
                <w:rFonts w:hint="eastAsia" w:ascii="宋体" w:hAnsi="宋体" w:cs="宋体"/>
                <w:color w:val="000000"/>
                <w:highlight w:val="none"/>
              </w:rPr>
            </w:r>
            <w:r/>
          </w:p>
        </w:tc>
        <w:tc>
          <w:tcPr>
            <w:tcW w:w="5032"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符合招标文件的要求</w:t>
            </w:r>
            <w:r>
              <w:rPr>
                <w:rFonts w:hint="eastAsia" w:ascii="宋体" w:hAnsi="宋体" w:cs="宋体"/>
                <w:color w:val="000000"/>
                <w:highlight w:val="none"/>
              </w:rPr>
            </w:r>
            <w:r/>
          </w:p>
        </w:tc>
      </w:tr>
      <w:tr>
        <w:trPr>
          <w:trHeight w:val="287"/>
        </w:trPr>
        <w:tc>
          <w:tcPr>
            <w:tcW w:w="4140"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签署和盖章符合要求</w:t>
            </w:r>
            <w:r>
              <w:rPr>
                <w:rFonts w:hint="eastAsia" w:ascii="宋体" w:hAnsi="宋体" w:cs="宋体"/>
                <w:color w:val="000000"/>
                <w:highlight w:val="none"/>
              </w:rPr>
            </w:r>
            <w:r/>
          </w:p>
        </w:tc>
        <w:tc>
          <w:tcPr>
            <w:tcW w:w="5032"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符合招标文件规定</w:t>
            </w:r>
            <w:r>
              <w:rPr>
                <w:rFonts w:hint="eastAsia" w:ascii="宋体" w:hAnsi="宋体" w:cs="宋体"/>
                <w:color w:val="000000"/>
                <w:highlight w:val="none"/>
              </w:rPr>
            </w:r>
            <w:r/>
          </w:p>
        </w:tc>
      </w:tr>
      <w:tr>
        <w:trPr/>
        <w:tc>
          <w:tcPr>
            <w:tcW w:w="4140"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开标一览表及投标报价 </w:t>
            </w:r>
            <w:r>
              <w:rPr>
                <w:rFonts w:hint="eastAsia" w:ascii="宋体" w:hAnsi="宋体" w:cs="宋体"/>
                <w:color w:val="000000"/>
                <w:highlight w:val="none"/>
              </w:rPr>
            </w:r>
            <w:r/>
          </w:p>
        </w:tc>
        <w:tc>
          <w:tcPr>
            <w:tcW w:w="5032"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格式、填写要求符合招标文件规定（报价未超过预算或最高限价）</w:t>
            </w:r>
            <w:r>
              <w:rPr>
                <w:rFonts w:hint="eastAsia" w:ascii="宋体" w:hAnsi="宋体" w:cs="宋体"/>
                <w:color w:val="000000"/>
                <w:highlight w:val="none"/>
              </w:rPr>
            </w:r>
            <w:r/>
          </w:p>
        </w:tc>
      </w:tr>
      <w:tr>
        <w:trPr/>
        <w:tc>
          <w:tcPr>
            <w:tcW w:w="4140" w:type="dxa"/>
            <w:vAlign w:val="center"/>
            <w:textDirection w:val="lrTb"/>
            <w:noWrap w:val="false"/>
          </w:tcPr>
          <w:p>
            <w:pPr>
              <w:pStyle w:val="884"/>
              <w:jc w:val="left"/>
              <w:shd w:val="clear" w:color="auto" w:fill="auto"/>
              <w:rPr>
                <w:rFonts w:ascii="宋体" w:hAnsi="宋体" w:cs="宋体"/>
                <w:color w:val="000000"/>
                <w:highlight w:val="none"/>
              </w:rPr>
            </w:pPr>
            <w:r>
              <w:rPr>
                <w:rFonts w:hint="eastAsia" w:ascii="宋体" w:hAnsi="宋体" w:cs="宋体"/>
                <w:color w:val="000000"/>
                <w:highlight w:val="none"/>
              </w:rPr>
              <w:t xml:space="preserve">投标文件对招标文件的实质性条款的响应性</w:t>
            </w:r>
            <w:r>
              <w:rPr>
                <w:rFonts w:ascii="宋体" w:hAnsi="宋体" w:cs="宋体"/>
                <w:color w:val="000000"/>
                <w:highlight w:val="none"/>
              </w:rPr>
            </w:r>
            <w:r/>
          </w:p>
        </w:tc>
        <w:tc>
          <w:tcPr>
            <w:tcW w:w="5032" w:type="dxa"/>
            <w:vAlign w:val="center"/>
            <w:textDirection w:val="lrTb"/>
            <w:noWrap w:val="false"/>
          </w:tcPr>
          <w:p>
            <w:pPr>
              <w:pStyle w:val="884"/>
              <w:jc w:val="left"/>
              <w:shd w:val="clear" w:color="auto" w:fill="auto"/>
              <w:rPr>
                <w:rFonts w:hint="eastAsia" w:ascii="宋体" w:hAnsi="宋体" w:cs="宋体"/>
                <w:color w:val="000000"/>
                <w:highlight w:val="none"/>
              </w:rPr>
            </w:pPr>
            <w:r>
              <w:rPr>
                <w:rFonts w:hint="eastAsia" w:ascii="宋体" w:hAnsi="宋体" w:cs="宋体"/>
                <w:color w:val="000000"/>
                <w:highlight w:val="none"/>
              </w:rPr>
              <w:t xml:space="preserve">符合招标文件规定</w:t>
            </w:r>
            <w:r>
              <w:rPr>
                <w:rFonts w:hint="eastAsia" w:ascii="宋体" w:hAnsi="宋体" w:cs="宋体"/>
                <w:color w:val="000000"/>
                <w:highlight w:val="none"/>
              </w:rPr>
            </w:r>
            <w:r/>
          </w:p>
        </w:tc>
      </w:tr>
    </w:tbl>
    <w:p>
      <w:pPr>
        <w:pStyle w:val="884"/>
        <w:shd w:val="clear" w:color="auto" w:fill="auto"/>
        <w:rPr>
          <w:rFonts w:hint="eastAsia" w:ascii="宋体" w:hAnsi="宋体" w:cs="宋体"/>
          <w:b/>
          <w:color w:val="000000"/>
          <w:sz w:val="32"/>
          <w:szCs w:val="32"/>
          <w:highlight w:val="none"/>
        </w:rPr>
        <w:outlineLvl w:val="1"/>
      </w:pPr>
      <w:r>
        <w:rPr>
          <w:rFonts w:hint="eastAsia" w:ascii="宋体" w:hAnsi="宋体" w:cs="宋体"/>
          <w:color w:val="000000"/>
          <w:sz w:val="20"/>
          <w:highlight w:val="none"/>
        </w:rPr>
        <w:t xml:space="preserve">  </w:t>
      </w:r>
      <w:bookmarkStart w:id="86" w:name="_Toc11959"/>
      <w:r>
        <w:rPr>
          <w:rFonts w:hint="eastAsia" w:ascii="宋体" w:hAnsi="宋体" w:cs="宋体"/>
          <w:color w:val="000000"/>
          <w:sz w:val="20"/>
          <w:highlight w:val="none"/>
        </w:rPr>
        <w:t xml:space="preserve">   </w:t>
      </w:r>
      <w:r>
        <w:rPr>
          <w:rFonts w:hint="eastAsia" w:ascii="宋体" w:hAnsi="宋体" w:cs="宋体"/>
          <w:b/>
          <w:color w:val="000000"/>
          <w:sz w:val="32"/>
          <w:szCs w:val="32"/>
          <w:highlight w:val="none"/>
        </w:rPr>
        <w:t xml:space="preserve">三、评分办法—综合评分法</w:t>
      </w:r>
      <w:bookmarkEnd w:id="86"/>
      <w:r>
        <w:rPr>
          <w:rFonts w:hint="eastAsia" w:ascii="宋体" w:hAnsi="宋体" w:cs="宋体"/>
          <w:b/>
          <w:color w:val="000000"/>
          <w:sz w:val="32"/>
          <w:szCs w:val="32"/>
          <w:highlight w:val="none"/>
        </w:rPr>
      </w:r>
      <w:r/>
    </w:p>
    <w:p>
      <w:pPr>
        <w:pStyle w:val="884"/>
        <w:ind w:firstLine="480"/>
        <w:jc w:val="left"/>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rPr>
          <w:rFonts w:hint="eastAsia" w:ascii="宋体" w:hAnsi="宋体" w:cs="宋体"/>
          <w:color w:val="000000"/>
          <w:sz w:val="24"/>
          <w:highlight w:val="none"/>
        </w:rPr>
      </w:r>
      <w:r/>
    </w:p>
    <w:p>
      <w:pPr>
        <w:pStyle w:val="884"/>
        <w:ind w:firstLine="480"/>
        <w:jc w:val="left"/>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cs="宋体"/>
          <w:color w:val="000000"/>
          <w:sz w:val="24"/>
          <w:highlight w:val="none"/>
        </w:rPr>
      </w:r>
      <w:r/>
    </w:p>
    <w:p>
      <w:pPr>
        <w:pStyle w:val="884"/>
        <w:ind w:firstLine="480"/>
        <w:jc w:val="left"/>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综合评分保留至小数点后两位。 </w:t>
      </w:r>
      <w:r>
        <w:rPr>
          <w:rFonts w:hint="eastAsia" w:ascii="宋体" w:hAnsi="宋体" w:cs="宋体"/>
          <w:color w:val="000000"/>
          <w:sz w:val="24"/>
          <w:highlight w:val="none"/>
        </w:rPr>
      </w:r>
      <w:r/>
    </w:p>
    <w:p>
      <w:pPr>
        <w:pStyle w:val="884"/>
        <w:numPr>
          <w:ilvl w:val="0"/>
          <w:numId w:val="9"/>
        </w:numPr>
        <w:ind w:firstLine="480"/>
        <w:jc w:val="left"/>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详细评审。评标委员会按照招标文件规定的评分标准，对各投标文件进行详细评审打分。评标委员会组长对各评审专家的打分情况进行复核无误后汇总，形成评审报告。</w:t>
      </w:r>
      <w:r>
        <w:rPr>
          <w:rFonts w:hint="eastAsia" w:ascii="宋体" w:hAnsi="宋体" w:cs="宋体"/>
          <w:color w:val="000000"/>
          <w:sz w:val="24"/>
          <w:highlight w:val="none"/>
        </w:rPr>
      </w:r>
      <w:r/>
    </w:p>
    <w:tbl>
      <w:tblPr>
        <w:tblW w:w="4992" w:type="pct"/>
        <w:jc w:val="center"/>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726"/>
        <w:gridCol w:w="746"/>
        <w:gridCol w:w="6810"/>
        <w:gridCol w:w="805"/>
      </w:tblGrid>
      <w:tr>
        <w:trPr/>
        <w:tc>
          <w:tcPr>
            <w:shd w:val="clear" w:color="auto" w:fill="ffffff"/>
            <w:tcW w:w="429" w:type="dxa"/>
            <w:vAlign w:val="center"/>
            <w:textDirection w:val="lrTb"/>
            <w:noWrap w:val="false"/>
          </w:tcPr>
          <w:p>
            <w:pPr>
              <w:pStyle w:val="884"/>
              <w:jc w:val="center"/>
              <w:widowControl/>
              <w:rPr>
                <w:rFonts w:hint="eastAsia" w:ascii="宋体" w:hAnsi="宋体" w:eastAsia="宋体" w:cs="宋体"/>
                <w:b/>
                <w:bCs/>
                <w:color w:val="000000"/>
                <w:szCs w:val="21"/>
                <w:highlight w:val="none"/>
                <w:lang w:eastAsia="en-US"/>
              </w:rPr>
            </w:pPr>
            <w:r>
              <w:rPr>
                <w:rFonts w:hint="eastAsia" w:ascii="宋体" w:hAnsi="宋体" w:eastAsia="宋体" w:cs="宋体"/>
                <w:b/>
                <w:bCs/>
                <w:color w:val="000000"/>
                <w:szCs w:val="21"/>
                <w:highlight w:val="none"/>
                <w:lang w:eastAsia="en-US"/>
              </w:rPr>
              <w:t xml:space="preserve">评审</w:t>
            </w:r>
            <w:r>
              <w:rPr>
                <w:rFonts w:hint="eastAsia" w:ascii="宋体" w:hAnsi="宋体" w:eastAsia="宋体" w:cs="宋体"/>
                <w:b/>
                <w:bCs/>
                <w:color w:val="000000"/>
                <w:szCs w:val="21"/>
                <w:highlight w:val="none"/>
                <w:lang w:eastAsia="en-US"/>
              </w:rPr>
            </w:r>
            <w:r/>
          </w:p>
          <w:p>
            <w:pPr>
              <w:pStyle w:val="884"/>
              <w:jc w:val="center"/>
              <w:widowControl/>
              <w:rPr>
                <w:rFonts w:hint="eastAsia" w:ascii="宋体" w:hAnsi="宋体" w:eastAsia="宋体" w:cs="宋体"/>
                <w:b/>
                <w:bCs/>
                <w:color w:val="000000"/>
                <w:szCs w:val="21"/>
                <w:highlight w:val="none"/>
                <w:lang w:eastAsia="en-US"/>
              </w:rPr>
            </w:pPr>
            <w:r>
              <w:rPr>
                <w:rFonts w:hint="eastAsia" w:ascii="宋体" w:hAnsi="宋体" w:eastAsia="宋体" w:cs="宋体"/>
                <w:b/>
                <w:bCs/>
                <w:color w:val="000000"/>
                <w:szCs w:val="21"/>
                <w:highlight w:val="none"/>
                <w:lang w:eastAsia="en-US"/>
              </w:rPr>
              <w:t xml:space="preserve">因素</w:t>
            </w:r>
            <w:r>
              <w:rPr>
                <w:rFonts w:hint="eastAsia" w:ascii="宋体" w:hAnsi="宋体" w:eastAsia="宋体" w:cs="宋体"/>
                <w:b/>
                <w:bCs/>
                <w:color w:val="000000"/>
                <w:szCs w:val="21"/>
                <w:highlight w:val="none"/>
                <w:lang w:eastAsia="en-US"/>
              </w:rPr>
            </w:r>
            <w:r/>
          </w:p>
        </w:tc>
        <w:tc>
          <w:tcPr>
            <w:shd w:val="clear" w:color="auto" w:fill="ffffff"/>
            <w:tcW w:w="365" w:type="dxa"/>
            <w:vAlign w:val="center"/>
            <w:textDirection w:val="lrTb"/>
            <w:noWrap w:val="false"/>
          </w:tcPr>
          <w:p>
            <w:pPr>
              <w:pStyle w:val="884"/>
              <w:jc w:val="center"/>
              <w:widowControl/>
              <w:rPr>
                <w:rFonts w:hint="eastAsia" w:ascii="宋体" w:hAnsi="宋体" w:eastAsia="宋体" w:cs="宋体"/>
                <w:b/>
                <w:bCs/>
                <w:color w:val="000000"/>
                <w:szCs w:val="21"/>
                <w:highlight w:val="none"/>
                <w:lang w:eastAsia="en-US"/>
              </w:rPr>
            </w:pPr>
            <w:r>
              <w:rPr>
                <w:rFonts w:hint="eastAsia" w:ascii="宋体" w:hAnsi="宋体" w:eastAsia="宋体" w:cs="宋体"/>
                <w:b/>
                <w:bCs/>
                <w:color w:val="000000"/>
                <w:szCs w:val="21"/>
                <w:highlight w:val="none"/>
                <w:lang w:eastAsia="en-US"/>
              </w:rPr>
              <w:t xml:space="preserve">序号</w:t>
            </w:r>
            <w:r>
              <w:rPr>
                <w:rFonts w:hint="eastAsia" w:ascii="宋体" w:hAnsi="宋体" w:eastAsia="宋体" w:cs="宋体"/>
                <w:b/>
                <w:bCs/>
                <w:color w:val="000000"/>
                <w:szCs w:val="21"/>
                <w:highlight w:val="none"/>
                <w:lang w:eastAsia="en-US"/>
              </w:rPr>
            </w:r>
            <w:r/>
          </w:p>
        </w:tc>
        <w:tc>
          <w:tcPr>
            <w:gridSpan w:val="2"/>
            <w:shd w:val="clear" w:color="auto" w:fill="ffffff"/>
            <w:tcW w:w="7556" w:type="dxa"/>
            <w:vAlign w:val="center"/>
            <w:textDirection w:val="lrTb"/>
            <w:noWrap w:val="false"/>
          </w:tcPr>
          <w:p>
            <w:pPr>
              <w:pStyle w:val="884"/>
              <w:jc w:val="center"/>
              <w:widowControl/>
              <w:rPr>
                <w:rFonts w:hint="eastAsia" w:ascii="宋体" w:hAnsi="宋体" w:eastAsia="宋体" w:cs="宋体"/>
                <w:b/>
                <w:bCs/>
                <w:color w:val="000000"/>
                <w:szCs w:val="21"/>
                <w:highlight w:val="none"/>
                <w:lang w:eastAsia="en-US"/>
              </w:rPr>
            </w:pPr>
            <w:r>
              <w:rPr>
                <w:rFonts w:hint="eastAsia" w:ascii="宋体" w:hAnsi="宋体" w:eastAsia="宋体" w:cs="宋体"/>
                <w:b/>
                <w:bCs/>
                <w:color w:val="000000"/>
                <w:szCs w:val="21"/>
                <w:highlight w:val="none"/>
                <w:lang w:eastAsia="en-US"/>
              </w:rPr>
              <w:t xml:space="preserve">评分标准</w:t>
            </w:r>
            <w:r>
              <w:rPr>
                <w:rFonts w:hint="eastAsia" w:ascii="宋体" w:hAnsi="宋体" w:eastAsia="宋体" w:cs="宋体"/>
                <w:b/>
                <w:bCs/>
                <w:color w:val="000000"/>
                <w:szCs w:val="21"/>
                <w:highlight w:val="none"/>
                <w:lang w:eastAsia="en-US"/>
              </w:rPr>
            </w:r>
            <w:r/>
          </w:p>
        </w:tc>
        <w:tc>
          <w:tcPr>
            <w:shd w:val="clear" w:color="auto" w:fill="ffffff"/>
            <w:tcW w:w="405" w:type="dxa"/>
            <w:vAlign w:val="center"/>
            <w:textDirection w:val="lrTb"/>
            <w:noWrap w:val="false"/>
          </w:tcPr>
          <w:p>
            <w:pPr>
              <w:pStyle w:val="884"/>
              <w:jc w:val="center"/>
              <w:widowControl/>
              <w:rPr>
                <w:rFonts w:hint="eastAsia" w:ascii="宋体" w:hAnsi="宋体" w:eastAsia="宋体" w:cs="宋体"/>
                <w:b/>
                <w:bCs/>
                <w:color w:val="000000"/>
                <w:szCs w:val="21"/>
                <w:highlight w:val="none"/>
                <w:lang w:eastAsia="en-US"/>
              </w:rPr>
            </w:pPr>
            <w:r>
              <w:rPr>
                <w:rFonts w:hint="eastAsia" w:ascii="宋体" w:hAnsi="宋体" w:eastAsia="宋体" w:cs="宋体"/>
                <w:b/>
                <w:bCs/>
                <w:color w:val="000000"/>
                <w:szCs w:val="21"/>
                <w:highlight w:val="none"/>
                <w:lang w:eastAsia="en-US"/>
              </w:rPr>
              <w:t xml:space="preserve">分值</w:t>
            </w:r>
            <w:r>
              <w:rPr>
                <w:rFonts w:hint="eastAsia" w:ascii="宋体" w:hAnsi="宋体" w:eastAsia="宋体" w:cs="宋体"/>
                <w:b/>
                <w:bCs/>
                <w:color w:val="000000"/>
                <w:szCs w:val="21"/>
                <w:highlight w:val="none"/>
                <w:lang w:eastAsia="en-US"/>
              </w:rPr>
            </w:r>
            <w:r/>
          </w:p>
          <w:p>
            <w:pPr>
              <w:pStyle w:val="884"/>
              <w:ind w:firstLine="0"/>
              <w:jc w:val="center"/>
              <w:spacing w:line="240" w:lineRule="auto"/>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bCs/>
                <w:color w:val="000000"/>
                <w:sz w:val="21"/>
                <w:szCs w:val="21"/>
                <w:highlight w:val="none"/>
                <w:lang w:val="en-US" w:eastAsia="en-US" w:bidi="ar-SA"/>
              </w:rPr>
              <w:t xml:space="preserve">（分）</w:t>
            </w:r>
            <w:r>
              <w:rPr>
                <w:rFonts w:hint="eastAsia" w:ascii="宋体" w:hAnsi="宋体" w:eastAsia="宋体" w:cs="宋体"/>
                <w:b/>
                <w:bCs/>
                <w:color w:val="000000"/>
                <w:sz w:val="21"/>
                <w:szCs w:val="21"/>
                <w:highlight w:val="none"/>
                <w:lang w:val="en-US" w:eastAsia="en-US" w:bidi="ar-SA"/>
              </w:rPr>
            </w:r>
            <w:r/>
          </w:p>
        </w:tc>
      </w:tr>
      <w:tr>
        <w:trPr/>
        <w:tc>
          <w:tcPr>
            <w:tcW w:w="429"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报价</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部分</w:t>
            </w:r>
            <w:r>
              <w:rPr>
                <w:rFonts w:hint="eastAsia" w:ascii="宋体" w:hAnsi="宋体" w:eastAsia="宋体" w:cs="宋体"/>
                <w:color w:val="000000"/>
                <w:szCs w:val="21"/>
                <w:highlight w:val="none"/>
                <w:lang w:eastAsia="en-US"/>
              </w:rPr>
            </w:r>
            <w:r/>
          </w:p>
        </w:tc>
        <w:tc>
          <w:tcPr>
            <w:tcW w:w="36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1</w:t>
            </w:r>
            <w:r>
              <w:rPr>
                <w:rFonts w:hint="eastAsia" w:ascii="宋体" w:hAnsi="宋体" w:eastAsia="宋体" w:cs="宋体"/>
                <w:color w:val="000000"/>
                <w:szCs w:val="21"/>
                <w:highlight w:val="none"/>
                <w:lang w:eastAsia="en-US"/>
              </w:rPr>
            </w:r>
            <w:r/>
          </w:p>
        </w:tc>
        <w:tc>
          <w:tcPr>
            <w:gridSpan w:val="2"/>
            <w:tcW w:w="7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采用低价优先法计算，满足招标文件要求且投标价格最低的投标报价为评标基准价，其价格分为满分30分。其他投标人的价格分统一按照下列公式计算：投标报价得分= (评标基准价／投标报价)×30。</w:t>
            </w:r>
            <w:r>
              <w:rPr>
                <w:sz w:val="22"/>
              </w:rPr>
            </w:r>
            <w:r/>
          </w:p>
        </w:tc>
        <w:tc>
          <w:tcPr>
            <w:tcW w:w="40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30</w:t>
            </w:r>
            <w:r>
              <w:rPr>
                <w:rFonts w:hint="eastAsia" w:ascii="宋体" w:hAnsi="宋体" w:eastAsia="宋体" w:cs="宋体"/>
                <w:color w:val="000000"/>
                <w:szCs w:val="21"/>
                <w:highlight w:val="none"/>
                <w:lang w:eastAsia="en-US"/>
              </w:rPr>
            </w:r>
            <w:r/>
          </w:p>
        </w:tc>
      </w:tr>
      <w:tr>
        <w:trPr>
          <w:trHeight w:val="90"/>
        </w:trPr>
        <w:tc>
          <w:tcPr>
            <w:tcW w:w="429" w:type="dxa"/>
            <w:vAlign w:val="center"/>
            <w:vMerge w:val="restart"/>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技术</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部分</w:t>
            </w:r>
            <w:r>
              <w:rPr>
                <w:rFonts w:hint="eastAsia" w:ascii="宋体" w:hAnsi="宋体" w:eastAsia="宋体" w:cs="宋体"/>
                <w:color w:val="000000"/>
                <w:szCs w:val="21"/>
                <w:highlight w:val="none"/>
                <w:lang w:eastAsia="en-US"/>
              </w:rPr>
            </w:r>
            <w:r/>
          </w:p>
        </w:tc>
        <w:tc>
          <w:tcPr>
            <w:tcW w:w="36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2</w:t>
            </w:r>
            <w:r>
              <w:rPr>
                <w:rFonts w:hint="eastAsia" w:ascii="宋体" w:hAnsi="宋体" w:eastAsia="宋体" w:cs="宋体"/>
                <w:color w:val="000000"/>
                <w:szCs w:val="21"/>
                <w:highlight w:val="none"/>
                <w:lang w:eastAsia="en-US"/>
              </w:rPr>
            </w:r>
            <w:r/>
          </w:p>
        </w:tc>
        <w:tc>
          <w:tcPr>
            <w:tcW w:w="37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技术</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性能</w:t>
            </w:r>
            <w:r>
              <w:rPr>
                <w:rFonts w:hint="eastAsia" w:ascii="宋体" w:hAnsi="宋体" w:eastAsia="宋体" w:cs="宋体"/>
                <w:color w:val="000000"/>
                <w:szCs w:val="21"/>
                <w:highlight w:val="none"/>
                <w:lang w:eastAsia="en-US"/>
              </w:rPr>
            </w:r>
            <w:r/>
          </w:p>
        </w:tc>
        <w:tc>
          <w:tcPr>
            <w:tcW w:w="3424" w:type="dxa"/>
            <w:vAlign w:val="center"/>
            <w:textDirection w:val="lrTb"/>
            <w:noWrap w:val="false"/>
          </w:tcPr>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所投产品的技术参数、性能、质量等完全满足采购文件的得28分。参数中标注“★”的为实质性参数，不满足为无效响应；参数中标注“▲”的为重要参数，每一项不满足为负偏离扣2分；其他为一般参数，每一项不满足为负偏离扣1分，扣完为止。严重负偏离且影响产品性能的，经半数以上评委认定，本项不得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参数中标注“★”与“▲”的参数均需要提供相应的证明材料，否则视为不满足。</w:t>
            </w:r>
            <w:r>
              <w:rPr>
                <w:rFonts w:hint="eastAsia" w:ascii="宋体" w:hAnsi="宋体" w:eastAsia="宋体" w:cs="宋体"/>
                <w:color w:val="000000"/>
                <w:sz w:val="21"/>
                <w:szCs w:val="21"/>
                <w:highlight w:val="none"/>
                <w:lang w:val="en-US" w:eastAsia="zh-CN" w:bidi="ar-SA"/>
              </w:rPr>
            </w:r>
            <w:r/>
          </w:p>
        </w:tc>
        <w:tc>
          <w:tcPr>
            <w:tcW w:w="405" w:type="dxa"/>
            <w:vAlign w:val="center"/>
            <w:textDirection w:val="lrTb"/>
            <w:noWrap w:val="false"/>
          </w:tcPr>
          <w:p>
            <w:pPr>
              <w:pStyle w:val="884"/>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28</w:t>
            </w:r>
            <w:r>
              <w:rPr>
                <w:rFonts w:hint="eastAsia" w:ascii="宋体" w:hAnsi="宋体" w:eastAsia="宋体" w:cs="宋体"/>
                <w:color w:val="000000"/>
                <w:szCs w:val="21"/>
                <w:highlight w:val="none"/>
                <w:lang w:eastAsia="zh-CN"/>
              </w:rPr>
            </w:r>
            <w:r/>
          </w:p>
        </w:tc>
      </w:tr>
      <w:tr>
        <w:trPr/>
        <w:tc>
          <w:tcPr>
            <w:tcW w:w="429" w:type="dxa"/>
            <w:vAlign w:val="center"/>
            <w:vMerge w:val="continue"/>
            <w:textDirection w:val="lrTb"/>
            <w:noWrap w:val="false"/>
          </w:tcPr>
          <w:p>
            <w:pPr>
              <w:pStyle w:val="884"/>
              <w:ind w:firstLine="0"/>
              <w:spacing w:line="24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36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3</w:t>
            </w:r>
            <w:r>
              <w:rPr>
                <w:rFonts w:hint="eastAsia" w:ascii="宋体" w:hAnsi="宋体" w:eastAsia="宋体" w:cs="宋体"/>
                <w:color w:val="000000"/>
                <w:szCs w:val="21"/>
                <w:highlight w:val="none"/>
                <w:lang w:eastAsia="en-US"/>
              </w:rPr>
            </w:r>
            <w:r/>
          </w:p>
        </w:tc>
        <w:tc>
          <w:tcPr>
            <w:tcW w:w="37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项目</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组织</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实施</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方案</w:t>
            </w:r>
            <w:r>
              <w:rPr>
                <w:rFonts w:hint="eastAsia" w:ascii="宋体" w:hAnsi="宋体" w:eastAsia="宋体" w:cs="宋体"/>
                <w:color w:val="000000"/>
                <w:szCs w:val="21"/>
                <w:highlight w:val="none"/>
                <w:lang w:eastAsia="en-US"/>
              </w:rPr>
            </w:r>
            <w:r/>
          </w:p>
        </w:tc>
        <w:tc>
          <w:tcPr>
            <w:tcW w:w="3424" w:type="dxa"/>
            <w:vAlign w:val="center"/>
            <w:textDirection w:val="lrTb"/>
            <w:noWrap w:val="false"/>
          </w:tcPr>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评委根据供应商拟针对本项目实际需求提供的总体实施方案，包括但不限于服务体系、组织架构、时效控制措施、文档管理措施、综合协调措施等进行评审：</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总体实施方案表述详细全面无缺项，具有合理完善的服务体系、组织架构，具有完整、明确的时效控制措施、信息安全管理措施、文档管理措施、综合协调措施且可操作性强的，得9分；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总体实施方案表述详细但有缺项，服务体系、组织架构合理，具有完整、明确的时效控制措施、信息安全管理措施、文档管理措施、综合协调措施且可操作性一般的，得6分；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总体实施方案空洞，服务体系、组织架构没有或不合理，没有完整的时效控制措施、信息安全管理措施、文档管理措施、综合协调措施且毫无可操作性，得4分；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没有此项的不得分。</w:t>
            </w:r>
            <w:r>
              <w:rPr>
                <w:rFonts w:hint="eastAsia" w:ascii="宋体" w:hAnsi="宋体" w:eastAsia="宋体" w:cs="宋体"/>
                <w:color w:val="000000"/>
                <w:sz w:val="21"/>
                <w:szCs w:val="21"/>
                <w:highlight w:val="none"/>
                <w:lang w:val="en-US" w:eastAsia="en-US" w:bidi="ar-SA"/>
              </w:rPr>
            </w:r>
            <w:r/>
          </w:p>
        </w:tc>
        <w:tc>
          <w:tcPr>
            <w:tcW w:w="405" w:type="dxa"/>
            <w:vAlign w:val="center"/>
            <w:textDirection w:val="lrTb"/>
            <w:noWrap w:val="false"/>
          </w:tcPr>
          <w:p>
            <w:pPr>
              <w:pStyle w:val="884"/>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lang w:eastAsia="zh-CN"/>
              </w:rPr>
            </w:r>
            <w:r/>
          </w:p>
        </w:tc>
      </w:tr>
      <w:tr>
        <w:trPr/>
        <w:tc>
          <w:tcPr>
            <w:tcW w:w="429" w:type="dxa"/>
            <w:vAlign w:val="center"/>
            <w:vMerge w:val="continue"/>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6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4</w:t>
            </w:r>
            <w:r>
              <w:rPr>
                <w:rFonts w:hint="eastAsia" w:ascii="宋体" w:hAnsi="宋体" w:eastAsia="宋体" w:cs="宋体"/>
                <w:color w:val="000000"/>
                <w:szCs w:val="21"/>
                <w:highlight w:val="none"/>
                <w:lang w:eastAsia="en-US"/>
              </w:rPr>
            </w:r>
            <w:r/>
          </w:p>
        </w:tc>
        <w:tc>
          <w:tcPr>
            <w:tcW w:w="37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项目</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验收</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方案</w:t>
            </w:r>
            <w:r>
              <w:rPr>
                <w:rFonts w:hint="eastAsia" w:ascii="宋体" w:hAnsi="宋体" w:eastAsia="宋体" w:cs="宋体"/>
                <w:color w:val="000000"/>
                <w:szCs w:val="21"/>
                <w:highlight w:val="none"/>
                <w:lang w:eastAsia="en-US"/>
              </w:rPr>
            </w:r>
            <w:r/>
          </w:p>
        </w:tc>
        <w:tc>
          <w:tcPr>
            <w:tcW w:w="3424" w:type="dxa"/>
            <w:vAlign w:val="center"/>
            <w:textDirection w:val="lrTb"/>
            <w:noWrap w:val="false"/>
          </w:tcPr>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评委根据供应商拟针对本项目所需的项目验收方案包括但不限于：验收内容、验收标准、验收程序、验收组织进行评审：</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方案具体内容表述详细全面无缺项、标准准确、流程清晰，无明显瑕疵，可行性最强且优于本项目实际需求的，得7分；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方案具体内容表述详细但有缺项、标准不太准确、流程不太清晰，略有瑕疵，基本满足本项目实际需求的，得4分；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方案具体内容空洞、标准混乱、流程不清晰，有明显瑕疵，满足本项目实际一般需求的，得2分；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没有此项的不得分。</w:t>
            </w:r>
            <w:r>
              <w:rPr>
                <w:rFonts w:hint="eastAsia" w:ascii="宋体" w:hAnsi="宋体" w:eastAsia="宋体" w:cs="宋体"/>
                <w:color w:val="000000"/>
                <w:sz w:val="21"/>
                <w:szCs w:val="21"/>
                <w:highlight w:val="none"/>
                <w:lang w:val="en-US" w:eastAsia="en-US" w:bidi="ar-SA"/>
              </w:rPr>
            </w:r>
            <w:r/>
          </w:p>
        </w:tc>
        <w:tc>
          <w:tcPr>
            <w:tcW w:w="405" w:type="dxa"/>
            <w:vAlign w:val="center"/>
            <w:textDirection w:val="lrTb"/>
            <w:noWrap w:val="false"/>
          </w:tcPr>
          <w:p>
            <w:pPr>
              <w:pStyle w:val="884"/>
              <w:jc w:val="center"/>
              <w:widowControl/>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7</w:t>
            </w:r>
            <w:r>
              <w:rPr>
                <w:rFonts w:hint="eastAsia" w:ascii="宋体" w:hAnsi="宋体" w:eastAsia="宋体" w:cs="宋体"/>
                <w:bCs/>
                <w:color w:val="000000"/>
                <w:szCs w:val="21"/>
                <w:highlight w:val="none"/>
                <w:lang w:eastAsia="zh-CN"/>
              </w:rPr>
            </w:r>
            <w:r/>
          </w:p>
        </w:tc>
      </w:tr>
      <w:tr>
        <w:trPr/>
        <w:tc>
          <w:tcPr>
            <w:tcW w:w="429" w:type="dxa"/>
            <w:vAlign w:val="center"/>
            <w:vMerge w:val="continue"/>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6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5</w:t>
            </w:r>
            <w:r>
              <w:rPr>
                <w:rFonts w:hint="eastAsia" w:ascii="宋体" w:hAnsi="宋体" w:eastAsia="宋体" w:cs="宋体"/>
                <w:color w:val="000000"/>
                <w:szCs w:val="21"/>
                <w:highlight w:val="none"/>
                <w:lang w:eastAsia="en-US"/>
              </w:rPr>
            </w:r>
            <w:r/>
          </w:p>
        </w:tc>
        <w:tc>
          <w:tcPr>
            <w:tcW w:w="37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售后</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服务</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lang w:eastAsia="zh-CN"/>
              </w:rPr>
            </w:r>
            <w:r/>
          </w:p>
        </w:tc>
        <w:tc>
          <w:tcPr>
            <w:tcW w:w="3424" w:type="dxa"/>
            <w:vAlign w:val="center"/>
            <w:textDirection w:val="lrTb"/>
            <w:noWrap w:val="false"/>
          </w:tcPr>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评委根据供应商拟针对本项目所需的售后服务方案，包括但不限于：售后服务人员安排、日程维护计划，、故障保修响应进行评审：</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方案具体内容表述详细全面无缺项、责任清晰、措施到位，无明显瑕疵，可行性最强且优于本项目实际需求的，得7分；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方案具体内容表述详细但有缺项、责任不太清晰、措施不太到位，略有瑕疵，基本满足本项目实际需求的，得4分；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方案具体内容空洞、责任不清晰、措施不到位，有明显瑕疵，满足本项目实际一般需求的，得2分；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zh-CN" w:eastAsia="en-US" w:bidi="ar-SA"/>
              </w:rPr>
            </w:pPr>
            <w:r>
              <w:rPr>
                <w:rFonts w:hint="eastAsia" w:ascii="宋体" w:hAnsi="宋体" w:eastAsia="宋体" w:cs="宋体"/>
                <w:color w:val="000000"/>
                <w:sz w:val="21"/>
                <w:szCs w:val="21"/>
                <w:highlight w:val="none"/>
                <w:lang w:val="en-US" w:eastAsia="en-US" w:bidi="ar-SA"/>
              </w:rPr>
              <w:t xml:space="preserve">没有此项的不得分。</w:t>
            </w:r>
            <w:r>
              <w:rPr>
                <w:rFonts w:hint="eastAsia" w:ascii="宋体" w:hAnsi="宋体" w:eastAsia="宋体" w:cs="宋体"/>
                <w:color w:val="000000"/>
                <w:sz w:val="21"/>
                <w:szCs w:val="21"/>
                <w:highlight w:val="none"/>
                <w:lang w:val="zh-CN" w:eastAsia="en-US" w:bidi="ar-SA"/>
              </w:rPr>
            </w:r>
            <w:r/>
          </w:p>
        </w:tc>
        <w:tc>
          <w:tcPr>
            <w:tcW w:w="405" w:type="dxa"/>
            <w:vAlign w:val="center"/>
            <w:textDirection w:val="lrTb"/>
            <w:noWrap w:val="false"/>
          </w:tcPr>
          <w:p>
            <w:pPr>
              <w:pStyle w:val="884"/>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lang w:eastAsia="zh-CN"/>
              </w:rPr>
            </w:r>
            <w:r/>
          </w:p>
        </w:tc>
      </w:tr>
      <w:tr>
        <w:trPr/>
        <w:tc>
          <w:tcPr>
            <w:tcW w:w="429" w:type="dxa"/>
            <w:vAlign w:val="center"/>
            <w:vMerge w:val="continue"/>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65" w:type="dxa"/>
            <w:vAlign w:val="center"/>
            <w:textDirection w:val="lrTb"/>
            <w:noWrap w:val="false"/>
          </w:tcPr>
          <w:p>
            <w:pPr>
              <w:pStyle w:val="884"/>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lang w:eastAsia="zh-CN"/>
              </w:rPr>
            </w:r>
            <w:r/>
          </w:p>
        </w:tc>
        <w:tc>
          <w:tcPr>
            <w:tcW w:w="37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培训</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方案</w:t>
            </w:r>
            <w:r>
              <w:rPr>
                <w:rFonts w:hint="eastAsia" w:ascii="宋体" w:hAnsi="宋体" w:eastAsia="宋体" w:cs="宋体"/>
                <w:color w:val="000000"/>
                <w:szCs w:val="21"/>
                <w:highlight w:val="none"/>
                <w:lang w:eastAsia="en-US"/>
              </w:rPr>
            </w:r>
            <w:r/>
          </w:p>
        </w:tc>
        <w:tc>
          <w:tcPr>
            <w:tcW w:w="3424" w:type="dxa"/>
            <w:vAlign w:val="center"/>
            <w:textDirection w:val="lrTb"/>
            <w:noWrap w:val="false"/>
          </w:tcPr>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供应商需根据项目情况制定详细的培训指导方案，包括但不限于培训计划、相关软硬件的使用和操作、新技术指导、后期系统设备维护等方面内容。评标委员会根据供应商提供的培训指导方案进行综合评分。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方案具体内容表述详细全面无缺项、责任清晰、措施到位，无明显瑕疵，可行性最强且优于本项目实际需求的，得7分；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方案具体内容表述详细但有缺项、责任不太清晰、措施不太到位，略有瑕疵，基本满足本项目实际需求的，得4分；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方案具体内容空洞、责任不清晰、措施不到位，有明显瑕疵，满足本项目实际一般需求的，得2分；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没有此项的不得分。</w:t>
            </w:r>
            <w:r>
              <w:rPr>
                <w:rFonts w:hint="eastAsia" w:ascii="宋体" w:hAnsi="宋体" w:eastAsia="宋体" w:cs="宋体"/>
                <w:color w:val="000000"/>
                <w:sz w:val="21"/>
                <w:szCs w:val="21"/>
                <w:highlight w:val="none"/>
                <w:lang w:val="en-US" w:eastAsia="en-US" w:bidi="ar-SA"/>
              </w:rPr>
            </w:r>
            <w:r/>
          </w:p>
        </w:tc>
        <w:tc>
          <w:tcPr>
            <w:tcW w:w="405" w:type="dxa"/>
            <w:vAlign w:val="center"/>
            <w:textDirection w:val="lrTb"/>
            <w:noWrap w:val="false"/>
          </w:tcPr>
          <w:p>
            <w:pPr>
              <w:pStyle w:val="884"/>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lang w:eastAsia="zh-CN"/>
              </w:rPr>
            </w:r>
            <w:r/>
          </w:p>
        </w:tc>
      </w:tr>
      <w:tr>
        <w:trPr/>
        <w:tc>
          <w:tcPr>
            <w:tcW w:w="429" w:type="dxa"/>
            <w:vAlign w:val="center"/>
            <w:vMerge w:val="restart"/>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商务部分</w:t>
            </w:r>
            <w:r>
              <w:rPr>
                <w:rFonts w:hint="eastAsia" w:ascii="宋体" w:hAnsi="宋体" w:eastAsia="宋体" w:cs="宋体"/>
                <w:color w:val="000000"/>
                <w:szCs w:val="21"/>
                <w:highlight w:val="none"/>
                <w:lang w:eastAsia="en-US"/>
              </w:rPr>
            </w:r>
            <w:r/>
          </w:p>
        </w:tc>
        <w:tc>
          <w:tcPr>
            <w:tcW w:w="365" w:type="dxa"/>
            <w:vAlign w:val="center"/>
            <w:textDirection w:val="lrTb"/>
            <w:noWrap w:val="false"/>
          </w:tcPr>
          <w:p>
            <w:pPr>
              <w:pStyle w:val="884"/>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lang w:eastAsia="zh-CN"/>
              </w:rPr>
            </w:r>
            <w:r/>
          </w:p>
        </w:tc>
        <w:tc>
          <w:tcPr>
            <w:tcW w:w="37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zh-CN"/>
              </w:rPr>
              <w:t xml:space="preserve">质保期</w:t>
            </w:r>
            <w:r>
              <w:rPr>
                <w:rFonts w:hint="eastAsia" w:ascii="宋体" w:hAnsi="宋体" w:eastAsia="宋体" w:cs="宋体"/>
                <w:color w:val="000000"/>
                <w:szCs w:val="21"/>
                <w:highlight w:val="none"/>
                <w:lang w:eastAsia="en-US"/>
              </w:rPr>
              <w:t xml:space="preserve">承诺</w:t>
            </w:r>
            <w:r>
              <w:rPr>
                <w:rFonts w:hint="eastAsia" w:ascii="宋体" w:hAnsi="宋体" w:eastAsia="宋体" w:cs="宋体"/>
                <w:color w:val="000000"/>
                <w:szCs w:val="21"/>
                <w:highlight w:val="none"/>
                <w:lang w:eastAsia="en-US"/>
              </w:rPr>
            </w:r>
            <w:r/>
          </w:p>
        </w:tc>
        <w:tc>
          <w:tcPr>
            <w:tcW w:w="3424" w:type="dxa"/>
            <w:vAlign w:val="center"/>
            <w:textDirection w:val="lrTb"/>
            <w:noWrap w:val="false"/>
          </w:tcPr>
          <w:p>
            <w:pPr>
              <w:pStyle w:val="884"/>
              <w:ind w:left="0" w:firstLine="210"/>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供应商需按照招标文件最低要求提供质保，若质保期每增加半年得1分，满分4分。</w:t>
            </w:r>
            <w:r>
              <w:rPr>
                <w:rFonts w:hint="eastAsia" w:ascii="宋体" w:hAnsi="宋体" w:eastAsia="宋体" w:cs="宋体"/>
                <w:color w:val="000000"/>
                <w:sz w:val="21"/>
                <w:szCs w:val="21"/>
                <w:highlight w:val="none"/>
                <w:lang w:val="zh-CN" w:eastAsia="en-US" w:bidi="ar-SA"/>
              </w:rPr>
              <w:t xml:space="preserve">没有此项的不得分。</w:t>
            </w:r>
            <w:r>
              <w:rPr>
                <w:rFonts w:hint="eastAsia" w:ascii="宋体" w:hAnsi="宋体" w:eastAsia="宋体" w:cs="宋体"/>
                <w:color w:val="000000"/>
                <w:sz w:val="21"/>
                <w:szCs w:val="21"/>
                <w:highlight w:val="none"/>
                <w:lang w:val="en-US" w:eastAsia="en-US" w:bidi="ar-SA"/>
              </w:rPr>
            </w:r>
            <w:r/>
          </w:p>
        </w:tc>
        <w:tc>
          <w:tcPr>
            <w:tcW w:w="40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lang w:eastAsia="en-US"/>
              </w:rPr>
            </w:r>
            <w:r/>
          </w:p>
        </w:tc>
      </w:tr>
      <w:tr>
        <w:trPr/>
        <w:tc>
          <w:tcPr>
            <w:tcW w:w="429" w:type="dxa"/>
            <w:vAlign w:val="center"/>
            <w:vMerge w:val="continue"/>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65" w:type="dxa"/>
            <w:vAlign w:val="center"/>
            <w:textDirection w:val="lrTb"/>
            <w:noWrap w:val="false"/>
          </w:tcPr>
          <w:p>
            <w:pPr>
              <w:pStyle w:val="884"/>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8</w:t>
            </w:r>
            <w:r>
              <w:rPr>
                <w:rFonts w:hint="eastAsia" w:ascii="宋体" w:hAnsi="宋体" w:eastAsia="宋体" w:cs="宋体"/>
                <w:color w:val="000000"/>
                <w:szCs w:val="21"/>
                <w:highlight w:val="none"/>
                <w:lang w:eastAsia="zh-CN"/>
              </w:rPr>
            </w:r>
            <w:r/>
          </w:p>
        </w:tc>
        <w:tc>
          <w:tcPr>
            <w:tcW w:w="375" w:type="dxa"/>
            <w:vAlign w:val="center"/>
            <w:textDirection w:val="lrTb"/>
            <w:noWrap w:val="false"/>
          </w:tcPr>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项目</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业绩</w:t>
            </w:r>
            <w:r>
              <w:rPr>
                <w:rFonts w:hint="eastAsia" w:ascii="宋体" w:hAnsi="宋体" w:eastAsia="宋体" w:cs="宋体"/>
                <w:color w:val="000000"/>
                <w:szCs w:val="21"/>
                <w:highlight w:val="none"/>
                <w:lang w:eastAsia="en-US"/>
              </w:rPr>
            </w:r>
            <w:r/>
          </w:p>
          <w:p>
            <w:pPr>
              <w:pStyle w:val="884"/>
              <w:jc w:val="center"/>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经验</w:t>
            </w:r>
            <w:r>
              <w:rPr>
                <w:rFonts w:hint="eastAsia" w:ascii="宋体" w:hAnsi="宋体" w:eastAsia="宋体" w:cs="宋体"/>
                <w:color w:val="000000"/>
                <w:szCs w:val="21"/>
                <w:highlight w:val="none"/>
                <w:lang w:eastAsia="en-US"/>
              </w:rPr>
            </w:r>
            <w:r/>
          </w:p>
        </w:tc>
        <w:tc>
          <w:tcPr>
            <w:tcW w:w="3424" w:type="dxa"/>
            <w:vAlign w:val="center"/>
            <w:textDirection w:val="lrTb"/>
            <w:noWrap w:val="false"/>
          </w:tcPr>
          <w:p>
            <w:pPr>
              <w:pStyle w:val="884"/>
              <w:ind w:left="0" w:firstLine="21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自2021年1月1日以来，供应商承接过类似本项目的业绩数量进行评分。每提供一个得2分，最高得8分。</w:t>
            </w:r>
            <w:r>
              <w:rPr>
                <w:rFonts w:hint="eastAsia" w:ascii="宋体" w:hAnsi="宋体" w:eastAsia="宋体" w:cs="宋体"/>
                <w:color w:val="000000"/>
                <w:sz w:val="21"/>
                <w:szCs w:val="21"/>
                <w:highlight w:val="none"/>
                <w:lang w:val="en-US" w:eastAsia="zh-CN" w:bidi="ar-SA"/>
              </w:rPr>
            </w:r>
            <w:r/>
          </w:p>
          <w:p>
            <w:pPr>
              <w:pStyle w:val="884"/>
              <w:ind w:left="0" w:firstLine="210"/>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（须提供合同复印件并加盖供应商公章，否则不得分；时间以合同签订日期为准。</w:t>
            </w: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en-US" w:bidi="ar-SA"/>
              </w:rPr>
            </w:r>
            <w:r/>
          </w:p>
        </w:tc>
        <w:tc>
          <w:tcPr>
            <w:tcW w:w="405" w:type="dxa"/>
            <w:vAlign w:val="center"/>
            <w:textDirection w:val="lrTb"/>
            <w:noWrap w:val="false"/>
          </w:tcPr>
          <w:p>
            <w:pPr>
              <w:pStyle w:val="884"/>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8</w:t>
            </w:r>
            <w:r>
              <w:rPr>
                <w:rFonts w:hint="eastAsia" w:ascii="宋体" w:hAnsi="宋体" w:eastAsia="宋体" w:cs="宋体"/>
                <w:color w:val="000000"/>
                <w:szCs w:val="21"/>
                <w:highlight w:val="none"/>
                <w:lang w:eastAsia="zh-CN"/>
              </w:rPr>
            </w:r>
            <w:r/>
          </w:p>
        </w:tc>
      </w:tr>
    </w:tbl>
    <w:p>
      <w:pPr>
        <w:pStyle w:val="884"/>
        <w:ind w:firstLine="480"/>
        <w:jc w:val="left"/>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4"/>
        <w:ind w:firstLine="480"/>
        <w:jc w:val="left"/>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3、评标结果。评标委员会按照本办法规定推荐中标候选人，并形成评标报告。</w:t>
      </w:r>
      <w:r>
        <w:rPr>
          <w:rFonts w:hint="eastAsia" w:ascii="宋体" w:hAnsi="宋体" w:cs="宋体"/>
          <w:color w:val="000000"/>
          <w:sz w:val="24"/>
          <w:highlight w:val="none"/>
        </w:rPr>
      </w:r>
      <w:r/>
    </w:p>
    <w:p>
      <w:pPr>
        <w:pStyle w:val="884"/>
        <w:ind w:right="-10" w:firstLine="80"/>
        <w:spacing w:line="360" w:lineRule="auto"/>
        <w:shd w:val="clear" w:color="auto" w:fill="auto"/>
        <w:rPr>
          <w:rFonts w:hint="eastAsia" w:ascii="宋体" w:hAnsi="宋体" w:cs="宋体"/>
          <w:color w:val="000000"/>
          <w:sz w:val="4"/>
          <w:szCs w:val="2"/>
          <w:highlight w:val="none"/>
        </w:rPr>
      </w:pPr>
      <w:r>
        <w:rPr>
          <w:rFonts w:hint="eastAsia" w:ascii="宋体" w:hAnsi="宋体" w:cs="宋体"/>
          <w:color w:val="000000"/>
          <w:sz w:val="4"/>
          <w:szCs w:val="2"/>
          <w:highlight w:val="none"/>
        </w:rPr>
      </w:r>
      <w:r/>
    </w:p>
    <w:p>
      <w:pPr>
        <w:pStyle w:val="884"/>
        <w:ind w:right="-10"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1.小微型企业价格扣除</w:t>
      </w:r>
      <w:r>
        <w:rPr>
          <w:rFonts w:hint="eastAsia" w:hAnsi="宋体"/>
          <w:color w:val="000000"/>
          <w:sz w:val="24"/>
          <w:szCs w:val="24"/>
          <w:highlight w:val="none"/>
        </w:rPr>
      </w:r>
      <w:r/>
    </w:p>
    <w:p>
      <w:pPr>
        <w:pStyle w:val="1194"/>
        <w:ind w:firstLine="36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（1）本项目对小型和微型企业产品给予</w:t>
      </w:r>
      <w:r>
        <w:rPr>
          <w:rFonts w:hint="eastAsia" w:hAnsi="宋体"/>
          <w:color w:val="000000"/>
          <w:sz w:val="24"/>
          <w:szCs w:val="24"/>
          <w:highlight w:val="none"/>
          <w:lang w:val="en-US" w:eastAsia="zh-CN"/>
        </w:rPr>
        <w:t xml:space="preserve">1</w:t>
      </w:r>
      <w:r>
        <w:rPr>
          <w:rFonts w:hint="eastAsia" w:hAnsi="宋体"/>
          <w:color w:val="000000"/>
          <w:sz w:val="24"/>
          <w:szCs w:val="24"/>
          <w:highlight w:val="none"/>
        </w:rPr>
        <w:t xml:space="preserve">0%的扣除价格，用扣除后的价格参与评审。</w:t>
      </w:r>
      <w:r>
        <w:rPr>
          <w:rFonts w:hint="eastAsia" w:hAnsi="宋体"/>
          <w:color w:val="000000"/>
          <w:sz w:val="24"/>
          <w:szCs w:val="24"/>
          <w:highlight w:val="none"/>
        </w:rPr>
      </w:r>
      <w:r/>
    </w:p>
    <w:p>
      <w:pPr>
        <w:pStyle w:val="1194"/>
        <w:ind w:firstLine="36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（2）供应商需按照采购文件的要求提供相应的《企业声明函》。</w:t>
      </w:r>
      <w:r>
        <w:rPr>
          <w:rFonts w:hint="eastAsia" w:hAnsi="宋体"/>
          <w:color w:val="000000"/>
          <w:sz w:val="24"/>
          <w:szCs w:val="24"/>
          <w:highlight w:val="none"/>
        </w:rPr>
      </w:r>
      <w:r/>
    </w:p>
    <w:p>
      <w:pPr>
        <w:pStyle w:val="1194"/>
        <w:ind w:firstLine="36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（3）企业标准请参照《关于印发中小企业划型标准规定的通知》（工信部联企业[2011]300号）文件规定自行填写。</w:t>
      </w:r>
      <w:r>
        <w:rPr>
          <w:rFonts w:hint="eastAsia" w:hAnsi="宋体"/>
          <w:color w:val="000000"/>
          <w:sz w:val="24"/>
          <w:szCs w:val="24"/>
          <w:highlight w:val="none"/>
        </w:rPr>
      </w:r>
      <w:r/>
    </w:p>
    <w:p>
      <w:pPr>
        <w:pStyle w:val="1194"/>
        <w:ind w:firstLine="361"/>
        <w:spacing w:line="400" w:lineRule="exact"/>
        <w:shd w:val="clear" w:color="auto" w:fill="auto"/>
        <w:rPr>
          <w:rFonts w:hint="eastAsia" w:hAnsi="宋体"/>
          <w:b/>
          <w:bCs/>
          <w:color w:val="000000"/>
          <w:sz w:val="24"/>
          <w:szCs w:val="24"/>
          <w:highlight w:val="none"/>
        </w:rPr>
      </w:pPr>
      <w:r>
        <w:rPr>
          <w:rFonts w:hint="eastAsia" w:hAnsi="宋体"/>
          <w:b/>
          <w:bCs/>
          <w:color w:val="000000"/>
          <w:sz w:val="24"/>
          <w:szCs w:val="24"/>
          <w:highlight w:val="none"/>
        </w:rPr>
        <w:t xml:space="preserve">（4）在货物采购项目中，供应商提供的货物既有中小企业制造货物，也有大型企业制造货物的，不享受本办法规定的中小企业扶持政策。</w:t>
      </w:r>
      <w:r>
        <w:rPr>
          <w:rFonts w:hint="eastAsia" w:hAnsi="宋体"/>
          <w:b/>
          <w:bCs/>
          <w:color w:val="000000"/>
          <w:sz w:val="24"/>
          <w:szCs w:val="24"/>
          <w:highlight w:val="none"/>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2.残疾人福利单位价格扣除</w:t>
      </w:r>
      <w:r>
        <w:rPr>
          <w:rFonts w:hint="eastAsia" w:hAnsi="宋体"/>
          <w:color w:val="000000"/>
          <w:sz w:val="24"/>
          <w:szCs w:val="24"/>
          <w:highlight w:val="none"/>
        </w:rPr>
      </w:r>
      <w:r/>
    </w:p>
    <w:p>
      <w:pPr>
        <w:pStyle w:val="1194"/>
        <w:ind w:left="120" w:firstLine="36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（1）本项目对残疾人福利性单位视同小型、微型企业，给予</w:t>
      </w:r>
      <w:r>
        <w:rPr>
          <w:rFonts w:hint="eastAsia" w:hAnsi="宋体"/>
          <w:color w:val="000000"/>
          <w:sz w:val="24"/>
          <w:szCs w:val="24"/>
          <w:highlight w:val="none"/>
          <w:lang w:val="en-US" w:eastAsia="zh-CN"/>
        </w:rPr>
        <w:t xml:space="preserve">1</w:t>
      </w:r>
      <w:r>
        <w:rPr>
          <w:rFonts w:hint="eastAsia" w:hAnsi="宋体"/>
          <w:color w:val="000000"/>
          <w:sz w:val="24"/>
          <w:szCs w:val="24"/>
          <w:highlight w:val="none"/>
        </w:rPr>
        <w:t xml:space="preserve">0%的价格扣除，用扣除后的价格参与评审。</w:t>
      </w:r>
      <w:r>
        <w:rPr>
          <w:rFonts w:hint="eastAsia" w:hAnsi="宋体"/>
          <w:color w:val="000000"/>
          <w:sz w:val="24"/>
          <w:szCs w:val="24"/>
          <w:highlight w:val="none"/>
        </w:rPr>
      </w:r>
      <w:r/>
    </w:p>
    <w:p>
      <w:pPr>
        <w:pStyle w:val="1194"/>
        <w:ind w:left="120" w:firstLine="36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（2）残疾人福利单位需提供《残疾人福利性单位声明函》。</w:t>
      </w:r>
      <w:r>
        <w:rPr>
          <w:rFonts w:hint="eastAsia" w:hAnsi="宋体"/>
          <w:color w:val="000000"/>
          <w:sz w:val="24"/>
          <w:szCs w:val="24"/>
          <w:highlight w:val="none"/>
        </w:rPr>
      </w:r>
      <w:r/>
    </w:p>
    <w:p>
      <w:pPr>
        <w:pStyle w:val="1194"/>
        <w:ind w:left="120" w:firstLine="36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（3）残疾人福利单位标准请参照《关于促进残疾人就业政府采购政策的通知》（财库〔2017〕141号）。</w:t>
      </w:r>
      <w:r>
        <w:rPr>
          <w:rFonts w:hint="eastAsia" w:hAnsi="宋体"/>
          <w:color w:val="000000"/>
          <w:sz w:val="24"/>
          <w:szCs w:val="24"/>
          <w:highlight w:val="none"/>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3.监狱和戒毒企业价格扣除</w:t>
      </w:r>
      <w:r>
        <w:rPr>
          <w:rFonts w:hint="eastAsia" w:hAnsi="宋体"/>
          <w:color w:val="000000"/>
          <w:sz w:val="24"/>
          <w:szCs w:val="24"/>
          <w:highlight w:val="none"/>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（1）本项目对监狱和戒毒企业（简称监狱企业）视同小型、微型企业，给予</w:t>
      </w:r>
      <w:r>
        <w:rPr>
          <w:rFonts w:hint="eastAsia" w:hAnsi="宋体"/>
          <w:color w:val="000000"/>
          <w:sz w:val="24"/>
          <w:szCs w:val="24"/>
          <w:highlight w:val="none"/>
          <w:lang w:val="en-US" w:eastAsia="zh-CN"/>
        </w:rPr>
        <w:t xml:space="preserve">1</w:t>
      </w:r>
      <w:r>
        <w:rPr>
          <w:rFonts w:hint="eastAsia" w:hAnsi="宋体"/>
          <w:color w:val="000000"/>
          <w:sz w:val="24"/>
          <w:szCs w:val="24"/>
          <w:highlight w:val="none"/>
        </w:rPr>
        <w:t xml:space="preserve">0%的价格扣除，用扣除后的价格参与评审。</w:t>
      </w:r>
      <w:r>
        <w:rPr>
          <w:rFonts w:hint="eastAsia" w:hAnsi="宋体"/>
          <w:color w:val="000000"/>
          <w:sz w:val="24"/>
          <w:szCs w:val="24"/>
          <w:highlight w:val="none"/>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hAnsi="宋体"/>
          <w:color w:val="000000"/>
          <w:sz w:val="24"/>
          <w:szCs w:val="24"/>
          <w:highlight w:val="none"/>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（3）监狱企业标准请参照《关于政府采购支持监狱企业发展有关问题的通知》（财库[2014]68号）。</w:t>
      </w:r>
      <w:r>
        <w:rPr>
          <w:rFonts w:hint="eastAsia" w:hAnsi="宋体"/>
          <w:color w:val="000000"/>
          <w:sz w:val="24"/>
          <w:szCs w:val="24"/>
          <w:highlight w:val="none"/>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4.残疾人福利单位、监狱企业属于小型、微型企业的，不重复享受政策。</w:t>
      </w:r>
      <w:r>
        <w:rPr>
          <w:rFonts w:hint="eastAsia" w:hAnsi="宋体"/>
          <w:color w:val="000000"/>
          <w:sz w:val="24"/>
          <w:szCs w:val="24"/>
          <w:highlight w:val="none"/>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lang w:val="en-US" w:eastAsia="zh-CN"/>
        </w:rPr>
        <w:t xml:space="preserve">5</w:t>
      </w:r>
      <w:r>
        <w:rPr>
          <w:rFonts w:hint="eastAsia" w:hAnsi="宋体"/>
          <w:color w:val="000000"/>
          <w:sz w:val="24"/>
          <w:szCs w:val="24"/>
          <w:highlight w:val="none"/>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hAnsi="宋体"/>
          <w:color w:val="000000"/>
          <w:sz w:val="24"/>
          <w:szCs w:val="24"/>
          <w:highlight w:val="none"/>
        </w:rPr>
      </w:r>
      <w:r/>
    </w:p>
    <w:p>
      <w:pPr>
        <w:pStyle w:val="896"/>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4"/>
        <w:shd w:val="clear" w:color="auto" w:fill="auto"/>
        <w:rPr>
          <w:rFonts w:hint="eastAsia" w:ascii="宋体" w:hAnsi="宋体" w:cs="宋体"/>
          <w:color w:val="000000"/>
          <w:highlight w:val="none"/>
        </w:rPr>
      </w:pPr>
      <w:r>
        <w:rPr>
          <w:rFonts w:hint="eastAsia" w:ascii="宋体" w:hAnsi="宋体" w:cs="宋体"/>
          <w:color w:val="000000"/>
          <w:sz w:val="20"/>
          <w:highlight w:val="none"/>
        </w:rPr>
        <w:t xml:space="preserve"> </w:t>
      </w:r>
      <w:r>
        <w:rPr>
          <w:rFonts w:hint="eastAsia" w:ascii="宋体" w:hAnsi="宋体" w:cs="宋体"/>
          <w:color w:val="000000"/>
          <w:highlight w:val="none"/>
        </w:rPr>
      </w:r>
      <w:r/>
    </w:p>
    <w:p>
      <w:pPr>
        <w:pStyle w:val="884"/>
        <w:jc w:val="center"/>
        <w:shd w:val="clear" w:color="auto" w:fill="auto"/>
        <w:rPr>
          <w:rFonts w:hint="eastAsia" w:ascii="宋体" w:hAnsi="宋体" w:cs="宋体"/>
          <w:color w:val="000000"/>
          <w:sz w:val="24"/>
          <w:szCs w:val="24"/>
          <w:highlight w:val="none"/>
        </w:rPr>
      </w:pPr>
      <w:r/>
      <w:bookmarkStart w:id="87" w:name="EBae7807b0bcbc478ea1f502c8f1955356"/>
      <w:r/>
      <w:bookmarkEnd w:id="87"/>
      <w:r/>
      <w:bookmarkStart w:id="88" w:name="_Toc514054481"/>
      <w:r>
        <w:rPr>
          <w:rFonts w:hint="eastAsia"/>
          <w:b/>
          <w:color w:val="000000"/>
          <w:sz w:val="44"/>
          <w:szCs w:val="44"/>
          <w:highlight w:val="none"/>
        </w:rPr>
        <w:br w:type="page" w:clear="all"/>
      </w:r>
      <w:bookmarkStart w:id="89" w:name="_Toc1505"/>
      <w:r>
        <w:rPr>
          <w:rFonts w:hint="eastAsia" w:ascii="Times New Roman" w:hAnsi="Times New Roman" w:eastAsia="宋体" w:cs="Times New Roman"/>
          <w:b/>
          <w:color w:val="000000"/>
          <w:sz w:val="44"/>
          <w:szCs w:val="44"/>
          <w:highlight w:val="none"/>
        </w:rPr>
        <w:t xml:space="preserve"> </w:t>
      </w:r>
      <w:r>
        <w:rPr>
          <w:rFonts w:hint="eastAsia" w:ascii="Times New Roman" w:hAnsi="Times New Roman" w:eastAsia="宋体" w:cs="Times New Roman"/>
          <w:b/>
          <w:color w:val="000000"/>
          <w:sz w:val="44"/>
          <w:szCs w:val="44"/>
          <w:highlight w:val="none"/>
          <w:lang w:val="en-US" w:eastAsia="zh-CN"/>
        </w:rPr>
        <w:t xml:space="preserve">第四部分 </w:t>
      </w:r>
      <w:r>
        <w:rPr>
          <w:rFonts w:hint="eastAsia" w:ascii="Times New Roman" w:hAnsi="Times New Roman" w:eastAsia="宋体" w:cs="Times New Roman"/>
          <w:b/>
          <w:color w:val="000000"/>
          <w:sz w:val="44"/>
          <w:szCs w:val="44"/>
          <w:highlight w:val="none"/>
        </w:rPr>
        <w:t xml:space="preserve">采购需求</w:t>
      </w:r>
      <w:bookmarkEnd w:id="88"/>
      <w:r/>
      <w:bookmarkEnd w:id="89"/>
      <w:r/>
      <w:bookmarkStart w:id="90" w:name="_Toc9306"/>
      <w:r/>
      <w:bookmarkStart w:id="91" w:name="_Toc514054482"/>
      <w:r>
        <w:rPr>
          <w:rFonts w:hint="eastAsia" w:ascii="宋体" w:hAnsi="宋体" w:cs="宋体"/>
          <w:color w:val="000000"/>
          <w:sz w:val="24"/>
          <w:szCs w:val="24"/>
          <w:highlight w:val="none"/>
        </w:rPr>
      </w:r>
      <w:r/>
    </w:p>
    <w:p>
      <w:pPr>
        <w:pStyle w:val="884"/>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71"/>
        <w:ind w:left="3066"/>
        <w:rPr>
          <w:rFonts w:hint="eastAsia" w:ascii="宋体" w:hAnsi="宋体" w:eastAsia="宋体" w:cs="宋体"/>
          <w:b/>
          <w:color w:val="000000"/>
          <w:sz w:val="32"/>
          <w:szCs w:val="22"/>
          <w:highlight w:val="none"/>
        </w:rPr>
      </w:pPr>
      <w:r>
        <w:rPr>
          <w:rFonts w:hint="eastAsia" w:ascii="宋体" w:hAnsi="宋体" w:eastAsia="宋体" w:cs="宋体"/>
          <w:b/>
          <w:color w:val="000000"/>
          <w:sz w:val="32"/>
          <w:szCs w:val="22"/>
          <w:highlight w:val="none"/>
        </w:rPr>
      </w:r>
      <w:r/>
    </w:p>
    <w:p>
      <w:pPr>
        <w:pStyle w:val="1171"/>
        <w:ind w:left="630"/>
        <w:jc w:val="center"/>
        <w:rPr>
          <w:rFonts w:hint="eastAsia" w:ascii="宋体" w:hAnsi="宋体" w:eastAsia="宋体" w:cs="宋体"/>
          <w:b/>
          <w:color w:val="000000"/>
          <w:sz w:val="28"/>
          <w:szCs w:val="22"/>
          <w:highlight w:val="none"/>
        </w:rPr>
        <w:outlineLvl w:val="1"/>
      </w:pPr>
      <w:r/>
      <w:bookmarkStart w:id="92" w:name="_Toc28079"/>
      <w:r/>
      <w:bookmarkStart w:id="93" w:name="_Toc2215"/>
      <w:r/>
      <w:bookmarkStart w:id="94" w:name="_Toc7704_WPSOffice_Level2"/>
      <w:r>
        <w:rPr>
          <w:rFonts w:hint="eastAsia" w:ascii="宋体" w:hAnsi="宋体" w:eastAsia="宋体" w:cs="宋体"/>
          <w:b/>
          <w:color w:val="000000"/>
          <w:sz w:val="28"/>
          <w:szCs w:val="22"/>
          <w:highlight w:val="none"/>
        </w:rPr>
        <w:t xml:space="preserve">一</w:t>
      </w:r>
      <w:r>
        <w:rPr>
          <w:rFonts w:hint="eastAsia" w:ascii="宋体" w:hAnsi="宋体" w:eastAsia="宋体" w:cs="宋体"/>
          <w:color w:val="000000"/>
          <w:sz w:val="28"/>
          <w:szCs w:val="22"/>
          <w:highlight w:val="none"/>
        </w:rPr>
        <w:t xml:space="preserve">、</w:t>
      </w:r>
      <w:r>
        <w:rPr>
          <w:rFonts w:hint="eastAsia" w:ascii="宋体" w:hAnsi="宋体" w:eastAsia="宋体" w:cs="宋体"/>
          <w:b/>
          <w:color w:val="000000"/>
          <w:sz w:val="28"/>
          <w:szCs w:val="22"/>
          <w:highlight w:val="none"/>
        </w:rPr>
        <w:t xml:space="preserve">货物需求一览表</w:t>
      </w:r>
      <w:bookmarkEnd w:id="92"/>
      <w:r/>
      <w:bookmarkEnd w:id="93"/>
      <w:r/>
      <w:bookmarkEnd w:id="94"/>
      <w:r>
        <w:rPr>
          <w:rFonts w:hint="eastAsia" w:ascii="宋体" w:hAnsi="宋体" w:eastAsia="宋体" w:cs="宋体"/>
          <w:b/>
          <w:color w:val="000000"/>
          <w:sz w:val="28"/>
          <w:szCs w:val="2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
        <w:gridCol w:w="2877"/>
        <w:gridCol w:w="1064"/>
        <w:gridCol w:w="2225"/>
        <w:gridCol w:w="1944"/>
      </w:tblGrid>
      <w:tr>
        <w:trPr>
          <w:trHeight w:val="921"/>
        </w:trPr>
        <w:tc>
          <w:tcPr>
            <w:tcW w:w="882" w:type="dxa"/>
            <w:vAlign w:val="center"/>
            <w:textDirection w:val="lrTb"/>
            <w:noWrap w:val="false"/>
          </w:tcPr>
          <w:p>
            <w:pPr>
              <w:pStyle w:val="1171"/>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rPr>
                <w:rFonts w:hint="eastAsia" w:ascii="宋体" w:hAnsi="宋体" w:eastAsia="宋体" w:cs="宋体"/>
                <w:color w:val="000000"/>
                <w:sz w:val="22"/>
                <w:szCs w:val="22"/>
                <w:highlight w:val="none"/>
              </w:rPr>
            </w:r>
            <w:r/>
          </w:p>
        </w:tc>
        <w:tc>
          <w:tcPr>
            <w:tcW w:w="2877" w:type="dxa"/>
            <w:vAlign w:val="center"/>
            <w:textDirection w:val="lrTb"/>
            <w:noWrap w:val="false"/>
          </w:tcPr>
          <w:p>
            <w:pPr>
              <w:pStyle w:val="1171"/>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货 物 名 称</w:t>
            </w:r>
            <w:r>
              <w:rPr>
                <w:rFonts w:hint="eastAsia" w:ascii="宋体" w:hAnsi="宋体" w:eastAsia="宋体" w:cs="宋体"/>
                <w:color w:val="000000"/>
                <w:sz w:val="22"/>
                <w:szCs w:val="22"/>
                <w:highlight w:val="none"/>
              </w:rPr>
            </w:r>
            <w:r/>
          </w:p>
        </w:tc>
        <w:tc>
          <w:tcPr>
            <w:tcW w:w="1064" w:type="dxa"/>
            <w:vAlign w:val="center"/>
            <w:textDirection w:val="lrTb"/>
            <w:noWrap w:val="false"/>
          </w:tcPr>
          <w:p>
            <w:pPr>
              <w:pStyle w:val="1171"/>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数量</w:t>
            </w:r>
            <w:r>
              <w:rPr>
                <w:rFonts w:hint="eastAsia" w:ascii="宋体" w:hAnsi="宋体" w:eastAsia="宋体" w:cs="宋体"/>
                <w:color w:val="000000"/>
                <w:sz w:val="22"/>
                <w:szCs w:val="22"/>
                <w:highlight w:val="none"/>
              </w:rPr>
            </w:r>
            <w:r/>
          </w:p>
        </w:tc>
        <w:tc>
          <w:tcPr>
            <w:tcW w:w="2225" w:type="dxa"/>
            <w:vAlign w:val="center"/>
            <w:textDirection w:val="lrTb"/>
            <w:noWrap w:val="false"/>
          </w:tcPr>
          <w:p>
            <w:pPr>
              <w:pStyle w:val="1171"/>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交 货 期</w:t>
            </w:r>
            <w:r>
              <w:rPr>
                <w:rFonts w:hint="eastAsia" w:ascii="宋体" w:hAnsi="宋体" w:eastAsia="宋体" w:cs="宋体"/>
                <w:color w:val="000000"/>
                <w:sz w:val="22"/>
                <w:szCs w:val="22"/>
                <w:highlight w:val="none"/>
              </w:rPr>
            </w:r>
            <w:r/>
          </w:p>
        </w:tc>
        <w:tc>
          <w:tcPr>
            <w:tcW w:w="1944" w:type="dxa"/>
            <w:vAlign w:val="center"/>
            <w:textDirection w:val="lrTb"/>
            <w:noWrap w:val="false"/>
          </w:tcPr>
          <w:p>
            <w:pPr>
              <w:pStyle w:val="1171"/>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交货地点</w:t>
            </w:r>
            <w:r>
              <w:rPr>
                <w:rFonts w:hint="eastAsia" w:ascii="宋体" w:hAnsi="宋体" w:eastAsia="宋体" w:cs="宋体"/>
                <w:color w:val="000000"/>
                <w:sz w:val="22"/>
                <w:szCs w:val="22"/>
                <w:highlight w:val="none"/>
              </w:rPr>
            </w:r>
            <w:r/>
          </w:p>
        </w:tc>
      </w:tr>
      <w:tr>
        <w:trPr>
          <w:trHeight w:val="892"/>
        </w:trPr>
        <w:tc>
          <w:tcPr>
            <w:tcW w:w="882" w:type="dxa"/>
            <w:vAlign w:val="center"/>
            <w:textDirection w:val="lrTb"/>
            <w:noWrap w:val="false"/>
          </w:tcPr>
          <w:p>
            <w:pPr>
              <w:pStyle w:val="1171"/>
              <w:jc w:val="center"/>
              <w:rPr>
                <w:rFonts w:hint="eastAsia" w:ascii="宋体" w:hAnsi="宋体" w:eastAsia="宋体" w:cs="宋体"/>
                <w:bCs/>
                <w:color w:val="000000"/>
                <w:sz w:val="22"/>
                <w:szCs w:val="22"/>
                <w:highlight w:val="none"/>
                <w:lang w:val="en-US" w:eastAsia="zh-CN"/>
              </w:rPr>
            </w:pPr>
            <w:r/>
            <w:bookmarkStart w:id="95" w:name="_Toc11678_WPSOffice_Level2"/>
            <w:r>
              <w:rPr>
                <w:rFonts w:hint="eastAsia" w:ascii="宋体" w:hAnsi="宋体" w:eastAsia="宋体" w:cs="宋体"/>
                <w:bCs/>
                <w:color w:val="000000"/>
                <w:sz w:val="22"/>
                <w:szCs w:val="22"/>
                <w:highlight w:val="none"/>
                <w:lang w:val="en-US" w:eastAsia="zh-CN"/>
              </w:rPr>
              <w:t xml:space="preserve">01</w:t>
            </w:r>
            <w:r>
              <w:rPr>
                <w:rFonts w:hint="eastAsia" w:ascii="宋体" w:hAnsi="宋体" w:eastAsia="宋体" w:cs="宋体"/>
                <w:bCs/>
                <w:color w:val="000000"/>
                <w:sz w:val="22"/>
                <w:szCs w:val="22"/>
                <w:highlight w:val="none"/>
                <w:lang w:val="en-US" w:eastAsia="zh-CN"/>
              </w:rPr>
            </w:r>
            <w:r/>
          </w:p>
        </w:tc>
        <w:tc>
          <w:tcPr>
            <w:tcW w:w="2877" w:type="dxa"/>
            <w:vAlign w:val="center"/>
            <w:textDirection w:val="lrTb"/>
            <w:noWrap w:val="false"/>
          </w:tcPr>
          <w:p>
            <w:pPr>
              <w:pStyle w:val="884"/>
              <w:ind w:right="97"/>
              <w:jc w:val="center"/>
              <w:keepLines w:val="0"/>
              <w:keepNext w:val="0"/>
              <w:pageBreakBefore w:val="0"/>
              <w:spacing w:before="72" w:after="72" w:line="240" w:lineRule="auto"/>
              <w:widowControl w:val="off"/>
              <w:rPr>
                <w:rFonts w:hint="eastAsia" w:ascii="宋体" w:hAnsi="宋体" w:eastAsia="宋体" w:cs="宋体"/>
                <w:color w:val="000000"/>
                <w:sz w:val="22"/>
                <w:szCs w:val="22"/>
                <w:highlight w:val="none"/>
                <w:lang w:val="en-US" w:eastAsia="zh-CN"/>
              </w:rPr>
            </w:pPr>
            <w:r>
              <w:rPr>
                <w:rFonts w:hint="eastAsia" w:ascii="宋体" w:hAnsi="宋体" w:cs="宋体"/>
                <w:b w:val="0"/>
                <w:bCs w:val="0"/>
                <w:color w:val="000000"/>
                <w:sz w:val="24"/>
                <w:szCs w:val="24"/>
                <w:highlight w:val="none"/>
                <w:lang w:val="en-US" w:eastAsia="zh-CN"/>
              </w:rPr>
              <w:t xml:space="preserve">车载电子抓拍</w:t>
            </w:r>
            <w:r>
              <w:rPr>
                <w:rFonts w:hint="eastAsia" w:ascii="宋体" w:hAnsi="宋体" w:eastAsia="宋体" w:cs="宋体"/>
                <w:color w:val="000000"/>
                <w:sz w:val="22"/>
                <w:szCs w:val="22"/>
                <w:highlight w:val="none"/>
                <w:lang w:val="en-US" w:eastAsia="zh-CN"/>
              </w:rPr>
            </w:r>
            <w:r/>
          </w:p>
        </w:tc>
        <w:tc>
          <w:tcPr>
            <w:shd w:val="clear" w:color="auto" w:fill="ffffff"/>
            <w:tcW w:w="1064" w:type="dxa"/>
            <w:vAlign w:val="center"/>
            <w:textDirection w:val="lrTb"/>
            <w:noWrap w:val="false"/>
          </w:tcPr>
          <w:p>
            <w:pPr>
              <w:pStyle w:val="884"/>
              <w:jc w:val="center"/>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11套</w:t>
            </w:r>
            <w:r>
              <w:rPr>
                <w:rFonts w:ascii="宋体" w:hAnsi="宋体" w:eastAsia="宋体" w:cs="宋体"/>
                <w:color w:val="000000"/>
                <w:sz w:val="22"/>
                <w:szCs w:val="22"/>
                <w:highlight w:val="none"/>
                <w:lang w:val="en-US" w:eastAsia="zh-CN"/>
              </w:rPr>
            </w:r>
            <w:r/>
          </w:p>
        </w:tc>
        <w:tc>
          <w:tcPr>
            <w:tcW w:w="2225" w:type="dxa"/>
            <w:vAlign w:val="center"/>
            <w:textDirection w:val="lrTb"/>
            <w:noWrap w:val="false"/>
          </w:tcPr>
          <w:p>
            <w:pPr>
              <w:pStyle w:val="88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合同签订后</w:t>
            </w:r>
            <w:r>
              <w:rPr>
                <w:rFonts w:hint="eastAsia" w:ascii="宋体" w:hAnsi="宋体" w:eastAsia="宋体" w:cs="宋体"/>
                <w:color w:val="000000"/>
                <w:sz w:val="22"/>
                <w:szCs w:val="22"/>
                <w:highlight w:val="none"/>
                <w:lang w:val="en-US" w:eastAsia="zh-CN"/>
              </w:rPr>
              <w:t xml:space="preserve">45</w:t>
            </w:r>
            <w:r>
              <w:rPr>
                <w:rFonts w:hint="eastAsia" w:ascii="宋体" w:hAnsi="宋体" w:eastAsia="宋体" w:cs="宋体"/>
                <w:color w:val="000000"/>
                <w:sz w:val="22"/>
                <w:szCs w:val="22"/>
                <w:highlight w:val="none"/>
              </w:rPr>
              <w:t xml:space="preserve">天内</w:t>
            </w:r>
            <w:r>
              <w:rPr>
                <w:rFonts w:hint="eastAsia" w:ascii="宋体" w:hAnsi="宋体" w:eastAsia="宋体" w:cs="宋体"/>
                <w:color w:val="000000"/>
                <w:sz w:val="22"/>
                <w:szCs w:val="22"/>
                <w:highlight w:val="none"/>
                <w:lang w:val="en-US" w:eastAsia="zh-CN"/>
              </w:rPr>
            </w:r>
            <w:r/>
          </w:p>
        </w:tc>
        <w:tc>
          <w:tcPr>
            <w:tcW w:w="1944" w:type="dxa"/>
            <w:vAlign w:val="center"/>
            <w:textDirection w:val="lrTb"/>
            <w:noWrap w:val="false"/>
          </w:tcPr>
          <w:p>
            <w:pPr>
              <w:pStyle w:val="884"/>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采购人</w:t>
            </w:r>
            <w:r>
              <w:rPr>
                <w:rFonts w:hint="eastAsia" w:ascii="宋体" w:hAnsi="宋体" w:eastAsia="宋体" w:cs="宋体"/>
                <w:color w:val="000000"/>
                <w:sz w:val="22"/>
                <w:szCs w:val="22"/>
                <w:highlight w:val="none"/>
              </w:rPr>
              <w:t xml:space="preserve">指定地点</w:t>
            </w:r>
            <w:r>
              <w:rPr>
                <w:rFonts w:hint="eastAsia" w:ascii="宋体" w:hAnsi="宋体" w:eastAsia="宋体" w:cs="宋体"/>
                <w:color w:val="000000"/>
                <w:sz w:val="22"/>
                <w:szCs w:val="22"/>
                <w:highlight w:val="none"/>
              </w:rPr>
            </w:r>
            <w:r/>
          </w:p>
        </w:tc>
      </w:tr>
      <w:tr>
        <w:trPr>
          <w:trHeight w:val="892"/>
        </w:trPr>
        <w:tc>
          <w:tcPr>
            <w:tcW w:w="882" w:type="dxa"/>
            <w:vAlign w:val="center"/>
            <w:textDirection w:val="lrTb"/>
            <w:noWrap w:val="false"/>
          </w:tcPr>
          <w:p>
            <w:pPr>
              <w:pStyle w:val="1171"/>
              <w:jc w:val="center"/>
              <w:rPr>
                <w:rFonts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02</w:t>
            </w:r>
            <w:r>
              <w:rPr>
                <w:rFonts w:ascii="宋体" w:hAnsi="宋体" w:eastAsia="宋体" w:cs="宋体"/>
                <w:bCs/>
                <w:color w:val="000000"/>
                <w:sz w:val="22"/>
                <w:szCs w:val="22"/>
                <w:highlight w:val="none"/>
                <w:lang w:val="en-US" w:eastAsia="zh-CN"/>
              </w:rPr>
            </w:r>
            <w:r/>
          </w:p>
        </w:tc>
        <w:tc>
          <w:tcPr>
            <w:tcW w:w="2877" w:type="dxa"/>
            <w:vAlign w:val="center"/>
            <w:textDirection w:val="lrTb"/>
            <w:noWrap w:val="false"/>
          </w:tcPr>
          <w:p>
            <w:pPr>
              <w:pStyle w:val="884"/>
              <w:ind w:right="97" w:firstLine="720"/>
              <w:jc w:val="both"/>
              <w:keepLines w:val="0"/>
              <w:keepNext w:val="0"/>
              <w:pageBreakBefore w:val="0"/>
              <w:spacing w:before="72" w:after="72" w:line="24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cs="宋体"/>
                <w:b w:val="0"/>
                <w:bCs w:val="0"/>
                <w:color w:val="000000"/>
                <w:sz w:val="24"/>
                <w:szCs w:val="24"/>
                <w:highlight w:val="none"/>
                <w:lang w:val="en-US" w:eastAsia="zh-CN"/>
              </w:rPr>
              <w:t xml:space="preserve">5G布控球</w:t>
            </w:r>
            <w:r>
              <w:rPr>
                <w:rFonts w:hint="eastAsia" w:ascii="宋体" w:hAnsi="宋体" w:eastAsia="宋体" w:cs="宋体"/>
                <w:color w:val="000000"/>
                <w:sz w:val="22"/>
                <w:szCs w:val="22"/>
                <w:highlight w:val="none"/>
                <w:lang w:val="en-US" w:eastAsia="zh-CN" w:bidi="ar-SA"/>
              </w:rPr>
            </w:r>
            <w:r/>
          </w:p>
        </w:tc>
        <w:tc>
          <w:tcPr>
            <w:shd w:val="clear" w:color="auto" w:fill="ffffff"/>
            <w:tcW w:w="1064" w:type="dxa"/>
            <w:vAlign w:val="center"/>
            <w:textDirection w:val="lrTb"/>
            <w:noWrap w:val="false"/>
          </w:tcPr>
          <w:p>
            <w:pPr>
              <w:pStyle w:val="88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11套</w:t>
            </w:r>
            <w:r>
              <w:rPr>
                <w:rFonts w:hint="eastAsia" w:ascii="宋体" w:hAnsi="宋体" w:eastAsia="宋体" w:cs="宋体"/>
                <w:color w:val="000000"/>
                <w:sz w:val="22"/>
                <w:szCs w:val="22"/>
                <w:highlight w:val="none"/>
                <w:lang w:val="en-US" w:eastAsia="zh-CN"/>
              </w:rPr>
            </w:r>
            <w:r/>
          </w:p>
        </w:tc>
        <w:tc>
          <w:tcPr>
            <w:tcW w:w="2225" w:type="dxa"/>
            <w:vAlign w:val="center"/>
            <w:textDirection w:val="lrTb"/>
            <w:noWrap w:val="false"/>
          </w:tcPr>
          <w:p>
            <w:pPr>
              <w:pStyle w:val="884"/>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合同签订后</w:t>
            </w:r>
            <w:r>
              <w:rPr>
                <w:rFonts w:hint="eastAsia" w:ascii="宋体" w:hAnsi="宋体" w:eastAsia="宋体" w:cs="宋体"/>
                <w:color w:val="000000"/>
                <w:sz w:val="22"/>
                <w:szCs w:val="22"/>
                <w:highlight w:val="none"/>
                <w:lang w:val="en-US" w:eastAsia="zh-CN"/>
              </w:rPr>
              <w:t xml:space="preserve">45</w:t>
            </w:r>
            <w:r>
              <w:rPr>
                <w:rFonts w:hint="eastAsia" w:ascii="宋体" w:hAnsi="宋体" w:eastAsia="宋体" w:cs="宋体"/>
                <w:color w:val="000000"/>
                <w:sz w:val="22"/>
                <w:szCs w:val="22"/>
                <w:highlight w:val="none"/>
              </w:rPr>
              <w:t xml:space="preserve">天内</w:t>
            </w:r>
            <w:r>
              <w:rPr>
                <w:rFonts w:hint="eastAsia" w:ascii="宋体" w:hAnsi="宋体" w:eastAsia="宋体" w:cs="宋体"/>
                <w:color w:val="000000"/>
                <w:sz w:val="22"/>
                <w:szCs w:val="22"/>
                <w:highlight w:val="none"/>
              </w:rPr>
            </w:r>
            <w:r/>
          </w:p>
        </w:tc>
        <w:tc>
          <w:tcPr>
            <w:tcW w:w="1944" w:type="dxa"/>
            <w:vAlign w:val="center"/>
            <w:textDirection w:val="lrTb"/>
            <w:noWrap w:val="false"/>
          </w:tcPr>
          <w:p>
            <w:pPr>
              <w:pStyle w:val="884"/>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采购人</w:t>
            </w:r>
            <w:r>
              <w:rPr>
                <w:rFonts w:hint="eastAsia" w:ascii="宋体" w:hAnsi="宋体" w:eastAsia="宋体" w:cs="宋体"/>
                <w:color w:val="000000"/>
                <w:sz w:val="22"/>
                <w:szCs w:val="22"/>
                <w:highlight w:val="none"/>
              </w:rPr>
              <w:t xml:space="preserve">指定地点</w:t>
            </w:r>
            <w:r>
              <w:rPr>
                <w:rFonts w:hint="eastAsia" w:ascii="宋体" w:hAnsi="宋体" w:eastAsia="宋体" w:cs="宋体"/>
                <w:color w:val="000000"/>
                <w:sz w:val="22"/>
                <w:szCs w:val="22"/>
                <w:highlight w:val="none"/>
              </w:rPr>
            </w:r>
            <w:r/>
          </w:p>
        </w:tc>
      </w:tr>
      <w:tr>
        <w:trPr>
          <w:trHeight w:val="892"/>
        </w:trPr>
        <w:tc>
          <w:tcPr>
            <w:tcW w:w="882" w:type="dxa"/>
            <w:vAlign w:val="center"/>
            <w:textDirection w:val="lrTb"/>
            <w:noWrap w:val="false"/>
          </w:tcPr>
          <w:p>
            <w:pPr>
              <w:pStyle w:val="1171"/>
              <w:jc w:val="center"/>
              <w:rPr>
                <w:rFonts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03</w:t>
            </w:r>
            <w:r>
              <w:rPr>
                <w:rFonts w:ascii="宋体" w:hAnsi="宋体" w:eastAsia="宋体" w:cs="宋体"/>
                <w:bCs/>
                <w:color w:val="000000"/>
                <w:sz w:val="22"/>
                <w:szCs w:val="22"/>
                <w:highlight w:val="none"/>
                <w:lang w:val="en-US" w:eastAsia="zh-CN"/>
              </w:rPr>
            </w:r>
            <w:r/>
          </w:p>
        </w:tc>
        <w:tc>
          <w:tcPr>
            <w:tcW w:w="2877" w:type="dxa"/>
            <w:vAlign w:val="center"/>
            <w:textDirection w:val="lrTb"/>
            <w:noWrap w:val="false"/>
          </w:tcPr>
          <w:p>
            <w:pPr>
              <w:pStyle w:val="884"/>
              <w:ind w:right="97" w:firstLine="960"/>
              <w:jc w:val="both"/>
              <w:keepLines w:val="0"/>
              <w:keepNext w:val="0"/>
              <w:pageBreakBefore w:val="0"/>
              <w:spacing w:before="72" w:after="72" w:line="24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cs="宋体"/>
                <w:b w:val="0"/>
                <w:bCs w:val="0"/>
                <w:color w:val="000000"/>
                <w:sz w:val="24"/>
                <w:szCs w:val="24"/>
                <w:highlight w:val="none"/>
                <w:lang w:val="en-US" w:eastAsia="zh-CN"/>
              </w:rPr>
              <w:t xml:space="preserve">无人机</w:t>
            </w:r>
            <w:r>
              <w:rPr>
                <w:rFonts w:hint="eastAsia" w:ascii="宋体" w:hAnsi="宋体" w:eastAsia="宋体" w:cs="宋体"/>
                <w:color w:val="000000"/>
                <w:sz w:val="22"/>
                <w:szCs w:val="22"/>
                <w:highlight w:val="none"/>
                <w:lang w:val="en-US" w:eastAsia="zh-CN" w:bidi="ar-SA"/>
              </w:rPr>
            </w:r>
            <w:r/>
          </w:p>
        </w:tc>
        <w:tc>
          <w:tcPr>
            <w:shd w:val="clear" w:color="auto" w:fill="ffffff"/>
            <w:tcW w:w="1064" w:type="dxa"/>
            <w:vAlign w:val="center"/>
            <w:textDirection w:val="lrTb"/>
            <w:noWrap w:val="false"/>
          </w:tcPr>
          <w:p>
            <w:pPr>
              <w:pStyle w:val="88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11套</w:t>
            </w:r>
            <w:r>
              <w:rPr>
                <w:rFonts w:hint="eastAsia" w:ascii="宋体" w:hAnsi="宋体" w:eastAsia="宋体" w:cs="宋体"/>
                <w:color w:val="000000"/>
                <w:sz w:val="22"/>
                <w:szCs w:val="22"/>
                <w:highlight w:val="none"/>
                <w:lang w:val="en-US" w:eastAsia="zh-CN"/>
              </w:rPr>
            </w:r>
            <w:r/>
          </w:p>
        </w:tc>
        <w:tc>
          <w:tcPr>
            <w:tcW w:w="2225" w:type="dxa"/>
            <w:vAlign w:val="center"/>
            <w:textDirection w:val="lrTb"/>
            <w:noWrap w:val="false"/>
          </w:tcPr>
          <w:p>
            <w:pPr>
              <w:pStyle w:val="884"/>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合同签订后</w:t>
            </w:r>
            <w:r>
              <w:rPr>
                <w:rFonts w:hint="eastAsia" w:ascii="宋体" w:hAnsi="宋体" w:eastAsia="宋体" w:cs="宋体"/>
                <w:color w:val="000000"/>
                <w:sz w:val="22"/>
                <w:szCs w:val="22"/>
                <w:highlight w:val="none"/>
                <w:lang w:val="en-US" w:eastAsia="zh-CN"/>
              </w:rPr>
              <w:t xml:space="preserve">45</w:t>
            </w:r>
            <w:r>
              <w:rPr>
                <w:rFonts w:hint="eastAsia" w:ascii="宋体" w:hAnsi="宋体" w:eastAsia="宋体" w:cs="宋体"/>
                <w:color w:val="000000"/>
                <w:sz w:val="22"/>
                <w:szCs w:val="22"/>
                <w:highlight w:val="none"/>
              </w:rPr>
              <w:t xml:space="preserve">天内</w:t>
            </w:r>
            <w:r>
              <w:rPr>
                <w:rFonts w:hint="eastAsia" w:ascii="宋体" w:hAnsi="宋体" w:eastAsia="宋体" w:cs="宋体"/>
                <w:color w:val="000000"/>
                <w:sz w:val="22"/>
                <w:szCs w:val="22"/>
                <w:highlight w:val="none"/>
              </w:rPr>
            </w:r>
            <w:r/>
          </w:p>
        </w:tc>
        <w:tc>
          <w:tcPr>
            <w:tcW w:w="1944" w:type="dxa"/>
            <w:vAlign w:val="center"/>
            <w:textDirection w:val="lrTb"/>
            <w:noWrap w:val="false"/>
          </w:tcPr>
          <w:p>
            <w:pPr>
              <w:pStyle w:val="884"/>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采购人</w:t>
            </w:r>
            <w:r>
              <w:rPr>
                <w:rFonts w:hint="eastAsia" w:ascii="宋体" w:hAnsi="宋体" w:eastAsia="宋体" w:cs="宋体"/>
                <w:color w:val="000000"/>
                <w:sz w:val="22"/>
                <w:szCs w:val="22"/>
                <w:highlight w:val="none"/>
              </w:rPr>
              <w:t xml:space="preserve">指定地点</w:t>
            </w:r>
            <w:r>
              <w:rPr>
                <w:rFonts w:hint="eastAsia" w:ascii="宋体" w:hAnsi="宋体" w:eastAsia="宋体" w:cs="宋体"/>
                <w:color w:val="000000"/>
                <w:sz w:val="22"/>
                <w:szCs w:val="22"/>
                <w:highlight w:val="none"/>
              </w:rPr>
            </w:r>
            <w:r/>
          </w:p>
        </w:tc>
      </w:tr>
    </w:tbl>
    <w:p>
      <w:pPr>
        <w:pStyle w:val="884"/>
        <w:numPr>
          <w:ilvl w:val="0"/>
          <w:numId w:val="10"/>
        </w:numPr>
        <w:jc w:val="center"/>
        <w:spacing w:line="276" w:lineRule="auto"/>
        <w:tabs>
          <w:tab w:val="left" w:pos="360" w:leader="none"/>
        </w:tabs>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28"/>
          <w:szCs w:val="22"/>
          <w:highlight w:val="none"/>
        </w:rPr>
        <w:br w:type="page" w:clear="all"/>
      </w:r>
      <w:bookmarkStart w:id="96" w:name="_Toc14651"/>
      <w:r/>
      <w:bookmarkStart w:id="97" w:name="_Toc1833"/>
      <w:r>
        <w:rPr>
          <w:rFonts w:hint="eastAsia" w:ascii="宋体" w:hAnsi="宋体" w:eastAsia="宋体" w:cs="宋体"/>
          <w:b/>
          <w:color w:val="000000"/>
          <w:sz w:val="28"/>
          <w:szCs w:val="22"/>
          <w:highlight w:val="none"/>
          <w:lang w:val="en-US" w:eastAsia="zh-CN"/>
        </w:rPr>
        <w:t xml:space="preserve"> </w:t>
      </w:r>
      <w:r>
        <w:rPr>
          <w:rFonts w:hint="eastAsia" w:ascii="宋体" w:hAnsi="宋体" w:eastAsia="宋体" w:cs="宋体"/>
          <w:b/>
          <w:color w:val="000000"/>
          <w:sz w:val="32"/>
          <w:szCs w:val="32"/>
          <w:highlight w:val="none"/>
        </w:rPr>
        <w:t xml:space="preserve">技术规格</w:t>
      </w:r>
      <w:bookmarkEnd w:id="95"/>
      <w:r/>
      <w:bookmarkEnd w:id="96"/>
      <w:r/>
      <w:bookmarkEnd w:id="97"/>
      <w:r>
        <w:rPr>
          <w:rFonts w:hint="eastAsia" w:ascii="宋体" w:hAnsi="宋体" w:eastAsia="宋体" w:cs="宋体"/>
          <w:b/>
          <w:color w:val="000000"/>
          <w:sz w:val="32"/>
          <w:szCs w:val="32"/>
          <w:highlight w:val="none"/>
        </w:rPr>
      </w:r>
      <w:r/>
    </w:p>
    <w:p>
      <w:pPr>
        <w:pStyle w:val="884"/>
        <w:shd w:val="clear" w:color="auto" w:fill="auto"/>
        <w:rPr>
          <w:rFonts w:hint="eastAsia"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品目一</w:t>
      </w:r>
      <w:r>
        <w:rPr>
          <w:rFonts w:hint="eastAsia" w:ascii="宋体" w:hAnsi="宋体" w:eastAsia="宋体" w:cs="宋体"/>
          <w:b/>
          <w:bCs/>
          <w:color w:val="000000"/>
          <w:sz w:val="28"/>
          <w:szCs w:val="28"/>
          <w:highlight w:val="none"/>
          <w:lang w:val="en-US" w:eastAsia="zh-CN"/>
        </w:rPr>
        <w:t xml:space="preserve">：车载电子抓拍</w:t>
      </w:r>
      <w:r>
        <w:rPr>
          <w:rFonts w:hint="eastAsia" w:ascii="宋体" w:hAnsi="宋体" w:eastAsia="宋体" w:cs="宋体"/>
          <w:b/>
          <w:bCs/>
          <w:color w:val="000000"/>
          <w:sz w:val="28"/>
          <w:szCs w:val="28"/>
          <w:highlight w:val="none"/>
          <w:lang w:val="en-US" w:eastAsia="zh-CN"/>
        </w:rPr>
      </w:r>
      <w:r/>
    </w:p>
    <w:p>
      <w:pPr>
        <w:pStyle w:val="884"/>
        <w:ind w:firstLine="210"/>
        <w:jc w:val="left"/>
        <w:spacing w:before="78" w:after="78"/>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系统由1台车载取证主机、1台智能云台摄像机、1个触摸高清屏、1个手控器和相关配件组成。</w:t>
      </w:r>
      <w:r>
        <w:rPr>
          <w:rFonts w:hint="eastAsia" w:ascii="宋体" w:hAnsi="宋体" w:eastAsia="宋体" w:cs="宋体"/>
          <w:color w:val="000000"/>
          <w:szCs w:val="21"/>
          <w:highlight w:val="none"/>
        </w:rPr>
      </w:r>
      <w:r/>
    </w:p>
    <w:p>
      <w:pPr>
        <w:pStyle w:val="896"/>
        <w:ind w:firstLine="211"/>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b/>
          <w:bCs/>
          <w:color w:val="000000"/>
          <w:sz w:val="21"/>
          <w:szCs w:val="22"/>
          <w:highlight w:val="none"/>
          <w:lang w:val="en-US" w:eastAsia="zh-CN" w:bidi="ar-SA"/>
        </w:rPr>
        <w:t xml:space="preserve">1、技术要求：</w:t>
      </w:r>
      <w:r>
        <w:rPr>
          <w:rFonts w:hint="eastAsia" w:ascii="Calibri" w:hAnsi="Calibri" w:eastAsia="宋体" w:cs="Times New Roman"/>
          <w:color w:val="000000"/>
          <w:sz w:val="21"/>
          <w:szCs w:val="22"/>
          <w:highlight w:val="none"/>
          <w:lang w:val="en-US" w:eastAsia="zh-CN" w:bidi="ar-SA"/>
        </w:rPr>
      </w:r>
      <w:r/>
    </w:p>
    <w:p>
      <w:pPr>
        <w:pStyle w:val="896"/>
        <w:ind w:left="210" w:firstLine="0"/>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（1）接入方式：支持多种接入方式，含Lt2p隧道模式、VPN模式、APN模式等；通过注册制不固定IP地址的方式连接南京市交通综合执法视频监控平台，如若产生的额外费用由乙方承担；</w:t>
      </w:r>
      <w:r>
        <w:rPr>
          <w:rFonts w:hint="eastAsia" w:ascii="Calibri" w:hAnsi="Calibri" w:eastAsia="宋体" w:cs="Times New Roman"/>
          <w:color w:val="000000"/>
          <w:sz w:val="21"/>
          <w:szCs w:val="22"/>
          <w:highlight w:val="none"/>
          <w:lang w:val="en-US" w:eastAsia="zh-CN" w:bidi="ar-SA"/>
        </w:rPr>
      </w:r>
      <w:r/>
    </w:p>
    <w:p>
      <w:pPr>
        <w:pStyle w:val="884"/>
        <w:ind w:firstLine="210"/>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（2）具有车牌识别功能，可将抓拍识别到的车牌信息对接传输到后台做车牌黑名单对比</w:t>
      </w:r>
      <w:r>
        <w:rPr>
          <w:rFonts w:hint="eastAsia" w:ascii="Calibri" w:hAnsi="Calibri" w:eastAsia="宋体" w:cs="Times New Roman"/>
          <w:color w:val="000000"/>
          <w:sz w:val="21"/>
          <w:szCs w:val="22"/>
          <w:highlight w:val="none"/>
          <w:lang w:val="en-US" w:eastAsia="zh-CN" w:bidi="ar-SA"/>
        </w:rPr>
      </w:r>
      <w:r/>
    </w:p>
    <w:p>
      <w:pPr>
        <w:pStyle w:val="896"/>
        <w:ind w:firstLine="210"/>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（3）每台免费提供流量卡：≥100G/月，三年，建立流量池</w:t>
      </w:r>
      <w:r>
        <w:rPr>
          <w:rFonts w:hint="eastAsia" w:ascii="Calibri" w:hAnsi="Calibri" w:eastAsia="宋体" w:cs="Times New Roman"/>
          <w:color w:val="000000"/>
          <w:sz w:val="21"/>
          <w:szCs w:val="22"/>
          <w:highlight w:val="none"/>
          <w:lang w:val="en-US" w:eastAsia="zh-CN" w:bidi="ar-SA"/>
        </w:rPr>
      </w:r>
      <w:r/>
    </w:p>
    <w:p>
      <w:pPr>
        <w:pStyle w:val="884"/>
        <w:ind w:firstLine="211"/>
        <w:jc w:val="left"/>
        <w:spacing w:before="78" w:after="78"/>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、车载取证主机：</w:t>
      </w:r>
      <w:r>
        <w:rPr>
          <w:rFonts w:ascii="宋体" w:hAnsi="宋体" w:eastAsia="宋体" w:cs="宋体"/>
          <w:b/>
          <w:bCs/>
          <w:color w:val="000000"/>
          <w:szCs w:val="21"/>
          <w:highlight w:val="none"/>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支持不低于2路模拟视频信号输入（4芯M12航空接口），支持本地音频，支持HDCVI，AHD，TVI，CVBS制式；</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相机接入不低于10路：2路模拟+8路IPC；</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支持8路POE RJ45接口，支持全通道1080P；</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编码分辨率支持1080P/720P/960H/D1/CIF；</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支持双码流（辅码流最高支持D1编码）；</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视频输出：支持VGA输出（1280X1024,800X600），M16航空头接口支持HDMI输出支持CVBS输出，EXTEND转接；</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支持手机接入：iOS、 Android；</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支持内置Wi-Fi，可连接WIFI网络；</w:t>
      </w:r>
      <w:r>
        <w:rPr>
          <w:rFonts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▲设备需通过卫星定位导航设备单北斗检测</w:t>
      </w:r>
      <w:r>
        <w:rPr>
          <w:rFonts w:hint="eastAsia" w:ascii="宋体" w:hAnsi="宋体" w:eastAsia="宋体" w:cs="宋体"/>
          <w:b/>
          <w:bCs/>
          <w:color w:val="000000"/>
          <w:sz w:val="21"/>
          <w:szCs w:val="22"/>
          <w:highlight w:val="none"/>
          <w:lang w:val="en-US" w:eastAsia="zh-CN" w:bidi="ar-SA"/>
        </w:rPr>
        <w:t xml:space="preserve">（提供国家无线电监测中心检测中心或第三方权威机构检测报告复印件并加盖原厂公章）</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left"/>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设备升级需支持web升级、U盘升级、远程平台升级、升级工具升级；</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硬盘接口不低于2个2.5寸硬盘（SATA接口）；</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SD卡：支持1张，最大支持512G；</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语音对讲输入：支持；</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▲支持北斗模</w:t>
      </w:r>
      <w:r>
        <w:rPr>
          <w:rFonts w:hint="eastAsia" w:ascii="宋体" w:hAnsi="宋体" w:eastAsia="宋体" w:cs="宋体"/>
          <w:b/>
          <w:bCs/>
          <w:color w:val="000000"/>
          <w:sz w:val="21"/>
          <w:szCs w:val="21"/>
          <w:highlight w:val="none"/>
          <w:lang w:val="en-US" w:eastAsia="zh-CN" w:bidi="ar-SA"/>
        </w:rPr>
        <w:t xml:space="preserve">块，能获取到经纬度数据定位信息可叠加在图像上;支持天线状态检测;冷启动定位时间≤(80±5)s热启动定位时间≤(10士2)s（提供公安部检测报告或第三方权威机构检测报告复印件并加盖原厂公章）</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设备具有RS-232接口不少于3个：1个VGA触摸，一个7芯SPK接口，一个EXTEND接口；</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设备具有RS-485接口1个；</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USB接口不少于3个:其中2个前置USB3.0，一个后置EXTEND转接USB2.0；</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HDMI接口不少于1个；</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VGA接口1个；</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CAN1路；</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网络接口支持1路前置RJ45接口（千兆）；</w:t>
      </w:r>
      <w:r>
        <w:rPr>
          <w:rFonts w:hint="eastAsia" w:ascii="Calibri" w:hAnsi="Calibri" w:eastAsia="宋体" w:cs="Times New Roman"/>
          <w:color w:val="000000"/>
          <w:sz w:val="21"/>
          <w:szCs w:val="22"/>
          <w:highlight w:val="none"/>
          <w:lang w:val="en-US" w:eastAsia="zh-CN" w:bidi="ar-SA"/>
        </w:rPr>
      </w:r>
      <w:r/>
    </w:p>
    <w:p>
      <w:pPr>
        <w:pStyle w:val="884"/>
        <w:numPr>
          <w:ilvl w:val="0"/>
          <w:numId w:val="11"/>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供电方式：DC6V-36V 内置UPS（支持断电正常关机保护和汽车电瓶欠压保护）；</w:t>
      </w:r>
      <w:r>
        <w:rPr>
          <w:rFonts w:hint="eastAsia" w:ascii="Calibri" w:hAnsi="Calibri" w:eastAsia="宋体" w:cs="Times New Roman"/>
          <w:color w:val="000000"/>
          <w:sz w:val="21"/>
          <w:szCs w:val="22"/>
          <w:highlight w:val="none"/>
          <w:lang w:val="en-US" w:eastAsia="zh-CN" w:bidi="ar-SA"/>
        </w:rPr>
      </w:r>
      <w:r/>
    </w:p>
    <w:p>
      <w:pPr>
        <w:pStyle w:val="884"/>
        <w:ind w:firstLine="211"/>
        <w:jc w:val="left"/>
        <w:spacing w:before="78" w:after="78"/>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、智能云台摄像机：</w:t>
      </w:r>
      <w:r>
        <w:rPr>
          <w:rFonts w:hint="eastAsia" w:ascii="宋体" w:hAnsi="宋体" w:eastAsia="宋体" w:cs="宋体"/>
          <w:b/>
          <w:bCs/>
          <w:color w:val="000000"/>
          <w:szCs w:val="21"/>
          <w:highlight w:val="none"/>
        </w:rPr>
      </w:r>
      <w:r/>
    </w:p>
    <w:p>
      <w:pPr>
        <w:pStyle w:val="884"/>
        <w:numPr>
          <w:ilvl w:val="0"/>
          <w:numId w:val="12"/>
        </w:numPr>
        <w:ind w:left="420" w:hanging="420"/>
        <w:jc w:val="both"/>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采用不低于400万像素1/2.8英寸CMOS 传感器</w:t>
      </w:r>
      <w:r>
        <w:rPr>
          <w:rFonts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支持不低于32倍光学变倍，16倍数字变倍</w:t>
      </w:r>
      <w:r>
        <w:rPr>
          <w:rFonts w:hint="eastAsia"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支持星光级超低照度，彩色：0.005lux@F1.6，黑白：0.0005lux@F1.6</w:t>
      </w:r>
      <w:r>
        <w:rPr>
          <w:rFonts w:hint="eastAsia"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支持H.265编码，实现超低码流传输 </w:t>
      </w:r>
      <w:r>
        <w:rPr>
          <w:rFonts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▲云台转动应平稳,允许有轻微抖动,但不应影响输出图像的观看效果（提供公安部有效检测报告复印件加盖原厂公章或投标专用章）</w:t>
      </w:r>
      <w:r>
        <w:rPr>
          <w:rFonts w:hint="eastAsia"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▲可识别距样机200m处的人体轮廓，检测结果：大气能见度15km,环境平均光照度1×101x,符合要求（提供公安部有效检测报告复印件加盖原厂公章或投标专用章）</w:t>
      </w:r>
      <w:r>
        <w:rPr>
          <w:rFonts w:hint="eastAsia"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内置150米红外外灯补光，采用倍率与红外灯功率匹配算法，补光效果更均匀</w:t>
      </w:r>
      <w:r>
        <w:rPr>
          <w:rFonts w:hint="eastAsia"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水平方向360°连续旋转，垂直方向-90°～90°后连续监视,无监视盲区</w:t>
      </w:r>
      <w:r>
        <w:rPr>
          <w:rFonts w:hint="eastAsia"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支持300个预置位，8条巡航路径，5条巡迹路径</w:t>
      </w:r>
      <w:r>
        <w:rPr>
          <w:rFonts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▲可以按照所设置的预置位完成8条巡航路径。每条巡航可以添加32个预置点。在IE浏览器下,具有一键巡航控制按钮,支持一键巡航（提供公安部有效检测报告复印件加盖原厂公章或投标专用章）</w:t>
      </w:r>
      <w:r>
        <w:rPr>
          <w:rFonts w:hint="eastAsia"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支持手动雨刷功能</w:t>
      </w:r>
      <w:r>
        <w:rPr>
          <w:rFonts w:hint="eastAsia"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支持IP67防护等级，6000V防雷、防浪涌和防突波保护</w:t>
      </w:r>
      <w:r>
        <w:rPr>
          <w:rFonts w:hint="eastAsia"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支持DC10.8V ~ DC18V宽电压输入</w:t>
      </w:r>
      <w:r>
        <w:rPr>
          <w:rFonts w:hint="eastAsia" w:ascii="Calibri" w:hAnsi="Calibri" w:eastAsia="宋体" w:cs="Times New Roman"/>
          <w:color w:val="000000"/>
          <w:sz w:val="21"/>
          <w:szCs w:val="22"/>
          <w:highlight w:val="none"/>
          <w:lang w:val="en-US" w:eastAsia="zh-CN" w:bidi="ar-SA"/>
        </w:rPr>
      </w:r>
      <w:r/>
    </w:p>
    <w:p>
      <w:pPr>
        <w:pStyle w:val="884"/>
        <w:numPr>
          <w:ilvl w:val="0"/>
          <w:numId w:val="12"/>
        </w:numPr>
        <w:ind w:left="420" w:hanging="420"/>
        <w:jc w:val="both"/>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支持国密算法SM1、SM2、SM3、SM4，支持GB35114 A级</w:t>
      </w:r>
      <w:r>
        <w:rPr>
          <w:rFonts w:ascii="Calibri" w:hAnsi="Calibri" w:eastAsia="宋体" w:cs="Times New Roman"/>
          <w:color w:val="000000"/>
          <w:sz w:val="21"/>
          <w:szCs w:val="22"/>
          <w:highlight w:val="none"/>
          <w:lang w:val="en-US" w:eastAsia="zh-CN" w:bidi="ar-SA"/>
        </w:rPr>
      </w:r>
      <w:r/>
    </w:p>
    <w:p>
      <w:pPr>
        <w:pStyle w:val="884"/>
        <w:ind w:left="420" w:firstLine="0"/>
        <w:jc w:val="left"/>
        <w:spacing w:before="78" w:after="78"/>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4、触摸高清屏：</w:t>
      </w:r>
      <w:r>
        <w:rPr>
          <w:rFonts w:ascii="宋体" w:hAnsi="宋体" w:eastAsia="宋体" w:cs="宋体"/>
          <w:b/>
          <w:bCs/>
          <w:color w:val="000000"/>
          <w:sz w:val="21"/>
          <w:szCs w:val="21"/>
          <w:highlight w:val="none"/>
          <w:lang w:val="en-US" w:eastAsia="zh-CN" w:bidi="ar-SA"/>
        </w:rPr>
      </w:r>
      <w:r/>
    </w:p>
    <w:p>
      <w:pPr>
        <w:pStyle w:val="884"/>
        <w:numPr>
          <w:ilvl w:val="0"/>
          <w:numId w:val="13"/>
        </w:numPr>
        <w:ind w:left="420" w:hanging="420"/>
        <w:jc w:val="left"/>
        <w:spacing w:before="78" w:after="78"/>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≥7寸液晶显示屏，；</w:t>
      </w:r>
      <w:r>
        <w:rPr>
          <w:rFonts w:ascii="宋体" w:hAnsi="宋体" w:eastAsia="宋体" w:cs="宋体"/>
          <w:color w:val="000000"/>
          <w:sz w:val="21"/>
          <w:szCs w:val="21"/>
          <w:highlight w:val="none"/>
          <w:lang w:val="en-US" w:eastAsia="zh-CN" w:bidi="ar-SA"/>
        </w:rPr>
      </w:r>
      <w:r/>
    </w:p>
    <w:p>
      <w:pPr>
        <w:pStyle w:val="884"/>
        <w:numPr>
          <w:ilvl w:val="0"/>
          <w:numId w:val="13"/>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支持高清画质；</w:t>
      </w:r>
      <w:r>
        <w:rPr>
          <w:rFonts w:hint="eastAsia" w:ascii="宋体" w:hAnsi="宋体" w:eastAsia="宋体" w:cs="宋体"/>
          <w:color w:val="000000"/>
          <w:sz w:val="21"/>
          <w:szCs w:val="21"/>
          <w:highlight w:val="none"/>
          <w:lang w:val="en-US" w:eastAsia="zh-CN" w:bidi="ar-SA"/>
        </w:rPr>
      </w:r>
      <w:r/>
    </w:p>
    <w:p>
      <w:pPr>
        <w:pStyle w:val="884"/>
        <w:numPr>
          <w:ilvl w:val="0"/>
          <w:numId w:val="13"/>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支持触摸屏操作；</w:t>
      </w:r>
      <w:r>
        <w:rPr>
          <w:rFonts w:hint="eastAsia" w:ascii="宋体" w:hAnsi="宋体" w:eastAsia="宋体" w:cs="宋体"/>
          <w:color w:val="000000"/>
          <w:sz w:val="21"/>
          <w:szCs w:val="21"/>
          <w:highlight w:val="none"/>
          <w:lang w:val="en-US" w:eastAsia="zh-CN" w:bidi="ar-SA"/>
        </w:rPr>
      </w:r>
      <w:r/>
    </w:p>
    <w:p>
      <w:pPr>
        <w:pStyle w:val="884"/>
        <w:numPr>
          <w:ilvl w:val="0"/>
          <w:numId w:val="13"/>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实时显示取证画面；</w:t>
      </w:r>
      <w:r>
        <w:rPr>
          <w:rFonts w:hint="eastAsia" w:ascii="宋体" w:hAnsi="宋体" w:eastAsia="宋体" w:cs="宋体"/>
          <w:color w:val="000000"/>
          <w:sz w:val="21"/>
          <w:szCs w:val="21"/>
          <w:highlight w:val="none"/>
          <w:lang w:val="en-US" w:eastAsia="zh-CN" w:bidi="ar-SA"/>
        </w:rPr>
      </w:r>
      <w:r/>
    </w:p>
    <w:p>
      <w:pPr>
        <w:pStyle w:val="884"/>
        <w:numPr>
          <w:ilvl w:val="0"/>
          <w:numId w:val="13"/>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1路视频VGA输入</w:t>
      </w:r>
      <w:r>
        <w:rPr>
          <w:rFonts w:hint="eastAsia" w:ascii="宋体" w:hAnsi="宋体" w:eastAsia="宋体" w:cs="宋体"/>
          <w:color w:val="000000"/>
          <w:sz w:val="21"/>
          <w:szCs w:val="21"/>
          <w:highlight w:val="none"/>
          <w:lang w:val="en-US" w:eastAsia="zh-CN" w:bidi="ar-SA"/>
        </w:rPr>
      </w:r>
      <w:r/>
    </w:p>
    <w:p>
      <w:pPr>
        <w:pStyle w:val="884"/>
        <w:numPr>
          <w:ilvl w:val="0"/>
          <w:numId w:val="13"/>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1路音频输入、扬声器输出</w:t>
      </w:r>
      <w:r>
        <w:rPr>
          <w:rFonts w:hint="eastAsia" w:ascii="宋体" w:hAnsi="宋体" w:eastAsia="宋体" w:cs="宋体"/>
          <w:color w:val="000000"/>
          <w:sz w:val="21"/>
          <w:szCs w:val="21"/>
          <w:highlight w:val="none"/>
          <w:lang w:val="en-US" w:eastAsia="zh-CN" w:bidi="ar-SA"/>
        </w:rPr>
      </w:r>
      <w:r/>
    </w:p>
    <w:p>
      <w:pPr>
        <w:pStyle w:val="884"/>
        <w:numPr>
          <w:ilvl w:val="0"/>
          <w:numId w:val="13"/>
        </w:numPr>
        <w:ind w:left="420" w:hanging="420"/>
        <w:jc w:val="left"/>
        <w:spacing w:before="78" w:after="78"/>
        <w:widowControl/>
        <w:rPr>
          <w:rFonts w:ascii="Calibri" w:hAnsi="Calibri" w:eastAsia="宋体" w:cs="Times New Roman"/>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支持手势滑动缩放来控制主机云台通道的转动和缩放</w:t>
      </w:r>
      <w:r>
        <w:rPr>
          <w:rFonts w:ascii="Calibri" w:hAnsi="Calibri" w:eastAsia="宋体" w:cs="Times New Roman"/>
          <w:color w:val="000000"/>
          <w:sz w:val="21"/>
          <w:szCs w:val="22"/>
          <w:highlight w:val="none"/>
          <w:lang w:val="en-US" w:eastAsia="zh-CN" w:bidi="ar-SA"/>
        </w:rPr>
      </w:r>
      <w:r/>
    </w:p>
    <w:p>
      <w:pPr>
        <w:pStyle w:val="884"/>
        <w:ind w:left="420" w:firstLine="0"/>
        <w:jc w:val="left"/>
        <w:spacing w:before="78" w:after="78"/>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5、手控器：</w:t>
      </w:r>
      <w:r>
        <w:rPr>
          <w:rFonts w:ascii="宋体" w:hAnsi="宋体" w:eastAsia="宋体" w:cs="宋体"/>
          <w:b/>
          <w:bCs/>
          <w:color w:val="000000"/>
          <w:sz w:val="21"/>
          <w:szCs w:val="21"/>
          <w:highlight w:val="none"/>
          <w:lang w:val="en-US" w:eastAsia="zh-CN" w:bidi="ar-SA"/>
        </w:rPr>
      </w:r>
      <w:r/>
    </w:p>
    <w:p>
      <w:pPr>
        <w:pStyle w:val="884"/>
        <w:numPr>
          <w:ilvl w:val="0"/>
          <w:numId w:val="14"/>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与警用主机配合使用，通过遥感和按键控制主机录像，备份，智能</w:t>
      </w:r>
      <w:r>
        <w:rPr>
          <w:rFonts w:hint="eastAsia" w:ascii="宋体" w:hAnsi="宋体" w:eastAsia="宋体" w:cs="宋体"/>
          <w:color w:val="000000"/>
          <w:sz w:val="21"/>
          <w:szCs w:val="21"/>
          <w:highlight w:val="none"/>
          <w:lang w:val="en-US" w:eastAsia="zh-CN" w:bidi="ar-SA"/>
        </w:rPr>
      </w:r>
      <w:r/>
    </w:p>
    <w:p>
      <w:pPr>
        <w:pStyle w:val="884"/>
        <w:numPr>
          <w:ilvl w:val="0"/>
          <w:numId w:val="14"/>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支持指示灯状态显示</w:t>
      </w:r>
      <w:r>
        <w:rPr>
          <w:rFonts w:hint="eastAsia" w:ascii="宋体" w:hAnsi="宋体" w:eastAsia="宋体" w:cs="宋体"/>
          <w:color w:val="000000"/>
          <w:sz w:val="21"/>
          <w:szCs w:val="21"/>
          <w:highlight w:val="none"/>
          <w:lang w:val="en-US" w:eastAsia="zh-CN" w:bidi="ar-SA"/>
        </w:rPr>
      </w:r>
      <w:r/>
    </w:p>
    <w:p>
      <w:pPr>
        <w:pStyle w:val="884"/>
        <w:numPr>
          <w:ilvl w:val="0"/>
          <w:numId w:val="14"/>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四维摇杆，按键数量达23个</w:t>
      </w:r>
      <w:r>
        <w:rPr>
          <w:rFonts w:hint="eastAsia" w:ascii="宋体" w:hAnsi="宋体" w:eastAsia="宋体" w:cs="宋体"/>
          <w:color w:val="000000"/>
          <w:sz w:val="21"/>
          <w:szCs w:val="21"/>
          <w:highlight w:val="none"/>
          <w:lang w:val="en-US" w:eastAsia="zh-CN" w:bidi="ar-SA"/>
        </w:rPr>
      </w:r>
      <w:r/>
    </w:p>
    <w:p>
      <w:pPr>
        <w:pStyle w:val="884"/>
        <w:numPr>
          <w:ilvl w:val="0"/>
          <w:numId w:val="14"/>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支持电子锁一键控制主机开关</w:t>
      </w:r>
      <w:r>
        <w:rPr>
          <w:rFonts w:hint="eastAsia" w:ascii="宋体" w:hAnsi="宋体" w:eastAsia="宋体" w:cs="宋体"/>
          <w:color w:val="000000"/>
          <w:sz w:val="21"/>
          <w:szCs w:val="21"/>
          <w:highlight w:val="none"/>
          <w:lang w:val="en-US" w:eastAsia="zh-CN" w:bidi="ar-SA"/>
        </w:rPr>
      </w:r>
      <w:r/>
    </w:p>
    <w:p>
      <w:pPr>
        <w:pStyle w:val="884"/>
        <w:numPr>
          <w:ilvl w:val="0"/>
          <w:numId w:val="14"/>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支持USB232485接口通信</w:t>
      </w:r>
      <w:r>
        <w:rPr>
          <w:rFonts w:hint="eastAsia" w:ascii="宋体" w:hAnsi="宋体" w:eastAsia="宋体" w:cs="宋体"/>
          <w:color w:val="000000"/>
          <w:sz w:val="21"/>
          <w:szCs w:val="21"/>
          <w:highlight w:val="none"/>
          <w:lang w:val="en-US" w:eastAsia="zh-CN" w:bidi="ar-SA"/>
        </w:rPr>
      </w:r>
      <w:r/>
    </w:p>
    <w:p>
      <w:pPr>
        <w:pStyle w:val="884"/>
        <w:numPr>
          <w:ilvl w:val="0"/>
          <w:numId w:val="14"/>
        </w:numPr>
        <w:ind w:left="420" w:hanging="420"/>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支持u盘、鼠标、SD卡接入，方便录像备份</w:t>
      </w:r>
      <w:r>
        <w:rPr>
          <w:rFonts w:hint="eastAsia" w:ascii="宋体" w:hAnsi="宋体" w:eastAsia="宋体" w:cs="宋体"/>
          <w:color w:val="000000"/>
          <w:sz w:val="21"/>
          <w:szCs w:val="21"/>
          <w:highlight w:val="none"/>
          <w:lang w:val="en-US" w:eastAsia="zh-CN" w:bidi="ar-SA"/>
        </w:rPr>
      </w:r>
      <w:r/>
    </w:p>
    <w:p>
      <w:pPr>
        <w:pStyle w:val="884"/>
        <w:ind w:left="420" w:firstLine="0"/>
        <w:jc w:val="left"/>
        <w:spacing w:before="78" w:after="78"/>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6、支架及安装：</w:t>
      </w:r>
      <w:r>
        <w:rPr>
          <w:rFonts w:hint="eastAsia" w:ascii="宋体" w:hAnsi="宋体" w:eastAsia="宋体" w:cs="宋体"/>
          <w:b/>
          <w:bCs/>
          <w:color w:val="000000"/>
          <w:sz w:val="21"/>
          <w:szCs w:val="21"/>
          <w:highlight w:val="none"/>
          <w:lang w:val="en-US" w:eastAsia="zh-CN" w:bidi="ar-SA"/>
        </w:rPr>
      </w:r>
      <w:r/>
    </w:p>
    <w:p>
      <w:pPr>
        <w:pStyle w:val="884"/>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（1）免费定制支架并负责设备安装；</w:t>
      </w:r>
      <w:r>
        <w:rPr>
          <w:rFonts w:hint="eastAsia" w:ascii="宋体" w:hAnsi="宋体" w:eastAsia="宋体" w:cs="宋体"/>
          <w:color w:val="000000"/>
          <w:sz w:val="21"/>
          <w:szCs w:val="21"/>
          <w:highlight w:val="none"/>
          <w:lang w:val="en-US" w:eastAsia="zh-CN" w:bidi="ar-SA"/>
        </w:rPr>
      </w:r>
      <w:r/>
    </w:p>
    <w:p>
      <w:pPr>
        <w:pStyle w:val="884"/>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（2）高强度工业铝合金及不锈钢架构；</w:t>
      </w:r>
      <w:r>
        <w:rPr>
          <w:rFonts w:hint="eastAsia" w:ascii="宋体" w:hAnsi="宋体" w:eastAsia="宋体" w:cs="宋体"/>
          <w:color w:val="000000"/>
          <w:sz w:val="21"/>
          <w:szCs w:val="21"/>
          <w:highlight w:val="none"/>
          <w:lang w:val="en-US" w:eastAsia="zh-CN" w:bidi="ar-SA"/>
        </w:rPr>
      </w:r>
      <w:r/>
    </w:p>
    <w:p>
      <w:pPr>
        <w:pStyle w:val="884"/>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（3）采用横装式安装方式，不破坏车顶；</w:t>
      </w:r>
      <w:r>
        <w:rPr>
          <w:rFonts w:hint="eastAsia" w:ascii="宋体" w:hAnsi="宋体" w:eastAsia="宋体" w:cs="宋体"/>
          <w:color w:val="000000"/>
          <w:sz w:val="21"/>
          <w:szCs w:val="21"/>
          <w:highlight w:val="none"/>
          <w:lang w:val="en-US" w:eastAsia="zh-CN" w:bidi="ar-SA"/>
        </w:rPr>
      </w:r>
      <w:r/>
    </w:p>
    <w:p>
      <w:pPr>
        <w:pStyle w:val="884"/>
        <w:jc w:val="left"/>
        <w:spacing w:before="78" w:after="78"/>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（4）采用独立悬挂减震设计，不产生共震。</w:t>
      </w:r>
      <w:r>
        <w:rPr>
          <w:rFonts w:hint="eastAsia" w:ascii="宋体" w:hAnsi="宋体" w:eastAsia="宋体" w:cs="宋体"/>
          <w:color w:val="000000"/>
          <w:sz w:val="21"/>
          <w:szCs w:val="21"/>
          <w:highlight w:val="none"/>
          <w:lang w:val="en-US" w:eastAsia="zh-CN" w:bidi="ar-SA"/>
        </w:rPr>
      </w:r>
      <w:r/>
    </w:p>
    <w:p>
      <w:pPr>
        <w:pStyle w:val="896"/>
        <w:rPr>
          <w:rFonts w:hint="eastAsia"/>
          <w:color w:val="000000"/>
          <w:highlight w:val="none"/>
          <w:lang w:val="en-US" w:eastAsia="zh-CN"/>
        </w:rPr>
      </w:pPr>
      <w:r>
        <w:rPr>
          <w:rFonts w:hint="eastAsia"/>
          <w:color w:val="000000"/>
          <w:highlight w:val="none"/>
          <w:lang w:val="en-US" w:eastAsia="zh-CN"/>
        </w:rPr>
      </w:r>
      <w:r/>
    </w:p>
    <w:p>
      <w:pPr>
        <w:pStyle w:val="896"/>
        <w:rPr>
          <w:rFonts w:hint="eastAsia"/>
          <w:color w:val="000000"/>
          <w:highlight w:val="none"/>
          <w:lang w:val="en-US" w:eastAsia="zh-CN"/>
        </w:rPr>
      </w:pPr>
      <w:r>
        <w:rPr>
          <w:rFonts w:hint="eastAsia"/>
          <w:color w:val="000000"/>
          <w:highlight w:val="none"/>
          <w:lang w:val="en-US" w:eastAsia="zh-CN"/>
        </w:rPr>
      </w:r>
      <w:r/>
    </w:p>
    <w:p>
      <w:pPr>
        <w:pStyle w:val="884"/>
        <w:ind w:left="420" w:firstLine="0"/>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ind w:left="420" w:firstLine="0"/>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ind w:left="420" w:firstLine="0"/>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品目二：5G布控球（核心产品）</w:t>
      </w:r>
      <w:r>
        <w:rPr>
          <w:rFonts w:hint="eastAsia" w:ascii="宋体" w:hAnsi="宋体" w:eastAsia="宋体" w:cs="宋体"/>
          <w:b/>
          <w:bCs/>
          <w:color w:val="000000"/>
          <w:sz w:val="28"/>
          <w:szCs w:val="28"/>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设备应具有1个全景摄像头和1个特写摄像头，支持两个摄像头同时预览，传感器靶面尺寸都不小于1/1.8英寸CMOS，光学变倍不小于40倍。（提供公安部检测报告或第三方权威机构检测报告复印件并加盖原厂公章）</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2、设备应支持双TF卡存储，可将视频图像存储至SD卡或网络服务器，支持SD卡热插拔，单卡最大支持512GB。</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3、分辨率要求：细节摄像机分辨率≥2560×1440，全景摄像机分辨率≥3840×2160。</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4、设备应支持水平方向360°连续旋转，垂直方向-20°～90°。</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5、设备应支持宽动态。</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6、设备应支持3码流。</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7、设备应支持红外补光，最大补光距离不小于100m。</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8、定位功能检验：标配北斗单模定位功能,并可在监控画面叠加样机所在的经纬度信息。</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9、设备应支持隐私遮挡，最多24块多边形区域，同时最多有8块区域在同一画面；支持多种颜色和马赛克可选。</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10、设备应自带不小于2.4寸LCD触摸显示屏，可支持视频预览，云台控制，可显示当前电池电量、GPS状态、3G/4G/5G状态、录像状态、存储容量、蓝牙状态、平台连接状态Wi-Fi状态。</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11、设备应支持防护等级IP66TVS 6000V防雷、防浪涌和防突波保护。</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12、设备应支持周界防范功能，其中包括支持绊线入侵，支持区域入侵，支持穿越围栏，支持徘徊监视，支持物品遗留，支持物品搬移，支持快速移动，支持停车监视，支持人员聚集，支持人车分类报警。</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13、设备应支持人脸识别，其中包括支持人脸监视，属性提取。</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14、设备应支持作业监测，其中包括支持5种颜色，红色、白色、蓝色、黄色、橙色安全帽颜色监视；支持工作服监视（支持工作服导入导出）；支持单人作业监视；支持人员脱岗监视；支持口罩及手套监视。</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15、设备应支持视频结构化，其中支持机动车、非机动车、人员抓拍，属性提取。</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16、支持车牌识别，可将抓拍识别到的车牌信息对接传输到后台做车牌黑名单对比。</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17、设备应支持自动跟踪。</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18、▲设备应具有三个SIM卡卡槽，具有3个SIM卡槽，支持移动、联通、电信5G/4GSIM卡；可通过SIM卡连接到电信、移动、联通的4G/5G网络。（提供公安部检测报告或第三方权威机构检测报告复印件并加盖原厂公章）</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19、设备应内置2个麦克风，2个扬声器。</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20、▲在温度-20±3℃、持续时间24h条件下,设备处于工作状态后应能正常工作，手动控制功能应正常,外观、结构及手动控制功能应正常。（提供公安部检测报告或第三方权威机构检测报告复印件并加盖原厂公章）</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21、在温度60±2℃、持续时间24h条件下,设备处于工作状态后应能正常工作，手动控制功能应正常,外观、结构及手动控制功能应正常。</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22、▲存储功能检验:可将视频图像存储至SD/TF卡或网络服务器,支持SD/TF卡热插拔,单卡最大支持512GB,可存储20万张人脸图片（提供公安部检测报告或第三方权威机构检测报告复印件并加盖原厂公章）</w:t>
      </w:r>
      <w:r>
        <w:rPr>
          <w:rFonts w:hint="eastAsia" w:ascii="宋体" w:hAnsi="宋体" w:eastAsia="宋体" w:cs="宋体"/>
          <w:b w:val="0"/>
          <w:bCs w:val="0"/>
          <w:color w:val="000000"/>
          <w:sz w:val="21"/>
          <w:szCs w:val="21"/>
          <w:highlight w:val="none"/>
          <w:lang w:val="en-US" w:eastAsia="zh-CN" w:bidi="ar-SA"/>
        </w:rPr>
      </w:r>
      <w:r/>
    </w:p>
    <w:p>
      <w:pPr>
        <w:pStyle w:val="896"/>
        <w:ind w:left="420" w:firstLine="0"/>
        <w:rPr>
          <w:color w:val="000000"/>
          <w:highlight w:val="none"/>
          <w:lang w:val="en-US" w:eastAsia="zh-CN"/>
        </w:rPr>
      </w:pPr>
      <w:r>
        <w:rPr>
          <w:rFonts w:hint="eastAsia" w:ascii="宋体" w:hAnsi="宋体" w:eastAsia="宋体" w:cs="宋体"/>
          <w:b w:val="0"/>
          <w:bCs w:val="0"/>
          <w:color w:val="000000"/>
          <w:sz w:val="21"/>
          <w:szCs w:val="21"/>
          <w:highlight w:val="none"/>
          <w:lang w:val="en-US" w:eastAsia="zh-CN" w:bidi="ar-SA"/>
        </w:rPr>
        <w:t xml:space="preserve">23、</w:t>
      </w:r>
      <w:r>
        <w:rPr>
          <w:rFonts w:ascii="宋体" w:hAnsi="宋体" w:eastAsia="宋体" w:cs="宋体"/>
          <w:b w:val="0"/>
          <w:bCs w:val="0"/>
          <w:color w:val="000000"/>
          <w:sz w:val="21"/>
          <w:szCs w:val="21"/>
          <w:highlight w:val="none"/>
          <w:lang w:val="en-US" w:eastAsia="zh-CN" w:bidi="ar-SA"/>
        </w:rPr>
        <w:t xml:space="preserve">接入方式：支持多种接入方式，含Lt2p隧道模式、VPN模式、APN模式等；通过注册制不固定IP地址的方式连接南京市交通综合执法视频监控平台，如若产生的额外费用由乙方承担；</w:t>
      </w:r>
      <w:r>
        <w:rPr>
          <w:color w:val="000000"/>
          <w:highlight w:val="none"/>
          <w:lang w:val="en-US" w:eastAsia="zh-CN"/>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4</w:t>
      </w:r>
      <w:r>
        <w:rPr>
          <w:rFonts w:ascii="宋体" w:hAnsi="宋体" w:eastAsia="宋体" w:cs="宋体"/>
          <w:b w:val="0"/>
          <w:bCs w:val="0"/>
          <w:color w:val="000000"/>
          <w:sz w:val="21"/>
          <w:szCs w:val="21"/>
          <w:highlight w:val="none"/>
          <w:lang w:val="en-US" w:eastAsia="zh-CN" w:bidi="ar-SA"/>
        </w:rPr>
        <w:t xml:space="preserve">、免费提供流量卡：≥100G/月，三年，建立流量池。</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5</w:t>
      </w:r>
      <w:r>
        <w:rPr>
          <w:rFonts w:ascii="宋体" w:hAnsi="宋体" w:eastAsia="宋体" w:cs="宋体"/>
          <w:b w:val="0"/>
          <w:bCs w:val="0"/>
          <w:color w:val="000000"/>
          <w:sz w:val="21"/>
          <w:szCs w:val="21"/>
          <w:highlight w:val="none"/>
          <w:lang w:val="en-US" w:eastAsia="zh-CN" w:bidi="ar-SA"/>
        </w:rPr>
        <w:t xml:space="preserve">、提供备用电池一块及配套充电底座。</w:t>
      </w:r>
      <w:r>
        <w:rPr>
          <w:rFonts w:ascii="宋体" w:hAnsi="宋体" w:eastAsia="宋体" w:cs="宋体"/>
          <w:b w:val="0"/>
          <w:bCs w:val="0"/>
          <w:color w:val="000000"/>
          <w:sz w:val="21"/>
          <w:szCs w:val="21"/>
          <w:highlight w:val="none"/>
          <w:lang w:val="en-US" w:eastAsia="zh-CN" w:bidi="ar-SA"/>
        </w:rPr>
      </w:r>
      <w:r/>
    </w:p>
    <w:p>
      <w:pPr>
        <w:pStyle w:val="884"/>
        <w:ind w:left="420" w:firstLine="0"/>
        <w:jc w:val="left"/>
        <w:spacing w:before="78" w:after="78"/>
        <w:widowControl/>
        <w:rPr>
          <w:rFonts w:hint="eastAsia" w:ascii="宋体" w:hAnsi="宋体" w:eastAsia="宋体" w:cs="宋体"/>
          <w:b/>
          <w:bCs/>
          <w:color w:val="000000"/>
          <w:sz w:val="28"/>
          <w:szCs w:val="28"/>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6</w:t>
      </w:r>
      <w:r>
        <w:rPr>
          <w:rFonts w:ascii="宋体" w:hAnsi="宋体" w:eastAsia="宋体" w:cs="宋体"/>
          <w:b w:val="0"/>
          <w:bCs w:val="0"/>
          <w:color w:val="000000"/>
          <w:sz w:val="21"/>
          <w:szCs w:val="21"/>
          <w:highlight w:val="none"/>
          <w:lang w:val="en-US" w:eastAsia="zh-CN" w:bidi="ar-SA"/>
        </w:rPr>
        <w:t xml:space="preserve">、提供三脚支架1个。</w:t>
      </w: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4"/>
        <w:jc w:val="left"/>
        <w:spacing w:before="78" w:after="78"/>
        <w:widowControl/>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品目三：无人机</w:t>
      </w:r>
      <w:r>
        <w:rPr>
          <w:rFonts w:hint="eastAsia" w:ascii="宋体" w:hAnsi="宋体" w:eastAsia="宋体" w:cs="宋体"/>
          <w:b/>
          <w:bCs/>
          <w:color w:val="000000"/>
          <w:sz w:val="28"/>
          <w:szCs w:val="28"/>
          <w:highlight w:val="none"/>
          <w:lang w:val="en-US" w:eastAsia="zh-CN" w:bidi="ar-SA"/>
        </w:rPr>
      </w:r>
      <w:r/>
    </w:p>
    <w:p>
      <w:pPr>
        <w:pStyle w:val="884"/>
        <w:numPr>
          <w:ilvl w:val="0"/>
          <w:numId w:val="0"/>
        </w:num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四旋翼无人机</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▲飞行续航时间应≥46min （须提供的检测报告具有 CNAS、ILAC-MRA、CMA、CAL至少三种以上认证标志的</w:t>
      </w:r>
      <w:r>
        <w:rPr>
          <w:rFonts w:hint="eastAsia" w:ascii="宋体" w:hAnsi="宋体" w:eastAsia="宋体" w:cs="宋体"/>
          <w:color w:val="000000"/>
          <w:szCs w:val="21"/>
          <w:highlight w:val="none"/>
          <w:lang w:eastAsia="zh-CN" w:bidi="ar"/>
        </w:rPr>
        <w:t xml:space="preserve">国家认可的</w:t>
      </w:r>
      <w:r>
        <w:rPr>
          <w:rFonts w:hint="eastAsia" w:ascii="宋体" w:hAnsi="宋体" w:eastAsia="宋体" w:cs="宋体"/>
          <w:color w:val="000000"/>
          <w:szCs w:val="21"/>
          <w:highlight w:val="none"/>
          <w:lang w:bidi="ar"/>
        </w:rPr>
        <w:t xml:space="preserve">检测机构出具的</w:t>
      </w:r>
      <w:r>
        <w:rPr>
          <w:rFonts w:hint="eastAsia" w:ascii="宋体" w:hAnsi="宋体" w:eastAsia="宋体" w:cs="宋体"/>
          <w:color w:val="000000"/>
          <w:szCs w:val="21"/>
          <w:highlight w:val="none"/>
          <w:lang w:val="en-US" w:eastAsia="zh-CN" w:bidi="ar"/>
        </w:rPr>
        <w:t xml:space="preserve">有效的</w:t>
      </w:r>
      <w:r>
        <w:rPr>
          <w:rFonts w:hint="eastAsia" w:ascii="宋体" w:hAnsi="宋体" w:eastAsia="宋体" w:cs="宋体"/>
          <w:color w:val="000000"/>
          <w:szCs w:val="21"/>
          <w:highlight w:val="none"/>
          <w:lang w:bidi="ar"/>
        </w:rPr>
        <w:t xml:space="preserve">检测报告复印件并加盖</w:t>
      </w:r>
      <w:r>
        <w:rPr>
          <w:rFonts w:hint="eastAsia" w:ascii="宋体" w:hAnsi="宋体" w:eastAsia="宋体" w:cs="宋体"/>
          <w:color w:val="000000"/>
          <w:szCs w:val="21"/>
          <w:highlight w:val="none"/>
          <w:lang w:eastAsia="zh-CN" w:bidi="ar"/>
        </w:rPr>
        <w:t xml:space="preserve">供应商</w:t>
      </w:r>
      <w:r>
        <w:rPr>
          <w:rFonts w:hint="eastAsia" w:ascii="宋体" w:hAnsi="宋体" w:eastAsia="宋体" w:cs="宋体"/>
          <w:color w:val="000000"/>
          <w:szCs w:val="21"/>
          <w:highlight w:val="none"/>
          <w:lang w:bidi="ar"/>
        </w:rPr>
        <w:t xml:space="preserve">公章。）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2.抗风能力≥6级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3.最大遥控距离≥15km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4.最大图传距离≥15km </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5.最大平飞速度≥20m/s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6.最大爬升速度应≥8m/s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7.最大垂直下降速度≥6m/s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8.在GPS正常工作情况下，多旋翼无人机的悬停位置与悬停初始位置水平误差绝对值应≤0.5m,垂直误差绝对值应≤0.5m。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9.支持视觉六向避障；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▲10.平均无故障时间应≥30h; （须提供的检测报告具有 CNAS、ILAC-MRA、CMA、CAL至少三种以上认证标志的</w:t>
      </w:r>
      <w:r>
        <w:rPr>
          <w:rFonts w:hint="eastAsia" w:ascii="宋体" w:hAnsi="宋体" w:eastAsia="宋体" w:cs="宋体"/>
          <w:color w:val="000000"/>
          <w:szCs w:val="21"/>
          <w:highlight w:val="none"/>
          <w:lang w:eastAsia="zh-CN" w:bidi="ar"/>
        </w:rPr>
        <w:t xml:space="preserve">国家认可的</w:t>
      </w:r>
      <w:r>
        <w:rPr>
          <w:rFonts w:hint="eastAsia" w:ascii="宋体" w:hAnsi="宋体" w:eastAsia="宋体" w:cs="宋体"/>
          <w:color w:val="000000"/>
          <w:szCs w:val="21"/>
          <w:highlight w:val="none"/>
          <w:lang w:bidi="ar"/>
        </w:rPr>
        <w:t xml:space="preserve">检测机构出具的检测报告复印件并加盖制造商公章，不提供不得分。）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▲11.在环境背景噪声小于 45dB(A)时:I 类和 II 类多旋翼无人机噪声≤60dB(A) ；（须提供的检测报告具有 CNAS、ILAC-MRA、CMA、CAL至少三种以上认证标志的</w:t>
      </w:r>
      <w:r>
        <w:rPr>
          <w:rFonts w:hint="eastAsia" w:ascii="宋体" w:hAnsi="宋体" w:eastAsia="宋体" w:cs="宋体"/>
          <w:color w:val="000000"/>
          <w:szCs w:val="21"/>
          <w:highlight w:val="none"/>
          <w:lang w:eastAsia="zh-CN" w:bidi="ar"/>
        </w:rPr>
        <w:t xml:space="preserve">国家认可的</w:t>
      </w:r>
      <w:r>
        <w:rPr>
          <w:rFonts w:hint="eastAsia" w:ascii="宋体" w:hAnsi="宋体" w:eastAsia="宋体" w:cs="宋体"/>
          <w:color w:val="000000"/>
          <w:szCs w:val="21"/>
          <w:highlight w:val="none"/>
          <w:lang w:bidi="ar"/>
        </w:rPr>
        <w:t xml:space="preserve">检测机构出具的</w:t>
      </w:r>
      <w:r>
        <w:rPr>
          <w:rFonts w:hint="eastAsia" w:ascii="宋体" w:hAnsi="宋体" w:eastAsia="宋体" w:cs="宋体"/>
          <w:color w:val="000000"/>
          <w:szCs w:val="21"/>
          <w:highlight w:val="none"/>
          <w:lang w:val="en-US" w:eastAsia="zh-CN" w:bidi="ar"/>
        </w:rPr>
        <w:t xml:space="preserve">有效的</w:t>
      </w:r>
      <w:r>
        <w:rPr>
          <w:rFonts w:hint="eastAsia" w:ascii="宋体" w:hAnsi="宋体" w:eastAsia="宋体" w:cs="宋体"/>
          <w:color w:val="000000"/>
          <w:szCs w:val="21"/>
          <w:highlight w:val="none"/>
          <w:lang w:bidi="ar"/>
        </w:rPr>
        <w:t xml:space="preserve">检测报告复印件并加盖</w:t>
      </w:r>
      <w:r>
        <w:rPr>
          <w:rFonts w:hint="eastAsia" w:ascii="宋体" w:hAnsi="宋体" w:eastAsia="宋体" w:cs="宋体"/>
          <w:color w:val="000000"/>
          <w:szCs w:val="21"/>
          <w:highlight w:val="none"/>
          <w:lang w:eastAsia="zh-CN" w:bidi="ar"/>
        </w:rPr>
        <w:t xml:space="preserve">供应商</w:t>
      </w:r>
      <w:r>
        <w:rPr>
          <w:rFonts w:hint="eastAsia" w:ascii="宋体" w:hAnsi="宋体" w:eastAsia="宋体" w:cs="宋体"/>
          <w:color w:val="000000"/>
          <w:szCs w:val="21"/>
          <w:highlight w:val="none"/>
          <w:lang w:bidi="ar"/>
        </w:rPr>
        <w:t xml:space="preserve">公章。）</w:t>
      </w:r>
      <w:r>
        <w:rPr>
          <w:rFonts w:hint="eastAsia" w:ascii="宋体" w:hAnsi="宋体" w:eastAsia="宋体" w:cs="宋体"/>
          <w:color w:val="000000"/>
          <w:szCs w:val="21"/>
          <w:highlight w:val="none"/>
          <w:lang w:bidi="ar"/>
        </w:rPr>
      </w:r>
      <w:r/>
    </w:p>
    <w:p>
      <w:pPr>
        <w:pStyle w:val="884"/>
        <w:numPr>
          <w:ilvl w:val="0"/>
          <w:numId w:val="0"/>
        </w:num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▲12.可见光传感器大小不小于1英寸CMOS， 分辨率≥2000万（须提供的检测报告具有 CNAS、ILAC-MRA、CMA、CAL至少三种以上认证标志的权威检测机构出具的检测报告复印件并加盖制造商公章，不提供不得分。）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▲13.可见光等效焦距应≥29mm（须提供的检测报告具有 CNAS、ILAC-MRA、CMA、CAL至少三种以上认证标志的</w:t>
      </w:r>
      <w:r>
        <w:rPr>
          <w:rFonts w:hint="eastAsia" w:ascii="宋体" w:hAnsi="宋体" w:eastAsia="宋体" w:cs="宋体"/>
          <w:color w:val="000000"/>
          <w:szCs w:val="21"/>
          <w:highlight w:val="none"/>
          <w:lang w:eastAsia="zh-CN" w:bidi="ar"/>
        </w:rPr>
        <w:t xml:space="preserve">国家认可的</w:t>
      </w:r>
      <w:r>
        <w:rPr>
          <w:rFonts w:hint="eastAsia" w:ascii="宋体" w:hAnsi="宋体" w:eastAsia="宋体" w:cs="宋体"/>
          <w:color w:val="000000"/>
          <w:szCs w:val="21"/>
          <w:highlight w:val="none"/>
          <w:lang w:bidi="ar"/>
        </w:rPr>
        <w:t xml:space="preserve">检测机构出具的</w:t>
      </w:r>
      <w:r>
        <w:rPr>
          <w:rFonts w:hint="eastAsia" w:ascii="宋体" w:hAnsi="宋体" w:eastAsia="宋体" w:cs="宋体"/>
          <w:color w:val="000000"/>
          <w:szCs w:val="21"/>
          <w:highlight w:val="none"/>
          <w:lang w:val="en-US" w:eastAsia="zh-CN" w:bidi="ar"/>
        </w:rPr>
        <w:t xml:space="preserve">有效的</w:t>
      </w:r>
      <w:r>
        <w:rPr>
          <w:rFonts w:hint="eastAsia" w:ascii="宋体" w:hAnsi="宋体" w:eastAsia="宋体" w:cs="宋体"/>
          <w:color w:val="000000"/>
          <w:szCs w:val="21"/>
          <w:highlight w:val="none"/>
          <w:lang w:bidi="ar"/>
        </w:rPr>
        <w:t xml:space="preserve">检测报告复印件并加盖</w:t>
      </w:r>
      <w:r>
        <w:rPr>
          <w:rFonts w:hint="eastAsia" w:ascii="宋体" w:hAnsi="宋体" w:eastAsia="宋体" w:cs="宋体"/>
          <w:color w:val="000000"/>
          <w:szCs w:val="21"/>
          <w:highlight w:val="none"/>
          <w:lang w:eastAsia="zh-CN" w:bidi="ar"/>
        </w:rPr>
        <w:t xml:space="preserve">供应商</w:t>
      </w:r>
      <w:r>
        <w:rPr>
          <w:rFonts w:hint="eastAsia" w:ascii="宋体" w:hAnsi="宋体" w:eastAsia="宋体" w:cs="宋体"/>
          <w:color w:val="000000"/>
          <w:szCs w:val="21"/>
          <w:highlight w:val="none"/>
          <w:lang w:bidi="ar"/>
        </w:rPr>
        <w:t xml:space="preserve">公章。）</w:t>
      </w:r>
      <w:r>
        <w:rPr>
          <w:rFonts w:hint="eastAsia" w:ascii="宋体" w:hAnsi="宋体" w:eastAsia="宋体" w:cs="宋体"/>
          <w:color w:val="000000"/>
          <w:szCs w:val="21"/>
          <w:highlight w:val="none"/>
          <w:lang w:bidi="ar"/>
        </w:rPr>
      </w:r>
      <w:r/>
    </w:p>
    <w:p>
      <w:pPr>
        <w:pStyle w:val="884"/>
        <w:numPr>
          <w:ilvl w:val="0"/>
          <w:numId w:val="0"/>
        </w:num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14.</w:t>
      </w:r>
      <w:r>
        <w:rPr>
          <w:rFonts w:hint="eastAsia" w:ascii="宋体" w:hAnsi="宋体" w:eastAsia="宋体" w:cs="宋体"/>
          <w:color w:val="000000"/>
          <w:szCs w:val="21"/>
          <w:highlight w:val="none"/>
          <w:lang w:bidi="ar"/>
        </w:rPr>
        <w:t xml:space="preserve">机身配备12路视觉传感器，融合主相机、超声波、IMU等19组传感器。</w:t>
      </w:r>
      <w:r>
        <w:rPr>
          <w:rFonts w:hint="eastAsia" w:ascii="宋体" w:hAnsi="宋体" w:eastAsia="宋体" w:cs="宋体"/>
          <w:color w:val="000000"/>
          <w:szCs w:val="21"/>
          <w:highlight w:val="none"/>
          <w:lang w:bidi="ar"/>
        </w:rPr>
      </w:r>
      <w:r/>
    </w:p>
    <w:p>
      <w:pPr>
        <w:pStyle w:val="884"/>
        <w:numPr>
          <w:ilvl w:val="0"/>
          <w:numId w:val="0"/>
        </w:numPr>
        <w:jc w:val="left"/>
        <w:widowControl/>
        <w:rPr>
          <w:rFonts w:hint="eastAsia" w:ascii="Times New Roman" w:hAnsi="Times New Roman" w:eastAsia="宋体" w:cs="Times New Roman"/>
          <w:color w:val="000000"/>
          <w:szCs w:val="24"/>
          <w:highlight w:val="none"/>
        </w:rPr>
      </w:pPr>
      <w:r>
        <w:rPr>
          <w:rFonts w:hint="eastAsia" w:ascii="宋体" w:hAnsi="宋体" w:eastAsia="宋体" w:cs="宋体"/>
          <w:color w:val="000000"/>
          <w:szCs w:val="21"/>
          <w:highlight w:val="none"/>
          <w:lang w:val="en-US" w:eastAsia="zh-CN" w:bidi="ar"/>
        </w:rPr>
        <w:t xml:space="preserve">15.</w:t>
      </w:r>
      <w:r>
        <w:rPr>
          <w:rFonts w:hint="eastAsia" w:ascii="宋体" w:hAnsi="宋体" w:eastAsia="宋体" w:cs="宋体"/>
          <w:color w:val="000000"/>
          <w:szCs w:val="21"/>
          <w:highlight w:val="none"/>
          <w:lang w:bidi="ar"/>
        </w:rPr>
        <w:t xml:space="preserve">飞行器 重量(含桨和电池，不含扩展配件) </w:t>
      </w:r>
      <w:r>
        <w:rPr>
          <w:rFonts w:hint="eastAsia" w:ascii="宋体" w:hAnsi="宋体" w:eastAsia="宋体" w:cs="宋体"/>
          <w:color w:val="000000"/>
          <w:szCs w:val="21"/>
          <w:highlight w:val="none"/>
          <w:lang w:val="en-US" w:eastAsia="zh-CN" w:bidi="ar"/>
        </w:rPr>
        <w:t xml:space="preserve">≥</w:t>
      </w:r>
      <w:r>
        <w:rPr>
          <w:rFonts w:hint="eastAsia" w:ascii="宋体" w:hAnsi="宋体" w:eastAsia="宋体" w:cs="宋体"/>
          <w:color w:val="000000"/>
          <w:szCs w:val="21"/>
          <w:highlight w:val="none"/>
          <w:lang w:bidi="ar"/>
        </w:rPr>
        <w:t xml:space="preserve">1187g</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val="en-US" w:eastAsia="zh-CN" w:bidi="ar"/>
        </w:rPr>
        <w:t xml:space="preserve">16.</w:t>
      </w:r>
      <w:r>
        <w:rPr>
          <w:rFonts w:hint="eastAsia" w:ascii="宋体" w:hAnsi="宋体" w:eastAsia="宋体" w:cs="宋体"/>
          <w:color w:val="000000"/>
          <w:szCs w:val="21"/>
          <w:highlight w:val="none"/>
          <w:lang w:bidi="ar"/>
        </w:rPr>
        <w:t xml:space="preserve">支持手动飞行、自动飞行，一键起飞、一键降落、一键返航等无人机操控功能；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val="en-US" w:eastAsia="zh-CN" w:bidi="ar"/>
        </w:rPr>
        <w:t xml:space="preserve">17.</w:t>
      </w:r>
      <w:r>
        <w:rPr>
          <w:rFonts w:hint="eastAsia" w:ascii="宋体" w:hAnsi="宋体" w:eastAsia="宋体" w:cs="宋体"/>
          <w:color w:val="000000"/>
          <w:szCs w:val="21"/>
          <w:highlight w:val="none"/>
          <w:lang w:bidi="ar"/>
        </w:rPr>
        <w:t xml:space="preserve">支持录像、云台拍照、云台变倍、录像回放和目标跟踪等云台操控功能；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val="en-US" w:eastAsia="zh-CN" w:bidi="ar"/>
        </w:rPr>
        <w:t xml:space="preserve">18.</w:t>
      </w:r>
      <w:r>
        <w:rPr>
          <w:rFonts w:hint="eastAsia" w:ascii="宋体" w:hAnsi="宋体" w:eastAsia="宋体" w:cs="宋体"/>
          <w:color w:val="000000"/>
          <w:szCs w:val="21"/>
          <w:highlight w:val="none"/>
          <w:lang w:bidi="ar"/>
        </w:rPr>
        <w:t xml:space="preserve">支持GPS、北斗定位功能；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val="en-US" w:eastAsia="zh-CN" w:bidi="ar"/>
        </w:rPr>
        <w:t xml:space="preserve">19.</w:t>
      </w:r>
      <w:r>
        <w:rPr>
          <w:rFonts w:hint="eastAsia" w:ascii="宋体" w:hAnsi="宋体" w:eastAsia="宋体" w:cs="宋体"/>
          <w:color w:val="000000"/>
          <w:szCs w:val="21"/>
          <w:highlight w:val="none"/>
          <w:lang w:bidi="ar"/>
        </w:rPr>
        <w:t xml:space="preserve">支持设备自检功能，当发生故障时可根据相应的安全策略执行返航或降落等动作；</w:t>
      </w:r>
      <w:r>
        <w:rPr>
          <w:rFonts w:hint="eastAsia" w:ascii="Times New Roman" w:hAnsi="Times New Roman" w:eastAsia="宋体" w:cs="Times New Roman"/>
          <w:color w:val="000000"/>
          <w:szCs w:val="24"/>
          <w:highlight w:val="none"/>
        </w:rPr>
      </w:r>
      <w:r/>
    </w:p>
    <w:p>
      <w:pPr>
        <w:pStyle w:val="884"/>
        <w:rPr>
          <w:rFonts w:hint="eastAsia" w:ascii="Times New Roman" w:hAnsi="Times New Roman" w:eastAsia="宋体" w:cs="Times New Roman"/>
          <w:color w:val="000000"/>
          <w:szCs w:val="24"/>
          <w:highlight w:val="none"/>
          <w:lang w:eastAsia="zh-CN"/>
        </w:rPr>
      </w:pPr>
      <w:r>
        <w:rPr>
          <w:rFonts w:hint="eastAsia" w:ascii="宋体" w:hAnsi="宋体" w:eastAsia="宋体" w:cs="宋体"/>
          <w:b/>
          <w:bCs/>
          <w:color w:val="000000"/>
          <w:szCs w:val="21"/>
          <w:highlight w:val="none"/>
          <w:lang w:bidi="ar"/>
        </w:rPr>
        <w:t xml:space="preserve">注</w:t>
      </w:r>
      <w:r>
        <w:rPr>
          <w:rFonts w:hint="eastAsia" w:ascii="宋体" w:hAnsi="宋体" w:eastAsia="宋体" w:cs="宋体"/>
          <w:b/>
          <w:bCs/>
          <w:color w:val="000000"/>
          <w:szCs w:val="21"/>
          <w:highlight w:val="none"/>
          <w:lang w:eastAsia="zh-CN" w:bidi="ar"/>
        </w:rPr>
        <w:t xml:space="preserve">:</w:t>
      </w:r>
      <w:r>
        <w:rPr>
          <w:rFonts w:hint="eastAsia" w:ascii="宋体" w:hAnsi="宋体" w:eastAsia="宋体" w:cs="宋体"/>
          <w:b/>
          <w:bCs/>
          <w:color w:val="000000"/>
          <w:szCs w:val="21"/>
          <w:highlight w:val="none"/>
          <w:lang w:bidi="ar"/>
        </w:rPr>
        <w:t xml:space="preserve">整机标配，含包装箱，遥控器、充电器、2组电池、1套备用桨叶</w:t>
      </w:r>
      <w:r>
        <w:rPr>
          <w:rFonts w:hint="eastAsia" w:ascii="宋体" w:hAnsi="宋体" w:eastAsia="宋体" w:cs="宋体"/>
          <w:b/>
          <w:bCs/>
          <w:color w:val="000000"/>
          <w:szCs w:val="21"/>
          <w:highlight w:val="none"/>
          <w:lang w:eastAsia="zh-CN" w:bidi="ar"/>
        </w:rPr>
        <w:t xml:space="preserve">、无人机第三者责任险（保额50万）和机损险</w:t>
      </w:r>
      <w:r>
        <w:rPr>
          <w:rFonts w:hint="eastAsia" w:ascii="Times New Roman" w:hAnsi="Times New Roman" w:eastAsia="宋体" w:cs="Times New Roman"/>
          <w:color w:val="000000"/>
          <w:szCs w:val="24"/>
          <w:highlight w:val="none"/>
          <w:lang w:eastAsia="zh-CN"/>
        </w:rPr>
      </w:r>
      <w:r/>
    </w:p>
    <w:p>
      <w:pPr>
        <w:pStyle w:val="884"/>
        <w:ind w:left="420" w:firstLine="0"/>
        <w:jc w:val="left"/>
        <w:spacing w:before="78" w:after="78"/>
        <w:widowControl/>
        <w:rPr>
          <w:rFonts w:ascii="宋体" w:hAnsi="宋体" w:eastAsia="宋体" w:cs="宋体"/>
          <w:b/>
          <w:bCs/>
          <w:color w:val="000000"/>
          <w:sz w:val="28"/>
          <w:szCs w:val="28"/>
          <w:highlight w:val="none"/>
          <w:lang w:val="en-US" w:eastAsia="zh-CN" w:bidi="ar-SA"/>
        </w:rPr>
      </w:pPr>
      <w:r>
        <w:rPr>
          <w:rFonts w:ascii="宋体" w:hAnsi="宋体" w:eastAsia="宋体" w:cs="宋体"/>
          <w:b/>
          <w:bCs/>
          <w:color w:val="000000"/>
          <w:sz w:val="28"/>
          <w:szCs w:val="28"/>
          <w:highlight w:val="none"/>
          <w:lang w:val="en-US" w:eastAsia="zh-CN" w:bidi="ar-SA"/>
        </w:rPr>
      </w:r>
      <w:r/>
    </w:p>
    <w:p>
      <w:pPr>
        <w:pStyle w:val="896"/>
        <w:rPr>
          <w:rFonts w:hint="eastAsia"/>
          <w:color w:val="000000"/>
          <w:highlight w:val="none"/>
          <w:lang w:val="en-US" w:eastAsia="zh-CN"/>
        </w:rPr>
      </w:pPr>
      <w:r>
        <w:rPr>
          <w:rFonts w:hint="eastAsia"/>
          <w:color w:val="000000"/>
          <w:highlight w:val="none"/>
          <w:lang w:val="en-US" w:eastAsia="zh-CN"/>
        </w:rPr>
      </w:r>
      <w:r/>
    </w:p>
    <w:p>
      <w:pPr>
        <w:pStyle w:val="896"/>
        <w:rPr>
          <w:color w:val="000000"/>
          <w:highlight w:val="none"/>
          <w:lang w:val="en-US" w:eastAsia="zh-CN"/>
        </w:rPr>
      </w:pPr>
      <w:r>
        <w:rPr>
          <w:color w:val="000000"/>
          <w:highlight w:val="none"/>
          <w:lang w:val="en-US" w:eastAsia="zh-CN"/>
        </w:rPr>
      </w:r>
      <w:r/>
    </w:p>
    <w:p>
      <w:pPr>
        <w:pStyle w:val="884"/>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6"/>
        <w:rPr>
          <w:rFonts w:hint="eastAsia"/>
          <w:color w:val="000000"/>
          <w:highlight w:val="none"/>
        </w:rPr>
      </w:pPr>
      <w:r>
        <w:rPr>
          <w:rFonts w:hint="eastAsia"/>
          <w:color w:val="000000"/>
          <w:highlight w:val="none"/>
        </w:rPr>
      </w:r>
      <w:r/>
    </w:p>
    <w:p>
      <w:pPr>
        <w:pStyle w:val="884"/>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numPr>
          <w:ilvl w:val="0"/>
          <w:numId w:val="10"/>
        </w:numPr>
        <w:jc w:val="center"/>
        <w:spacing w:line="276" w:lineRule="auto"/>
        <w:tabs>
          <w:tab w:val="left" w:pos="360" w:leader="none"/>
        </w:tabs>
        <w:rPr>
          <w:rFonts w:hint="eastAsia" w:ascii="宋体" w:hAnsi="宋体" w:eastAsia="宋体" w:cs="宋体"/>
          <w:b/>
          <w:color w:val="000000"/>
          <w:sz w:val="28"/>
          <w:szCs w:val="22"/>
          <w:highlight w:val="none"/>
          <w:lang w:val="en-US" w:eastAsia="zh-CN"/>
        </w:rPr>
        <w:outlineLvl w:val="1"/>
      </w:pPr>
      <w:r>
        <w:rPr>
          <w:rFonts w:hint="eastAsia" w:ascii="宋体" w:hAnsi="宋体" w:eastAsia="宋体" w:cs="宋体"/>
          <w:b/>
          <w:color w:val="000000"/>
          <w:sz w:val="28"/>
          <w:szCs w:val="22"/>
          <w:highlight w:val="none"/>
          <w:lang w:val="en-US" w:eastAsia="zh-CN"/>
        </w:rPr>
        <w:t xml:space="preserve">商务要求</w:t>
      </w:r>
      <w:r>
        <w:rPr>
          <w:rFonts w:hint="eastAsia" w:ascii="宋体" w:hAnsi="宋体" w:eastAsia="宋体" w:cs="宋体"/>
          <w:b/>
          <w:color w:val="000000"/>
          <w:sz w:val="28"/>
          <w:szCs w:val="22"/>
          <w:highlight w:val="none"/>
          <w:lang w:val="en-US" w:eastAsia="zh-CN"/>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rPr>
        <w:t xml:space="preserve">下列条款中甲方为标的物的使用单位，乙方为本项目的中标供应商</w:t>
      </w:r>
      <w:r>
        <w:rPr>
          <w:rFonts w:hint="eastAsia" w:hAnsi="宋体"/>
          <w:color w:val="000000"/>
          <w:sz w:val="24"/>
          <w:szCs w:val="24"/>
          <w:highlight w:val="none"/>
        </w:rPr>
      </w:r>
      <w:r/>
    </w:p>
    <w:p>
      <w:pPr>
        <w:pStyle w:val="1194"/>
        <w:numPr>
          <w:ilvl w:val="0"/>
          <w:numId w:val="15"/>
        </w:numPr>
        <w:ind w:left="420" w:firstLine="0"/>
        <w:spacing w:line="400" w:lineRule="exact"/>
        <w:shd w:val="clear" w:color="auto" w:fill="auto"/>
        <w:rPr>
          <w:rFonts w:hint="eastAsia" w:hAnsi="宋体"/>
          <w:b/>
          <w:bCs/>
          <w:i/>
          <w:iCs/>
          <w:color w:val="000000"/>
          <w:sz w:val="24"/>
          <w:szCs w:val="24"/>
          <w:highlight w:val="none"/>
          <w:lang w:eastAsia="zh-CN"/>
        </w:rPr>
      </w:pPr>
      <w:r>
        <w:rPr>
          <w:rFonts w:hint="eastAsia" w:hAnsi="宋体"/>
          <w:b/>
          <w:bCs/>
          <w:i/>
          <w:iCs/>
          <w:color w:val="000000"/>
          <w:sz w:val="24"/>
          <w:szCs w:val="24"/>
          <w:highlight w:val="none"/>
        </w:rPr>
        <w:t xml:space="preserve">付款方法和条件：合同签订后，设备交付并安装调试完毕，验收合格后支付合同总价的90%，设备运行一年后，无质量问题及重大缺陷支付合同总价的10%</w:t>
      </w:r>
      <w:r>
        <w:rPr>
          <w:rFonts w:hint="eastAsia" w:hAnsi="宋体"/>
          <w:b/>
          <w:bCs/>
          <w:i/>
          <w:iCs/>
          <w:color w:val="000000"/>
          <w:sz w:val="24"/>
          <w:szCs w:val="24"/>
          <w:highlight w:val="none"/>
          <w:lang w:eastAsia="zh-CN"/>
        </w:rPr>
        <w:t xml:space="preserve">。</w:t>
      </w:r>
      <w:r>
        <w:rPr>
          <w:rFonts w:hint="eastAsia" w:hAnsi="宋体"/>
          <w:b/>
          <w:bCs/>
          <w:i/>
          <w:iCs/>
          <w:color w:val="000000"/>
          <w:sz w:val="24"/>
          <w:szCs w:val="24"/>
          <w:highlight w:val="none"/>
          <w:lang w:eastAsia="zh-CN"/>
        </w:rPr>
      </w:r>
      <w:r/>
    </w:p>
    <w:p>
      <w:pPr>
        <w:pStyle w:val="1194"/>
        <w:numPr>
          <w:ilvl w:val="0"/>
          <w:numId w:val="15"/>
        </w:numPr>
        <w:ind w:left="420" w:firstLine="0"/>
        <w:spacing w:line="400" w:lineRule="exact"/>
        <w:shd w:val="clear" w:color="auto" w:fill="auto"/>
        <w:rPr>
          <w:rFonts w:hint="eastAsia" w:ascii="宋体" w:hAnsi="宋体" w:eastAsia="宋体" w:cs="Times New Roman"/>
          <w:b/>
          <w:bCs/>
          <w:i/>
          <w:iCs/>
          <w:color w:val="000000"/>
          <w:sz w:val="24"/>
          <w:szCs w:val="24"/>
          <w:highlight w:val="none"/>
          <w:lang w:eastAsia="zh-CN"/>
        </w:rPr>
      </w:pPr>
      <w:r>
        <w:rPr>
          <w:rFonts w:hint="eastAsia" w:ascii="宋体" w:hAnsi="宋体" w:eastAsia="宋体" w:cs="Times New Roman"/>
          <w:b/>
          <w:bCs/>
          <w:i/>
          <w:iCs/>
          <w:color w:val="000000"/>
          <w:sz w:val="24"/>
          <w:szCs w:val="24"/>
          <w:highlight w:val="none"/>
          <w:lang w:val="en-US" w:eastAsia="zh-CN"/>
        </w:rPr>
        <w:t xml:space="preserve">交货期：自合同签订后45天内</w:t>
      </w:r>
      <w:r>
        <w:rPr>
          <w:rFonts w:hint="eastAsia" w:ascii="宋体" w:hAnsi="宋体" w:eastAsia="宋体" w:cs="Times New Roman"/>
          <w:b/>
          <w:bCs/>
          <w:i/>
          <w:iCs/>
          <w:color w:val="000000"/>
          <w:sz w:val="24"/>
          <w:szCs w:val="24"/>
          <w:highlight w:val="none"/>
        </w:rPr>
        <w:t xml:space="preserve">。</w:t>
      </w:r>
      <w:r>
        <w:rPr>
          <w:rFonts w:hint="eastAsia" w:ascii="宋体" w:hAnsi="宋体" w:eastAsia="宋体" w:cs="Times New Roman"/>
          <w:b/>
          <w:bCs/>
          <w:i/>
          <w:iCs/>
          <w:color w:val="000000"/>
          <w:sz w:val="24"/>
          <w:szCs w:val="24"/>
          <w:highlight w:val="none"/>
          <w:lang w:eastAsia="zh-CN"/>
        </w:rPr>
      </w:r>
      <w:r/>
    </w:p>
    <w:p>
      <w:pPr>
        <w:pStyle w:val="1194"/>
        <w:ind w:firstLine="480"/>
        <w:spacing w:line="400" w:lineRule="exact"/>
        <w:shd w:val="clear" w:color="auto" w:fill="auto"/>
        <w:rPr>
          <w:rFonts w:hAnsi="宋体"/>
          <w:color w:val="000000"/>
          <w:sz w:val="24"/>
          <w:szCs w:val="24"/>
          <w:highlight w:val="none"/>
        </w:rPr>
      </w:pP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、包装和运输：</w:t>
      </w:r>
      <w:r>
        <w:rPr>
          <w:rFonts w:hAnsi="宋体"/>
          <w:color w:val="000000"/>
          <w:sz w:val="24"/>
          <w:szCs w:val="24"/>
          <w:highlight w:val="none"/>
        </w:rPr>
      </w:r>
      <w:r/>
    </w:p>
    <w:p>
      <w:pPr>
        <w:pStyle w:val="1194"/>
        <w:ind w:firstLine="480"/>
        <w:spacing w:line="400" w:lineRule="exact"/>
        <w:shd w:val="clear" w:color="auto" w:fill="auto"/>
        <w:rPr>
          <w:rFonts w:hAnsi="宋体"/>
          <w:color w:val="000000"/>
          <w:sz w:val="24"/>
          <w:szCs w:val="24"/>
          <w:highlight w:val="none"/>
        </w:rPr>
      </w:pP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1乙方提供的全部货物均按标准保护措施进行包装。该包装应适应于远距离运输、防潮、防震、防锈和防野蛮装卸，以确保货物安全无损运抵上述交货地点。由于包装不善所引起的货物锈蚀、损坏和损失均由乙方承担。</w:t>
      </w:r>
      <w:r>
        <w:rPr>
          <w:rFonts w:hAnsi="宋体"/>
          <w:color w:val="000000"/>
          <w:sz w:val="24"/>
          <w:szCs w:val="24"/>
          <w:highlight w:val="none"/>
        </w:rPr>
      </w:r>
      <w:r/>
    </w:p>
    <w:p>
      <w:pPr>
        <w:pStyle w:val="1194"/>
        <w:ind w:firstLine="480"/>
        <w:spacing w:line="400" w:lineRule="exact"/>
        <w:shd w:val="clear" w:color="auto" w:fill="auto"/>
        <w:rPr>
          <w:rFonts w:hAnsi="宋体"/>
          <w:color w:val="000000"/>
          <w:sz w:val="24"/>
          <w:szCs w:val="24"/>
          <w:highlight w:val="none"/>
        </w:rPr>
      </w:pP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.2每件包装箱内应附一份详细装箱单和质量合格标识。</w:t>
      </w:r>
      <w:r>
        <w:rPr>
          <w:rFonts w:hAnsi="宋体"/>
          <w:color w:val="000000"/>
          <w:sz w:val="24"/>
          <w:szCs w:val="24"/>
          <w:highlight w:val="none"/>
        </w:rPr>
      </w:r>
      <w:r/>
    </w:p>
    <w:p>
      <w:pPr>
        <w:pStyle w:val="1194"/>
        <w:ind w:firstLine="480"/>
        <w:spacing w:line="400" w:lineRule="exact"/>
        <w:shd w:val="clear" w:color="auto" w:fill="auto"/>
        <w:rPr>
          <w:rFonts w:hAnsi="宋体"/>
          <w:color w:val="000000"/>
          <w:sz w:val="24"/>
          <w:szCs w:val="24"/>
          <w:highlight w:val="none"/>
        </w:rPr>
      </w:pP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.3乙方负责安排运输，并承担相关费用。</w:t>
      </w:r>
      <w:r>
        <w:rPr>
          <w:rFonts w:hAnsi="宋体"/>
          <w:color w:val="000000"/>
          <w:sz w:val="24"/>
          <w:szCs w:val="24"/>
          <w:highlight w:val="none"/>
        </w:rPr>
      </w:r>
      <w:r/>
    </w:p>
    <w:p>
      <w:pPr>
        <w:pStyle w:val="1194"/>
        <w:ind w:firstLine="480"/>
        <w:spacing w:line="400" w:lineRule="exact"/>
        <w:shd w:val="clear" w:color="auto" w:fill="auto"/>
        <w:rPr>
          <w:rFonts w:hAnsi="宋体"/>
          <w:color w:val="000000"/>
          <w:sz w:val="24"/>
          <w:szCs w:val="24"/>
          <w:highlight w:val="none"/>
        </w:rPr>
      </w:pP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、售后服务：</w:t>
      </w:r>
      <w:r>
        <w:rPr>
          <w:rFonts w:hAnsi="宋体"/>
          <w:color w:val="000000"/>
          <w:sz w:val="24"/>
          <w:szCs w:val="24"/>
          <w:highlight w:val="none"/>
        </w:rPr>
      </w:r>
      <w:r/>
    </w:p>
    <w:p>
      <w:pPr>
        <w:pStyle w:val="1194"/>
        <w:ind w:firstLine="480"/>
        <w:spacing w:line="400" w:lineRule="exact"/>
        <w:shd w:val="clear" w:color="auto" w:fill="auto"/>
        <w:rPr>
          <w:rFonts w:hAnsi="宋体"/>
          <w:color w:val="000000"/>
          <w:sz w:val="24"/>
          <w:szCs w:val="24"/>
          <w:highlight w:val="none"/>
        </w:rPr>
      </w:pP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.1设备安装、调试结束后，甲方对设备试用后进行验收（时间由甲、乙双方商定），乙方免费派工程师到达现场协助验收工作。</w:t>
      </w:r>
      <w:r>
        <w:rPr>
          <w:rFonts w:hAnsi="宋体"/>
          <w:color w:val="000000"/>
          <w:sz w:val="24"/>
          <w:szCs w:val="24"/>
          <w:highlight w:val="none"/>
        </w:rPr>
      </w:r>
      <w:r/>
    </w:p>
    <w:p>
      <w:pPr>
        <w:pStyle w:val="1194"/>
        <w:ind w:firstLine="482"/>
        <w:spacing w:line="400" w:lineRule="exact"/>
        <w:shd w:val="clear" w:color="auto" w:fill="auto"/>
        <w:rPr>
          <w:rFonts w:hAnsi="宋体"/>
          <w:color w:val="000000"/>
          <w:sz w:val="24"/>
          <w:szCs w:val="24"/>
          <w:highlight w:val="none"/>
        </w:rPr>
      </w:pPr>
      <w:r>
        <w:rPr>
          <w:rFonts w:hint="eastAsia" w:hAnsi="宋体"/>
          <w:b/>
          <w:bCs/>
          <w:i/>
          <w:iCs/>
          <w:color w:val="000000"/>
          <w:sz w:val="24"/>
          <w:szCs w:val="24"/>
          <w:highlight w:val="none"/>
          <w:lang w:val="en-US" w:eastAsia="zh-CN"/>
        </w:rPr>
        <w:t xml:space="preserve">4</w:t>
      </w:r>
      <w:r>
        <w:rPr>
          <w:rFonts w:hint="eastAsia" w:hAnsi="宋体"/>
          <w:b/>
          <w:bCs/>
          <w:i/>
          <w:iCs/>
          <w:color w:val="000000"/>
          <w:sz w:val="24"/>
          <w:szCs w:val="24"/>
          <w:highlight w:val="none"/>
        </w:rPr>
        <w:t xml:space="preserve">.2上述设备整机原厂免费保修≥</w:t>
      </w:r>
      <w:r>
        <w:rPr>
          <w:rFonts w:hint="eastAsia" w:hAnsi="宋体"/>
          <w:b/>
          <w:bCs/>
          <w:i/>
          <w:iCs/>
          <w:color w:val="000000"/>
          <w:sz w:val="24"/>
          <w:szCs w:val="24"/>
          <w:highlight w:val="none"/>
          <w:lang w:val="en-US" w:eastAsia="zh-CN"/>
        </w:rPr>
        <w:t xml:space="preserve">一</w:t>
      </w:r>
      <w:r>
        <w:rPr>
          <w:rFonts w:hint="eastAsia" w:hAnsi="宋体"/>
          <w:b/>
          <w:bCs/>
          <w:i/>
          <w:iCs/>
          <w:color w:val="000000"/>
          <w:sz w:val="24"/>
          <w:szCs w:val="24"/>
          <w:highlight w:val="none"/>
        </w:rPr>
        <w:t xml:space="preserve">年，保修期自甲方验收合格之日算起，保修范围包括合同中所有配置。保修期外乙方对本设备终身负责维修。保修期外故障待修复后只收配件费、人工费，免收上门费</w:t>
      </w:r>
      <w:r>
        <w:rPr>
          <w:rFonts w:hint="eastAsia" w:hAnsi="宋体"/>
          <w:color w:val="000000"/>
          <w:sz w:val="24"/>
          <w:szCs w:val="24"/>
          <w:highlight w:val="none"/>
        </w:rPr>
        <w:t xml:space="preserve">。</w:t>
      </w:r>
      <w:r>
        <w:rPr>
          <w:rFonts w:hAnsi="宋体"/>
          <w:color w:val="000000"/>
          <w:sz w:val="24"/>
          <w:szCs w:val="24"/>
          <w:highlight w:val="none"/>
        </w:rPr>
      </w:r>
      <w:r/>
    </w:p>
    <w:p>
      <w:pPr>
        <w:pStyle w:val="1194"/>
        <w:ind w:firstLine="480"/>
        <w:spacing w:line="400" w:lineRule="exact"/>
        <w:shd w:val="clear" w:color="auto" w:fill="auto"/>
        <w:rPr>
          <w:rFonts w:hAnsi="宋体"/>
          <w:color w:val="000000"/>
          <w:sz w:val="24"/>
          <w:szCs w:val="24"/>
          <w:highlight w:val="none"/>
        </w:rPr>
      </w:pP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如设备发生故障，乙方在接到甲方报修电话后2小时之内响应，2</w:t>
      </w:r>
      <w:r>
        <w:rPr>
          <w:rFonts w:hAnsi="宋体"/>
          <w:color w:val="000000"/>
          <w:sz w:val="24"/>
          <w:szCs w:val="24"/>
          <w:highlight w:val="none"/>
        </w:rPr>
        <w:t xml:space="preserve">4</w:t>
      </w:r>
      <w:r>
        <w:rPr>
          <w:rFonts w:hint="eastAsia" w:hAnsi="宋体"/>
          <w:color w:val="000000"/>
          <w:sz w:val="24"/>
          <w:szCs w:val="24"/>
          <w:highlight w:val="none"/>
        </w:rPr>
        <w:t xml:space="preserve">小时内到达现场，48小时内修复，否则甲方可自行采取必要的措施，由此产生的风险和费用由乙方承担。如有特殊情况，乙方应立即电话通知甲方不能响应的原因，在获得甲方同意后，才可推迟响应时间。</w:t>
      </w:r>
      <w:r>
        <w:rPr>
          <w:rFonts w:hAnsi="宋体"/>
          <w:color w:val="000000"/>
          <w:sz w:val="24"/>
          <w:szCs w:val="24"/>
          <w:highlight w:val="none"/>
        </w:rPr>
      </w:r>
      <w:r/>
    </w:p>
    <w:p>
      <w:pPr>
        <w:pStyle w:val="1194"/>
        <w:ind w:firstLine="480"/>
        <w:spacing w:line="400" w:lineRule="exact"/>
        <w:shd w:val="clear" w:color="auto" w:fill="auto"/>
        <w:rPr>
          <w:rFonts w:hAnsi="宋体"/>
          <w:color w:val="000000"/>
          <w:sz w:val="24"/>
          <w:szCs w:val="24"/>
          <w:highlight w:val="none"/>
        </w:rPr>
      </w:pP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乙方免费提供全套资料，含产品合格证、操作手册、维修手册，如技术资料不全，甲方有权不支付货款。</w:t>
      </w:r>
      <w:r>
        <w:rPr>
          <w:rFonts w:hAnsi="宋体"/>
          <w:color w:val="000000"/>
          <w:sz w:val="24"/>
          <w:szCs w:val="24"/>
          <w:highlight w:val="none"/>
        </w:rPr>
      </w:r>
      <w:r/>
    </w:p>
    <w:p>
      <w:pPr>
        <w:pStyle w:val="1194"/>
        <w:ind w:firstLine="480"/>
        <w:spacing w:line="400" w:lineRule="exact"/>
        <w:shd w:val="clear" w:color="auto" w:fill="auto"/>
        <w:rPr>
          <w:rFonts w:hAnsi="宋体"/>
          <w:color w:val="000000"/>
          <w:sz w:val="24"/>
          <w:szCs w:val="24"/>
          <w:highlight w:val="none"/>
        </w:rPr>
      </w:pP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5</w:t>
      </w:r>
      <w:r>
        <w:rPr>
          <w:rFonts w:hint="eastAsia" w:hAnsi="宋体"/>
          <w:color w:val="000000"/>
          <w:sz w:val="24"/>
          <w:szCs w:val="24"/>
          <w:highlight w:val="none"/>
        </w:rPr>
        <w:t xml:space="preserve">技术培训：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rFonts w:hAnsi="宋体"/>
          <w:color w:val="000000"/>
          <w:sz w:val="24"/>
          <w:szCs w:val="24"/>
          <w:highlight w:val="none"/>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6</w:t>
      </w:r>
      <w:r>
        <w:rPr>
          <w:rFonts w:hint="eastAsia" w:hAnsi="宋体"/>
          <w:color w:val="000000"/>
          <w:sz w:val="24"/>
          <w:szCs w:val="24"/>
          <w:highlight w:val="none"/>
        </w:rPr>
        <w:t xml:space="preserve">如乙方提供的设备设有维修软件密码，乙方保证无条件地为甲方永久免费打开。</w:t>
      </w:r>
      <w:r>
        <w:rPr>
          <w:rFonts w:hint="eastAsia" w:hAnsi="宋体"/>
          <w:color w:val="000000"/>
          <w:sz w:val="24"/>
          <w:szCs w:val="24"/>
          <w:highlight w:val="none"/>
        </w:rPr>
      </w:r>
      <w:r/>
    </w:p>
    <w:p>
      <w:pPr>
        <w:pStyle w:val="1194"/>
        <w:ind w:firstLine="480"/>
        <w:spacing w:line="400" w:lineRule="exact"/>
        <w:shd w:val="clear" w:color="auto" w:fill="auto"/>
        <w:rPr>
          <w:rFonts w:hint="eastAsia" w:hAnsi="宋体"/>
          <w:color w:val="000000"/>
          <w:sz w:val="24"/>
          <w:szCs w:val="24"/>
          <w:highlight w:val="none"/>
        </w:rPr>
      </w:pP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7</w:t>
      </w:r>
      <w:r>
        <w:rPr>
          <w:rFonts w:hint="eastAsia" w:hAnsi="宋体"/>
          <w:color w:val="000000"/>
          <w:sz w:val="24"/>
          <w:szCs w:val="24"/>
          <w:highlight w:val="none"/>
        </w:rPr>
        <w:t xml:space="preserve">相关软件免费更新。</w:t>
      </w:r>
      <w:r>
        <w:rPr>
          <w:rFonts w:hint="eastAsia" w:hAnsi="宋体"/>
          <w:color w:val="000000"/>
          <w:sz w:val="24"/>
          <w:szCs w:val="24"/>
          <w:highlight w:val="none"/>
        </w:rPr>
      </w:r>
      <w:r/>
    </w:p>
    <w:p>
      <w:pPr>
        <w:pStyle w:val="1194"/>
        <w:spacing w:line="400" w:lineRule="exact"/>
        <w:shd w:val="clear" w:color="auto" w:fill="auto"/>
        <w:rPr>
          <w:rFonts w:hint="eastAsia" w:ascii="Calibri"/>
          <w:b/>
          <w:color w:val="000000"/>
          <w:sz w:val="44"/>
          <w:szCs w:val="44"/>
          <w:highlight w:val="none"/>
        </w:rPr>
      </w:pPr>
      <w:r>
        <w:rPr>
          <w:rFonts w:hint="eastAsia" w:hAnsi="宋体"/>
          <w:b/>
          <w:bCs/>
          <w:i/>
          <w:iCs/>
          <w:color w:val="000000"/>
          <w:sz w:val="24"/>
          <w:szCs w:val="24"/>
          <w:highlight w:val="none"/>
        </w:rPr>
        <w:t xml:space="preserve">注：付款方式、质保期和交货期为实质性条款，供应商对实质性条款的偏离将作无效投标文件处理。</w:t>
      </w:r>
      <w:r>
        <w:rPr>
          <w:rFonts w:hint="eastAsia" w:ascii="Calibri"/>
          <w:b/>
          <w:color w:val="000000"/>
          <w:sz w:val="44"/>
          <w:szCs w:val="44"/>
          <w:highlight w:val="none"/>
        </w:rPr>
      </w:r>
      <w:r/>
    </w:p>
    <w:p>
      <w:pPr>
        <w:pStyle w:val="884"/>
        <w:ind w:firstLine="883"/>
        <w:jc w:val="center"/>
        <w:spacing w:line="360" w:lineRule="auto"/>
        <w:shd w:val="clear" w:color="auto" w:fill="auto"/>
        <w:rPr>
          <w:rFonts w:hint="eastAsia" w:ascii="Calibri"/>
          <w:b/>
          <w:color w:val="000000"/>
          <w:sz w:val="44"/>
          <w:szCs w:val="44"/>
          <w:highlight w:val="none"/>
        </w:rPr>
      </w:pPr>
      <w:r>
        <w:rPr>
          <w:rFonts w:hint="eastAsia" w:ascii="Calibri"/>
          <w:b/>
          <w:color w:val="000000"/>
          <w:sz w:val="44"/>
          <w:szCs w:val="44"/>
          <w:highlight w:val="none"/>
        </w:rPr>
      </w:r>
      <w:r/>
    </w:p>
    <w:p>
      <w:pPr>
        <w:pStyle w:val="884"/>
        <w:jc w:val="both"/>
        <w:spacing w:line="360" w:lineRule="auto"/>
        <w:shd w:val="clear" w:color="auto" w:fill="auto"/>
        <w:rPr>
          <w:rFonts w:hint="eastAsia" w:ascii="Calibri"/>
          <w:b/>
          <w:color w:val="000000"/>
          <w:sz w:val="44"/>
          <w:szCs w:val="44"/>
          <w:highlight w:val="none"/>
        </w:rPr>
      </w:pPr>
      <w:r>
        <w:rPr>
          <w:rFonts w:hint="eastAsia" w:ascii="Calibri"/>
          <w:b/>
          <w:color w:val="000000"/>
          <w:sz w:val="44"/>
          <w:szCs w:val="44"/>
          <w:highlight w:val="none"/>
        </w:rPr>
      </w:r>
      <w:r/>
    </w:p>
    <w:p>
      <w:pPr>
        <w:pStyle w:val="884"/>
        <w:ind w:firstLine="883"/>
        <w:jc w:val="center"/>
        <w:spacing w:line="360" w:lineRule="auto"/>
        <w:shd w:val="clear" w:color="auto" w:fill="auto"/>
        <w:rPr>
          <w:rFonts w:hint="eastAsia" w:ascii="Calibri"/>
          <w:b/>
          <w:color w:val="000000"/>
          <w:sz w:val="44"/>
          <w:szCs w:val="44"/>
          <w:highlight w:val="none"/>
        </w:rPr>
        <w:outlineLvl w:val="0"/>
      </w:pPr>
      <w:r>
        <w:rPr>
          <w:rFonts w:hint="eastAsia" w:ascii="Calibri"/>
          <w:b/>
          <w:color w:val="000000"/>
          <w:sz w:val="44"/>
          <w:szCs w:val="44"/>
          <w:highlight w:val="none"/>
        </w:rPr>
        <w:t xml:space="preserve">第五部分  合同格式及条款</w:t>
      </w:r>
      <w:bookmarkEnd w:id="90"/>
      <w:r/>
      <w:bookmarkEnd w:id="91"/>
      <w:r>
        <w:rPr>
          <w:rFonts w:hint="eastAsia" w:ascii="Calibri"/>
          <w:b/>
          <w:color w:val="000000"/>
          <w:sz w:val="44"/>
          <w:szCs w:val="44"/>
          <w:highlight w:val="none"/>
        </w:rPr>
      </w:r>
      <w:r/>
    </w:p>
    <w:p>
      <w:pPr>
        <w:pStyle w:val="982"/>
        <w:jc w:val="center"/>
        <w:spacing w:line="420" w:lineRule="exact"/>
        <w:shd w:val="clear" w:color="auto" w:fill="auto"/>
        <w:rPr>
          <w:rFonts w:hint="eastAsia" w:ascii="黑体" w:eastAsia="黑体"/>
          <w:b/>
          <w:color w:val="000000"/>
          <w:sz w:val="44"/>
          <w:highlight w:val="none"/>
        </w:rPr>
        <w:outlineLvl w:val="1"/>
      </w:pPr>
      <w:r/>
      <w:bookmarkStart w:id="98" w:name="_Toc1883"/>
      <w:r/>
      <w:bookmarkStart w:id="99" w:name="_Toc8249"/>
      <w:r/>
      <w:bookmarkStart w:id="100" w:name="EB92fb24a891e34ea29920d90c75406592"/>
      <w:r/>
      <w:bookmarkStart w:id="101" w:name="_Toc9956_WPSOffice_Level2"/>
      <w:r>
        <w:rPr>
          <w:rFonts w:hint="eastAsia" w:ascii="黑体" w:eastAsia="黑体"/>
          <w:b/>
          <w:color w:val="000000"/>
          <w:sz w:val="44"/>
          <w:highlight w:val="none"/>
        </w:rPr>
      </w:r>
      <w:r/>
    </w:p>
    <w:p>
      <w:pPr>
        <w:pStyle w:val="982"/>
        <w:jc w:val="center"/>
        <w:spacing w:line="420" w:lineRule="exact"/>
        <w:rPr>
          <w:rFonts w:hint="eastAsia" w:ascii="宋体" w:hAnsi="宋体" w:eastAsia="宋体" w:cs="宋体"/>
          <w:color w:val="000000"/>
          <w:sz w:val="20"/>
          <w:szCs w:val="18"/>
          <w:highlight w:val="none"/>
        </w:rPr>
        <w:outlineLvl w:val="1"/>
      </w:pPr>
      <w:r/>
      <w:bookmarkEnd w:id="98"/>
      <w:r/>
      <w:bookmarkEnd w:id="99"/>
      <w:r/>
      <w:bookmarkEnd w:id="100"/>
      <w:r/>
      <w:bookmarkEnd w:id="101"/>
      <w:r/>
      <w:bookmarkStart w:id="102" w:name="_Hlt16619369"/>
      <w:r/>
      <w:bookmarkEnd w:id="102"/>
      <w:r/>
      <w:bookmarkStart w:id="103" w:name="_Toc514054483"/>
      <w:r/>
      <w:bookmarkStart w:id="104" w:name="_Toc12366"/>
      <w:r>
        <w:rPr>
          <w:rFonts w:hint="eastAsia" w:ascii="宋体" w:hAnsi="宋体" w:eastAsia="宋体" w:cs="宋体"/>
          <w:b/>
          <w:color w:val="000000"/>
          <w:sz w:val="40"/>
          <w:szCs w:val="18"/>
          <w:highlight w:val="none"/>
        </w:rPr>
        <w:t xml:space="preserve">合同通用条款</w:t>
      </w:r>
      <w:r>
        <w:rPr>
          <w:rFonts w:hint="eastAsia" w:ascii="宋体" w:hAnsi="宋体" w:eastAsia="宋体" w:cs="宋体"/>
          <w:color w:val="000000"/>
          <w:sz w:val="20"/>
          <w:szCs w:val="18"/>
          <w:highlight w:val="none"/>
        </w:rPr>
      </w:r>
      <w:r/>
    </w:p>
    <w:p>
      <w:pPr>
        <w:pStyle w:val="982"/>
        <w:ind w:left="-25" w:hanging="258"/>
        <w:spacing w:line="360" w:lineRule="auto"/>
        <w:rPr>
          <w:rFonts w:hint="eastAsia" w:ascii="宋体" w:hAnsi="宋体" w:eastAsia="宋体" w:cs="宋体"/>
          <w:color w:val="000000"/>
          <w:sz w:val="22"/>
          <w:szCs w:val="18"/>
          <w:highlight w:val="none"/>
        </w:rPr>
        <w:outlineLvl w:val="2"/>
      </w:pPr>
      <w:r>
        <w:rPr>
          <w:rFonts w:hint="eastAsia" w:ascii="宋体" w:hAnsi="宋体" w:eastAsia="宋体" w:cs="宋体"/>
          <w:b/>
          <w:bCs/>
          <w:color w:val="000000"/>
          <w:sz w:val="22"/>
          <w:szCs w:val="18"/>
          <w:highlight w:val="none"/>
        </w:rPr>
        <w:t xml:space="preserve">1.</w:t>
      </w:r>
      <w:r>
        <w:rPr>
          <w:rFonts w:hint="eastAsia" w:ascii="宋体" w:hAnsi="宋体" w:eastAsia="宋体" w:cs="宋体"/>
          <w:b/>
          <w:color w:val="000000"/>
          <w:sz w:val="22"/>
          <w:szCs w:val="18"/>
          <w:highlight w:val="none"/>
        </w:rPr>
        <w:t xml:space="preserve"> 定义</w:t>
      </w:r>
      <w:r>
        <w:rPr>
          <w:rFonts w:hint="eastAsia" w:ascii="宋体" w:hAnsi="宋体" w:eastAsia="宋体" w:cs="宋体"/>
          <w:color w:val="000000"/>
          <w:sz w:val="22"/>
          <w:szCs w:val="18"/>
          <w:highlight w:val="none"/>
        </w:rPr>
        <w:t xml:space="preserve">：除本合同上下文中另有规定外，下列各词语定义如下：</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  </w:t>
      </w:r>
      <w:r>
        <w:rPr>
          <w:rFonts w:hint="eastAsia" w:ascii="宋体" w:hAnsi="宋体" w:eastAsia="宋体" w:cs="宋体"/>
          <w:b/>
          <w:color w:val="000000"/>
          <w:sz w:val="22"/>
          <w:szCs w:val="18"/>
          <w:highlight w:val="none"/>
        </w:rPr>
        <w:t xml:space="preserve">“买方”</w:t>
      </w:r>
      <w:r>
        <w:rPr>
          <w:rFonts w:hint="eastAsia" w:ascii="宋体" w:hAnsi="宋体" w:eastAsia="宋体" w:cs="宋体"/>
          <w:color w:val="000000"/>
          <w:sz w:val="22"/>
          <w:szCs w:val="18"/>
          <w:highlight w:val="none"/>
        </w:rPr>
        <w:t xml:space="preserve">是指在</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中指明的买方。</w:t>
      </w:r>
      <w:r>
        <w:rPr>
          <w:rFonts w:hint="eastAsia" w:ascii="宋体" w:hAnsi="宋体" w:eastAsia="宋体" w:cs="宋体"/>
          <w:b/>
          <w:bCs/>
          <w:color w:val="000000"/>
          <w:sz w:val="22"/>
          <w:szCs w:val="18"/>
          <w:highlight w:val="none"/>
        </w:rPr>
        <w:t xml:space="preserve">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bCs/>
          <w:color w:val="000000"/>
          <w:sz w:val="22"/>
          <w:szCs w:val="18"/>
          <w:highlight w:val="none"/>
        </w:rPr>
        <w:t xml:space="preserve">1.2  </w:t>
      </w:r>
      <w:r>
        <w:rPr>
          <w:rFonts w:hint="eastAsia" w:ascii="宋体" w:hAnsi="宋体" w:eastAsia="宋体" w:cs="宋体"/>
          <w:b/>
          <w:color w:val="000000"/>
          <w:sz w:val="22"/>
          <w:szCs w:val="18"/>
          <w:highlight w:val="none"/>
        </w:rPr>
        <w:t xml:space="preserve">“卖方”</w:t>
      </w:r>
      <w:r>
        <w:rPr>
          <w:rFonts w:hint="eastAsia" w:ascii="宋体" w:hAnsi="宋体" w:eastAsia="宋体" w:cs="宋体"/>
          <w:color w:val="000000"/>
          <w:sz w:val="22"/>
          <w:szCs w:val="18"/>
          <w:highlight w:val="none"/>
        </w:rPr>
        <w:t xml:space="preserve">是指投标文件为买方接受且在</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中被指明的卖方。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1.3 </w:t>
      </w:r>
      <w:r>
        <w:rPr>
          <w:rFonts w:hint="eastAsia" w:ascii="宋体" w:hAnsi="宋体" w:eastAsia="宋体" w:cs="宋体"/>
          <w:b/>
          <w:color w:val="000000"/>
          <w:sz w:val="22"/>
          <w:szCs w:val="18"/>
          <w:highlight w:val="none"/>
        </w:rPr>
        <w:t xml:space="preserve">“检验当局”</w:t>
      </w:r>
      <w:r>
        <w:rPr>
          <w:rFonts w:hint="eastAsia" w:ascii="宋体" w:hAnsi="宋体" w:eastAsia="宋体" w:cs="宋体"/>
          <w:color w:val="000000"/>
          <w:sz w:val="22"/>
          <w:szCs w:val="18"/>
          <w:highlight w:val="none"/>
        </w:rPr>
        <w:t xml:space="preserve">是指位于工作现场或其附近的中国国家质量技术监督局的地方分支机构，或</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规定情况下确定的检验方。</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1.4  </w:t>
      </w:r>
      <w:r>
        <w:rPr>
          <w:rFonts w:hint="eastAsia" w:ascii="宋体" w:hAnsi="宋体" w:eastAsia="宋体" w:cs="宋体"/>
          <w:b/>
          <w:color w:val="000000"/>
          <w:sz w:val="22"/>
          <w:szCs w:val="18"/>
          <w:highlight w:val="none"/>
        </w:rPr>
        <w:t xml:space="preserve">“工作现场”</w:t>
      </w:r>
      <w:r>
        <w:rPr>
          <w:rFonts w:hint="eastAsia" w:ascii="宋体" w:hAnsi="宋体" w:eastAsia="宋体" w:cs="宋体"/>
          <w:color w:val="000000"/>
          <w:sz w:val="22"/>
          <w:szCs w:val="18"/>
          <w:highlight w:val="none"/>
        </w:rPr>
        <w:t xml:space="preserve">是指</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规定的合同货物座落的地方。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1.5  </w:t>
      </w:r>
      <w:r>
        <w:rPr>
          <w:rFonts w:hint="eastAsia" w:ascii="宋体" w:hAnsi="宋体" w:eastAsia="宋体" w:cs="宋体"/>
          <w:b/>
          <w:color w:val="000000"/>
          <w:sz w:val="22"/>
          <w:szCs w:val="18"/>
          <w:highlight w:val="none"/>
        </w:rPr>
        <w:t xml:space="preserve">“合同货物”</w:t>
      </w:r>
      <w:r>
        <w:rPr>
          <w:rFonts w:hint="eastAsia" w:ascii="宋体" w:hAnsi="宋体" w:eastAsia="宋体" w:cs="宋体"/>
          <w:color w:val="000000"/>
          <w:sz w:val="22"/>
          <w:szCs w:val="18"/>
          <w:highlight w:val="none"/>
        </w:rPr>
        <w:t xml:space="preserve">是指卖方提供的设备、材料、备件或其中任何一部分，详见合同附件1。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1.6  </w:t>
      </w:r>
      <w:r>
        <w:rPr>
          <w:rFonts w:hint="eastAsia" w:ascii="宋体" w:hAnsi="宋体" w:eastAsia="宋体" w:cs="宋体"/>
          <w:b/>
          <w:color w:val="000000"/>
          <w:sz w:val="22"/>
          <w:szCs w:val="18"/>
          <w:highlight w:val="none"/>
        </w:rPr>
        <w:t xml:space="preserve">“技术资料”</w:t>
      </w:r>
      <w:r>
        <w:rPr>
          <w:rFonts w:hint="eastAsia" w:ascii="宋体" w:hAnsi="宋体" w:eastAsia="宋体" w:cs="宋体"/>
          <w:color w:val="000000"/>
          <w:sz w:val="22"/>
          <w:szCs w:val="18"/>
          <w:highlight w:val="none"/>
        </w:rPr>
        <w:t xml:space="preserve">是指与合同货物的检验、安装、试运行、性能考核、操作以及维修有关的技术指标、规格、图纸和文件。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  </w:t>
      </w:r>
      <w:r>
        <w:rPr>
          <w:rFonts w:hint="eastAsia" w:ascii="宋体" w:hAnsi="宋体" w:eastAsia="宋体" w:cs="宋体"/>
          <w:b/>
          <w:color w:val="000000"/>
          <w:sz w:val="22"/>
          <w:szCs w:val="18"/>
          <w:highlight w:val="none"/>
        </w:rPr>
        <w:t xml:space="preserve">“技术服务”</w:t>
      </w:r>
      <w:r>
        <w:rPr>
          <w:rFonts w:hint="eastAsia" w:ascii="宋体" w:hAnsi="宋体" w:eastAsia="宋体" w:cs="宋体"/>
          <w:color w:val="000000"/>
          <w:sz w:val="22"/>
          <w:szCs w:val="18"/>
          <w:highlight w:val="none"/>
        </w:rPr>
        <w:t xml:space="preserve">是指在合同货物的安装、试运行、性能考核、操作、维修以及其他工作等方面卖方给予买方的技术指导、协助以及监督等。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bCs/>
          <w:color w:val="000000"/>
          <w:sz w:val="22"/>
          <w:szCs w:val="18"/>
          <w:highlight w:val="none"/>
        </w:rPr>
        <w:t xml:space="preserve">1.8</w:t>
      </w:r>
      <w:r>
        <w:rPr>
          <w:rFonts w:hint="eastAsia" w:ascii="宋体" w:hAnsi="宋体" w:eastAsia="宋体" w:cs="宋体"/>
          <w:b/>
          <w:color w:val="000000"/>
          <w:sz w:val="22"/>
          <w:szCs w:val="18"/>
          <w:highlight w:val="none"/>
        </w:rPr>
        <w:t xml:space="preserve">  “技术培训”</w:t>
      </w:r>
      <w:r>
        <w:rPr>
          <w:rFonts w:hint="eastAsia" w:ascii="宋体" w:hAnsi="宋体" w:eastAsia="宋体" w:cs="宋体"/>
          <w:color w:val="000000"/>
          <w:sz w:val="22"/>
          <w:szCs w:val="18"/>
          <w:highlight w:val="none"/>
        </w:rPr>
        <w:t xml:space="preserve">是指在合同货物的安装、试运行、性能考核、操作、维修以及其他工作等方面卖方给予买方的培训。 </w:t>
      </w:r>
      <w:r>
        <w:rPr>
          <w:rFonts w:hint="eastAsia" w:ascii="宋体" w:hAnsi="宋体" w:eastAsia="宋体" w:cs="宋体"/>
          <w:color w:val="000000"/>
          <w:sz w:val="22"/>
          <w:szCs w:val="18"/>
          <w:highlight w:val="none"/>
        </w:rPr>
      </w:r>
      <w:r/>
    </w:p>
    <w:p>
      <w:pPr>
        <w:pStyle w:val="982"/>
        <w:ind w:left="960" w:hanging="880"/>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1.9  </w:t>
      </w:r>
      <w:r>
        <w:rPr>
          <w:rFonts w:hint="eastAsia" w:ascii="宋体" w:hAnsi="宋体" w:eastAsia="宋体" w:cs="宋体"/>
          <w:b/>
          <w:color w:val="000000"/>
          <w:sz w:val="22"/>
          <w:szCs w:val="18"/>
          <w:highlight w:val="none"/>
        </w:rPr>
        <w:t xml:space="preserve">“安装”</w:t>
      </w:r>
      <w:r>
        <w:rPr>
          <w:rFonts w:hint="eastAsia" w:ascii="宋体" w:hAnsi="宋体" w:eastAsia="宋体" w:cs="宋体"/>
          <w:color w:val="000000"/>
          <w:sz w:val="22"/>
          <w:szCs w:val="18"/>
          <w:highlight w:val="none"/>
        </w:rPr>
        <w:t xml:space="preserve">是指有关货物、备件和材料的安装工作，包括按照设计图将零部件放置在适当的位置并连接起来。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1.10  </w:t>
      </w:r>
      <w:r>
        <w:rPr>
          <w:rFonts w:hint="eastAsia" w:ascii="宋体" w:hAnsi="宋体" w:eastAsia="宋体" w:cs="宋体"/>
          <w:b/>
          <w:color w:val="000000"/>
          <w:sz w:val="22"/>
          <w:szCs w:val="18"/>
          <w:highlight w:val="none"/>
        </w:rPr>
        <w:t xml:space="preserve">“试运行”</w:t>
      </w:r>
      <w:r>
        <w:rPr>
          <w:rFonts w:hint="eastAsia" w:ascii="宋体" w:hAnsi="宋体" w:eastAsia="宋体" w:cs="宋体"/>
          <w:color w:val="000000"/>
          <w:sz w:val="22"/>
          <w:szCs w:val="18"/>
          <w:highlight w:val="none"/>
        </w:rPr>
        <w:t xml:space="preserve">是指为验明合同货物的机械性能，在安装完毕后对单台货物和一系列货物分别进行的测试。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1.11  </w:t>
      </w:r>
      <w:r>
        <w:rPr>
          <w:rFonts w:hint="eastAsia" w:ascii="宋体" w:hAnsi="宋体" w:eastAsia="宋体" w:cs="宋体"/>
          <w:b/>
          <w:color w:val="000000"/>
          <w:sz w:val="22"/>
          <w:szCs w:val="18"/>
          <w:highlight w:val="none"/>
        </w:rPr>
        <w:t xml:space="preserve">“性能考核”</w:t>
      </w:r>
      <w:r>
        <w:rPr>
          <w:rFonts w:hint="eastAsia" w:ascii="宋体" w:hAnsi="宋体" w:eastAsia="宋体" w:cs="宋体"/>
          <w:color w:val="000000"/>
          <w:sz w:val="22"/>
          <w:szCs w:val="18"/>
          <w:highlight w:val="none"/>
        </w:rPr>
        <w:t xml:space="preserve">是指根据合同附件3的规定进行的，用以确定合同货物是否达到合同附件2所规定的技术性能和保证指标的考核。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1.12  </w:t>
      </w:r>
      <w:r>
        <w:rPr>
          <w:rFonts w:hint="eastAsia" w:ascii="宋体" w:hAnsi="宋体" w:eastAsia="宋体" w:cs="宋体"/>
          <w:b/>
          <w:color w:val="000000"/>
          <w:sz w:val="22"/>
          <w:szCs w:val="18"/>
          <w:highlight w:val="none"/>
        </w:rPr>
        <w:t xml:space="preserve">“验收”</w:t>
      </w:r>
      <w:r>
        <w:rPr>
          <w:rFonts w:hint="eastAsia" w:ascii="宋体" w:hAnsi="宋体" w:eastAsia="宋体" w:cs="宋体"/>
          <w:color w:val="000000"/>
          <w:sz w:val="22"/>
          <w:szCs w:val="18"/>
          <w:highlight w:val="none"/>
        </w:rPr>
        <w:t xml:space="preserve">是指合同货物在性能考核中达到合同附件2规定的技术性能和保证指标之后，买方对合同货物的接受。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1.13  </w:t>
      </w:r>
      <w:r>
        <w:rPr>
          <w:rFonts w:hint="eastAsia" w:ascii="宋体" w:hAnsi="宋体" w:eastAsia="宋体" w:cs="宋体"/>
          <w:b/>
          <w:color w:val="000000"/>
          <w:sz w:val="22"/>
          <w:szCs w:val="18"/>
          <w:highlight w:val="none"/>
        </w:rPr>
        <w:t xml:space="preserve">“保证期”</w:t>
      </w:r>
      <w:r>
        <w:rPr>
          <w:rFonts w:hint="eastAsia" w:ascii="宋体" w:hAnsi="宋体" w:eastAsia="宋体" w:cs="宋体"/>
          <w:color w:val="000000"/>
          <w:sz w:val="22"/>
          <w:szCs w:val="18"/>
          <w:highlight w:val="none"/>
        </w:rPr>
        <w:t xml:space="preserve">是指自验收之日起一定期间内，卖方保证合同货物的适当和稳定运行，并负责消除合同货物存在的任何缺陷。详见合同附件2。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1.14   </w:t>
      </w:r>
      <w:r>
        <w:rPr>
          <w:rFonts w:hint="eastAsia" w:ascii="宋体" w:hAnsi="宋体" w:eastAsia="宋体" w:cs="宋体"/>
          <w:b/>
          <w:color w:val="000000"/>
          <w:sz w:val="22"/>
          <w:szCs w:val="18"/>
          <w:highlight w:val="none"/>
        </w:rPr>
        <w:t xml:space="preserve">“合同货币”</w:t>
      </w:r>
      <w:r>
        <w:rPr>
          <w:rFonts w:hint="eastAsia" w:ascii="宋体" w:hAnsi="宋体" w:eastAsia="宋体" w:cs="宋体"/>
          <w:color w:val="000000"/>
          <w:sz w:val="22"/>
          <w:szCs w:val="18"/>
          <w:highlight w:val="none"/>
        </w:rPr>
        <w:t xml:space="preserve">是指</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规定的本合同项下的支付中所使用的货币。</w:t>
      </w:r>
      <w:r>
        <w:rPr>
          <w:rFonts w:hint="eastAsia" w:ascii="宋体" w:hAnsi="宋体" w:eastAsia="宋体" w:cs="宋体"/>
          <w:color w:val="000000"/>
          <w:sz w:val="22"/>
          <w:szCs w:val="18"/>
          <w:highlight w:val="none"/>
        </w:rPr>
      </w:r>
      <w:r/>
    </w:p>
    <w:p>
      <w:pPr>
        <w:pStyle w:val="982"/>
        <w:ind w:left="960" w:hanging="880"/>
        <w:spacing w:line="360" w:lineRule="auto"/>
        <w:tabs>
          <w:tab w:val="left" w:pos="-210"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21"/>
          <w:highlight w:val="none"/>
        </w:rPr>
        <w:t xml:space="preserve">1.15  </w:t>
      </w:r>
      <w:r>
        <w:rPr>
          <w:rFonts w:hint="eastAsia" w:ascii="宋体" w:hAnsi="宋体" w:eastAsia="宋体" w:cs="宋体"/>
          <w:b/>
          <w:bCs/>
          <w:color w:val="000000"/>
          <w:sz w:val="22"/>
          <w:szCs w:val="21"/>
          <w:highlight w:val="none"/>
        </w:rPr>
        <w:t xml:space="preserve">“合同价</w:t>
      </w:r>
      <w:r>
        <w:rPr>
          <w:rFonts w:hint="eastAsia" w:ascii="宋体" w:hAnsi="宋体" w:eastAsia="宋体" w:cs="宋体"/>
          <w:b/>
          <w:bCs/>
          <w:color w:val="000000"/>
          <w:sz w:val="22"/>
          <w:szCs w:val="18"/>
          <w:highlight w:val="none"/>
        </w:rPr>
        <w:t xml:space="preserve">格”</w:t>
      </w:r>
      <w:r>
        <w:rPr>
          <w:rFonts w:hint="eastAsia" w:ascii="宋体" w:hAnsi="宋体" w:eastAsia="宋体" w:cs="宋体"/>
          <w:color w:val="000000"/>
          <w:sz w:val="22"/>
          <w:szCs w:val="18"/>
          <w:highlight w:val="none"/>
        </w:rPr>
        <w:t xml:space="preserve">是指在卖方完全和适当地履行其合同义务后，买方根据合同规定应支付给卖方的价款。</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1.16   </w:t>
      </w:r>
      <w:r>
        <w:rPr>
          <w:rFonts w:hint="eastAsia" w:ascii="宋体" w:hAnsi="宋体" w:eastAsia="宋体" w:cs="宋体"/>
          <w:b/>
          <w:color w:val="000000"/>
          <w:sz w:val="22"/>
          <w:szCs w:val="18"/>
          <w:highlight w:val="none"/>
        </w:rPr>
        <w:t xml:space="preserve">“合同生效日”</w:t>
      </w:r>
      <w:r>
        <w:rPr>
          <w:rFonts w:hint="eastAsia" w:ascii="宋体" w:hAnsi="宋体" w:eastAsia="宋体" w:cs="宋体"/>
          <w:color w:val="000000"/>
          <w:sz w:val="22"/>
          <w:szCs w:val="18"/>
          <w:highlight w:val="none"/>
        </w:rPr>
        <w:t xml:space="preserve">是指在</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规定的所有条件得到履行时的日期。 </w:t>
      </w:r>
      <w:r>
        <w:rPr>
          <w:rFonts w:hint="eastAsia" w:ascii="宋体" w:hAnsi="宋体" w:eastAsia="宋体" w:cs="宋体"/>
          <w:b/>
          <w:color w:val="000000"/>
          <w:sz w:val="22"/>
          <w:szCs w:val="18"/>
          <w:highlight w:val="none"/>
        </w:rPr>
        <w:t xml:space="preserve">     </w:t>
      </w:r>
      <w:r>
        <w:rPr>
          <w:rFonts w:hint="eastAsia" w:ascii="宋体" w:hAnsi="宋体" w:eastAsia="宋体" w:cs="宋体"/>
          <w:color w:val="000000"/>
          <w:sz w:val="22"/>
          <w:szCs w:val="18"/>
          <w:highlight w:val="none"/>
        </w:rPr>
      </w:r>
      <w:r/>
    </w:p>
    <w:p>
      <w:pPr>
        <w:pStyle w:val="982"/>
        <w:ind w:left="960" w:hanging="880"/>
        <w:spacing w:line="400" w:lineRule="exact"/>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1.17   </w:t>
      </w:r>
      <w:r>
        <w:rPr>
          <w:rFonts w:hint="eastAsia" w:ascii="宋体" w:hAnsi="宋体" w:eastAsia="宋体" w:cs="宋体"/>
          <w:b/>
          <w:color w:val="000000"/>
          <w:sz w:val="22"/>
          <w:szCs w:val="18"/>
          <w:highlight w:val="none"/>
        </w:rPr>
        <w:t xml:space="preserve">“日”</w:t>
      </w:r>
      <w:r>
        <w:rPr>
          <w:rFonts w:hint="eastAsia" w:ascii="宋体" w:hAnsi="宋体" w:eastAsia="宋体" w:cs="宋体"/>
          <w:color w:val="000000"/>
          <w:sz w:val="22"/>
          <w:szCs w:val="18"/>
          <w:highlight w:val="none"/>
        </w:rPr>
        <w:t xml:space="preserve">是指日历日数。 </w:t>
      </w:r>
      <w:r>
        <w:rPr>
          <w:rFonts w:hint="eastAsia" w:ascii="宋体" w:hAnsi="宋体" w:eastAsia="宋体" w:cs="宋体"/>
          <w:color w:val="000000"/>
          <w:sz w:val="22"/>
          <w:szCs w:val="18"/>
          <w:highlight w:val="none"/>
        </w:rPr>
      </w:r>
      <w:r/>
    </w:p>
    <w:p>
      <w:pPr>
        <w:pStyle w:val="982"/>
        <w:ind w:left="960" w:hanging="880"/>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1.18   </w:t>
      </w:r>
      <w:r>
        <w:rPr>
          <w:rFonts w:hint="eastAsia" w:ascii="宋体" w:hAnsi="宋体" w:eastAsia="宋体" w:cs="宋体"/>
          <w:b/>
          <w:color w:val="000000"/>
          <w:sz w:val="22"/>
          <w:szCs w:val="18"/>
          <w:highlight w:val="none"/>
        </w:rPr>
        <w:t xml:space="preserve">“月”</w:t>
      </w:r>
      <w:r>
        <w:rPr>
          <w:rFonts w:hint="eastAsia" w:ascii="宋体" w:hAnsi="宋体" w:eastAsia="宋体" w:cs="宋体"/>
          <w:color w:val="000000"/>
          <w:sz w:val="22"/>
          <w:szCs w:val="18"/>
          <w:highlight w:val="none"/>
        </w:rPr>
        <w:t xml:space="preserve">是指日历月数。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1.19　 </w:t>
      </w:r>
      <w:r>
        <w:rPr>
          <w:rFonts w:hint="eastAsia" w:ascii="宋体" w:hAnsi="宋体" w:eastAsia="宋体" w:cs="宋体"/>
          <w:b/>
          <w:bCs/>
          <w:color w:val="000000"/>
          <w:sz w:val="22"/>
          <w:szCs w:val="18"/>
          <w:highlight w:val="none"/>
        </w:rPr>
        <w:t xml:space="preserve">“知识产权”</w:t>
      </w:r>
      <w:r>
        <w:rPr>
          <w:rFonts w:hint="eastAsia" w:ascii="宋体" w:hAnsi="宋体" w:eastAsia="宋体" w:cs="宋体"/>
          <w:color w:val="000000"/>
          <w:sz w:val="22"/>
          <w:szCs w:val="18"/>
          <w:highlight w:val="none"/>
        </w:rPr>
        <w:t xml:space="preserve">是指专利权、商标权、著作权等无形财产专有权的统称。</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2.</w:t>
      </w:r>
      <w:r>
        <w:rPr>
          <w:rFonts w:hint="eastAsia" w:ascii="宋体" w:hAnsi="宋体" w:eastAsia="宋体" w:cs="宋体"/>
          <w:b/>
          <w:bCs/>
          <w:color w:val="000000"/>
          <w:sz w:val="22"/>
          <w:szCs w:val="18"/>
          <w:highlight w:val="none"/>
        </w:rPr>
        <w:tab/>
      </w:r>
      <w:r>
        <w:rPr>
          <w:rFonts w:hint="eastAsia" w:ascii="宋体" w:hAnsi="宋体" w:eastAsia="宋体" w:cs="宋体"/>
          <w:b/>
          <w:bCs/>
          <w:color w:val="000000"/>
          <w:sz w:val="22"/>
          <w:szCs w:val="18"/>
          <w:highlight w:val="none"/>
        </w:rPr>
        <w:tab/>
      </w:r>
      <w:r>
        <w:rPr>
          <w:rFonts w:hint="eastAsia" w:ascii="宋体" w:hAnsi="宋体" w:eastAsia="宋体" w:cs="宋体"/>
          <w:b/>
          <w:bCs/>
          <w:color w:val="000000"/>
          <w:sz w:val="22"/>
          <w:szCs w:val="18"/>
          <w:highlight w:val="none"/>
        </w:rPr>
        <w:t xml:space="preserve">合同范围</w:t>
      </w:r>
      <w:r>
        <w:rPr>
          <w:rFonts w:hint="eastAsia" w:ascii="宋体" w:hAnsi="宋体" w:eastAsia="宋体" w:cs="宋体"/>
          <w:b/>
          <w:bCs/>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2.1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买方同意从卖方购买、卖方同意向买方出售和提供</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中规定的“合同货物”以及相关技术服务、技术培训和技术资料。</w:t>
      </w:r>
      <w:r>
        <w:rPr>
          <w:rFonts w:hint="eastAsia" w:ascii="宋体" w:hAnsi="宋体" w:eastAsia="宋体" w:cs="宋体"/>
          <w:color w:val="000000"/>
          <w:sz w:val="22"/>
          <w:szCs w:val="18"/>
          <w:highlight w:val="none"/>
        </w:rPr>
      </w:r>
      <w:r/>
    </w:p>
    <w:p>
      <w:pPr>
        <w:pStyle w:val="982"/>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2.2</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合同货物的原产地国家和制造商规定见</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中。 </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3.价格</w:t>
      </w:r>
      <w:r>
        <w:rPr>
          <w:rFonts w:hint="eastAsia" w:ascii="宋体" w:hAnsi="宋体" w:eastAsia="宋体" w:cs="宋体"/>
          <w:b/>
          <w:bCs/>
          <w:color w:val="000000"/>
          <w:sz w:val="22"/>
          <w:szCs w:val="18"/>
          <w:highlight w:val="none"/>
        </w:rPr>
      </w:r>
      <w:r/>
    </w:p>
    <w:p>
      <w:pPr>
        <w:pStyle w:val="982"/>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3.1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本合同总价为</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标明的金额。合同总价是固定价格。</w:t>
      </w:r>
      <w:r>
        <w:rPr>
          <w:rFonts w:hint="eastAsia" w:ascii="宋体" w:hAnsi="宋体" w:eastAsia="宋体" w:cs="宋体"/>
          <w:color w:val="000000"/>
          <w:sz w:val="22"/>
          <w:szCs w:val="18"/>
          <w:highlight w:val="none"/>
        </w:rPr>
      </w:r>
      <w:r/>
    </w:p>
    <w:p>
      <w:pPr>
        <w:pStyle w:val="982"/>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3.2</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合同货物的分项价格表详见合同附件1。 </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4.</w:t>
      </w:r>
      <w:r>
        <w:rPr>
          <w:rFonts w:hint="eastAsia" w:ascii="宋体" w:hAnsi="宋体" w:eastAsia="宋体" w:cs="宋体"/>
          <w:b/>
          <w:bCs/>
          <w:color w:val="000000"/>
          <w:sz w:val="22"/>
          <w:szCs w:val="18"/>
          <w:highlight w:val="none"/>
        </w:rPr>
        <w:tab/>
      </w:r>
      <w:r>
        <w:rPr>
          <w:rFonts w:hint="eastAsia" w:ascii="宋体" w:hAnsi="宋体" w:eastAsia="宋体" w:cs="宋体"/>
          <w:b/>
          <w:bCs/>
          <w:color w:val="000000"/>
          <w:sz w:val="22"/>
          <w:szCs w:val="18"/>
          <w:highlight w:val="none"/>
        </w:rPr>
        <w:tab/>
      </w:r>
      <w:r>
        <w:rPr>
          <w:rFonts w:hint="eastAsia" w:ascii="宋体" w:hAnsi="宋体" w:eastAsia="宋体" w:cs="宋体"/>
          <w:b/>
          <w:bCs/>
          <w:color w:val="000000"/>
          <w:sz w:val="22"/>
          <w:szCs w:val="18"/>
          <w:highlight w:val="none"/>
        </w:rPr>
        <w:t xml:space="preserve">支付</w:t>
      </w:r>
      <w:r>
        <w:rPr>
          <w:rFonts w:hint="eastAsia" w:ascii="宋体" w:hAnsi="宋体" w:eastAsia="宋体" w:cs="宋体"/>
          <w:b/>
          <w:bCs/>
          <w:color w:val="000000"/>
          <w:sz w:val="22"/>
          <w:szCs w:val="18"/>
          <w:highlight w:val="none"/>
        </w:rPr>
      </w:r>
      <w:r/>
    </w:p>
    <w:p>
      <w:pPr>
        <w:pStyle w:val="982"/>
        <w:spacing w:line="360" w:lineRule="auto"/>
        <w:rPr>
          <w:rFonts w:hint="eastAsia" w:ascii="宋体" w:hAnsi="宋体" w:eastAsia="宋体" w:cs="宋体"/>
          <w:b/>
          <w:color w:val="000000"/>
          <w:sz w:val="22"/>
          <w:szCs w:val="18"/>
          <w:highlight w:val="none"/>
        </w:rPr>
      </w:pPr>
      <w:r>
        <w:rPr>
          <w:rFonts w:hint="eastAsia" w:ascii="宋体" w:hAnsi="宋体" w:eastAsia="宋体" w:cs="宋体"/>
          <w:color w:val="000000"/>
          <w:sz w:val="22"/>
          <w:szCs w:val="18"/>
          <w:highlight w:val="none"/>
        </w:rPr>
        <w:t xml:space="preserve">4.1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买方应根据</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规定的支付方式进行支付。</w:t>
      </w:r>
      <w:r>
        <w:rPr>
          <w:rFonts w:hint="eastAsia" w:ascii="宋体" w:hAnsi="宋体" w:eastAsia="宋体" w:cs="宋体"/>
          <w:b/>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5.履约保证金　</w:t>
      </w:r>
      <w:r>
        <w:rPr>
          <w:rFonts w:hint="eastAsia" w:ascii="宋体" w:hAnsi="宋体" w:eastAsia="宋体" w:cs="宋体"/>
          <w:b/>
          <w:bCs/>
          <w:color w:val="000000"/>
          <w:sz w:val="22"/>
          <w:szCs w:val="18"/>
          <w:highlight w:val="none"/>
        </w:rPr>
      </w:r>
      <w:r/>
    </w:p>
    <w:p>
      <w:pPr>
        <w:pStyle w:val="982"/>
        <w:ind w:left="960" w:hanging="880"/>
        <w:spacing w:line="360" w:lineRule="auto"/>
        <w:rPr>
          <w:rFonts w:hint="eastAsia" w:ascii="宋体" w:hAnsi="宋体" w:eastAsia="宋体" w:cs="宋体"/>
          <w:bCs/>
          <w:color w:val="000000"/>
          <w:sz w:val="22"/>
          <w:szCs w:val="18"/>
          <w:highlight w:val="none"/>
        </w:rPr>
      </w:pPr>
      <w:r>
        <w:rPr>
          <w:rFonts w:hint="eastAsia" w:ascii="宋体" w:hAnsi="宋体" w:eastAsia="宋体" w:cs="宋体"/>
          <w:bCs/>
          <w:color w:val="000000"/>
          <w:sz w:val="22"/>
          <w:szCs w:val="18"/>
          <w:highlight w:val="none"/>
        </w:rPr>
        <w:t xml:space="preserve">5.1   卖方应在收到中标通知书后30日内，向买方提交“合同专用条款”中所规定金额的履约保证金。</w:t>
      </w:r>
      <w:r>
        <w:rPr>
          <w:rFonts w:hint="eastAsia" w:ascii="宋体" w:hAnsi="宋体" w:eastAsia="宋体" w:cs="宋体"/>
          <w:bCs/>
          <w:color w:val="000000"/>
          <w:sz w:val="22"/>
          <w:szCs w:val="18"/>
          <w:highlight w:val="none"/>
        </w:rPr>
      </w:r>
      <w:r/>
    </w:p>
    <w:p>
      <w:pPr>
        <w:pStyle w:val="982"/>
        <w:ind w:left="960" w:hanging="880"/>
        <w:spacing w:line="360" w:lineRule="auto"/>
        <w:rPr>
          <w:rFonts w:hint="eastAsia" w:ascii="宋体" w:hAnsi="宋体" w:eastAsia="宋体" w:cs="宋体"/>
          <w:bCs/>
          <w:color w:val="000000"/>
          <w:sz w:val="22"/>
          <w:szCs w:val="18"/>
          <w:highlight w:val="none"/>
        </w:rPr>
      </w:pPr>
      <w:r>
        <w:rPr>
          <w:rFonts w:hint="eastAsia" w:ascii="宋体" w:hAnsi="宋体" w:eastAsia="宋体" w:cs="宋体"/>
          <w:bCs/>
          <w:color w:val="000000"/>
          <w:sz w:val="22"/>
          <w:szCs w:val="18"/>
          <w:highlight w:val="none"/>
        </w:rPr>
        <w:t xml:space="preserve">5.2   如果卖方在合同有效期内未能履行本合同项下卖方的义务，买方有权从履约保证金中追索。</w:t>
      </w:r>
      <w:r>
        <w:rPr>
          <w:rFonts w:hint="eastAsia" w:ascii="宋体" w:hAnsi="宋体" w:eastAsia="宋体" w:cs="宋体"/>
          <w:bCs/>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5.3   履约保证金应采用本合同货币，或“合同专用条款”中所规定的买方可</w:t>
      </w:r>
      <w:r>
        <w:rPr>
          <w:rFonts w:hint="eastAsia" w:ascii="宋体" w:hAnsi="宋体" w:eastAsia="宋体" w:cs="宋体"/>
          <w:color w:val="000000"/>
          <w:sz w:val="22"/>
          <w:szCs w:val="18"/>
          <w:highlight w:val="none"/>
        </w:rPr>
      </w:r>
      <w:r/>
    </w:p>
    <w:p>
      <w:pPr>
        <w:pStyle w:val="982"/>
        <w:ind w:left="958"/>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以接受的一种可自由兑换的货币并根据“合同专用条款”的规定采用下述方式之一提交： </w:t>
      </w:r>
      <w:r>
        <w:rPr>
          <w:rFonts w:hint="eastAsia" w:ascii="宋体" w:hAnsi="宋体" w:eastAsia="宋体" w:cs="宋体"/>
          <w:color w:val="000000"/>
          <w:sz w:val="22"/>
          <w:szCs w:val="18"/>
          <w:highlight w:val="none"/>
        </w:rPr>
      </w:r>
      <w:r/>
    </w:p>
    <w:p>
      <w:pPr>
        <w:pStyle w:val="982"/>
        <w:ind w:left="938" w:hanging="22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银行保函：由买方可接受的的银行。其格式采用招标文件中提供的  格式或买方可接受的其他格式；或</w:t>
      </w:r>
      <w:r>
        <w:rPr>
          <w:rFonts w:hint="eastAsia" w:ascii="宋体" w:hAnsi="宋体" w:eastAsia="宋体" w:cs="宋体"/>
          <w:color w:val="000000"/>
          <w:sz w:val="22"/>
          <w:szCs w:val="18"/>
          <w:highlight w:val="none"/>
        </w:rPr>
      </w:r>
      <w:r/>
    </w:p>
    <w:p>
      <w:pPr>
        <w:pStyle w:val="982"/>
        <w:ind w:left="938" w:hanging="22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B. 银行本票、银行汇票或现金。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5.4   本合同第11.5条规定的保证期期满证书签署日期起60日后，履约保函</w:t>
      </w:r>
      <w:r>
        <w:rPr>
          <w:rFonts w:hint="eastAsia" w:ascii="宋体" w:hAnsi="宋体" w:eastAsia="宋体" w:cs="宋体"/>
          <w:color w:val="000000"/>
          <w:sz w:val="22"/>
          <w:szCs w:val="18"/>
          <w:highlight w:val="none"/>
        </w:rPr>
      </w:r>
      <w:r/>
    </w:p>
    <w:p>
      <w:pPr>
        <w:pStyle w:val="982"/>
        <w:ind w:left="938" w:hanging="22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失效，其他形式的履约保证金买方将退还卖方。 </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6.交货和保险</w:t>
      </w:r>
      <w:r>
        <w:rPr>
          <w:rFonts w:hint="eastAsia" w:ascii="宋体" w:hAnsi="宋体" w:eastAsia="宋体" w:cs="宋体"/>
          <w:b/>
          <w:bCs/>
          <w:color w:val="000000"/>
          <w:sz w:val="22"/>
          <w:szCs w:val="18"/>
          <w:highlight w:val="none"/>
        </w:rPr>
      </w:r>
      <w:r/>
    </w:p>
    <w:p>
      <w:pPr>
        <w:pStyle w:val="982"/>
        <w:spacing w:line="360" w:lineRule="auto"/>
        <w:rPr>
          <w:rFonts w:hint="eastAsia" w:ascii="宋体" w:hAnsi="宋体" w:eastAsia="宋体" w:cs="宋体"/>
          <w:b/>
          <w:color w:val="000000"/>
          <w:sz w:val="22"/>
          <w:szCs w:val="18"/>
          <w:highlight w:val="none"/>
        </w:rPr>
      </w:pPr>
      <w:r>
        <w:rPr>
          <w:rFonts w:hint="eastAsia" w:ascii="宋体" w:hAnsi="宋体" w:eastAsia="宋体" w:cs="宋体"/>
          <w:color w:val="000000"/>
          <w:sz w:val="22"/>
          <w:szCs w:val="18"/>
          <w:highlight w:val="none"/>
        </w:rPr>
        <w:t xml:space="preserve">6.1</w:t>
      </w:r>
      <w:r>
        <w:rPr>
          <w:rFonts w:hint="eastAsia" w:ascii="宋体" w:hAnsi="宋体" w:eastAsia="宋体" w:cs="宋体"/>
          <w:b/>
          <w:color w:val="000000"/>
          <w:sz w:val="22"/>
          <w:szCs w:val="18"/>
          <w:highlight w:val="none"/>
        </w:rPr>
        <w:tab/>
      </w:r>
      <w:r>
        <w:rPr>
          <w:rFonts w:hint="eastAsia" w:ascii="宋体" w:hAnsi="宋体" w:eastAsia="宋体" w:cs="宋体"/>
          <w:b/>
          <w:color w:val="000000"/>
          <w:sz w:val="22"/>
          <w:szCs w:val="18"/>
          <w:highlight w:val="none"/>
        </w:rPr>
        <w:tab/>
      </w:r>
      <w:r>
        <w:rPr>
          <w:rFonts w:hint="eastAsia" w:ascii="宋体" w:hAnsi="宋体" w:eastAsia="宋体" w:cs="宋体"/>
          <w:color w:val="000000"/>
          <w:sz w:val="22"/>
          <w:szCs w:val="18"/>
          <w:highlight w:val="none"/>
        </w:rPr>
        <w:t xml:space="preserve">合同货物大约净重、总毛量、总体积规定见</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w:t>
      </w:r>
      <w:r>
        <w:rPr>
          <w:rFonts w:hint="eastAsia" w:ascii="宋体" w:hAnsi="宋体" w:eastAsia="宋体" w:cs="宋体"/>
          <w:b/>
          <w:color w:val="000000"/>
          <w:sz w:val="22"/>
          <w:szCs w:val="18"/>
          <w:highlight w:val="none"/>
        </w:rPr>
      </w:r>
      <w:r/>
    </w:p>
    <w:p>
      <w:pPr>
        <w:pStyle w:val="982"/>
        <w:ind w:left="850" w:hanging="846"/>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6.2</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卖方应按照</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规定的交货期限、批次和交货条件交付合</w:t>
      </w:r>
      <w:r>
        <w:rPr>
          <w:rFonts w:hint="eastAsia" w:ascii="宋体" w:hAnsi="宋体" w:eastAsia="宋体" w:cs="宋体"/>
          <w:color w:val="000000"/>
          <w:sz w:val="22"/>
          <w:szCs w:val="18"/>
          <w:highlight w:val="none"/>
        </w:rPr>
      </w:r>
      <w:r/>
    </w:p>
    <w:p>
      <w:pPr>
        <w:pStyle w:val="982"/>
        <w:ind w:left="945" w:hanging="105"/>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同货物。实际交货日期的规定见</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w:t>
      </w:r>
      <w:r>
        <w:rPr>
          <w:rFonts w:hint="eastAsia" w:ascii="宋体" w:hAnsi="宋体" w:eastAsia="宋体" w:cs="宋体"/>
          <w:color w:val="000000"/>
          <w:sz w:val="22"/>
          <w:szCs w:val="18"/>
          <w:highlight w:val="none"/>
        </w:rPr>
      </w:r>
      <w:r/>
    </w:p>
    <w:p>
      <w:pPr>
        <w:pStyle w:val="982"/>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6.3</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装运地点规定见</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 </w:t>
      </w:r>
      <w:r>
        <w:rPr>
          <w:rFonts w:hint="eastAsia" w:ascii="宋体" w:hAnsi="宋体" w:eastAsia="宋体" w:cs="宋体"/>
          <w:color w:val="000000"/>
          <w:sz w:val="22"/>
          <w:szCs w:val="18"/>
          <w:highlight w:val="none"/>
        </w:rPr>
      </w:r>
      <w:r/>
    </w:p>
    <w:p>
      <w:pPr>
        <w:pStyle w:val="982"/>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6.4</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卸货地点规定见</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 </w:t>
      </w:r>
      <w:r>
        <w:rPr>
          <w:rFonts w:hint="eastAsia" w:ascii="宋体" w:hAnsi="宋体" w:eastAsia="宋体" w:cs="宋体"/>
          <w:color w:val="000000"/>
          <w:sz w:val="22"/>
          <w:szCs w:val="18"/>
          <w:highlight w:val="none"/>
        </w:rPr>
      </w:r>
      <w:r/>
    </w:p>
    <w:p>
      <w:pPr>
        <w:pStyle w:val="982"/>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6.5</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在</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规定的期限内，卖方应将合同号、货物的名称、装</w:t>
      </w:r>
      <w:r>
        <w:rPr>
          <w:rFonts w:hint="eastAsia" w:ascii="宋体" w:hAnsi="宋体" w:eastAsia="宋体" w:cs="宋体"/>
          <w:color w:val="000000"/>
          <w:sz w:val="22"/>
          <w:szCs w:val="18"/>
          <w:highlight w:val="none"/>
        </w:rPr>
      </w:r>
      <w:r/>
    </w:p>
    <w:p>
      <w:pPr>
        <w:pStyle w:val="982"/>
        <w:ind w:left="84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运数量、金额、包装件数、总毛重、总体积（立方米）、以及货物准备发运和预计到达卸货地点的时间以传真方式通知买方。如果有易燃货物和危险货物，亦应注明有关细节。 </w:t>
      </w:r>
      <w:r>
        <w:rPr>
          <w:rFonts w:hint="eastAsia" w:ascii="宋体" w:hAnsi="宋体" w:eastAsia="宋体" w:cs="宋体"/>
          <w:color w:val="000000"/>
          <w:sz w:val="22"/>
          <w:szCs w:val="18"/>
          <w:highlight w:val="none"/>
        </w:rPr>
      </w:r>
      <w:r/>
    </w:p>
    <w:p>
      <w:pPr>
        <w:pStyle w:val="982"/>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6.6</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卖方应按</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中的有关规定装运并交付合同货物。 </w:t>
      </w:r>
      <w:r>
        <w:rPr>
          <w:rFonts w:hint="eastAsia" w:ascii="宋体" w:hAnsi="宋体" w:eastAsia="宋体" w:cs="宋体"/>
          <w:color w:val="000000"/>
          <w:sz w:val="22"/>
          <w:szCs w:val="18"/>
          <w:highlight w:val="none"/>
        </w:rPr>
      </w:r>
      <w:r/>
    </w:p>
    <w:p>
      <w:pPr>
        <w:pStyle w:val="982"/>
        <w:ind w:right="-122"/>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6.7  </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卖方应向一流的保险公司投保金额为装运的合同货物的发票价值110 ％</w:t>
      </w:r>
      <w:r>
        <w:rPr>
          <w:rFonts w:hint="eastAsia" w:ascii="宋体" w:hAnsi="宋体" w:eastAsia="宋体" w:cs="宋体"/>
          <w:color w:val="000000"/>
          <w:sz w:val="22"/>
          <w:szCs w:val="18"/>
          <w:highlight w:val="none"/>
        </w:rPr>
      </w:r>
      <w:r/>
    </w:p>
    <w:p>
      <w:pPr>
        <w:pStyle w:val="982"/>
        <w:ind w:left="840"/>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r>
        <w:rPr>
          <w:rFonts w:hint="eastAsia" w:ascii="宋体" w:hAnsi="宋体" w:eastAsia="宋体" w:cs="宋体"/>
          <w:color w:val="000000"/>
          <w:sz w:val="22"/>
          <w:szCs w:val="18"/>
          <w:highlight w:val="none"/>
        </w:rPr>
      </w:r>
      <w:r/>
    </w:p>
    <w:p>
      <w:pPr>
        <w:pStyle w:val="982"/>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6.8</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如果卖方未能按照合同规定的交货期间交货，卖方应按</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r>
      <w:r/>
    </w:p>
    <w:p>
      <w:pPr>
        <w:pStyle w:val="981"/>
        <w:ind w:left="840" w:firstLine="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的规定支付迟交违约金或提供其他救济。迟交违约金的支付不能免除卖方继续交付相关合同货物的义务。</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7. 包装与标记</w:t>
      </w:r>
      <w:r>
        <w:rPr>
          <w:rFonts w:hint="eastAsia" w:ascii="宋体" w:hAnsi="宋体" w:eastAsia="宋体" w:cs="宋体"/>
          <w:b/>
          <w:bCs/>
          <w:color w:val="000000"/>
          <w:sz w:val="22"/>
          <w:szCs w:val="18"/>
          <w:highlight w:val="none"/>
        </w:rPr>
        <w:tab/>
      </w:r>
      <w:r>
        <w:rPr>
          <w:rFonts w:hint="eastAsia" w:ascii="宋体" w:hAnsi="宋体" w:eastAsia="宋体" w:cs="宋体"/>
          <w:b/>
          <w:bCs/>
          <w:color w:val="000000"/>
          <w:sz w:val="22"/>
          <w:szCs w:val="18"/>
          <w:highlight w:val="none"/>
        </w:rPr>
      </w:r>
      <w:r/>
    </w:p>
    <w:p>
      <w:pPr>
        <w:pStyle w:val="982"/>
        <w:ind w:left="960" w:hanging="880"/>
        <w:spacing w:line="360" w:lineRule="auto"/>
        <w:rPr>
          <w:rFonts w:hint="eastAsia" w:ascii="宋体" w:hAnsi="宋体" w:eastAsia="宋体" w:cs="宋体"/>
          <w:b/>
          <w:color w:val="000000"/>
          <w:sz w:val="22"/>
          <w:szCs w:val="18"/>
          <w:highlight w:val="none"/>
        </w:rPr>
      </w:pPr>
      <w:r>
        <w:rPr>
          <w:rFonts w:hint="eastAsia" w:ascii="宋体" w:hAnsi="宋体" w:eastAsia="宋体" w:cs="宋体"/>
          <w:color w:val="000000"/>
          <w:sz w:val="22"/>
          <w:szCs w:val="18"/>
          <w:highlight w:val="none"/>
        </w:rPr>
        <w:t xml:space="preserve">7.1    除非合同中另有规定，合同货物应由卖方用新的坚固的木箱进行包装</w:t>
      </w:r>
      <w:r>
        <w:rPr>
          <w:rFonts w:hint="eastAsia" w:ascii="宋体" w:hAnsi="宋体" w:eastAsia="宋体" w:cs="宋体"/>
          <w:b/>
          <w:color w:val="000000"/>
          <w:sz w:val="22"/>
          <w:szCs w:val="18"/>
          <w:highlight w:val="none"/>
        </w:rPr>
        <w:tab/>
      </w:r>
      <w:r>
        <w:rPr>
          <w:rFonts w:hint="eastAsia" w:ascii="宋体" w:hAnsi="宋体" w:eastAsia="宋体" w:cs="宋体"/>
          <w:b/>
          <w:color w:val="000000"/>
          <w:sz w:val="22"/>
          <w:szCs w:val="18"/>
          <w:highlight w:val="none"/>
        </w:rPr>
      </w:r>
      <w:r/>
    </w:p>
    <w:p>
      <w:pPr>
        <w:pStyle w:val="982"/>
        <w:ind w:left="958"/>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并采取</w:t>
      </w:r>
      <w:r>
        <w:rPr>
          <w:rFonts w:hint="eastAsia" w:ascii="宋体" w:hAnsi="宋体" w:eastAsia="宋体" w:cs="宋体"/>
          <w:b/>
          <w:color w:val="000000"/>
          <w:sz w:val="22"/>
          <w:szCs w:val="18"/>
          <w:highlight w:val="none"/>
        </w:rPr>
        <w:tab/>
      </w:r>
      <w:r>
        <w:rPr>
          <w:rFonts w:hint="eastAsia" w:ascii="宋体" w:hAnsi="宋体" w:eastAsia="宋体" w:cs="宋体"/>
          <w:color w:val="000000"/>
          <w:sz w:val="22"/>
          <w:szCs w:val="18"/>
          <w:highlight w:val="none"/>
        </w:rPr>
        <w:t xml:space="preserve">防潮、防雨、防锈、防腐蚀、防震动及防止其它损坏的必要保护措施， </w:t>
      </w:r>
      <w:r>
        <w:rPr>
          <w:rFonts w:hint="eastAsia" w:ascii="宋体" w:hAnsi="宋体" w:eastAsia="宋体" w:cs="宋体"/>
          <w:color w:val="000000"/>
          <w:sz w:val="22"/>
          <w:szCs w:val="18"/>
          <w:highlight w:val="none"/>
        </w:rPr>
      </w:r>
      <w:r/>
    </w:p>
    <w:p>
      <w:pPr>
        <w:pStyle w:val="982"/>
        <w:ind w:left="958"/>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从而保证合同货物能够经受多次搬运、装卸及远洋和内陆的长途运输。</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7.2   卖方应在每个包装箱的邻接四个侧面标明“合同专用条款”规定的内容。 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r>
        <w:rPr>
          <w:rFonts w:hint="eastAsia" w:ascii="宋体" w:hAnsi="宋体" w:eastAsia="宋体" w:cs="宋体"/>
          <w:color w:val="000000"/>
          <w:sz w:val="22"/>
          <w:szCs w:val="18"/>
          <w:highlight w:val="none"/>
        </w:rPr>
      </w:r>
      <w:r/>
    </w:p>
    <w:p>
      <w:pPr>
        <w:pStyle w:val="982"/>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7.3</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在合同货物的每件包装中都应附有下列单据： </w:t>
      </w:r>
      <w:r>
        <w:rPr>
          <w:rFonts w:hint="eastAsia" w:ascii="宋体" w:hAnsi="宋体" w:eastAsia="宋体" w:cs="宋体"/>
          <w:color w:val="000000"/>
          <w:sz w:val="22"/>
          <w:szCs w:val="18"/>
          <w:highlight w:val="none"/>
        </w:rPr>
      </w:r>
      <w:r/>
    </w:p>
    <w:p>
      <w:pPr>
        <w:pStyle w:val="982"/>
        <w:ind w:left="840" w:firstLine="105"/>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A. 装箱明细单副本一式两份； </w:t>
      </w:r>
      <w:r>
        <w:rPr>
          <w:rFonts w:hint="eastAsia" w:ascii="宋体" w:hAnsi="宋体" w:eastAsia="宋体" w:cs="宋体"/>
          <w:color w:val="000000"/>
          <w:sz w:val="22"/>
          <w:szCs w:val="18"/>
          <w:highlight w:val="none"/>
        </w:rPr>
      </w:r>
      <w:r/>
    </w:p>
    <w:p>
      <w:pPr>
        <w:pStyle w:val="982"/>
        <w:ind w:left="840" w:firstLine="105"/>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B. 质量合格证副本一式两份； </w:t>
      </w:r>
      <w:r>
        <w:rPr>
          <w:rFonts w:hint="eastAsia" w:ascii="宋体" w:hAnsi="宋体" w:eastAsia="宋体" w:cs="宋体"/>
          <w:color w:val="000000"/>
          <w:sz w:val="22"/>
          <w:szCs w:val="18"/>
          <w:highlight w:val="none"/>
        </w:rPr>
      </w:r>
      <w:r/>
    </w:p>
    <w:p>
      <w:pPr>
        <w:pStyle w:val="982"/>
        <w:ind w:left="840" w:firstLine="105"/>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C. 相关合同货物的技术资料一份； </w:t>
      </w:r>
      <w:r>
        <w:rPr>
          <w:rFonts w:hint="eastAsia" w:ascii="宋体" w:hAnsi="宋体" w:eastAsia="宋体" w:cs="宋体"/>
          <w:color w:val="000000"/>
          <w:sz w:val="22"/>
          <w:szCs w:val="18"/>
          <w:highlight w:val="none"/>
        </w:rPr>
      </w:r>
      <w:r/>
    </w:p>
    <w:p>
      <w:pPr>
        <w:pStyle w:val="982"/>
        <w:ind w:left="840" w:firstLine="105"/>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D. 需要组装的部件及机器的系统装配图一式两份。</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7.4</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7.5</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8.技术资料</w:t>
      </w:r>
      <w:r>
        <w:rPr>
          <w:rFonts w:hint="eastAsia" w:ascii="宋体" w:hAnsi="宋体" w:eastAsia="宋体" w:cs="宋体"/>
          <w:b/>
          <w:bCs/>
          <w:color w:val="000000"/>
          <w:sz w:val="22"/>
          <w:szCs w:val="18"/>
          <w:highlight w:val="none"/>
        </w:rPr>
      </w:r>
      <w:r/>
    </w:p>
    <w:p>
      <w:pPr>
        <w:pStyle w:val="982"/>
        <w:jc w:val="left"/>
        <w:spacing w:line="360" w:lineRule="auto"/>
        <w:rPr>
          <w:rFonts w:hint="eastAsia" w:ascii="宋体" w:hAnsi="宋体" w:eastAsia="宋体" w:cs="宋体"/>
          <w:color w:val="000000"/>
          <w:spacing w:val="-10"/>
          <w:sz w:val="22"/>
          <w:szCs w:val="18"/>
          <w:highlight w:val="none"/>
        </w:rPr>
      </w:pPr>
      <w:r>
        <w:rPr>
          <w:rFonts w:hint="eastAsia" w:ascii="宋体" w:hAnsi="宋体" w:eastAsia="宋体" w:cs="宋体"/>
          <w:color w:val="000000"/>
          <w:sz w:val="22"/>
          <w:szCs w:val="18"/>
          <w:highlight w:val="none"/>
        </w:rPr>
        <w:t xml:space="preserve">8.1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pacing w:val="-10"/>
          <w:sz w:val="22"/>
          <w:szCs w:val="18"/>
          <w:highlight w:val="none"/>
        </w:rPr>
        <w:t xml:space="preserve">卖方应按照</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pacing w:val="-10"/>
          <w:sz w:val="22"/>
          <w:szCs w:val="18"/>
          <w:highlight w:val="none"/>
        </w:rPr>
        <w:t xml:space="preserve">规定的期限和方式交付技术资料。</w:t>
      </w:r>
      <w:r>
        <w:rPr>
          <w:rFonts w:hint="eastAsia" w:ascii="宋体" w:hAnsi="宋体" w:eastAsia="宋体" w:cs="宋体"/>
          <w:color w:val="000000"/>
          <w:spacing w:val="-1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9.检验</w:t>
      </w:r>
      <w:r>
        <w:rPr>
          <w:rFonts w:hint="eastAsia" w:ascii="宋体" w:hAnsi="宋体" w:eastAsia="宋体" w:cs="宋体"/>
          <w:b/>
          <w:bCs/>
          <w:color w:val="000000"/>
          <w:sz w:val="22"/>
          <w:szCs w:val="18"/>
          <w:highlight w:val="none"/>
        </w:rPr>
      </w:r>
      <w:r/>
    </w:p>
    <w:p>
      <w:pPr>
        <w:pStyle w:val="982"/>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9.1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卖方或制造商应按照</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的规定对合同货物进行出厂检验。</w:t>
      </w:r>
      <w:r>
        <w:rPr>
          <w:rFonts w:hint="eastAsia" w:ascii="宋体" w:hAnsi="宋体" w:eastAsia="宋体" w:cs="宋体"/>
          <w:color w:val="000000"/>
          <w:sz w:val="22"/>
          <w:szCs w:val="18"/>
          <w:highlight w:val="none"/>
        </w:rPr>
      </w:r>
      <w:r/>
    </w:p>
    <w:p>
      <w:pPr>
        <w:pStyle w:val="982"/>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9.2</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在</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规定的期限内，买方应申请检验当局就合同货物的   </w:t>
      </w:r>
      <w:r>
        <w:rPr>
          <w:rFonts w:hint="eastAsia" w:ascii="宋体" w:hAnsi="宋体" w:eastAsia="宋体" w:cs="宋体"/>
          <w:color w:val="000000"/>
          <w:sz w:val="22"/>
          <w:szCs w:val="18"/>
          <w:highlight w:val="none"/>
        </w:rPr>
      </w:r>
      <w:r/>
    </w:p>
    <w:p>
      <w:pPr>
        <w:pStyle w:val="982"/>
        <w:ind w:left="958"/>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外观、规格和数量／重量进行检验。如果在开箱检验中发现交付的合同货物有短少、缺陷、损坏或其它与合同规定不符合的情形，检验当局出具的商检证书应作为买方向卖方提出索赔的有效证据。 </w:t>
      </w:r>
      <w:r>
        <w:rPr>
          <w:rFonts w:hint="eastAsia" w:ascii="宋体" w:hAnsi="宋体" w:eastAsia="宋体" w:cs="宋体"/>
          <w:color w:val="000000"/>
          <w:sz w:val="22"/>
          <w:szCs w:val="18"/>
          <w:highlight w:val="none"/>
        </w:rPr>
      </w:r>
      <w:r/>
    </w:p>
    <w:p>
      <w:pPr>
        <w:pStyle w:val="982"/>
        <w:ind w:left="943" w:hanging="864"/>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9.3 </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如果在保证期满前发现合同货物存在缺陷，不论该缺陷是由于归咎于卖方的何种原因，包括但不限于隐蔽性缺陷或使用不适当的原材料引起的，买方均有权提请检验当局进行检验并有权凭商检证书向卖方提出索赔。 </w:t>
      </w:r>
      <w:r>
        <w:rPr>
          <w:rFonts w:hint="eastAsia" w:ascii="宋体" w:hAnsi="宋体" w:eastAsia="宋体" w:cs="宋体"/>
          <w:color w:val="000000"/>
          <w:sz w:val="22"/>
          <w:szCs w:val="18"/>
          <w:highlight w:val="none"/>
        </w:rPr>
      </w:r>
      <w:r/>
    </w:p>
    <w:p>
      <w:pPr>
        <w:pStyle w:val="982"/>
        <w:ind w:left="943" w:hanging="864"/>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9.4 </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如果技术资料中规定的检验标准和规格不完全，检验当局有权自行决定按照买方国家的现行标准和／或检验当局认为合适的其它标准进行检验。 </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10.技术服务和考核验收</w:t>
      </w:r>
      <w:r>
        <w:rPr>
          <w:rFonts w:hint="eastAsia" w:ascii="宋体" w:hAnsi="宋体" w:eastAsia="宋体" w:cs="宋体"/>
          <w:b/>
          <w:bCs/>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10.1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合同货物的安装、试运行、性能考核应按照</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的规定进行。</w:t>
      </w:r>
      <w:r>
        <w:rPr>
          <w:rFonts w:hint="eastAsia" w:ascii="宋体" w:hAnsi="宋体" w:eastAsia="宋体" w:cs="宋体"/>
          <w:color w:val="000000"/>
          <w:sz w:val="22"/>
          <w:szCs w:val="18"/>
          <w:highlight w:val="none"/>
        </w:rPr>
      </w:r>
      <w:r/>
    </w:p>
    <w:p>
      <w:pPr>
        <w:pStyle w:val="982"/>
        <w:ind w:left="943" w:hanging="864"/>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10.2</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在安装工作按照技术资料的规定完成后，合同双方应在安装结束后5日内签署安装证书。该证书的签署日期应视为安装工作完成日。 </w:t>
      </w:r>
      <w:r>
        <w:rPr>
          <w:rFonts w:hint="eastAsia" w:ascii="宋体" w:hAnsi="宋体" w:eastAsia="宋体" w:cs="宋体"/>
          <w:color w:val="000000"/>
          <w:sz w:val="22"/>
          <w:szCs w:val="18"/>
          <w:highlight w:val="none"/>
        </w:rPr>
      </w:r>
      <w:r/>
    </w:p>
    <w:p>
      <w:pPr>
        <w:pStyle w:val="982"/>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10.3</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合同双方应按照</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的规定对合同货物进行性能考核。 </w:t>
      </w:r>
      <w:r>
        <w:rPr>
          <w:rFonts w:hint="eastAsia" w:ascii="宋体" w:hAnsi="宋体" w:eastAsia="宋体" w:cs="宋体"/>
          <w:color w:val="000000"/>
          <w:sz w:val="22"/>
          <w:szCs w:val="18"/>
          <w:highlight w:val="none"/>
        </w:rPr>
      </w:r>
      <w:r/>
    </w:p>
    <w:p>
      <w:pPr>
        <w:pStyle w:val="982"/>
        <w:ind w:left="960" w:hanging="88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10.4</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如果合同附件2所规定的所有保证指标在性能考核中都已经达到，双方授权代表应在性能考核后5日内签署合同货物的验收证书一式四份，双方各持两份。 </w:t>
      </w:r>
      <w:r>
        <w:rPr>
          <w:rFonts w:hint="eastAsia" w:ascii="宋体" w:hAnsi="宋体" w:eastAsia="宋体" w:cs="宋体"/>
          <w:color w:val="000000"/>
          <w:sz w:val="22"/>
          <w:szCs w:val="18"/>
          <w:highlight w:val="none"/>
        </w:rPr>
      </w:r>
      <w:r/>
    </w:p>
    <w:p>
      <w:pPr>
        <w:pStyle w:val="982"/>
        <w:numPr>
          <w:ilvl w:val="1"/>
          <w:numId w:val="16"/>
        </w:numPr>
        <w:ind w:left="840" w:hanging="840"/>
        <w:spacing w:line="360" w:lineRule="auto"/>
        <w:tabs>
          <w:tab w:val="left" w:pos="-1155"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 如果在本合同第10.3条规定允许的最后一次性能考核中仍有任何指标未达到合同附件2规定的要求，买方有权根据本合同第12条的规定向卖方提出索赔。 </w:t>
      </w:r>
      <w:r>
        <w:rPr>
          <w:rFonts w:hint="eastAsia" w:ascii="宋体" w:hAnsi="宋体" w:eastAsia="宋体" w:cs="宋体"/>
          <w:color w:val="000000"/>
          <w:sz w:val="22"/>
          <w:szCs w:val="18"/>
          <w:highlight w:val="none"/>
        </w:rPr>
      </w:r>
      <w:r/>
    </w:p>
    <w:p>
      <w:pPr>
        <w:pStyle w:val="982"/>
        <w:numPr>
          <w:ilvl w:val="1"/>
          <w:numId w:val="16"/>
        </w:numPr>
        <w:ind w:left="840" w:hanging="840"/>
        <w:jc w:val="left"/>
        <w:spacing w:line="360" w:lineRule="auto"/>
        <w:tabs>
          <w:tab w:val="left" w:pos="480"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   如果安装和/或试运行和/或性能考核因卖方原因发生迟延和/或在其它情况</w:t>
      </w:r>
      <w:r>
        <w:rPr>
          <w:rFonts w:hint="eastAsia" w:ascii="宋体" w:hAnsi="宋体" w:eastAsia="宋体" w:cs="宋体"/>
          <w:color w:val="000000"/>
          <w:sz w:val="22"/>
          <w:szCs w:val="18"/>
          <w:highlight w:val="none"/>
        </w:rPr>
      </w:r>
      <w:r/>
    </w:p>
    <w:p>
      <w:pPr>
        <w:pStyle w:val="982"/>
        <w:ind w:firstLine="770"/>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下发生额外费用，双方应根据</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的规定进行处理。 </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11.保证</w:t>
      </w:r>
      <w:r>
        <w:rPr>
          <w:rFonts w:hint="eastAsia" w:ascii="宋体" w:hAnsi="宋体" w:eastAsia="宋体" w:cs="宋体"/>
          <w:b/>
          <w:bCs/>
          <w:color w:val="000000"/>
          <w:sz w:val="22"/>
          <w:szCs w:val="18"/>
          <w:highlight w:val="none"/>
        </w:rPr>
      </w:r>
      <w:r/>
    </w:p>
    <w:p>
      <w:pPr>
        <w:pStyle w:val="982"/>
        <w:ind w:left="1154" w:hanging="1058"/>
        <w:spacing w:line="360" w:lineRule="auto"/>
        <w:tabs>
          <w:tab w:val="left" w:pos="1050" w:leader="none"/>
          <w:tab w:val="left" w:pos="2415" w:leader="none"/>
          <w:tab w:val="left" w:pos="3150"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 卖方保证合同货物是全新的、技术先进的、质量优越的、没有设计上</w:t>
      </w:r>
      <w:r>
        <w:rPr>
          <w:rFonts w:hint="eastAsia" w:ascii="宋体" w:hAnsi="宋体" w:eastAsia="宋体" w:cs="宋体"/>
          <w:b/>
          <w:color w:val="000000"/>
          <w:sz w:val="22"/>
          <w:szCs w:val="18"/>
          <w:highlight w:val="none"/>
        </w:rPr>
        <w:tab/>
      </w:r>
      <w:r>
        <w:rPr>
          <w:rFonts w:hint="eastAsia" w:ascii="宋体" w:hAnsi="宋体" w:eastAsia="宋体" w:cs="宋体"/>
          <w:color w:val="000000"/>
          <w:sz w:val="22"/>
          <w:szCs w:val="18"/>
          <w:highlight w:val="none"/>
        </w:rPr>
        <w:t xml:space="preserve">和材料及工艺上的缺陷、符合合同附件2的规定并且适合于合同规定的用途和目的。 </w:t>
      </w:r>
      <w:r>
        <w:rPr>
          <w:rFonts w:hint="eastAsia" w:ascii="宋体" w:hAnsi="宋体" w:eastAsia="宋体" w:cs="宋体"/>
          <w:color w:val="000000"/>
          <w:sz w:val="22"/>
          <w:szCs w:val="18"/>
          <w:highlight w:val="none"/>
        </w:rPr>
      </w:r>
      <w:r/>
    </w:p>
    <w:p>
      <w:pPr>
        <w:pStyle w:val="982"/>
        <w:ind w:left="1200" w:hanging="1100"/>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11.2</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卖方保证所交付的技术资料应是完整的、清楚的和正确的，并且能够满足合同货物安装、试运行、性能考核、操作和维修的要求。 </w:t>
      </w:r>
      <w:r>
        <w:rPr>
          <w:rFonts w:hint="eastAsia" w:ascii="宋体" w:hAnsi="宋体" w:eastAsia="宋体" w:cs="宋体"/>
          <w:color w:val="000000"/>
          <w:sz w:val="22"/>
          <w:szCs w:val="18"/>
          <w:highlight w:val="none"/>
        </w:rPr>
      </w:r>
      <w:r/>
    </w:p>
    <w:p>
      <w:pPr>
        <w:pStyle w:val="982"/>
        <w:ind w:left="1200" w:hanging="110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11.3</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卖方保证及时派遣合格的技术人员提供合同货物运行必需的专业的、正确的和高效的技术服务和技术培训。 </w:t>
      </w:r>
      <w:r>
        <w:rPr>
          <w:rFonts w:hint="eastAsia" w:ascii="宋体" w:hAnsi="宋体" w:eastAsia="宋体" w:cs="宋体"/>
          <w:color w:val="000000"/>
          <w:sz w:val="22"/>
          <w:szCs w:val="18"/>
          <w:highlight w:val="none"/>
        </w:rPr>
      </w:r>
      <w:r/>
    </w:p>
    <w:p>
      <w:pPr>
        <w:pStyle w:val="982"/>
        <w:ind w:left="1200" w:hanging="110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11.4</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r>
        <w:rPr>
          <w:rFonts w:hint="eastAsia" w:ascii="宋体" w:hAnsi="宋体" w:eastAsia="宋体" w:cs="宋体"/>
          <w:color w:val="000000"/>
          <w:sz w:val="22"/>
          <w:szCs w:val="18"/>
          <w:highlight w:val="none"/>
        </w:rPr>
      </w:r>
      <w:r/>
    </w:p>
    <w:p>
      <w:pPr>
        <w:pStyle w:val="982"/>
        <w:ind w:left="1200" w:hanging="1100"/>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11.5</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合同货物保证期的期限和内容为</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规定的期限和内容。保证期满后，买方应出具合同货物的保证期期满证书正副本各一份。 </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12.索赔</w:t>
      </w:r>
      <w:r>
        <w:rPr>
          <w:rFonts w:hint="eastAsia" w:ascii="宋体" w:hAnsi="宋体" w:eastAsia="宋体" w:cs="宋体"/>
          <w:b/>
          <w:bCs/>
          <w:color w:val="000000"/>
          <w:sz w:val="22"/>
          <w:szCs w:val="18"/>
          <w:highlight w:val="none"/>
        </w:rPr>
      </w:r>
      <w:r/>
    </w:p>
    <w:p>
      <w:pPr>
        <w:pStyle w:val="982"/>
        <w:ind w:left="1200" w:hanging="110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12.1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如果合同货物在检验、安装、试运行、性能考核和保证期内，卖方未能履行其在本合同项下承担的义务，买方有权向卖方提出索赔并寻求</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中规定的救济方式，救济方式包括：</w:t>
      </w:r>
      <w:r>
        <w:rPr>
          <w:rFonts w:hint="eastAsia" w:ascii="宋体" w:hAnsi="宋体" w:eastAsia="宋体" w:cs="宋体"/>
          <w:color w:val="000000"/>
          <w:sz w:val="22"/>
          <w:szCs w:val="18"/>
          <w:highlight w:val="none"/>
        </w:rPr>
      </w:r>
      <w:r/>
    </w:p>
    <w:p>
      <w:pPr>
        <w:pStyle w:val="982"/>
        <w:numPr>
          <w:ilvl w:val="0"/>
          <w:numId w:val="0"/>
        </w:numPr>
        <w:ind w:left="1134"/>
        <w:spacing w:line="360" w:lineRule="auto"/>
        <w:tabs>
          <w:tab w:val="left" w:pos="945"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A.</w:t>
      </w:r>
      <w:r>
        <w:rPr>
          <w:rFonts w:hint="eastAsia" w:ascii="宋体" w:hAnsi="宋体" w:eastAsia="宋体" w:cs="宋体"/>
          <w:color w:val="000000"/>
          <w:sz w:val="22"/>
          <w:szCs w:val="18"/>
          <w:highlight w:val="none"/>
        </w:rPr>
        <w:t xml:space="preserve">由卖方自负费用修理有缺陷的合同货物或消除合同货物的缺陷或不符合合同之处。如果卖方不能派遣人员到工作现场，买方有权自行消除缺陷或不符合合同之处，由此产生的一切费用均由卖方承担。 </w:t>
      </w:r>
      <w:r>
        <w:rPr>
          <w:rFonts w:hint="eastAsia" w:ascii="宋体" w:hAnsi="宋体" w:eastAsia="宋体" w:cs="宋体"/>
          <w:color w:val="000000"/>
          <w:sz w:val="22"/>
          <w:szCs w:val="18"/>
          <w:highlight w:val="none"/>
        </w:rPr>
      </w:r>
      <w:r/>
    </w:p>
    <w:p>
      <w:pPr>
        <w:pStyle w:val="982"/>
        <w:numPr>
          <w:ilvl w:val="0"/>
          <w:numId w:val="0"/>
        </w:numPr>
        <w:ind w:left="1134"/>
        <w:spacing w:line="360" w:lineRule="auto"/>
        <w:tabs>
          <w:tab w:val="left" w:pos="945"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B.</w:t>
      </w:r>
      <w:r>
        <w:rPr>
          <w:rFonts w:hint="eastAsia" w:ascii="宋体" w:hAnsi="宋体" w:eastAsia="宋体" w:cs="宋体"/>
          <w:color w:val="000000"/>
          <w:sz w:val="22"/>
          <w:szCs w:val="18"/>
          <w:highlight w:val="none"/>
        </w:rPr>
        <w:t xml:space="preserve">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r>
        <w:rPr>
          <w:rFonts w:hint="eastAsia" w:ascii="宋体" w:hAnsi="宋体" w:eastAsia="宋体" w:cs="宋体"/>
          <w:color w:val="000000"/>
          <w:sz w:val="22"/>
          <w:szCs w:val="18"/>
          <w:highlight w:val="none"/>
        </w:rPr>
      </w:r>
      <w:r/>
    </w:p>
    <w:p>
      <w:pPr>
        <w:pStyle w:val="982"/>
        <w:numPr>
          <w:ilvl w:val="0"/>
          <w:numId w:val="0"/>
        </w:numPr>
        <w:ind w:left="1134"/>
        <w:spacing w:line="360" w:lineRule="auto"/>
        <w:tabs>
          <w:tab w:val="left" w:pos="945"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C.</w:t>
      </w:r>
      <w:r>
        <w:rPr>
          <w:rFonts w:hint="eastAsia" w:ascii="宋体" w:hAnsi="宋体" w:eastAsia="宋体" w:cs="宋体"/>
          <w:color w:val="000000"/>
          <w:sz w:val="22"/>
          <w:szCs w:val="18"/>
          <w:highlight w:val="none"/>
        </w:rPr>
        <w:t xml:space="preserve">按质量低劣的程度、买方受损害的程度及损失的数额对合同货物进行降价。 </w:t>
      </w:r>
      <w:r>
        <w:rPr>
          <w:rFonts w:hint="eastAsia" w:ascii="宋体" w:hAnsi="宋体" w:eastAsia="宋体" w:cs="宋体"/>
          <w:color w:val="000000"/>
          <w:sz w:val="22"/>
          <w:szCs w:val="18"/>
          <w:highlight w:val="none"/>
        </w:rPr>
      </w:r>
      <w:r/>
    </w:p>
    <w:p>
      <w:pPr>
        <w:pStyle w:val="982"/>
        <w:numPr>
          <w:ilvl w:val="0"/>
          <w:numId w:val="0"/>
        </w:numPr>
        <w:ind w:left="1134"/>
        <w:spacing w:line="360" w:lineRule="auto"/>
        <w:tabs>
          <w:tab w:val="left" w:pos="945"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D.</w:t>
      </w:r>
      <w:r>
        <w:rPr>
          <w:rFonts w:hint="eastAsia" w:ascii="宋体" w:hAnsi="宋体" w:eastAsia="宋体" w:cs="宋体"/>
          <w:color w:val="000000"/>
          <w:sz w:val="22"/>
          <w:szCs w:val="18"/>
          <w:highlight w:val="none"/>
        </w:rPr>
        <w:t xml:space="preserve">拒收货物,并由卖方退还买方合同价款和承担相关的损失和费用包括利息、银行费用、运费、保费、检验费、仓储费、装卸费以及全部保管和维护被拒收货物必需的其它费用。 </w:t>
      </w:r>
      <w:r>
        <w:rPr>
          <w:rFonts w:hint="eastAsia" w:ascii="宋体" w:hAnsi="宋体" w:eastAsia="宋体" w:cs="宋体"/>
          <w:color w:val="000000"/>
          <w:sz w:val="22"/>
          <w:szCs w:val="18"/>
          <w:highlight w:val="none"/>
        </w:rPr>
      </w:r>
      <w:r/>
    </w:p>
    <w:p>
      <w:pPr>
        <w:pStyle w:val="982"/>
        <w:ind w:firstLine="1100"/>
        <w:spacing w:line="360" w:lineRule="auto"/>
        <w:tabs>
          <w:tab w:val="left" w:pos="945"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E. 赔偿由卖方违约引起的其他损失。 </w:t>
      </w:r>
      <w:r>
        <w:rPr>
          <w:rFonts w:hint="eastAsia" w:ascii="宋体" w:hAnsi="宋体" w:eastAsia="宋体" w:cs="宋体"/>
          <w:color w:val="000000"/>
          <w:sz w:val="22"/>
          <w:szCs w:val="18"/>
          <w:highlight w:val="none"/>
        </w:rPr>
      </w:r>
      <w:r/>
    </w:p>
    <w:p>
      <w:pPr>
        <w:pStyle w:val="982"/>
        <w:ind w:left="1154" w:hanging="1058"/>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12.2</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 如果索赔通知是在保证期满后30日内提出的，便应被认为是有效的。 </w:t>
      </w:r>
      <w:r>
        <w:rPr>
          <w:rFonts w:hint="eastAsia" w:ascii="宋体" w:hAnsi="宋体" w:eastAsia="宋体" w:cs="宋体"/>
          <w:color w:val="000000"/>
          <w:sz w:val="22"/>
          <w:szCs w:val="18"/>
          <w:highlight w:val="none"/>
        </w:rPr>
      </w:r>
      <w:r/>
    </w:p>
    <w:p>
      <w:pPr>
        <w:pStyle w:val="982"/>
        <w:ind w:left="1260" w:hanging="1155"/>
        <w:jc w:val="left"/>
        <w:spacing w:line="360" w:lineRule="auto"/>
        <w:rPr>
          <w:rFonts w:hint="eastAsia" w:ascii="宋体" w:hAnsi="宋体" w:eastAsia="宋体" w:cs="宋体"/>
          <w:color w:val="000000"/>
          <w:spacing w:val="-5"/>
          <w:sz w:val="22"/>
          <w:szCs w:val="18"/>
          <w:highlight w:val="none"/>
        </w:rPr>
      </w:pPr>
      <w:r>
        <w:rPr>
          <w:rFonts w:hint="eastAsia" w:ascii="宋体" w:hAnsi="宋体" w:eastAsia="宋体" w:cs="宋体"/>
          <w:color w:val="000000"/>
          <w:sz w:val="22"/>
          <w:szCs w:val="18"/>
          <w:highlight w:val="none"/>
        </w:rPr>
        <w:t xml:space="preserve">12.3</w:t>
      </w:r>
      <w:r>
        <w:rPr>
          <w:rFonts w:hint="eastAsia" w:ascii="宋体" w:hAnsi="宋体" w:eastAsia="宋体" w:cs="宋体"/>
          <w:color w:val="000000"/>
          <w:sz w:val="22"/>
          <w:szCs w:val="18"/>
          <w:highlight w:val="none"/>
        </w:rPr>
        <w:tab/>
      </w:r>
      <w:r>
        <w:rPr>
          <w:rFonts w:hint="eastAsia" w:ascii="宋体" w:hAnsi="宋体" w:eastAsia="宋体" w:cs="宋体"/>
          <w:color w:val="000000"/>
          <w:spacing w:val="-5"/>
          <w:sz w:val="22"/>
          <w:szCs w:val="18"/>
          <w:highlight w:val="none"/>
        </w:rPr>
        <w:t xml:space="preserve">如果卖方在收到买方索赔要求后</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pacing w:val="-5"/>
          <w:sz w:val="22"/>
          <w:szCs w:val="18"/>
          <w:highlight w:val="none"/>
        </w:rPr>
        <w:t xml:space="preserve">规定的期限内未能作出回复，该索赔要求将被视为已被卖方接受。如卖方未能在买方发出索赔通知后</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pacing w:val="-5"/>
          <w:sz w:val="22"/>
          <w:szCs w:val="18"/>
          <w:highlight w:val="none"/>
        </w:rPr>
        <w:t xml:space="preserve">规定的期限内或买方同意的延长期限内，按照买方同意的上述规定的任何一种方法解决索赔事宜，买方有权从议付货款或从卖方开具的履约保证金中扣回索赔金额。</w:t>
      </w:r>
      <w:r>
        <w:rPr>
          <w:rFonts w:hint="eastAsia" w:ascii="宋体" w:hAnsi="宋体" w:eastAsia="宋体" w:cs="宋体"/>
          <w:color w:val="000000"/>
          <w:spacing w:val="-5"/>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13.不可抗力</w:t>
      </w:r>
      <w:r>
        <w:rPr>
          <w:rFonts w:hint="eastAsia" w:ascii="宋体" w:hAnsi="宋体" w:eastAsia="宋体" w:cs="宋体"/>
          <w:b/>
          <w:bCs/>
          <w:color w:val="000000"/>
          <w:sz w:val="22"/>
          <w:szCs w:val="18"/>
          <w:highlight w:val="none"/>
        </w:rPr>
      </w:r>
      <w:r/>
    </w:p>
    <w:p>
      <w:pPr>
        <w:pStyle w:val="982"/>
        <w:ind w:left="1260" w:hanging="1155"/>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13.1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r>
        <w:rPr>
          <w:rFonts w:hint="eastAsia" w:ascii="宋体" w:hAnsi="宋体" w:eastAsia="宋体" w:cs="宋体"/>
          <w:color w:val="000000"/>
          <w:sz w:val="22"/>
          <w:szCs w:val="18"/>
          <w:highlight w:val="none"/>
        </w:rPr>
      </w:r>
      <w:r/>
    </w:p>
    <w:p>
      <w:pPr>
        <w:pStyle w:val="982"/>
        <w:ind w:left="1260" w:hanging="1155"/>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13.2</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受不可抗力事件影响的合同一方对于不可抗力事件导致的任何合同义务的迟延履行或不能履行不承担责任。但该方应尽快以传真的方式将不可抗力事件结束或消除的情况通知另一方。 </w:t>
      </w:r>
      <w:r>
        <w:rPr>
          <w:rFonts w:hint="eastAsia" w:ascii="宋体" w:hAnsi="宋体" w:eastAsia="宋体" w:cs="宋体"/>
          <w:color w:val="000000"/>
          <w:sz w:val="22"/>
          <w:szCs w:val="18"/>
          <w:highlight w:val="none"/>
        </w:rPr>
      </w:r>
      <w:r/>
    </w:p>
    <w:p>
      <w:pPr>
        <w:pStyle w:val="982"/>
        <w:ind w:left="1260" w:hanging="1155"/>
        <w:jc w:val="left"/>
        <w:spacing w:line="360" w:lineRule="auto"/>
        <w:rPr>
          <w:rFonts w:hint="eastAsia" w:ascii="宋体" w:hAnsi="宋体" w:eastAsia="宋体" w:cs="宋体"/>
          <w:b/>
          <w:color w:val="000000"/>
          <w:sz w:val="22"/>
          <w:szCs w:val="18"/>
          <w:highlight w:val="none"/>
        </w:rPr>
      </w:pPr>
      <w:r>
        <w:rPr>
          <w:rFonts w:hint="eastAsia" w:ascii="宋体" w:hAnsi="宋体" w:eastAsia="宋体" w:cs="宋体"/>
          <w:color w:val="000000"/>
          <w:sz w:val="22"/>
          <w:szCs w:val="18"/>
          <w:highlight w:val="none"/>
        </w:rPr>
        <w:t xml:space="preserve">13.3</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合同双方应在不可抗力事件结束或其影响消除后立即继续履行其合同义务，合同期限也应相应延长。如果不可抗力事件的影响持续超过</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规定的期限，合同任何一方均有权以书面通知终止合同。 </w:t>
      </w:r>
      <w:r>
        <w:rPr>
          <w:rFonts w:hint="eastAsia" w:ascii="宋体" w:hAnsi="宋体" w:eastAsia="宋体" w:cs="宋体"/>
          <w:b/>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14.合同的终止</w:t>
      </w:r>
      <w:r>
        <w:rPr>
          <w:rFonts w:hint="eastAsia" w:ascii="宋体" w:hAnsi="宋体" w:eastAsia="宋体" w:cs="宋体"/>
          <w:b/>
          <w:bCs/>
          <w:color w:val="000000"/>
          <w:sz w:val="22"/>
          <w:szCs w:val="18"/>
          <w:highlight w:val="none"/>
        </w:rPr>
      </w:r>
      <w:r/>
    </w:p>
    <w:p>
      <w:pPr>
        <w:pStyle w:val="982"/>
        <w:ind w:left="1260" w:hanging="1155"/>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14.1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如果卖方有下述违约行为或</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中规定的其他违约行为，在不妨碍买方采取其它救济手段的情况下，买方可以向卖方发出书面违约通知，全部或部分地终止合同。</w:t>
      </w:r>
      <w:r>
        <w:rPr>
          <w:rFonts w:hint="eastAsia" w:ascii="宋体" w:hAnsi="宋体" w:eastAsia="宋体" w:cs="宋体"/>
          <w:color w:val="000000"/>
          <w:sz w:val="22"/>
          <w:szCs w:val="18"/>
          <w:highlight w:val="none"/>
        </w:rPr>
      </w:r>
      <w:r/>
    </w:p>
    <w:p>
      <w:pPr>
        <w:pStyle w:val="982"/>
        <w:ind w:left="126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A.卖方在合同规定的交货期后未能按</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中规定的最终期限交付合同货物和/或技术资料；或者 </w:t>
      </w:r>
      <w:r>
        <w:rPr>
          <w:rFonts w:hint="eastAsia" w:ascii="宋体" w:hAnsi="宋体" w:eastAsia="宋体" w:cs="宋体"/>
          <w:color w:val="000000"/>
          <w:sz w:val="22"/>
          <w:szCs w:val="18"/>
          <w:highlight w:val="none"/>
        </w:rPr>
      </w:r>
      <w:r/>
    </w:p>
    <w:p>
      <w:pPr>
        <w:pStyle w:val="982"/>
        <w:ind w:left="126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B.卖方未能使合同货物达到合同附件2规定的技术性能和保证指标；或者 </w:t>
      </w:r>
      <w:r>
        <w:rPr>
          <w:rFonts w:hint="eastAsia" w:ascii="宋体" w:hAnsi="宋体" w:eastAsia="宋体" w:cs="宋体"/>
          <w:color w:val="000000"/>
          <w:sz w:val="22"/>
          <w:szCs w:val="18"/>
          <w:highlight w:val="none"/>
        </w:rPr>
      </w:r>
      <w:r/>
    </w:p>
    <w:p>
      <w:pPr>
        <w:pStyle w:val="982"/>
        <w:ind w:left="126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C.卖方未能履行合同项下任何其它义务(细微义务除外)，并且在收到买方违约通知后未能按</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中规定的期限对其违约行为作出补救。 </w:t>
      </w:r>
      <w:r>
        <w:rPr>
          <w:rFonts w:hint="eastAsia" w:ascii="宋体" w:hAnsi="宋体" w:eastAsia="宋体" w:cs="宋体"/>
          <w:color w:val="000000"/>
          <w:sz w:val="22"/>
          <w:szCs w:val="18"/>
          <w:highlight w:val="none"/>
        </w:rPr>
      </w:r>
      <w:r/>
    </w:p>
    <w:p>
      <w:pPr>
        <w:pStyle w:val="982"/>
        <w:ind w:left="1260" w:hanging="1155"/>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14.2</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如果一方破产或发生资不抵债的情况,合同另一方有权在任何时候发出书面通知终止合同。此种情况下合同的终止不妨碍或影响行使任何可能的其它救济手段。 </w:t>
      </w:r>
      <w:r>
        <w:rPr>
          <w:rFonts w:hint="eastAsia" w:ascii="宋体" w:hAnsi="宋体" w:eastAsia="宋体" w:cs="宋体"/>
          <w:color w:val="000000"/>
          <w:sz w:val="22"/>
          <w:szCs w:val="18"/>
          <w:highlight w:val="none"/>
        </w:rPr>
      </w:r>
      <w:r/>
    </w:p>
    <w:p>
      <w:pPr>
        <w:pStyle w:val="982"/>
        <w:ind w:left="1260" w:hanging="1155"/>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14.3      如果买方认定卖方在竞标或执行合同中有腐败或欺诈行为,买方有权在任何时候发出书面通知终止合同。 </w:t>
      </w:r>
      <w:r>
        <w:rPr>
          <w:rFonts w:hint="eastAsia" w:ascii="宋体" w:hAnsi="宋体" w:eastAsia="宋体" w:cs="宋体"/>
          <w:color w:val="000000"/>
          <w:sz w:val="22"/>
          <w:szCs w:val="18"/>
          <w:highlight w:val="none"/>
        </w:rPr>
      </w:r>
      <w:r/>
    </w:p>
    <w:p>
      <w:pPr>
        <w:pStyle w:val="982"/>
        <w:ind w:left="1260"/>
        <w:spacing w:line="360" w:lineRule="auto"/>
        <w:tabs>
          <w:tab w:val="left" w:pos="840"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2"/>
          <w:szCs w:val="18"/>
          <w:highlight w:val="none"/>
        </w:rPr>
      </w:r>
      <w:r/>
    </w:p>
    <w:p>
      <w:pPr>
        <w:pStyle w:val="982"/>
        <w:ind w:left="1260"/>
        <w:spacing w:line="360" w:lineRule="auto"/>
        <w:tabs>
          <w:tab w:val="left" w:pos="840" w:leader="none"/>
        </w:tabs>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r>
        <w:rPr>
          <w:rFonts w:hint="eastAsia" w:ascii="宋体" w:hAnsi="宋体" w:eastAsia="宋体" w:cs="宋体"/>
          <w:color w:val="000000"/>
          <w:sz w:val="22"/>
          <w:szCs w:val="18"/>
          <w:highlight w:val="none"/>
        </w:rPr>
      </w:r>
      <w:r/>
    </w:p>
    <w:p>
      <w:pPr>
        <w:pStyle w:val="982"/>
        <w:ind w:left="1154" w:hanging="1058"/>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14.4      在买方全部或部分终止合同的情况下，卖方应按</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的规定对买方给予补偿。 </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15.争议的解决</w:t>
      </w:r>
      <w:r>
        <w:rPr>
          <w:rFonts w:hint="eastAsia" w:ascii="宋体" w:hAnsi="宋体" w:eastAsia="宋体" w:cs="宋体"/>
          <w:b/>
          <w:bCs/>
          <w:color w:val="000000"/>
          <w:sz w:val="22"/>
          <w:szCs w:val="18"/>
          <w:highlight w:val="none"/>
        </w:rPr>
      </w:r>
      <w:r/>
    </w:p>
    <w:p>
      <w:pPr>
        <w:pStyle w:val="982"/>
        <w:ind w:left="1154" w:hanging="1058"/>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15.1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因执行本合同所发生的或者与本合同有关的一切争议将由合同双方通过友好协商解决。如果不能协商一致，合同任何一方有权按</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的规定将争议提交仲裁机构或提交法院判决。      </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16.适用法律</w:t>
      </w:r>
      <w:r>
        <w:rPr>
          <w:rFonts w:hint="eastAsia" w:ascii="宋体" w:hAnsi="宋体" w:eastAsia="宋体" w:cs="宋体"/>
          <w:b/>
          <w:bCs/>
          <w:color w:val="000000"/>
          <w:sz w:val="22"/>
          <w:szCs w:val="18"/>
          <w:highlight w:val="none"/>
        </w:rPr>
      </w:r>
      <w:r/>
    </w:p>
    <w:p>
      <w:pPr>
        <w:pStyle w:val="982"/>
        <w:ind w:left="1200" w:hanging="1100"/>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16.1     本合同的执行和争议的解决应适用中华人民共和国的法律并按中华人民共和国的法律进行解释。</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17.合同生效及其他</w:t>
      </w:r>
      <w:r>
        <w:rPr>
          <w:rFonts w:hint="eastAsia" w:ascii="宋体" w:hAnsi="宋体" w:eastAsia="宋体" w:cs="宋体"/>
          <w:b/>
          <w:bCs/>
          <w:color w:val="000000"/>
          <w:sz w:val="22"/>
          <w:szCs w:val="18"/>
          <w:highlight w:val="none"/>
        </w:rPr>
      </w:r>
      <w:r/>
    </w:p>
    <w:p>
      <w:pPr>
        <w:pStyle w:val="982"/>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 本合同在</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规定的条件全部满足后生效。</w:t>
      </w:r>
      <w:r>
        <w:rPr>
          <w:rFonts w:hint="eastAsia" w:ascii="宋体" w:hAnsi="宋体" w:eastAsia="宋体" w:cs="宋体"/>
          <w:color w:val="000000"/>
          <w:sz w:val="22"/>
          <w:szCs w:val="18"/>
          <w:highlight w:val="none"/>
        </w:rPr>
      </w:r>
      <w:r/>
    </w:p>
    <w:p>
      <w:pPr>
        <w:pStyle w:val="982"/>
        <w:ind w:left="1200" w:hanging="110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17.2    合同项下全部权利义务履行完毕后，本合同自动失效。合同有效期最长不超过</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规定的年限。合同到期后，合同项下任何尚未了结的债权和债务不受合同到期的影响。债务人仍应向债权人履行其义务。 </w:t>
      </w:r>
      <w:r>
        <w:rPr>
          <w:rFonts w:hint="eastAsia" w:ascii="宋体" w:hAnsi="宋体" w:eastAsia="宋体" w:cs="宋体"/>
          <w:color w:val="000000"/>
          <w:sz w:val="22"/>
          <w:szCs w:val="18"/>
          <w:highlight w:val="none"/>
        </w:rPr>
      </w:r>
      <w:r/>
    </w:p>
    <w:p>
      <w:pPr>
        <w:pStyle w:val="982"/>
        <w:ind w:left="46"/>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17.3    双方应各自承担中国税务机构向其征收的与执行本合同有关的税费。 </w:t>
      </w:r>
      <w:r>
        <w:rPr>
          <w:rFonts w:hint="eastAsia" w:ascii="宋体" w:hAnsi="宋体" w:eastAsia="宋体" w:cs="宋体"/>
          <w:color w:val="000000"/>
          <w:sz w:val="22"/>
          <w:szCs w:val="18"/>
          <w:highlight w:val="none"/>
        </w:rPr>
      </w:r>
      <w:r/>
    </w:p>
    <w:p>
      <w:pPr>
        <w:pStyle w:val="982"/>
        <w:ind w:left="1152" w:hanging="1056"/>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17.4     合同双方除非</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另有规定，所有合同文件及相关的修订和合同双方之间的书面联络，应使用中文书就并按中文解释。 </w:t>
      </w:r>
      <w:r>
        <w:rPr>
          <w:rFonts w:hint="eastAsia" w:ascii="宋体" w:hAnsi="宋体" w:eastAsia="宋体" w:cs="宋体"/>
          <w:color w:val="000000"/>
          <w:sz w:val="22"/>
          <w:szCs w:val="18"/>
          <w:highlight w:val="none"/>
        </w:rPr>
      </w:r>
      <w:r/>
    </w:p>
    <w:p>
      <w:pPr>
        <w:pStyle w:val="982"/>
        <w:ind w:left="1152" w:hanging="1056"/>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17.5     对本合同条款的任何补充、增添或修改应以书面方式进行并由双方授权代表签字。 </w:t>
      </w:r>
      <w:r>
        <w:rPr>
          <w:rFonts w:hint="eastAsia" w:ascii="宋体" w:hAnsi="宋体" w:eastAsia="宋体" w:cs="宋体"/>
          <w:color w:val="000000"/>
          <w:sz w:val="22"/>
          <w:szCs w:val="18"/>
          <w:highlight w:val="none"/>
        </w:rPr>
      </w:r>
      <w:r/>
    </w:p>
    <w:p>
      <w:pPr>
        <w:pStyle w:val="982"/>
        <w:ind w:left="1152" w:hanging="1056"/>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17.6</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没有另一方的事先同意，合同任何一方不得将合同项下的任何权利和义务转让给第三方。 </w:t>
      </w:r>
      <w:r>
        <w:rPr>
          <w:rFonts w:hint="eastAsia" w:ascii="宋体" w:hAnsi="宋体" w:eastAsia="宋体" w:cs="宋体"/>
          <w:color w:val="000000"/>
          <w:sz w:val="22"/>
          <w:szCs w:val="18"/>
          <w:highlight w:val="none"/>
        </w:rPr>
      </w:r>
      <w:r/>
    </w:p>
    <w:p>
      <w:pPr>
        <w:pStyle w:val="982"/>
        <w:ind w:left="1154" w:hanging="1058"/>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17.7 　　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rPr>
          <w:rFonts w:hint="eastAsia" w:ascii="宋体" w:hAnsi="宋体" w:eastAsia="宋体" w:cs="宋体"/>
          <w:color w:val="000000"/>
          <w:sz w:val="22"/>
          <w:szCs w:val="18"/>
          <w:highlight w:val="none"/>
        </w:rPr>
      </w:r>
      <w:r/>
    </w:p>
    <w:p>
      <w:pPr>
        <w:pStyle w:val="982"/>
        <w:ind w:left="1066" w:hanging="961"/>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17.8     除非上下文另有要求，本文件中的单数含意包括复数，复数也包括单数。</w:t>
      </w:r>
      <w:r>
        <w:rPr>
          <w:rFonts w:hint="eastAsia" w:ascii="宋体" w:hAnsi="宋体" w:eastAsia="宋体" w:cs="宋体"/>
          <w:color w:val="000000"/>
          <w:sz w:val="22"/>
          <w:szCs w:val="18"/>
          <w:highlight w:val="none"/>
        </w:rPr>
      </w:r>
      <w:r/>
    </w:p>
    <w:p>
      <w:pPr>
        <w:pStyle w:val="982"/>
        <w:ind w:left="1154" w:hanging="1058"/>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17.9</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合同条款中的标题和边注仅供参考使用，不应视为合同的一部分，也不影响本文的解释。</w:t>
      </w:r>
      <w:r>
        <w:rPr>
          <w:rFonts w:hint="eastAsia" w:ascii="宋体" w:hAnsi="宋体" w:eastAsia="宋体" w:cs="宋体"/>
          <w:color w:val="000000"/>
          <w:sz w:val="22"/>
          <w:szCs w:val="18"/>
          <w:highlight w:val="none"/>
        </w:rPr>
      </w:r>
      <w:r/>
    </w:p>
    <w:p>
      <w:pPr>
        <w:pStyle w:val="982"/>
        <w:ind w:left="1098" w:hanging="110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17.10</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合同构成买方和卖方之间就合同主要内容方面的完整协议，并且取代合同签订前所有关于这方面的通讯、协商、协议(不论是书面的，还是口头的)。 </w:t>
      </w:r>
      <w:r>
        <w:rPr>
          <w:rFonts w:hint="eastAsia" w:ascii="宋体" w:hAnsi="宋体" w:eastAsia="宋体" w:cs="宋体"/>
          <w:color w:val="000000"/>
          <w:sz w:val="22"/>
          <w:szCs w:val="18"/>
          <w:highlight w:val="none"/>
        </w:rPr>
      </w:r>
      <w:r/>
    </w:p>
    <w:p>
      <w:pPr>
        <w:pStyle w:val="982"/>
        <w:ind w:left="1260" w:hanging="1155"/>
        <w:jc w:val="left"/>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17.11     合同双方之间的一切联络往来应以书面形式按</w:t>
      </w:r>
      <w:r>
        <w:rPr>
          <w:rFonts w:hint="eastAsia" w:ascii="宋体" w:hAnsi="宋体" w:eastAsia="宋体" w:cs="宋体"/>
          <w:b/>
          <w:bCs/>
          <w:color w:val="000000"/>
          <w:sz w:val="22"/>
          <w:szCs w:val="18"/>
          <w:highlight w:val="none"/>
        </w:rPr>
        <w:t xml:space="preserve">“合同专用条款”</w:t>
      </w:r>
      <w:r>
        <w:rPr>
          <w:rFonts w:hint="eastAsia" w:ascii="宋体" w:hAnsi="宋体" w:eastAsia="宋体" w:cs="宋体"/>
          <w:color w:val="000000"/>
          <w:sz w:val="22"/>
          <w:szCs w:val="18"/>
          <w:highlight w:val="none"/>
        </w:rPr>
        <w:t xml:space="preserve">中规定的地址发往合同另一方。有关重要事项的传真应及时用挂号信或快件确认。 </w:t>
      </w:r>
      <w:r>
        <w:rPr>
          <w:rFonts w:hint="eastAsia" w:ascii="宋体" w:hAnsi="宋体" w:eastAsia="宋体" w:cs="宋体"/>
          <w:color w:val="000000"/>
          <w:sz w:val="22"/>
          <w:szCs w:val="18"/>
          <w:highlight w:val="none"/>
        </w:rPr>
      </w:r>
      <w:r/>
    </w:p>
    <w:p>
      <w:pPr>
        <w:pStyle w:val="982"/>
        <w:ind w:left="-25" w:hanging="258"/>
        <w:spacing w:line="360" w:lineRule="auto"/>
        <w:rPr>
          <w:rFonts w:hint="eastAsia" w:ascii="宋体" w:hAnsi="宋体" w:eastAsia="宋体" w:cs="宋体"/>
          <w:b/>
          <w:bCs/>
          <w:color w:val="000000"/>
          <w:sz w:val="22"/>
          <w:szCs w:val="18"/>
          <w:highlight w:val="none"/>
        </w:rPr>
        <w:outlineLvl w:val="2"/>
      </w:pPr>
      <w:r>
        <w:rPr>
          <w:rFonts w:hint="eastAsia" w:ascii="宋体" w:hAnsi="宋体" w:eastAsia="宋体" w:cs="宋体"/>
          <w:b/>
          <w:bCs/>
          <w:color w:val="000000"/>
          <w:sz w:val="22"/>
          <w:szCs w:val="18"/>
          <w:highlight w:val="none"/>
        </w:rPr>
        <w:t xml:space="preserve">18.合同附件</w:t>
      </w:r>
      <w:r>
        <w:rPr>
          <w:rFonts w:hint="eastAsia" w:ascii="宋体" w:hAnsi="宋体" w:eastAsia="宋体" w:cs="宋体"/>
          <w:b/>
          <w:bCs/>
          <w:color w:val="000000"/>
          <w:sz w:val="22"/>
          <w:szCs w:val="18"/>
          <w:highlight w:val="none"/>
        </w:rPr>
      </w:r>
      <w:r/>
    </w:p>
    <w:p>
      <w:pPr>
        <w:pStyle w:val="982"/>
        <w:ind w:firstLine="1100"/>
        <w:spacing w:line="360" w:lineRule="auto"/>
        <w:rPr>
          <w:rFonts w:hint="eastAsia" w:ascii="宋体" w:hAnsi="宋体" w:eastAsia="宋体" w:cs="宋体"/>
          <w:color w:val="000000"/>
          <w:sz w:val="22"/>
          <w:szCs w:val="18"/>
          <w:highlight w:val="none"/>
        </w:rPr>
        <w:outlineLvl w:val="1"/>
      </w:pPr>
      <w:r/>
      <w:bookmarkStart w:id="105" w:name="_Toc24879"/>
      <w:r/>
      <w:bookmarkStart w:id="106" w:name="_Toc11970_WPSOffice_Level2"/>
      <w:r>
        <w:rPr>
          <w:rFonts w:hint="eastAsia" w:ascii="宋体" w:hAnsi="宋体" w:eastAsia="宋体" w:cs="宋体"/>
          <w:color w:val="000000"/>
          <w:sz w:val="22"/>
          <w:szCs w:val="18"/>
          <w:highlight w:val="none"/>
        </w:rPr>
        <w:t xml:space="preserve">附件1</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供货范围和分项价格清单（略）</w:t>
      </w:r>
      <w:bookmarkEnd w:id="105"/>
      <w:r/>
      <w:bookmarkEnd w:id="106"/>
      <w:r>
        <w:rPr>
          <w:rFonts w:hint="eastAsia" w:ascii="宋体" w:hAnsi="宋体" w:eastAsia="宋体" w:cs="宋体"/>
          <w:color w:val="000000"/>
          <w:sz w:val="22"/>
          <w:szCs w:val="18"/>
          <w:highlight w:val="none"/>
        </w:rPr>
        <w:t xml:space="preserve"> </w:t>
      </w:r>
      <w:r>
        <w:rPr>
          <w:rFonts w:hint="eastAsia" w:ascii="宋体" w:hAnsi="宋体" w:eastAsia="宋体" w:cs="宋体"/>
          <w:color w:val="000000"/>
          <w:sz w:val="22"/>
          <w:szCs w:val="18"/>
          <w:highlight w:val="none"/>
        </w:rPr>
      </w:r>
      <w:r/>
    </w:p>
    <w:p>
      <w:pPr>
        <w:pStyle w:val="982"/>
        <w:ind w:firstLine="1100"/>
        <w:spacing w:line="360" w:lineRule="auto"/>
        <w:rPr>
          <w:rFonts w:hint="eastAsia" w:ascii="宋体" w:hAnsi="宋体" w:eastAsia="宋体" w:cs="宋体"/>
          <w:color w:val="000000"/>
          <w:sz w:val="22"/>
          <w:szCs w:val="18"/>
          <w:highlight w:val="none"/>
        </w:rPr>
        <w:outlineLvl w:val="1"/>
      </w:pPr>
      <w:r/>
      <w:bookmarkStart w:id="107" w:name="_Toc23941_WPSOffice_Level2"/>
      <w:r/>
      <w:bookmarkStart w:id="108" w:name="_Toc10250"/>
      <w:r>
        <w:rPr>
          <w:rFonts w:hint="eastAsia" w:ascii="宋体" w:hAnsi="宋体" w:eastAsia="宋体" w:cs="宋体"/>
          <w:color w:val="000000"/>
          <w:sz w:val="22"/>
          <w:szCs w:val="18"/>
          <w:highlight w:val="none"/>
        </w:rPr>
        <w:t xml:space="preserve">附件2 </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技术规格、性能、保证指标和保证（略）</w:t>
      </w:r>
      <w:bookmarkEnd w:id="107"/>
      <w:r/>
      <w:bookmarkEnd w:id="108"/>
      <w:r>
        <w:rPr>
          <w:rFonts w:hint="eastAsia" w:ascii="宋体" w:hAnsi="宋体" w:eastAsia="宋体" w:cs="宋体"/>
          <w:color w:val="000000"/>
          <w:sz w:val="22"/>
          <w:szCs w:val="18"/>
          <w:highlight w:val="none"/>
        </w:rPr>
        <w:t xml:space="preserve"> </w:t>
      </w:r>
      <w:r>
        <w:rPr>
          <w:rFonts w:hint="eastAsia" w:ascii="宋体" w:hAnsi="宋体" w:eastAsia="宋体" w:cs="宋体"/>
          <w:color w:val="000000"/>
          <w:sz w:val="22"/>
          <w:szCs w:val="18"/>
          <w:highlight w:val="none"/>
        </w:rPr>
      </w:r>
      <w:r/>
    </w:p>
    <w:p>
      <w:pPr>
        <w:pStyle w:val="982"/>
        <w:ind w:firstLine="1100"/>
        <w:spacing w:line="360" w:lineRule="auto"/>
        <w:rPr>
          <w:rFonts w:hint="eastAsia" w:ascii="宋体" w:hAnsi="宋体" w:eastAsia="宋体" w:cs="宋体"/>
          <w:color w:val="000000"/>
          <w:sz w:val="22"/>
          <w:szCs w:val="18"/>
          <w:highlight w:val="none"/>
        </w:rPr>
        <w:outlineLvl w:val="1"/>
      </w:pPr>
      <w:r/>
      <w:bookmarkStart w:id="109" w:name="_Toc22516"/>
      <w:r/>
      <w:bookmarkStart w:id="110" w:name="_Toc21527_WPSOffice_Level2"/>
      <w:r>
        <w:rPr>
          <w:rFonts w:hint="eastAsia" w:ascii="宋体" w:hAnsi="宋体" w:eastAsia="宋体" w:cs="宋体"/>
          <w:color w:val="000000"/>
          <w:sz w:val="22"/>
          <w:szCs w:val="18"/>
          <w:highlight w:val="none"/>
        </w:rPr>
        <w:t xml:space="preserve">附件3 </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技术服务、技术培训和验收考核（略）</w:t>
      </w:r>
      <w:bookmarkEnd w:id="109"/>
      <w:r/>
      <w:bookmarkEnd w:id="110"/>
      <w:r>
        <w:rPr>
          <w:rFonts w:hint="eastAsia" w:ascii="宋体" w:hAnsi="宋体" w:eastAsia="宋体" w:cs="宋体"/>
          <w:color w:val="000000"/>
          <w:sz w:val="22"/>
          <w:szCs w:val="18"/>
          <w:highlight w:val="none"/>
        </w:rPr>
        <w:t xml:space="preserve"> </w:t>
      </w:r>
      <w:r>
        <w:rPr>
          <w:rFonts w:hint="eastAsia" w:ascii="宋体" w:hAnsi="宋体" w:eastAsia="宋体" w:cs="宋体"/>
          <w:color w:val="000000"/>
          <w:sz w:val="22"/>
          <w:szCs w:val="18"/>
          <w:highlight w:val="none"/>
        </w:rPr>
      </w:r>
      <w:r/>
    </w:p>
    <w:p>
      <w:pPr>
        <w:pStyle w:val="982"/>
        <w:ind w:firstLine="1100"/>
        <w:spacing w:line="360" w:lineRule="auto"/>
        <w:rPr>
          <w:rFonts w:hint="eastAsia" w:ascii="宋体" w:hAnsi="宋体" w:eastAsia="宋体" w:cs="宋体"/>
          <w:color w:val="000000"/>
          <w:sz w:val="22"/>
          <w:szCs w:val="18"/>
          <w:highlight w:val="none"/>
        </w:rPr>
        <w:outlineLvl w:val="1"/>
      </w:pPr>
      <w:r/>
      <w:bookmarkStart w:id="111" w:name="_Toc9730_WPSOffice_Level2"/>
      <w:r/>
      <w:bookmarkStart w:id="112" w:name="_Toc5559"/>
      <w:r>
        <w:rPr>
          <w:rFonts w:hint="eastAsia" w:ascii="宋体" w:hAnsi="宋体" w:eastAsia="宋体" w:cs="宋体"/>
          <w:color w:val="000000"/>
          <w:sz w:val="22"/>
          <w:szCs w:val="18"/>
          <w:highlight w:val="none"/>
        </w:rPr>
        <w:t xml:space="preserve">附件4 </w:t>
      </w:r>
      <w:r>
        <w:rPr>
          <w:rFonts w:hint="eastAsia" w:ascii="宋体" w:hAnsi="宋体" w:eastAsia="宋体" w:cs="宋体"/>
          <w:color w:val="000000"/>
          <w:sz w:val="22"/>
          <w:szCs w:val="18"/>
          <w:highlight w:val="none"/>
        </w:rPr>
        <w:tab/>
      </w:r>
      <w:r>
        <w:rPr>
          <w:rFonts w:hint="eastAsia" w:ascii="宋体" w:hAnsi="宋体" w:eastAsia="宋体" w:cs="宋体"/>
          <w:color w:val="000000"/>
          <w:sz w:val="22"/>
          <w:szCs w:val="18"/>
          <w:highlight w:val="none"/>
        </w:rPr>
        <w:t xml:space="preserve">预付款银行保函格式</w:t>
      </w:r>
      <w:bookmarkEnd w:id="111"/>
      <w:r>
        <w:rPr>
          <w:rFonts w:hint="eastAsia" w:ascii="宋体" w:hAnsi="宋体" w:eastAsia="宋体" w:cs="宋体"/>
          <w:color w:val="000000"/>
          <w:sz w:val="22"/>
          <w:szCs w:val="18"/>
          <w:highlight w:val="none"/>
        </w:rPr>
        <w:t xml:space="preserve"> （略）</w:t>
      </w:r>
      <w:bookmarkEnd w:id="112"/>
      <w:r>
        <w:rPr>
          <w:rFonts w:hint="eastAsia" w:ascii="宋体" w:hAnsi="宋体" w:eastAsia="宋体" w:cs="宋体"/>
          <w:color w:val="000000"/>
          <w:sz w:val="22"/>
          <w:szCs w:val="18"/>
          <w:highlight w:val="none"/>
        </w:rPr>
      </w:r>
      <w:r/>
    </w:p>
    <w:p>
      <w:pPr>
        <w:pStyle w:val="982"/>
        <w:ind w:firstLine="1100"/>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br w:type="page" w:clear="all"/>
      </w:r>
      <w:r>
        <w:rPr>
          <w:rFonts w:hint="eastAsia" w:ascii="宋体" w:hAnsi="宋体" w:eastAsia="宋体" w:cs="宋体"/>
          <w:color w:val="000000"/>
          <w:sz w:val="22"/>
          <w:szCs w:val="18"/>
          <w:highlight w:val="none"/>
        </w:rPr>
      </w:r>
      <w:r/>
    </w:p>
    <w:p>
      <w:pPr>
        <w:pStyle w:val="982"/>
        <w:jc w:val="center"/>
        <w:rPr>
          <w:rFonts w:hint="eastAsia" w:ascii="宋体" w:hAnsi="宋体" w:eastAsia="宋体" w:cs="宋体"/>
          <w:b/>
          <w:color w:val="000000"/>
          <w:sz w:val="28"/>
          <w:szCs w:val="18"/>
          <w:highlight w:val="none"/>
        </w:rPr>
        <w:outlineLvl w:val="1"/>
      </w:pPr>
      <w:r/>
      <w:bookmarkStart w:id="113" w:name="_Toc5321_WPSOffice_Level2"/>
      <w:r/>
      <w:bookmarkStart w:id="114" w:name="_Toc8985"/>
      <w:r/>
      <w:bookmarkStart w:id="115" w:name="_Toc5797"/>
      <w:r>
        <w:rPr>
          <w:rFonts w:hint="eastAsia" w:ascii="宋体" w:hAnsi="宋体" w:eastAsia="宋体" w:cs="宋体"/>
          <w:b/>
          <w:color w:val="000000"/>
          <w:sz w:val="28"/>
          <w:szCs w:val="18"/>
          <w:highlight w:val="none"/>
        </w:rPr>
        <w:t xml:space="preserve">合同专用条款</w:t>
      </w:r>
      <w:bookmarkEnd w:id="113"/>
      <w:r/>
      <w:bookmarkEnd w:id="114"/>
      <w:r/>
      <w:bookmarkEnd w:id="115"/>
      <w:r>
        <w:rPr>
          <w:rFonts w:hint="eastAsia" w:ascii="宋体" w:hAnsi="宋体" w:eastAsia="宋体" w:cs="宋体"/>
          <w:b/>
          <w:color w:val="000000"/>
          <w:sz w:val="28"/>
          <w:szCs w:val="18"/>
          <w:highlight w:val="none"/>
        </w:rPr>
      </w:r>
      <w:r/>
    </w:p>
    <w:p>
      <w:pPr>
        <w:pStyle w:val="981"/>
        <w:spacing w:line="240" w:lineRule="auto"/>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t xml:space="preserve">下述关于要采购的货物的具体资料是对招标文件第五部分合同通用条款的主要内容的具体补充和修改，如果与招标文件第五部分合同通用条款有矛盾的话，应以本资料表为准。</w:t>
      </w:r>
      <w:r>
        <w:rPr>
          <w:rFonts w:hint="eastAsia" w:ascii="宋体" w:hAnsi="宋体" w:eastAsia="宋体" w:cs="宋体"/>
          <w:color w:val="000000"/>
          <w:sz w:val="22"/>
          <w:szCs w:val="18"/>
          <w:highlight w:val="none"/>
          <w:lang w:val="en-US" w:eastAsia="zh-CN" w:bidi="ar-SA"/>
        </w:rPr>
      </w:r>
      <w:r/>
    </w:p>
    <w:tbl>
      <w:tblPr>
        <w:tblW w:w="0" w:type="auto"/>
        <w:tblInd w:w="23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114"/>
        <w:gridCol w:w="8400"/>
      </w:tblGrid>
      <w:tr>
        <w:trPr>
          <w:trHeight w:val="38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条款号</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内                     容</w:t>
            </w:r>
            <w:r>
              <w:rPr>
                <w:rFonts w:hint="eastAsia" w:ascii="宋体" w:hAnsi="宋体" w:eastAsia="宋体" w:cs="宋体"/>
                <w:color w:val="000000"/>
                <w:sz w:val="22"/>
                <w:szCs w:val="22"/>
                <w:highlight w:val="none"/>
              </w:rPr>
            </w:r>
            <w:r/>
          </w:p>
        </w:tc>
      </w:tr>
      <w:tr>
        <w:trPr>
          <w:trHeight w:val="267"/>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买方：</w:t>
            </w:r>
            <w:r>
              <w:rPr>
                <w:rFonts w:hint="eastAsia" w:ascii="宋体" w:hAnsi="宋体" w:eastAsia="宋体" w:cs="宋体"/>
                <w:color w:val="000000"/>
                <w:sz w:val="22"/>
                <w:szCs w:val="22"/>
                <w:highlight w:val="none"/>
                <w:lang w:eastAsia="zh-CN"/>
              </w:rPr>
              <w:t xml:space="preserve">南京市江宁区交通运输局</w:t>
            </w:r>
            <w:r>
              <w:rPr>
                <w:rFonts w:hint="eastAsia" w:ascii="宋体" w:hAnsi="宋体" w:eastAsia="宋体" w:cs="宋体"/>
                <w:color w:val="000000"/>
                <w:sz w:val="22"/>
                <w:szCs w:val="22"/>
                <w:highlight w:val="none"/>
                <w:lang w:eastAsia="zh-CN"/>
              </w:rPr>
            </w:r>
            <w:r/>
          </w:p>
        </w:tc>
      </w:tr>
      <w:tr>
        <w:trPr>
          <w:trHeight w:val="402" w:hRule="exact"/>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卖方：待定。</w:t>
            </w:r>
            <w:r>
              <w:rPr>
                <w:rFonts w:hint="eastAsia" w:ascii="宋体" w:hAnsi="宋体" w:eastAsia="宋体" w:cs="宋体"/>
                <w:color w:val="000000"/>
                <w:sz w:val="22"/>
                <w:szCs w:val="22"/>
                <w:highlight w:val="none"/>
              </w:rPr>
            </w:r>
            <w:r/>
          </w:p>
        </w:tc>
      </w:tr>
      <w:tr>
        <w:trPr>
          <w:trHeight w:val="360"/>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工作现场：</w:t>
            </w:r>
            <w:r>
              <w:rPr>
                <w:rFonts w:hint="eastAsia" w:ascii="宋体" w:hAnsi="宋体" w:eastAsia="宋体" w:cs="宋体"/>
                <w:color w:val="000000"/>
                <w:sz w:val="22"/>
                <w:szCs w:val="22"/>
                <w:highlight w:val="none"/>
                <w:lang w:eastAsia="zh-CN"/>
              </w:rPr>
              <w:t xml:space="preserve">南京市江宁区交通运输局</w:t>
            </w:r>
            <w:r>
              <w:rPr>
                <w:rFonts w:hint="eastAsia" w:ascii="宋体" w:hAnsi="宋体" w:eastAsia="宋体" w:cs="宋体"/>
                <w:color w:val="000000"/>
                <w:sz w:val="22"/>
                <w:szCs w:val="22"/>
                <w:highlight w:val="none"/>
              </w:rPr>
              <w:t xml:space="preserve">指定地点</w:t>
            </w:r>
            <w:r>
              <w:rPr>
                <w:rFonts w:hint="eastAsia" w:ascii="宋体" w:hAnsi="宋体" w:eastAsia="宋体" w:cs="宋体"/>
                <w:color w:val="000000"/>
                <w:sz w:val="22"/>
                <w:szCs w:val="22"/>
                <w:highlight w:val="none"/>
              </w:rPr>
            </w:r>
            <w:r/>
          </w:p>
        </w:tc>
      </w:tr>
      <w:tr>
        <w:trPr>
          <w:trHeight w:val="30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合同货币：人民币</w:t>
            </w:r>
            <w:r>
              <w:rPr>
                <w:rFonts w:hint="eastAsia" w:ascii="宋体" w:hAnsi="宋体" w:eastAsia="宋体" w:cs="宋体"/>
                <w:color w:val="000000"/>
                <w:sz w:val="22"/>
                <w:szCs w:val="22"/>
                <w:highlight w:val="none"/>
              </w:rPr>
            </w:r>
            <w:r/>
          </w:p>
        </w:tc>
      </w:tr>
      <w:tr>
        <w:trPr>
          <w:trHeight w:val="758"/>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合同货物的原产地：待定</w:t>
            </w:r>
            <w:r>
              <w:rPr>
                <w:rFonts w:hint="eastAsia" w:ascii="宋体" w:hAnsi="宋体" w:eastAsia="宋体" w:cs="宋体"/>
                <w:color w:val="000000"/>
                <w:sz w:val="22"/>
                <w:szCs w:val="22"/>
                <w:highlight w:val="none"/>
              </w:rPr>
            </w:r>
            <w:r/>
          </w:p>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合同货物的制造商：待定</w:t>
            </w:r>
            <w:r>
              <w:rPr>
                <w:rFonts w:hint="eastAsia" w:ascii="宋体" w:hAnsi="宋体" w:eastAsia="宋体" w:cs="宋体"/>
                <w:color w:val="000000"/>
                <w:sz w:val="22"/>
                <w:szCs w:val="22"/>
                <w:highlight w:val="none"/>
              </w:rPr>
            </w:r>
            <w:r/>
          </w:p>
        </w:tc>
      </w:tr>
      <w:tr>
        <w:trPr>
          <w:trHeight w:val="395"/>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付款方式：</w:t>
            </w:r>
            <w:r>
              <w:rPr>
                <w:rFonts w:hint="eastAsia" w:ascii="宋体" w:hAnsi="Calibri" w:eastAsia="Times New Roman" w:cs="Times New Roman"/>
                <w:color w:val="000000"/>
                <w:sz w:val="24"/>
                <w:highlight w:val="none"/>
              </w:rPr>
              <w:t xml:space="preserve">设备交付并安装调试完毕，验收合格后支付合同总价的90%，设备运行一年后，无质量问题及重大缺陷支付合同总价的10%</w:t>
            </w:r>
            <w:r>
              <w:rPr>
                <w:rFonts w:hint="eastAsia" w:ascii="宋体" w:hAnsi="Calibri" w:eastAsia="宋体" w:cs="Times New Roman"/>
                <w:color w:val="000000"/>
                <w:sz w:val="24"/>
                <w:highlight w:val="none"/>
                <w:lang w:eastAsia="zh-CN"/>
              </w:rPr>
              <w:t xml:space="preserve">。</w:t>
            </w:r>
            <w:r>
              <w:rPr>
                <w:rFonts w:hint="eastAsia" w:ascii="宋体" w:hAnsi="宋体" w:eastAsia="宋体" w:cs="宋体"/>
                <w:color w:val="000000"/>
                <w:sz w:val="22"/>
                <w:szCs w:val="22"/>
                <w:highlight w:val="none"/>
                <w:lang w:eastAsia="zh-CN"/>
              </w:rPr>
            </w:r>
            <w:r/>
          </w:p>
        </w:tc>
      </w:tr>
      <w:tr>
        <w:trPr>
          <w:trHeight w:val="450"/>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卖方需提供货物大约净重、总毛量、总体积等技术资料</w:t>
            </w:r>
            <w:r>
              <w:rPr>
                <w:rFonts w:hint="eastAsia" w:ascii="宋体" w:hAnsi="宋体" w:eastAsia="宋体" w:cs="宋体"/>
                <w:color w:val="000000"/>
                <w:sz w:val="22"/>
                <w:szCs w:val="22"/>
                <w:highlight w:val="none"/>
              </w:rPr>
            </w:r>
            <w:r/>
          </w:p>
        </w:tc>
      </w:tr>
      <w:tr>
        <w:trPr>
          <w:trHeight w:val="26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6.2</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交货条件及时限：详见货物需求一览表</w:t>
            </w:r>
            <w:r>
              <w:rPr>
                <w:rFonts w:hint="eastAsia" w:ascii="宋体" w:hAnsi="宋体" w:eastAsia="宋体" w:cs="宋体"/>
                <w:color w:val="000000"/>
                <w:sz w:val="22"/>
                <w:szCs w:val="22"/>
                <w:highlight w:val="none"/>
              </w:rPr>
            </w:r>
            <w:r/>
          </w:p>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投标人应在“投标报价汇总表”中详细说明“合同签订后货到项目现场的天数（日历日）”，及“接到买方送货通知后所需完成送货的天数（日历日）”。</w:t>
            </w:r>
            <w:r>
              <w:rPr>
                <w:rFonts w:hint="eastAsia" w:ascii="宋体" w:hAnsi="宋体" w:eastAsia="宋体" w:cs="宋体"/>
                <w:color w:val="000000"/>
                <w:sz w:val="22"/>
                <w:szCs w:val="22"/>
                <w:highlight w:val="none"/>
              </w:rPr>
            </w:r>
            <w:r/>
          </w:p>
        </w:tc>
      </w:tr>
      <w:tr>
        <w:trPr>
          <w:trHeight w:val="462"/>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6.3</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装运地点：待定</w:t>
            </w:r>
            <w:r>
              <w:rPr>
                <w:rFonts w:hint="eastAsia" w:ascii="宋体" w:hAnsi="宋体" w:eastAsia="宋体" w:cs="宋体"/>
                <w:color w:val="000000"/>
                <w:sz w:val="22"/>
                <w:szCs w:val="22"/>
                <w:highlight w:val="none"/>
              </w:rPr>
            </w:r>
            <w:r/>
          </w:p>
        </w:tc>
      </w:tr>
      <w:tr>
        <w:trPr>
          <w:trHeight w:val="43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6.4</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卸货地点：</w:t>
            </w:r>
            <w:r>
              <w:rPr>
                <w:rFonts w:hint="eastAsia" w:ascii="宋体" w:hAnsi="宋体" w:eastAsia="宋体" w:cs="宋体"/>
                <w:color w:val="000000"/>
                <w:sz w:val="22"/>
                <w:szCs w:val="22"/>
                <w:highlight w:val="none"/>
                <w:lang w:val="en-US" w:eastAsia="zh-CN"/>
              </w:rPr>
              <w:t xml:space="preserve">采购人</w:t>
            </w:r>
            <w:r>
              <w:rPr>
                <w:rFonts w:hint="eastAsia" w:ascii="宋体" w:hAnsi="宋体" w:eastAsia="宋体" w:cs="宋体"/>
                <w:color w:val="000000"/>
                <w:sz w:val="22"/>
                <w:szCs w:val="22"/>
                <w:highlight w:val="none"/>
              </w:rPr>
              <w:t xml:space="preserve">现场</w:t>
            </w:r>
            <w:r>
              <w:rPr>
                <w:rFonts w:hint="eastAsia" w:ascii="宋体" w:hAnsi="宋体" w:eastAsia="宋体" w:cs="宋体"/>
                <w:color w:val="000000"/>
                <w:sz w:val="22"/>
                <w:szCs w:val="22"/>
                <w:highlight w:val="none"/>
              </w:rPr>
            </w:r>
            <w:r/>
          </w:p>
        </w:tc>
      </w:tr>
      <w:tr>
        <w:trPr>
          <w:trHeight w:val="43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6.5</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发运前7天。</w:t>
            </w:r>
            <w:r>
              <w:rPr>
                <w:rFonts w:hint="eastAsia" w:ascii="宋体" w:hAnsi="宋体" w:eastAsia="宋体" w:cs="宋体"/>
                <w:color w:val="000000"/>
                <w:sz w:val="22"/>
                <w:szCs w:val="22"/>
                <w:highlight w:val="none"/>
              </w:rPr>
            </w:r>
            <w:r/>
          </w:p>
        </w:tc>
      </w:tr>
      <w:tr>
        <w:trPr>
          <w:trHeight w:val="43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6.6</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卖方每逾期一周交货，按设备总价的5‰收取滞纳金；如逾期时间超过6周仍未能交付全部或部分设备，在不妨碍买方其他救济手段的情况下，买方可以向卖方发出书面违约通知从而全部或部分地终止合同，并向卖方索赔。</w:t>
            </w:r>
            <w:r>
              <w:rPr>
                <w:rFonts w:hint="eastAsia" w:ascii="宋体" w:hAnsi="宋体" w:eastAsia="宋体" w:cs="宋体"/>
                <w:color w:val="000000"/>
                <w:sz w:val="22"/>
                <w:szCs w:val="22"/>
                <w:highlight w:val="none"/>
              </w:rPr>
            </w:r>
            <w:r/>
          </w:p>
        </w:tc>
      </w:tr>
      <w:tr>
        <w:trPr>
          <w:trHeight w:val="415"/>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8.1</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ind w:left="360" w:hanging="330"/>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买方提供产品合格证书及说明书。</w:t>
            </w:r>
            <w:r>
              <w:rPr>
                <w:rFonts w:hint="eastAsia" w:ascii="宋体" w:hAnsi="宋体" w:eastAsia="宋体" w:cs="宋体"/>
                <w:bCs/>
                <w:color w:val="000000"/>
                <w:sz w:val="22"/>
                <w:szCs w:val="22"/>
                <w:highlight w:val="none"/>
              </w:rPr>
            </w:r>
            <w:r/>
          </w:p>
        </w:tc>
      </w:tr>
      <w:tr>
        <w:trPr>
          <w:trHeight w:val="43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11.5</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982"/>
              <w:rPr>
                <w:rFonts w:ascii="Calibri" w:hAnsi="Calibri" w:eastAsia="宋体"/>
                <w:color w:val="000000"/>
                <w:sz w:val="24"/>
                <w:szCs w:val="22"/>
                <w:highlight w:val="none"/>
                <w:lang w:val="en-US" w:eastAsia="zh-CN"/>
              </w:rPr>
            </w:pPr>
            <w:r>
              <w:rPr>
                <w:rFonts w:hint="eastAsia" w:ascii="宋体" w:hAnsi="宋体" w:eastAsia="宋体" w:cs="宋体"/>
                <w:color w:val="000000"/>
                <w:sz w:val="22"/>
                <w:szCs w:val="21"/>
                <w:highlight w:val="none"/>
              </w:rPr>
              <w:t xml:space="preserve">质量保证期：</w:t>
            </w:r>
            <w:r>
              <w:rPr>
                <w:rFonts w:hint="eastAsia" w:ascii="Calibri" w:hAnsi="Calibri"/>
                <w:color w:val="000000"/>
                <w:sz w:val="24"/>
                <w:szCs w:val="22"/>
                <w:highlight w:val="none"/>
              </w:rPr>
              <w:t xml:space="preserve">自验收报告签字确认日起，开始进入免费质保期，免费质保期≥</w:t>
            </w:r>
            <w:r>
              <w:rPr>
                <w:rFonts w:hint="eastAsia" w:ascii="Calibri" w:hAnsi="Calibri"/>
                <w:color w:val="000000"/>
                <w:sz w:val="24"/>
                <w:szCs w:val="22"/>
                <w:highlight w:val="none"/>
                <w:lang w:val="en-US" w:eastAsia="zh-CN"/>
              </w:rPr>
              <w:t xml:space="preserve">一</w:t>
            </w:r>
            <w:r>
              <w:rPr>
                <w:rFonts w:hint="eastAsia" w:ascii="Calibri" w:hAnsi="Calibri"/>
                <w:color w:val="000000"/>
                <w:sz w:val="24"/>
                <w:szCs w:val="22"/>
                <w:highlight w:val="none"/>
              </w:rPr>
              <w:t xml:space="preserve">年。</w:t>
            </w:r>
            <w:r>
              <w:rPr>
                <w:rFonts w:ascii="Calibri" w:hAnsi="Calibri" w:eastAsia="宋体"/>
                <w:color w:val="000000"/>
                <w:sz w:val="24"/>
                <w:szCs w:val="22"/>
                <w:highlight w:val="none"/>
                <w:lang w:val="en-US" w:eastAsia="zh-CN"/>
              </w:rPr>
            </w:r>
            <w:r/>
          </w:p>
        </w:tc>
      </w:tr>
      <w:tr>
        <w:trPr>
          <w:trHeight w:val="43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12.1</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根据卖方违约的程度，买方有权采取A、B、C、D、E五种救济方式中的任何一种或几种。</w:t>
            </w:r>
            <w:r>
              <w:rPr>
                <w:rFonts w:hint="eastAsia" w:ascii="宋体" w:hAnsi="宋体" w:eastAsia="宋体" w:cs="宋体"/>
                <w:color w:val="000000"/>
                <w:sz w:val="22"/>
                <w:szCs w:val="22"/>
                <w:highlight w:val="none"/>
              </w:rPr>
            </w:r>
            <w:r/>
          </w:p>
        </w:tc>
      </w:tr>
      <w:tr>
        <w:trPr>
          <w:trHeight w:val="43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A.卖方收到买方索赔要求后14天内给予回复。</w:t>
            </w:r>
            <w:r>
              <w:rPr>
                <w:rFonts w:hint="eastAsia" w:ascii="宋体" w:hAnsi="宋体" w:eastAsia="宋体" w:cs="宋体"/>
                <w:color w:val="000000"/>
                <w:sz w:val="22"/>
                <w:szCs w:val="22"/>
                <w:highlight w:val="none"/>
              </w:rPr>
            </w:r>
            <w:r/>
          </w:p>
        </w:tc>
      </w:tr>
      <w:tr>
        <w:trPr>
          <w:trHeight w:val="43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14.1</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C.卖方未能履行合同项下任何其它义务(细微义务除外)，并且在收到买方违约通知后14天内仍未对其违约行为作出补救。</w:t>
            </w:r>
            <w:r>
              <w:rPr>
                <w:rFonts w:hint="eastAsia" w:ascii="宋体" w:hAnsi="宋体" w:eastAsia="宋体" w:cs="宋体"/>
                <w:color w:val="000000"/>
                <w:sz w:val="22"/>
                <w:szCs w:val="22"/>
                <w:highlight w:val="none"/>
              </w:rPr>
            </w:r>
            <w:r/>
          </w:p>
        </w:tc>
      </w:tr>
      <w:tr>
        <w:trPr>
          <w:trHeight w:val="490"/>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增加14.1D</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D.未得到买方许可，擅自将本合同货物或服务分包给其他单位。</w:t>
            </w:r>
            <w:r>
              <w:rPr>
                <w:rFonts w:hint="eastAsia" w:ascii="宋体" w:hAnsi="宋体" w:eastAsia="宋体" w:cs="宋体"/>
                <w:color w:val="000000"/>
                <w:sz w:val="22"/>
                <w:szCs w:val="22"/>
                <w:highlight w:val="none"/>
              </w:rPr>
            </w:r>
            <w:r/>
          </w:p>
        </w:tc>
      </w:tr>
      <w:tr>
        <w:trPr>
          <w:trHeight w:val="43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14.4</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E.卖方应双倍返还买方已支付的货款（包括定金）。</w:t>
            </w:r>
            <w:r>
              <w:rPr>
                <w:rFonts w:hint="eastAsia" w:ascii="宋体" w:hAnsi="宋体" w:eastAsia="宋体" w:cs="宋体"/>
                <w:color w:val="000000"/>
                <w:sz w:val="22"/>
                <w:szCs w:val="22"/>
                <w:highlight w:val="none"/>
              </w:rPr>
            </w:r>
            <w:r/>
          </w:p>
        </w:tc>
      </w:tr>
      <w:tr>
        <w:trPr>
          <w:trHeight w:val="439"/>
        </w:trPr>
        <w:tc>
          <w:tcPr>
            <w:shd w:val="clear" w:color="auto" w:fill="ffffff"/>
            <w:tcW w:w="1114" w:type="dxa"/>
            <w:vAlign w:val="center"/>
            <w:textDirection w:val="lrTb"/>
            <w:noWrap w:val="false"/>
          </w:tcPr>
          <w:p>
            <w:pPr>
              <w:pStyle w:val="88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15.1</w:t>
            </w:r>
            <w:r>
              <w:rPr>
                <w:rFonts w:hint="eastAsia" w:ascii="宋体" w:hAnsi="宋体" w:eastAsia="宋体" w:cs="宋体"/>
                <w:color w:val="000000"/>
                <w:sz w:val="22"/>
                <w:szCs w:val="22"/>
                <w:highlight w:val="none"/>
              </w:rPr>
            </w:r>
            <w:r/>
          </w:p>
        </w:tc>
        <w:tc>
          <w:tcPr>
            <w:shd w:val="clear" w:color="auto" w:fill="ffffff"/>
            <w:tcW w:w="8400" w:type="dxa"/>
            <w:vAlign w:val="center"/>
            <w:textDirection w:val="lrTb"/>
            <w:noWrap w:val="false"/>
          </w:tcPr>
          <w:p>
            <w:pPr>
              <w:pStyle w:val="88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因执行本合同所发生的或者与本合同有关的一切争议将由合同双方通过友好协商解决。如果不能协商一致，合同任何一方有权将争议提交买方所在地仲裁机构或提交买方所在地法院判决。</w:t>
            </w:r>
            <w:r>
              <w:rPr>
                <w:rFonts w:hint="eastAsia" w:ascii="宋体" w:hAnsi="宋体" w:eastAsia="宋体" w:cs="宋体"/>
                <w:color w:val="000000"/>
                <w:sz w:val="22"/>
                <w:szCs w:val="22"/>
                <w:highlight w:val="none"/>
              </w:rPr>
            </w:r>
            <w:r/>
          </w:p>
        </w:tc>
      </w:tr>
    </w:tbl>
    <w:p>
      <w:pPr>
        <w:pStyle w:val="884"/>
        <w:jc w:val="center"/>
        <w:keepLines/>
        <w:keepNext/>
        <w:pageBreakBefore/>
        <w:shd w:val="clear" w:color="auto" w:fill="auto"/>
        <w:rPr>
          <w:rFonts w:hint="eastAsia"/>
          <w:b/>
          <w:color w:val="000000"/>
          <w:sz w:val="44"/>
          <w:szCs w:val="44"/>
          <w:highlight w:val="none"/>
        </w:rPr>
        <w:outlineLvl w:val="0"/>
      </w:pPr>
      <w:r>
        <w:rPr>
          <w:rFonts w:hint="eastAsia"/>
          <w:b/>
          <w:color w:val="000000"/>
          <w:sz w:val="44"/>
          <w:szCs w:val="44"/>
          <w:highlight w:val="none"/>
        </w:rPr>
        <w:t xml:space="preserve">第六部分  投标文件格式</w:t>
      </w:r>
      <w:bookmarkEnd w:id="103"/>
      <w:r/>
      <w:bookmarkEnd w:id="104"/>
      <w:r>
        <w:rPr>
          <w:rFonts w:hint="eastAsia"/>
          <w:b/>
          <w:color w:val="000000"/>
          <w:sz w:val="44"/>
          <w:szCs w:val="44"/>
          <w:highlight w:val="none"/>
        </w:rPr>
      </w:r>
      <w:r/>
    </w:p>
    <w:p>
      <w:pPr>
        <w:pStyle w:val="884"/>
        <w:shd w:val="clear" w:color="auto" w:fill="auto"/>
        <w:rPr>
          <w:color w:val="000000"/>
          <w:highlight w:val="none"/>
        </w:rPr>
      </w:pPr>
      <w:r>
        <w:rPr>
          <w:color w:val="000000"/>
          <w:highlight w:val="none"/>
        </w:rPr>
      </w:r>
      <w:r/>
    </w:p>
    <w:p>
      <w:pPr>
        <w:pStyle w:val="1184"/>
        <w:ind w:firstLine="321"/>
        <w:jc w:val="center"/>
        <w:shd w:val="clear" w:color="auto" w:fill="auto"/>
        <w:rPr>
          <w:color w:val="000000"/>
          <w:highlight w:val="none"/>
        </w:rPr>
        <w:outlineLvl w:val="1"/>
      </w:pPr>
      <w:r/>
      <w:bookmarkStart w:id="117" w:name="_Toc26779"/>
      <w:r/>
      <w:bookmarkStart w:id="118" w:name="_Toc514054484"/>
      <w:r>
        <w:rPr>
          <w:color w:val="000000"/>
          <w:highlight w:val="none"/>
        </w:rPr>
        <w:t xml:space="preserve">封面</w:t>
      </w:r>
      <w:bookmarkEnd w:id="117"/>
      <w:r/>
      <w:bookmarkEnd w:id="118"/>
      <w:r>
        <w:rPr>
          <w:color w:val="000000"/>
          <w:highlight w:val="none"/>
        </w:rPr>
      </w:r>
      <w:r/>
    </w:p>
    <w:p>
      <w:pPr>
        <w:pStyle w:val="1049"/>
        <w:jc w:val="left"/>
        <w:shd w:val="clear" w:color="auto" w:fill="auto"/>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049"/>
        <w:jc w:val="left"/>
        <w:shd w:val="clear" w:color="auto" w:fill="auto"/>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049"/>
        <w:jc w:val="left"/>
        <w:shd w:val="clear" w:color="auto" w:fill="auto"/>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049"/>
        <w:jc w:val="center"/>
        <w:shd w:val="clear" w:color="auto" w:fill="auto"/>
        <w:rPr>
          <w:rFonts w:hint="eastAsia" w:ascii="黑体" w:eastAsia="黑体" w:cs="黑体"/>
          <w:color w:val="000000"/>
          <w:sz w:val="52"/>
          <w:szCs w:val="52"/>
          <w:highlight w:val="none"/>
        </w:rPr>
      </w:pPr>
      <w:r>
        <w:rPr>
          <w:rFonts w:hint="eastAsia" w:ascii="黑体" w:eastAsia="黑体" w:cs="黑体"/>
          <w:color w:val="000000"/>
          <w:sz w:val="52"/>
          <w:szCs w:val="52"/>
          <w:highlight w:val="none"/>
        </w:rPr>
      </w:r>
      <w:r/>
    </w:p>
    <w:p>
      <w:pPr>
        <w:pStyle w:val="1049"/>
        <w:jc w:val="center"/>
        <w:shd w:val="clear" w:color="auto" w:fill="auto"/>
        <w:rPr>
          <w:rFonts w:hint="eastAsia" w:ascii="黑体" w:eastAsia="黑体" w:cs="黑体"/>
          <w:color w:val="000000"/>
          <w:sz w:val="28"/>
          <w:szCs w:val="28"/>
          <w:highlight w:val="none"/>
        </w:rPr>
      </w:pPr>
      <w:r>
        <w:rPr>
          <w:rFonts w:hint="eastAsia" w:ascii="黑体" w:eastAsia="黑体" w:cs="黑体"/>
          <w:color w:val="000000"/>
          <w:sz w:val="72"/>
          <w:szCs w:val="72"/>
          <w:highlight w:val="none"/>
        </w:rPr>
        <w:t xml:space="preserve">投</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标</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文</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件</w:t>
      </w:r>
      <w:r>
        <w:rPr>
          <w:rFonts w:hint="eastAsia" w:ascii="黑体" w:eastAsia="黑体" w:cs="黑体"/>
          <w:color w:val="000000"/>
          <w:sz w:val="28"/>
          <w:szCs w:val="28"/>
          <w:highlight w:val="none"/>
        </w:rPr>
      </w:r>
      <w:r/>
    </w:p>
    <w:p>
      <w:pPr>
        <w:pStyle w:val="1049"/>
        <w:jc w:val="left"/>
        <w:shd w:val="clear" w:color="auto" w:fill="auto"/>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049"/>
        <w:jc w:val="left"/>
        <w:shd w:val="clear" w:color="auto" w:fill="auto"/>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049"/>
        <w:jc w:val="left"/>
        <w:shd w:val="clear" w:color="auto" w:fill="auto"/>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049"/>
        <w:jc w:val="left"/>
        <w:shd w:val="clear" w:color="auto" w:fill="auto"/>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049"/>
        <w:jc w:val="left"/>
        <w:shd w:val="clear" w:color="auto" w:fill="auto"/>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952"/>
        <w:ind w:firstLine="723"/>
        <w:jc w:val="both"/>
        <w:rPr>
          <w:rFonts w:hint="eastAsia"/>
          <w:color w:val="000000"/>
          <w:highlight w:val="none"/>
        </w:rPr>
      </w:pPr>
      <w:r>
        <w:rPr>
          <w:rFonts w:hint="eastAsia"/>
          <w:b/>
          <w:color w:val="000000"/>
          <w:sz w:val="36"/>
          <w:szCs w:val="36"/>
          <w:highlight w:val="none"/>
        </w:rPr>
        <w:t xml:space="preserve">项目 名 称：</w:t>
      </w:r>
      <w:r>
        <w:rPr>
          <w:rFonts w:hint="eastAsia"/>
          <w:b/>
          <w:color w:val="000000"/>
          <w:sz w:val="36"/>
          <w:szCs w:val="36"/>
          <w:highlight w:val="none"/>
          <w:u w:val="single"/>
        </w:rPr>
        <w:t xml:space="preserve">               </w:t>
      </w:r>
      <w:r>
        <w:rPr>
          <w:rFonts w:hint="eastAsia"/>
          <w:color w:val="000000"/>
          <w:highlight w:val="none"/>
        </w:rPr>
      </w:r>
      <w:r/>
    </w:p>
    <w:p>
      <w:pPr>
        <w:pStyle w:val="952"/>
        <w:ind w:firstLine="723"/>
        <w:jc w:val="both"/>
        <w:rPr>
          <w:rFonts w:hint="eastAsia"/>
          <w:color w:val="000000"/>
          <w:highlight w:val="none"/>
        </w:rPr>
      </w:pPr>
      <w:r>
        <w:rPr>
          <w:rFonts w:hint="eastAsia"/>
          <w:b/>
          <w:color w:val="000000"/>
          <w:sz w:val="36"/>
          <w:szCs w:val="36"/>
          <w:highlight w:val="none"/>
        </w:rPr>
        <w:t xml:space="preserve">项目 编 号：</w:t>
      </w:r>
      <w:r>
        <w:rPr>
          <w:rFonts w:hint="eastAsia"/>
          <w:b/>
          <w:color w:val="000000"/>
          <w:sz w:val="36"/>
          <w:szCs w:val="36"/>
          <w:highlight w:val="none"/>
          <w:u w:val="single"/>
        </w:rPr>
        <w:t xml:space="preserve">               </w:t>
      </w:r>
      <w:r>
        <w:rPr>
          <w:rFonts w:hint="eastAsia"/>
          <w:color w:val="000000"/>
          <w:highlight w:val="none"/>
        </w:rPr>
      </w:r>
      <w:r/>
    </w:p>
    <w:p>
      <w:pPr>
        <w:pStyle w:val="952"/>
        <w:ind w:firstLine="723"/>
        <w:jc w:val="both"/>
        <w:rPr>
          <w:rFonts w:hint="eastAsia"/>
          <w:color w:val="000000"/>
          <w:highlight w:val="none"/>
        </w:rPr>
      </w:pPr>
      <w:r>
        <w:rPr>
          <w:rFonts w:hint="eastAsia"/>
          <w:b/>
          <w:color w:val="000000"/>
          <w:sz w:val="36"/>
          <w:szCs w:val="36"/>
          <w:highlight w:val="none"/>
        </w:rPr>
        <w:t xml:space="preserve">投标人名称 ：</w:t>
      </w:r>
      <w:r>
        <w:rPr>
          <w:rFonts w:hint="eastAsia"/>
          <w:b/>
          <w:color w:val="000000"/>
          <w:sz w:val="36"/>
          <w:szCs w:val="36"/>
          <w:highlight w:val="none"/>
          <w:u w:val="single"/>
        </w:rPr>
        <w:t xml:space="preserve">（加盖CA电子公章）        </w:t>
      </w:r>
      <w:r>
        <w:rPr>
          <w:rFonts w:hint="eastAsia"/>
          <w:color w:val="000000"/>
          <w:highlight w:val="none"/>
        </w:rPr>
      </w:r>
      <w:r/>
    </w:p>
    <w:p>
      <w:pPr>
        <w:pStyle w:val="952"/>
        <w:ind w:firstLine="723"/>
        <w:jc w:val="both"/>
        <w:rPr>
          <w:rFonts w:hint="eastAsia"/>
          <w:color w:val="000000"/>
          <w:highlight w:val="none"/>
        </w:rPr>
      </w:pPr>
      <w:r>
        <w:rPr>
          <w:rFonts w:hint="eastAsia"/>
          <w:b/>
          <w:color w:val="000000"/>
          <w:sz w:val="36"/>
          <w:szCs w:val="36"/>
          <w:highlight w:val="none"/>
        </w:rPr>
        <w:t xml:space="preserve">日   期 ：</w:t>
      </w:r>
      <w:r>
        <w:rPr>
          <w:rFonts w:hint="eastAsia"/>
          <w:b/>
          <w:color w:val="000000"/>
          <w:sz w:val="36"/>
          <w:szCs w:val="36"/>
          <w:highlight w:val="none"/>
          <w:u w:val="single"/>
        </w:rPr>
        <w:t xml:space="preserve">                     </w:t>
      </w:r>
      <w:r>
        <w:rPr>
          <w:rFonts w:hint="eastAsia"/>
          <w:color w:val="000000"/>
          <w:highlight w:val="none"/>
        </w:rPr>
      </w:r>
      <w:r/>
    </w:p>
    <w:p>
      <w:pPr>
        <w:pStyle w:val="952"/>
        <w:spacing w:line="0" w:lineRule="atLeast"/>
        <w:rPr>
          <w:rFonts w:hint="eastAsia"/>
          <w:color w:val="000000"/>
          <w:highlight w:val="none"/>
        </w:rPr>
      </w:pPr>
      <w:r>
        <w:rPr>
          <w:color w:val="000000"/>
          <w:highlight w:val="none"/>
        </w:rPr>
        <w:t xml:space="preserve"> </w:t>
      </w:r>
      <w:r>
        <w:rPr>
          <w:rFonts w:hint="eastAsia"/>
          <w:color w:val="000000"/>
          <w:highlight w:val="none"/>
        </w:rPr>
      </w:r>
      <w:r/>
    </w:p>
    <w:p>
      <w:pPr>
        <w:pStyle w:val="952"/>
        <w:jc w:val="both"/>
        <w:spacing w:line="0" w:lineRule="atLeast"/>
        <w:rPr>
          <w:rFonts w:hint="eastAsia"/>
          <w:color w:val="000000"/>
          <w:highlight w:val="none"/>
        </w:rPr>
      </w:pPr>
      <w:r>
        <w:rPr>
          <w:color w:val="000000"/>
          <w:highlight w:val="none"/>
        </w:rPr>
        <w:t xml:space="preserve"> </w:t>
      </w:r>
      <w:r>
        <w:rPr>
          <w:rFonts w:hint="eastAsia"/>
          <w:color w:val="000000"/>
          <w:highlight w:val="none"/>
        </w:rPr>
      </w:r>
      <w:r/>
    </w:p>
    <w:p>
      <w:pPr>
        <w:pStyle w:val="884"/>
        <w:shd w:val="clear" w:color="auto" w:fill="auto"/>
        <w:rPr>
          <w:color w:val="000000"/>
          <w:highlight w:val="none"/>
        </w:rPr>
      </w:pPr>
      <w:r>
        <w:rPr>
          <w:color w:val="000000"/>
          <w:highlight w:val="none"/>
        </w:rPr>
      </w:r>
      <w:r/>
    </w:p>
    <w:p>
      <w:pPr>
        <w:pStyle w:val="1196"/>
        <w:jc w:val="center"/>
        <w:shd w:val="clear" w:color="auto" w:fill="auto"/>
        <w:rPr>
          <w:color w:val="000000"/>
          <w:highlight w:val="none"/>
        </w:rPr>
        <w:outlineLvl w:val="1"/>
      </w:pPr>
      <w:r>
        <w:rPr>
          <w:color w:val="000000"/>
          <w:highlight w:val="none"/>
        </w:rPr>
        <w:br w:type="page" w:clear="all"/>
      </w:r>
      <w:bookmarkStart w:id="119" w:name="_Toc11482"/>
      <w:r/>
      <w:bookmarkStart w:id="120" w:name="_Toc514054485"/>
      <w:r>
        <w:rPr>
          <w:color w:val="000000"/>
          <w:highlight w:val="none"/>
        </w:rPr>
        <w:t xml:space="preserve">目录</w:t>
      </w:r>
      <w:bookmarkEnd w:id="119"/>
      <w:r/>
      <w:bookmarkEnd w:id="120"/>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一、投标人基本情况</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二、投标人资质</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三、</w:t>
      </w:r>
      <w:r>
        <w:rPr>
          <w:rFonts w:hint="eastAsia" w:ascii="宋体" w:hAnsi="宋体" w:eastAsia="宋体" w:cs="宋体"/>
          <w:color w:val="000000"/>
          <w:highlight w:val="none"/>
        </w:rPr>
        <w:t xml:space="preserve">投标人具有良好的商业信誉和健全的财务会计制度</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四、</w:t>
      </w:r>
      <w:r>
        <w:rPr>
          <w:rFonts w:hint="eastAsia" w:ascii="宋体" w:hAnsi="宋体" w:cs="Arial"/>
          <w:bCs/>
          <w:color w:val="000000"/>
          <w:highlight w:val="none"/>
        </w:rPr>
        <w:t xml:space="preserve">具有履行合同所必需的设备和专业技术能力</w:t>
      </w:r>
      <w:r>
        <w:rPr>
          <w:color w:val="000000"/>
          <w:highlight w:val="none"/>
        </w:rPr>
      </w:r>
      <w:r/>
    </w:p>
    <w:p>
      <w:pPr>
        <w:pStyle w:val="1065"/>
        <w:spacing w:after="100" w:afterAutospacing="1"/>
        <w:shd w:val="clear" w:color="auto" w:fill="auto"/>
        <w:rPr>
          <w:rFonts w:hint="eastAsia" w:ascii="宋体" w:hAnsi="宋体" w:cs="Arial"/>
          <w:bCs/>
          <w:color w:val="000000"/>
          <w:highlight w:val="none"/>
        </w:rPr>
      </w:pPr>
      <w:r>
        <w:rPr>
          <w:rFonts w:ascii="宋体" w:hAnsi="宋体" w:eastAsia="宋体" w:cs="宋体"/>
          <w:color w:val="000000"/>
          <w:highlight w:val="none"/>
        </w:rPr>
        <w:t xml:space="preserve">五、</w:t>
      </w:r>
      <w:r>
        <w:rPr>
          <w:rFonts w:hint="eastAsia" w:ascii="宋体" w:hAnsi="宋体" w:cs="Arial"/>
          <w:bCs/>
          <w:color w:val="000000"/>
          <w:highlight w:val="none"/>
        </w:rPr>
        <w:t xml:space="preserve">有依法缴纳税收和社会保障资金的良好记录</w:t>
      </w:r>
      <w:r>
        <w:rPr>
          <w:rFonts w:hint="eastAsia" w:ascii="宋体" w:hAnsi="宋体" w:cs="Arial"/>
          <w:bCs/>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六、无重大违法行为声明</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七、投标函</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八、法定代表人身份证明或授权委托书</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九、开标一览表</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十、明细报价表</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十一、中小企业声明函</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十二、响应偏差表</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十三、所投产品技术资料或样本等</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十四、主要部件、辅材明细表</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十五、</w:t>
      </w:r>
      <w:bookmarkStart w:id="121" w:name="_Toc21060_WPSOffice_Level2"/>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方案</w:t>
      </w:r>
      <w:bookmarkEnd w:id="121"/>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六</w:t>
      </w:r>
      <w:r>
        <w:rPr>
          <w:rFonts w:ascii="宋体" w:hAnsi="宋体" w:eastAsia="宋体" w:cs="宋体"/>
          <w:color w:val="000000"/>
          <w:highlight w:val="none"/>
        </w:rPr>
        <w:t xml:space="preserve">、投标人</w:t>
      </w:r>
      <w:r>
        <w:rPr>
          <w:rFonts w:hint="eastAsia" w:ascii="宋体" w:hAnsi="宋体" w:eastAsia="宋体" w:cs="宋体"/>
          <w:color w:val="000000"/>
          <w:highlight w:val="none"/>
          <w:lang w:eastAsia="zh-CN"/>
        </w:rPr>
        <w:t xml:space="preserve">(或供货商、厂商)</w:t>
      </w:r>
      <w:r>
        <w:rPr>
          <w:rFonts w:ascii="宋体" w:hAnsi="宋体" w:eastAsia="宋体" w:cs="宋体"/>
          <w:color w:val="000000"/>
          <w:highlight w:val="none"/>
        </w:rPr>
        <w:t xml:space="preserve">项目业绩一览表</w:t>
      </w:r>
      <w:r>
        <w:rPr>
          <w:color w:val="000000"/>
          <w:highlight w:val="none"/>
        </w:rPr>
      </w:r>
      <w:r/>
    </w:p>
    <w:p>
      <w:pPr>
        <w:pStyle w:val="1065"/>
        <w:spacing w:after="100" w:afterAutospacing="1"/>
        <w:shd w:val="clear" w:color="auto" w:fill="auto"/>
        <w:rPr>
          <w:color w:val="000000"/>
          <w:highlight w:val="none"/>
        </w:rP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七</w:t>
      </w:r>
      <w:r>
        <w:rPr>
          <w:rFonts w:ascii="宋体" w:hAnsi="宋体" w:eastAsia="宋体" w:cs="宋体"/>
          <w:color w:val="000000"/>
          <w:highlight w:val="none"/>
        </w:rPr>
        <w:t xml:space="preserve">、投标所需其他材料</w:t>
      </w:r>
      <w:r>
        <w:rPr>
          <w:color w:val="000000"/>
          <w:highlight w:val="none"/>
        </w:rPr>
      </w:r>
      <w:r/>
    </w:p>
    <w:p>
      <w:pPr>
        <w:pStyle w:val="884"/>
        <w:shd w:val="clear" w:color="auto" w:fill="auto"/>
        <w:rPr>
          <w:color w:val="000000"/>
          <w:highlight w:val="none"/>
        </w:rPr>
      </w:pPr>
      <w:r>
        <w:rPr>
          <w:color w:val="000000"/>
          <w:highlight w:val="none"/>
        </w:rPr>
      </w:r>
      <w:r/>
    </w:p>
    <w:p>
      <w:pPr>
        <w:pStyle w:val="1172"/>
        <w:shd w:val="clear" w:color="auto" w:fill="auto"/>
        <w:rPr>
          <w:color w:val="000000"/>
          <w:highlight w:val="none"/>
        </w:rPr>
        <w:outlineLvl w:val="1"/>
      </w:pPr>
      <w:r>
        <w:rPr>
          <w:color w:val="000000"/>
          <w:highlight w:val="none"/>
        </w:rPr>
        <w:br w:type="page" w:clear="all"/>
      </w:r>
      <w:bookmarkStart w:id="122" w:name="_Toc21292"/>
      <w:r/>
      <w:bookmarkStart w:id="123" w:name="_Toc23205_WPSOffice_Level2"/>
      <w:r/>
      <w:bookmarkStart w:id="124" w:name="_Toc514054486"/>
      <w:r>
        <w:rPr>
          <w:color w:val="000000"/>
          <w:highlight w:val="none"/>
        </w:rPr>
        <w:t xml:space="preserve">一、投标人基本情况</w:t>
      </w:r>
      <w:bookmarkEnd w:id="122"/>
      <w:r/>
      <w:bookmarkEnd w:id="123"/>
      <w:r/>
      <w:bookmarkEnd w:id="124"/>
      <w:r>
        <w:rPr>
          <w:color w:val="000000"/>
          <w:highlight w:val="none"/>
        </w:rPr>
      </w:r>
      <w:r/>
    </w:p>
    <w:p>
      <w:pPr>
        <w:pStyle w:val="1121"/>
        <w:jc w:val="center"/>
        <w:shd w:val="clear" w:color="auto" w:fill="auto"/>
        <w:rPr>
          <w:rFonts w:hint="eastAsia"/>
          <w:color w:val="000000"/>
          <w:sz w:val="44"/>
          <w:szCs w:val="44"/>
          <w:highlight w:val="none"/>
        </w:rPr>
      </w:pPr>
      <w:r>
        <w:rPr>
          <w:rFonts w:hint="eastAsia"/>
          <w:color w:val="000000"/>
          <w:sz w:val="44"/>
          <w:szCs w:val="44"/>
          <w:highlight w:val="none"/>
        </w:rPr>
        <w:t xml:space="preserve">投标人基本情况表</w:t>
      </w:r>
      <w:r>
        <w:rPr>
          <w:rFonts w:hint="eastAsia"/>
          <w:color w:val="000000"/>
          <w:sz w:val="44"/>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投标人名称</w:t>
            </w:r>
            <w:r>
              <w:rPr>
                <w:rFonts w:hint="eastAsia" w:ascii="仿宋_GB2312" w:eastAsia="仿宋_GB2312"/>
                <w:color w:val="000000"/>
                <w:sz w:val="24"/>
                <w:szCs w:val="24"/>
                <w:highlight w:val="none"/>
              </w:rPr>
            </w:r>
            <w:r/>
          </w:p>
        </w:tc>
        <w:tc>
          <w:tcPr>
            <w:gridSpan w:val="3"/>
            <w:tcW w:w="6998"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法定代表人</w:t>
            </w:r>
            <w:r>
              <w:rPr>
                <w:rFonts w:hint="eastAsia" w:ascii="仿宋_GB2312" w:eastAsia="仿宋_GB2312"/>
                <w:color w:val="000000"/>
                <w:sz w:val="24"/>
                <w:szCs w:val="24"/>
                <w:highlight w:val="none"/>
              </w:rPr>
            </w:r>
            <w:r/>
          </w:p>
        </w:tc>
        <w:tc>
          <w:tcPr>
            <w:tcW w:w="3118"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注册地区</w:t>
            </w:r>
            <w:r>
              <w:rPr>
                <w:rFonts w:hint="eastAsia" w:ascii="仿宋_GB2312" w:eastAsia="仿宋_GB2312"/>
                <w:color w:val="000000"/>
                <w:sz w:val="24"/>
                <w:szCs w:val="24"/>
                <w:highlight w:val="none"/>
              </w:rPr>
            </w:r>
            <w:r/>
          </w:p>
        </w:tc>
        <w:tc>
          <w:tcPr>
            <w:tcW w:w="2604"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地址</w:t>
            </w:r>
            <w:r>
              <w:rPr>
                <w:rFonts w:hint="eastAsia" w:ascii="仿宋_GB2312" w:eastAsia="仿宋_GB2312"/>
                <w:color w:val="000000"/>
                <w:sz w:val="24"/>
                <w:szCs w:val="24"/>
                <w:highlight w:val="none"/>
              </w:rPr>
            </w:r>
            <w:r/>
          </w:p>
        </w:tc>
        <w:tc>
          <w:tcPr>
            <w:tcW w:w="3118"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邮政编码</w:t>
            </w:r>
            <w:r>
              <w:rPr>
                <w:rFonts w:hint="eastAsia" w:ascii="仿宋_GB2312" w:eastAsia="仿宋_GB2312"/>
                <w:color w:val="000000"/>
                <w:sz w:val="24"/>
                <w:szCs w:val="24"/>
                <w:highlight w:val="none"/>
              </w:rPr>
            </w:r>
            <w:r/>
          </w:p>
        </w:tc>
        <w:tc>
          <w:tcPr>
            <w:tcW w:w="2604"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成立时间</w:t>
            </w:r>
            <w:r>
              <w:rPr>
                <w:rFonts w:hint="eastAsia" w:ascii="仿宋_GB2312" w:eastAsia="仿宋_GB2312"/>
                <w:color w:val="000000"/>
                <w:sz w:val="24"/>
                <w:szCs w:val="24"/>
                <w:highlight w:val="none"/>
              </w:rPr>
            </w:r>
            <w:r/>
          </w:p>
        </w:tc>
        <w:tc>
          <w:tcPr>
            <w:tcW w:w="3118"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单位性质</w:t>
            </w:r>
            <w:r>
              <w:rPr>
                <w:rFonts w:hint="eastAsia" w:ascii="仿宋_GB2312" w:eastAsia="仿宋_GB2312"/>
                <w:color w:val="000000"/>
                <w:sz w:val="24"/>
                <w:szCs w:val="24"/>
                <w:highlight w:val="none"/>
              </w:rPr>
            </w:r>
            <w:r/>
          </w:p>
        </w:tc>
        <w:tc>
          <w:tcPr>
            <w:tcW w:w="2604"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注册号或社会信用代码</w:t>
            </w:r>
            <w:r>
              <w:rPr>
                <w:rFonts w:hint="eastAsia" w:ascii="仿宋_GB2312" w:eastAsia="仿宋_GB2312"/>
                <w:color w:val="000000"/>
                <w:sz w:val="24"/>
                <w:szCs w:val="24"/>
                <w:highlight w:val="none"/>
              </w:rPr>
            </w:r>
            <w:r/>
          </w:p>
        </w:tc>
        <w:tc>
          <w:tcPr>
            <w:tcW w:w="3118"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注册资本（万元）</w:t>
            </w:r>
            <w:r>
              <w:rPr>
                <w:rFonts w:hint="eastAsia" w:ascii="仿宋_GB2312" w:eastAsia="仿宋_GB2312"/>
                <w:color w:val="000000"/>
                <w:sz w:val="24"/>
                <w:szCs w:val="24"/>
                <w:highlight w:val="none"/>
              </w:rPr>
            </w:r>
            <w:r/>
          </w:p>
        </w:tc>
        <w:tc>
          <w:tcPr>
            <w:tcW w:w="2604"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开户银行</w:t>
            </w:r>
            <w:r>
              <w:rPr>
                <w:rFonts w:hint="eastAsia" w:ascii="仿宋_GB2312" w:eastAsia="仿宋_GB2312"/>
                <w:color w:val="000000"/>
                <w:sz w:val="24"/>
                <w:szCs w:val="24"/>
                <w:highlight w:val="none"/>
              </w:rPr>
            </w:r>
            <w:r/>
          </w:p>
        </w:tc>
        <w:tc>
          <w:tcPr>
            <w:tcW w:w="3118"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账号</w:t>
            </w:r>
            <w:r>
              <w:rPr>
                <w:rFonts w:hint="eastAsia" w:ascii="仿宋_GB2312" w:eastAsia="仿宋_GB2312"/>
                <w:color w:val="000000"/>
                <w:sz w:val="24"/>
                <w:szCs w:val="24"/>
                <w:highlight w:val="none"/>
              </w:rPr>
            </w:r>
            <w:r/>
          </w:p>
        </w:tc>
        <w:tc>
          <w:tcPr>
            <w:tcW w:w="2604"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联系人</w:t>
            </w:r>
            <w:r>
              <w:rPr>
                <w:rFonts w:hint="eastAsia" w:ascii="仿宋_GB2312" w:eastAsia="仿宋_GB2312"/>
                <w:color w:val="000000"/>
                <w:sz w:val="24"/>
                <w:szCs w:val="24"/>
                <w:highlight w:val="none"/>
              </w:rPr>
            </w:r>
            <w:r/>
          </w:p>
        </w:tc>
        <w:tc>
          <w:tcPr>
            <w:tcW w:w="3118"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联系电话</w:t>
            </w:r>
            <w:r>
              <w:rPr>
                <w:rFonts w:hint="eastAsia" w:ascii="仿宋_GB2312" w:eastAsia="仿宋_GB2312"/>
                <w:color w:val="000000"/>
                <w:sz w:val="24"/>
                <w:szCs w:val="24"/>
                <w:highlight w:val="none"/>
              </w:rPr>
            </w:r>
            <w:r/>
          </w:p>
        </w:tc>
        <w:tc>
          <w:tcPr>
            <w:tcW w:w="2604" w:type="dxa"/>
            <w:vAlign w:val="center"/>
            <w:textDirection w:val="lrTb"/>
            <w:noWrap w:val="false"/>
          </w:tcPr>
          <w:p>
            <w:pPr>
              <w:pStyle w:val="1121"/>
              <w:jc w:val="center"/>
              <w:spacing w:line="6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rHeight w:val="2376"/>
        </w:trPr>
        <w:tc>
          <w:tcPr>
            <w:tcW w:w="1526" w:type="dxa"/>
            <w:vAlign w:val="center"/>
            <w:textDirection w:val="lrTb"/>
            <w:noWrap w:val="false"/>
          </w:tcPr>
          <w:p>
            <w:pPr>
              <w:pStyle w:val="1121"/>
              <w:jc w:val="center"/>
              <w:spacing w:line="56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经营范围</w:t>
            </w:r>
            <w:r>
              <w:rPr>
                <w:rFonts w:hint="eastAsia" w:ascii="仿宋_GB2312" w:eastAsia="仿宋_GB2312"/>
                <w:color w:val="000000"/>
                <w:sz w:val="24"/>
                <w:szCs w:val="24"/>
                <w:highlight w:val="none"/>
              </w:rPr>
            </w:r>
            <w:r/>
          </w:p>
        </w:tc>
        <w:tc>
          <w:tcPr>
            <w:gridSpan w:val="3"/>
            <w:tcW w:w="6998" w:type="dxa"/>
            <w:vAlign w:val="top"/>
            <w:textDirection w:val="lrTb"/>
            <w:noWrap w:val="false"/>
          </w:tcPr>
          <w:p>
            <w:pPr>
              <w:pStyle w:val="1121"/>
              <w:ind w:firstLine="1432"/>
              <w:spacing w:line="56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rHeight w:val="1134"/>
        </w:trPr>
        <w:tc>
          <w:tcPr>
            <w:tcW w:w="1526" w:type="dxa"/>
            <w:vAlign w:val="center"/>
            <w:textDirection w:val="lrTb"/>
            <w:noWrap w:val="false"/>
          </w:tcPr>
          <w:p>
            <w:pPr>
              <w:pStyle w:val="1121"/>
              <w:jc w:val="center"/>
              <w:spacing w:line="56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备注</w:t>
            </w:r>
            <w:r>
              <w:rPr>
                <w:rFonts w:hint="eastAsia" w:ascii="仿宋_GB2312" w:eastAsia="仿宋_GB2312"/>
                <w:color w:val="000000"/>
                <w:sz w:val="24"/>
                <w:szCs w:val="24"/>
                <w:highlight w:val="none"/>
              </w:rPr>
            </w:r>
            <w:r/>
          </w:p>
        </w:tc>
        <w:tc>
          <w:tcPr>
            <w:gridSpan w:val="3"/>
            <w:tcW w:w="6998" w:type="dxa"/>
            <w:vAlign w:val="center"/>
            <w:textDirection w:val="lrTb"/>
            <w:noWrap w:val="false"/>
          </w:tcPr>
          <w:p>
            <w:pPr>
              <w:pStyle w:val="1121"/>
              <w:jc w:val="center"/>
              <w:spacing w:line="500" w:lineRule="exact"/>
              <w:shd w:val="clear" w:color="auto" w:fill="auto"/>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bl>
    <w:p>
      <w:pPr>
        <w:pStyle w:val="1121"/>
        <w:jc w:val="center"/>
        <w:spacing w:line="560" w:lineRule="exact"/>
        <w:shd w:val="clear" w:color="auto" w:fill="auto"/>
        <w:rPr>
          <w:rFonts w:hint="eastAsia" w:ascii="方正大标宋简体" w:eastAsia="方正大标宋简体"/>
          <w:bCs/>
          <w:color w:val="000000"/>
          <w:sz w:val="32"/>
          <w:szCs w:val="32"/>
          <w:highlight w:val="none"/>
        </w:rPr>
      </w:pPr>
      <w:r>
        <w:rPr>
          <w:rFonts w:hint="eastAsia" w:ascii="方正大标宋简体" w:eastAsia="方正大标宋简体"/>
          <w:bCs/>
          <w:color w:val="000000"/>
          <w:sz w:val="32"/>
          <w:szCs w:val="32"/>
          <w:highlight w:val="none"/>
        </w:rPr>
      </w:r>
      <w:r/>
    </w:p>
    <w:p>
      <w:pPr>
        <w:pStyle w:val="1160"/>
        <w:shd w:val="clear" w:color="auto" w:fill="auto"/>
        <w:rPr>
          <w:rFonts w:hint="eastAsia"/>
          <w:color w:val="000000"/>
          <w:highlight w:val="none"/>
          <w:lang w:eastAsia="zh-CN"/>
        </w:rPr>
        <w:outlineLvl w:val="1"/>
      </w:pPr>
      <w:r>
        <w:rPr>
          <w:color w:val="000000"/>
          <w:highlight w:val="none"/>
        </w:rPr>
        <w:br w:type="page" w:clear="all"/>
      </w:r>
      <w:bookmarkStart w:id="125" w:name="_Toc514054487"/>
      <w:r/>
      <w:bookmarkStart w:id="126" w:name="_Toc30260_WPSOffice_Level2"/>
      <w:r/>
      <w:bookmarkStart w:id="127" w:name="_Toc15353"/>
      <w:r>
        <w:rPr>
          <w:color w:val="000000"/>
          <w:highlight w:val="none"/>
        </w:rPr>
        <w:t xml:space="preserve">二、</w:t>
      </w:r>
      <w:r>
        <w:rPr>
          <w:rFonts w:hint="eastAsia"/>
          <w:color w:val="000000"/>
          <w:highlight w:val="none"/>
          <w:lang w:val="en-US" w:eastAsia="zh-CN"/>
        </w:rPr>
        <w:t xml:space="preserve">投标</w:t>
      </w:r>
      <w:r>
        <w:rPr>
          <w:color w:val="000000"/>
          <w:highlight w:val="none"/>
        </w:rPr>
        <w:t xml:space="preserve">人资质</w:t>
      </w:r>
      <w:bookmarkEnd w:id="125"/>
      <w:r/>
      <w:bookmarkEnd w:id="126"/>
      <w:r>
        <w:rPr>
          <w:rFonts w:hint="eastAsia"/>
          <w:color w:val="000000"/>
          <w:highlight w:val="none"/>
          <w:lang w:eastAsia="zh-CN"/>
        </w:rPr>
        <w:t xml:space="preserve">（</w:t>
      </w:r>
      <w:r>
        <w:rPr>
          <w:rFonts w:hint="eastAsia"/>
          <w:color w:val="000000"/>
          <w:highlight w:val="none"/>
          <w:lang w:val="en-US" w:eastAsia="zh-CN"/>
        </w:rPr>
        <w:t xml:space="preserve">按资格要求提供</w:t>
      </w:r>
      <w:r>
        <w:rPr>
          <w:rFonts w:hint="eastAsia"/>
          <w:color w:val="000000"/>
          <w:highlight w:val="none"/>
          <w:lang w:eastAsia="zh-CN"/>
        </w:rPr>
        <w:t xml:space="preserve">）</w:t>
      </w:r>
      <w:bookmarkEnd w:id="127"/>
      <w:r>
        <w:rPr>
          <w:rFonts w:hint="eastAsia"/>
          <w:color w:val="000000"/>
          <w:highlight w:val="none"/>
          <w:lang w:eastAsia="zh-CN"/>
        </w:rPr>
      </w:r>
      <w:r/>
    </w:p>
    <w:p>
      <w:pPr>
        <w:pStyle w:val="1226"/>
        <w:shd w:val="clear" w:color="auto" w:fill="auto"/>
        <w:rPr>
          <w:rFonts w:hint="eastAsia"/>
          <w:color w:val="000000"/>
          <w:highlight w:val="none"/>
        </w:rPr>
      </w:pPr>
      <w:r>
        <w:rPr>
          <w:rFonts w:hint="eastAsia"/>
          <w:color w:val="000000"/>
          <w:highlight w:val="none"/>
        </w:rPr>
        <w:t xml:space="preserve">    </w:t>
      </w:r>
      <w:bookmarkStart w:id="128" w:name="_Toc514054488"/>
      <w:r/>
      <w:bookmarkStart w:id="129" w:name="_Toc21452_WPSOffice_Level2"/>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rFonts w:hint="eastAsia"/>
          <w:color w:val="000000"/>
          <w:highlight w:val="none"/>
        </w:rPr>
      </w:pPr>
      <w:r>
        <w:rPr>
          <w:rFonts w:hint="eastAsia"/>
          <w:color w:val="000000"/>
          <w:highlight w:val="none"/>
        </w:rPr>
      </w:r>
      <w:r/>
    </w:p>
    <w:p>
      <w:pPr>
        <w:pStyle w:val="1226"/>
        <w:shd w:val="clear" w:color="auto" w:fill="auto"/>
        <w:rPr>
          <w:color w:val="000000"/>
          <w:highlight w:val="none"/>
        </w:rPr>
        <w:outlineLvl w:val="1"/>
      </w:pPr>
      <w:r/>
      <w:bookmarkStart w:id="130" w:name="_Toc18935"/>
      <w:r>
        <w:rPr>
          <w:color w:val="000000"/>
          <w:highlight w:val="none"/>
        </w:rPr>
        <w:t xml:space="preserve">三、投标人</w:t>
      </w:r>
      <w:bookmarkEnd w:id="128"/>
      <w:r/>
      <w:bookmarkEnd w:id="129"/>
      <w:r/>
      <w:bookmarkEnd w:id="130"/>
      <w:r>
        <w:rPr>
          <w:rFonts w:hint="eastAsia" w:ascii="宋体" w:hAnsi="宋体" w:cs="Arial"/>
          <w:bCs/>
          <w:color w:val="000000"/>
          <w:highlight w:val="none"/>
        </w:rPr>
        <w:t xml:space="preserve">具有良好的商业信誉和健全的财务会计制度</w:t>
      </w:r>
      <w:r>
        <w:rPr>
          <w:color w:val="000000"/>
          <w:highlight w:val="none"/>
        </w:rPr>
      </w:r>
      <w:r/>
    </w:p>
    <w:p>
      <w:pPr>
        <w:pStyle w:val="1283"/>
        <w:shd w:val="clear" w:color="auto" w:fill="auto"/>
        <w:rPr>
          <w:color w:val="000000"/>
          <w:highlight w:val="none"/>
        </w:rPr>
      </w:pPr>
      <w:r>
        <w:rPr>
          <w:rFonts w:hint="eastAsia" w:ascii="宋体"/>
          <w:bCs/>
          <w:color w:val="000000"/>
          <w:szCs w:val="32"/>
          <w:highlight w:val="none"/>
        </w:rPr>
        <w:t xml:space="preserve">提供符合招标文件要求的资料</w:t>
      </w:r>
      <w:r>
        <w:rPr>
          <w:color w:val="000000"/>
          <w:highlight w:val="none"/>
        </w:rPr>
      </w:r>
      <w:r/>
    </w:p>
    <w:p>
      <w:pPr>
        <w:pStyle w:val="1320"/>
        <w:shd w:val="clear" w:color="auto" w:fill="auto"/>
        <w:rPr>
          <w:color w:val="000000"/>
          <w:highlight w:val="none"/>
        </w:rPr>
        <w:outlineLvl w:val="1"/>
      </w:pPr>
      <w:r>
        <w:rPr>
          <w:color w:val="000000"/>
          <w:highlight w:val="none"/>
        </w:rPr>
        <w:br w:type="page" w:clear="all"/>
      </w:r>
      <w:bookmarkStart w:id="131" w:name="_Toc514054489"/>
      <w:r/>
      <w:bookmarkStart w:id="132" w:name="_Toc29626"/>
      <w:r/>
      <w:bookmarkStart w:id="133" w:name="_Toc11562_WPSOffice_Level2"/>
      <w:r>
        <w:rPr>
          <w:color w:val="000000"/>
          <w:highlight w:val="none"/>
        </w:rPr>
        <w:t xml:space="preserve">四、</w:t>
      </w:r>
      <w:bookmarkEnd w:id="131"/>
      <w:r/>
      <w:bookmarkEnd w:id="132"/>
      <w:r/>
      <w:bookmarkEnd w:id="133"/>
      <w:r>
        <w:rPr>
          <w:rFonts w:hint="eastAsia" w:ascii="宋体" w:hAnsi="宋体" w:cs="Arial"/>
          <w:bCs/>
          <w:color w:val="000000"/>
          <w:highlight w:val="none"/>
        </w:rPr>
        <w:t xml:space="preserve">具有履行合同所必需的设备和专业技术能力</w:t>
      </w:r>
      <w:r>
        <w:rPr>
          <w:color w:val="000000"/>
          <w:highlight w:val="none"/>
        </w:rPr>
      </w:r>
      <w:r/>
    </w:p>
    <w:p>
      <w:pPr>
        <w:pStyle w:val="1057"/>
        <w:jc w:val="center"/>
        <w:spacing w:line="600" w:lineRule="exact"/>
        <w:shd w:val="clear" w:color="auto" w:fill="auto"/>
        <w:rPr>
          <w:rFonts w:hint="eastAsia" w:ascii="宋体" w:hAnsi="宋体"/>
          <w:b/>
          <w:color w:val="000000"/>
          <w:sz w:val="32"/>
          <w:szCs w:val="24"/>
          <w:highlight w:val="none"/>
        </w:rPr>
      </w:pPr>
      <w:r/>
      <w:bookmarkStart w:id="134" w:name="_Toc31740_WPSOffice_Level2"/>
      <w:r>
        <w:rPr>
          <w:rFonts w:hint="eastAsia" w:ascii="宋体" w:hAnsi="宋体"/>
          <w:b/>
          <w:color w:val="000000"/>
          <w:sz w:val="32"/>
          <w:szCs w:val="24"/>
          <w:highlight w:val="none"/>
        </w:rPr>
      </w:r>
      <w:r/>
    </w:p>
    <w:p>
      <w:pPr>
        <w:pStyle w:val="1057"/>
        <w:jc w:val="center"/>
        <w:spacing w:line="600" w:lineRule="exact"/>
        <w:shd w:val="clear" w:color="auto" w:fill="auto"/>
        <w:rPr>
          <w:rFonts w:hint="eastAsia" w:ascii="宋体" w:hAnsi="宋体"/>
          <w:b/>
          <w:color w:val="000000"/>
          <w:sz w:val="32"/>
          <w:szCs w:val="24"/>
          <w:highlight w:val="none"/>
        </w:rPr>
      </w:pPr>
      <w:r>
        <w:rPr>
          <w:rFonts w:hint="eastAsia" w:ascii="宋体" w:hAnsi="宋体"/>
          <w:b/>
          <w:color w:val="000000"/>
          <w:sz w:val="32"/>
          <w:szCs w:val="24"/>
          <w:highlight w:val="none"/>
        </w:rPr>
        <w:t xml:space="preserve">具备履行合同所必需的设备和专业技术能力的声明</w:t>
      </w:r>
      <w:bookmarkEnd w:id="134"/>
      <w:r>
        <w:rPr>
          <w:rFonts w:hint="eastAsia" w:ascii="宋体" w:hAnsi="宋体"/>
          <w:b/>
          <w:color w:val="000000"/>
          <w:sz w:val="32"/>
          <w:szCs w:val="24"/>
          <w:highlight w:val="none"/>
        </w:rPr>
      </w:r>
      <w:r/>
    </w:p>
    <w:p>
      <w:pPr>
        <w:pStyle w:val="1057"/>
        <w:spacing w:line="600" w:lineRule="exact"/>
        <w:shd w:val="clear" w:color="auto" w:fill="auto"/>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r>
      <w:r/>
    </w:p>
    <w:p>
      <w:pPr>
        <w:pStyle w:val="1057"/>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u w:val="single"/>
        </w:rPr>
        <w:t xml:space="preserve">（采购单位）</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1057"/>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   我公司具备履行编号为</w:t>
      </w:r>
      <w:r>
        <w:rPr>
          <w:rFonts w:hint="eastAsia" w:ascii="仿宋_GB2312" w:eastAsia="仿宋_GB2312"/>
          <w:color w:val="000000"/>
          <w:sz w:val="24"/>
          <w:highlight w:val="none"/>
          <w:u w:val="single"/>
        </w:rPr>
        <w:t xml:space="preserve">       号           项目</w:t>
      </w:r>
      <w:r>
        <w:rPr>
          <w:rFonts w:hint="eastAsia" w:ascii="仿宋_GB2312" w:eastAsia="仿宋_GB2312"/>
          <w:color w:val="000000"/>
          <w:sz w:val="24"/>
          <w:highlight w:val="none"/>
        </w:rPr>
        <w:t xml:space="preserve">合同的设备和专业技术能力。</w:t>
      </w:r>
      <w:r>
        <w:rPr>
          <w:rFonts w:hint="eastAsia" w:ascii="仿宋_GB2312" w:eastAsia="仿宋_GB2312"/>
          <w:color w:val="000000"/>
          <w:sz w:val="24"/>
          <w:highlight w:val="none"/>
        </w:rPr>
      </w:r>
      <w:r/>
    </w:p>
    <w:p>
      <w:pPr>
        <w:pStyle w:val="1057"/>
        <w:ind w:firstLine="480"/>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特此声明。</w:t>
      </w:r>
      <w:r>
        <w:rPr>
          <w:rFonts w:hint="eastAsia" w:ascii="仿宋_GB2312" w:eastAsia="仿宋_GB2312"/>
          <w:color w:val="000000"/>
          <w:sz w:val="24"/>
          <w:highlight w:val="none"/>
        </w:rPr>
      </w:r>
      <w:r/>
    </w:p>
    <w:p>
      <w:pPr>
        <w:pStyle w:val="1057"/>
        <w:ind w:firstLine="480"/>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057"/>
        <w:jc w:val="center"/>
        <w:spacing w:line="600" w:lineRule="exact"/>
        <w:shd w:val="clear" w:color="auto" w:fill="auto"/>
        <w:rPr>
          <w:rFonts w:hint="eastAsia" w:ascii="宋体"/>
          <w:b/>
          <w:bCs/>
          <w:color w:val="000000"/>
          <w:sz w:val="32"/>
          <w:szCs w:val="32"/>
          <w:highlight w:val="none"/>
        </w:rPr>
      </w:pPr>
      <w:r>
        <w:rPr>
          <w:rFonts w:hint="eastAsia" w:ascii="宋体"/>
          <w:b/>
          <w:bCs/>
          <w:color w:val="000000"/>
          <w:sz w:val="32"/>
          <w:szCs w:val="32"/>
          <w:highlight w:val="none"/>
        </w:rPr>
      </w:r>
      <w:r/>
    </w:p>
    <w:p>
      <w:pPr>
        <w:pStyle w:val="1050"/>
        <w:ind w:firstLine="629"/>
        <w:spacing w:line="700" w:lineRule="exact"/>
        <w:shd w:val="clear" w:color="auto" w:fill="auto"/>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w:t>
      </w:r>
      <w:r>
        <w:rPr>
          <w:color w:val="000000"/>
          <w:highlight w:val="none"/>
          <w:u w:val="single"/>
        </w:rPr>
        <w:t xml:space="preserve">（加盖公章）</w:t>
      </w:r>
      <w:r>
        <w:rPr>
          <w:rFonts w:hint="eastAsia" w:ascii="仿宋_GB2312" w:eastAsia="仿宋_GB2312"/>
          <w:color w:val="000000"/>
          <w:sz w:val="24"/>
          <w:highlight w:val="none"/>
          <w:u w:val="single"/>
        </w:rPr>
      </w:r>
      <w:r/>
    </w:p>
    <w:p>
      <w:pPr>
        <w:pStyle w:val="1050"/>
        <w:ind w:firstLine="629"/>
        <w:spacing w:line="7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lang w:val="en-US" w:eastAsia="zh-CN"/>
        </w:rPr>
        <w:t xml:space="preserve">或签章</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1253"/>
        <w:ind w:firstLine="720"/>
        <w:shd w:val="clear" w:color="auto" w:fill="auto"/>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1065"/>
        <w:spacing w:after="100" w:afterAutospacing="1"/>
        <w:shd w:val="clear" w:color="auto" w:fill="auto"/>
        <w:rPr>
          <w:rFonts w:hint="eastAsia" w:ascii="宋体" w:hAnsi="宋体" w:cs="Arial"/>
          <w:bCs/>
          <w:color w:val="000000"/>
          <w:highlight w:val="none"/>
        </w:rPr>
      </w:pPr>
      <w:r>
        <w:rPr>
          <w:color w:val="000000"/>
          <w:highlight w:val="none"/>
        </w:rPr>
        <w:br w:type="page" w:clear="all"/>
      </w:r>
      <w:bookmarkStart w:id="135" w:name="_Toc514054490"/>
      <w:r/>
      <w:bookmarkStart w:id="136" w:name="_Toc13419"/>
      <w:r/>
      <w:bookmarkStart w:id="137" w:name="_Toc467_WPSOffice_Level2"/>
      <w:r>
        <w:rPr>
          <w:rFonts w:hint="eastAsia" w:ascii="宋体" w:hAnsi="宋体" w:eastAsia="黑体" w:cs="Arial"/>
          <w:b/>
          <w:bCs/>
          <w:color w:val="000000"/>
          <w:sz w:val="32"/>
          <w:highlight w:val="none"/>
        </w:rPr>
        <w:t xml:space="preserve">五、</w:t>
      </w:r>
      <w:bookmarkEnd w:id="135"/>
      <w:r/>
      <w:bookmarkEnd w:id="136"/>
      <w:r/>
      <w:bookmarkEnd w:id="137"/>
      <w:r>
        <w:rPr>
          <w:rFonts w:hint="eastAsia" w:ascii="宋体" w:hAnsi="宋体" w:eastAsia="黑体" w:cs="Arial"/>
          <w:b/>
          <w:bCs/>
          <w:color w:val="000000"/>
          <w:sz w:val="32"/>
          <w:highlight w:val="none"/>
        </w:rPr>
        <w:t xml:space="preserve">有依法缴纳税收和社会保障资金的良好记录</w:t>
      </w:r>
      <w:r>
        <w:rPr>
          <w:rFonts w:hint="eastAsia" w:ascii="宋体" w:hAnsi="宋体" w:cs="Arial"/>
          <w:bCs/>
          <w:color w:val="000000"/>
          <w:highlight w:val="none"/>
        </w:rPr>
      </w:r>
      <w:r/>
    </w:p>
    <w:p>
      <w:pPr>
        <w:pStyle w:val="1283"/>
        <w:shd w:val="clear" w:color="auto" w:fill="auto"/>
        <w:rPr>
          <w:color w:val="000000"/>
          <w:highlight w:val="none"/>
        </w:rPr>
      </w:pPr>
      <w:r>
        <w:rPr>
          <w:rFonts w:hint="eastAsia" w:ascii="宋体"/>
          <w:bCs/>
          <w:color w:val="000000"/>
          <w:szCs w:val="32"/>
          <w:highlight w:val="none"/>
        </w:rPr>
        <w:t xml:space="preserve">提供符合招标文件要求的资料</w:t>
      </w: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79"/>
        <w:shd w:val="clear" w:color="auto" w:fill="auto"/>
        <w:rPr>
          <w:color w:val="000000"/>
          <w:highlight w:val="none"/>
        </w:rPr>
        <w:outlineLvl w:val="1"/>
      </w:pPr>
      <w:r>
        <w:rPr>
          <w:color w:val="000000"/>
          <w:highlight w:val="none"/>
        </w:rPr>
      </w:r>
      <w:r/>
    </w:p>
    <w:p>
      <w:pPr>
        <w:pStyle w:val="1084"/>
        <w:shd w:val="clear" w:color="auto" w:fill="auto"/>
        <w:rPr>
          <w:color w:val="000000"/>
          <w:highlight w:val="none"/>
        </w:rPr>
        <w:outlineLvl w:val="1"/>
      </w:pPr>
      <w:r/>
      <w:bookmarkStart w:id="138" w:name="_Toc514054491"/>
      <w:r/>
      <w:bookmarkStart w:id="139" w:name="_Toc5571_WPSOffice_Level2"/>
      <w:r/>
      <w:bookmarkStart w:id="140" w:name="_Toc19673"/>
      <w:r>
        <w:rPr>
          <w:color w:val="000000"/>
          <w:highlight w:val="none"/>
        </w:rPr>
        <w:t xml:space="preserve">六、无重大违法行为声明</w:t>
      </w:r>
      <w:bookmarkEnd w:id="138"/>
      <w:r/>
      <w:bookmarkEnd w:id="139"/>
      <w:r/>
      <w:bookmarkEnd w:id="140"/>
      <w:r>
        <w:rPr>
          <w:color w:val="000000"/>
          <w:highlight w:val="none"/>
        </w:rPr>
      </w:r>
      <w:r/>
    </w:p>
    <w:p>
      <w:pPr>
        <w:pStyle w:val="1281"/>
        <w:jc w:val="center"/>
        <w:spacing w:line="580" w:lineRule="exact"/>
        <w:shd w:val="clear" w:color="auto" w:fill="auto"/>
        <w:tabs>
          <w:tab w:val="left" w:pos="1498" w:leader="none"/>
        </w:tabs>
        <w:rPr>
          <w:rFonts w:hint="eastAsia"/>
          <w:b/>
          <w:color w:val="000000"/>
          <w:sz w:val="32"/>
          <w:szCs w:val="32"/>
          <w:highlight w:val="none"/>
        </w:rPr>
      </w:pPr>
      <w:r/>
      <w:bookmarkStart w:id="141" w:name="_Toc7575_WPSOffice_Level2"/>
      <w:r>
        <w:rPr>
          <w:rFonts w:hint="eastAsia"/>
          <w:b/>
          <w:color w:val="000000"/>
          <w:sz w:val="32"/>
          <w:szCs w:val="32"/>
          <w:highlight w:val="none"/>
        </w:rPr>
        <w:t xml:space="preserve">无重大违法行为声明</w:t>
      </w:r>
      <w:bookmarkEnd w:id="141"/>
      <w:r>
        <w:rPr>
          <w:rFonts w:hint="eastAsia"/>
          <w:b/>
          <w:color w:val="000000"/>
          <w:sz w:val="32"/>
          <w:szCs w:val="32"/>
          <w:highlight w:val="none"/>
        </w:rPr>
      </w:r>
      <w:r/>
    </w:p>
    <w:p>
      <w:pPr>
        <w:pStyle w:val="1281"/>
        <w:spacing w:line="580" w:lineRule="exact"/>
        <w:shd w:val="clear" w:color="auto" w:fill="auto"/>
        <w:tabs>
          <w:tab w:val="left" w:pos="1498" w:leader="none"/>
        </w:tabs>
        <w:rPr>
          <w:rFonts w:hint="eastAsia" w:ascii="仿宋_GB2312" w:eastAsia="仿宋_GB2312"/>
          <w:color w:val="000000"/>
          <w:sz w:val="24"/>
          <w:highlight w:val="none"/>
        </w:rPr>
      </w:pPr>
      <w:r>
        <w:rPr>
          <w:rFonts w:hint="eastAsia"/>
          <w:color w:val="000000"/>
          <w:sz w:val="24"/>
          <w:highlight w:val="none"/>
          <w:u w:val="single"/>
        </w:rPr>
        <w:t xml:space="preserve">   （采购人</w:t>
      </w:r>
      <w:r>
        <w:rPr>
          <w:color w:val="000000"/>
          <w:sz w:val="24"/>
          <w:highlight w:val="none"/>
          <w:u w:val="single"/>
        </w:rPr>
        <w:t xml:space="preserve">名称）</w:t>
      </w:r>
      <w:r>
        <w:rPr>
          <w:rFonts w:hint="eastAsia"/>
          <w:color w:val="000000"/>
          <w:sz w:val="24"/>
          <w:highlight w:val="none"/>
          <w:u w:val="single"/>
        </w:rPr>
        <w:t xml:space="preserve">    </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1281"/>
        <w:ind w:firstLine="600"/>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我公司在参加编号为</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号</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项目的投标活动前3年内，</w:t>
      </w:r>
      <w:r>
        <w:rPr>
          <w:rFonts w:ascii="仿宋_GB2312" w:eastAsia="仿宋_GB2312"/>
          <w:color w:val="000000"/>
          <w:sz w:val="24"/>
          <w:highlight w:val="none"/>
        </w:rPr>
        <w:t xml:space="preserve">在经营活动中没有重大违法记录</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1281"/>
        <w:ind w:firstLine="600"/>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特此声明。</w:t>
      </w:r>
      <w:r>
        <w:rPr>
          <w:rFonts w:hint="eastAsia" w:ascii="仿宋_GB2312" w:eastAsia="仿宋_GB2312"/>
          <w:color w:val="000000"/>
          <w:sz w:val="24"/>
          <w:highlight w:val="none"/>
        </w:rPr>
      </w:r>
      <w:r/>
    </w:p>
    <w:p>
      <w:pPr>
        <w:pStyle w:val="1281"/>
        <w:ind w:firstLine="600"/>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281"/>
        <w:ind w:firstLine="600"/>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注：重大违法记录，是指供应商因违法经营受到刑事处罚或者责令停产停业、吊销许可证或者执照、较大数额罚款等行政处罚。</w:t>
      </w:r>
      <w:r>
        <w:rPr>
          <w:rFonts w:hint="eastAsia" w:ascii="仿宋_GB2312" w:eastAsia="仿宋_GB2312"/>
          <w:color w:val="000000"/>
          <w:sz w:val="24"/>
          <w:highlight w:val="none"/>
        </w:rPr>
      </w:r>
      <w:r/>
    </w:p>
    <w:p>
      <w:pPr>
        <w:pStyle w:val="1281"/>
        <w:ind w:firstLine="600"/>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281"/>
        <w:ind w:firstLine="600"/>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050"/>
        <w:ind w:firstLine="629"/>
        <w:spacing w:line="700" w:lineRule="exact"/>
        <w:shd w:val="clear" w:color="auto" w:fill="auto"/>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color w:val="000000"/>
          <w:highlight w:val="none"/>
          <w:u w:val="single"/>
        </w:rPr>
        <w:t xml:space="preserve">（公章）</w:t>
      </w:r>
      <w:r>
        <w:rPr>
          <w:rFonts w:hint="eastAsia" w:ascii="仿宋_GB2312" w:eastAsia="仿宋_GB2312"/>
          <w:color w:val="000000"/>
          <w:sz w:val="24"/>
          <w:highlight w:val="none"/>
          <w:u w:val="single"/>
        </w:rPr>
      </w:r>
      <w:r/>
    </w:p>
    <w:p>
      <w:pPr>
        <w:pStyle w:val="1050"/>
        <w:ind w:firstLine="629"/>
        <w:spacing w:line="7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lang w:val="en-US" w:eastAsia="zh-CN"/>
        </w:rPr>
        <w:t xml:space="preserve">或签章</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1233"/>
        <w:ind w:firstLine="720"/>
        <w:shd w:val="clear" w:color="auto" w:fill="auto"/>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1039"/>
        <w:shd w:val="clear" w:color="auto" w:fill="auto"/>
        <w:rPr>
          <w:color w:val="000000"/>
          <w:highlight w:val="none"/>
        </w:rPr>
        <w:outlineLvl w:val="1"/>
      </w:pPr>
      <w:r>
        <w:rPr>
          <w:color w:val="000000"/>
          <w:highlight w:val="none"/>
        </w:rPr>
        <w:br w:type="page" w:clear="all"/>
      </w:r>
      <w:bookmarkStart w:id="142" w:name="_Toc31956_WPSOffice_Level2"/>
      <w:r/>
      <w:bookmarkStart w:id="143" w:name="_Toc514054492"/>
      <w:r/>
      <w:bookmarkStart w:id="144" w:name="_Toc30396"/>
      <w:r>
        <w:rPr>
          <w:color w:val="000000"/>
          <w:highlight w:val="none"/>
        </w:rPr>
        <w:t xml:space="preserve">七、投标函</w:t>
      </w:r>
      <w:bookmarkEnd w:id="142"/>
      <w:r/>
      <w:bookmarkEnd w:id="143"/>
      <w:r/>
      <w:bookmarkEnd w:id="144"/>
      <w:r>
        <w:rPr>
          <w:color w:val="000000"/>
          <w:highlight w:val="none"/>
        </w:rPr>
      </w:r>
      <w:r/>
    </w:p>
    <w:p>
      <w:pPr>
        <w:pStyle w:val="1119"/>
        <w:spacing w:line="400" w:lineRule="exact"/>
        <w:shd w:val="clear" w:color="auto" w:fill="auto"/>
        <w:tabs>
          <w:tab w:val="left" w:pos="1498" w:leader="none"/>
        </w:tabs>
        <w:rPr>
          <w:rFonts w:hint="eastAsia" w:ascii="仿宋_GB2312" w:eastAsia="仿宋_GB2312"/>
          <w:color w:val="000000"/>
          <w:sz w:val="24"/>
          <w:szCs w:val="22"/>
          <w:highlight w:val="none"/>
        </w:rPr>
      </w:pPr>
      <w:r/>
      <w:bookmarkStart w:id="145" w:name="_Toc514054493"/>
      <w:r/>
      <w:bookmarkStart w:id="146" w:name="_Toc22395"/>
      <w:r>
        <w:rPr>
          <w:rFonts w:hint="eastAsia"/>
          <w:color w:val="000000"/>
          <w:sz w:val="24"/>
          <w:highlight w:val="none"/>
          <w:u w:val="single"/>
        </w:rPr>
        <w:t xml:space="preserve">                      </w:t>
      </w:r>
      <w:r>
        <w:rPr>
          <w:rFonts w:hint="eastAsia" w:ascii="仿宋_GB2312" w:eastAsia="仿宋_GB2312"/>
          <w:color w:val="000000"/>
          <w:sz w:val="24"/>
          <w:highlight w:val="none"/>
        </w:rPr>
        <w:t xml:space="preserve">：</w:t>
      </w:r>
      <w:r>
        <w:rPr>
          <w:rFonts w:hint="eastAsia" w:ascii="仿宋_GB2312" w:eastAsia="仿宋_GB2312"/>
          <w:color w:val="000000"/>
          <w:sz w:val="24"/>
          <w:szCs w:val="22"/>
          <w:highlight w:val="none"/>
        </w:rPr>
      </w:r>
      <w:r/>
    </w:p>
    <w:p>
      <w:pPr>
        <w:pStyle w:val="1119"/>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color w:val="000000"/>
          <w:sz w:val="24"/>
          <w:highlight w:val="none"/>
        </w:rPr>
        <w:t xml:space="preserve"> </w:t>
      </w:r>
      <w:r>
        <w:rPr>
          <w:rFonts w:hint="eastAsia" w:ascii="仿宋_GB2312" w:eastAsia="仿宋_GB2312"/>
          <w:color w:val="000000"/>
          <w:sz w:val="24"/>
          <w:highlight w:val="none"/>
        </w:rPr>
        <w:t xml:space="preserve">经研究，我们决定参加编号为</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的招标活动并投标，为此，我方郑重声明以下诸点，并负法律责任。</w:t>
      </w:r>
      <w:r>
        <w:rPr>
          <w:rFonts w:hint="eastAsia" w:ascii="仿宋_GB2312" w:eastAsia="仿宋_GB2312"/>
          <w:color w:val="000000"/>
          <w:sz w:val="24"/>
          <w:highlight w:val="none"/>
        </w:rPr>
      </w:r>
      <w:r/>
    </w:p>
    <w:p>
      <w:pPr>
        <w:pStyle w:val="1119"/>
        <w:numPr>
          <w:ilvl w:val="0"/>
          <w:numId w:val="17"/>
        </w:numPr>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经研究招标文件的全部内容后，我方愿按招标文件的规定要求提供所有货物和服务；</w:t>
      </w:r>
      <w:r>
        <w:rPr>
          <w:rFonts w:hint="eastAsia" w:ascii="仿宋_GB2312" w:eastAsia="仿宋_GB2312"/>
          <w:color w:val="000000"/>
          <w:sz w:val="24"/>
          <w:highlight w:val="none"/>
        </w:rPr>
      </w:r>
      <w:r/>
    </w:p>
    <w:p>
      <w:pPr>
        <w:pStyle w:val="1119"/>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二、</w:t>
      </w:r>
      <w:r>
        <w:rPr>
          <w:rFonts w:hint="eastAsia" w:ascii="仿宋_GB2312" w:eastAsia="仿宋_GB2312"/>
          <w:b/>
          <w:bCs/>
          <w:color w:val="000000"/>
          <w:sz w:val="24"/>
          <w:highlight w:val="none"/>
        </w:rPr>
        <w:t xml:space="preserve">我方没有为本采购项目提供整体设计、规范编制，以及项目管理、监理、检测等服务。 </w:t>
      </w:r>
      <w:r>
        <w:rPr>
          <w:rFonts w:hint="eastAsia" w:ascii="仿宋_GB2312" w:eastAsia="仿宋_GB2312"/>
          <w:color w:val="000000"/>
          <w:sz w:val="24"/>
          <w:highlight w:val="none"/>
        </w:rPr>
      </w:r>
      <w:r/>
    </w:p>
    <w:p>
      <w:pPr>
        <w:pStyle w:val="1119"/>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三、我方与参与本次采购活动的其他投标人的法定代表人或委托代理人</w:t>
      </w:r>
      <w:r>
        <w:rPr>
          <w:rFonts w:hint="eastAsia" w:ascii="仿宋_GB2312" w:eastAsia="仿宋_GB2312"/>
          <w:b/>
          <w:bCs/>
          <w:color w:val="000000"/>
          <w:sz w:val="24"/>
          <w:highlight w:val="none"/>
        </w:rPr>
        <w:t xml:space="preserve">无夫妻、直系血亲关系； </w:t>
      </w:r>
      <w:r>
        <w:rPr>
          <w:rFonts w:hint="eastAsia" w:ascii="仿宋_GB2312" w:eastAsia="仿宋_GB2312"/>
          <w:color w:val="000000"/>
          <w:sz w:val="24"/>
          <w:highlight w:val="none"/>
        </w:rPr>
      </w:r>
      <w:r/>
    </w:p>
    <w:p>
      <w:pPr>
        <w:pStyle w:val="1119"/>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四、我方与参与本次采购活动的其他投标人的负责人</w:t>
      </w:r>
      <w:r>
        <w:rPr>
          <w:rFonts w:hint="eastAsia" w:ascii="仿宋_GB2312" w:eastAsia="仿宋_GB2312"/>
          <w:b/>
          <w:bCs/>
          <w:color w:val="000000"/>
          <w:sz w:val="24"/>
          <w:highlight w:val="none"/>
        </w:rPr>
        <w:t xml:space="preserve">不是同一人，也不存在直接控股、管理关系。 </w:t>
      </w:r>
      <w:r>
        <w:rPr>
          <w:rFonts w:hint="eastAsia" w:ascii="仿宋_GB2312" w:eastAsia="仿宋_GB2312"/>
          <w:color w:val="000000"/>
          <w:sz w:val="24"/>
          <w:highlight w:val="none"/>
        </w:rPr>
      </w:r>
      <w:r/>
    </w:p>
    <w:p>
      <w:pPr>
        <w:pStyle w:val="1119"/>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五、我们理解，最低报价不是中标的唯一条件，你们有选择中标人的权利；</w:t>
      </w:r>
      <w:r>
        <w:rPr>
          <w:rFonts w:hint="eastAsia" w:ascii="仿宋_GB2312" w:eastAsia="仿宋_GB2312"/>
          <w:color w:val="000000"/>
          <w:sz w:val="24"/>
          <w:highlight w:val="none"/>
        </w:rPr>
      </w:r>
      <w:r/>
    </w:p>
    <w:p>
      <w:pPr>
        <w:pStyle w:val="1119"/>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rFonts w:hint="eastAsia" w:ascii="仿宋_GB2312" w:eastAsia="仿宋_GB2312"/>
          <w:color w:val="000000"/>
          <w:sz w:val="24"/>
          <w:highlight w:val="none"/>
        </w:rPr>
      </w:r>
      <w:r/>
    </w:p>
    <w:p>
      <w:pPr>
        <w:pStyle w:val="1119"/>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七、一旦我方中标，我方将根据招标文件的规定，严格按照《中华人民共和国民法典》履行自己的责任和义务，并保证于我方承诺的期限内完成项目规定的所有内容。</w:t>
      </w:r>
      <w:r>
        <w:rPr>
          <w:rFonts w:hint="eastAsia"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八、我方同意遵守贵方有关招标投标的各项规定；</w:t>
      </w:r>
      <w:r>
        <w:rPr>
          <w:rFonts w:hint="eastAsia"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九、我方响应招标文件规定的投标有效期。</w:t>
      </w:r>
      <w:r>
        <w:rPr>
          <w:rFonts w:hint="eastAsia"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rFonts w:hint="eastAsia"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十一、与本投标有关的正式联系方式为： </w:t>
      </w:r>
      <w:r>
        <w:rPr>
          <w:rFonts w:hint="eastAsia"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ascii="仿宋_GB2312" w:eastAsia="仿宋_GB2312"/>
          <w:color w:val="000000"/>
          <w:sz w:val="24"/>
          <w:highlight w:val="none"/>
        </w:rPr>
      </w:pPr>
      <w:r>
        <w:rPr>
          <w:rFonts w:hint="eastAsia" w:ascii="仿宋_GB2312" w:eastAsia="仿宋_GB2312"/>
          <w:color w:val="000000"/>
          <w:sz w:val="24"/>
          <w:highlight w:val="none"/>
        </w:rPr>
        <w:t xml:space="preserve">联系人：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地址：</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电话：</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十二、我方正式开户银行和帐号为： </w:t>
      </w:r>
      <w:r>
        <w:rPr>
          <w:rFonts w:hint="eastAsia"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开户银行：</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银行账号：</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投标人名称：</w:t>
      </w:r>
      <w:r>
        <w:rPr>
          <w:color w:val="000000"/>
          <w:highlight w:val="none"/>
          <w:u w:val="single"/>
        </w:rPr>
        <w:t xml:space="preserve">（公章）</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1151"/>
        <w:ind w:firstLine="480"/>
        <w:spacing w:line="400" w:lineRule="exact"/>
        <w:shd w:val="clear" w:color="auto" w:fill="auto"/>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日 期： 年 月 日</w:t>
      </w:r>
      <w:r>
        <w:rPr>
          <w:rFonts w:hint="eastAsia" w:ascii="仿宋_GB2312" w:eastAsia="仿宋_GB2312"/>
          <w:color w:val="000000"/>
          <w:sz w:val="24"/>
          <w:highlight w:val="none"/>
        </w:rPr>
      </w:r>
      <w:r/>
    </w:p>
    <w:p>
      <w:pPr>
        <w:pStyle w:val="1175"/>
        <w:spacing w:line="400" w:lineRule="exact"/>
        <w:shd w:val="clear" w:color="auto" w:fill="auto"/>
        <w:rPr>
          <w:color w:val="000000"/>
          <w:highlight w:val="none"/>
        </w:rPr>
        <w:outlineLvl w:val="1"/>
      </w:pPr>
      <w:r>
        <w:rPr>
          <w:rFonts w:hint="eastAsia" w:ascii="仿宋_GB2312" w:hAnsi="Times New Roman" w:eastAsia="仿宋_GB2312"/>
          <w:color w:val="000000"/>
          <w:sz w:val="24"/>
          <w:highlight w:val="none"/>
          <w:lang w:val="en-US" w:eastAsia="zh-CN"/>
        </w:rPr>
        <w:br w:type="page" w:clear="all"/>
      </w:r>
      <w:r>
        <w:rPr>
          <w:color w:val="000000"/>
          <w:highlight w:val="none"/>
        </w:rPr>
        <w:t xml:space="preserve">八、法定代表人身份证明或授权委托书</w:t>
      </w:r>
      <w:bookmarkEnd w:id="145"/>
      <w:r/>
      <w:bookmarkEnd w:id="146"/>
      <w:r>
        <w:rPr>
          <w:color w:val="000000"/>
          <w:highlight w:val="none"/>
        </w:rPr>
      </w:r>
      <w:r/>
    </w:p>
    <w:p>
      <w:pPr>
        <w:pStyle w:val="1282"/>
        <w:jc w:val="center"/>
        <w:spacing w:line="560" w:lineRule="exact"/>
        <w:shd w:val="clear" w:color="auto" w:fill="auto"/>
        <w:rPr>
          <w:rFonts w:ascii="宋体"/>
          <w:b/>
          <w:bCs/>
          <w:color w:val="000000"/>
          <w:sz w:val="32"/>
          <w:szCs w:val="32"/>
          <w:highlight w:val="none"/>
        </w:rPr>
      </w:pPr>
      <w:r/>
      <w:bookmarkStart w:id="147" w:name="_Toc22626_WPSOffice_Level2"/>
      <w:r>
        <w:rPr>
          <w:rFonts w:ascii="宋体"/>
          <w:b/>
          <w:bCs/>
          <w:color w:val="000000"/>
          <w:sz w:val="32"/>
          <w:szCs w:val="32"/>
          <w:highlight w:val="none"/>
        </w:rPr>
        <w:t xml:space="preserve">法定代表人身份证明</w:t>
      </w:r>
      <w:bookmarkEnd w:id="147"/>
      <w:r>
        <w:rPr>
          <w:rFonts w:ascii="宋体"/>
          <w:b/>
          <w:bCs/>
          <w:color w:val="000000"/>
          <w:sz w:val="32"/>
          <w:szCs w:val="32"/>
          <w:highlight w:val="none"/>
        </w:rPr>
      </w:r>
      <w:r/>
    </w:p>
    <w:p>
      <w:pPr>
        <w:pStyle w:val="1185"/>
        <w:spacing w:line="480" w:lineRule="exact"/>
        <w:shd w:val="clear" w:color="auto" w:fill="auto"/>
        <w:rPr>
          <w:rFonts w:eastAsia="仿宋_GB2312"/>
          <w:color w:val="000000"/>
          <w:sz w:val="24"/>
          <w:highlight w:val="none"/>
        </w:rPr>
      </w:pPr>
      <w:r>
        <w:rPr>
          <w:rFonts w:eastAsia="仿宋_GB2312"/>
          <w:color w:val="000000"/>
          <w:sz w:val="24"/>
          <w:highlight w:val="none"/>
        </w:rPr>
      </w:r>
      <w:r/>
    </w:p>
    <w:p>
      <w:pPr>
        <w:pStyle w:val="1185"/>
        <w:spacing w:line="480" w:lineRule="exact"/>
        <w:shd w:val="clear" w:color="auto" w:fill="auto"/>
        <w:rPr>
          <w:rFonts w:eastAsia="仿宋_GB2312"/>
          <w:color w:val="000000"/>
          <w:sz w:val="24"/>
          <w:highlight w:val="none"/>
        </w:rPr>
      </w:pPr>
      <w:r>
        <w:rPr>
          <w:rFonts w:hint="eastAsia" w:eastAsia="仿宋_GB2312"/>
          <w:color w:val="000000"/>
          <w:sz w:val="24"/>
          <w:highlight w:val="none"/>
        </w:rPr>
        <w:t xml:space="preserve">供应商</w:t>
      </w:r>
      <w:r>
        <w:rPr>
          <w:rFonts w:eastAsia="仿宋_GB2312"/>
          <w:color w:val="000000"/>
          <w:sz w:val="24"/>
          <w:highlight w:val="none"/>
        </w:rPr>
        <w:t xml:space="preserve">名称：</w:t>
      </w:r>
      <w:r>
        <w:rPr>
          <w:rFonts w:eastAsia="仿宋_GB2312"/>
          <w:color w:val="000000"/>
          <w:sz w:val="24"/>
          <w:highlight w:val="none"/>
          <w:u w:val="single"/>
        </w:rPr>
        <w:t xml:space="preserve">                            </w:t>
      </w:r>
      <w:r>
        <w:rPr>
          <w:rFonts w:eastAsia="仿宋_GB2312"/>
          <w:color w:val="000000"/>
          <w:sz w:val="24"/>
          <w:highlight w:val="none"/>
        </w:rPr>
        <w:t xml:space="preserve"> </w:t>
      </w:r>
      <w:r>
        <w:rPr>
          <w:rFonts w:eastAsia="仿宋_GB2312"/>
          <w:color w:val="000000"/>
          <w:sz w:val="24"/>
          <w:highlight w:val="none"/>
        </w:rPr>
      </w:r>
      <w:r/>
    </w:p>
    <w:p>
      <w:pPr>
        <w:pStyle w:val="1185"/>
        <w:spacing w:line="480" w:lineRule="exact"/>
        <w:shd w:val="clear" w:color="auto" w:fill="auto"/>
        <w:rPr>
          <w:rFonts w:eastAsia="仿宋_GB2312"/>
          <w:color w:val="000000"/>
          <w:sz w:val="24"/>
          <w:highlight w:val="none"/>
        </w:rPr>
      </w:pPr>
      <w:r>
        <w:rPr>
          <w:rFonts w:eastAsia="仿宋_GB2312"/>
          <w:color w:val="000000"/>
          <w:sz w:val="24"/>
          <w:highlight w:val="none"/>
        </w:rPr>
        <w:t xml:space="preserve">单位性质：</w:t>
      </w:r>
      <w:r>
        <w:rPr>
          <w:rFonts w:eastAsia="仿宋_GB2312"/>
          <w:color w:val="000000"/>
          <w:sz w:val="24"/>
          <w:highlight w:val="none"/>
          <w:u w:val="single"/>
        </w:rPr>
        <w:t xml:space="preserve">                               </w:t>
      </w:r>
      <w:r>
        <w:rPr>
          <w:rFonts w:eastAsia="仿宋_GB2312"/>
          <w:color w:val="000000"/>
          <w:sz w:val="24"/>
          <w:highlight w:val="none"/>
        </w:rPr>
        <w:t xml:space="preserve"> </w:t>
      </w:r>
      <w:r>
        <w:rPr>
          <w:rFonts w:eastAsia="仿宋_GB2312"/>
          <w:color w:val="000000"/>
          <w:sz w:val="24"/>
          <w:highlight w:val="none"/>
        </w:rPr>
      </w:r>
      <w:r/>
    </w:p>
    <w:p>
      <w:pPr>
        <w:pStyle w:val="1185"/>
        <w:spacing w:line="480" w:lineRule="exact"/>
        <w:shd w:val="clear" w:color="auto" w:fill="auto"/>
        <w:rPr>
          <w:rFonts w:eastAsia="仿宋_GB2312"/>
          <w:color w:val="000000"/>
          <w:sz w:val="24"/>
          <w:highlight w:val="none"/>
        </w:rPr>
      </w:pPr>
      <w:r>
        <w:rPr>
          <w:rFonts w:eastAsia="仿宋_GB2312"/>
          <w:color w:val="000000"/>
          <w:sz w:val="24"/>
          <w:highlight w:val="none"/>
        </w:rPr>
        <w:t xml:space="preserve">地址：</w:t>
      </w:r>
      <w:r>
        <w:rPr>
          <w:rFonts w:eastAsia="仿宋_GB2312"/>
          <w:color w:val="000000"/>
          <w:sz w:val="24"/>
          <w:highlight w:val="none"/>
          <w:u w:val="single"/>
        </w:rPr>
        <w:t xml:space="preserve">                                   </w:t>
      </w:r>
      <w:r>
        <w:rPr>
          <w:rFonts w:eastAsia="仿宋_GB2312"/>
          <w:color w:val="000000"/>
          <w:sz w:val="24"/>
          <w:highlight w:val="none"/>
        </w:rPr>
      </w:r>
      <w:r/>
    </w:p>
    <w:p>
      <w:pPr>
        <w:pStyle w:val="1185"/>
        <w:spacing w:line="480" w:lineRule="exact"/>
        <w:shd w:val="clear" w:color="auto" w:fill="auto"/>
        <w:rPr>
          <w:rFonts w:eastAsia="仿宋_GB2312"/>
          <w:color w:val="000000"/>
          <w:sz w:val="24"/>
          <w:highlight w:val="none"/>
        </w:rPr>
      </w:pPr>
      <w:r>
        <w:rPr>
          <w:rFonts w:eastAsia="仿宋_GB2312"/>
          <w:color w:val="000000"/>
          <w:sz w:val="24"/>
          <w:highlight w:val="none"/>
        </w:rPr>
        <w:t xml:space="preserve">成立时间：</w:t>
      </w:r>
      <w:r>
        <w:rPr>
          <w:rFonts w:eastAsia="仿宋_GB2312"/>
          <w:color w:val="000000"/>
          <w:sz w:val="24"/>
          <w:highlight w:val="none"/>
          <w:u w:val="single"/>
        </w:rPr>
        <w:t xml:space="preserve">         </w:t>
      </w:r>
      <w:r>
        <w:rPr>
          <w:rFonts w:eastAsia="仿宋_GB2312"/>
          <w:color w:val="000000"/>
          <w:sz w:val="24"/>
          <w:highlight w:val="none"/>
        </w:rPr>
        <w:t xml:space="preserve"> 年</w:t>
      </w:r>
      <w:r>
        <w:rPr>
          <w:rFonts w:eastAsia="仿宋_GB2312"/>
          <w:color w:val="000000"/>
          <w:sz w:val="24"/>
          <w:highlight w:val="none"/>
          <w:u w:val="single"/>
        </w:rPr>
        <w:t xml:space="preserve">       </w:t>
      </w:r>
      <w:r>
        <w:rPr>
          <w:rFonts w:eastAsia="仿宋_GB2312"/>
          <w:color w:val="000000"/>
          <w:sz w:val="24"/>
          <w:highlight w:val="none"/>
        </w:rPr>
        <w:t xml:space="preserve"> 月</w:t>
      </w:r>
      <w:r>
        <w:rPr>
          <w:rFonts w:eastAsia="仿宋_GB2312"/>
          <w:color w:val="000000"/>
          <w:sz w:val="24"/>
          <w:highlight w:val="none"/>
          <w:u w:val="single"/>
        </w:rPr>
        <w:t xml:space="preserve">       </w:t>
      </w:r>
      <w:r>
        <w:rPr>
          <w:rFonts w:eastAsia="仿宋_GB2312"/>
          <w:color w:val="000000"/>
          <w:sz w:val="24"/>
          <w:highlight w:val="none"/>
        </w:rPr>
        <w:t xml:space="preserve"> 日</w:t>
      </w:r>
      <w:r>
        <w:rPr>
          <w:rFonts w:eastAsia="仿宋_GB2312"/>
          <w:color w:val="000000"/>
          <w:sz w:val="24"/>
          <w:highlight w:val="none"/>
        </w:rPr>
      </w:r>
      <w:r/>
    </w:p>
    <w:p>
      <w:pPr>
        <w:pStyle w:val="1185"/>
        <w:spacing w:line="480" w:lineRule="exact"/>
        <w:shd w:val="clear" w:color="auto" w:fill="auto"/>
        <w:rPr>
          <w:rFonts w:eastAsia="仿宋_GB2312"/>
          <w:color w:val="000000"/>
          <w:sz w:val="24"/>
          <w:highlight w:val="none"/>
        </w:rPr>
      </w:pPr>
      <w:r>
        <w:rPr>
          <w:rFonts w:eastAsia="仿宋_GB2312"/>
          <w:color w:val="000000"/>
          <w:sz w:val="24"/>
          <w:highlight w:val="none"/>
        </w:rPr>
        <w:t xml:space="preserve">经营期限：</w:t>
      </w:r>
      <w:r>
        <w:rPr>
          <w:rFonts w:eastAsia="仿宋_GB2312"/>
          <w:color w:val="000000"/>
          <w:sz w:val="24"/>
          <w:highlight w:val="none"/>
          <w:u w:val="single"/>
        </w:rPr>
        <w:t xml:space="preserve">                               </w:t>
      </w:r>
      <w:r>
        <w:rPr>
          <w:rFonts w:eastAsia="仿宋_GB2312"/>
          <w:color w:val="000000"/>
          <w:sz w:val="24"/>
          <w:highlight w:val="none"/>
        </w:rPr>
      </w:r>
      <w:r/>
    </w:p>
    <w:p>
      <w:pPr>
        <w:pStyle w:val="1185"/>
        <w:spacing w:line="480" w:lineRule="exact"/>
        <w:shd w:val="clear" w:color="auto" w:fill="auto"/>
        <w:rPr>
          <w:rFonts w:hint="eastAsia" w:eastAsia="仿宋_GB2312"/>
          <w:color w:val="000000"/>
          <w:sz w:val="24"/>
          <w:highlight w:val="none"/>
        </w:rPr>
      </w:pPr>
      <w:r>
        <w:rPr>
          <w:rFonts w:eastAsia="仿宋_GB2312"/>
          <w:color w:val="000000"/>
          <w:sz w:val="24"/>
          <w:highlight w:val="none"/>
        </w:rPr>
        <w:t xml:space="preserve">姓名：</w:t>
      </w:r>
      <w:r>
        <w:rPr>
          <w:rFonts w:eastAsia="仿宋_GB2312"/>
          <w:color w:val="000000"/>
          <w:sz w:val="24"/>
          <w:highlight w:val="none"/>
          <w:u w:val="single"/>
        </w:rPr>
        <w:t xml:space="preserve">        </w:t>
      </w:r>
      <w:r>
        <w:rPr>
          <w:rFonts w:eastAsia="仿宋_GB2312"/>
          <w:color w:val="000000"/>
          <w:sz w:val="24"/>
          <w:highlight w:val="none"/>
        </w:rPr>
        <w:t xml:space="preserve"> 性别：</w:t>
      </w:r>
      <w:r>
        <w:rPr>
          <w:rFonts w:eastAsia="仿宋_GB2312"/>
          <w:color w:val="000000"/>
          <w:sz w:val="24"/>
          <w:highlight w:val="none"/>
          <w:u w:val="single"/>
        </w:rPr>
        <w:t xml:space="preserve">         </w:t>
      </w:r>
      <w:r>
        <w:rPr>
          <w:rFonts w:eastAsia="仿宋_GB2312"/>
          <w:color w:val="000000"/>
          <w:sz w:val="24"/>
          <w:highlight w:val="none"/>
        </w:rPr>
        <w:t xml:space="preserve"> 年龄：</w:t>
      </w:r>
      <w:r>
        <w:rPr>
          <w:rFonts w:eastAsia="仿宋_GB2312"/>
          <w:color w:val="000000"/>
          <w:sz w:val="24"/>
          <w:highlight w:val="none"/>
          <w:u w:val="single"/>
        </w:rPr>
        <w:t xml:space="preserve">        </w:t>
      </w:r>
      <w:r>
        <w:rPr>
          <w:rFonts w:eastAsia="仿宋_GB2312"/>
          <w:color w:val="000000"/>
          <w:sz w:val="24"/>
          <w:highlight w:val="none"/>
        </w:rPr>
        <w:t xml:space="preserve">职务：</w:t>
      </w:r>
      <w:r>
        <w:rPr>
          <w:rFonts w:eastAsia="仿宋_GB2312"/>
          <w:color w:val="000000"/>
          <w:sz w:val="24"/>
          <w:highlight w:val="none"/>
          <w:u w:val="single"/>
        </w:rPr>
        <w:t xml:space="preserve">        </w:t>
      </w:r>
      <w:r>
        <w:rPr>
          <w:rFonts w:eastAsia="仿宋_GB2312"/>
          <w:color w:val="000000"/>
          <w:sz w:val="24"/>
          <w:highlight w:val="none"/>
        </w:rPr>
        <w:t xml:space="preserve">系</w:t>
      </w:r>
      <w:r>
        <w:rPr>
          <w:rFonts w:hint="eastAsia" w:eastAsia="仿宋_GB2312"/>
          <w:color w:val="000000"/>
          <w:sz w:val="24"/>
          <w:highlight w:val="none"/>
        </w:rPr>
      </w:r>
      <w:r/>
    </w:p>
    <w:p>
      <w:pPr>
        <w:pStyle w:val="1185"/>
        <w:spacing w:line="480" w:lineRule="exact"/>
        <w:shd w:val="clear" w:color="auto" w:fill="auto"/>
        <w:rPr>
          <w:rFonts w:eastAsia="仿宋_GB2312"/>
          <w:color w:val="000000"/>
          <w:sz w:val="24"/>
          <w:highlight w:val="none"/>
        </w:rPr>
      </w:pPr>
      <w:r>
        <w:rPr>
          <w:rFonts w:eastAsia="仿宋_GB2312"/>
          <w:color w:val="000000"/>
          <w:sz w:val="24"/>
          <w:highlight w:val="none"/>
          <w:u w:val="single"/>
        </w:rPr>
        <w:t xml:space="preserve">                             </w:t>
      </w:r>
      <w:r>
        <w:rPr>
          <w:rFonts w:eastAsia="仿宋_GB2312"/>
          <w:color w:val="000000"/>
          <w:sz w:val="24"/>
          <w:highlight w:val="none"/>
        </w:rPr>
        <w:t xml:space="preserve"> （投标人名称）的法定代表人。</w:t>
      </w:r>
      <w:r>
        <w:rPr>
          <w:rFonts w:eastAsia="仿宋_GB2312"/>
          <w:color w:val="000000"/>
          <w:sz w:val="24"/>
          <w:highlight w:val="none"/>
        </w:rPr>
      </w:r>
      <w:r/>
    </w:p>
    <w:p>
      <w:pPr>
        <w:pStyle w:val="1185"/>
        <w:ind w:firstLine="480"/>
        <w:spacing w:line="480" w:lineRule="exact"/>
        <w:shd w:val="clear" w:color="auto" w:fill="auto"/>
        <w:rPr>
          <w:rFonts w:hint="eastAsia" w:eastAsia="仿宋_GB2312"/>
          <w:color w:val="000000"/>
          <w:sz w:val="24"/>
          <w:highlight w:val="none"/>
        </w:rPr>
      </w:pPr>
      <w:r>
        <w:rPr>
          <w:rFonts w:eastAsia="仿宋_GB2312"/>
          <w:color w:val="000000"/>
          <w:sz w:val="24"/>
          <w:highlight w:val="none"/>
        </w:rPr>
        <w:t xml:space="preserve">特此证明。</w:t>
      </w:r>
      <w:r>
        <w:rPr>
          <w:rFonts w:hint="eastAsia" w:eastAsia="仿宋_GB2312"/>
          <w:color w:val="000000"/>
          <w:sz w:val="24"/>
          <w:highlight w:val="none"/>
        </w:rPr>
      </w:r>
      <w:r/>
    </w:p>
    <w:p>
      <w:pPr>
        <w:pStyle w:val="1313"/>
        <w:spacing w:line="600" w:lineRule="exact"/>
        <w:shd w:val="clear" w:color="auto" w:fill="auto"/>
        <w:rPr>
          <w:rFonts w:hint="eastAsia" w:ascii="仿宋_GB2312" w:eastAsia="仿宋_GB2312"/>
          <w:b/>
          <w:color w:val="000000"/>
          <w:sz w:val="24"/>
          <w:highlight w:val="none"/>
        </w:rPr>
      </w:pPr>
      <w:r>
        <w:rPr>
          <w:rFonts w:hint="eastAsia" w:ascii="仿宋_GB2312" w:eastAsia="仿宋_GB2312"/>
          <w:b/>
          <w:color w:val="000000"/>
          <w:sz w:val="24"/>
          <w:highlight w:val="none"/>
        </w:rPr>
        <w:t xml:space="preserve">（法定代表人出席开标会议的提供，未出席的可不提供。附法定代表人身份证、扫描件。）</w:t>
      </w:r>
      <w:r>
        <w:rPr>
          <w:rFonts w:hint="eastAsia" w:ascii="仿宋_GB2312" w:eastAsia="仿宋_GB2312"/>
          <w:b/>
          <w:color w:val="000000"/>
          <w:sz w:val="24"/>
          <w:highlight w:val="none"/>
        </w:rPr>
      </w:r>
      <w:r/>
    </w:p>
    <w:p>
      <w:pPr>
        <w:pStyle w:val="1185"/>
        <w:ind w:firstLine="480"/>
        <w:spacing w:line="480" w:lineRule="exact"/>
        <w:shd w:val="clear" w:color="auto" w:fill="auto"/>
        <w:rPr>
          <w:rFonts w:eastAsia="仿宋_GB2312"/>
          <w:color w:val="000000"/>
          <w:sz w:val="24"/>
          <w:highlight w:val="none"/>
        </w:rPr>
      </w:pPr>
      <w:r>
        <w:rPr>
          <w:rFonts w:eastAsia="仿宋_GB2312"/>
          <w:color w:val="000000"/>
          <w:sz w:val="24"/>
          <w:highlight w:val="none"/>
        </w:rPr>
      </w:r>
      <w:r/>
    </w:p>
    <w:p>
      <w:pPr>
        <w:pStyle w:val="1185"/>
        <w:jc w:val="right"/>
        <w:spacing w:line="480" w:lineRule="exact"/>
        <w:shd w:val="clear" w:color="auto" w:fill="auto"/>
        <w:rPr>
          <w:rFonts w:eastAsia="仿宋_GB2312"/>
          <w:color w:val="000000"/>
          <w:sz w:val="24"/>
          <w:highlight w:val="none"/>
        </w:rPr>
      </w:pPr>
      <w:r>
        <w:rPr>
          <w:rFonts w:eastAsia="仿宋_GB2312"/>
          <w:color w:val="000000"/>
          <w:sz w:val="24"/>
          <w:highlight w:val="none"/>
        </w:rPr>
        <w:t xml:space="preserve">                       </w:t>
      </w:r>
      <w:r>
        <w:rPr>
          <w:rFonts w:eastAsia="仿宋_GB2312"/>
          <w:color w:val="000000"/>
          <w:sz w:val="24"/>
          <w:highlight w:val="none"/>
        </w:rPr>
      </w:r>
      <w:r/>
    </w:p>
    <w:p>
      <w:pPr>
        <w:pStyle w:val="1185"/>
        <w:jc w:val="right"/>
        <w:spacing w:line="480" w:lineRule="exact"/>
        <w:shd w:val="clear" w:color="auto" w:fill="auto"/>
        <w:rPr>
          <w:rFonts w:eastAsia="仿宋_GB2312"/>
          <w:color w:val="000000"/>
          <w:sz w:val="24"/>
          <w:highlight w:val="none"/>
        </w:rPr>
      </w:pPr>
      <w:r>
        <w:rPr>
          <w:rFonts w:eastAsia="仿宋_GB2312"/>
          <w:color w:val="000000"/>
          <w:sz w:val="24"/>
          <w:highlight w:val="none"/>
        </w:rPr>
      </w:r>
      <w:r/>
    </w:p>
    <w:p>
      <w:pPr>
        <w:pStyle w:val="1185"/>
        <w:jc w:val="right"/>
        <w:spacing w:line="480" w:lineRule="exact"/>
        <w:shd w:val="clear" w:color="auto" w:fill="auto"/>
        <w:rPr>
          <w:rFonts w:eastAsia="仿宋_GB2312"/>
          <w:color w:val="000000"/>
          <w:sz w:val="24"/>
          <w:highlight w:val="none"/>
        </w:rPr>
      </w:pPr>
      <w:r>
        <w:rPr>
          <w:rFonts w:eastAsia="仿宋_GB2312"/>
          <w:color w:val="000000"/>
          <w:sz w:val="24"/>
          <w:highlight w:val="none"/>
        </w:rPr>
      </w:r>
      <w:r/>
    </w:p>
    <w:p>
      <w:pPr>
        <w:pStyle w:val="1313"/>
        <w:ind w:firstLine="445"/>
        <w:jc w:val="right"/>
        <w:spacing w:line="7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color w:val="000000"/>
          <w:highlight w:val="none"/>
          <w:u w:val="single"/>
        </w:rPr>
        <w:t xml:space="preserve">（公章）</w:t>
      </w:r>
      <w:r>
        <w:rPr>
          <w:rFonts w:hint="eastAsia" w:ascii="仿宋_GB2312" w:eastAsia="仿宋_GB2312"/>
          <w:color w:val="000000"/>
          <w:sz w:val="24"/>
          <w:highlight w:val="none"/>
        </w:rPr>
      </w:r>
      <w:r/>
    </w:p>
    <w:p>
      <w:pPr>
        <w:pStyle w:val="1282"/>
        <w:ind w:firstLine="424"/>
        <w:jc w:val="right"/>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lang w:val="en-US" w:eastAsia="zh-CN"/>
        </w:rPr>
        <w:t xml:space="preserve">或签章</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1204"/>
        <w:ind w:firstLine="988"/>
        <w:jc w:val="right"/>
        <w:spacing w:line="700" w:lineRule="exact"/>
        <w:shd w:val="clear" w:color="auto" w:fill="auto"/>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ascii="仿宋_GB2312" w:eastAsia="仿宋_GB2312"/>
          <w:color w:val="000000"/>
          <w:sz w:val="24"/>
          <w:highlight w:val="none"/>
          <w:u w:val="single"/>
        </w:rPr>
      </w:r>
      <w:r/>
    </w:p>
    <w:p>
      <w:pPr>
        <w:pStyle w:val="1282"/>
        <w:jc w:val="center"/>
        <w:spacing w:line="560" w:lineRule="exact"/>
        <w:shd w:val="clear" w:color="auto" w:fill="auto"/>
        <w:rPr>
          <w:rFonts w:hint="eastAsia" w:ascii="宋体"/>
          <w:b/>
          <w:bCs/>
          <w:color w:val="000000"/>
          <w:sz w:val="32"/>
          <w:szCs w:val="32"/>
          <w:highlight w:val="none"/>
        </w:rPr>
      </w:pPr>
      <w:r>
        <w:rPr>
          <w:rFonts w:ascii="仿宋_GB2312" w:eastAsia="仿宋_GB2312"/>
          <w:color w:val="000000"/>
          <w:sz w:val="24"/>
          <w:highlight w:val="none"/>
        </w:rPr>
        <w:br w:type="page" w:clear="all"/>
      </w:r>
      <w:bookmarkStart w:id="148" w:name="_Toc406_WPSOffice_Level2"/>
      <w:r>
        <w:rPr>
          <w:rFonts w:hint="eastAsia" w:ascii="宋体"/>
          <w:b/>
          <w:bCs/>
          <w:color w:val="000000"/>
          <w:sz w:val="32"/>
          <w:szCs w:val="32"/>
          <w:highlight w:val="none"/>
        </w:rPr>
        <w:t xml:space="preserve">法定代表人授权委托书</w:t>
      </w:r>
      <w:bookmarkEnd w:id="148"/>
      <w:r>
        <w:rPr>
          <w:rFonts w:hint="eastAsia" w:ascii="宋体"/>
          <w:b/>
          <w:bCs/>
          <w:color w:val="000000"/>
          <w:sz w:val="32"/>
          <w:szCs w:val="32"/>
          <w:highlight w:val="none"/>
        </w:rPr>
      </w:r>
      <w:r/>
    </w:p>
    <w:p>
      <w:pPr>
        <w:pStyle w:val="1282"/>
        <w:spacing w:line="600" w:lineRule="exact"/>
        <w:shd w:val="clear" w:color="auto" w:fill="auto"/>
        <w:rPr>
          <w:rFonts w:hint="eastAsia" w:ascii="方正大标宋简体" w:eastAsia="方正大标宋简体"/>
          <w:color w:val="000000"/>
          <w:sz w:val="32"/>
          <w:highlight w:val="none"/>
        </w:rPr>
      </w:pPr>
      <w:r>
        <w:rPr>
          <w:rFonts w:hint="eastAsia" w:ascii="方正大标宋简体" w:eastAsia="方正大标宋简体"/>
          <w:color w:val="000000"/>
          <w:sz w:val="32"/>
          <w:highlight w:val="none"/>
        </w:rPr>
      </w:r>
      <w:r/>
    </w:p>
    <w:p>
      <w:pPr>
        <w:pStyle w:val="1185"/>
        <w:shd w:val="clear" w:color="auto" w:fill="auto"/>
        <w:rPr>
          <w:rFonts w:hint="eastAsia"/>
          <w:color w:val="000000"/>
          <w:sz w:val="32"/>
          <w:szCs w:val="32"/>
          <w:highlight w:val="none"/>
          <w:u w:val="single"/>
        </w:rPr>
      </w:pPr>
      <w:r>
        <w:rPr>
          <w:rFonts w:hint="eastAsia"/>
          <w:color w:val="000000"/>
          <w:sz w:val="32"/>
          <w:szCs w:val="32"/>
          <w:highlight w:val="none"/>
          <w:u w:val="single"/>
        </w:rPr>
        <w:t xml:space="preserve">          </w:t>
      </w:r>
      <w:r>
        <w:rPr>
          <w:rFonts w:hint="eastAsia" w:ascii="仿宋_GB2312" w:eastAsia="仿宋_GB2312"/>
          <w:color w:val="000000"/>
          <w:sz w:val="24"/>
          <w:highlight w:val="none"/>
          <w:u w:val="single"/>
        </w:rPr>
        <w:t xml:space="preserve">（采购人名称）</w:t>
      </w:r>
      <w:r>
        <w:rPr>
          <w:rFonts w:hint="eastAsia" w:ascii="仿宋_GB2312" w:eastAsia="仿宋_GB2312"/>
          <w:color w:val="000000"/>
          <w:sz w:val="24"/>
          <w:highlight w:val="none"/>
        </w:rPr>
        <w:t xml:space="preserve">：</w:t>
      </w:r>
      <w:r>
        <w:rPr>
          <w:rFonts w:hint="eastAsia"/>
          <w:color w:val="000000"/>
          <w:sz w:val="32"/>
          <w:szCs w:val="32"/>
          <w:highlight w:val="none"/>
          <w:u w:val="single"/>
        </w:rPr>
      </w:r>
      <w:r/>
    </w:p>
    <w:p>
      <w:pPr>
        <w:pStyle w:val="1282"/>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u w:val="single"/>
        </w:rPr>
        <w:t xml:space="preserve">      （单位名称）</w:t>
      </w:r>
      <w:r>
        <w:rPr>
          <w:rFonts w:hint="eastAsia" w:ascii="仿宋_GB2312" w:eastAsia="仿宋_GB2312"/>
          <w:color w:val="000000"/>
          <w:sz w:val="24"/>
          <w:highlight w:val="none"/>
        </w:rPr>
        <w:t xml:space="preserve">法定代表人授权我单位</w:t>
      </w:r>
      <w:r>
        <w:rPr>
          <w:rFonts w:hint="eastAsia" w:ascii="仿宋_GB2312" w:eastAsia="仿宋_GB2312"/>
          <w:color w:val="000000"/>
          <w:sz w:val="24"/>
          <w:highlight w:val="none"/>
          <w:u w:val="single"/>
        </w:rPr>
        <w:t xml:space="preserve">    （职务或职称）   （姓名）</w:t>
      </w:r>
      <w:r>
        <w:rPr>
          <w:rFonts w:hint="eastAsia" w:ascii="仿宋_GB2312" w:eastAsia="仿宋_GB2312"/>
          <w:color w:val="000000"/>
          <w:sz w:val="24"/>
          <w:highlight w:val="none"/>
        </w:rPr>
        <w:t xml:space="preserve">为我单位本次授权代理人，全权处理此次</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公开招标</w:t>
      </w:r>
      <w:r>
        <w:rPr>
          <w:rFonts w:hint="eastAsia" w:ascii="仿宋_GB2312" w:eastAsia="仿宋_GB2312"/>
          <w:color w:val="000000"/>
          <w:sz w:val="24"/>
          <w:highlight w:val="none"/>
        </w:rPr>
        <w:t xml:space="preserve">活动的一切事宜。</w:t>
      </w:r>
      <w:r>
        <w:rPr>
          <w:rFonts w:hint="eastAsia" w:ascii="仿宋_GB2312" w:eastAsia="仿宋_GB2312"/>
          <w:color w:val="000000"/>
          <w:sz w:val="24"/>
          <w:highlight w:val="none"/>
        </w:rPr>
      </w:r>
      <w:r/>
    </w:p>
    <w:p>
      <w:pPr>
        <w:pStyle w:val="1282"/>
        <w:ind w:firstLine="630"/>
        <w:spacing w:line="6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特此授权</w:t>
      </w:r>
      <w:r>
        <w:rPr>
          <w:rFonts w:hint="eastAsia" w:ascii="仿宋_GB2312" w:eastAsia="仿宋_GB2312"/>
          <w:color w:val="000000"/>
          <w:sz w:val="24"/>
          <w:highlight w:val="none"/>
        </w:rPr>
      </w:r>
      <w:r/>
    </w:p>
    <w:p>
      <w:pPr>
        <w:pStyle w:val="1282"/>
        <w:ind w:firstLine="480"/>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177"/>
        <w:ind w:firstLine="482"/>
        <w:spacing w:line="560" w:lineRule="exact"/>
        <w:shd w:val="clear" w:color="auto" w:fill="auto"/>
        <w:rPr>
          <w:rFonts w:hint="eastAsia" w:ascii="仿宋_GB2312" w:eastAsia="仿宋_GB2312"/>
          <w:b/>
          <w:color w:val="000000"/>
          <w:sz w:val="24"/>
          <w:highlight w:val="none"/>
        </w:rPr>
      </w:pPr>
      <w:r>
        <w:rPr>
          <w:rFonts w:hint="eastAsia" w:ascii="仿宋_GB2312" w:eastAsia="仿宋_GB2312"/>
          <w:b/>
          <w:color w:val="000000"/>
          <w:sz w:val="24"/>
          <w:highlight w:val="none"/>
        </w:rPr>
        <w:t xml:space="preserve">（授权委托人出席开标会议的提供法定代表人、授权委托人身份证扫描件。如为授权委托人参加投标的，须提供开标前6个月内任意一个月投标人单位为授权委托人缴纳的社保证明材料）</w:t>
      </w:r>
      <w:r>
        <w:rPr>
          <w:rFonts w:hint="eastAsia" w:ascii="仿宋_GB2312" w:eastAsia="仿宋_GB2312"/>
          <w:b/>
          <w:color w:val="000000"/>
          <w:sz w:val="24"/>
          <w:highlight w:val="none"/>
        </w:rPr>
      </w:r>
      <w:r/>
    </w:p>
    <w:p>
      <w:pPr>
        <w:pStyle w:val="1177"/>
        <w:ind w:firstLine="630"/>
        <w:spacing w:line="600" w:lineRule="exact"/>
        <w:shd w:val="clear" w:color="auto" w:fill="auto"/>
        <w:rPr>
          <w:rFonts w:hint="eastAsia" w:ascii="仿宋_GB2312" w:eastAsia="仿宋_GB2312"/>
          <w:b/>
          <w:color w:val="000000"/>
          <w:sz w:val="24"/>
          <w:highlight w:val="none"/>
        </w:rPr>
      </w:pPr>
      <w:r>
        <w:rPr>
          <w:rFonts w:hint="eastAsia" w:ascii="仿宋_GB2312" w:eastAsia="仿宋_GB2312"/>
          <w:b/>
          <w:color w:val="000000"/>
          <w:sz w:val="24"/>
          <w:highlight w:val="none"/>
        </w:rPr>
      </w:r>
      <w:r/>
    </w:p>
    <w:p>
      <w:pPr>
        <w:pStyle w:val="1282"/>
        <w:ind w:firstLine="629"/>
        <w:jc w:val="right"/>
        <w:spacing w:line="7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color w:val="000000"/>
          <w:highlight w:val="none"/>
          <w:u w:val="single"/>
        </w:rPr>
        <w:t xml:space="preserve">（公章）</w:t>
      </w:r>
      <w:r>
        <w:rPr>
          <w:rFonts w:hint="eastAsia" w:ascii="仿宋_GB2312" w:eastAsia="仿宋_GB2312"/>
          <w:color w:val="000000"/>
          <w:sz w:val="24"/>
          <w:highlight w:val="none"/>
        </w:rPr>
      </w:r>
      <w:r/>
    </w:p>
    <w:p>
      <w:pPr>
        <w:pStyle w:val="1282"/>
        <w:ind w:firstLine="629"/>
        <w:jc w:val="right"/>
        <w:spacing w:line="7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lang w:val="en-US" w:eastAsia="zh-CN"/>
        </w:rPr>
        <w:t xml:space="preserve">或签章</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1282"/>
        <w:ind w:firstLine="629"/>
        <w:jc w:val="right"/>
        <w:spacing w:line="7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法人授权代表：</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rPr>
      </w:r>
      <w:r/>
    </w:p>
    <w:p>
      <w:pPr>
        <w:pStyle w:val="1223"/>
        <w:ind w:firstLine="720"/>
        <w:jc w:val="right"/>
        <w:shd w:val="clear" w:color="auto" w:fill="auto"/>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1190"/>
        <w:numPr>
          <w:ilvl w:val="0"/>
          <w:numId w:val="0"/>
        </w:numPr>
        <w:shd w:val="clear" w:color="auto" w:fill="auto"/>
        <w:rPr>
          <w:color w:val="000000"/>
          <w:highlight w:val="none"/>
        </w:rPr>
        <w:outlineLvl w:val="1"/>
      </w:pPr>
      <w:r>
        <w:rPr>
          <w:color w:val="000000"/>
          <w:highlight w:val="none"/>
        </w:rPr>
        <w:br w:type="page" w:clear="all"/>
      </w:r>
      <w:bookmarkStart w:id="149" w:name="_Toc514054494"/>
      <w:r/>
      <w:bookmarkStart w:id="150" w:name="_Toc12853"/>
      <w:r>
        <w:rPr>
          <w:rFonts w:hint="eastAsia"/>
          <w:color w:val="000000"/>
          <w:highlight w:val="none"/>
          <w:lang w:val="en-US" w:eastAsia="zh-CN"/>
        </w:rPr>
        <w:t xml:space="preserve">九、</w:t>
      </w:r>
      <w:r>
        <w:rPr>
          <w:color w:val="000000"/>
          <w:highlight w:val="none"/>
        </w:rPr>
        <w:t xml:space="preserve">开标一览表</w:t>
      </w:r>
      <w:bookmarkEnd w:id="149"/>
      <w:r/>
      <w:bookmarkEnd w:id="150"/>
      <w:r>
        <w:rPr>
          <w:color w:val="000000"/>
          <w:highlight w:val="none"/>
        </w:rPr>
      </w:r>
      <w:r/>
    </w:p>
    <w:p>
      <w:pPr>
        <w:pStyle w:val="1190"/>
        <w:spacing w:line="360" w:lineRule="auto"/>
        <w:shd w:val="clear" w:color="auto" w:fill="auto"/>
        <w:rPr>
          <w:rFonts w:hint="eastAsia" w:ascii="仿宋_GB2312" w:hAnsi="Times New Roman" w:eastAsia="仿宋_GB2312" w:cs="Times New Roman"/>
          <w:b/>
          <w:color w:val="000000"/>
          <w:sz w:val="24"/>
          <w:szCs w:val="20"/>
          <w:highlight w:val="none"/>
          <w:lang w:val="en-US" w:eastAsia="zh-CN"/>
        </w:rPr>
        <w:outlineLvl w:val="1"/>
      </w:pPr>
      <w:r>
        <w:rPr>
          <w:rFonts w:hint="eastAsia" w:ascii="仿宋_GB2312" w:hAnsi="Times New Roman" w:eastAsia="仿宋_GB2312" w:cs="Times New Roman"/>
          <w:b/>
          <w:color w:val="000000"/>
          <w:sz w:val="24"/>
          <w:szCs w:val="20"/>
          <w:highlight w:val="none"/>
          <w:lang w:val="en-US" w:eastAsia="zh-CN"/>
        </w:rPr>
        <w:t xml:space="preserve">投标人全称（公章）：</w:t>
      </w:r>
      <w:r>
        <w:rPr>
          <w:rFonts w:hint="eastAsia" w:ascii="仿宋_GB2312" w:hAnsi="Times New Roman" w:eastAsia="仿宋_GB2312" w:cs="Times New Roman"/>
          <w:b/>
          <w:color w:val="000000"/>
          <w:sz w:val="24"/>
          <w:szCs w:val="20"/>
          <w:highlight w:val="none"/>
          <w:lang w:val="en-US" w:eastAsia="zh-CN"/>
        </w:rPr>
      </w:r>
      <w:r/>
    </w:p>
    <w:p>
      <w:pPr>
        <w:pStyle w:val="1190"/>
        <w:spacing w:line="360" w:lineRule="auto"/>
        <w:shd w:val="clear" w:color="auto" w:fill="auto"/>
        <w:rPr>
          <w:rFonts w:hint="eastAsia" w:ascii="仿宋_GB2312" w:hAnsi="Times New Roman" w:eastAsia="仿宋_GB2312" w:cs="Times New Roman"/>
          <w:b/>
          <w:color w:val="000000"/>
          <w:sz w:val="24"/>
          <w:szCs w:val="20"/>
          <w:highlight w:val="none"/>
          <w:lang w:val="en-US" w:eastAsia="zh-CN"/>
        </w:rPr>
        <w:outlineLvl w:val="1"/>
      </w:pPr>
      <w:r>
        <w:rPr>
          <w:rFonts w:hint="eastAsia" w:ascii="仿宋_GB2312" w:hAnsi="Times New Roman" w:eastAsia="仿宋_GB2312" w:cs="Times New Roman"/>
          <w:b/>
          <w:color w:val="000000"/>
          <w:sz w:val="24"/>
          <w:szCs w:val="20"/>
          <w:highlight w:val="none"/>
          <w:lang w:val="en-US" w:eastAsia="zh-CN"/>
        </w:rPr>
        <w:t xml:space="preserve">项目编号：</w:t>
      </w:r>
      <w:r>
        <w:rPr>
          <w:rFonts w:hint="eastAsia" w:ascii="仿宋_GB2312" w:hAnsi="Times New Roman" w:eastAsia="仿宋_GB2312" w:cs="Times New Roman"/>
          <w:b/>
          <w:color w:val="000000"/>
          <w:sz w:val="24"/>
          <w:szCs w:val="20"/>
          <w:highlight w:val="none"/>
          <w:lang w:val="en-US" w:eastAsia="zh-CN"/>
        </w:rPr>
      </w:r>
      <w:r/>
    </w:p>
    <w:p>
      <w:pPr>
        <w:pStyle w:val="1190"/>
        <w:spacing w:line="360" w:lineRule="auto"/>
        <w:shd w:val="clear" w:color="auto" w:fill="auto"/>
        <w:rPr>
          <w:rFonts w:hint="eastAsia" w:ascii="仿宋_GB2312" w:hAnsi="Times New Roman" w:eastAsia="仿宋_GB2312" w:cs="Times New Roman"/>
          <w:b/>
          <w:color w:val="000000"/>
          <w:sz w:val="24"/>
          <w:szCs w:val="20"/>
          <w:highlight w:val="none"/>
          <w:lang w:val="en-US" w:eastAsia="zh-CN"/>
        </w:rPr>
        <w:outlineLvl w:val="1"/>
      </w:pPr>
      <w:r>
        <w:rPr>
          <w:rFonts w:hint="eastAsia" w:ascii="仿宋_GB2312" w:hAnsi="Times New Roman" w:eastAsia="仿宋_GB2312" w:cs="Times New Roman"/>
          <w:b/>
          <w:color w:val="000000"/>
          <w:sz w:val="24"/>
          <w:szCs w:val="20"/>
          <w:highlight w:val="none"/>
          <w:lang w:val="en-US" w:eastAsia="zh-CN"/>
        </w:rPr>
        <w:t xml:space="preserve">项目名称：</w:t>
      </w:r>
      <w:r>
        <w:rPr>
          <w:rFonts w:hint="eastAsia" w:ascii="仿宋_GB2312" w:hAnsi="Times New Roman" w:eastAsia="仿宋_GB2312" w:cs="Times New Roman"/>
          <w:b/>
          <w:color w:val="000000"/>
          <w:sz w:val="24"/>
          <w:szCs w:val="20"/>
          <w:highlight w:val="none"/>
          <w:lang w:val="en-US" w:eastAsia="zh-CN"/>
        </w:rPr>
      </w:r>
      <w:r/>
    </w:p>
    <w:tbl>
      <w:tblPr>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2"/>
              <w:jc w:val="both"/>
              <w:rPr>
                <w:rFonts w:hint="eastAsia"/>
                <w:color w:val="000000"/>
                <w:highlight w:val="none"/>
              </w:rPr>
            </w:pPr>
            <w:r>
              <w:rPr>
                <w:rFonts w:hint="eastAsia"/>
                <w:color w:val="000000"/>
                <w:highlight w:val="none"/>
              </w:rPr>
              <w:t xml:space="preserve">投标总报价</w:t>
            </w:r>
            <w:r>
              <w:rPr>
                <w:rFonts w:hint="eastAsia"/>
                <w:color w:val="000000"/>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2"/>
              <w:ind w:firstLine="0"/>
              <w:jc w:val="both"/>
              <w:spacing w:line="0" w:lineRule="atLeast"/>
              <w:rPr>
                <w:rFonts w:hint="eastAsia"/>
                <w:color w:val="000000"/>
                <w:highlight w:val="none"/>
              </w:rPr>
            </w:pPr>
            <w:r>
              <w:rPr>
                <w:rFonts w:hint="eastAsia"/>
                <w:color w:val="000000"/>
                <w:highlight w:val="none"/>
              </w:rPr>
              <w:t xml:space="preserve">小写：                 （人民币：元）</w:t>
            </w:r>
            <w:r>
              <w:rPr>
                <w:rFonts w:hint="eastAsia"/>
                <w:color w:val="000000"/>
                <w:highlight w:val="none"/>
              </w:rPr>
            </w:r>
            <w:r/>
          </w:p>
        </w:tc>
      </w:tr>
    </w:tbl>
    <w:p>
      <w:pPr>
        <w:pStyle w:val="1190"/>
        <w:spacing w:line="360" w:lineRule="auto"/>
        <w:shd w:val="clear" w:color="auto" w:fill="auto"/>
        <w:rPr>
          <w:rFonts w:hint="eastAsia" w:ascii="仿宋_GB2312" w:hAnsi="Times New Roman" w:eastAsia="仿宋_GB2312"/>
          <w:b w:val="0"/>
          <w:color w:val="000000"/>
          <w:sz w:val="24"/>
          <w:szCs w:val="20"/>
          <w:highlight w:val="none"/>
          <w:lang w:val="en-US" w:eastAsia="zh-CN"/>
        </w:rPr>
        <w:outlineLvl w:val="1"/>
      </w:pPr>
      <w:r>
        <w:rPr>
          <w:rFonts w:hint="eastAsia" w:ascii="仿宋_GB2312" w:hAnsi="Times New Roman" w:eastAsia="仿宋_GB2312"/>
          <w:b w:val="0"/>
          <w:color w:val="000000"/>
          <w:sz w:val="24"/>
          <w:szCs w:val="20"/>
          <w:highlight w:val="none"/>
          <w:lang w:val="en-US" w:eastAsia="zh-CN"/>
        </w:rPr>
      </w:r>
      <w:r/>
    </w:p>
    <w:p>
      <w:pPr>
        <w:pStyle w:val="952"/>
        <w:jc w:val="both"/>
        <w:rPr>
          <w:rFonts w:hint="eastAsia"/>
          <w:color w:val="000000"/>
          <w:highlight w:val="none"/>
        </w:rPr>
      </w:pPr>
      <w:r/>
      <w:bookmarkStart w:id="151" w:name="_Toc514054495"/>
      <w:r/>
      <w:bookmarkStart w:id="152" w:name="_Toc8851"/>
      <w:r>
        <w:rPr>
          <w:rFonts w:hint="eastAsia"/>
          <w:color w:val="000000"/>
          <w:highlight w:val="none"/>
        </w:rPr>
        <w:t xml:space="preserve">  日期：  </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rFonts w:hint="eastAsia"/>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r>
      <w:r/>
    </w:p>
    <w:p>
      <w:pPr>
        <w:pStyle w:val="1211"/>
        <w:shd w:val="clear" w:color="auto" w:fill="auto"/>
        <w:rPr>
          <w:color w:val="000000"/>
          <w:highlight w:val="none"/>
        </w:rPr>
        <w:outlineLvl w:val="1"/>
      </w:pPr>
      <w:r>
        <w:rPr>
          <w:color w:val="000000"/>
          <w:highlight w:val="none"/>
        </w:rPr>
        <w:t xml:space="preserve">十、明细报价表</w:t>
      </w:r>
      <w:bookmarkEnd w:id="151"/>
      <w:r/>
      <w:bookmarkEnd w:id="152"/>
      <w:r>
        <w:rPr>
          <w:color w:val="000000"/>
          <w:highlight w:val="none"/>
        </w:rPr>
      </w:r>
      <w:r/>
    </w:p>
    <w:tbl>
      <w:tblPr>
        <w:tblW w:w="97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962"/>
        <w:gridCol w:w="1030"/>
        <w:gridCol w:w="1980"/>
      </w:tblGrid>
      <w:tr>
        <w:trPr>
          <w:cantSplit/>
          <w:trHeight w:val="632"/>
        </w:trPr>
        <w:tc>
          <w:tcPr>
            <w:tcW w:w="656" w:type="dxa"/>
            <w:vAlign w:val="center"/>
            <w:textDirection w:val="lrTb"/>
            <w:noWrap w:val="false"/>
          </w:tcPr>
          <w:p>
            <w:pPr>
              <w:pStyle w:val="1056"/>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hint="eastAsia" w:ascii="仿宋_GB2312" w:eastAsia="仿宋_GB2312"/>
                <w:color w:val="000000"/>
                <w:sz w:val="28"/>
                <w:szCs w:val="28"/>
                <w:highlight w:val="none"/>
              </w:rPr>
            </w:r>
            <w:r/>
          </w:p>
        </w:tc>
        <w:tc>
          <w:tcPr>
            <w:tcW w:w="1793" w:type="dxa"/>
            <w:vAlign w:val="center"/>
            <w:textDirection w:val="lrTb"/>
            <w:noWrap w:val="false"/>
          </w:tcPr>
          <w:p>
            <w:pPr>
              <w:pStyle w:val="1056"/>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货物名称</w:t>
            </w:r>
            <w:r>
              <w:rPr>
                <w:rFonts w:hint="eastAsia" w:ascii="仿宋_GB2312" w:eastAsia="仿宋_GB2312"/>
                <w:color w:val="000000"/>
                <w:sz w:val="28"/>
                <w:szCs w:val="28"/>
                <w:highlight w:val="none"/>
              </w:rPr>
            </w:r>
            <w:r/>
          </w:p>
        </w:tc>
        <w:tc>
          <w:tcPr>
            <w:tcW w:w="2200" w:type="dxa"/>
            <w:vAlign w:val="center"/>
            <w:textDirection w:val="lrTb"/>
            <w:noWrap w:val="false"/>
          </w:tcPr>
          <w:p>
            <w:pPr>
              <w:pStyle w:val="1056"/>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品牌.型号.产地</w:t>
            </w:r>
            <w:r>
              <w:rPr>
                <w:rFonts w:hint="eastAsia" w:ascii="仿宋_GB2312" w:eastAsia="仿宋_GB2312"/>
                <w:color w:val="000000"/>
                <w:sz w:val="28"/>
                <w:szCs w:val="28"/>
                <w:highlight w:val="none"/>
              </w:rPr>
            </w:r>
            <w:r/>
          </w:p>
        </w:tc>
        <w:tc>
          <w:tcPr>
            <w:tcW w:w="1103" w:type="dxa"/>
            <w:vAlign w:val="center"/>
            <w:textDirection w:val="lrTb"/>
            <w:noWrap w:val="false"/>
          </w:tcPr>
          <w:p>
            <w:pPr>
              <w:pStyle w:val="1056"/>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单价</w:t>
            </w:r>
            <w:r>
              <w:rPr>
                <w:rFonts w:hint="eastAsia" w:ascii="仿宋_GB2312" w:eastAsia="仿宋_GB2312"/>
                <w:color w:val="000000"/>
                <w:sz w:val="28"/>
                <w:szCs w:val="28"/>
                <w:highlight w:val="none"/>
              </w:rPr>
            </w:r>
            <w:r/>
          </w:p>
          <w:p>
            <w:pPr>
              <w:pStyle w:val="1056"/>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（元）</w:t>
            </w:r>
            <w:r>
              <w:rPr>
                <w:rFonts w:hint="eastAsia" w:ascii="仿宋_GB2312" w:eastAsia="仿宋_GB2312"/>
                <w:color w:val="000000"/>
                <w:sz w:val="28"/>
                <w:szCs w:val="28"/>
                <w:highlight w:val="none"/>
              </w:rPr>
            </w:r>
            <w:r/>
          </w:p>
        </w:tc>
        <w:tc>
          <w:tcPr>
            <w:tcW w:w="962" w:type="dxa"/>
            <w:vAlign w:val="center"/>
            <w:textDirection w:val="lrTb"/>
            <w:noWrap w:val="false"/>
          </w:tcPr>
          <w:p>
            <w:pPr>
              <w:pStyle w:val="1056"/>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数量</w:t>
            </w:r>
            <w:r>
              <w:rPr>
                <w:rFonts w:hint="eastAsia" w:ascii="仿宋_GB2312" w:eastAsia="仿宋_GB2312"/>
                <w:color w:val="000000"/>
                <w:sz w:val="28"/>
                <w:szCs w:val="28"/>
                <w:highlight w:val="none"/>
              </w:rPr>
            </w:r>
            <w:r/>
          </w:p>
        </w:tc>
        <w:tc>
          <w:tcPr>
            <w:tcW w:w="1030" w:type="dxa"/>
            <w:vAlign w:val="center"/>
            <w:textDirection w:val="lrTb"/>
            <w:noWrap w:val="false"/>
          </w:tcPr>
          <w:p>
            <w:pPr>
              <w:pStyle w:val="1056"/>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合价</w:t>
            </w:r>
            <w:r>
              <w:rPr>
                <w:rFonts w:hint="eastAsia" w:ascii="仿宋_GB2312" w:eastAsia="仿宋_GB2312"/>
                <w:color w:val="000000"/>
                <w:sz w:val="28"/>
                <w:szCs w:val="28"/>
                <w:highlight w:val="none"/>
              </w:rPr>
            </w:r>
            <w:r/>
          </w:p>
          <w:p>
            <w:pPr>
              <w:pStyle w:val="1056"/>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（元）</w:t>
            </w:r>
            <w:r>
              <w:rPr>
                <w:rFonts w:hint="eastAsia" w:ascii="仿宋_GB2312" w:eastAsia="仿宋_GB2312"/>
                <w:color w:val="000000"/>
                <w:sz w:val="28"/>
                <w:szCs w:val="28"/>
                <w:highlight w:val="none"/>
              </w:rPr>
            </w:r>
            <w:r/>
          </w:p>
        </w:tc>
        <w:tc>
          <w:tcPr>
            <w:tcW w:w="1980" w:type="dxa"/>
            <w:vAlign w:val="center"/>
            <w:textDirection w:val="lrTb"/>
            <w:noWrap w:val="false"/>
          </w:tcPr>
          <w:p>
            <w:pPr>
              <w:pStyle w:val="1056"/>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备注</w:t>
            </w:r>
            <w:r>
              <w:rPr>
                <w:rFonts w:hint="eastAsia" w:ascii="仿宋_GB2312" w:eastAsia="仿宋_GB2312"/>
                <w:color w:val="000000"/>
                <w:sz w:val="28"/>
                <w:szCs w:val="28"/>
                <w:highlight w:val="none"/>
              </w:rPr>
            </w:r>
            <w:r/>
          </w:p>
        </w:tc>
      </w:tr>
      <w:tr>
        <w:trPr>
          <w:cantSplit/>
          <w:trHeight w:val="482"/>
        </w:trPr>
        <w:tc>
          <w:tcPr>
            <w:tcW w:w="656" w:type="dxa"/>
            <w:vAlign w:val="top"/>
            <w:textDirection w:val="lrTb"/>
            <w:noWrap w:val="false"/>
          </w:tcPr>
          <w:p>
            <w:pPr>
              <w:pStyle w:val="1056"/>
              <w:spacing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r>
            <w:r/>
          </w:p>
        </w:tc>
        <w:tc>
          <w:tcPr>
            <w:tcW w:w="1793"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2200"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103"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70"/>
        </w:trPr>
        <w:tc>
          <w:tcPr>
            <w:tcW w:w="656" w:type="dxa"/>
            <w:vAlign w:val="top"/>
            <w:textDirection w:val="lrTb"/>
            <w:noWrap w:val="false"/>
          </w:tcPr>
          <w:p>
            <w:pPr>
              <w:pStyle w:val="1056"/>
              <w:spacing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r>
            <w:r/>
          </w:p>
        </w:tc>
        <w:tc>
          <w:tcPr>
            <w:tcW w:w="1793"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2200"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103"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70"/>
        </w:trPr>
        <w:tc>
          <w:tcPr>
            <w:tcW w:w="656" w:type="dxa"/>
            <w:vAlign w:val="top"/>
            <w:textDirection w:val="lrTb"/>
            <w:noWrap w:val="false"/>
          </w:tcPr>
          <w:p>
            <w:pPr>
              <w:pStyle w:val="1056"/>
              <w:spacing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r>
            <w:r/>
          </w:p>
        </w:tc>
        <w:tc>
          <w:tcPr>
            <w:tcW w:w="1793"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2200"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103"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70"/>
        </w:trPr>
        <w:tc>
          <w:tcPr>
            <w:tcW w:w="656" w:type="dxa"/>
            <w:vAlign w:val="top"/>
            <w:textDirection w:val="lrTb"/>
            <w:noWrap w:val="false"/>
          </w:tcPr>
          <w:p>
            <w:pPr>
              <w:pStyle w:val="1056"/>
              <w:spacing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r>
            <w:r/>
          </w:p>
        </w:tc>
        <w:tc>
          <w:tcPr>
            <w:tcW w:w="1793"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2200"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103"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308"/>
        </w:trPr>
        <w:tc>
          <w:tcPr>
            <w:tcW w:w="656" w:type="dxa"/>
            <w:vAlign w:val="top"/>
            <w:textDirection w:val="lrTb"/>
            <w:noWrap w:val="false"/>
          </w:tcPr>
          <w:p>
            <w:pPr>
              <w:pStyle w:val="1056"/>
              <w:spacing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r>
            <w:r/>
          </w:p>
        </w:tc>
        <w:tc>
          <w:tcPr>
            <w:tcW w:w="1793"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t xml:space="preserve">安装调试费</w:t>
            </w:r>
            <w:r>
              <w:rPr>
                <w:rFonts w:hint="eastAsia" w:ascii="仿宋_GB2312" w:eastAsia="仿宋_GB2312"/>
                <w:color w:val="000000"/>
                <w:sz w:val="24"/>
                <w:highlight w:val="none"/>
              </w:rPr>
            </w:r>
            <w:r/>
          </w:p>
        </w:tc>
        <w:tc>
          <w:tcPr>
            <w:tcW w:w="2200"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103"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top"/>
            <w:textDirection w:val="lrTb"/>
            <w:noWrap w:val="false"/>
          </w:tcPr>
          <w:p>
            <w:pPr>
              <w:pStyle w:val="1056"/>
              <w:jc w:val="center"/>
              <w:spacing w:line="560" w:lineRule="exact"/>
              <w:shd w:val="clear" w:color="auto" w:fill="auto"/>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165"/>
        </w:trPr>
        <w:tc>
          <w:tcPr>
            <w:tcW w:w="656" w:type="dxa"/>
            <w:vAlign w:val="center"/>
            <w:textDirection w:val="lrTb"/>
            <w:noWrap w:val="false"/>
          </w:tcPr>
          <w:p>
            <w:pPr>
              <w:pStyle w:val="1056"/>
              <w:jc w:val="center"/>
              <w:spacing w:line="560" w:lineRule="exact"/>
              <w:shd w:val="clear" w:color="auto" w:fill="auto"/>
              <w:rPr>
                <w:rFonts w:hint="eastAsia" w:ascii="仿宋_GB2312" w:eastAsia="仿宋_GB2312"/>
                <w:i/>
                <w:iCs/>
                <w:color w:val="000000"/>
                <w:sz w:val="28"/>
                <w:szCs w:val="28"/>
                <w:highlight w:val="none"/>
              </w:rPr>
            </w:pPr>
            <w:r>
              <w:rPr>
                <w:rFonts w:hint="eastAsia" w:ascii="仿宋_GB2312" w:eastAsia="仿宋_GB2312"/>
                <w:i/>
                <w:iCs/>
                <w:color w:val="000000"/>
                <w:sz w:val="28"/>
                <w:szCs w:val="28"/>
                <w:highlight w:val="none"/>
              </w:rPr>
              <w:t xml:space="preserve">…</w:t>
            </w:r>
            <w:r>
              <w:rPr>
                <w:rFonts w:hint="eastAsia" w:ascii="仿宋_GB2312" w:eastAsia="仿宋_GB2312"/>
                <w:i/>
                <w:iCs/>
                <w:color w:val="000000"/>
                <w:sz w:val="28"/>
                <w:szCs w:val="28"/>
                <w:highlight w:val="none"/>
              </w:rPr>
            </w:r>
            <w:r/>
          </w:p>
        </w:tc>
        <w:tc>
          <w:tcPr>
            <w:tcW w:w="1793" w:type="dxa"/>
            <w:vAlign w:val="center"/>
            <w:textDirection w:val="lrTb"/>
            <w:noWrap w:val="false"/>
          </w:tcPr>
          <w:p>
            <w:pPr>
              <w:pStyle w:val="1056"/>
              <w:jc w:val="center"/>
              <w:spacing w:line="560" w:lineRule="exact"/>
              <w:shd w:val="clear" w:color="auto" w:fill="auto"/>
              <w:rPr>
                <w:rFonts w:hint="eastAsia" w:ascii="仿宋_GB2312" w:eastAsia="仿宋_GB2312"/>
                <w:iCs/>
                <w:color w:val="000000"/>
                <w:sz w:val="24"/>
                <w:highlight w:val="none"/>
              </w:rPr>
            </w:pPr>
            <w:r>
              <w:rPr>
                <w:rFonts w:hint="eastAsia" w:ascii="仿宋_GB2312" w:eastAsia="仿宋_GB2312"/>
                <w:iCs/>
                <w:color w:val="000000"/>
                <w:sz w:val="24"/>
                <w:highlight w:val="none"/>
              </w:rPr>
              <w:t xml:space="preserve">税金</w:t>
            </w:r>
            <w:r>
              <w:rPr>
                <w:rFonts w:hint="eastAsia" w:ascii="仿宋_GB2312" w:eastAsia="仿宋_GB2312"/>
                <w:iCs/>
                <w:color w:val="000000"/>
                <w:sz w:val="24"/>
                <w:highlight w:val="none"/>
              </w:rPr>
            </w:r>
            <w:r/>
          </w:p>
        </w:tc>
        <w:tc>
          <w:tcPr>
            <w:tcW w:w="2200" w:type="dxa"/>
            <w:vAlign w:val="center"/>
            <w:textDirection w:val="lrTb"/>
            <w:noWrap w:val="false"/>
          </w:tcPr>
          <w:p>
            <w:pPr>
              <w:pStyle w:val="1056"/>
              <w:jc w:val="center"/>
              <w:spacing w:line="560" w:lineRule="exact"/>
              <w:shd w:val="clear" w:color="auto" w:fill="auto"/>
              <w:rPr>
                <w:rFonts w:hint="eastAsia" w:ascii="仿宋_GB2312" w:eastAsia="仿宋_GB2312"/>
                <w:i/>
                <w:iCs/>
                <w:color w:val="000000"/>
                <w:sz w:val="24"/>
                <w:highlight w:val="none"/>
              </w:rPr>
            </w:pPr>
            <w:r>
              <w:rPr>
                <w:rFonts w:hint="eastAsia" w:ascii="仿宋_GB2312" w:eastAsia="仿宋_GB2312"/>
                <w:i/>
                <w:iCs/>
                <w:color w:val="000000"/>
                <w:sz w:val="24"/>
                <w:highlight w:val="none"/>
              </w:rPr>
            </w:r>
            <w:r/>
          </w:p>
        </w:tc>
        <w:tc>
          <w:tcPr>
            <w:tcW w:w="1103"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165"/>
        </w:trPr>
        <w:tc>
          <w:tcPr>
            <w:tcW w:w="656" w:type="dxa"/>
            <w:vAlign w:val="center"/>
            <w:textDirection w:val="lrTb"/>
            <w:noWrap w:val="false"/>
          </w:tcPr>
          <w:p>
            <w:pPr>
              <w:pStyle w:val="1056"/>
              <w:jc w:val="center"/>
              <w:spacing w:line="560" w:lineRule="exact"/>
              <w:shd w:val="clear" w:color="auto" w:fill="auto"/>
              <w:rPr>
                <w:rFonts w:hint="eastAsia" w:ascii="仿宋_GB2312" w:eastAsia="仿宋_GB2312"/>
                <w:i/>
                <w:iCs/>
                <w:color w:val="000000"/>
                <w:sz w:val="28"/>
                <w:szCs w:val="28"/>
                <w:highlight w:val="none"/>
              </w:rPr>
            </w:pPr>
            <w:r>
              <w:rPr>
                <w:rFonts w:hint="eastAsia" w:ascii="仿宋_GB2312" w:eastAsia="仿宋_GB2312"/>
                <w:i/>
                <w:iCs/>
                <w:color w:val="000000"/>
                <w:sz w:val="28"/>
                <w:szCs w:val="28"/>
                <w:highlight w:val="none"/>
              </w:rPr>
            </w:r>
            <w:r/>
          </w:p>
        </w:tc>
        <w:tc>
          <w:tcPr>
            <w:gridSpan w:val="4"/>
            <w:tcW w:w="6058"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iCs/>
                <w:color w:val="000000"/>
                <w:sz w:val="24"/>
                <w:highlight w:val="none"/>
              </w:rPr>
              <w:t xml:space="preserve">合计</w:t>
            </w:r>
            <w:r>
              <w:rPr>
                <w:rFonts w:hint="eastAsia" w:ascii="仿宋_GB2312" w:eastAsia="仿宋_GB2312"/>
                <w:color w:val="000000"/>
                <w:sz w:val="24"/>
                <w:highlight w:val="none"/>
              </w:rPr>
            </w:r>
            <w:r/>
          </w:p>
        </w:tc>
        <w:tc>
          <w:tcPr>
            <w:tcW w:w="103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1056"/>
              <w:jc w:val="center"/>
              <w:spacing w:line="56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470"/>
        </w:trPr>
        <w:tc>
          <w:tcPr>
            <w:gridSpan w:val="2"/>
            <w:tcW w:w="2449" w:type="dxa"/>
            <w:vAlign w:val="center"/>
            <w:textDirection w:val="lrTb"/>
            <w:noWrap w:val="false"/>
          </w:tcPr>
          <w:p>
            <w:pPr>
              <w:pStyle w:val="1056"/>
              <w:jc w:val="center"/>
              <w:spacing w:line="560" w:lineRule="exact"/>
              <w:shd w:val="clear" w:color="auto" w:fill="auto"/>
              <w:rPr>
                <w:rFonts w:hint="eastAsia" w:ascii="仿宋_GB2312" w:eastAsia="仿宋_GB2312"/>
                <w:b/>
                <w:bCs/>
                <w:color w:val="000000"/>
                <w:sz w:val="28"/>
                <w:szCs w:val="28"/>
                <w:highlight w:val="none"/>
              </w:rPr>
            </w:pPr>
            <w:r>
              <w:rPr>
                <w:rFonts w:hint="eastAsia" w:ascii="仿宋_GB2312" w:eastAsia="仿宋_GB2312"/>
                <w:b/>
                <w:bCs/>
                <w:color w:val="000000"/>
                <w:sz w:val="28"/>
                <w:szCs w:val="28"/>
                <w:highlight w:val="none"/>
              </w:rPr>
              <w:t xml:space="preserve">投标</w:t>
            </w:r>
            <w:r>
              <w:rPr>
                <w:rFonts w:hint="eastAsia" w:ascii="仿宋_GB2312" w:eastAsia="仿宋_GB2312"/>
                <w:b/>
                <w:bCs/>
                <w:color w:val="000000"/>
                <w:sz w:val="28"/>
                <w:szCs w:val="28"/>
                <w:highlight w:val="none"/>
              </w:rPr>
            </w:r>
            <w:r/>
          </w:p>
          <w:p>
            <w:pPr>
              <w:pStyle w:val="1056"/>
              <w:jc w:val="center"/>
              <w:spacing w:line="560" w:lineRule="exact"/>
              <w:shd w:val="clear" w:color="auto" w:fill="auto"/>
              <w:rPr>
                <w:rFonts w:hint="eastAsia" w:ascii="仿宋_GB2312" w:eastAsia="仿宋_GB2312"/>
                <w:b/>
                <w:bCs/>
                <w:color w:val="000000"/>
                <w:sz w:val="24"/>
                <w:highlight w:val="none"/>
              </w:rPr>
            </w:pPr>
            <w:r>
              <w:rPr>
                <w:rFonts w:hint="eastAsia" w:ascii="仿宋_GB2312" w:eastAsia="仿宋_GB2312"/>
                <w:b/>
                <w:bCs/>
                <w:color w:val="000000"/>
                <w:sz w:val="28"/>
                <w:szCs w:val="28"/>
                <w:highlight w:val="none"/>
              </w:rPr>
              <w:t xml:space="preserve">报价总计</w:t>
            </w:r>
            <w:r>
              <w:rPr>
                <w:rFonts w:hint="eastAsia" w:ascii="仿宋_GB2312" w:eastAsia="仿宋_GB2312"/>
                <w:b/>
                <w:bCs/>
                <w:color w:val="000000"/>
                <w:sz w:val="24"/>
                <w:highlight w:val="none"/>
              </w:rPr>
            </w:r>
            <w:r/>
          </w:p>
        </w:tc>
        <w:tc>
          <w:tcPr>
            <w:gridSpan w:val="5"/>
            <w:tcW w:w="7275" w:type="dxa"/>
            <w:vAlign w:val="center"/>
            <w:textDirection w:val="lrTb"/>
            <w:noWrap w:val="false"/>
          </w:tcPr>
          <w:p>
            <w:pPr>
              <w:pStyle w:val="1056"/>
              <w:spacing w:line="560" w:lineRule="exact"/>
              <w:shd w:val="clear" w:color="auto" w:fill="auto"/>
              <w:rPr>
                <w:rFonts w:hint="eastAsia" w:ascii="仿宋_GB2312" w:eastAsia="仿宋_GB2312"/>
                <w:b/>
                <w:bCs/>
                <w:color w:val="000000"/>
                <w:sz w:val="24"/>
                <w:highlight w:val="none"/>
              </w:rPr>
            </w:pPr>
            <w:r>
              <w:rPr>
                <w:rFonts w:hint="eastAsia" w:ascii="仿宋_GB2312" w:eastAsia="仿宋_GB2312"/>
                <w:b/>
                <w:bCs/>
                <w:color w:val="000000"/>
                <w:sz w:val="24"/>
                <w:highlight w:val="none"/>
              </w:rPr>
              <w:t xml:space="preserve">￥</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r>
            <w:r/>
          </w:p>
          <w:p>
            <w:pPr>
              <w:pStyle w:val="1056"/>
              <w:spacing w:line="560" w:lineRule="exact"/>
              <w:shd w:val="clear" w:color="auto" w:fill="auto"/>
              <w:rPr>
                <w:rFonts w:hint="eastAsia" w:ascii="仿宋_GB2312" w:eastAsia="仿宋_GB2312"/>
                <w:b/>
                <w:bCs/>
                <w:color w:val="000000"/>
                <w:sz w:val="24"/>
                <w:highlight w:val="none"/>
              </w:rPr>
            </w:pPr>
            <w:r>
              <w:rPr>
                <w:rFonts w:hint="eastAsia" w:ascii="仿宋_GB2312" w:eastAsia="仿宋_GB2312"/>
                <w:b/>
                <w:bCs/>
                <w:color w:val="000000"/>
                <w:sz w:val="24"/>
                <w:highlight w:val="none"/>
              </w:rPr>
              <w:t xml:space="preserve">人民币（大写）：</w:t>
            </w:r>
            <w:r>
              <w:rPr>
                <w:rFonts w:hint="eastAsia" w:ascii="仿宋_GB2312" w:eastAsia="仿宋_GB2312"/>
                <w:b/>
                <w:bCs/>
                <w:color w:val="000000"/>
                <w:sz w:val="24"/>
                <w:highlight w:val="none"/>
              </w:rPr>
            </w:r>
            <w:r/>
          </w:p>
          <w:p>
            <w:pPr>
              <w:pStyle w:val="1056"/>
              <w:spacing w:line="560" w:lineRule="exact"/>
              <w:shd w:val="clear" w:color="auto" w:fill="auto"/>
              <w:rPr>
                <w:rFonts w:hint="eastAsia" w:ascii="仿宋_GB2312" w:eastAsia="仿宋_GB2312"/>
                <w:b/>
                <w:bCs/>
                <w:color w:val="000000"/>
                <w:sz w:val="24"/>
                <w:highlight w:val="none"/>
              </w:rPr>
            </w:pP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仟</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佰</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拾</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万</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仟</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佰</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拾</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元</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角</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分</w:t>
            </w:r>
            <w:r>
              <w:rPr>
                <w:rFonts w:hint="eastAsia" w:ascii="仿宋_GB2312" w:eastAsia="仿宋_GB2312"/>
                <w:b/>
                <w:bCs/>
                <w:color w:val="000000"/>
                <w:sz w:val="24"/>
                <w:highlight w:val="none"/>
              </w:rPr>
            </w:r>
            <w:r/>
          </w:p>
        </w:tc>
      </w:tr>
    </w:tbl>
    <w:p>
      <w:pPr>
        <w:pStyle w:val="1050"/>
        <w:ind w:firstLine="629"/>
        <w:shd w:val="clear" w:color="auto" w:fill="auto"/>
        <w:rPr>
          <w:rFonts w:hint="eastAsia" w:ascii="仿宋_GB2312" w:eastAsia="仿宋_GB2312"/>
          <w:color w:val="000000"/>
          <w:sz w:val="24"/>
          <w:highlight w:val="none"/>
        </w:rPr>
      </w:pPr>
      <w:r/>
      <w:bookmarkStart w:id="153" w:name="_Toc514054496"/>
      <w:r>
        <w:rPr>
          <w:rFonts w:hint="eastAsia" w:ascii="仿宋_GB2312" w:eastAsia="仿宋_GB2312"/>
          <w:color w:val="000000"/>
          <w:sz w:val="24"/>
          <w:highlight w:val="none"/>
        </w:rPr>
        <w:t xml:space="preserve">注：投标人应分项进行填报，表中表格行数可自行添加。招标文件中未列出的相关辅助材料和在实施过程中涉及到的其它一切费用应在报价时一并考虑，项目实施过程中不再单独结算。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000000"/>
          <w:sz w:val="24"/>
          <w:highlight w:val="none"/>
        </w:rPr>
        <w:t xml:space="preserve">表中投标报价总计应与对应报价一览表中投标总价一致。</w:t>
      </w:r>
      <w:r>
        <w:rPr>
          <w:rFonts w:hint="eastAsia" w:ascii="仿宋_GB2312" w:eastAsia="仿宋_GB2312"/>
          <w:color w:val="000000"/>
          <w:sz w:val="24"/>
          <w:highlight w:val="none"/>
        </w:rPr>
      </w:r>
      <w:r/>
    </w:p>
    <w:p>
      <w:pPr>
        <w:pStyle w:val="1050"/>
        <w:ind w:firstLine="629"/>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52"/>
        <w:jc w:val="both"/>
        <w:rPr>
          <w:rFonts w:hint="eastAsia"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单位名称：</w:t>
      </w:r>
      <w:r>
        <w:rPr>
          <w:rFonts w:hint="eastAsia" w:ascii="仿宋_GB2312" w:hAnsi="Times New Roman" w:eastAsia="仿宋_GB2312" w:cs="Times New Roman"/>
          <w:color w:val="000000"/>
          <w:sz w:val="24"/>
          <w:highlight w:val="none"/>
          <w:u w:val="single"/>
        </w:rPr>
        <w:t xml:space="preserve">        </w:t>
      </w:r>
      <w:r>
        <w:rPr>
          <w:rFonts w:hint="eastAsia" w:ascii="仿宋_GB2312" w:hAnsi="Times New Roman" w:eastAsia="仿宋_GB2312" w:cs="Times New Roman"/>
          <w:color w:val="000000"/>
          <w:sz w:val="24"/>
          <w:highlight w:val="none"/>
        </w:rPr>
        <w:t xml:space="preserve">（</w:t>
      </w:r>
      <w:r>
        <w:rPr>
          <w:rFonts w:hint="eastAsia" w:ascii="仿宋_GB2312" w:hAnsi="Times New Roman" w:eastAsia="仿宋_GB2312" w:cs="Times New Roman"/>
          <w:color w:val="000000"/>
          <w:sz w:val="24"/>
          <w:highlight w:val="none"/>
          <w:lang w:val="en-US" w:eastAsia="zh-CN"/>
        </w:rPr>
        <w:t xml:space="preserve">公</w:t>
      </w:r>
      <w:r>
        <w:rPr>
          <w:rFonts w:hint="eastAsia" w:ascii="仿宋_GB2312" w:hAnsi="Times New Roman" w:eastAsia="仿宋_GB2312" w:cs="Times New Roman"/>
          <w:color w:val="000000"/>
          <w:sz w:val="24"/>
          <w:highlight w:val="none"/>
        </w:rPr>
        <w:t xml:space="preserve">章）</w:t>
      </w:r>
      <w:r>
        <w:rPr>
          <w:rFonts w:hint="eastAsia" w:ascii="仿宋_GB2312" w:hAnsi="Times New Roman" w:eastAsia="仿宋_GB2312" w:cs="Times New Roman"/>
          <w:color w:val="000000"/>
          <w:sz w:val="24"/>
          <w:highlight w:val="none"/>
        </w:rPr>
      </w:r>
      <w:r/>
    </w:p>
    <w:p>
      <w:pPr>
        <w:pStyle w:val="952"/>
        <w:jc w:val="both"/>
        <w:rPr>
          <w:rFonts w:hint="eastAsia"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法定代表人（或授权代表）：（</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lang w:val="en-US" w:eastAsia="zh-CN"/>
        </w:rPr>
        <w:t xml:space="preserve">或签章</w:t>
      </w:r>
      <w:r>
        <w:rPr>
          <w:rFonts w:hint="eastAsia" w:ascii="仿宋_GB2312" w:hAnsi="Times New Roman" w:eastAsia="仿宋_GB2312" w:cs="Times New Roman"/>
          <w:color w:val="000000"/>
          <w:sz w:val="24"/>
          <w:highlight w:val="none"/>
        </w:rPr>
        <w:t xml:space="preserve">）              </w:t>
      </w:r>
      <w:r>
        <w:rPr>
          <w:rFonts w:hint="eastAsia" w:ascii="仿宋_GB2312" w:hAnsi="Times New Roman" w:eastAsia="仿宋_GB2312" w:cs="Times New Roman"/>
          <w:color w:val="000000"/>
          <w:sz w:val="24"/>
          <w:highlight w:val="none"/>
        </w:rPr>
      </w:r>
      <w:r/>
    </w:p>
    <w:p>
      <w:pPr>
        <w:pStyle w:val="1140"/>
        <w:shd w:val="clear" w:color="auto" w:fill="auto"/>
        <w:rPr>
          <w:color w:val="000000"/>
          <w:highlight w:val="none"/>
        </w:rPr>
        <w:outlineLvl w:val="1"/>
      </w:pPr>
      <w:r>
        <w:rPr>
          <w:color w:val="000000"/>
          <w:highlight w:val="none"/>
        </w:rPr>
        <w:br w:type="page" w:clear="all"/>
      </w:r>
      <w:bookmarkStart w:id="154" w:name="_Toc10632"/>
      <w:r>
        <w:rPr>
          <w:color w:val="000000"/>
          <w:highlight w:val="none"/>
        </w:rPr>
        <w:t xml:space="preserve">十一、中小企业声明函</w:t>
      </w:r>
      <w:bookmarkEnd w:id="153"/>
      <w:r/>
      <w:bookmarkEnd w:id="154"/>
      <w:r>
        <w:rPr>
          <w:color w:val="000000"/>
          <w:highlight w:val="none"/>
        </w:rPr>
      </w:r>
      <w:r/>
    </w:p>
    <w:p>
      <w:pPr>
        <w:pStyle w:val="884"/>
        <w:jc w:val="center"/>
        <w:shd w:val="clear" w:color="auto" w:fill="auto"/>
        <w:rPr>
          <w:rFonts w:hint="eastAsia" w:ascii="楷体" w:hAnsi="楷体" w:eastAsia="楷体" w:cs="楷体"/>
          <w:color w:val="000000"/>
          <w:sz w:val="32"/>
          <w:szCs w:val="32"/>
          <w:highlight w:val="none"/>
        </w:rPr>
      </w:pPr>
      <w:r>
        <w:rPr>
          <w:rStyle w:val="960"/>
          <w:rFonts w:hint="eastAsia" w:ascii="楷体" w:hAnsi="楷体" w:eastAsia="楷体" w:cs="楷体"/>
          <w:color w:val="000000"/>
          <w:sz w:val="32"/>
          <w:szCs w:val="32"/>
          <w:highlight w:val="none"/>
          <w:lang w:bidi="ar"/>
        </w:rPr>
        <w:t xml:space="preserve">中小企业声明函（货物）</w:t>
      </w:r>
      <w:r>
        <w:rPr>
          <w:rFonts w:hint="eastAsia" w:ascii="楷体" w:hAnsi="楷体" w:eastAsia="楷体" w:cs="楷体"/>
          <w:color w:val="000000"/>
          <w:sz w:val="32"/>
          <w:szCs w:val="32"/>
          <w:highlight w:val="none"/>
        </w:rPr>
      </w:r>
      <w:r/>
    </w:p>
    <w:p>
      <w:pPr>
        <w:pStyle w:val="884"/>
        <w:ind w:firstLine="480"/>
        <w:jc w:val="left"/>
        <w:spacing w:before="100" w:beforeAutospacing="1" w:after="100" w:afterAutospacing="1" w:line="435" w:lineRule="exact"/>
        <w:shd w:val="clear" w:color="auto" w:fill="auto"/>
        <w:widowControl/>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000000"/>
          <w:sz w:val="24"/>
          <w:szCs w:val="24"/>
          <w:highlight w:val="none"/>
          <w:u w:val="single"/>
        </w:rPr>
        <w:t xml:space="preserve">    （单位名称）</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bidi="ar"/>
        </w:rPr>
        <w:t xml:space="preserve"> </w:t>
      </w:r>
      <w:r>
        <w:rPr>
          <w:rFonts w:hint="eastAsia" w:ascii="仿宋_GB2312" w:eastAsia="仿宋_GB2312"/>
          <w:color w:val="000000"/>
          <w:sz w:val="24"/>
          <w:szCs w:val="24"/>
          <w:highlight w:val="none"/>
          <w:u w:val="single"/>
        </w:rPr>
        <w:t xml:space="preserve">   （项目名称）采</w:t>
      </w:r>
      <w:r>
        <w:rPr>
          <w:rFonts w:hint="eastAsia" w:ascii="仿宋_GB2312" w:eastAsia="仿宋_GB2312"/>
          <w:color w:val="000000"/>
          <w:sz w:val="24"/>
          <w:szCs w:val="24"/>
          <w:highlight w:val="none"/>
        </w:rPr>
        <w:t xml:space="preserve">购活动，提供的货物全部由符合政策要求的中小企业制造。相关企业（含联合体中的中小企业、签订分包意向协议的中小企业）的具体情况如下：</w:t>
      </w:r>
      <w:r>
        <w:rPr>
          <w:rFonts w:hint="eastAsia" w:ascii="仿宋_GB2312" w:eastAsia="仿宋_GB2312"/>
          <w:color w:val="000000"/>
          <w:sz w:val="24"/>
          <w:szCs w:val="24"/>
          <w:highlight w:val="none"/>
        </w:rPr>
      </w:r>
      <w:r/>
    </w:p>
    <w:p>
      <w:pPr>
        <w:pStyle w:val="884"/>
        <w:ind w:firstLine="480"/>
        <w:jc w:val="left"/>
        <w:spacing w:before="100" w:beforeAutospacing="1" w:after="100" w:afterAutospacing="1" w:line="435"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rPr>
          <w:rFonts w:hint="eastAsia" w:ascii="仿宋_GB2312" w:eastAsia="仿宋_GB2312"/>
          <w:color w:val="000000"/>
          <w:sz w:val="24"/>
          <w:szCs w:val="24"/>
          <w:highlight w:val="none"/>
          <w:u w:val="single"/>
        </w:rPr>
        <w:t xml:space="preserve">.     </w:t>
      </w:r>
      <w:r>
        <w:rPr>
          <w:rFonts w:hint="eastAsia" w:ascii="仿宋" w:hAnsi="仿宋" w:eastAsia="仿宋" w:cs="仿宋"/>
          <w:color w:val="000000"/>
          <w:sz w:val="24"/>
          <w:szCs w:val="24"/>
          <w:highlight w:val="none"/>
          <w:u w:val="single"/>
          <w:lang w:bidi="ar"/>
        </w:rPr>
        <w:t xml:space="preserve">（</w:t>
      </w:r>
      <w:r>
        <w:rPr>
          <w:rFonts w:hint="eastAsia" w:ascii="仿宋_GB2312" w:eastAsia="仿宋_GB2312"/>
          <w:color w:val="000000"/>
          <w:sz w:val="24"/>
          <w:szCs w:val="24"/>
          <w:highlight w:val="none"/>
          <w:u w:val="single"/>
        </w:rPr>
        <w:t xml:space="preserve">标的名称）</w:t>
      </w:r>
      <w:r>
        <w:rPr>
          <w:rFonts w:hint="eastAsia" w:ascii="仿宋" w:hAnsi="仿宋" w:eastAsia="仿宋" w:cs="仿宋"/>
          <w:color w:val="000000"/>
          <w:sz w:val="24"/>
          <w:szCs w:val="24"/>
          <w:highlight w:val="none"/>
          <w:lang w:bidi="ar"/>
        </w:rPr>
        <w:t xml:space="preserve">，属于</w:t>
      </w:r>
      <w:r>
        <w:rPr>
          <w:rFonts w:hint="eastAsia" w:ascii="仿宋_GB2312" w:eastAsia="仿宋_GB2312"/>
          <w:color w:val="000000"/>
          <w:sz w:val="24"/>
          <w:szCs w:val="24"/>
          <w:highlight w:val="none"/>
          <w:u w:val="single"/>
        </w:rPr>
        <w:t xml:space="preserve">     （采购文件中明确的所属行业）</w:t>
      </w:r>
      <w:r>
        <w:rPr>
          <w:rFonts w:hint="eastAsia" w:ascii="仿宋" w:hAnsi="仿宋" w:eastAsia="仿宋" w:cs="仿宋"/>
          <w:color w:val="000000"/>
          <w:sz w:val="24"/>
          <w:szCs w:val="24"/>
          <w:highlight w:val="none"/>
          <w:lang w:bidi="ar"/>
        </w:rPr>
        <w:t xml:space="preserve">行业；</w:t>
      </w:r>
      <w:r>
        <w:rPr>
          <w:rFonts w:hint="eastAsia" w:ascii="仿宋_GB2312" w:eastAsia="仿宋_GB2312"/>
          <w:color w:val="000000"/>
          <w:sz w:val="24"/>
          <w:szCs w:val="24"/>
          <w:highlight w:val="none"/>
        </w:rPr>
        <w:t xml:space="preserve">制造商为 </w:t>
      </w:r>
      <w:r>
        <w:rPr>
          <w:rFonts w:hint="eastAsia" w:ascii="仿宋_GB2312" w:eastAsia="仿宋_GB2312"/>
          <w:color w:val="000000"/>
          <w:sz w:val="24"/>
          <w:szCs w:val="24"/>
          <w:highlight w:val="none"/>
          <w:u w:val="single"/>
        </w:rPr>
        <w:t xml:space="preserve">         （企业名称）</w:t>
      </w:r>
      <w:r>
        <w:rPr>
          <w:rFonts w:hint="eastAsia" w:ascii="仿宋" w:hAnsi="仿宋" w:eastAsia="仿宋" w:cs="仿宋"/>
          <w:color w:val="000000"/>
          <w:sz w:val="24"/>
          <w:szCs w:val="24"/>
          <w:highlight w:val="none"/>
          <w:lang w:bidi="ar"/>
        </w:rPr>
        <w:t xml:space="preserve">，</w:t>
      </w:r>
      <w:r>
        <w:rPr>
          <w:rFonts w:hint="eastAsia" w:ascii="仿宋_GB2312" w:eastAsia="仿宋_GB2312"/>
          <w:color w:val="000000"/>
          <w:sz w:val="24"/>
          <w:szCs w:val="24"/>
          <w:highlight w:val="none"/>
        </w:rPr>
        <w:t xml:space="preserve">从业人员</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人，</w:t>
      </w:r>
      <w:r>
        <w:rPr>
          <w:rFonts w:hint="eastAsia" w:ascii="仿宋_GB2312" w:eastAsia="仿宋_GB2312"/>
          <w:color w:val="000000"/>
          <w:sz w:val="24"/>
          <w:szCs w:val="24"/>
          <w:highlight w:val="none"/>
        </w:rPr>
        <w:t xml:space="preserve">营业收入为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万元，</w:t>
      </w:r>
      <w:r>
        <w:rPr>
          <w:rFonts w:hint="eastAsia" w:ascii="仿宋_GB2312" w:eastAsia="仿宋_GB2312"/>
          <w:color w:val="000000"/>
          <w:sz w:val="24"/>
          <w:szCs w:val="24"/>
          <w:highlight w:val="none"/>
        </w:rPr>
        <w:t xml:space="preserve">资产总额为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w:t>
      </w:r>
      <w:r>
        <w:rPr>
          <w:rFonts w:hint="eastAsia" w:ascii="仿宋_GB2312" w:eastAsia="仿宋_GB2312"/>
          <w:color w:val="000000"/>
          <w:sz w:val="24"/>
          <w:szCs w:val="24"/>
          <w:highlight w:val="none"/>
        </w:rPr>
        <w:t xml:space="preserve">元，属于</w:t>
      </w:r>
      <w:r>
        <w:rPr>
          <w:rFonts w:hint="eastAsia" w:ascii="仿宋_GB2312" w:eastAsia="仿宋_GB2312"/>
          <w:color w:val="000000"/>
          <w:sz w:val="24"/>
          <w:szCs w:val="24"/>
          <w:highlight w:val="none"/>
          <w:u w:val="single"/>
        </w:rPr>
        <w:t xml:space="preserve">     （中型企业、小型企业、微型企业）</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p>
      <w:pPr>
        <w:pStyle w:val="884"/>
        <w:ind w:firstLine="480"/>
        <w:jc w:val="left"/>
        <w:spacing w:before="100" w:beforeAutospacing="1" w:after="100" w:afterAutospacing="1" w:line="435"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rPr>
          <w:rFonts w:hint="eastAsia" w:ascii="仿宋_GB2312" w:eastAsia="仿宋_GB2312"/>
          <w:color w:val="000000"/>
          <w:sz w:val="24"/>
          <w:szCs w:val="24"/>
          <w:highlight w:val="none"/>
          <w:u w:val="single"/>
        </w:rPr>
        <w:t xml:space="preserve">.     </w:t>
      </w:r>
      <w:r>
        <w:rPr>
          <w:rFonts w:hint="eastAsia" w:ascii="仿宋" w:hAnsi="仿宋" w:eastAsia="仿宋" w:cs="仿宋"/>
          <w:color w:val="000000"/>
          <w:sz w:val="24"/>
          <w:szCs w:val="24"/>
          <w:highlight w:val="none"/>
          <w:u w:val="single"/>
          <w:lang w:bidi="ar"/>
        </w:rPr>
        <w:t xml:space="preserve">（</w:t>
      </w:r>
      <w:r>
        <w:rPr>
          <w:rFonts w:hint="eastAsia" w:ascii="仿宋_GB2312" w:eastAsia="仿宋_GB2312"/>
          <w:color w:val="000000"/>
          <w:sz w:val="24"/>
          <w:szCs w:val="24"/>
          <w:highlight w:val="none"/>
          <w:u w:val="single"/>
        </w:rPr>
        <w:t xml:space="preserve">标的名称）</w:t>
      </w:r>
      <w:r>
        <w:rPr>
          <w:rFonts w:hint="eastAsia" w:ascii="仿宋" w:hAnsi="仿宋" w:eastAsia="仿宋" w:cs="仿宋"/>
          <w:color w:val="000000"/>
          <w:sz w:val="24"/>
          <w:szCs w:val="24"/>
          <w:highlight w:val="none"/>
          <w:lang w:bidi="ar"/>
        </w:rPr>
        <w:t xml:space="preserve">，属于</w:t>
      </w:r>
      <w:r>
        <w:rPr>
          <w:rFonts w:hint="eastAsia" w:ascii="仿宋_GB2312" w:eastAsia="仿宋_GB2312"/>
          <w:color w:val="000000"/>
          <w:sz w:val="24"/>
          <w:szCs w:val="24"/>
          <w:highlight w:val="none"/>
          <w:u w:val="single"/>
        </w:rPr>
        <w:t xml:space="preserve">     （采购文件中明确的所属行业）</w:t>
      </w:r>
      <w:r>
        <w:rPr>
          <w:rFonts w:hint="eastAsia" w:ascii="仿宋" w:hAnsi="仿宋" w:eastAsia="仿宋" w:cs="仿宋"/>
          <w:color w:val="000000"/>
          <w:sz w:val="24"/>
          <w:szCs w:val="24"/>
          <w:highlight w:val="none"/>
          <w:lang w:bidi="ar"/>
        </w:rPr>
        <w:t xml:space="preserve">行业；</w:t>
      </w:r>
      <w:r>
        <w:rPr>
          <w:rFonts w:hint="eastAsia" w:ascii="仿宋_GB2312" w:eastAsia="仿宋_GB2312"/>
          <w:color w:val="000000"/>
          <w:sz w:val="24"/>
          <w:szCs w:val="24"/>
          <w:highlight w:val="none"/>
        </w:rPr>
        <w:t xml:space="preserve">制造商为 </w:t>
      </w:r>
      <w:r>
        <w:rPr>
          <w:rFonts w:hint="eastAsia" w:ascii="仿宋_GB2312" w:eastAsia="仿宋_GB2312"/>
          <w:color w:val="000000"/>
          <w:sz w:val="24"/>
          <w:szCs w:val="24"/>
          <w:highlight w:val="none"/>
          <w:u w:val="single"/>
        </w:rPr>
        <w:t xml:space="preserve">         （企业名称）</w:t>
      </w:r>
      <w:r>
        <w:rPr>
          <w:rFonts w:hint="eastAsia" w:ascii="仿宋" w:hAnsi="仿宋" w:eastAsia="仿宋" w:cs="仿宋"/>
          <w:color w:val="000000"/>
          <w:sz w:val="24"/>
          <w:szCs w:val="24"/>
          <w:highlight w:val="none"/>
          <w:lang w:bidi="ar"/>
        </w:rPr>
        <w:t xml:space="preserve">，</w:t>
      </w:r>
      <w:r>
        <w:rPr>
          <w:rFonts w:hint="eastAsia" w:ascii="仿宋_GB2312" w:eastAsia="仿宋_GB2312"/>
          <w:color w:val="000000"/>
          <w:sz w:val="24"/>
          <w:szCs w:val="24"/>
          <w:highlight w:val="none"/>
        </w:rPr>
        <w:t xml:space="preserve">从业人员</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人，</w:t>
      </w:r>
      <w:r>
        <w:rPr>
          <w:rFonts w:hint="eastAsia" w:ascii="仿宋_GB2312" w:eastAsia="仿宋_GB2312"/>
          <w:color w:val="000000"/>
          <w:sz w:val="24"/>
          <w:szCs w:val="24"/>
          <w:highlight w:val="none"/>
        </w:rPr>
        <w:t xml:space="preserve">营业收入为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万元，</w:t>
      </w:r>
      <w:r>
        <w:rPr>
          <w:rFonts w:hint="eastAsia" w:ascii="仿宋_GB2312" w:eastAsia="仿宋_GB2312"/>
          <w:color w:val="000000"/>
          <w:sz w:val="24"/>
          <w:szCs w:val="24"/>
          <w:highlight w:val="none"/>
        </w:rPr>
        <w:t xml:space="preserve">资产总额为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w:t>
      </w:r>
      <w:r>
        <w:rPr>
          <w:rFonts w:hint="eastAsia" w:ascii="仿宋_GB2312" w:eastAsia="仿宋_GB2312"/>
          <w:color w:val="000000"/>
          <w:sz w:val="24"/>
          <w:szCs w:val="24"/>
          <w:highlight w:val="none"/>
        </w:rPr>
        <w:t xml:space="preserve">元，属于</w:t>
      </w:r>
      <w:r>
        <w:rPr>
          <w:rFonts w:hint="eastAsia" w:ascii="仿宋_GB2312" w:eastAsia="仿宋_GB2312"/>
          <w:color w:val="000000"/>
          <w:sz w:val="24"/>
          <w:szCs w:val="24"/>
          <w:highlight w:val="none"/>
          <w:u w:val="single"/>
        </w:rPr>
        <w:t xml:space="preserve">     （中型企业、小型企业、微型企业）</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p>
      <w:pPr>
        <w:pStyle w:val="884"/>
        <w:ind w:firstLine="480"/>
        <w:jc w:val="left"/>
        <w:spacing w:before="100" w:beforeAutospacing="1" w:after="100" w:afterAutospacing="1" w:line="435" w:lineRule="exact"/>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p>
      <w:pPr>
        <w:pStyle w:val="884"/>
        <w:ind w:firstLine="480"/>
        <w:jc w:val="left"/>
        <w:spacing w:before="100" w:beforeAutospacing="1" w:after="100" w:afterAutospacing="1" w:line="435" w:lineRule="exact"/>
        <w:shd w:val="clear" w:color="auto" w:fill="auto"/>
        <w:widowControl/>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以上企业，不属于大企业的分支机构，不存在控股股东为大企业的情形，也不存在与大企业的负责人为同一人的情形。</w:t>
      </w:r>
      <w:r>
        <w:rPr>
          <w:rFonts w:hint="eastAsia" w:ascii="仿宋_GB2312" w:eastAsia="仿宋_GB2312"/>
          <w:color w:val="000000"/>
          <w:sz w:val="24"/>
          <w:szCs w:val="24"/>
          <w:highlight w:val="none"/>
        </w:rPr>
      </w:r>
      <w:r/>
    </w:p>
    <w:p>
      <w:pPr>
        <w:pStyle w:val="884"/>
        <w:ind w:firstLine="480"/>
        <w:jc w:val="left"/>
        <w:spacing w:before="100" w:beforeAutospacing="1" w:after="100" w:afterAutospacing="1" w:line="435" w:lineRule="exact"/>
        <w:shd w:val="clear" w:color="auto" w:fill="auto"/>
        <w:widowControl/>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本企业对上述声明内容的真实性负责。如有虚假，将依法承担相应责任。</w:t>
      </w:r>
      <w:r>
        <w:rPr>
          <w:rFonts w:hint="eastAsia" w:ascii="仿宋_GB2312" w:eastAsia="仿宋_GB2312"/>
          <w:color w:val="000000"/>
          <w:sz w:val="24"/>
          <w:szCs w:val="24"/>
          <w:highlight w:val="none"/>
        </w:rPr>
      </w:r>
      <w:r/>
    </w:p>
    <w:p>
      <w:pPr>
        <w:pStyle w:val="884"/>
        <w:ind w:firstLine="480"/>
        <w:jc w:val="right"/>
        <w:spacing w:before="100" w:beforeAutospacing="1" w:after="100" w:afterAutospacing="1" w:line="435" w:lineRule="exact"/>
        <w:shd w:val="clear" w:color="auto" w:fill="auto"/>
        <w:widowControl/>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企业名称（</w:t>
      </w:r>
      <w:r>
        <w:rPr>
          <w:rFonts w:hint="eastAsia" w:ascii="仿宋_GB2312" w:eastAsia="仿宋_GB2312"/>
          <w:color w:val="000000"/>
          <w:sz w:val="24"/>
          <w:szCs w:val="24"/>
          <w:highlight w:val="none"/>
          <w:lang w:val="en-US" w:eastAsia="zh-CN"/>
        </w:rPr>
        <w:t xml:space="preserve">公章</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rPr>
        <w:t xml:space="preserve">：</w:t>
      </w:r>
      <w:r>
        <w:rPr>
          <w:rFonts w:hint="eastAsia" w:ascii="仿宋_GB2312" w:eastAsia="仿宋_GB2312"/>
          <w:color w:val="000000"/>
          <w:sz w:val="24"/>
          <w:szCs w:val="24"/>
          <w:highlight w:val="none"/>
        </w:rPr>
      </w:r>
      <w:r/>
    </w:p>
    <w:p>
      <w:pPr>
        <w:pStyle w:val="884"/>
        <w:ind w:firstLine="480"/>
        <w:jc w:val="right"/>
        <w:spacing w:before="100" w:beforeAutospacing="1" w:after="100" w:afterAutospacing="1" w:line="435" w:lineRule="exact"/>
        <w:shd w:val="clear" w:color="auto" w:fill="auto"/>
        <w:widowControl/>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日 期：</w:t>
      </w:r>
      <w:r>
        <w:rPr>
          <w:rFonts w:hint="eastAsia" w:ascii="仿宋_GB2312" w:eastAsia="仿宋_GB2312"/>
          <w:color w:val="000000"/>
          <w:sz w:val="24"/>
          <w:szCs w:val="24"/>
          <w:highlight w:val="none"/>
        </w:rPr>
      </w:r>
      <w:r/>
    </w:p>
    <w:p>
      <w:pPr>
        <w:pStyle w:val="884"/>
        <w:ind w:firstLine="482"/>
        <w:jc w:val="left"/>
        <w:spacing w:line="420" w:lineRule="auto"/>
        <w:shd w:val="clear" w:color="auto" w:fill="auto"/>
        <w:rPr>
          <w:rFonts w:hint="eastAsia" w:ascii="宋体" w:hAnsi="宋体"/>
          <w:color w:val="000000"/>
          <w:sz w:val="24"/>
          <w:szCs w:val="24"/>
          <w:highlight w:val="none"/>
        </w:rPr>
      </w:pPr>
      <w:r>
        <w:rPr>
          <w:rFonts w:hint="eastAsia" w:ascii="宋体" w:hAnsi="宋体"/>
          <w:b/>
          <w:bCs/>
          <w:color w:val="000000"/>
          <w:sz w:val="24"/>
          <w:szCs w:val="24"/>
          <w:highlight w:val="none"/>
          <w:vertAlign w:val="superscript"/>
        </w:rPr>
        <w:t xml:space="preserve">1</w:t>
      </w:r>
      <w:r>
        <w:rPr>
          <w:rFonts w:hint="eastAsia" w:ascii="宋体" w:hAnsi="宋体"/>
          <w:color w:val="000000"/>
          <w:sz w:val="24"/>
          <w:szCs w:val="24"/>
          <w:highlight w:val="none"/>
        </w:rPr>
        <w:t xml:space="preserve">从业人员、营业收入、资产总额填报上一年度数据，无上一年度数据的新成立企业可不填报。</w:t>
      </w:r>
      <w:r>
        <w:rPr>
          <w:rFonts w:hint="eastAsia" w:ascii="宋体" w:hAnsi="宋体"/>
          <w:color w:val="000000"/>
          <w:sz w:val="24"/>
          <w:szCs w:val="24"/>
          <w:highlight w:val="none"/>
        </w:rPr>
      </w:r>
      <w:r/>
    </w:p>
    <w:p>
      <w:pPr>
        <w:pStyle w:val="884"/>
        <w:ind w:firstLine="422"/>
        <w:jc w:val="left"/>
        <w:spacing w:line="360" w:lineRule="auto"/>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备注：</w:t>
      </w:r>
      <w:r>
        <w:rPr>
          <w:rFonts w:hint="eastAsia" w:ascii="宋体" w:hAnsi="宋体"/>
          <w:b/>
          <w:bCs/>
          <w:color w:val="000000"/>
          <w:szCs w:val="21"/>
          <w:highlight w:val="none"/>
        </w:rPr>
      </w:r>
      <w:r/>
    </w:p>
    <w:p>
      <w:pPr>
        <w:pStyle w:val="884"/>
        <w:numPr>
          <w:ilvl w:val="0"/>
          <w:numId w:val="18"/>
        </w:numPr>
        <w:ind w:firstLine="422"/>
        <w:jc w:val="left"/>
        <w:spacing w:line="360" w:lineRule="auto"/>
        <w:shd w:val="clear" w:color="auto" w:fill="auto"/>
        <w:rPr>
          <w:rFonts w:hint="eastAsia"/>
          <w:color w:val="000000"/>
          <w:szCs w:val="21"/>
          <w:highlight w:val="none"/>
        </w:rPr>
      </w:pPr>
      <w:r>
        <w:rPr>
          <w:rFonts w:hint="eastAsia" w:ascii="宋体" w:hAnsi="宋体"/>
          <w:b/>
          <w:bCs/>
          <w:color w:val="000000"/>
          <w:szCs w:val="21"/>
          <w:highlight w:val="none"/>
        </w:rPr>
        <w:t xml:space="preserve">如供应商所投货物的制造商均为中小企业的，须由供应商在响应文件中提供加盖本单位公章的</w:t>
      </w:r>
      <w:r>
        <w:rPr>
          <w:rFonts w:hint="eastAsia" w:ascii="宋体" w:hAnsi="宋体"/>
          <w:b/>
          <w:color w:val="000000"/>
          <w:szCs w:val="21"/>
          <w:highlight w:val="none"/>
        </w:rPr>
        <w:t xml:space="preserve">声明</w:t>
      </w:r>
      <w:r>
        <w:rPr>
          <w:rFonts w:hint="eastAsia" w:ascii="宋体" w:hAnsi="宋体"/>
          <w:b/>
          <w:bCs/>
          <w:color w:val="000000"/>
          <w:szCs w:val="21"/>
          <w:highlight w:val="none"/>
        </w:rPr>
        <w:t xml:space="preserve">函，供应商应从制造商处获得充分、准确的信息，并对其出具的《中小企业声明函》真实性负责。</w:t>
      </w:r>
      <w:r>
        <w:rPr>
          <w:rFonts w:hint="eastAsia"/>
          <w:color w:val="000000"/>
          <w:szCs w:val="21"/>
          <w:highlight w:val="none"/>
        </w:rPr>
      </w:r>
      <w:r/>
    </w:p>
    <w:p>
      <w:pPr>
        <w:pStyle w:val="888"/>
        <w:shd w:val="clear" w:color="auto" w:fill="auto"/>
        <w:tabs>
          <w:tab w:val="left" w:pos="1134" w:leader="none"/>
          <w:tab w:val="right" w:pos="7371" w:leader="none"/>
        </w:tabs>
        <w:rPr>
          <w:rFonts w:hint="eastAsia"/>
          <w:color w:val="000000"/>
          <w:highlight w:val="none"/>
        </w:rPr>
      </w:pPr>
      <w:r>
        <w:rPr>
          <w:rFonts w:hint="eastAsia"/>
          <w:color w:val="000000"/>
          <w:highlight w:val="none"/>
        </w:rPr>
      </w:r>
      <w:r/>
    </w:p>
    <w:p>
      <w:pPr>
        <w:pStyle w:val="1058"/>
        <w:jc w:val="center"/>
        <w:spacing w:before="151" w:after="151" w:line="600" w:lineRule="exact"/>
        <w:shd w:val="clear" w:color="auto" w:fill="auto"/>
        <w:rPr>
          <w:rFonts w:hint="eastAsia" w:ascii="宋体"/>
          <w:b/>
          <w:bCs/>
          <w:color w:val="000000"/>
          <w:sz w:val="32"/>
          <w:szCs w:val="32"/>
          <w:highlight w:val="none"/>
        </w:rPr>
      </w:pPr>
      <w:r>
        <w:rPr>
          <w:rFonts w:hint="eastAsia" w:ascii="宋体"/>
          <w:b/>
          <w:bCs/>
          <w:color w:val="000000"/>
          <w:sz w:val="32"/>
          <w:szCs w:val="32"/>
          <w:highlight w:val="none"/>
        </w:rPr>
        <w:t xml:space="preserve">残疾人福利性单位声明函</w:t>
      </w:r>
      <w:r>
        <w:rPr>
          <w:rFonts w:hint="eastAsia" w:ascii="宋体"/>
          <w:b/>
          <w:bCs/>
          <w:color w:val="000000"/>
          <w:sz w:val="32"/>
          <w:szCs w:val="32"/>
          <w:highlight w:val="none"/>
        </w:rPr>
      </w:r>
      <w:r/>
    </w:p>
    <w:p>
      <w:pPr>
        <w:pStyle w:val="1269"/>
        <w:spacing w:line="588" w:lineRule="exact"/>
        <w:shd w:val="clear" w:color="auto" w:fill="auto"/>
        <w:rPr>
          <w:rFonts w:hint="eastAsia" w:ascii="仿宋_GB2312" w:eastAsia="仿宋_GB2312"/>
          <w:b/>
          <w:color w:val="000000"/>
          <w:spacing w:val="6"/>
          <w:sz w:val="30"/>
          <w:szCs w:val="30"/>
          <w:highlight w:val="none"/>
        </w:rPr>
      </w:pPr>
      <w:r>
        <w:rPr>
          <w:rFonts w:hint="eastAsia" w:ascii="仿宋_GB2312" w:eastAsia="仿宋_GB2312"/>
          <w:b/>
          <w:color w:val="000000"/>
          <w:spacing w:val="6"/>
          <w:sz w:val="30"/>
          <w:szCs w:val="30"/>
          <w:highlight w:val="none"/>
        </w:rPr>
      </w:r>
      <w:r/>
    </w:p>
    <w:p>
      <w:pPr>
        <w:pStyle w:val="1058"/>
        <w:ind w:firstLine="480"/>
        <w:spacing w:line="5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rPr>
          <w:rFonts w:hint="eastAsia" w:ascii="仿宋_GB2312" w:eastAsia="仿宋_GB2312"/>
          <w:color w:val="000000"/>
          <w:sz w:val="24"/>
          <w:highlight w:val="none"/>
        </w:rPr>
      </w:r>
      <w:r/>
    </w:p>
    <w:p>
      <w:pPr>
        <w:pStyle w:val="1058"/>
        <w:ind w:firstLine="480"/>
        <w:spacing w:line="500" w:lineRule="exact"/>
        <w:shd w:val="clear" w:color="auto" w:fill="auto"/>
        <w:rPr>
          <w:rFonts w:hint="eastAsia" w:ascii="方正仿宋_GBK" w:eastAsia="方正仿宋_GBK"/>
          <w:color w:val="000000"/>
          <w:sz w:val="24"/>
          <w:highlight w:val="none"/>
        </w:rPr>
      </w:pPr>
      <w:r>
        <w:rPr>
          <w:rFonts w:hint="eastAsia" w:ascii="仿宋_GB2312" w:eastAsia="仿宋_GB2312"/>
          <w:color w:val="000000"/>
          <w:sz w:val="24"/>
          <w:highlight w:val="none"/>
        </w:rPr>
        <w:t xml:space="preserve">本单位对上述声明的真实性负责。如有虚假，将依法承担相应责任。</w:t>
      </w:r>
      <w:r>
        <w:rPr>
          <w:rFonts w:hint="eastAsia" w:ascii="方正仿宋_GBK" w:eastAsia="方正仿宋_GBK"/>
          <w:color w:val="000000"/>
          <w:sz w:val="24"/>
          <w:highlight w:val="none"/>
        </w:rPr>
      </w:r>
      <w:r/>
    </w:p>
    <w:p>
      <w:pPr>
        <w:pStyle w:val="1269"/>
        <w:ind w:firstLine="504"/>
        <w:spacing w:line="588" w:lineRule="exact"/>
        <w:shd w:val="clear" w:color="auto" w:fill="auto"/>
        <w:rPr>
          <w:rFonts w:hint="eastAsia" w:ascii="仿宋_GB2312" w:eastAsia="仿宋_GB2312"/>
          <w:color w:val="000000"/>
          <w:spacing w:val="6"/>
          <w:sz w:val="24"/>
          <w:szCs w:val="24"/>
          <w:highlight w:val="none"/>
        </w:rPr>
      </w:pPr>
      <w:r>
        <w:rPr>
          <w:rFonts w:hint="eastAsia" w:ascii="仿宋_GB2312" w:eastAsia="仿宋_GB2312"/>
          <w:color w:val="000000"/>
          <w:spacing w:val="6"/>
          <w:sz w:val="24"/>
          <w:szCs w:val="24"/>
          <w:highlight w:val="none"/>
        </w:rPr>
      </w:r>
      <w:r/>
    </w:p>
    <w:p>
      <w:pPr>
        <w:pStyle w:val="1269"/>
        <w:ind w:firstLine="504"/>
        <w:spacing w:line="588" w:lineRule="exact"/>
        <w:shd w:val="clear" w:color="auto" w:fill="auto"/>
        <w:rPr>
          <w:rFonts w:hint="eastAsia" w:ascii="仿宋_GB2312" w:eastAsia="仿宋_GB2312"/>
          <w:color w:val="000000"/>
          <w:spacing w:val="6"/>
          <w:sz w:val="24"/>
          <w:szCs w:val="24"/>
          <w:highlight w:val="none"/>
        </w:rPr>
      </w:pPr>
      <w:r>
        <w:rPr>
          <w:rFonts w:hint="eastAsia" w:ascii="仿宋_GB2312" w:eastAsia="仿宋_GB2312"/>
          <w:color w:val="000000"/>
          <w:spacing w:val="6"/>
          <w:sz w:val="24"/>
          <w:szCs w:val="24"/>
          <w:highlight w:val="none"/>
        </w:rPr>
      </w:r>
      <w:r/>
    </w:p>
    <w:p>
      <w:pPr>
        <w:pStyle w:val="952"/>
        <w:ind w:firstLine="480"/>
        <w:jc w:val="both"/>
        <w:rPr>
          <w:rFonts w:hint="eastAsia" w:ascii="仿宋_GB2312" w:hAnsi="Times New Roman" w:eastAsia="仿宋_GB2312" w:cs="Times New Roman"/>
          <w:color w:val="000000"/>
          <w:sz w:val="24"/>
          <w:highlight w:val="none"/>
        </w:rPr>
      </w:pPr>
      <w:r>
        <w:rPr>
          <w:rFonts w:hint="eastAsia" w:ascii="仿宋_GB2312" w:eastAsia="仿宋_GB2312"/>
          <w:color w:val="000000"/>
          <w:sz w:val="24"/>
          <w:highlight w:val="none"/>
        </w:rPr>
        <w:t xml:space="preserve">单位名称：</w:t>
      </w:r>
      <w:r>
        <w:rPr>
          <w:rFonts w:hint="eastAsia" w:ascii="仿宋_GB2312" w:hAnsi="Times New Roman" w:eastAsia="仿宋_GB2312" w:cs="Times New Roman"/>
          <w:color w:val="000000"/>
          <w:sz w:val="24"/>
          <w:highlight w:val="none"/>
        </w:rPr>
        <w:t xml:space="preserve">（</w:t>
      </w:r>
      <w:r>
        <w:rPr>
          <w:rFonts w:hint="eastAsia" w:ascii="仿宋_GB2312" w:hAnsi="Times New Roman" w:eastAsia="仿宋_GB2312" w:cs="Times New Roman"/>
          <w:color w:val="000000"/>
          <w:sz w:val="24"/>
          <w:highlight w:val="none"/>
          <w:lang w:val="en-US" w:eastAsia="zh-CN"/>
        </w:rPr>
        <w:t xml:space="preserve">公</w:t>
      </w:r>
      <w:r>
        <w:rPr>
          <w:rFonts w:hint="eastAsia" w:ascii="仿宋_GB2312" w:hAnsi="Times New Roman" w:eastAsia="仿宋_GB2312" w:cs="Times New Roman"/>
          <w:color w:val="000000"/>
          <w:sz w:val="24"/>
          <w:highlight w:val="none"/>
        </w:rPr>
        <w:t xml:space="preserve">章）</w:t>
      </w:r>
      <w:r>
        <w:rPr>
          <w:rFonts w:hint="eastAsia" w:ascii="仿宋_GB2312" w:hAnsi="Times New Roman" w:eastAsia="仿宋_GB2312" w:cs="Times New Roman"/>
          <w:color w:val="000000"/>
          <w:sz w:val="24"/>
          <w:highlight w:val="none"/>
        </w:rPr>
      </w:r>
      <w:r/>
    </w:p>
    <w:p>
      <w:pPr>
        <w:pStyle w:val="1050"/>
        <w:ind w:firstLine="629"/>
        <w:spacing w:line="7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lang w:val="en-US" w:eastAsia="zh-CN"/>
        </w:rPr>
        <w:t xml:space="preserve">或签章</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1112"/>
        <w:ind w:firstLine="720"/>
        <w:shd w:val="clear" w:color="auto" w:fill="auto"/>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r>
      <w:r/>
    </w:p>
    <w:p>
      <w:pPr>
        <w:pStyle w:val="1112"/>
        <w:ind w:firstLine="4320"/>
        <w:shd w:val="clear" w:color="auto" w:fill="auto"/>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1178"/>
        <w:shd w:val="clear" w:color="auto" w:fill="auto"/>
        <w:rPr>
          <w:color w:val="000000"/>
          <w:highlight w:val="none"/>
        </w:rPr>
      </w:pPr>
      <w:r>
        <w:rPr>
          <w:color w:val="000000"/>
          <w:highlight w:val="none"/>
        </w:rPr>
      </w:r>
      <w:r/>
    </w:p>
    <w:p>
      <w:pPr>
        <w:pStyle w:val="1058"/>
        <w:shd w:val="clear" w:color="auto" w:fill="auto"/>
        <w:rPr>
          <w:rFonts w:hint="eastAsia"/>
          <w:color w:val="000000"/>
          <w:highlight w:val="none"/>
        </w:rPr>
      </w:pPr>
      <w:r>
        <w:rPr>
          <w:rFonts w:hint="eastAsia"/>
          <w:color w:val="000000"/>
          <w:highlight w:val="none"/>
        </w:rPr>
        <w:t xml:space="preserve">注：1、残疾人福利性单位应完整填写此函并提供相关证明材料；</w:t>
      </w:r>
      <w:r>
        <w:rPr>
          <w:rFonts w:hint="eastAsia"/>
          <w:color w:val="000000"/>
          <w:highlight w:val="none"/>
        </w:rPr>
      </w:r>
      <w:r/>
    </w:p>
    <w:p>
      <w:pPr>
        <w:pStyle w:val="1058"/>
        <w:ind w:firstLine="420"/>
        <w:shd w:val="clear" w:color="auto" w:fill="auto"/>
        <w:rPr>
          <w:rFonts w:hint="eastAsia"/>
          <w:color w:val="000000"/>
          <w:highlight w:val="none"/>
        </w:rPr>
      </w:pPr>
      <w:r>
        <w:rPr>
          <w:rFonts w:hint="eastAsia"/>
          <w:color w:val="000000"/>
          <w:highlight w:val="none"/>
        </w:rPr>
        <w:t xml:space="preserve">2、非残疾人福利性单位不需提供此声明函</w:t>
      </w:r>
      <w:r>
        <w:rPr>
          <w:rFonts w:hint="eastAsia"/>
          <w:color w:val="000000"/>
          <w:highlight w:val="none"/>
        </w:rPr>
      </w:r>
      <w:r/>
    </w:p>
    <w:p>
      <w:pPr>
        <w:pStyle w:val="1178"/>
        <w:shd w:val="clear" w:color="auto" w:fill="auto"/>
        <w:rPr>
          <w:color w:val="000000"/>
          <w:highlight w:val="none"/>
        </w:rPr>
        <w:outlineLvl w:val="1"/>
      </w:pPr>
      <w:r>
        <w:rPr>
          <w:color w:val="000000"/>
          <w:highlight w:val="none"/>
        </w:rPr>
      </w:r>
      <w:r/>
    </w:p>
    <w:p>
      <w:pPr>
        <w:pStyle w:val="1178"/>
        <w:shd w:val="clear" w:color="auto" w:fill="auto"/>
        <w:rPr>
          <w:color w:val="000000"/>
          <w:highlight w:val="none"/>
        </w:rPr>
        <w:outlineLvl w:val="1"/>
      </w:pPr>
      <w:r>
        <w:rPr>
          <w:color w:val="000000"/>
          <w:highlight w:val="none"/>
        </w:rPr>
      </w:r>
      <w:r/>
    </w:p>
    <w:p>
      <w:pPr>
        <w:pStyle w:val="1178"/>
        <w:shd w:val="clear" w:color="auto" w:fill="auto"/>
        <w:rPr>
          <w:color w:val="000000"/>
          <w:highlight w:val="none"/>
        </w:rPr>
        <w:outlineLvl w:val="1"/>
      </w:pPr>
      <w:r>
        <w:rPr>
          <w:color w:val="000000"/>
          <w:highlight w:val="none"/>
        </w:rPr>
      </w:r>
      <w:r/>
    </w:p>
    <w:p>
      <w:pPr>
        <w:pStyle w:val="1178"/>
        <w:shd w:val="clear" w:color="auto" w:fill="auto"/>
        <w:rPr>
          <w:color w:val="000000"/>
          <w:highlight w:val="none"/>
        </w:rPr>
        <w:outlineLvl w:val="1"/>
      </w:pPr>
      <w:r>
        <w:rPr>
          <w:color w:val="000000"/>
          <w:highlight w:val="none"/>
        </w:rPr>
      </w:r>
      <w:r/>
    </w:p>
    <w:p>
      <w:pPr>
        <w:pStyle w:val="1178"/>
        <w:shd w:val="clear" w:color="auto" w:fill="auto"/>
        <w:rPr>
          <w:color w:val="000000"/>
          <w:highlight w:val="none"/>
        </w:rPr>
        <w:outlineLvl w:val="1"/>
      </w:pPr>
      <w:r>
        <w:rPr>
          <w:color w:val="000000"/>
          <w:highlight w:val="none"/>
        </w:rPr>
      </w:r>
      <w:r/>
    </w:p>
    <w:p>
      <w:pPr>
        <w:pStyle w:val="1178"/>
        <w:shd w:val="clear" w:color="auto" w:fill="auto"/>
        <w:rPr>
          <w:color w:val="000000"/>
          <w:highlight w:val="none"/>
        </w:rPr>
        <w:outlineLvl w:val="1"/>
      </w:pPr>
      <w:r>
        <w:rPr>
          <w:color w:val="000000"/>
          <w:highlight w:val="none"/>
        </w:rPr>
      </w:r>
      <w:r/>
    </w:p>
    <w:p>
      <w:pPr>
        <w:pStyle w:val="1178"/>
        <w:shd w:val="clear" w:color="auto" w:fill="auto"/>
        <w:rPr>
          <w:color w:val="000000"/>
          <w:highlight w:val="none"/>
        </w:rPr>
        <w:outlineLvl w:val="1"/>
      </w:pPr>
      <w:r>
        <w:rPr>
          <w:color w:val="000000"/>
          <w:highlight w:val="none"/>
        </w:rPr>
      </w:r>
      <w:r/>
    </w:p>
    <w:p>
      <w:pPr>
        <w:pStyle w:val="884"/>
        <w:jc w:val="center"/>
        <w:spacing w:line="360" w:lineRule="auto"/>
        <w:shd w:val="clear" w:color="auto" w:fill="auto"/>
        <w:rPr>
          <w:rFonts w:hint="eastAsia" w:ascii="宋体" w:hAnsi="宋体"/>
          <w:b/>
          <w:bCs/>
          <w:color w:val="000000"/>
          <w:sz w:val="28"/>
          <w:szCs w:val="28"/>
          <w:highlight w:val="none"/>
        </w:rPr>
        <w:outlineLvl w:val="0"/>
      </w:pPr>
      <w:r>
        <w:rPr>
          <w:rFonts w:hint="eastAsia" w:ascii="宋体" w:hAnsi="宋体"/>
          <w:b/>
          <w:bCs/>
          <w:color w:val="000000"/>
          <w:sz w:val="28"/>
          <w:szCs w:val="28"/>
          <w:highlight w:val="none"/>
        </w:rPr>
      </w:r>
      <w:r/>
    </w:p>
    <w:p>
      <w:pPr>
        <w:pStyle w:val="884"/>
        <w:jc w:val="center"/>
        <w:spacing w:line="360" w:lineRule="auto"/>
        <w:shd w:val="clear" w:color="auto" w:fill="auto"/>
        <w:rPr>
          <w:rFonts w:hint="eastAsia" w:ascii="宋体" w:hAnsi="宋体"/>
          <w:b/>
          <w:bCs/>
          <w:color w:val="000000"/>
          <w:sz w:val="28"/>
          <w:szCs w:val="28"/>
          <w:highlight w:val="none"/>
        </w:rPr>
        <w:outlineLvl w:val="0"/>
      </w:pPr>
      <w:r>
        <w:rPr>
          <w:rFonts w:hint="eastAsia" w:ascii="宋体" w:hAnsi="宋体"/>
          <w:b/>
          <w:bCs/>
          <w:color w:val="000000"/>
          <w:sz w:val="28"/>
          <w:szCs w:val="28"/>
          <w:highlight w:val="none"/>
        </w:rPr>
        <w:t xml:space="preserve">属于监狱企业的证明文件</w:t>
      </w:r>
      <w:r>
        <w:rPr>
          <w:rFonts w:hint="eastAsia" w:ascii="宋体" w:hAnsi="宋体"/>
          <w:b/>
          <w:bCs/>
          <w:color w:val="000000"/>
          <w:sz w:val="28"/>
          <w:szCs w:val="28"/>
          <w:highlight w:val="none"/>
        </w:rPr>
      </w:r>
      <w:r/>
    </w:p>
    <w:p>
      <w:pPr>
        <w:pStyle w:val="884"/>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（提供由省级以上监狱管理局、戒毒管理局(含新疆生产建设兵团)出具的属于监狱企业的证明文件）</w:t>
      </w:r>
      <w:r>
        <w:rPr>
          <w:rFonts w:hint="eastAsia" w:ascii="宋体" w:hAnsi="宋体"/>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jc w:val="center"/>
        <w:spacing w:line="360" w:lineRule="auto"/>
        <w:shd w:val="clear" w:color="auto" w:fill="auto"/>
        <w:rPr>
          <w:rFonts w:hint="eastAsia" w:ascii="宋体" w:hAnsi="宋体"/>
          <w:b/>
          <w:bCs/>
          <w:color w:val="000000"/>
          <w:highlight w:val="none"/>
        </w:rPr>
        <w:outlineLvl w:val="0"/>
      </w:pPr>
      <w:r/>
      <w:bookmarkStart w:id="155" w:name="_Toc5876"/>
      <w:r/>
      <w:bookmarkEnd w:id="155"/>
      <w:r>
        <w:rPr>
          <w:rFonts w:hint="eastAsia" w:ascii="宋体" w:hAnsi="宋体"/>
          <w:b/>
          <w:bCs/>
          <w:color w:val="000000"/>
          <w:sz w:val="28"/>
          <w:szCs w:val="28"/>
          <w:highlight w:val="none"/>
        </w:rPr>
        <w:t xml:space="preserve">节能产品认证证书</w:t>
      </w:r>
      <w:r>
        <w:rPr>
          <w:rFonts w:hint="eastAsia" w:ascii="宋体" w:hAnsi="宋体"/>
          <w:b/>
          <w:bCs/>
          <w:color w:val="000000"/>
          <w:highlight w:val="none"/>
        </w:rPr>
      </w:r>
      <w:r/>
    </w:p>
    <w:p>
      <w:pPr>
        <w:pStyle w:val="884"/>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（提供国家确定的认证机构出具的、处于有效期之内的产品认证证书）</w:t>
      </w:r>
      <w:r>
        <w:rPr>
          <w:rFonts w:hint="eastAsia" w:ascii="宋体" w:hAnsi="宋体"/>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jc w:val="center"/>
        <w:spacing w:line="360" w:lineRule="auto"/>
        <w:shd w:val="clear" w:color="auto" w:fill="auto"/>
        <w:rPr>
          <w:rFonts w:hint="eastAsia" w:ascii="宋体" w:hAnsi="宋体"/>
          <w:b/>
          <w:bCs/>
          <w:color w:val="000000"/>
          <w:highlight w:val="none"/>
        </w:rPr>
        <w:outlineLvl w:val="0"/>
      </w:pPr>
      <w:r/>
      <w:bookmarkStart w:id="156" w:name="_Toc16386"/>
      <w:r/>
      <w:bookmarkEnd w:id="156"/>
      <w:r>
        <w:rPr>
          <w:rFonts w:hint="eastAsia" w:ascii="宋体" w:hAnsi="宋体"/>
          <w:b/>
          <w:bCs/>
          <w:color w:val="000000"/>
          <w:sz w:val="28"/>
          <w:szCs w:val="28"/>
          <w:highlight w:val="none"/>
        </w:rPr>
        <w:t xml:space="preserve">环境标志产品认证证书</w:t>
      </w:r>
      <w:r>
        <w:rPr>
          <w:rFonts w:hint="eastAsia" w:ascii="宋体" w:hAnsi="宋体"/>
          <w:b/>
          <w:bCs/>
          <w:color w:val="000000"/>
          <w:highlight w:val="none"/>
        </w:rPr>
      </w:r>
      <w:r/>
    </w:p>
    <w:p>
      <w:pPr>
        <w:pStyle w:val="884"/>
        <w:spacing w:line="360" w:lineRule="auto"/>
        <w:shd w:val="clear" w:color="auto" w:fill="auto"/>
        <w:rPr>
          <w:rFonts w:hint="eastAsia"/>
          <w:color w:val="000000"/>
          <w:highlight w:val="none"/>
        </w:rPr>
      </w:pPr>
      <w:r>
        <w:rPr>
          <w:rFonts w:hint="eastAsia" w:ascii="宋体" w:hAnsi="宋体"/>
          <w:color w:val="000000"/>
          <w:highlight w:val="none"/>
        </w:rPr>
        <w:t xml:space="preserve">（提供国家确定的认证机构出具的、处于有效期之内的产品认证证书）</w:t>
      </w:r>
      <w:r>
        <w:rPr>
          <w:rFonts w:hint="eastAsia"/>
          <w:color w:val="000000"/>
          <w:highlight w:val="none"/>
        </w:rPr>
      </w:r>
      <w:r/>
    </w:p>
    <w:p>
      <w:pPr>
        <w:pStyle w:val="884"/>
        <w:spacing w:line="360" w:lineRule="auto"/>
        <w:shd w:val="clear" w:color="auto" w:fill="auto"/>
        <w:rPr>
          <w:rFonts w:ascii="宋体" w:hAnsi="宋体"/>
          <w:b/>
          <w:bCs/>
          <w:color w:val="000000"/>
          <w:highlight w:val="none"/>
        </w:rPr>
      </w:pPr>
      <w:r>
        <w:rPr>
          <w:rFonts w:hint="eastAsia" w:ascii="宋体" w:hAnsi="宋体"/>
          <w:b/>
          <w:bCs/>
          <w:color w:val="000000"/>
          <w:highlight w:val="none"/>
        </w:rPr>
        <w:t xml:space="preserve"> </w:t>
      </w:r>
      <w:r>
        <w:rPr>
          <w:rFonts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spacing w:line="360" w:lineRule="auto"/>
        <w:shd w:val="clear" w:color="auto" w:fill="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884"/>
        <w:jc w:val="center"/>
        <w:spacing w:line="360" w:lineRule="auto"/>
        <w:shd w:val="clear" w:color="auto" w:fill="auto"/>
        <w:rPr>
          <w:rFonts w:hint="eastAsia" w:ascii="宋体" w:hAnsi="宋体"/>
          <w:b/>
          <w:bCs/>
          <w:color w:val="000000"/>
          <w:sz w:val="28"/>
          <w:szCs w:val="28"/>
          <w:highlight w:val="none"/>
        </w:rPr>
        <w:outlineLvl w:val="0"/>
      </w:pPr>
      <w:r/>
      <w:bookmarkStart w:id="157" w:name="_Toc1060"/>
      <w:r/>
      <w:bookmarkEnd w:id="157"/>
      <w:r>
        <w:rPr>
          <w:rFonts w:hint="eastAsia" w:ascii="宋体" w:hAnsi="宋体"/>
          <w:b/>
          <w:bCs/>
          <w:color w:val="000000"/>
          <w:sz w:val="28"/>
          <w:szCs w:val="28"/>
          <w:highlight w:val="none"/>
        </w:rPr>
        <w:t xml:space="preserve">进口产品转让技术、消化吸收再创新方案</w:t>
      </w:r>
      <w:r>
        <w:rPr>
          <w:rFonts w:hint="eastAsia" w:ascii="宋体" w:hAnsi="宋体"/>
          <w:b/>
          <w:bCs/>
          <w:color w:val="000000"/>
          <w:sz w:val="28"/>
          <w:szCs w:val="28"/>
          <w:highlight w:val="none"/>
        </w:rPr>
      </w:r>
      <w:r/>
    </w:p>
    <w:p>
      <w:pPr>
        <w:pStyle w:val="884"/>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（对于允许进口产品参加的项目）</w:t>
      </w:r>
      <w:r>
        <w:rPr>
          <w:rFonts w:hint="eastAsia" w:ascii="宋体" w:hAnsi="宋体"/>
          <w:color w:val="000000"/>
          <w:highlight w:val="none"/>
        </w:rPr>
      </w:r>
      <w:r/>
    </w:p>
    <w:p>
      <w:pPr>
        <w:pStyle w:val="1178"/>
        <w:shd w:val="clear" w:color="auto" w:fill="auto"/>
        <w:rPr>
          <w:color w:val="000000"/>
          <w:highlight w:val="none"/>
        </w:rPr>
        <w:outlineLvl w:val="1"/>
      </w:pPr>
      <w:r>
        <w:rPr>
          <w:color w:val="000000"/>
          <w:highlight w:val="none"/>
        </w:rPr>
      </w:r>
      <w:r/>
    </w:p>
    <w:p>
      <w:pPr>
        <w:pStyle w:val="1178"/>
        <w:shd w:val="clear" w:color="auto" w:fill="auto"/>
        <w:rPr>
          <w:color w:val="000000"/>
          <w:highlight w:val="none"/>
        </w:rPr>
        <w:outlineLvl w:val="1"/>
      </w:pPr>
      <w:r>
        <w:rPr>
          <w:color w:val="000000"/>
          <w:highlight w:val="none"/>
        </w:rPr>
      </w:r>
      <w:r/>
    </w:p>
    <w:p>
      <w:pPr>
        <w:pStyle w:val="1178"/>
        <w:shd w:val="clear" w:color="auto" w:fill="auto"/>
        <w:rPr>
          <w:color w:val="000000"/>
          <w:highlight w:val="none"/>
        </w:rPr>
        <w:outlineLvl w:val="1"/>
      </w:pPr>
      <w:r>
        <w:rPr>
          <w:color w:val="000000"/>
          <w:highlight w:val="none"/>
        </w:rPr>
      </w:r>
      <w:r/>
    </w:p>
    <w:p>
      <w:pPr>
        <w:pStyle w:val="1178"/>
        <w:shd w:val="clear" w:color="auto" w:fill="auto"/>
        <w:rPr>
          <w:color w:val="000000"/>
          <w:highlight w:val="none"/>
        </w:rPr>
        <w:outlineLvl w:val="1"/>
      </w:pPr>
      <w:r/>
      <w:bookmarkStart w:id="158" w:name="_Toc514054497"/>
      <w:r/>
      <w:bookmarkStart w:id="159" w:name="_Toc16234"/>
      <w:r>
        <w:rPr>
          <w:color w:val="000000"/>
          <w:highlight w:val="none"/>
        </w:rPr>
        <w:t xml:space="preserve">十二、响应偏差表</w:t>
      </w:r>
      <w:bookmarkEnd w:id="158"/>
      <w:r/>
      <w:bookmarkEnd w:id="159"/>
      <w:r>
        <w:rPr>
          <w:color w:val="000000"/>
          <w:highlight w:val="none"/>
        </w:rPr>
      </w:r>
      <w:r/>
    </w:p>
    <w:p>
      <w:pPr>
        <w:pStyle w:val="989"/>
        <w:jc w:val="center"/>
        <w:shd w:val="clear" w:color="auto" w:fill="auto"/>
        <w:rPr>
          <w:rFonts w:hint="eastAsia"/>
          <w:color w:val="000000"/>
          <w:sz w:val="32"/>
          <w:szCs w:val="32"/>
          <w:highlight w:val="none"/>
        </w:rPr>
      </w:pPr>
      <w:r/>
      <w:bookmarkStart w:id="160" w:name="_Toc29509_WPSOffice_Level2"/>
      <w:r>
        <w:rPr>
          <w:rFonts w:hint="eastAsia"/>
          <w:color w:val="000000"/>
          <w:sz w:val="32"/>
          <w:szCs w:val="32"/>
          <w:highlight w:val="none"/>
        </w:rPr>
        <w:t xml:space="preserve">（一）投标技术响应偏差表</w:t>
      </w:r>
      <w:bookmarkEnd w:id="160"/>
      <w:r>
        <w:rPr>
          <w:rFonts w:hint="eastAsia"/>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trHeight w:val="674"/>
        </w:trPr>
        <w:tc>
          <w:tcPr>
            <w:tcW w:w="1201" w:type="dxa"/>
            <w:vAlign w:val="center"/>
            <w:textDirection w:val="lrTb"/>
            <w:noWrap w:val="false"/>
          </w:tcPr>
          <w:p>
            <w:pPr>
              <w:pStyle w:val="989"/>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hint="eastAsia" w:ascii="仿宋_GB2312" w:eastAsia="仿宋_GB2312"/>
                <w:color w:val="000000"/>
                <w:sz w:val="28"/>
                <w:szCs w:val="28"/>
                <w:highlight w:val="none"/>
              </w:rPr>
            </w:r>
            <w:r/>
          </w:p>
        </w:tc>
        <w:tc>
          <w:tcPr>
            <w:tcW w:w="2351" w:type="dxa"/>
            <w:vAlign w:val="center"/>
            <w:textDirection w:val="lrTb"/>
            <w:noWrap w:val="false"/>
          </w:tcPr>
          <w:p>
            <w:pPr>
              <w:pStyle w:val="989"/>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招标文件内容</w:t>
            </w:r>
            <w:r>
              <w:rPr>
                <w:rFonts w:hint="eastAsia" w:ascii="仿宋_GB2312" w:eastAsia="仿宋_GB2312"/>
                <w:color w:val="000000"/>
                <w:sz w:val="28"/>
                <w:szCs w:val="28"/>
                <w:highlight w:val="none"/>
              </w:rPr>
            </w:r>
            <w:r/>
          </w:p>
        </w:tc>
        <w:tc>
          <w:tcPr>
            <w:tcW w:w="2601" w:type="dxa"/>
            <w:vAlign w:val="center"/>
            <w:textDirection w:val="lrTb"/>
            <w:noWrap w:val="false"/>
          </w:tcPr>
          <w:p>
            <w:pPr>
              <w:pStyle w:val="989"/>
              <w:jc w:val="center"/>
              <w:spacing w:before="100" w:beforeAutospacing="1" w:line="560" w:lineRule="exact"/>
              <w:shd w:val="clear" w:color="auto" w:fill="auto"/>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投标文件内容</w:t>
            </w:r>
            <w:r>
              <w:rPr>
                <w:rFonts w:ascii="仿宋_GB2312" w:eastAsia="仿宋_GB2312"/>
                <w:color w:val="000000"/>
                <w:sz w:val="28"/>
                <w:szCs w:val="28"/>
                <w:highlight w:val="none"/>
              </w:rPr>
            </w:r>
            <w:r/>
          </w:p>
        </w:tc>
        <w:tc>
          <w:tcPr>
            <w:tcW w:w="2765" w:type="dxa"/>
            <w:vAlign w:val="center"/>
            <w:textDirection w:val="lrTb"/>
            <w:noWrap w:val="false"/>
          </w:tcPr>
          <w:p>
            <w:pPr>
              <w:pStyle w:val="989"/>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偏差内容及说明</w:t>
            </w:r>
            <w:r>
              <w:rPr>
                <w:rFonts w:hint="eastAsia" w:ascii="仿宋_GB2312" w:eastAsia="仿宋_GB2312"/>
                <w:color w:val="000000"/>
                <w:sz w:val="28"/>
                <w:szCs w:val="28"/>
                <w:highlight w:val="none"/>
              </w:rPr>
            </w:r>
            <w:r/>
          </w:p>
        </w:tc>
      </w:tr>
      <w:tr>
        <w:trPr>
          <w:trHeight w:val="674"/>
        </w:trPr>
        <w:tc>
          <w:tcPr>
            <w:tcW w:w="12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35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765"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4"/>
        </w:trPr>
        <w:tc>
          <w:tcPr>
            <w:tcW w:w="12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35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765"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4"/>
        </w:trPr>
        <w:tc>
          <w:tcPr>
            <w:tcW w:w="12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35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765"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4"/>
        </w:trPr>
        <w:tc>
          <w:tcPr>
            <w:tcW w:w="12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35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765"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4"/>
        </w:trPr>
        <w:tc>
          <w:tcPr>
            <w:tcW w:w="12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35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765"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4"/>
        </w:trPr>
        <w:tc>
          <w:tcPr>
            <w:tcW w:w="12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35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765"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4"/>
        </w:trPr>
        <w:tc>
          <w:tcPr>
            <w:tcW w:w="12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35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765"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4"/>
        </w:trPr>
        <w:tc>
          <w:tcPr>
            <w:tcW w:w="12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35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765"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4"/>
        </w:trPr>
        <w:tc>
          <w:tcPr>
            <w:tcW w:w="12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35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765"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84"/>
        </w:trPr>
        <w:tc>
          <w:tcPr>
            <w:tcW w:w="12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35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01"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765"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bl>
    <w:p>
      <w:pPr>
        <w:pStyle w:val="989"/>
        <w:jc w:val="center"/>
        <w:shd w:val="clear" w:color="auto" w:fill="auto"/>
        <w:rPr>
          <w:rFonts w:hint="eastAsia"/>
          <w:color w:val="000000"/>
          <w:sz w:val="22"/>
          <w:highlight w:val="none"/>
        </w:rPr>
      </w:pPr>
      <w:r>
        <w:rPr>
          <w:rFonts w:hint="eastAsia"/>
          <w:color w:val="000000"/>
          <w:sz w:val="22"/>
          <w:highlight w:val="none"/>
        </w:rPr>
      </w:r>
      <w:r/>
    </w:p>
    <w:p>
      <w:pPr>
        <w:pStyle w:val="1050"/>
        <w:ind w:firstLine="629"/>
        <w:spacing w:line="700" w:lineRule="exact"/>
        <w:shd w:val="clear" w:color="auto" w:fill="auto"/>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1050"/>
        <w:ind w:firstLine="629"/>
        <w:spacing w:line="7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lang w:val="en-US" w:eastAsia="zh-CN"/>
        </w:rPr>
        <w:t xml:space="preserve">或签章</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988"/>
        <w:ind w:firstLine="482"/>
        <w:shd w:val="clear" w:color="auto" w:fill="auto"/>
        <w:rPr>
          <w:rFonts w:hint="eastAsia" w:hAnsi="宋体"/>
          <w:b/>
          <w:bCs/>
          <w:color w:val="000000"/>
          <w:sz w:val="24"/>
          <w:szCs w:val="28"/>
          <w:highlight w:val="none"/>
        </w:rPr>
      </w:pPr>
      <w:r>
        <w:rPr>
          <w:rFonts w:hint="eastAsia" w:hAnsi="宋体"/>
          <w:b/>
          <w:bCs/>
          <w:color w:val="000000"/>
          <w:sz w:val="24"/>
          <w:szCs w:val="28"/>
          <w:highlight w:val="none"/>
        </w:rPr>
      </w:r>
      <w:r/>
    </w:p>
    <w:p>
      <w:pPr>
        <w:pStyle w:val="988"/>
        <w:shd w:val="clear" w:color="auto" w:fill="auto"/>
        <w:rPr>
          <w:rFonts w:hint="eastAsia" w:hAnsi="宋体"/>
          <w:b/>
          <w:bCs/>
          <w:color w:val="000000"/>
          <w:sz w:val="24"/>
          <w:szCs w:val="28"/>
          <w:highlight w:val="none"/>
        </w:rPr>
      </w:pPr>
      <w:r>
        <w:rPr>
          <w:rFonts w:hint="eastAsia" w:hAnsi="宋体"/>
          <w:b/>
          <w:bCs/>
          <w:color w:val="000000"/>
          <w:sz w:val="24"/>
          <w:szCs w:val="28"/>
          <w:highlight w:val="none"/>
        </w:rPr>
        <w:t xml:space="preserve">1、凡投标文件中所投货物或服务与招标文件有偏差的（包括正偏差，负偏差），均应在此表中详细列出并说明理由。第四部分技术要求须逐条应答。</w:t>
      </w:r>
      <w:r>
        <w:rPr>
          <w:rFonts w:hint="eastAsia" w:hAnsi="宋体"/>
          <w:b/>
          <w:bCs/>
          <w:color w:val="000000"/>
          <w:sz w:val="24"/>
          <w:szCs w:val="28"/>
          <w:highlight w:val="none"/>
        </w:rPr>
      </w:r>
      <w:r/>
    </w:p>
    <w:p>
      <w:pPr>
        <w:pStyle w:val="989"/>
        <w:spacing w:line="360" w:lineRule="auto"/>
        <w:shd w:val="clear" w:color="auto" w:fill="auto"/>
        <w:rPr>
          <w:rFonts w:hint="eastAsia" w:ascii="宋体" w:hAnsi="宋体"/>
          <w:b/>
          <w:bCs/>
          <w:color w:val="000000"/>
          <w:sz w:val="24"/>
          <w:szCs w:val="28"/>
          <w:highlight w:val="none"/>
        </w:rPr>
      </w:pPr>
      <w:r>
        <w:rPr>
          <w:rFonts w:hint="eastAsia" w:ascii="宋体" w:hAnsi="宋体"/>
          <w:b/>
          <w:bCs/>
          <w:color w:val="000000"/>
          <w:sz w:val="24"/>
          <w:szCs w:val="28"/>
          <w:highlight w:val="none"/>
        </w:rPr>
        <w:t xml:space="preserve">2、投标人所投产品如与招标文件要求的规格及配置不一致，则须在上表偏离说明中详细注明。</w:t>
      </w:r>
      <w:r>
        <w:rPr>
          <w:rFonts w:hint="eastAsia" w:ascii="宋体" w:hAnsi="宋体"/>
          <w:b/>
          <w:bCs/>
          <w:color w:val="000000"/>
          <w:sz w:val="24"/>
          <w:szCs w:val="28"/>
          <w:highlight w:val="none"/>
        </w:rPr>
      </w:r>
      <w:r/>
    </w:p>
    <w:p>
      <w:pPr>
        <w:pStyle w:val="1316"/>
        <w:jc w:val="center"/>
        <w:shd w:val="clear" w:color="auto" w:fill="auto"/>
        <w:rPr>
          <w:rFonts w:hint="eastAsia"/>
          <w:color w:val="000000"/>
          <w:highlight w:val="none"/>
          <w:lang w:eastAsia="zh-CN"/>
        </w:rPr>
      </w:pPr>
      <w:r>
        <w:rPr>
          <w:rFonts w:hint="eastAsia"/>
          <w:color w:val="000000"/>
          <w:highlight w:val="none"/>
          <w:lang w:eastAsia="zh-CN"/>
        </w:rPr>
      </w:r>
      <w:r/>
    </w:p>
    <w:p>
      <w:pPr>
        <w:pStyle w:val="1316"/>
        <w:jc w:val="center"/>
        <w:shd w:val="clear" w:color="auto" w:fill="auto"/>
        <w:rPr>
          <w:rFonts w:hint="eastAsia"/>
          <w:color w:val="000000"/>
          <w:highlight w:val="none"/>
          <w:lang w:eastAsia="zh-CN"/>
        </w:rPr>
      </w:pPr>
      <w:r>
        <w:rPr>
          <w:rFonts w:hint="eastAsia"/>
          <w:color w:val="000000"/>
          <w:highlight w:val="none"/>
          <w:lang w:eastAsia="zh-CN"/>
        </w:rPr>
      </w:r>
      <w:r/>
    </w:p>
    <w:p>
      <w:pPr>
        <w:pStyle w:val="1316"/>
        <w:jc w:val="center"/>
        <w:shd w:val="clear" w:color="auto" w:fill="auto"/>
        <w:rPr>
          <w:rFonts w:hint="eastAsia"/>
          <w:color w:val="000000"/>
          <w:highlight w:val="none"/>
          <w:lang w:eastAsia="zh-CN"/>
        </w:rPr>
      </w:pPr>
      <w:r>
        <w:rPr>
          <w:rFonts w:hint="eastAsia"/>
          <w:color w:val="000000"/>
          <w:highlight w:val="none"/>
          <w:lang w:eastAsia="zh-CN"/>
        </w:rPr>
      </w:r>
      <w:r/>
    </w:p>
    <w:p>
      <w:pPr>
        <w:pStyle w:val="1316"/>
        <w:jc w:val="center"/>
        <w:shd w:val="clear" w:color="auto" w:fill="auto"/>
        <w:rPr>
          <w:rFonts w:hint="eastAsia"/>
          <w:color w:val="000000"/>
          <w:highlight w:val="none"/>
          <w:lang w:eastAsia="zh-CN"/>
        </w:rPr>
        <w:outlineLvl w:val="1"/>
      </w:pPr>
      <w:r/>
      <w:bookmarkStart w:id="161" w:name="_Toc514054498"/>
      <w:r/>
      <w:bookmarkStart w:id="162" w:name="_Toc3171_WPSOffice_Level2"/>
      <w:r/>
      <w:bookmarkStart w:id="163" w:name="_Toc9396"/>
      <w:r>
        <w:rPr>
          <w:rFonts w:hint="eastAsia"/>
          <w:color w:val="000000"/>
          <w:highlight w:val="none"/>
          <w:lang w:eastAsia="zh-CN"/>
        </w:rPr>
        <w:t xml:space="preserve">（二）投标商务偏离表</w:t>
      </w:r>
      <w:bookmarkEnd w:id="161"/>
      <w:r/>
      <w:bookmarkEnd w:id="162"/>
      <w:r/>
      <w:bookmarkEnd w:id="163"/>
      <w:r>
        <w:rPr>
          <w:rFonts w:hint="eastAsia"/>
          <w:color w:val="000000"/>
          <w:highlight w:val="none"/>
          <w:lang w:eastAsia="zh-CN"/>
        </w:rPr>
      </w:r>
      <w:r/>
    </w:p>
    <w:tbl>
      <w:tblPr>
        <w:tblW w:w="100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gridCol w:w="1517"/>
      </w:tblGrid>
      <w:tr>
        <w:trPr>
          <w:trHeight w:val="672"/>
        </w:trPr>
        <w:tc>
          <w:tcPr>
            <w:tcW w:w="3143" w:type="dxa"/>
            <w:vAlign w:val="center"/>
            <w:textDirection w:val="lrTb"/>
            <w:noWrap w:val="false"/>
          </w:tcPr>
          <w:p>
            <w:pPr>
              <w:pStyle w:val="989"/>
              <w:jc w:val="center"/>
              <w:spacing w:before="100" w:beforeAutospacing="1" w:line="560" w:lineRule="exact"/>
              <w:shd w:val="clear" w:color="auto" w:fill="auto"/>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招标文件内容</w:t>
            </w:r>
            <w:r>
              <w:rPr>
                <w:rFonts w:ascii="仿宋_GB2312" w:eastAsia="仿宋_GB2312"/>
                <w:color w:val="000000"/>
                <w:sz w:val="28"/>
                <w:szCs w:val="28"/>
                <w:highlight w:val="none"/>
              </w:rPr>
            </w:r>
            <w:r/>
          </w:p>
        </w:tc>
        <w:tc>
          <w:tcPr>
            <w:tcW w:w="2682" w:type="dxa"/>
            <w:vAlign w:val="center"/>
            <w:textDirection w:val="lrTb"/>
            <w:noWrap w:val="false"/>
          </w:tcPr>
          <w:p>
            <w:pPr>
              <w:pStyle w:val="989"/>
              <w:jc w:val="center"/>
              <w:spacing w:before="100" w:beforeAutospacing="1" w:line="560" w:lineRule="exact"/>
              <w:shd w:val="clear" w:color="auto" w:fill="auto"/>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投标文件内容</w:t>
            </w:r>
            <w:r>
              <w:rPr>
                <w:rFonts w:ascii="仿宋_GB2312" w:eastAsia="仿宋_GB2312"/>
                <w:color w:val="000000"/>
                <w:sz w:val="28"/>
                <w:szCs w:val="28"/>
                <w:highlight w:val="none"/>
              </w:rPr>
            </w:r>
            <w:r/>
          </w:p>
        </w:tc>
        <w:tc>
          <w:tcPr>
            <w:tcW w:w="2682" w:type="dxa"/>
            <w:vAlign w:val="center"/>
            <w:textDirection w:val="lrTb"/>
            <w:noWrap w:val="false"/>
          </w:tcPr>
          <w:p>
            <w:pPr>
              <w:pStyle w:val="989"/>
              <w:jc w:val="center"/>
              <w:spacing w:before="100" w:beforeAutospacing="1" w:line="560" w:lineRule="exact"/>
              <w:shd w:val="clear" w:color="auto" w:fill="auto"/>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偏差内容及说明</w:t>
            </w:r>
            <w:r>
              <w:rPr>
                <w:rFonts w:ascii="仿宋_GB2312" w:eastAsia="仿宋_GB2312"/>
                <w:color w:val="000000"/>
                <w:sz w:val="28"/>
                <w:szCs w:val="28"/>
                <w:highlight w:val="none"/>
              </w:rPr>
            </w:r>
            <w:r/>
          </w:p>
        </w:tc>
        <w:tc>
          <w:tcPr>
            <w:tcW w:w="1517" w:type="dxa"/>
            <w:vAlign w:val="center"/>
            <w:textDirection w:val="lrTb"/>
            <w:noWrap w:val="false"/>
          </w:tcPr>
          <w:p>
            <w:pPr>
              <w:pStyle w:val="989"/>
              <w:jc w:val="center"/>
              <w:spacing w:before="100" w:beforeAutospacing="1" w:line="560" w:lineRule="exact"/>
              <w:shd w:val="clear" w:color="auto" w:fill="auto"/>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页码</w:t>
            </w:r>
            <w:r>
              <w:rPr>
                <w:rFonts w:hint="eastAsia" w:ascii="仿宋_GB2312" w:eastAsia="仿宋_GB2312"/>
                <w:color w:val="000000"/>
                <w:sz w:val="28"/>
                <w:szCs w:val="28"/>
                <w:highlight w:val="none"/>
              </w:rPr>
            </w:r>
            <w:r/>
          </w:p>
        </w:tc>
      </w:tr>
      <w:tr>
        <w:trPr>
          <w:trHeight w:val="672"/>
        </w:trPr>
        <w:tc>
          <w:tcPr>
            <w:tcW w:w="3143"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989"/>
              <w:jc w:val="center"/>
              <w:spacing w:line="560" w:lineRule="exact"/>
              <w:shd w:val="clear" w:color="auto" w:fill="auto"/>
              <w:rPr>
                <w:rFonts w:ascii="仿宋_GB2312" w:eastAsia="仿宋_GB2312"/>
                <w:color w:val="000000"/>
                <w:sz w:val="24"/>
                <w:highlight w:val="none"/>
              </w:rPr>
            </w:pPr>
            <w:r>
              <w:rPr>
                <w:rFonts w:ascii="仿宋_GB2312" w:eastAsia="仿宋_GB2312"/>
                <w:color w:val="000000"/>
                <w:sz w:val="24"/>
                <w:highlight w:val="none"/>
              </w:rPr>
            </w:r>
            <w:r/>
          </w:p>
        </w:tc>
      </w:tr>
    </w:tbl>
    <w:p>
      <w:pPr>
        <w:pStyle w:val="952"/>
        <w:ind w:firstLine="480"/>
        <w:jc w:val="both"/>
        <w:rPr>
          <w:rFonts w:hint="eastAsia" w:ascii="仿宋_GB2312" w:hAnsi="Times New Roman" w:eastAsia="仿宋_GB2312" w:cs="Times New Roman"/>
          <w:color w:val="000000"/>
          <w:sz w:val="24"/>
          <w:highlight w:val="non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lang w:val="en-US" w:eastAsia="zh-CN"/>
        </w:rPr>
        <w:t xml:space="preserve">     </w:t>
      </w:r>
      <w:r>
        <w:rPr>
          <w:rFonts w:hint="eastAsia" w:ascii="仿宋_GB2312" w:hAnsi="Times New Roman" w:eastAsia="仿宋_GB2312" w:cs="Times New Roman"/>
          <w:color w:val="000000"/>
          <w:sz w:val="24"/>
          <w:highlight w:val="none"/>
        </w:rPr>
      </w:r>
      <w:r/>
    </w:p>
    <w:p>
      <w:pPr>
        <w:pStyle w:val="1050"/>
        <w:ind w:firstLine="629"/>
        <w:spacing w:line="700" w:lineRule="exact"/>
        <w:shd w:val="clear" w:color="auto" w:fill="auto"/>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lang w:val="en-US" w:eastAsia="zh-CN"/>
        </w:rPr>
        <w:t xml:space="preserve">或签章</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1050"/>
        <w:ind w:firstLine="629"/>
        <w:spacing w:line="700" w:lineRule="exact"/>
        <w:shd w:val="clear" w:color="auto" w:fill="auto"/>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r>
      <w:r/>
    </w:p>
    <w:p>
      <w:pPr>
        <w:pStyle w:val="989"/>
        <w:spacing w:line="360" w:lineRule="auto"/>
        <w:shd w:val="clear" w:color="auto" w:fill="auto"/>
        <w:rPr>
          <w:rFonts w:hint="eastAsia" w:ascii="宋体" w:hAnsi="宋体"/>
          <w:b/>
          <w:bCs/>
          <w:color w:val="000000"/>
          <w:sz w:val="24"/>
          <w:szCs w:val="28"/>
          <w:highlight w:val="none"/>
        </w:rPr>
      </w:pPr>
      <w:r>
        <w:rPr>
          <w:rFonts w:hint="eastAsia" w:ascii="宋体" w:hAnsi="宋体"/>
          <w:b/>
          <w:bCs/>
          <w:color w:val="000000"/>
          <w:sz w:val="24"/>
          <w:szCs w:val="28"/>
          <w:highlight w:val="none"/>
        </w:rPr>
        <w:t xml:space="preserve">1、投标人商务条件如与招标文件要求的不一致，则须在上表偏离说明中详细注明。</w:t>
      </w:r>
      <w:r>
        <w:rPr>
          <w:rFonts w:hint="eastAsia" w:ascii="宋体" w:hAnsi="宋体"/>
          <w:b/>
          <w:bCs/>
          <w:color w:val="000000"/>
          <w:sz w:val="24"/>
          <w:szCs w:val="28"/>
          <w:highlight w:val="none"/>
        </w:rPr>
      </w:r>
      <w:r/>
    </w:p>
    <w:p>
      <w:pPr>
        <w:pStyle w:val="1316"/>
        <w:shd w:val="clear" w:color="auto" w:fill="auto"/>
        <w:rPr>
          <w:color w:val="000000"/>
          <w:highlight w:val="none"/>
        </w:rPr>
        <w:outlineLvl w:val="1"/>
      </w:pPr>
      <w:r/>
      <w:bookmarkStart w:id="164" w:name="_Toc514054500"/>
      <w:r>
        <w:rPr>
          <w:color w:val="000000"/>
          <w:highlight w:val="none"/>
        </w:rPr>
        <w:br w:type="page" w:clear="all"/>
      </w:r>
      <w:bookmarkStart w:id="165" w:name="_Toc14591"/>
      <w:r>
        <w:rPr>
          <w:color w:val="000000"/>
          <w:highlight w:val="none"/>
        </w:rPr>
        <w:t xml:space="preserve">十三、所投产品技术资料或样本等</w:t>
      </w:r>
      <w:bookmarkEnd w:id="164"/>
      <w:r/>
      <w:bookmarkEnd w:id="165"/>
      <w:r>
        <w:rPr>
          <w:color w:val="000000"/>
          <w:highlight w:val="none"/>
        </w:rPr>
      </w:r>
      <w:r/>
    </w:p>
    <w:p>
      <w:pPr>
        <w:pStyle w:val="1051"/>
        <w:shd w:val="clear" w:color="auto" w:fill="auto"/>
        <w:rPr>
          <w:rFonts w:hint="eastAsia"/>
          <w:color w:val="000000"/>
          <w:szCs w:val="21"/>
          <w:highlight w:val="none"/>
        </w:rPr>
      </w:pPr>
      <w:r>
        <w:rPr>
          <w:rFonts w:hint="eastAsia" w:ascii="宋体"/>
          <w:bCs/>
          <w:color w:val="000000"/>
          <w:szCs w:val="21"/>
          <w:highlight w:val="none"/>
        </w:rPr>
        <w:t xml:space="preserve">格式自拟，可附相关产品技术彩页</w:t>
      </w:r>
      <w:r>
        <w:rPr>
          <w:rFonts w:hint="eastAsia"/>
          <w:color w:val="000000"/>
          <w:szCs w:val="21"/>
          <w:highlight w:val="none"/>
        </w:rPr>
      </w:r>
      <w:r/>
    </w:p>
    <w:p>
      <w:pPr>
        <w:pStyle w:val="1085"/>
        <w:shd w:val="clear" w:color="auto" w:fill="auto"/>
        <w:rPr>
          <w:color w:val="000000"/>
          <w:highlight w:val="none"/>
        </w:rPr>
        <w:outlineLvl w:val="1"/>
      </w:pPr>
      <w:r>
        <w:rPr>
          <w:color w:val="000000"/>
          <w:highlight w:val="none"/>
        </w:rPr>
        <w:br w:type="page" w:clear="all"/>
      </w:r>
      <w:bookmarkStart w:id="166" w:name="_Toc23522_WPSOffice_Level2"/>
      <w:r/>
      <w:bookmarkStart w:id="167" w:name="_Toc27623"/>
      <w:r/>
      <w:bookmarkStart w:id="168" w:name="_Toc514054501"/>
      <w:r>
        <w:rPr>
          <w:color w:val="000000"/>
          <w:highlight w:val="none"/>
        </w:rPr>
        <w:t xml:space="preserve">十四、主要部件、辅材明细表</w:t>
      </w:r>
      <w:bookmarkEnd w:id="166"/>
      <w:r/>
      <w:bookmarkEnd w:id="167"/>
      <w:r/>
      <w:bookmarkEnd w:id="168"/>
      <w:r>
        <w:rPr>
          <w:color w:val="000000"/>
          <w:highlight w:val="none"/>
        </w:rPr>
      </w:r>
      <w:r/>
    </w:p>
    <w:p>
      <w:pPr>
        <w:pStyle w:val="1157"/>
        <w:shd w:val="clear" w:color="auto" w:fill="auto"/>
        <w:rPr>
          <w:rFonts w:hint="eastAsia"/>
          <w:color w:val="000000"/>
          <w:highlight w:val="none"/>
        </w:rPr>
      </w:pPr>
      <w:r>
        <w:rPr>
          <w:rFonts w:hint="eastAsia"/>
          <w:color w:val="000000"/>
          <w:highlight w:val="none"/>
        </w:rPr>
      </w:r>
      <w:r/>
    </w:p>
    <w:tbl>
      <w:tblPr>
        <w:tblpPr w:horzAnchor="margin" w:tblpXSpec="left" w:vertAnchor="text" w:tblpY="32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主要部件及辅材</w:t>
            </w:r>
            <w:r>
              <w:rPr>
                <w:rFonts w:ascii="仿宋_GB2312" w:eastAsia="仿宋_GB2312"/>
                <w:color w:val="000000"/>
                <w:sz w:val="28"/>
                <w:szCs w:val="28"/>
                <w:highlight w:val="none"/>
              </w:rPr>
            </w:r>
            <w:r/>
          </w:p>
        </w:tc>
        <w:tc>
          <w:tcPr>
            <w:tcW w:w="126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品牌</w:t>
            </w:r>
            <w:r>
              <w:rPr>
                <w:rFonts w:ascii="仿宋_GB2312" w:eastAsia="仿宋_GB2312"/>
                <w:color w:val="000000"/>
                <w:sz w:val="28"/>
                <w:szCs w:val="28"/>
                <w:highlight w:val="none"/>
              </w:rPr>
            </w:r>
            <w:r/>
          </w:p>
        </w:tc>
        <w:tc>
          <w:tcPr>
            <w:tcW w:w="108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产地</w:t>
            </w:r>
            <w:r>
              <w:rPr>
                <w:rFonts w:ascii="仿宋_GB2312" w:eastAsia="仿宋_GB2312"/>
                <w:color w:val="000000"/>
                <w:sz w:val="28"/>
                <w:szCs w:val="28"/>
                <w:highlight w:val="none"/>
              </w:rPr>
            </w:r>
            <w:r/>
          </w:p>
        </w:tc>
        <w:tc>
          <w:tcPr>
            <w:tcW w:w="144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生产厂家</w:t>
            </w:r>
            <w:r>
              <w:rPr>
                <w:rFonts w:ascii="仿宋_GB2312" w:eastAsia="仿宋_GB2312"/>
                <w:color w:val="000000"/>
                <w:sz w:val="28"/>
                <w:szCs w:val="28"/>
                <w:highlight w:val="none"/>
              </w:rPr>
            </w:r>
            <w:r/>
          </w:p>
        </w:tc>
        <w:tc>
          <w:tcPr>
            <w:tcW w:w="1974"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主要技术参数</w:t>
            </w:r>
            <w:r>
              <w:rPr>
                <w:rFonts w:ascii="仿宋_GB2312" w:eastAsia="仿宋_GB2312"/>
                <w:color w:val="000000"/>
                <w:sz w:val="28"/>
                <w:szCs w:val="28"/>
                <w:highlight w:val="none"/>
              </w:rPr>
            </w:r>
            <w:r/>
          </w:p>
        </w:tc>
        <w:tc>
          <w:tcPr>
            <w:tcW w:w="1901"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质保期满后优惠价格</w:t>
            </w:r>
            <w:r>
              <w:rPr>
                <w:rFonts w:ascii="仿宋_GB2312" w:eastAsia="仿宋_GB2312"/>
                <w:color w:val="000000"/>
                <w:sz w:val="28"/>
                <w:szCs w:val="28"/>
                <w:highlight w:val="none"/>
              </w:rPr>
            </w:r>
            <w:r/>
          </w:p>
        </w:tc>
      </w:tr>
      <w:tr>
        <w:trPr>
          <w:trHeight w:val="585"/>
        </w:trPr>
        <w:tc>
          <w:tcPr>
            <w:tcW w:w="1453"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cantSplit/>
          <w:trHeight w:val="585"/>
        </w:trPr>
        <w:tc>
          <w:tcPr>
            <w:tcW w:w="1453"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top"/>
            <w:textDirection w:val="lrTb"/>
            <w:noWrap w:val="false"/>
          </w:tcPr>
          <w:p>
            <w:pPr>
              <w:pStyle w:val="1111"/>
              <w:jc w:val="center"/>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1111"/>
              <w:spacing w:before="100" w:beforeAutospacing="1" w:line="560" w:lineRule="exact"/>
              <w:shd w:val="clear" w:color="auto" w:fill="auto"/>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bl>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ind w:left="-288" w:firstLine="285"/>
        <w:spacing w:before="100" w:beforeAutospacing="1" w:line="480" w:lineRule="exact"/>
        <w:shd w:val="clear" w:color="auto" w:fill="auto"/>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1111"/>
        <w:spacing w:before="100" w:beforeAutospacing="1" w:line="480" w:lineRule="exact"/>
        <w:shd w:val="clear" w:color="auto" w:fill="auto"/>
        <w:widowControl/>
        <w:rPr>
          <w:rFonts w:hint="eastAsia" w:ascii="仿宋_GB2312" w:eastAsia="仿宋_GB2312"/>
          <w:bCs/>
          <w:color w:val="000000"/>
          <w:sz w:val="24"/>
          <w:szCs w:val="22"/>
          <w:highlight w:val="none"/>
        </w:rPr>
      </w:pPr>
      <w:r>
        <w:rPr>
          <w:rFonts w:hint="eastAsia" w:ascii="仿宋_GB2312" w:eastAsia="仿宋_GB2312"/>
          <w:bCs/>
          <w:color w:val="000000"/>
          <w:sz w:val="24"/>
          <w:highlight w:val="none"/>
        </w:rPr>
        <w:t xml:space="preserve">注：投标人应将所投货物的主要部件、配件等材料的品牌、产地、相关参数、质保期满后的优惠价格等在表中空白处填列。</w:t>
      </w:r>
      <w:r>
        <w:rPr>
          <w:rFonts w:hint="eastAsia" w:ascii="仿宋_GB2312" w:eastAsia="仿宋_GB2312"/>
          <w:bCs/>
          <w:color w:val="000000"/>
          <w:sz w:val="24"/>
          <w:szCs w:val="22"/>
          <w:highlight w:val="none"/>
        </w:rPr>
      </w:r>
      <w:r/>
    </w:p>
    <w:p>
      <w:pPr>
        <w:pStyle w:val="1111"/>
        <w:ind w:right="105"/>
        <w:spacing w:line="560" w:lineRule="exact"/>
        <w:shd w:val="clear" w:color="auto" w:fill="auto"/>
        <w:rPr>
          <w:rFonts w:hint="eastAsia" w:ascii="仿宋_GB2312" w:eastAsia="仿宋_GB2312"/>
          <w:color w:val="000000"/>
          <w:sz w:val="32"/>
          <w:szCs w:val="32"/>
          <w:highlight w:val="none"/>
        </w:rPr>
      </w:pPr>
      <w:r>
        <w:rPr>
          <w:rFonts w:hint="eastAsia" w:ascii="仿宋_GB2312" w:eastAsia="仿宋_GB2312"/>
          <w:color w:val="000000"/>
          <w:sz w:val="32"/>
          <w:szCs w:val="32"/>
          <w:highlight w:val="none"/>
        </w:rPr>
      </w:r>
      <w:r/>
    </w:p>
    <w:p>
      <w:pPr>
        <w:pStyle w:val="952"/>
        <w:ind w:firstLine="480"/>
        <w:jc w:val="both"/>
        <w:rPr>
          <w:rFonts w:hint="eastAsia" w:ascii="仿宋_GB2312" w:hAnsi="Times New Roman" w:eastAsia="仿宋_GB2312" w:cs="Times New Roman"/>
          <w:color w:val="000000"/>
          <w:sz w:val="24"/>
          <w:highlight w:val="none"/>
        </w:rPr>
      </w:pPr>
      <w:r>
        <w:rPr>
          <w:rFonts w:hint="eastAsia" w:ascii="仿宋_GB2312" w:eastAsia="仿宋_GB2312"/>
          <w:color w:val="000000"/>
          <w:sz w:val="24"/>
          <w:highlight w:val="none"/>
        </w:rPr>
        <w:t xml:space="preserve">单位名称：</w:t>
      </w:r>
      <w:r>
        <w:rPr>
          <w:rFonts w:hint="eastAsia" w:ascii="仿宋_GB2312" w:hAnsi="Times New Roman" w:eastAsia="仿宋_GB2312" w:cs="Times New Roman"/>
          <w:color w:val="000000"/>
          <w:sz w:val="24"/>
          <w:highlight w:val="none"/>
        </w:rPr>
      </w:r>
      <w:r/>
    </w:p>
    <w:p>
      <w:pPr>
        <w:pStyle w:val="1050"/>
        <w:ind w:firstLine="629"/>
        <w:spacing w:line="700" w:lineRule="exact"/>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lang w:val="en-US" w:eastAsia="zh-CN"/>
        </w:rPr>
        <w:t xml:space="preserve">或签章</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1286"/>
        <w:shd w:val="clear" w:color="auto" w:fill="auto"/>
        <w:rPr>
          <w:color w:val="000000"/>
          <w:highlight w:val="none"/>
        </w:rPr>
        <w:outlineLvl w:val="1"/>
      </w:pPr>
      <w:r>
        <w:rPr>
          <w:color w:val="000000"/>
          <w:highlight w:val="none"/>
        </w:rPr>
        <w:br w:type="page" w:clear="all"/>
      </w:r>
      <w:bookmarkStart w:id="169" w:name="_Toc514054502"/>
      <w:r/>
      <w:bookmarkStart w:id="170" w:name="_Toc15828"/>
      <w:r/>
      <w:bookmarkStart w:id="171" w:name="_Toc25001_WPSOffice_Level2"/>
      <w:r>
        <w:rPr>
          <w:color w:val="000000"/>
          <w:highlight w:val="none"/>
        </w:rPr>
        <w:t xml:space="preserve">十五、</w:t>
      </w:r>
      <w:r>
        <w:rPr>
          <w:rFonts w:hint="eastAsia"/>
          <w:color w:val="000000"/>
          <w:highlight w:val="none"/>
          <w:lang w:val="en-US" w:eastAsia="zh-CN"/>
        </w:rPr>
        <w:t xml:space="preserve">服务</w:t>
      </w:r>
      <w:r>
        <w:rPr>
          <w:color w:val="000000"/>
          <w:highlight w:val="none"/>
        </w:rPr>
        <w:t xml:space="preserve">方案</w:t>
      </w:r>
      <w:bookmarkEnd w:id="169"/>
      <w:r/>
      <w:bookmarkEnd w:id="170"/>
      <w:r/>
      <w:bookmarkEnd w:id="171"/>
      <w:r>
        <w:rPr>
          <w:color w:val="000000"/>
          <w:highlight w:val="none"/>
        </w:rPr>
      </w:r>
      <w:r/>
    </w:p>
    <w:p>
      <w:pPr>
        <w:pStyle w:val="1124"/>
        <w:jc w:val="center"/>
        <w:spacing w:line="560" w:lineRule="exact"/>
        <w:shd w:val="clear" w:color="auto" w:fill="auto"/>
        <w:rPr>
          <w:rFonts w:hint="eastAsia" w:ascii="宋体"/>
          <w:b/>
          <w:bCs/>
          <w:color w:val="000000"/>
          <w:sz w:val="32"/>
          <w:szCs w:val="32"/>
          <w:highlight w:val="none"/>
        </w:rPr>
      </w:pPr>
      <w:r/>
      <w:bookmarkStart w:id="172" w:name="_Toc2882_WPSOffice_Level2"/>
      <w:r>
        <w:rPr>
          <w:rFonts w:hint="eastAsia" w:ascii="宋体"/>
          <w:b/>
          <w:bCs/>
          <w:color w:val="000000"/>
          <w:sz w:val="32"/>
          <w:szCs w:val="32"/>
          <w:highlight w:val="none"/>
        </w:rPr>
        <w:t xml:space="preserve">按照招标文件要求，格式自拟</w:t>
      </w:r>
      <w:bookmarkEnd w:id="172"/>
      <w:r>
        <w:rPr>
          <w:rFonts w:hint="eastAsia" w:ascii="宋体"/>
          <w:b/>
          <w:bCs/>
          <w:color w:val="000000"/>
          <w:sz w:val="32"/>
          <w:szCs w:val="32"/>
          <w:highlight w:val="none"/>
        </w:rPr>
      </w:r>
      <w:r/>
    </w:p>
    <w:p>
      <w:pPr>
        <w:pStyle w:val="1254"/>
        <w:shd w:val="clear" w:color="auto" w:fill="auto"/>
        <w:rPr>
          <w:color w:val="000000"/>
          <w:highlight w:val="none"/>
        </w:rPr>
        <w:outlineLvl w:val="1"/>
      </w:pPr>
      <w:r>
        <w:rPr>
          <w:color w:val="000000"/>
          <w:highlight w:val="none"/>
        </w:rPr>
        <w:br w:type="page" w:clear="all"/>
      </w:r>
      <w:bookmarkStart w:id="173" w:name="_Toc514054504"/>
      <w:r/>
      <w:bookmarkStart w:id="174" w:name="_Toc5519"/>
      <w:r/>
      <w:bookmarkStart w:id="175" w:name="_Toc30208_WPSOffice_Level2"/>
      <w:r>
        <w:rPr>
          <w:color w:val="000000"/>
          <w:highlight w:val="none"/>
        </w:rPr>
        <w:t xml:space="preserve">十</w:t>
      </w:r>
      <w:r>
        <w:rPr>
          <w:rFonts w:hint="eastAsia"/>
          <w:color w:val="000000"/>
          <w:highlight w:val="none"/>
          <w:lang w:val="en-US" w:eastAsia="zh-CN"/>
        </w:rPr>
        <w:t xml:space="preserve">六</w:t>
      </w:r>
      <w:r>
        <w:rPr>
          <w:color w:val="000000"/>
          <w:highlight w:val="none"/>
        </w:rPr>
        <w:t xml:space="preserve">、投标人</w:t>
      </w:r>
      <w:r>
        <w:rPr>
          <w:rFonts w:hint="eastAsia"/>
          <w:color w:val="000000"/>
          <w:highlight w:val="none"/>
          <w:lang w:eastAsia="zh-CN"/>
        </w:rPr>
        <w:t xml:space="preserve">（或供货商、厂商）</w:t>
      </w:r>
      <w:r>
        <w:rPr>
          <w:color w:val="000000"/>
          <w:highlight w:val="none"/>
        </w:rPr>
        <w:t xml:space="preserve">项目业绩一览表</w:t>
      </w:r>
      <w:bookmarkEnd w:id="173"/>
      <w:r/>
      <w:bookmarkEnd w:id="174"/>
      <w:r/>
      <w:bookmarkEnd w:id="175"/>
      <w:r>
        <w:rPr>
          <w:color w:val="000000"/>
          <w:highlight w:val="none"/>
        </w:rPr>
      </w:r>
      <w:r/>
    </w:p>
    <w:p>
      <w:pPr>
        <w:pStyle w:val="1167"/>
        <w:jc w:val="center"/>
        <w:shd w:val="clear" w:color="auto" w:fill="auto"/>
        <w:rPr>
          <w:b/>
          <w:color w:val="000000"/>
          <w:sz w:val="32"/>
          <w:szCs w:val="32"/>
          <w:highlight w:val="none"/>
        </w:rPr>
      </w:pPr>
      <w:r/>
      <w:bookmarkStart w:id="176" w:name="_Toc10294_WPSOffice_Level2"/>
      <w:r>
        <w:rPr>
          <w:rFonts w:hint="eastAsia"/>
          <w:b/>
          <w:color w:val="000000"/>
          <w:sz w:val="32"/>
          <w:szCs w:val="32"/>
          <w:highlight w:val="none"/>
        </w:rPr>
        <w:t xml:space="preserve">投标人（或供货商、厂商）项目业绩一览表</w:t>
      </w:r>
      <w:bookmarkEnd w:id="176"/>
      <w:r>
        <w:rPr>
          <w:b/>
          <w:color w:val="000000"/>
          <w:sz w:val="32"/>
          <w:szCs w:val="32"/>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207"/>
              <w:jc w:val="center"/>
              <w:spacing w:line="560" w:lineRule="exact"/>
              <w:shd w:val="clear" w:color="auto" w:fill="auto"/>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ascii="仿宋_GB2312" w:eastAsia="仿宋_GB2312"/>
                <w:color w:val="000000"/>
                <w:sz w:val="28"/>
                <w:szCs w:val="28"/>
                <w:highlight w:val="none"/>
              </w:rPr>
            </w:r>
            <w:r/>
          </w:p>
        </w:tc>
        <w:tc>
          <w:tcPr>
            <w:tcW w:w="3827" w:type="dxa"/>
            <w:vAlign w:val="center"/>
            <w:textDirection w:val="lrTb"/>
            <w:noWrap w:val="false"/>
          </w:tcPr>
          <w:p>
            <w:pPr>
              <w:pStyle w:val="1207"/>
              <w:jc w:val="center"/>
              <w:spacing w:line="560" w:lineRule="exact"/>
              <w:shd w:val="clear" w:color="auto" w:fill="auto"/>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rPr>
                <w:rFonts w:ascii="仿宋_GB2312" w:eastAsia="仿宋_GB2312"/>
                <w:color w:val="000000"/>
                <w:sz w:val="28"/>
                <w:szCs w:val="28"/>
                <w:highlight w:val="none"/>
              </w:rPr>
            </w:r>
            <w:r/>
          </w:p>
        </w:tc>
        <w:tc>
          <w:tcPr>
            <w:tcW w:w="2433" w:type="dxa"/>
            <w:vAlign w:val="center"/>
            <w:textDirection w:val="lrTb"/>
            <w:noWrap w:val="false"/>
          </w:tcPr>
          <w:p>
            <w:pPr>
              <w:pStyle w:val="1207"/>
              <w:jc w:val="center"/>
              <w:spacing w:line="560" w:lineRule="exact"/>
              <w:shd w:val="clear" w:color="auto" w:fill="auto"/>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rPr>
                <w:rFonts w:ascii="仿宋_GB2312" w:eastAsia="仿宋_GB2312"/>
                <w:color w:val="000000"/>
                <w:sz w:val="28"/>
                <w:szCs w:val="28"/>
                <w:highlight w:val="none"/>
              </w:rPr>
            </w:r>
            <w:r/>
          </w:p>
        </w:tc>
        <w:tc>
          <w:tcPr>
            <w:tcW w:w="1395" w:type="dxa"/>
            <w:vAlign w:val="center"/>
            <w:textDirection w:val="lrTb"/>
            <w:noWrap w:val="false"/>
          </w:tcPr>
          <w:p>
            <w:pPr>
              <w:pStyle w:val="1207"/>
              <w:jc w:val="center"/>
              <w:spacing w:line="560" w:lineRule="exact"/>
              <w:shd w:val="clear" w:color="auto" w:fill="auto"/>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合同金额</w:t>
            </w:r>
            <w:r>
              <w:rPr>
                <w:rFonts w:ascii="仿宋_GB2312" w:eastAsia="仿宋_GB2312"/>
                <w:color w:val="000000"/>
                <w:sz w:val="28"/>
                <w:szCs w:val="28"/>
                <w:highlight w:val="none"/>
              </w:rPr>
            </w:r>
            <w:r/>
          </w:p>
        </w:tc>
      </w:tr>
      <w:tr>
        <w:trPr>
          <w:trHeight w:val="1510"/>
        </w:trPr>
        <w:tc>
          <w:tcPr>
            <w:tcW w:w="1229" w:type="dxa"/>
            <w:vAlign w:val="top"/>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r>
      <w:tr>
        <w:trPr>
          <w:trHeight w:val="1525"/>
        </w:trPr>
        <w:tc>
          <w:tcPr>
            <w:tcW w:w="1229" w:type="dxa"/>
            <w:vAlign w:val="top"/>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207"/>
              <w:jc w:val="center"/>
              <w:spacing w:line="560" w:lineRule="exact"/>
              <w:shd w:val="clear" w:color="auto" w:fill="auto"/>
              <w:rPr>
                <w:rFonts w:ascii="仿宋_GB2312" w:eastAsia="仿宋_GB2312"/>
                <w:color w:val="000000"/>
                <w:sz w:val="28"/>
                <w:highlight w:val="none"/>
              </w:rPr>
            </w:pPr>
            <w:r>
              <w:rPr>
                <w:rFonts w:ascii="仿宋_GB2312" w:eastAsia="仿宋_GB2312"/>
                <w:color w:val="000000"/>
                <w:sz w:val="28"/>
                <w:highlight w:val="none"/>
              </w:rPr>
            </w:r>
            <w:r/>
          </w:p>
        </w:tc>
      </w:tr>
    </w:tbl>
    <w:p>
      <w:pPr>
        <w:pStyle w:val="1154"/>
        <w:shd w:val="clear" w:color="auto" w:fill="auto"/>
        <w:rPr>
          <w:color w:val="000000"/>
          <w:highlight w:val="none"/>
        </w:rPr>
        <w:outlineLvl w:val="1"/>
      </w:pPr>
      <w:r>
        <w:rPr>
          <w:color w:val="000000"/>
          <w:highlight w:val="none"/>
        </w:rPr>
        <w:br w:type="page" w:clear="all"/>
      </w:r>
      <w:bookmarkStart w:id="177" w:name="_Toc514054505"/>
      <w:r/>
      <w:bookmarkStart w:id="178" w:name="_Toc502821163"/>
      <w:r/>
      <w:bookmarkStart w:id="179" w:name="_Toc15753"/>
      <w:r/>
      <w:bookmarkStart w:id="180" w:name="_Toc30836_WPSOffice_Level2"/>
      <w:r>
        <w:rPr>
          <w:color w:val="000000"/>
          <w:highlight w:val="none"/>
        </w:rPr>
        <w:t xml:space="preserve">十</w:t>
      </w:r>
      <w:r>
        <w:rPr>
          <w:rFonts w:hint="eastAsia"/>
          <w:color w:val="000000"/>
          <w:highlight w:val="none"/>
          <w:lang w:val="en-US" w:eastAsia="zh-CN"/>
        </w:rPr>
        <w:t xml:space="preserve">七</w:t>
      </w:r>
      <w:r>
        <w:rPr>
          <w:color w:val="000000"/>
          <w:highlight w:val="none"/>
        </w:rPr>
        <w:t xml:space="preserve">、投标所需其他材料</w:t>
      </w:r>
      <w:bookmarkEnd w:id="177"/>
      <w:r/>
      <w:bookmarkEnd w:id="178"/>
      <w:r/>
      <w:bookmarkEnd w:id="179"/>
      <w:r/>
      <w:bookmarkEnd w:id="180"/>
      <w:r>
        <w:rPr>
          <w:color w:val="000000"/>
          <w:highlight w:val="none"/>
        </w:rPr>
      </w:r>
      <w:r/>
    </w:p>
    <w:p>
      <w:pPr>
        <w:pStyle w:val="1291"/>
        <w:ind w:firstLine="420"/>
        <w:spacing w:line="360" w:lineRule="auto"/>
        <w:shd w:val="clear" w:color="auto" w:fill="auto"/>
        <w:rPr>
          <w:rFonts w:hint="eastAsia"/>
          <w:color w:val="000000"/>
          <w:highlight w:val="none"/>
        </w:rPr>
      </w:pPr>
      <w:r>
        <w:rPr>
          <w:rFonts w:hint="eastAsia"/>
          <w:color w:val="000000"/>
          <w:highlight w:val="none"/>
        </w:rPr>
        <w:t xml:space="preserve">请在此文档中增加投标所需其他相关内容（包括资格要求、评分办法、采购需求中涉及的证件证明及其它投标人认为有必要提供的资料），如没有请空置。</w:t>
      </w:r>
      <w:r>
        <w:rPr>
          <w:rFonts w:hint="eastAsia"/>
          <w:color w:val="000000"/>
          <w:highlight w:val="none"/>
        </w:rPr>
      </w:r>
      <w:r/>
    </w:p>
    <w:p>
      <w:pPr>
        <w:pStyle w:val="884"/>
        <w:shd w:val="clear" w:color="auto" w:fill="auto"/>
        <w:rPr>
          <w:rFonts w:hint="eastAsia"/>
          <w:color w:val="000000"/>
          <w:sz w:val="20"/>
          <w:highlight w:val="none"/>
        </w:rPr>
      </w:pPr>
      <w:r>
        <w:rPr>
          <w:rFonts w:hint="eastAsia"/>
          <w:color w:val="000000"/>
          <w:sz w:val="20"/>
          <w:highlight w:val="none"/>
        </w:rPr>
        <w:t xml:space="preserve"> </w:t>
      </w:r>
      <w:r/>
    </w:p>
    <w:sectPr>
      <w:footerReference w:type="default" r:id="rId9"/>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华文琥珀">
    <w:panose1 w:val="02010800040101010101"/>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华文楷体">
    <w:panose1 w:val="02010600040101010101"/>
  </w:font>
  <w:font w:name="Wingdings">
    <w:panose1 w:val="05000000000000000000"/>
  </w:font>
  <w:font w:name=".....?.">
    <w:panose1 w:val="020B050302020202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SimSun">
    <w:panose1 w:val="02010600030101010101"/>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pPr>
                            <w:pStyle w:val="88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pPr>
                      <w:pStyle w:val="884"/>
                    </w:pPr>
                    <w:r/>
                    <w:r/>
                  </w:p>
                </w:txbxContent>
              </v:textbox>
            </v:shape>
          </w:pict>
        </mc:Fallback>
      </mc:AlternateContent>
    </w:r>
    <w:r/>
  </w:p>
  <w:p>
    <w:pPr>
      <w:pStyle w:val="932"/>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884"/>
        <w:ind w:left="900" w:hanging="420"/>
        <w:tabs>
          <w:tab w:val="num" w:pos="900" w:leader="none"/>
        </w:tabs>
      </w:pPr>
      <w:rPr>
        <w:rFonts w:ascii="Wingdings" w:hAnsi="Wingdings"/>
      </w:rPr>
    </w:lvl>
    <w:lvl w:ilvl="1">
      <w:start w:val="1"/>
      <w:numFmt w:val="bullet"/>
      <w:isLgl w:val="false"/>
      <w:suff w:val="tab"/>
      <w:lvlText w:val=""/>
      <w:lvlJc w:val="left"/>
      <w:pPr>
        <w:pStyle w:val="884"/>
        <w:ind w:left="1320" w:hanging="420"/>
        <w:tabs>
          <w:tab w:val="num" w:pos="0" w:leader="none"/>
        </w:tabs>
      </w:pPr>
      <w:rPr>
        <w:rFonts w:ascii="Wingdings" w:hAnsi="Wingdings"/>
      </w:rPr>
    </w:lvl>
    <w:lvl w:ilvl="2">
      <w:start w:val="1"/>
      <w:numFmt w:val="bullet"/>
      <w:pStyle w:val="1138"/>
      <w:isLgl w:val="false"/>
      <w:suff w:val="tab"/>
      <w:lvlText w:val=""/>
      <w:lvlJc w:val="left"/>
      <w:pPr>
        <w:pStyle w:val="884"/>
        <w:ind w:left="1740" w:hanging="420"/>
        <w:tabs>
          <w:tab w:val="num" w:pos="0" w:leader="none"/>
        </w:tabs>
      </w:pPr>
      <w:rPr>
        <w:rFonts w:ascii="Wingdings" w:hAnsi="Wingdings"/>
      </w:rPr>
    </w:lvl>
    <w:lvl w:ilvl="3">
      <w:start w:val="1"/>
      <w:numFmt w:val="bullet"/>
      <w:isLgl w:val="false"/>
      <w:suff w:val="tab"/>
      <w:lvlText w:val=""/>
      <w:lvlJc w:val="left"/>
      <w:pPr>
        <w:pStyle w:val="884"/>
        <w:ind w:left="2160" w:hanging="420"/>
        <w:tabs>
          <w:tab w:val="num" w:pos="0" w:leader="none"/>
        </w:tabs>
      </w:pPr>
      <w:rPr>
        <w:rFonts w:ascii="Wingdings" w:hAnsi="Wingdings"/>
      </w:rPr>
    </w:lvl>
    <w:lvl w:ilvl="4">
      <w:start w:val="1"/>
      <w:numFmt w:val="bullet"/>
      <w:isLgl w:val="false"/>
      <w:suff w:val="tab"/>
      <w:lvlText w:val=""/>
      <w:lvlJc w:val="left"/>
      <w:pPr>
        <w:pStyle w:val="884"/>
        <w:ind w:left="2580" w:hanging="420"/>
        <w:tabs>
          <w:tab w:val="num" w:pos="0" w:leader="none"/>
        </w:tabs>
      </w:pPr>
      <w:rPr>
        <w:rFonts w:ascii="Wingdings" w:hAnsi="Wingdings"/>
      </w:rPr>
    </w:lvl>
    <w:lvl w:ilvl="5">
      <w:start w:val="1"/>
      <w:numFmt w:val="bullet"/>
      <w:isLgl w:val="false"/>
      <w:suff w:val="tab"/>
      <w:lvlText w:val=""/>
      <w:lvlJc w:val="left"/>
      <w:pPr>
        <w:pStyle w:val="884"/>
        <w:ind w:left="3000" w:hanging="420"/>
        <w:tabs>
          <w:tab w:val="num" w:pos="0" w:leader="none"/>
        </w:tabs>
      </w:pPr>
      <w:rPr>
        <w:rFonts w:ascii="Wingdings" w:hAnsi="Wingdings"/>
      </w:rPr>
    </w:lvl>
    <w:lvl w:ilvl="6">
      <w:start w:val="1"/>
      <w:numFmt w:val="bullet"/>
      <w:isLgl w:val="false"/>
      <w:suff w:val="tab"/>
      <w:lvlText w:val=""/>
      <w:lvlJc w:val="left"/>
      <w:pPr>
        <w:pStyle w:val="884"/>
        <w:ind w:left="3420" w:hanging="420"/>
        <w:tabs>
          <w:tab w:val="num" w:pos="0" w:leader="none"/>
        </w:tabs>
      </w:pPr>
      <w:rPr>
        <w:rFonts w:ascii="Wingdings" w:hAnsi="Wingdings"/>
      </w:rPr>
    </w:lvl>
    <w:lvl w:ilvl="7">
      <w:start w:val="1"/>
      <w:numFmt w:val="bullet"/>
      <w:isLgl w:val="false"/>
      <w:suff w:val="tab"/>
      <w:lvlText w:val=""/>
      <w:lvlJc w:val="left"/>
      <w:pPr>
        <w:pStyle w:val="884"/>
        <w:ind w:left="3840" w:hanging="420"/>
        <w:tabs>
          <w:tab w:val="num" w:pos="0" w:leader="none"/>
        </w:tabs>
      </w:pPr>
      <w:rPr>
        <w:rFonts w:ascii="Wingdings" w:hAnsi="Wingdings"/>
      </w:rPr>
    </w:lvl>
    <w:lvl w:ilvl="8">
      <w:start w:val="1"/>
      <w:numFmt w:val="bullet"/>
      <w:isLgl w:val="false"/>
      <w:suff w:val="tab"/>
      <w:lvlText w:val=""/>
      <w:lvlJc w:val="left"/>
      <w:pPr>
        <w:pStyle w:val="884"/>
        <w:ind w:left="4260" w:hanging="420"/>
        <w:tabs>
          <w:tab w:val="num" w:pos="0" w:leader="none"/>
        </w:tabs>
      </w:pPr>
      <w:rPr>
        <w:rFonts w:ascii="Wingdings" w:hAnsi="Wingdings"/>
      </w:rPr>
    </w:lvl>
  </w:abstractNum>
  <w:abstractNum w:abstractNumId="1">
    <w:multiLevelType w:val="hybridMultilevel"/>
    <w:lvl w:ilvl="0">
      <w:start w:val="1"/>
      <w:numFmt w:val="bullet"/>
      <w:pStyle w:val="1179"/>
      <w:isLgl w:val="false"/>
      <w:suff w:val="tab"/>
      <w:lvlText w:val="◆"/>
      <w:lvlJc w:val="left"/>
      <w:pPr>
        <w:pStyle w:val="884"/>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84"/>
        <w:ind w:left="840" w:hanging="420"/>
        <w:tabs>
          <w:tab w:val="num" w:pos="840" w:leader="none"/>
        </w:tabs>
      </w:pPr>
      <w:rPr>
        <w:rFonts w:hint="eastAsia"/>
      </w:rPr>
    </w:lvl>
    <w:lvl w:ilvl="1">
      <w:start w:val="1"/>
      <w:numFmt w:val="lowerLetter"/>
      <w:isLgl w:val="false"/>
      <w:suff w:val="tab"/>
      <w:lvlText w:val="%2)"/>
      <w:lvlJc w:val="left"/>
      <w:pPr>
        <w:pStyle w:val="884"/>
        <w:ind w:left="1260" w:hanging="420"/>
        <w:tabs>
          <w:tab w:val="num" w:pos="1260" w:leader="none"/>
        </w:tabs>
      </w:pPr>
    </w:lvl>
    <w:lvl w:ilvl="2">
      <w:start w:val="1"/>
      <w:numFmt w:val="lowerRoman"/>
      <w:pStyle w:val="1137"/>
      <w:isLgl w:val="false"/>
      <w:suff w:val="tab"/>
      <w:lvlText w:val="%3."/>
      <w:lvlJc w:val="right"/>
      <w:pPr>
        <w:pStyle w:val="884"/>
        <w:ind w:left="1680" w:hanging="420"/>
        <w:tabs>
          <w:tab w:val="num" w:pos="1680" w:leader="none"/>
        </w:tabs>
      </w:pPr>
    </w:lvl>
    <w:lvl w:ilvl="3">
      <w:start w:val="1"/>
      <w:numFmt w:val="decimal"/>
      <w:isLgl w:val="false"/>
      <w:suff w:val="tab"/>
      <w:lvlText w:val="%4."/>
      <w:lvlJc w:val="left"/>
      <w:pPr>
        <w:pStyle w:val="884"/>
        <w:ind w:left="2100" w:hanging="420"/>
        <w:tabs>
          <w:tab w:val="num" w:pos="2100" w:leader="none"/>
        </w:tabs>
      </w:pPr>
    </w:lvl>
    <w:lvl w:ilvl="4">
      <w:start w:val="1"/>
      <w:numFmt w:val="lowerLetter"/>
      <w:isLgl w:val="false"/>
      <w:suff w:val="tab"/>
      <w:lvlText w:val="%5)"/>
      <w:lvlJc w:val="left"/>
      <w:pPr>
        <w:pStyle w:val="884"/>
        <w:ind w:left="2520" w:hanging="420"/>
        <w:tabs>
          <w:tab w:val="num" w:pos="2520" w:leader="none"/>
        </w:tabs>
      </w:pPr>
    </w:lvl>
    <w:lvl w:ilvl="5">
      <w:start w:val="1"/>
      <w:numFmt w:val="lowerRoman"/>
      <w:isLgl w:val="false"/>
      <w:suff w:val="tab"/>
      <w:lvlText w:val="%6."/>
      <w:lvlJc w:val="right"/>
      <w:pPr>
        <w:pStyle w:val="884"/>
        <w:ind w:left="2940" w:hanging="420"/>
        <w:tabs>
          <w:tab w:val="num" w:pos="2940" w:leader="none"/>
        </w:tabs>
      </w:pPr>
    </w:lvl>
    <w:lvl w:ilvl="6">
      <w:start w:val="1"/>
      <w:numFmt w:val="decimal"/>
      <w:isLgl w:val="false"/>
      <w:suff w:val="tab"/>
      <w:lvlText w:val="%7."/>
      <w:lvlJc w:val="left"/>
      <w:pPr>
        <w:pStyle w:val="884"/>
        <w:ind w:left="3360" w:hanging="420"/>
        <w:tabs>
          <w:tab w:val="num" w:pos="3360" w:leader="none"/>
        </w:tabs>
      </w:pPr>
    </w:lvl>
    <w:lvl w:ilvl="7">
      <w:start w:val="1"/>
      <w:numFmt w:val="lowerLetter"/>
      <w:isLgl w:val="false"/>
      <w:suff w:val="tab"/>
      <w:lvlText w:val="%8)"/>
      <w:lvlJc w:val="left"/>
      <w:pPr>
        <w:pStyle w:val="884"/>
        <w:ind w:left="3780" w:hanging="420"/>
        <w:tabs>
          <w:tab w:val="num" w:pos="3780" w:leader="none"/>
        </w:tabs>
      </w:pPr>
    </w:lvl>
    <w:lvl w:ilvl="8">
      <w:start w:val="1"/>
      <w:numFmt w:val="lowerRoman"/>
      <w:isLgl w:val="false"/>
      <w:suff w:val="tab"/>
      <w:lvlText w:val="%9."/>
      <w:lvlJc w:val="right"/>
      <w:pPr>
        <w:pStyle w:val="884"/>
        <w:ind w:left="4200" w:hanging="420"/>
        <w:tabs>
          <w:tab w:val="num" w:pos="4200" w:leader="none"/>
        </w:tabs>
      </w:pPr>
    </w:lvl>
  </w:abstractNum>
  <w:abstractNum w:abstractNumId="8">
    <w:multiLevelType w:val="hybridMultilevel"/>
    <w:lvl w:ilvl="0">
      <w:start w:val="1"/>
      <w:numFmt w:val="decimal"/>
      <w:isLgl w:val="false"/>
      <w:suff w:val="tab"/>
      <w:lvlText w:val="（%1)"/>
      <w:lvlJc w:val="left"/>
      <w:pPr>
        <w:pStyle w:val="884"/>
        <w:ind w:left="420" w:hanging="420"/>
      </w:pPr>
      <w:rPr>
        <w:rFonts w:hint="eastAsia"/>
      </w:rPr>
    </w:lvl>
    <w:lvl w:ilvl="1">
      <w:start w:val="1"/>
      <w:numFmt w:val="lowerLetter"/>
      <w:isLgl w:val="false"/>
      <w:suff w:val="tab"/>
      <w:lvlText w:val="%2)"/>
      <w:lvlJc w:val="left"/>
      <w:pPr>
        <w:pStyle w:val="884"/>
        <w:ind w:left="840" w:hanging="420"/>
      </w:pPr>
    </w:lvl>
    <w:lvl w:ilvl="2">
      <w:start w:val="1"/>
      <w:numFmt w:val="lowerRoman"/>
      <w:isLgl w:val="false"/>
      <w:suff w:val="tab"/>
      <w:lvlText w:val="%3."/>
      <w:lvlJc w:val="right"/>
      <w:pPr>
        <w:pStyle w:val="884"/>
        <w:ind w:left="1260" w:hanging="420"/>
      </w:pPr>
    </w:lvl>
    <w:lvl w:ilvl="3">
      <w:start w:val="1"/>
      <w:numFmt w:val="decimal"/>
      <w:isLgl w:val="false"/>
      <w:suff w:val="tab"/>
      <w:lvlText w:val="%4."/>
      <w:lvlJc w:val="left"/>
      <w:pPr>
        <w:pStyle w:val="884"/>
        <w:ind w:left="1680" w:hanging="420"/>
      </w:pPr>
    </w:lvl>
    <w:lvl w:ilvl="4">
      <w:start w:val="1"/>
      <w:numFmt w:val="lowerLetter"/>
      <w:isLgl w:val="false"/>
      <w:suff w:val="tab"/>
      <w:lvlText w:val="%5)"/>
      <w:lvlJc w:val="left"/>
      <w:pPr>
        <w:pStyle w:val="884"/>
        <w:ind w:left="2100" w:hanging="420"/>
      </w:pPr>
    </w:lvl>
    <w:lvl w:ilvl="5">
      <w:start w:val="1"/>
      <w:numFmt w:val="lowerRoman"/>
      <w:isLgl w:val="false"/>
      <w:suff w:val="tab"/>
      <w:lvlText w:val="%6."/>
      <w:lvlJc w:val="right"/>
      <w:pPr>
        <w:pStyle w:val="884"/>
        <w:ind w:left="2520" w:hanging="420"/>
      </w:pPr>
    </w:lvl>
    <w:lvl w:ilvl="6">
      <w:start w:val="1"/>
      <w:numFmt w:val="decimal"/>
      <w:isLgl w:val="false"/>
      <w:suff w:val="tab"/>
      <w:lvlText w:val="%7."/>
      <w:lvlJc w:val="left"/>
      <w:pPr>
        <w:pStyle w:val="884"/>
        <w:ind w:left="2940" w:hanging="420"/>
      </w:pPr>
    </w:lvl>
    <w:lvl w:ilvl="7">
      <w:start w:val="1"/>
      <w:numFmt w:val="lowerLetter"/>
      <w:isLgl w:val="false"/>
      <w:suff w:val="tab"/>
      <w:lvlText w:val="%8)"/>
      <w:lvlJc w:val="left"/>
      <w:pPr>
        <w:pStyle w:val="884"/>
        <w:ind w:left="3360" w:hanging="420"/>
      </w:pPr>
    </w:lvl>
    <w:lvl w:ilvl="8">
      <w:start w:val="1"/>
      <w:numFmt w:val="lowerRoman"/>
      <w:isLgl w:val="false"/>
      <w:suff w:val="tab"/>
      <w:lvlText w:val="%9."/>
      <w:lvlJc w:val="right"/>
      <w:pPr>
        <w:pStyle w:val="884"/>
        <w:ind w:left="3780" w:hanging="420"/>
      </w:pPr>
    </w:lvl>
  </w:abstractNum>
  <w:abstractNum w:abstractNumId="9">
    <w:multiLevelType w:val="hybridMultilevel"/>
    <w:lvl w:ilvl="0">
      <w:start w:val="2"/>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84"/>
        <w:ind w:left="420" w:hanging="420"/>
      </w:pPr>
      <w:rPr>
        <w:rFonts w:hint="eastAsia"/>
      </w:rPr>
    </w:lvl>
    <w:lvl w:ilvl="1">
      <w:start w:val="1"/>
      <w:numFmt w:val="lowerLetter"/>
      <w:isLgl w:val="false"/>
      <w:suff w:val="tab"/>
      <w:lvlText w:val="%2)"/>
      <w:lvlJc w:val="left"/>
      <w:pPr>
        <w:pStyle w:val="884"/>
        <w:ind w:left="840" w:hanging="420"/>
      </w:pPr>
    </w:lvl>
    <w:lvl w:ilvl="2">
      <w:start w:val="1"/>
      <w:numFmt w:val="lowerRoman"/>
      <w:isLgl w:val="false"/>
      <w:suff w:val="tab"/>
      <w:lvlText w:val="%3."/>
      <w:lvlJc w:val="right"/>
      <w:pPr>
        <w:pStyle w:val="884"/>
        <w:ind w:left="1260" w:hanging="420"/>
      </w:pPr>
    </w:lvl>
    <w:lvl w:ilvl="3">
      <w:start w:val="1"/>
      <w:numFmt w:val="decimal"/>
      <w:isLgl w:val="false"/>
      <w:suff w:val="tab"/>
      <w:lvlText w:val="%4."/>
      <w:lvlJc w:val="left"/>
      <w:pPr>
        <w:pStyle w:val="884"/>
        <w:ind w:left="1680" w:hanging="420"/>
      </w:pPr>
    </w:lvl>
    <w:lvl w:ilvl="4">
      <w:start w:val="1"/>
      <w:numFmt w:val="lowerLetter"/>
      <w:isLgl w:val="false"/>
      <w:suff w:val="tab"/>
      <w:lvlText w:val="%5)"/>
      <w:lvlJc w:val="left"/>
      <w:pPr>
        <w:pStyle w:val="884"/>
        <w:ind w:left="2100" w:hanging="420"/>
      </w:pPr>
    </w:lvl>
    <w:lvl w:ilvl="5">
      <w:start w:val="1"/>
      <w:numFmt w:val="lowerRoman"/>
      <w:isLgl w:val="false"/>
      <w:suff w:val="tab"/>
      <w:lvlText w:val="%6."/>
      <w:lvlJc w:val="right"/>
      <w:pPr>
        <w:pStyle w:val="884"/>
        <w:ind w:left="2520" w:hanging="420"/>
      </w:pPr>
    </w:lvl>
    <w:lvl w:ilvl="6">
      <w:start w:val="1"/>
      <w:numFmt w:val="decimal"/>
      <w:isLgl w:val="false"/>
      <w:suff w:val="tab"/>
      <w:lvlText w:val="%7."/>
      <w:lvlJc w:val="left"/>
      <w:pPr>
        <w:pStyle w:val="884"/>
        <w:ind w:left="2940" w:hanging="420"/>
      </w:pPr>
    </w:lvl>
    <w:lvl w:ilvl="7">
      <w:start w:val="1"/>
      <w:numFmt w:val="lowerLetter"/>
      <w:isLgl w:val="false"/>
      <w:suff w:val="tab"/>
      <w:lvlText w:val="%8)"/>
      <w:lvlJc w:val="left"/>
      <w:pPr>
        <w:pStyle w:val="884"/>
        <w:ind w:left="3360" w:hanging="420"/>
      </w:pPr>
    </w:lvl>
    <w:lvl w:ilvl="8">
      <w:start w:val="1"/>
      <w:numFmt w:val="lowerRoman"/>
      <w:isLgl w:val="false"/>
      <w:suff w:val="tab"/>
      <w:lvlText w:val="%9."/>
      <w:lvlJc w:val="right"/>
      <w:pPr>
        <w:pStyle w:val="884"/>
        <w:ind w:left="3780" w:hanging="420"/>
      </w:pPr>
    </w:lvl>
  </w:abstractNum>
  <w:abstractNum w:abstractNumId="11">
    <w:multiLevelType w:val="hybridMultilevel"/>
    <w:lvl w:ilvl="0">
      <w:start w:val="1"/>
      <w:numFmt w:val="decimal"/>
      <w:isLgl w:val="false"/>
      <w:suff w:val="tab"/>
      <w:lvlText w:val="（%1)"/>
      <w:lvlJc w:val="left"/>
      <w:pPr>
        <w:pStyle w:val="884"/>
        <w:ind w:left="420" w:hanging="420"/>
      </w:pPr>
      <w:rPr>
        <w:rFonts w:hint="eastAsia"/>
      </w:rPr>
    </w:lvl>
    <w:lvl w:ilvl="1">
      <w:start w:val="1"/>
      <w:numFmt w:val="lowerLetter"/>
      <w:isLgl w:val="false"/>
      <w:suff w:val="tab"/>
      <w:lvlText w:val="%2)"/>
      <w:lvlJc w:val="left"/>
      <w:pPr>
        <w:pStyle w:val="884"/>
        <w:ind w:left="840" w:hanging="420"/>
      </w:pPr>
    </w:lvl>
    <w:lvl w:ilvl="2">
      <w:start w:val="1"/>
      <w:numFmt w:val="lowerRoman"/>
      <w:isLgl w:val="false"/>
      <w:suff w:val="tab"/>
      <w:lvlText w:val="%3."/>
      <w:lvlJc w:val="right"/>
      <w:pPr>
        <w:pStyle w:val="884"/>
        <w:ind w:left="1260" w:hanging="420"/>
      </w:pPr>
    </w:lvl>
    <w:lvl w:ilvl="3">
      <w:start w:val="1"/>
      <w:numFmt w:val="decimal"/>
      <w:isLgl w:val="false"/>
      <w:suff w:val="tab"/>
      <w:lvlText w:val="%4."/>
      <w:lvlJc w:val="left"/>
      <w:pPr>
        <w:pStyle w:val="884"/>
        <w:ind w:left="1680" w:hanging="420"/>
      </w:pPr>
    </w:lvl>
    <w:lvl w:ilvl="4">
      <w:start w:val="1"/>
      <w:numFmt w:val="lowerLetter"/>
      <w:isLgl w:val="false"/>
      <w:suff w:val="tab"/>
      <w:lvlText w:val="%5)"/>
      <w:lvlJc w:val="left"/>
      <w:pPr>
        <w:pStyle w:val="884"/>
        <w:ind w:left="2100" w:hanging="420"/>
      </w:pPr>
    </w:lvl>
    <w:lvl w:ilvl="5">
      <w:start w:val="1"/>
      <w:numFmt w:val="lowerRoman"/>
      <w:isLgl w:val="false"/>
      <w:suff w:val="tab"/>
      <w:lvlText w:val="%6."/>
      <w:lvlJc w:val="right"/>
      <w:pPr>
        <w:pStyle w:val="884"/>
        <w:ind w:left="2520" w:hanging="420"/>
      </w:pPr>
    </w:lvl>
    <w:lvl w:ilvl="6">
      <w:start w:val="1"/>
      <w:numFmt w:val="decimal"/>
      <w:isLgl w:val="false"/>
      <w:suff w:val="tab"/>
      <w:lvlText w:val="%7."/>
      <w:lvlJc w:val="left"/>
      <w:pPr>
        <w:pStyle w:val="884"/>
        <w:ind w:left="2940" w:hanging="420"/>
      </w:pPr>
    </w:lvl>
    <w:lvl w:ilvl="7">
      <w:start w:val="1"/>
      <w:numFmt w:val="lowerLetter"/>
      <w:isLgl w:val="false"/>
      <w:suff w:val="tab"/>
      <w:lvlText w:val="%8)"/>
      <w:lvlJc w:val="left"/>
      <w:pPr>
        <w:pStyle w:val="884"/>
        <w:ind w:left="3360" w:hanging="420"/>
      </w:pPr>
    </w:lvl>
    <w:lvl w:ilvl="8">
      <w:start w:val="1"/>
      <w:numFmt w:val="lowerRoman"/>
      <w:isLgl w:val="false"/>
      <w:suff w:val="tab"/>
      <w:lvlText w:val="%9."/>
      <w:lvlJc w:val="right"/>
      <w:pPr>
        <w:pStyle w:val="884"/>
        <w:ind w:left="3780" w:hanging="420"/>
      </w:pPr>
    </w:lvl>
  </w:abstractNum>
  <w:abstractNum w:abstractNumId="12">
    <w:multiLevelType w:val="hybridMultilevel"/>
    <w:lvl w:ilvl="0">
      <w:start w:val="1"/>
      <w:numFmt w:val="chineseCountingThousand"/>
      <w:isLgl w:val="false"/>
      <w:suff w:val="tab"/>
      <w:lvlText w:val="(%1)"/>
      <w:lvlJc w:val="left"/>
      <w:pPr>
        <w:pStyle w:val="884"/>
        <w:ind w:left="1272" w:hanging="420"/>
      </w:pPr>
    </w:lvl>
    <w:lvl w:ilvl="1">
      <w:start w:val="1"/>
      <w:numFmt w:val="lowerLetter"/>
      <w:isLgl w:val="false"/>
      <w:suff w:val="tab"/>
      <w:lvlText w:val="%2)"/>
      <w:lvlJc w:val="left"/>
      <w:pPr>
        <w:pStyle w:val="884"/>
        <w:ind w:left="1548" w:hanging="420"/>
      </w:pPr>
    </w:lvl>
    <w:lvl w:ilvl="2">
      <w:start w:val="1"/>
      <w:numFmt w:val="lowerRoman"/>
      <w:isLgl w:val="false"/>
      <w:suff w:val="tab"/>
      <w:lvlText w:val="%3."/>
      <w:lvlJc w:val="right"/>
      <w:pPr>
        <w:pStyle w:val="884"/>
        <w:ind w:left="1968" w:hanging="420"/>
      </w:pPr>
    </w:lvl>
    <w:lvl w:ilvl="3">
      <w:start w:val="1"/>
      <w:numFmt w:val="decimal"/>
      <w:isLgl w:val="false"/>
      <w:suff w:val="tab"/>
      <w:lvlText w:val="%4."/>
      <w:lvlJc w:val="left"/>
      <w:pPr>
        <w:pStyle w:val="884"/>
        <w:ind w:left="2388" w:hanging="420"/>
      </w:pPr>
    </w:lvl>
    <w:lvl w:ilvl="4">
      <w:start w:val="1"/>
      <w:numFmt w:val="lowerLetter"/>
      <w:isLgl w:val="false"/>
      <w:suff w:val="tab"/>
      <w:lvlText w:val="%5)"/>
      <w:lvlJc w:val="left"/>
      <w:pPr>
        <w:pStyle w:val="884"/>
        <w:ind w:left="2808" w:hanging="420"/>
      </w:pPr>
    </w:lvl>
    <w:lvl w:ilvl="5">
      <w:start w:val="1"/>
      <w:numFmt w:val="lowerRoman"/>
      <w:isLgl w:val="false"/>
      <w:suff w:val="tab"/>
      <w:lvlText w:val="%6."/>
      <w:lvlJc w:val="right"/>
      <w:pPr>
        <w:pStyle w:val="884"/>
        <w:ind w:left="3228" w:hanging="420"/>
      </w:pPr>
    </w:lvl>
    <w:lvl w:ilvl="6">
      <w:start w:val="1"/>
      <w:numFmt w:val="decimal"/>
      <w:isLgl w:val="false"/>
      <w:suff w:val="tab"/>
      <w:lvlText w:val="%7."/>
      <w:lvlJc w:val="left"/>
      <w:pPr>
        <w:pStyle w:val="884"/>
        <w:ind w:left="3648" w:hanging="420"/>
      </w:pPr>
    </w:lvl>
    <w:lvl w:ilvl="7">
      <w:start w:val="1"/>
      <w:numFmt w:val="lowerLetter"/>
      <w:isLgl w:val="false"/>
      <w:suff w:val="tab"/>
      <w:lvlText w:val="%8)"/>
      <w:lvlJc w:val="left"/>
      <w:pPr>
        <w:pStyle w:val="884"/>
        <w:ind w:left="4068" w:hanging="420"/>
      </w:pPr>
    </w:lvl>
    <w:lvl w:ilvl="8">
      <w:start w:val="1"/>
      <w:numFmt w:val="lowerRoman"/>
      <w:isLgl w:val="false"/>
      <w:suff w:val="tab"/>
      <w:lvlText w:val="%9."/>
      <w:lvlJc w:val="right"/>
      <w:pPr>
        <w:pStyle w:val="884"/>
        <w:ind w:left="4488" w:hanging="420"/>
      </w:pPr>
    </w:lvl>
  </w:abstractNum>
  <w:abstractNum w:abstractNumId="13">
    <w:multiLevelType w:val="hybridMultilevel"/>
    <w:lvl w:ilvl="0">
      <w:start w:val="1"/>
      <w:numFmt w:val="decimal"/>
      <w:pStyle w:val="1328"/>
      <w:isLgl w:val="false"/>
      <w:suff w:val="tab"/>
      <w:lvlText w:val="%1."/>
      <w:lvlJc w:val="left"/>
      <w:pPr>
        <w:pStyle w:val="884"/>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27"/>
      <w:isLgl w:val="false"/>
      <w:suff w:val="tab"/>
      <w:lvlText w:val="%1.%2."/>
      <w:lvlJc w:val="left"/>
      <w:pPr>
        <w:pStyle w:val="884"/>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pStyle w:val="884"/>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pStyle w:val="884"/>
        <w:ind w:left="1418" w:hanging="1021"/>
      </w:pPr>
      <w:rPr>
        <w:rFonts w:ascii="Arial Narrow" w:hAnsi="Arial Narrow" w:eastAsia="宋体" w:cs="宋体"/>
        <w:b w:val="0"/>
      </w:rPr>
    </w:lvl>
    <w:lvl w:ilvl="4">
      <w:start w:val="1"/>
      <w:numFmt w:val="decimal"/>
      <w:isLgl w:val="false"/>
      <w:suff w:val="tab"/>
      <w:lvlText w:val="%1.%2.%3.%4.%5."/>
      <w:lvlJc w:val="left"/>
      <w:pPr>
        <w:pStyle w:val="884"/>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pStyle w:val="884"/>
        <w:ind w:left="1418" w:hanging="1021"/>
      </w:pPr>
    </w:lvl>
    <w:lvl w:ilvl="6">
      <w:start w:val="1"/>
      <w:numFmt w:val="decimal"/>
      <w:isLgl w:val="false"/>
      <w:suff w:val="tab"/>
      <w:lvlText w:val="%1.%2.%3.%4.%5.%6.%7."/>
      <w:lvlJc w:val="left"/>
      <w:pPr>
        <w:pStyle w:val="884"/>
        <w:ind w:left="1418" w:hanging="1021"/>
      </w:pPr>
    </w:lvl>
    <w:lvl w:ilvl="7">
      <w:start w:val="1"/>
      <w:numFmt w:val="decimal"/>
      <w:isLgl w:val="false"/>
      <w:suff w:val="tab"/>
      <w:lvlText w:val="%1.%2.%3.%4.%5.%6.%7.%8."/>
      <w:lvlJc w:val="left"/>
      <w:pPr>
        <w:pStyle w:val="884"/>
        <w:ind w:left="1418" w:hanging="1021"/>
      </w:pPr>
    </w:lvl>
    <w:lvl w:ilvl="8">
      <w:start w:val="1"/>
      <w:numFmt w:val="decimal"/>
      <w:isLgl w:val="false"/>
      <w:suff w:val="tab"/>
      <w:lvlText w:val="%1.%2.%3.%4.%5.%6.%7.%8.%9."/>
      <w:lvlJc w:val="left"/>
      <w:pPr>
        <w:pStyle w:val="884"/>
        <w:ind w:left="1418" w:hanging="1021"/>
      </w:pPr>
    </w:lvl>
  </w:abstractNum>
  <w:abstractNum w:abstractNumId="14">
    <w:multiLevelType w:val="hybridMultilevel"/>
    <w:lvl w:ilvl="0">
      <w:start w:val="1"/>
      <w:numFmt w:val="decimal"/>
      <w:isLgl w:val="false"/>
      <w:suff w:val="tab"/>
      <w:lvlText w:val="（%1)"/>
      <w:lvlJc w:val="left"/>
      <w:pPr>
        <w:pStyle w:val="884"/>
        <w:ind w:left="420" w:hanging="420"/>
      </w:pPr>
      <w:rPr>
        <w:rFonts w:hint="eastAsia"/>
      </w:rPr>
    </w:lvl>
    <w:lvl w:ilvl="1">
      <w:start w:val="1"/>
      <w:numFmt w:val="lowerLetter"/>
      <w:isLgl w:val="false"/>
      <w:suff w:val="tab"/>
      <w:lvlText w:val="%2)"/>
      <w:lvlJc w:val="left"/>
      <w:pPr>
        <w:pStyle w:val="884"/>
        <w:ind w:left="840" w:hanging="420"/>
      </w:pPr>
    </w:lvl>
    <w:lvl w:ilvl="2">
      <w:start w:val="1"/>
      <w:numFmt w:val="lowerRoman"/>
      <w:isLgl w:val="false"/>
      <w:suff w:val="tab"/>
      <w:lvlText w:val="%3."/>
      <w:lvlJc w:val="right"/>
      <w:pPr>
        <w:pStyle w:val="884"/>
        <w:ind w:left="1260" w:hanging="420"/>
      </w:pPr>
    </w:lvl>
    <w:lvl w:ilvl="3">
      <w:start w:val="1"/>
      <w:numFmt w:val="decimal"/>
      <w:isLgl w:val="false"/>
      <w:suff w:val="tab"/>
      <w:lvlText w:val="%4."/>
      <w:lvlJc w:val="left"/>
      <w:pPr>
        <w:pStyle w:val="884"/>
        <w:ind w:left="1680" w:hanging="420"/>
      </w:pPr>
    </w:lvl>
    <w:lvl w:ilvl="4">
      <w:start w:val="1"/>
      <w:numFmt w:val="lowerLetter"/>
      <w:isLgl w:val="false"/>
      <w:suff w:val="tab"/>
      <w:lvlText w:val="%5)"/>
      <w:lvlJc w:val="left"/>
      <w:pPr>
        <w:pStyle w:val="884"/>
        <w:ind w:left="2100" w:hanging="420"/>
      </w:pPr>
    </w:lvl>
    <w:lvl w:ilvl="5">
      <w:start w:val="1"/>
      <w:numFmt w:val="lowerRoman"/>
      <w:isLgl w:val="false"/>
      <w:suff w:val="tab"/>
      <w:lvlText w:val="%6."/>
      <w:lvlJc w:val="right"/>
      <w:pPr>
        <w:pStyle w:val="884"/>
        <w:ind w:left="2520" w:hanging="420"/>
      </w:pPr>
    </w:lvl>
    <w:lvl w:ilvl="6">
      <w:start w:val="1"/>
      <w:numFmt w:val="decimal"/>
      <w:isLgl w:val="false"/>
      <w:suff w:val="tab"/>
      <w:lvlText w:val="%7."/>
      <w:lvlJc w:val="left"/>
      <w:pPr>
        <w:pStyle w:val="884"/>
        <w:ind w:left="2940" w:hanging="420"/>
      </w:pPr>
    </w:lvl>
    <w:lvl w:ilvl="7">
      <w:start w:val="1"/>
      <w:numFmt w:val="lowerLetter"/>
      <w:isLgl w:val="false"/>
      <w:suff w:val="tab"/>
      <w:lvlText w:val="%8)"/>
      <w:lvlJc w:val="left"/>
      <w:pPr>
        <w:pStyle w:val="884"/>
        <w:ind w:left="3360" w:hanging="420"/>
      </w:pPr>
    </w:lvl>
    <w:lvl w:ilvl="8">
      <w:start w:val="1"/>
      <w:numFmt w:val="lowerRoman"/>
      <w:isLgl w:val="false"/>
      <w:suff w:val="tab"/>
      <w:lvlText w:val="%9."/>
      <w:lvlJc w:val="right"/>
      <w:pPr>
        <w:pStyle w:val="884"/>
        <w:ind w:left="3780" w:hanging="420"/>
      </w:pPr>
    </w:lvl>
  </w:abstractNum>
  <w:abstractNum w:abstractNumId="15">
    <w:multiLevelType w:val="hybridMultilevel"/>
    <w:lvl w:ilvl="0">
      <w:start w:val="1"/>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2"/>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0"/>
      <w:numFmt w:val="decimal"/>
      <w:isLgl w:val="false"/>
      <w:suff w:val="tab"/>
      <w:lvlText w:val="%1"/>
      <w:lvlJc w:val="left"/>
      <w:pPr>
        <w:pStyle w:val="884"/>
        <w:ind w:left="480" w:hanging="480"/>
        <w:tabs>
          <w:tab w:val="num" w:pos="480" w:leader="none"/>
        </w:tabs>
      </w:pPr>
      <w:rPr>
        <w:rFonts w:hint="eastAsia"/>
      </w:rPr>
    </w:lvl>
    <w:lvl w:ilvl="1">
      <w:start w:val="5"/>
      <w:numFmt w:val="decimal"/>
      <w:isLgl w:val="false"/>
      <w:suff w:val="tab"/>
      <w:lvlText w:val="%1.%2"/>
      <w:lvlJc w:val="left"/>
      <w:pPr>
        <w:pStyle w:val="884"/>
        <w:ind w:left="480" w:hanging="480"/>
        <w:tabs>
          <w:tab w:val="num" w:pos="480" w:leader="none"/>
        </w:tabs>
      </w:pPr>
      <w:rPr>
        <w:rFonts w:hint="eastAsia"/>
      </w:rPr>
    </w:lvl>
    <w:lvl w:ilvl="2">
      <w:start w:val="1"/>
      <w:numFmt w:val="decimal"/>
      <w:isLgl w:val="false"/>
      <w:suff w:val="tab"/>
      <w:lvlText w:val="%1.%2.%3"/>
      <w:lvlJc w:val="left"/>
      <w:pPr>
        <w:pStyle w:val="884"/>
        <w:ind w:left="720" w:hanging="720"/>
        <w:tabs>
          <w:tab w:val="num" w:pos="720" w:leader="none"/>
        </w:tabs>
      </w:pPr>
      <w:rPr>
        <w:rFonts w:hint="eastAsia"/>
      </w:rPr>
    </w:lvl>
    <w:lvl w:ilvl="3">
      <w:start w:val="1"/>
      <w:numFmt w:val="decimal"/>
      <w:isLgl w:val="false"/>
      <w:suff w:val="tab"/>
      <w:lvlText w:val="%1.%2.%3.%4"/>
      <w:lvlJc w:val="left"/>
      <w:pPr>
        <w:pStyle w:val="884"/>
        <w:ind w:left="1080" w:hanging="1080"/>
        <w:tabs>
          <w:tab w:val="num" w:pos="1080" w:leader="none"/>
        </w:tabs>
      </w:pPr>
      <w:rPr>
        <w:rFonts w:hint="eastAsia"/>
      </w:rPr>
    </w:lvl>
    <w:lvl w:ilvl="4">
      <w:start w:val="1"/>
      <w:numFmt w:val="decimal"/>
      <w:isLgl w:val="false"/>
      <w:suff w:val="tab"/>
      <w:lvlText w:val="%1.%2.%3.%4.%5"/>
      <w:lvlJc w:val="left"/>
      <w:pPr>
        <w:pStyle w:val="884"/>
        <w:ind w:left="1080" w:hanging="1080"/>
        <w:tabs>
          <w:tab w:val="num" w:pos="1080" w:leader="none"/>
        </w:tabs>
      </w:pPr>
      <w:rPr>
        <w:rFonts w:hint="eastAsia"/>
      </w:rPr>
    </w:lvl>
    <w:lvl w:ilvl="5">
      <w:start w:val="1"/>
      <w:numFmt w:val="decimal"/>
      <w:isLgl w:val="false"/>
      <w:suff w:val="tab"/>
      <w:lvlText w:val="%1.%2.%3.%4.%5.%6"/>
      <w:lvlJc w:val="left"/>
      <w:pPr>
        <w:pStyle w:val="884"/>
        <w:ind w:left="1440" w:hanging="1440"/>
        <w:tabs>
          <w:tab w:val="num" w:pos="1440" w:leader="none"/>
        </w:tabs>
      </w:pPr>
      <w:rPr>
        <w:rFonts w:hint="eastAsia"/>
      </w:rPr>
    </w:lvl>
    <w:lvl w:ilvl="6">
      <w:start w:val="1"/>
      <w:numFmt w:val="decimal"/>
      <w:isLgl w:val="false"/>
      <w:suff w:val="tab"/>
      <w:lvlText w:val="%1.%2.%3.%4.%5.%6.%7"/>
      <w:lvlJc w:val="left"/>
      <w:pPr>
        <w:pStyle w:val="884"/>
        <w:ind w:left="1800" w:hanging="1800"/>
        <w:tabs>
          <w:tab w:val="num" w:pos="1800" w:leader="none"/>
        </w:tabs>
      </w:pPr>
      <w:rPr>
        <w:rFonts w:hint="eastAsia"/>
      </w:rPr>
    </w:lvl>
    <w:lvl w:ilvl="7">
      <w:start w:val="1"/>
      <w:numFmt w:val="decimal"/>
      <w:isLgl w:val="false"/>
      <w:suff w:val="tab"/>
      <w:lvlText w:val="%1.%2.%3.%4.%5.%6.%7.%8"/>
      <w:lvlJc w:val="left"/>
      <w:pPr>
        <w:pStyle w:val="884"/>
        <w:ind w:left="1800" w:hanging="1800"/>
        <w:tabs>
          <w:tab w:val="num" w:pos="1800" w:leader="none"/>
        </w:tabs>
      </w:pPr>
      <w:rPr>
        <w:rFonts w:hint="eastAsia"/>
      </w:rPr>
    </w:lvl>
    <w:lvl w:ilvl="8">
      <w:start w:val="1"/>
      <w:numFmt w:val="decimal"/>
      <w:isLgl w:val="false"/>
      <w:suff w:val="tab"/>
      <w:lvlText w:val="%1.%2.%3.%4.%5.%6.%7.%8.%9"/>
      <w:lvlJc w:val="left"/>
      <w:pPr>
        <w:pStyle w:val="884"/>
        <w:ind w:left="2160" w:hanging="2160"/>
        <w:tabs>
          <w:tab w:val="num" w:pos="2160" w:leader="none"/>
        </w:tabs>
      </w:pPr>
      <w:rPr>
        <w:rFonts w:hint="eastAsia"/>
      </w:rPr>
    </w:lvl>
  </w:abstractNum>
  <w:num w:numId="1">
    <w:abstractNumId w:val="7"/>
  </w:num>
  <w:num w:numId="2">
    <w:abstractNumId w:val="0"/>
  </w:num>
  <w:num w:numId="3">
    <w:abstractNumId w:val="1"/>
  </w:num>
  <w:num w:numId="4">
    <w:abstractNumId w:val="13"/>
  </w:num>
  <w:num w:numId="5">
    <w:abstractNumId w:val="12"/>
  </w:num>
  <w:num w:numId="6">
    <w:abstractNumId w:val="5"/>
  </w:num>
  <w:num w:numId="7">
    <w:abstractNumId w:val="16"/>
  </w:num>
  <w:num w:numId="8">
    <w:abstractNumId w:val="4"/>
  </w:num>
  <w:num w:numId="9">
    <w:abstractNumId w:val="9"/>
  </w:num>
  <w:num w:numId="10">
    <w:abstractNumId w:val="3"/>
  </w:num>
  <w:num w:numId="11">
    <w:abstractNumId w:val="8"/>
  </w:num>
  <w:num w:numId="12">
    <w:abstractNumId w:val="14"/>
  </w:num>
  <w:num w:numId="13">
    <w:abstractNumId w:val="11"/>
  </w:num>
  <w:num w:numId="14">
    <w:abstractNumId w:val="10"/>
  </w:num>
  <w:num w:numId="15">
    <w:abstractNumId w:val="15"/>
  </w:num>
  <w:num w:numId="16">
    <w:abstractNumId w:val="17"/>
  </w:num>
  <w:num w:numId="17">
    <w:abstractNumId w:val="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84"/>
    <w:next w:val="884"/>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84"/>
    <w:next w:val="884"/>
    <w:link w:val="1020"/>
    <w:uiPriority w:val="9"/>
    <w:unhideWhenUsed/>
    <w:qFormat/>
    <w:pPr>
      <w:keepLines/>
      <w:keepNext/>
      <w:spacing w:before="360" w:after="200"/>
      <w:outlineLvl w:val="1"/>
    </w:pPr>
    <w:rPr>
      <w:rFonts w:ascii="Arial" w:hAnsi="Arial" w:eastAsia="Arial" w:cs="Arial"/>
      <w:sz w:val="34"/>
    </w:rPr>
  </w:style>
  <w:style w:type="paragraph" w:styleId="715">
    <w:name w:val="Heading 3"/>
    <w:basedOn w:val="884"/>
    <w:next w:val="884"/>
    <w:link w:val="983"/>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884"/>
    <w:next w:val="884"/>
    <w:link w:val="976"/>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884"/>
    <w:next w:val="884"/>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4"/>
    <w:next w:val="884"/>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4"/>
    <w:next w:val="884"/>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4"/>
    <w:next w:val="884"/>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4"/>
    <w:next w:val="884"/>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84"/>
    <w:next w:val="884"/>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4"/>
    <w:next w:val="884"/>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4"/>
    <w:next w:val="884"/>
    <w:link w:val="733"/>
    <w:uiPriority w:val="29"/>
    <w:qFormat/>
    <w:pPr>
      <w:ind w:left="720" w:right="720"/>
    </w:pPr>
    <w:rPr>
      <w:i/>
    </w:rPr>
  </w:style>
  <w:style w:type="character" w:styleId="733">
    <w:name w:val="Quote Char"/>
    <w:link w:val="732"/>
    <w:uiPriority w:val="29"/>
    <w:rPr>
      <w:i/>
    </w:rPr>
  </w:style>
  <w:style w:type="paragraph" w:styleId="734">
    <w:name w:val="Intense Quote"/>
    <w:basedOn w:val="884"/>
    <w:next w:val="884"/>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4"/>
    <w:link w:val="1024"/>
    <w:uiPriority w:val="99"/>
    <w:unhideWhenUsed/>
    <w:pPr>
      <w:spacing w:after="0" w:line="240" w:lineRule="auto"/>
      <w:tabs>
        <w:tab w:val="center" w:pos="7143" w:leader="none"/>
        <w:tab w:val="right" w:pos="14287" w:leader="none"/>
      </w:tabs>
    </w:pPr>
  </w:style>
  <w:style w:type="paragraph" w:styleId="737">
    <w:name w:val="Footer"/>
    <w:basedOn w:val="884"/>
    <w:link w:val="739"/>
    <w:uiPriority w:val="99"/>
    <w:unhideWhenUsed/>
    <w:pPr>
      <w:spacing w:after="0" w:line="240" w:lineRule="auto"/>
      <w:tabs>
        <w:tab w:val="center" w:pos="7143" w:leader="none"/>
        <w:tab w:val="right" w:pos="14287" w:leader="none"/>
      </w:tabs>
    </w:pPr>
  </w:style>
  <w:style w:type="paragraph" w:styleId="738">
    <w:name w:val="Caption"/>
    <w:basedOn w:val="884"/>
    <w:next w:val="884"/>
    <w:uiPriority w:val="35"/>
    <w:semiHidden/>
    <w:unhideWhenUsed/>
    <w:qFormat/>
    <w:pPr>
      <w:spacing w:line="276" w:lineRule="auto"/>
    </w:pPr>
    <w:rPr>
      <w:b/>
      <w:bCs/>
      <w:color w:val="4f81bd" w:themeColor="accent1"/>
      <w:sz w:val="18"/>
      <w:szCs w:val="18"/>
    </w:rPr>
  </w:style>
  <w:style w:type="character" w:styleId="739">
    <w:name w:val="Caption Char"/>
    <w:basedOn w:val="738"/>
    <w:link w:val="737"/>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basedOn w:val="88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basedOn w:val="884"/>
    <w:next w:val="884"/>
    <w:uiPriority w:val="39"/>
    <w:unhideWhenUsed/>
    <w:pPr>
      <w:ind w:left="0" w:right="0" w:firstLine="0"/>
      <w:spacing w:after="57"/>
    </w:p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6"/>
    <w:link w:val="884"/>
    <w:qFormat/>
    <w:pPr>
      <w:jc w:val="both"/>
      <w:widowControl w:val="off"/>
    </w:pPr>
    <w:rPr>
      <w:sz w:val="21"/>
      <w:szCs w:val="22"/>
      <w:lang w:val="en-US" w:eastAsia="zh-CN" w:bidi="ar-SA"/>
    </w:rPr>
  </w:style>
  <w:style w:type="paragraph" w:styleId="885">
    <w:name w:val="标题 1"/>
    <w:basedOn w:val="884"/>
    <w:next w:val="884"/>
    <w:link w:val="898"/>
    <w:qFormat/>
    <w:pPr>
      <w:keepLines/>
      <w:keepNext/>
      <w:spacing w:before="340" w:after="330" w:line="576" w:lineRule="auto"/>
      <w:outlineLvl w:val="0"/>
    </w:pPr>
    <w:rPr>
      <w:b/>
      <w:sz w:val="44"/>
      <w:szCs w:val="20"/>
    </w:rPr>
  </w:style>
  <w:style w:type="paragraph" w:styleId="886">
    <w:name w:val="标题 2"/>
    <w:basedOn w:val="884"/>
    <w:next w:val="884"/>
    <w:link w:val="899"/>
    <w:qFormat/>
    <w:pPr>
      <w:keepLines/>
      <w:keepNext/>
      <w:spacing w:before="260" w:after="260" w:line="413" w:lineRule="auto"/>
      <w:outlineLvl w:val="1"/>
    </w:pPr>
    <w:rPr>
      <w:rFonts w:ascii="Arial" w:hAnsi="Arial" w:eastAsia="黑体"/>
      <w:b/>
      <w:sz w:val="32"/>
      <w:szCs w:val="20"/>
    </w:rPr>
  </w:style>
  <w:style w:type="paragraph" w:styleId="887">
    <w:name w:val="标题 3"/>
    <w:basedOn w:val="884"/>
    <w:next w:val="884"/>
    <w:link w:val="900"/>
    <w:qFormat/>
    <w:pPr>
      <w:keepLines/>
      <w:keepNext/>
      <w:spacing w:before="260" w:after="260" w:line="413" w:lineRule="auto"/>
      <w:outlineLvl w:val="2"/>
    </w:pPr>
    <w:rPr>
      <w:b/>
      <w:sz w:val="32"/>
      <w:szCs w:val="20"/>
    </w:rPr>
  </w:style>
  <w:style w:type="paragraph" w:styleId="888">
    <w:name w:val="标题 4"/>
    <w:basedOn w:val="884"/>
    <w:next w:val="884"/>
    <w:link w:val="901"/>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9">
    <w:name w:val="标题 5"/>
    <w:basedOn w:val="884"/>
    <w:next w:val="884"/>
    <w:link w:val="884"/>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90">
    <w:name w:val="标题 6"/>
    <w:basedOn w:val="884"/>
    <w:next w:val="884"/>
    <w:link w:val="884"/>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91">
    <w:name w:val="标题 7"/>
    <w:basedOn w:val="884"/>
    <w:next w:val="884"/>
    <w:link w:val="884"/>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92">
    <w:name w:val="标题 8"/>
    <w:basedOn w:val="884"/>
    <w:next w:val="884"/>
    <w:link w:val="884"/>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93">
    <w:name w:val="标题 9"/>
    <w:basedOn w:val="884"/>
    <w:next w:val="884"/>
    <w:link w:val="884"/>
    <w:qFormat/>
    <w:pPr>
      <w:jc w:val="center"/>
      <w:keepNext/>
      <w:spacing w:line="600" w:lineRule="exact"/>
      <w:widowControl w:val="off"/>
      <w:outlineLvl w:val="8"/>
    </w:pPr>
    <w:rPr>
      <w:rFonts w:ascii="仿宋_GB2312" w:eastAsia="仿宋_GB2312"/>
      <w:sz w:val="32"/>
    </w:rPr>
  </w:style>
  <w:style w:type="character" w:styleId="894">
    <w:name w:val="默认段落字体"/>
    <w:next w:val="894"/>
    <w:link w:val="884"/>
    <w:uiPriority w:val="1"/>
    <w:unhideWhenUsed/>
  </w:style>
  <w:style w:type="table" w:styleId="895">
    <w:name w:val="普通表格"/>
    <w:next w:val="895"/>
    <w:link w:val="884"/>
    <w:semiHidden/>
    <w:tblPr/>
  </w:style>
  <w:style w:type="paragraph" w:styleId="896">
    <w:name w:val="正文文本"/>
    <w:basedOn w:val="884"/>
    <w:next w:val="884"/>
    <w:link w:val="897"/>
    <w:pPr>
      <w:spacing w:line="60" w:lineRule="auto"/>
    </w:pPr>
    <w:rPr>
      <w:rFonts w:ascii="仿宋_GB2312" w:eastAsia="仿宋_GB2312"/>
      <w:sz w:val="32"/>
    </w:rPr>
  </w:style>
  <w:style w:type="character" w:styleId="897">
    <w:name w:val="正文文本 字符"/>
    <w:next w:val="897"/>
    <w:link w:val="896"/>
    <w:rPr>
      <w:rFonts w:ascii="仿宋_GB2312" w:eastAsia="仿宋_GB2312"/>
      <w:sz w:val="32"/>
      <w:szCs w:val="22"/>
    </w:rPr>
  </w:style>
  <w:style w:type="character" w:styleId="898">
    <w:name w:val="标题 1 字符"/>
    <w:next w:val="898"/>
    <w:link w:val="885"/>
    <w:rPr>
      <w:b/>
      <w:sz w:val="44"/>
    </w:rPr>
  </w:style>
  <w:style w:type="character" w:styleId="899">
    <w:name w:val="标题 2 字符"/>
    <w:next w:val="899"/>
    <w:link w:val="886"/>
    <w:rPr>
      <w:rFonts w:ascii="Arial" w:hAnsi="Arial" w:eastAsia="黑体"/>
      <w:b/>
      <w:sz w:val="32"/>
    </w:rPr>
  </w:style>
  <w:style w:type="character" w:styleId="900">
    <w:name w:val="标题 3 字符"/>
    <w:next w:val="900"/>
    <w:link w:val="887"/>
    <w:rPr>
      <w:b/>
      <w:sz w:val="32"/>
    </w:rPr>
  </w:style>
  <w:style w:type="character" w:styleId="901">
    <w:name w:val="标题 4 字符"/>
    <w:next w:val="901"/>
    <w:link w:val="888"/>
    <w:rPr>
      <w:rFonts w:ascii="宋体" w:eastAsia="宋体"/>
      <w:color w:val="800000"/>
      <w:sz w:val="28"/>
      <w:lang w:val="en-US" w:eastAsia="zh-CN" w:bidi="ar-SA"/>
    </w:rPr>
  </w:style>
  <w:style w:type="paragraph" w:styleId="902">
    <w:name w:val="目录 7"/>
    <w:basedOn w:val="884"/>
    <w:next w:val="884"/>
    <w:link w:val="884"/>
    <w:pPr>
      <w:ind w:left="1260"/>
      <w:jc w:val="left"/>
    </w:pPr>
    <w:rPr>
      <w:rFonts w:ascii="Calibri" w:hAnsi="Calibri" w:cs="Calibri"/>
      <w:sz w:val="18"/>
      <w:szCs w:val="18"/>
    </w:rPr>
  </w:style>
  <w:style w:type="paragraph" w:styleId="903">
    <w:name w:val="列表项目符号 4"/>
    <w:basedOn w:val="884"/>
    <w:next w:val="903"/>
    <w:link w:val="884"/>
    <w:pPr>
      <w:ind w:left="360" w:hanging="360"/>
      <w:spacing w:line="380" w:lineRule="exact"/>
      <w:tabs>
        <w:tab w:val="left" w:pos="360" w:leader="none"/>
      </w:tabs>
    </w:pPr>
    <w:rPr>
      <w:rFonts w:ascii="Calibri" w:hAnsi="Calibri"/>
      <w:sz w:val="28"/>
      <w:szCs w:val="22"/>
    </w:rPr>
  </w:style>
  <w:style w:type="paragraph" w:styleId="904">
    <w:name w:val="索引 8"/>
    <w:basedOn w:val="884"/>
    <w:next w:val="884"/>
    <w:link w:val="884"/>
    <w:pPr>
      <w:ind w:left="1400"/>
    </w:pPr>
    <w:rPr>
      <w:rFonts w:ascii="Calibri" w:hAnsi="Calibri"/>
      <w:szCs w:val="22"/>
    </w:rPr>
  </w:style>
  <w:style w:type="paragraph" w:styleId="905">
    <w:name w:val="列表编号"/>
    <w:basedOn w:val="884"/>
    <w:next w:val="905"/>
    <w:link w:val="884"/>
    <w:pPr>
      <w:spacing w:line="360" w:lineRule="auto"/>
      <w:tabs>
        <w:tab w:val="left" w:pos="0" w:leader="none"/>
        <w:tab w:val="left" w:pos="840" w:leader="none"/>
      </w:tabs>
    </w:pPr>
  </w:style>
  <w:style w:type="paragraph" w:styleId="906">
    <w:name w:val="正文缩进"/>
    <w:basedOn w:val="884"/>
    <w:next w:val="906"/>
    <w:link w:val="884"/>
    <w:pPr>
      <w:ind w:firstLine="420"/>
    </w:pPr>
    <w:rPr>
      <w:rFonts w:ascii="宋体"/>
      <w:color w:val="000000"/>
      <w:sz w:val="24"/>
      <w:szCs w:val="20"/>
    </w:rPr>
  </w:style>
  <w:style w:type="paragraph" w:styleId="907">
    <w:name w:val="题注"/>
    <w:basedOn w:val="884"/>
    <w:next w:val="884"/>
    <w:link w:val="908"/>
    <w:qFormat/>
    <w:pPr>
      <w:spacing w:line="360" w:lineRule="auto"/>
      <w:tabs>
        <w:tab w:val="left" w:pos="0" w:leader="none"/>
      </w:tabs>
    </w:pPr>
    <w:rPr>
      <w:rFonts w:ascii="Arial" w:hAnsi="Arial" w:eastAsia="黑体"/>
      <w:sz w:val="20"/>
      <w:szCs w:val="20"/>
    </w:rPr>
  </w:style>
  <w:style w:type="character" w:styleId="908">
    <w:name w:val="题注 字符"/>
    <w:next w:val="908"/>
    <w:link w:val="907"/>
    <w:rPr>
      <w:rFonts w:ascii="Arial" w:hAnsi="Arial" w:eastAsia="黑体" w:cs="Arial"/>
    </w:rPr>
  </w:style>
  <w:style w:type="paragraph" w:styleId="909">
    <w:name w:val="索引 5"/>
    <w:basedOn w:val="884"/>
    <w:next w:val="884"/>
    <w:link w:val="884"/>
    <w:pPr>
      <w:ind w:left="800"/>
    </w:pPr>
    <w:rPr>
      <w:rFonts w:ascii="Calibri" w:hAnsi="Calibri"/>
      <w:szCs w:val="22"/>
    </w:rPr>
  </w:style>
  <w:style w:type="paragraph" w:styleId="910">
    <w:name w:val="列表项目符号"/>
    <w:basedOn w:val="884"/>
    <w:next w:val="910"/>
    <w:link w:val="884"/>
    <w:pPr>
      <w:ind w:left="962" w:hanging="480"/>
      <w:spacing w:line="360" w:lineRule="auto"/>
      <w:tabs>
        <w:tab w:val="left" w:pos="840" w:leader="none"/>
      </w:tabs>
    </w:pPr>
    <w:rPr>
      <w:sz w:val="24"/>
    </w:rPr>
  </w:style>
  <w:style w:type="paragraph" w:styleId="911">
    <w:name w:val="文档结构图"/>
    <w:basedOn w:val="884"/>
    <w:next w:val="911"/>
    <w:link w:val="884"/>
    <w:pPr>
      <w:shd w:val="clear" w:color="auto" w:fill="000080"/>
    </w:pPr>
  </w:style>
  <w:style w:type="paragraph" w:styleId="912">
    <w:name w:val="批注文字"/>
    <w:basedOn w:val="884"/>
    <w:next w:val="912"/>
    <w:link w:val="913"/>
    <w:uiPriority w:val="99"/>
    <w:pPr>
      <w:jc w:val="left"/>
    </w:pPr>
    <w:rPr>
      <w:rFonts w:ascii="Calibri" w:hAnsi="Calibri"/>
      <w:szCs w:val="20"/>
    </w:rPr>
  </w:style>
  <w:style w:type="character" w:styleId="913">
    <w:name w:val="批注文字 字符"/>
    <w:next w:val="913"/>
    <w:link w:val="912"/>
    <w:uiPriority w:val="99"/>
    <w:rPr>
      <w:rFonts w:ascii="Calibri" w:hAnsi="Calibri" w:eastAsia="宋体" w:cs="Times New Roman"/>
      <w:sz w:val="21"/>
    </w:rPr>
  </w:style>
  <w:style w:type="paragraph" w:styleId="914">
    <w:name w:val="索引 6"/>
    <w:basedOn w:val="884"/>
    <w:next w:val="884"/>
    <w:link w:val="884"/>
    <w:pPr>
      <w:ind w:left="1000"/>
    </w:pPr>
    <w:rPr>
      <w:rFonts w:ascii="Calibri" w:hAnsi="Calibri"/>
      <w:szCs w:val="22"/>
    </w:rPr>
  </w:style>
  <w:style w:type="paragraph" w:styleId="915">
    <w:name w:val="正文文本 3"/>
    <w:basedOn w:val="884"/>
    <w:next w:val="915"/>
    <w:link w:val="884"/>
    <w:rPr>
      <w:color w:val="000000"/>
    </w:rPr>
  </w:style>
  <w:style w:type="paragraph" w:styleId="916">
    <w:name w:val="列表项目符号 3"/>
    <w:basedOn w:val="884"/>
    <w:next w:val="916"/>
    <w:link w:val="884"/>
    <w:pPr>
      <w:ind w:left="1200" w:hanging="360"/>
      <w:spacing w:line="380" w:lineRule="exact"/>
      <w:tabs>
        <w:tab w:val="left" w:pos="1200" w:leader="none"/>
      </w:tabs>
    </w:pPr>
    <w:rPr>
      <w:rFonts w:ascii="Calibri" w:hAnsi="Calibri"/>
      <w:sz w:val="28"/>
      <w:szCs w:val="22"/>
    </w:rPr>
  </w:style>
  <w:style w:type="paragraph" w:styleId="917">
    <w:name w:val="正文文本缩进"/>
    <w:basedOn w:val="884"/>
    <w:next w:val="884"/>
    <w:link w:val="884"/>
    <w:pPr>
      <w:ind w:firstLine="225"/>
    </w:pPr>
    <w:rPr>
      <w:rFonts w:ascii="仿宋_GB2312" w:eastAsia="仿宋_GB2312"/>
      <w:sz w:val="32"/>
    </w:rPr>
  </w:style>
  <w:style w:type="paragraph" w:styleId="918">
    <w:name w:val="文本块"/>
    <w:basedOn w:val="884"/>
    <w:next w:val="918"/>
    <w:link w:val="884"/>
    <w:pPr>
      <w:ind w:left="1548" w:right="12" w:hanging="2405"/>
      <w:spacing w:line="360" w:lineRule="exact"/>
    </w:pPr>
    <w:rPr>
      <w:rFonts w:ascii="宋体"/>
      <w:bCs/>
      <w:sz w:val="28"/>
      <w:szCs w:val="22"/>
    </w:rPr>
  </w:style>
  <w:style w:type="paragraph" w:styleId="919">
    <w:name w:val="列表项目符号 2"/>
    <w:basedOn w:val="884"/>
    <w:next w:val="919"/>
    <w:link w:val="884"/>
    <w:pPr>
      <w:ind w:left="720" w:hanging="360"/>
      <w:spacing w:line="360" w:lineRule="auto"/>
      <w:tabs>
        <w:tab w:val="left" w:pos="720" w:leader="none"/>
      </w:tabs>
    </w:pPr>
    <w:rPr>
      <w:sz w:val="24"/>
    </w:rPr>
  </w:style>
  <w:style w:type="paragraph" w:styleId="920">
    <w:name w:val="HTML 地址"/>
    <w:basedOn w:val="884"/>
    <w:next w:val="920"/>
    <w:link w:val="884"/>
    <w:rPr>
      <w:i/>
      <w:iCs/>
    </w:rPr>
  </w:style>
  <w:style w:type="paragraph" w:styleId="921">
    <w:name w:val="索引 4"/>
    <w:basedOn w:val="884"/>
    <w:next w:val="884"/>
    <w:link w:val="884"/>
    <w:pPr>
      <w:ind w:left="600"/>
    </w:pPr>
    <w:rPr>
      <w:rFonts w:ascii="Calibri" w:hAnsi="Calibri"/>
      <w:szCs w:val="22"/>
    </w:rPr>
  </w:style>
  <w:style w:type="paragraph" w:styleId="922">
    <w:name w:val="目录 5"/>
    <w:basedOn w:val="884"/>
    <w:next w:val="884"/>
    <w:link w:val="884"/>
    <w:pPr>
      <w:ind w:left="840"/>
      <w:jc w:val="left"/>
    </w:pPr>
    <w:rPr>
      <w:rFonts w:ascii="Calibri" w:hAnsi="Calibri" w:cs="Calibri"/>
      <w:sz w:val="18"/>
      <w:szCs w:val="18"/>
    </w:rPr>
  </w:style>
  <w:style w:type="paragraph" w:styleId="923">
    <w:name w:val="目录 3"/>
    <w:basedOn w:val="884"/>
    <w:next w:val="884"/>
    <w:link w:val="884"/>
    <w:uiPriority w:val="39"/>
    <w:qFormat/>
    <w:pPr>
      <w:ind w:left="420"/>
      <w:jc w:val="left"/>
    </w:pPr>
    <w:rPr>
      <w:rFonts w:ascii="Calibri" w:hAnsi="Calibri" w:cs="Calibri"/>
      <w:i/>
      <w:iCs/>
      <w:sz w:val="20"/>
      <w:szCs w:val="20"/>
    </w:rPr>
  </w:style>
  <w:style w:type="paragraph" w:styleId="924">
    <w:name w:val="纯文本"/>
    <w:basedOn w:val="884"/>
    <w:next w:val="924"/>
    <w:link w:val="884"/>
    <w:rPr>
      <w:rFonts w:ascii="宋体"/>
      <w:szCs w:val="21"/>
    </w:rPr>
  </w:style>
  <w:style w:type="paragraph" w:styleId="925">
    <w:name w:val="列表项目符号 5"/>
    <w:basedOn w:val="884"/>
    <w:next w:val="925"/>
    <w:link w:val="884"/>
    <w:pPr>
      <w:ind w:left="720" w:hanging="360"/>
      <w:spacing w:line="380" w:lineRule="exact"/>
      <w:tabs>
        <w:tab w:val="left" w:pos="720" w:leader="none"/>
      </w:tabs>
    </w:pPr>
    <w:rPr>
      <w:rFonts w:ascii="Calibri" w:hAnsi="Calibri"/>
      <w:sz w:val="28"/>
      <w:szCs w:val="22"/>
    </w:rPr>
  </w:style>
  <w:style w:type="paragraph" w:styleId="926">
    <w:name w:val="目录 8"/>
    <w:basedOn w:val="884"/>
    <w:next w:val="884"/>
    <w:link w:val="884"/>
    <w:pPr>
      <w:ind w:left="1470"/>
      <w:jc w:val="left"/>
    </w:pPr>
    <w:rPr>
      <w:rFonts w:ascii="Calibri" w:hAnsi="Calibri" w:cs="Calibri"/>
      <w:sz w:val="18"/>
      <w:szCs w:val="18"/>
    </w:rPr>
  </w:style>
  <w:style w:type="paragraph" w:styleId="927">
    <w:name w:val="索引 3"/>
    <w:basedOn w:val="884"/>
    <w:next w:val="884"/>
    <w:link w:val="884"/>
    <w:pPr>
      <w:ind w:left="400"/>
    </w:pPr>
    <w:rPr>
      <w:rFonts w:ascii="Calibri" w:hAnsi="Calibri"/>
      <w:szCs w:val="22"/>
    </w:rPr>
  </w:style>
  <w:style w:type="paragraph" w:styleId="928">
    <w:name w:val="日期"/>
    <w:basedOn w:val="884"/>
    <w:next w:val="884"/>
    <w:link w:val="884"/>
    <w:pPr>
      <w:ind w:left="2500"/>
    </w:pPr>
  </w:style>
  <w:style w:type="paragraph" w:styleId="929">
    <w:name w:val="正文文本缩进 2"/>
    <w:basedOn w:val="884"/>
    <w:next w:val="929"/>
    <w:link w:val="884"/>
    <w:pPr>
      <w:ind w:firstLine="225"/>
      <w:jc w:val="left"/>
      <w:spacing w:line="540" w:lineRule="exact"/>
    </w:pPr>
    <w:rPr>
      <w:rFonts w:ascii="仿宋_GB2312" w:eastAsia="仿宋_GB2312"/>
      <w:sz w:val="32"/>
    </w:rPr>
  </w:style>
  <w:style w:type="paragraph" w:styleId="930">
    <w:name w:val="尾注文本"/>
    <w:basedOn w:val="884"/>
    <w:next w:val="930"/>
    <w:link w:val="884"/>
    <w:pPr>
      <w:jc w:val="left"/>
      <w:widowControl/>
    </w:pPr>
    <w:rPr>
      <w:rFonts w:ascii="宋体"/>
      <w:bCs/>
      <w:szCs w:val="21"/>
    </w:rPr>
  </w:style>
  <w:style w:type="paragraph" w:styleId="931">
    <w:name w:val="批注框文本"/>
    <w:basedOn w:val="884"/>
    <w:next w:val="931"/>
    <w:link w:val="884"/>
    <w:rPr>
      <w:sz w:val="18"/>
      <w:szCs w:val="20"/>
    </w:rPr>
  </w:style>
  <w:style w:type="paragraph" w:styleId="932">
    <w:name w:val="页脚"/>
    <w:basedOn w:val="884"/>
    <w:next w:val="932"/>
    <w:link w:val="933"/>
    <w:uiPriority w:val="99"/>
    <w:pPr>
      <w:jc w:val="left"/>
      <w:tabs>
        <w:tab w:val="center" w:pos="4153" w:leader="none"/>
        <w:tab w:val="right" w:pos="8306" w:leader="none"/>
      </w:tabs>
    </w:pPr>
    <w:rPr>
      <w:rFonts w:ascii="Calibri" w:hAnsi="Calibri"/>
      <w:sz w:val="18"/>
      <w:szCs w:val="18"/>
    </w:rPr>
  </w:style>
  <w:style w:type="character" w:styleId="933">
    <w:name w:val="页脚 字符"/>
    <w:next w:val="933"/>
    <w:link w:val="932"/>
    <w:uiPriority w:val="99"/>
    <w:rPr>
      <w:rFonts w:ascii="Calibri" w:hAnsi="Calibri" w:eastAsia="宋体" w:cs="Times New Roman"/>
      <w:sz w:val="18"/>
      <w:szCs w:val="18"/>
    </w:rPr>
  </w:style>
  <w:style w:type="paragraph" w:styleId="934">
    <w:name w:val="寄信人地址"/>
    <w:basedOn w:val="884"/>
    <w:next w:val="934"/>
    <w:link w:val="884"/>
    <w:qFormat/>
    <w:rPr>
      <w:rFonts w:ascii="Arial" w:hAnsi="Arial"/>
    </w:rPr>
  </w:style>
  <w:style w:type="paragraph" w:styleId="935">
    <w:name w:val="页眉"/>
    <w:basedOn w:val="884"/>
    <w:next w:val="935"/>
    <w:link w:val="936"/>
    <w:uiPriority w:val="99"/>
    <w:pPr>
      <w:jc w:val="center"/>
      <w:tabs>
        <w:tab w:val="center" w:pos="4153" w:leader="none"/>
        <w:tab w:val="right" w:pos="8306" w:leader="none"/>
      </w:tabs>
      <w:pBdr>
        <w:bottom w:val="single" w:color="000000" w:sz="6" w:space="1"/>
      </w:pBdr>
    </w:pPr>
    <w:rPr>
      <w:sz w:val="18"/>
      <w:szCs w:val="18"/>
    </w:rPr>
  </w:style>
  <w:style w:type="character" w:styleId="936">
    <w:name w:val="页眉 字符"/>
    <w:next w:val="936"/>
    <w:link w:val="935"/>
    <w:uiPriority w:val="99"/>
    <w:rPr>
      <w:sz w:val="18"/>
      <w:szCs w:val="18"/>
    </w:rPr>
  </w:style>
  <w:style w:type="paragraph" w:styleId="937">
    <w:name w:val="目录 1"/>
    <w:basedOn w:val="884"/>
    <w:next w:val="884"/>
    <w:link w:val="884"/>
    <w:uiPriority w:val="39"/>
    <w:qFormat/>
    <w:pPr>
      <w:jc w:val="left"/>
      <w:spacing w:before="120" w:after="120"/>
    </w:pPr>
    <w:rPr>
      <w:rFonts w:ascii="Calibri" w:hAnsi="Calibri" w:cs="Calibri"/>
      <w:b/>
      <w:bCs/>
      <w:caps/>
      <w:sz w:val="20"/>
      <w:szCs w:val="20"/>
    </w:rPr>
  </w:style>
  <w:style w:type="paragraph" w:styleId="938">
    <w:name w:val="目录 4"/>
    <w:basedOn w:val="884"/>
    <w:next w:val="884"/>
    <w:link w:val="884"/>
    <w:pPr>
      <w:ind w:left="630"/>
      <w:jc w:val="left"/>
    </w:pPr>
    <w:rPr>
      <w:rFonts w:ascii="Calibri" w:hAnsi="Calibri" w:cs="Calibri"/>
      <w:sz w:val="18"/>
      <w:szCs w:val="18"/>
    </w:rPr>
  </w:style>
  <w:style w:type="paragraph" w:styleId="939">
    <w:name w:val="索引标题"/>
    <w:basedOn w:val="884"/>
    <w:next w:val="940"/>
    <w:link w:val="884"/>
    <w:rPr>
      <w:rFonts w:ascii="Calibri" w:hAnsi="Calibri"/>
      <w:szCs w:val="22"/>
    </w:rPr>
  </w:style>
  <w:style w:type="paragraph" w:styleId="940">
    <w:name w:val="索引 1"/>
    <w:basedOn w:val="884"/>
    <w:next w:val="884"/>
    <w:link w:val="884"/>
    <w:rPr>
      <w:rFonts w:ascii="Calibri" w:hAnsi="Calibri"/>
      <w:szCs w:val="22"/>
    </w:rPr>
  </w:style>
  <w:style w:type="paragraph" w:styleId="941">
    <w:name w:val="脚注文本"/>
    <w:basedOn w:val="884"/>
    <w:next w:val="941"/>
    <w:link w:val="884"/>
    <w:pPr>
      <w:jc w:val="left"/>
    </w:pPr>
    <w:rPr>
      <w:rFonts w:ascii="宋体"/>
      <w:bCs/>
      <w:sz w:val="18"/>
      <w:szCs w:val="18"/>
    </w:rPr>
  </w:style>
  <w:style w:type="paragraph" w:styleId="942">
    <w:name w:val="目录 6"/>
    <w:basedOn w:val="884"/>
    <w:next w:val="884"/>
    <w:link w:val="884"/>
    <w:pPr>
      <w:ind w:left="1050"/>
      <w:jc w:val="left"/>
    </w:pPr>
    <w:rPr>
      <w:rFonts w:ascii="Calibri" w:hAnsi="Calibri" w:cs="Calibri"/>
      <w:sz w:val="18"/>
      <w:szCs w:val="18"/>
    </w:rPr>
  </w:style>
  <w:style w:type="paragraph" w:styleId="943">
    <w:name w:val="正文文本缩进 3"/>
    <w:basedOn w:val="884"/>
    <w:next w:val="943"/>
    <w:link w:val="884"/>
    <w:pPr>
      <w:ind w:firstLine="213"/>
    </w:pPr>
    <w:rPr>
      <w:rFonts w:ascii="仿宋_GB2312" w:eastAsia="仿宋_GB2312"/>
      <w:sz w:val="30"/>
    </w:rPr>
  </w:style>
  <w:style w:type="paragraph" w:styleId="944">
    <w:name w:val="索引 7"/>
    <w:basedOn w:val="884"/>
    <w:next w:val="884"/>
    <w:link w:val="884"/>
    <w:pPr>
      <w:ind w:left="1200"/>
    </w:pPr>
    <w:rPr>
      <w:rFonts w:ascii="Calibri" w:hAnsi="Calibri"/>
      <w:szCs w:val="22"/>
    </w:rPr>
  </w:style>
  <w:style w:type="paragraph" w:styleId="945">
    <w:name w:val="索引 9"/>
    <w:basedOn w:val="884"/>
    <w:next w:val="884"/>
    <w:link w:val="884"/>
    <w:pPr>
      <w:ind w:left="1600"/>
    </w:pPr>
    <w:rPr>
      <w:rFonts w:ascii="Calibri" w:hAnsi="Calibri"/>
      <w:szCs w:val="22"/>
    </w:rPr>
  </w:style>
  <w:style w:type="paragraph" w:styleId="946">
    <w:name w:val="图表目录"/>
    <w:basedOn w:val="884"/>
    <w:next w:val="884"/>
    <w:link w:val="884"/>
    <w:pPr>
      <w:ind w:left="400" w:hanging="200"/>
      <w:jc w:val="left"/>
      <w:widowControl/>
    </w:pPr>
    <w:rPr>
      <w:rFonts w:ascii="宋体"/>
      <w:bCs/>
      <w:szCs w:val="21"/>
    </w:rPr>
  </w:style>
  <w:style w:type="paragraph" w:styleId="947">
    <w:name w:val="目录 2"/>
    <w:basedOn w:val="884"/>
    <w:next w:val="884"/>
    <w:link w:val="884"/>
    <w:uiPriority w:val="39"/>
    <w:qFormat/>
    <w:pPr>
      <w:ind w:left="210"/>
      <w:jc w:val="left"/>
    </w:pPr>
    <w:rPr>
      <w:rFonts w:ascii="Calibri" w:hAnsi="Calibri" w:cs="Calibri"/>
      <w:smallCaps/>
      <w:sz w:val="20"/>
      <w:szCs w:val="20"/>
    </w:rPr>
  </w:style>
  <w:style w:type="paragraph" w:styleId="948">
    <w:name w:val="目录 9"/>
    <w:basedOn w:val="884"/>
    <w:next w:val="884"/>
    <w:link w:val="884"/>
    <w:pPr>
      <w:ind w:left="1680"/>
      <w:jc w:val="left"/>
    </w:pPr>
    <w:rPr>
      <w:rFonts w:ascii="Calibri" w:hAnsi="Calibri" w:cs="Calibri"/>
      <w:sz w:val="18"/>
      <w:szCs w:val="18"/>
    </w:rPr>
  </w:style>
  <w:style w:type="paragraph" w:styleId="949">
    <w:name w:val="正文文本 2"/>
    <w:basedOn w:val="884"/>
    <w:next w:val="949"/>
    <w:link w:val="884"/>
    <w:pPr>
      <w:spacing w:line="560" w:lineRule="exact"/>
    </w:pPr>
    <w:rPr>
      <w:rFonts w:ascii="仿宋_GB2312" w:eastAsia="仿宋_GB2312"/>
      <w:sz w:val="28"/>
      <w:szCs w:val="30"/>
    </w:rPr>
  </w:style>
  <w:style w:type="paragraph" w:styleId="950">
    <w:name w:val="列表接续 2"/>
    <w:basedOn w:val="884"/>
    <w:next w:val="950"/>
    <w:link w:val="884"/>
    <w:pPr>
      <w:ind w:left="840"/>
      <w:spacing w:after="120"/>
    </w:pPr>
  </w:style>
  <w:style w:type="paragraph" w:styleId="951">
    <w:name w:val="HTML 预设格式"/>
    <w:basedOn w:val="884"/>
    <w:next w:val="951"/>
    <w:link w:val="88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52">
    <w:name w:val="普通(网站)"/>
    <w:basedOn w:val="884"/>
    <w:next w:val="952"/>
    <w:link w:val="884"/>
    <w:qFormat/>
    <w:pPr>
      <w:jc w:val="left"/>
      <w:spacing w:before="100" w:beforeAutospacing="1" w:after="100" w:afterAutospacing="1"/>
      <w:widowControl/>
    </w:pPr>
    <w:rPr>
      <w:rFonts w:ascii="宋体"/>
      <w:sz w:val="24"/>
      <w:szCs w:val="20"/>
    </w:rPr>
  </w:style>
  <w:style w:type="paragraph" w:styleId="953">
    <w:name w:val="索引 2"/>
    <w:basedOn w:val="884"/>
    <w:next w:val="884"/>
    <w:link w:val="884"/>
    <w:pPr>
      <w:ind w:left="200"/>
    </w:pPr>
    <w:rPr>
      <w:rFonts w:ascii="Calibri" w:hAnsi="Calibri"/>
      <w:szCs w:val="22"/>
    </w:rPr>
  </w:style>
  <w:style w:type="paragraph" w:styleId="954">
    <w:name w:val="标题"/>
    <w:basedOn w:val="884"/>
    <w:next w:val="954"/>
    <w:link w:val="884"/>
    <w:qFormat/>
    <w:pPr>
      <w:jc w:val="center"/>
      <w:spacing w:before="240" w:after="60"/>
      <w:outlineLvl w:val="0"/>
    </w:pPr>
    <w:rPr>
      <w:rFonts w:ascii="Cambria" w:hAnsi="Cambria"/>
      <w:b/>
      <w:bCs/>
      <w:sz w:val="32"/>
      <w:szCs w:val="32"/>
    </w:rPr>
  </w:style>
  <w:style w:type="paragraph" w:styleId="955">
    <w:name w:val="批注主题"/>
    <w:basedOn w:val="912"/>
    <w:next w:val="912"/>
    <w:link w:val="884"/>
    <w:rPr>
      <w:b/>
    </w:rPr>
  </w:style>
  <w:style w:type="paragraph" w:styleId="956">
    <w:name w:val="正文首行缩进"/>
    <w:basedOn w:val="884"/>
    <w:next w:val="884"/>
    <w:link w:val="884"/>
    <w:pPr>
      <w:ind w:firstLine="100"/>
      <w:spacing w:after="120" w:line="240" w:lineRule="auto"/>
    </w:pPr>
    <w:rPr>
      <w:rFonts w:ascii="Times New Roman" w:hAnsi="Times New Roman" w:eastAsia="宋体"/>
      <w:sz w:val="21"/>
    </w:rPr>
  </w:style>
  <w:style w:type="paragraph" w:styleId="957">
    <w:name w:val="正文首行缩进 2"/>
    <w:basedOn w:val="917"/>
    <w:next w:val="957"/>
    <w:link w:val="958"/>
    <w:pPr>
      <w:ind w:left="200" w:firstLine="200"/>
      <w:spacing w:after="120"/>
    </w:pPr>
    <w:rPr>
      <w:rFonts w:ascii="Times New Roman"/>
      <w:sz w:val="24"/>
      <w:szCs w:val="24"/>
    </w:rPr>
  </w:style>
  <w:style w:type="character" w:styleId="958">
    <w:name w:val="正文文本首行缩进 2 字符"/>
    <w:next w:val="958"/>
    <w:link w:val="957"/>
    <w:rPr>
      <w:rFonts w:eastAsia="仿宋_GB2312"/>
      <w:sz w:val="24"/>
      <w:szCs w:val="24"/>
      <w:lang w:bidi="ar-SA"/>
    </w:rPr>
  </w:style>
  <w:style w:type="table" w:styleId="959">
    <w:name w:val="网格型"/>
    <w:basedOn w:val="895"/>
    <w:next w:val="959"/>
    <w:link w:val="884"/>
    <w:tblPr/>
  </w:style>
  <w:style w:type="character" w:styleId="960">
    <w:name w:val="要点"/>
    <w:next w:val="960"/>
    <w:link w:val="884"/>
    <w:qFormat/>
    <w:rPr>
      <w:b/>
    </w:rPr>
  </w:style>
  <w:style w:type="character" w:styleId="961">
    <w:name w:val="尾注引用"/>
    <w:next w:val="961"/>
    <w:link w:val="884"/>
    <w:rPr>
      <w:vertAlign w:val="superscript"/>
    </w:rPr>
  </w:style>
  <w:style w:type="character" w:styleId="962">
    <w:name w:val="页码"/>
    <w:next w:val="962"/>
    <w:link w:val="884"/>
  </w:style>
  <w:style w:type="character" w:styleId="963">
    <w:name w:val="已访问的超链接"/>
    <w:next w:val="963"/>
    <w:link w:val="884"/>
    <w:rPr>
      <w:color w:val="800080"/>
      <w:u w:val="single"/>
    </w:rPr>
  </w:style>
  <w:style w:type="character" w:styleId="964">
    <w:name w:val="强调"/>
    <w:next w:val="964"/>
    <w:link w:val="884"/>
    <w:qFormat/>
    <w:rPr>
      <w:color w:val="cc0033"/>
    </w:rPr>
  </w:style>
  <w:style w:type="character" w:styleId="965">
    <w:name w:val="HTML 打字机"/>
    <w:next w:val="965"/>
    <w:link w:val="884"/>
    <w:rPr>
      <w:rFonts w:ascii="宋体" w:eastAsia="宋体" w:cs="宋体"/>
      <w:sz w:val="24"/>
      <w:szCs w:val="24"/>
      <w:lang w:bidi="ar-SA"/>
    </w:rPr>
  </w:style>
  <w:style w:type="character" w:styleId="966">
    <w:name w:val="超链接"/>
    <w:next w:val="966"/>
    <w:link w:val="884"/>
    <w:uiPriority w:val="99"/>
    <w:rPr>
      <w:color w:val="0000ff"/>
      <w:u w:val="single"/>
    </w:rPr>
  </w:style>
  <w:style w:type="character" w:styleId="967">
    <w:name w:val="批注引用"/>
    <w:next w:val="967"/>
    <w:link w:val="884"/>
    <w:rPr>
      <w:sz w:val="21"/>
    </w:rPr>
  </w:style>
  <w:style w:type="character" w:styleId="968">
    <w:name w:val="脚注引用"/>
    <w:next w:val="968"/>
    <w:link w:val="884"/>
    <w:rPr>
      <w:vertAlign w:val="superscript"/>
    </w:rPr>
  </w:style>
  <w:style w:type="paragraph" w:styleId="969">
    <w:name w:val="样式1"/>
    <w:basedOn w:val="905"/>
    <w:next w:val="884"/>
    <w:link w:val="884"/>
    <w:pPr>
      <w:numPr>
        <w:ilvl w:val="0"/>
        <w:numId w:val="0"/>
      </w:numPr>
      <w:tabs>
        <w:tab w:val="left" w:pos="0" w:leader="none"/>
        <w:tab w:val="left" w:pos="840" w:leader="none"/>
      </w:tabs>
    </w:pPr>
    <w:rPr>
      <w:rFonts w:ascii="Arial" w:hAnsi="Arial" w:eastAsia="幼圆" w:cs="Arial"/>
      <w:sz w:val="24"/>
      <w:szCs w:val="20"/>
      <w:lang w:bidi="ar-SA"/>
    </w:rPr>
  </w:style>
  <w:style w:type="paragraph" w:styleId="970">
    <w:name w:val="样式 正文首行缩进 2 + Arial"/>
    <w:basedOn w:val="884"/>
    <w:next w:val="884"/>
    <w:link w:val="884"/>
    <w:qFormat/>
    <w:pPr>
      <w:ind w:firstLine="200"/>
      <w:spacing w:after="120" w:line="320" w:lineRule="atLeast"/>
    </w:pPr>
    <w:rPr>
      <w:rFonts w:ascii="Arial" w:hAnsi="Arial"/>
    </w:rPr>
  </w:style>
  <w:style w:type="character" w:styleId="971">
    <w:name w:val="Comment Text Char"/>
    <w:next w:val="971"/>
    <w:link w:val="884"/>
    <w:rPr>
      <w:rFonts w:cs="Times New Roman"/>
      <w:sz w:val="21"/>
      <w:szCs w:val="21"/>
      <w:lang w:bidi="ar-SA"/>
    </w:rPr>
  </w:style>
  <w:style w:type="character" w:styleId="972">
    <w:name w:val="纯文本 Char_0"/>
    <w:next w:val="972"/>
    <w:link w:val="973"/>
    <w:rPr>
      <w:rFonts w:ascii="宋体" w:hAnsi="Courier New" w:cs="Courier New"/>
      <w:sz w:val="21"/>
      <w:szCs w:val="21"/>
    </w:rPr>
  </w:style>
  <w:style w:type="paragraph" w:styleId="973">
    <w:name w:val="纯文本_0"/>
    <w:basedOn w:val="974"/>
    <w:next w:val="973"/>
    <w:link w:val="972"/>
    <w:unhideWhenUsed/>
    <w:rPr>
      <w:rFonts w:ascii="宋体" w:hAnsi="Courier New"/>
      <w:szCs w:val="21"/>
    </w:rPr>
  </w:style>
  <w:style w:type="paragraph" w:styleId="974">
    <w:name w:val="正文_7"/>
    <w:next w:val="974"/>
    <w:link w:val="884"/>
    <w:qFormat/>
    <w:pPr>
      <w:jc w:val="both"/>
      <w:widowControl w:val="off"/>
    </w:pPr>
    <w:rPr>
      <w:sz w:val="21"/>
      <w:szCs w:val="24"/>
      <w:lang w:val="en-US" w:eastAsia="zh-CN" w:bidi="ar-SA"/>
    </w:rPr>
  </w:style>
  <w:style w:type="character" w:styleId="975">
    <w:name w:val="ca-51"/>
    <w:next w:val="975"/>
    <w:link w:val="884"/>
    <w:rPr>
      <w:rFonts w:ascii="楷体_GB2312" w:eastAsia="楷体_GB2312"/>
      <w:b/>
      <w:bCs/>
      <w:spacing w:val="-20"/>
      <w:sz w:val="24"/>
      <w:szCs w:val="24"/>
    </w:rPr>
  </w:style>
  <w:style w:type="character" w:styleId="976">
    <w:name w:val="Heading 4 Char"/>
    <w:next w:val="976"/>
    <w:link w:val="884"/>
    <w:rPr>
      <w:rFonts w:ascii="Cambria" w:hAnsi="Cambria" w:eastAsia="宋体" w:cs="Cambria"/>
      <w:b/>
      <w:bCs/>
      <w:sz w:val="28"/>
      <w:szCs w:val="28"/>
      <w:lang w:bidi="ar-SA"/>
    </w:rPr>
  </w:style>
  <w:style w:type="character" w:styleId="977">
    <w:name w:val="正文缩进 Char1_0"/>
    <w:next w:val="977"/>
    <w:link w:val="978"/>
    <w:rPr>
      <w:sz w:val="21"/>
      <w:szCs w:val="22"/>
    </w:rPr>
  </w:style>
  <w:style w:type="paragraph" w:styleId="978">
    <w:name w:val="正文缩进_0"/>
    <w:basedOn w:val="974"/>
    <w:next w:val="978"/>
    <w:link w:val="977"/>
    <w:unhideWhenUsed/>
    <w:pPr>
      <w:ind w:firstLine="420"/>
    </w:pPr>
    <w:rPr>
      <w:szCs w:val="22"/>
    </w:rPr>
  </w:style>
  <w:style w:type="character" w:styleId="979">
    <w:name w:val="Header Char1"/>
    <w:next w:val="979"/>
    <w:link w:val="884"/>
    <w:rPr>
      <w:rFonts w:cs="Times New Roman"/>
      <w:sz w:val="18"/>
      <w:szCs w:val="18"/>
      <w:lang w:bidi="ar-SA"/>
    </w:rPr>
  </w:style>
  <w:style w:type="character" w:styleId="980">
    <w:name w:val="正文文本缩进 2 Char"/>
    <w:next w:val="980"/>
    <w:link w:val="981"/>
    <w:rPr>
      <w:rFonts w:hAnsi="Times New Roman"/>
      <w:sz w:val="21"/>
      <w:szCs w:val="20"/>
    </w:rPr>
  </w:style>
  <w:style w:type="paragraph" w:styleId="981">
    <w:name w:val="正文文本缩进 2_0"/>
    <w:basedOn w:val="982"/>
    <w:next w:val="981"/>
    <w:link w:val="980"/>
    <w:pPr>
      <w:ind w:firstLine="525"/>
      <w:spacing w:line="420" w:lineRule="exact"/>
    </w:pPr>
  </w:style>
  <w:style w:type="paragraph" w:styleId="982">
    <w:name w:val="正文_2"/>
    <w:next w:val="982"/>
    <w:link w:val="884"/>
    <w:qFormat/>
    <w:pPr>
      <w:jc w:val="both"/>
      <w:widowControl w:val="off"/>
    </w:pPr>
    <w:rPr>
      <w:sz w:val="21"/>
      <w:lang w:val="en-US" w:eastAsia="zh-CN" w:bidi="ar-SA"/>
    </w:rPr>
  </w:style>
  <w:style w:type="character" w:styleId="983">
    <w:name w:val="Heading 3 Char"/>
    <w:next w:val="983"/>
    <w:link w:val="884"/>
    <w:rPr>
      <w:rFonts w:cs="Times New Roman"/>
      <w:b/>
      <w:bCs/>
      <w:sz w:val="32"/>
      <w:szCs w:val="32"/>
      <w:lang w:bidi="ar-SA"/>
    </w:rPr>
  </w:style>
  <w:style w:type="character" w:styleId="984">
    <w:name w:val="ca-21"/>
    <w:next w:val="984"/>
    <w:link w:val="884"/>
    <w:rPr>
      <w:rFonts w:ascii="宋体" w:eastAsia="宋体"/>
      <w:sz w:val="21"/>
    </w:rPr>
  </w:style>
  <w:style w:type="character" w:styleId="985">
    <w:name w:val="Plain Text Char"/>
    <w:next w:val="985"/>
    <w:link w:val="884"/>
    <w:rPr>
      <w:rFonts w:ascii="宋体" w:eastAsia="宋体"/>
      <w:sz w:val="21"/>
      <w:lang w:val="en-US" w:eastAsia="zh-CN"/>
    </w:rPr>
  </w:style>
  <w:style w:type="character" w:styleId="986">
    <w:name w:val="maywed421"/>
    <w:next w:val="986"/>
    <w:link w:val="884"/>
    <w:rPr>
      <w:color w:val="366fb6"/>
      <w:u w:val="none"/>
    </w:rPr>
  </w:style>
  <w:style w:type="character" w:styleId="987">
    <w:name w:val="纯文本 Char_0_0"/>
    <w:next w:val="987"/>
    <w:link w:val="988"/>
    <w:rPr>
      <w:rFonts w:ascii="宋体" w:hAnsi="Courier New"/>
      <w:sz w:val="21"/>
      <w:szCs w:val="21"/>
    </w:rPr>
  </w:style>
  <w:style w:type="paragraph" w:styleId="988">
    <w:name w:val="纯文本_0_0"/>
    <w:basedOn w:val="989"/>
    <w:next w:val="988"/>
    <w:link w:val="987"/>
    <w:unhideWhenUsed/>
    <w:rPr>
      <w:rFonts w:ascii="宋体" w:hAnsi="Courier New"/>
      <w:szCs w:val="21"/>
    </w:rPr>
  </w:style>
  <w:style w:type="paragraph" w:styleId="989">
    <w:name w:val="正文_7_1_0"/>
    <w:next w:val="989"/>
    <w:link w:val="884"/>
    <w:qFormat/>
    <w:pPr>
      <w:jc w:val="both"/>
      <w:widowControl w:val="off"/>
    </w:pPr>
    <w:rPr>
      <w:sz w:val="21"/>
      <w:szCs w:val="22"/>
      <w:lang w:val="en-US" w:eastAsia="zh-CN" w:bidi="ar-SA"/>
    </w:rPr>
  </w:style>
  <w:style w:type="character" w:styleId="990">
    <w:name w:val="style15"/>
    <w:next w:val="990"/>
    <w:link w:val="884"/>
  </w:style>
  <w:style w:type="character" w:styleId="991">
    <w:name w:val="正文（标记） Char2"/>
    <w:next w:val="991"/>
    <w:link w:val="992"/>
    <w:rPr>
      <w:sz w:val="24"/>
      <w:szCs w:val="24"/>
    </w:rPr>
  </w:style>
  <w:style w:type="paragraph" w:styleId="992">
    <w:name w:val="正文（标记）"/>
    <w:basedOn w:val="884"/>
    <w:next w:val="992"/>
    <w:link w:val="991"/>
    <w:pPr>
      <w:spacing w:before="50" w:after="50"/>
      <w:tabs>
        <w:tab w:val="left" w:pos="0" w:leader="none"/>
        <w:tab w:val="left" w:pos="840" w:leader="none"/>
      </w:tabs>
    </w:pPr>
    <w:rPr>
      <w:sz w:val="24"/>
      <w:szCs w:val="24"/>
    </w:rPr>
  </w:style>
  <w:style w:type="character" w:styleId="993">
    <w:name w:val="段落 Char"/>
    <w:next w:val="993"/>
    <w:link w:val="884"/>
    <w:rPr>
      <w:rFonts w:ascii="仿宋_GB2312" w:eastAsia="仿宋_GB2312"/>
      <w:sz w:val="24"/>
      <w:szCs w:val="24"/>
      <w:lang w:val="en-US" w:eastAsia="zh-CN" w:bidi="ar-SA"/>
    </w:rPr>
  </w:style>
  <w:style w:type="character" w:styleId="994">
    <w:name w:val=" Char Char2"/>
    <w:next w:val="994"/>
    <w:link w:val="884"/>
    <w:rPr>
      <w:sz w:val="18"/>
      <w:szCs w:val="18"/>
    </w:rPr>
  </w:style>
  <w:style w:type="character" w:styleId="995">
    <w:name w:val="style91"/>
    <w:next w:val="995"/>
    <w:link w:val="884"/>
    <w:rPr>
      <w:color w:val="2060c0"/>
      <w:sz w:val="24"/>
      <w:szCs w:val="24"/>
    </w:rPr>
  </w:style>
  <w:style w:type="character" w:styleId="996">
    <w:name w:val="普通文字1 Char,普通文字11 Char,普通文字2 Char,普通文字21 Char,普通文字3 Char,普通文字31 Char,普通文字4 Char,普通文字41 Char,普通文字5 Char,普通文字6 Char,普通文字7 Char Char"/>
    <w:next w:val="996"/>
    <w:link w:val="884"/>
    <w:rPr>
      <w:rFonts w:ascii="宋体" w:eastAsia="宋体" w:cs="Courier New"/>
      <w:sz w:val="21"/>
      <w:szCs w:val="21"/>
      <w:lang w:val="en-US" w:eastAsia="zh-CN" w:bidi="ar-SA"/>
    </w:rPr>
  </w:style>
  <w:style w:type="character" w:styleId="997">
    <w:name w:val="正文文本缩进 Char"/>
    <w:next w:val="997"/>
    <w:link w:val="998"/>
    <w:rPr>
      <w:rFonts w:hAnsi="Times New Roman"/>
      <w:szCs w:val="20"/>
    </w:rPr>
  </w:style>
  <w:style w:type="paragraph" w:styleId="998">
    <w:name w:val="正文文本缩进_0"/>
    <w:basedOn w:val="982"/>
    <w:next w:val="998"/>
    <w:link w:val="997"/>
    <w:pPr>
      <w:ind w:firstLine="420"/>
      <w:spacing w:line="360" w:lineRule="auto"/>
    </w:pPr>
    <w:rPr>
      <w:sz w:val="20"/>
    </w:rPr>
  </w:style>
  <w:style w:type="character" w:styleId="999">
    <w:name w:val="Char Char2"/>
    <w:next w:val="999"/>
    <w:link w:val="884"/>
    <w:rPr>
      <w:sz w:val="18"/>
      <w:szCs w:val="18"/>
    </w:rPr>
  </w:style>
  <w:style w:type="character" w:styleId="1000">
    <w:name w:val="ca-41"/>
    <w:next w:val="1000"/>
    <w:link w:val="884"/>
    <w:rPr>
      <w:rFonts w:ascii="宋体" w:eastAsia="宋体"/>
      <w:b/>
      <w:bCs/>
      <w:color w:val="000000"/>
      <w:spacing w:val="-20"/>
      <w:sz w:val="21"/>
      <w:szCs w:val="21"/>
    </w:rPr>
  </w:style>
  <w:style w:type="character" w:styleId="1001">
    <w:name w:val="question-title"/>
    <w:next w:val="1001"/>
    <w:link w:val="884"/>
  </w:style>
  <w:style w:type="character" w:styleId="1002">
    <w:name w:val="A1"/>
    <w:next w:val="1002"/>
    <w:link w:val="884"/>
    <w:rPr>
      <w:rFonts w:ascii="Univers LT Std 45 Light" w:hAnsi="宋体" w:eastAsia="Univers LT Std 45 Light" w:cs="Univers LT Std 45 Light"/>
      <w:color w:val="221e1f"/>
      <w:sz w:val="10"/>
      <w:szCs w:val="10"/>
    </w:rPr>
  </w:style>
  <w:style w:type="character" w:styleId="1003">
    <w:name w:val="style161"/>
    <w:next w:val="1003"/>
    <w:link w:val="884"/>
    <w:rPr>
      <w:rFonts w:ascii="Verdana" w:hAnsi="Verdana" w:eastAsia="宋体"/>
      <w:b/>
      <w:color w:val="0a246a"/>
      <w:sz w:val="24"/>
      <w:szCs w:val="24"/>
      <w:lang w:val="en-US" w:eastAsia="zh-CN" w:bidi="ar-SA"/>
    </w:rPr>
  </w:style>
  <w:style w:type="character" w:styleId="1004">
    <w:name w:val="ca-31"/>
    <w:next w:val="1004"/>
    <w:link w:val="884"/>
    <w:rPr>
      <w:rFonts w:ascii="宋体" w:eastAsia="宋体"/>
      <w:color w:val="000000"/>
      <w:sz w:val="21"/>
      <w:szCs w:val="21"/>
    </w:rPr>
  </w:style>
  <w:style w:type="character" w:styleId="1005">
    <w:name w:val="apple-converted-space"/>
    <w:next w:val="1005"/>
    <w:link w:val="884"/>
  </w:style>
  <w:style w:type="character" w:styleId="1006">
    <w:name w:val="Footer Char1"/>
    <w:next w:val="1006"/>
    <w:link w:val="884"/>
    <w:rPr>
      <w:rFonts w:cs="Times New Roman"/>
      <w:sz w:val="18"/>
      <w:szCs w:val="18"/>
      <w:lang w:bidi="ar-SA"/>
    </w:rPr>
  </w:style>
  <w:style w:type="character" w:styleId="1007">
    <w:name w:val="A0"/>
    <w:next w:val="1007"/>
    <w:link w:val="884"/>
    <w:qFormat/>
    <w:rPr>
      <w:rFonts w:ascii=".....?." w:hAnsi="宋体" w:eastAsia=".....?."/>
      <w:color w:val="000000"/>
      <w:sz w:val="22"/>
    </w:rPr>
  </w:style>
  <w:style w:type="character" w:styleId="1008">
    <w:name w:val=" Char Char23"/>
    <w:next w:val="1008"/>
    <w:link w:val="884"/>
    <w:rPr>
      <w:sz w:val="24"/>
      <w:szCs w:val="21"/>
      <w:lang w:bidi="ar-SA"/>
    </w:rPr>
  </w:style>
  <w:style w:type="character" w:styleId="1009">
    <w:name w:val="Char Char1"/>
    <w:next w:val="1009"/>
    <w:link w:val="884"/>
    <w:rPr>
      <w:rFonts w:ascii="宋体" w:eastAsia="宋体"/>
      <w:sz w:val="21"/>
      <w:lang w:val="en-US" w:eastAsia="zh-CN"/>
    </w:rPr>
  </w:style>
  <w:style w:type="character" w:styleId="1010">
    <w:name w:val="apple-style-span"/>
    <w:next w:val="1010"/>
    <w:link w:val="884"/>
    <w:qFormat/>
    <w:rPr>
      <w:rFonts w:ascii="宋体" w:hAnsi="宋体" w:cs="Times New Roman"/>
    </w:rPr>
  </w:style>
  <w:style w:type="character" w:styleId="1011">
    <w:name w:val="无间隔 字符"/>
    <w:next w:val="1011"/>
    <w:link w:val="1012"/>
    <w:rPr>
      <w:sz w:val="22"/>
      <w:lang w:val="en-US" w:eastAsia="zh-CN" w:bidi="ar-SA"/>
    </w:rPr>
  </w:style>
  <w:style w:type="paragraph" w:styleId="1012">
    <w:name w:val="无间隔"/>
    <w:next w:val="1012"/>
    <w:link w:val="1011"/>
    <w:qFormat/>
    <w:rPr>
      <w:sz w:val="22"/>
      <w:lang w:val="en-US" w:eastAsia="zh-CN" w:bidi="ar-SA"/>
    </w:rPr>
  </w:style>
  <w:style w:type="character" w:styleId="1013">
    <w:name w:val=" Char Char3"/>
    <w:next w:val="1013"/>
    <w:link w:val="884"/>
    <w:rPr>
      <w:rFonts w:ascii="宋体" w:eastAsia="宋体"/>
      <w:sz w:val="18"/>
      <w:szCs w:val="18"/>
      <w:lang w:val="en-US" w:eastAsia="zh-CN" w:bidi="ar-SA"/>
    </w:rPr>
  </w:style>
  <w:style w:type="character" w:styleId="1014">
    <w:name w:val="z12 style23"/>
    <w:next w:val="1014"/>
    <w:link w:val="884"/>
  </w:style>
  <w:style w:type="character" w:styleId="1015">
    <w:name w:val="font41"/>
    <w:next w:val="1015"/>
    <w:link w:val="884"/>
    <w:rPr>
      <w:rFonts w:hint="eastAsia" w:ascii="宋体" w:hAnsi="宋体" w:eastAsia="宋体" w:cs="宋体"/>
      <w:i w:val="0"/>
      <w:color w:val="000000"/>
      <w:sz w:val="24"/>
      <w:szCs w:val="24"/>
      <w:u w:val="none"/>
    </w:rPr>
  </w:style>
  <w:style w:type="character" w:styleId="1016">
    <w:name w:val="font11"/>
    <w:next w:val="1016"/>
    <w:link w:val="884"/>
    <w:rPr>
      <w:rFonts w:ascii="Times" w:hAnsi="Times" w:eastAsia="Times" w:cs="Times"/>
      <w:i w:val="0"/>
      <w:color w:val="000000"/>
      <w:sz w:val="24"/>
      <w:szCs w:val="24"/>
      <w:u w:val="none"/>
    </w:rPr>
  </w:style>
  <w:style w:type="character" w:styleId="1017">
    <w:name w:val="Plain Text Char1"/>
    <w:next w:val="1017"/>
    <w:link w:val="884"/>
    <w:rPr>
      <w:rFonts w:ascii="宋体" w:eastAsia="宋体"/>
      <w:sz w:val="21"/>
      <w:szCs w:val="21"/>
      <w:lang w:val="en-US" w:eastAsia="zh-CN" w:bidi="ar-SA"/>
    </w:rPr>
  </w:style>
  <w:style w:type="character" w:styleId="1018">
    <w:name w:val="Char Char"/>
    <w:next w:val="1018"/>
    <w:link w:val="884"/>
    <w:rPr>
      <w:rFonts w:eastAsia="宋体"/>
      <w:sz w:val="18"/>
      <w:lang w:val="en-US" w:eastAsia="zh-CN"/>
    </w:rPr>
  </w:style>
  <w:style w:type="character" w:styleId="1019">
    <w:name w:val="wj1"/>
    <w:next w:val="1019"/>
    <w:link w:val="884"/>
    <w:rPr>
      <w:color w:val="000000"/>
      <w:sz w:val="18"/>
      <w:szCs w:val="18"/>
      <w:u w:val="none"/>
    </w:rPr>
  </w:style>
  <w:style w:type="character" w:styleId="1020">
    <w:name w:val="Heading 2 Char"/>
    <w:next w:val="1020"/>
    <w:link w:val="884"/>
    <w:rPr>
      <w:rFonts w:ascii="Arial" w:hAnsi="Arial" w:eastAsia="黑体"/>
      <w:b/>
      <w:bCs/>
      <w:sz w:val="32"/>
      <w:szCs w:val="32"/>
      <w:lang w:val="en-US" w:eastAsia="zh-CN" w:bidi="ar-SA"/>
    </w:rPr>
  </w:style>
  <w:style w:type="character" w:styleId="1021">
    <w:name w:val="z1"/>
    <w:next w:val="1021"/>
    <w:link w:val="884"/>
  </w:style>
  <w:style w:type="character" w:styleId="1022">
    <w:name w:val="font01"/>
    <w:next w:val="1022"/>
    <w:link w:val="884"/>
    <w:rPr>
      <w:rFonts w:hint="eastAsia" w:ascii="宋体" w:hAnsi="宋体" w:eastAsia="宋体" w:cs="宋体"/>
      <w:i w:val="0"/>
      <w:color w:val="000000"/>
      <w:sz w:val="24"/>
      <w:szCs w:val="24"/>
      <w:u w:val="none"/>
    </w:rPr>
  </w:style>
  <w:style w:type="character" w:styleId="1023">
    <w:name w:val="Footer Char"/>
    <w:next w:val="1023"/>
    <w:link w:val="884"/>
    <w:rPr>
      <w:rFonts w:eastAsia="宋体"/>
      <w:sz w:val="18"/>
      <w:lang w:val="en-US" w:eastAsia="zh-CN"/>
    </w:rPr>
  </w:style>
  <w:style w:type="character" w:styleId="1024">
    <w:name w:val="Header Char"/>
    <w:next w:val="1024"/>
    <w:link w:val="884"/>
    <w:rPr>
      <w:rFonts w:eastAsia="宋体"/>
      <w:sz w:val="18"/>
      <w:lang w:val="en-US" w:eastAsia="zh-CN"/>
    </w:rPr>
  </w:style>
  <w:style w:type="character" w:styleId="1025">
    <w:name w:val="ca-01"/>
    <w:next w:val="1025"/>
    <w:link w:val="884"/>
    <w:rPr>
      <w:rFonts w:ascii="宋体" w:eastAsia="宋体"/>
      <w:b/>
      <w:bCs/>
      <w:spacing w:val="-20"/>
      <w:sz w:val="24"/>
      <w:szCs w:val="24"/>
    </w:rPr>
  </w:style>
  <w:style w:type="character" w:styleId="1026">
    <w:name w:val="font51"/>
    <w:next w:val="1026"/>
    <w:link w:val="884"/>
    <w:uiPriority w:val="99"/>
    <w:qFormat/>
    <w:rPr>
      <w:rFonts w:ascii="宋体" w:hAnsi="宋体" w:eastAsia="宋体" w:cs="宋体"/>
      <w:color w:val="000000"/>
      <w:sz w:val="22"/>
      <w:szCs w:val="22"/>
    </w:rPr>
  </w:style>
  <w:style w:type="character" w:styleId="1027">
    <w:name w:val="font21"/>
    <w:next w:val="1027"/>
    <w:link w:val="884"/>
    <w:rPr>
      <w:rFonts w:ascii="Times New Roman" w:hAnsi="Times New Roman"/>
      <w:color w:val="000000"/>
      <w:sz w:val="20"/>
      <w:u w:val="none"/>
    </w:rPr>
  </w:style>
  <w:style w:type="character" w:styleId="1028">
    <w:name w:val="font31"/>
    <w:next w:val="1028"/>
    <w:link w:val="884"/>
    <w:rPr>
      <w:rFonts w:ascii="Arial" w:hAnsi="Arial" w:cs="Arial"/>
      <w:i w:val="0"/>
      <w:color w:val="000000"/>
      <w:sz w:val="22"/>
      <w:szCs w:val="22"/>
      <w:u w:val="none"/>
    </w:rPr>
  </w:style>
  <w:style w:type="character" w:styleId="1029">
    <w:name w:val="正文（编号） Char Char"/>
    <w:next w:val="1029"/>
    <w:link w:val="1030"/>
    <w:rPr>
      <w:sz w:val="24"/>
      <w:szCs w:val="24"/>
    </w:rPr>
  </w:style>
  <w:style w:type="paragraph" w:styleId="1030">
    <w:name w:val="正文（编号）"/>
    <w:basedOn w:val="1031"/>
    <w:next w:val="1030"/>
    <w:link w:val="1029"/>
    <w:pPr>
      <w:ind w:left="720" w:firstLine="0"/>
      <w:tabs>
        <w:tab w:val="left" w:pos="720" w:leader="none"/>
        <w:tab w:val="left" w:pos="780" w:leader="none"/>
      </w:tabs>
    </w:pPr>
    <w:rPr>
      <w:szCs w:val="24"/>
    </w:rPr>
  </w:style>
  <w:style w:type="paragraph" w:styleId="1031">
    <w:name w:val="正文（缩进）"/>
    <w:basedOn w:val="884"/>
    <w:next w:val="1031"/>
    <w:link w:val="884"/>
    <w:pPr>
      <w:ind w:firstLine="200"/>
      <w:spacing w:before="50" w:after="50" w:line="360" w:lineRule="auto"/>
    </w:pPr>
    <w:rPr>
      <w:sz w:val="24"/>
    </w:rPr>
  </w:style>
  <w:style w:type="character" w:styleId="1032">
    <w:name w:val="marklong"/>
    <w:next w:val="1032"/>
    <w:link w:val="884"/>
  </w:style>
  <w:style w:type="character" w:styleId="1033">
    <w:name w:val="标题 2 Char Char Char,标题 2 Char Char Char Char,标题 2 Char Char Char Char Char"/>
    <w:next w:val="1033"/>
    <w:link w:val="884"/>
    <w:rPr>
      <w:rFonts w:ascii="Arial" w:hAnsi="Arial" w:eastAsia="宋体" w:cs="Arial"/>
      <w:b/>
      <w:bCs/>
      <w:i/>
      <w:iCs/>
      <w:sz w:val="28"/>
      <w:szCs w:val="28"/>
      <w:lang w:val="en-US" w:eastAsia="zh-CN" w:bidi="ar-SA"/>
    </w:rPr>
  </w:style>
  <w:style w:type="character" w:styleId="1034">
    <w:name w:val="ca-1"/>
    <w:next w:val="1034"/>
    <w:link w:val="884"/>
  </w:style>
  <w:style w:type="character" w:styleId="1035">
    <w:name w:val="ca-11"/>
    <w:next w:val="1035"/>
    <w:link w:val="884"/>
    <w:rPr>
      <w:rFonts w:ascii="宋体" w:eastAsia="宋体"/>
      <w:b/>
      <w:bCs/>
      <w:color w:val="000000"/>
      <w:spacing w:val="-20"/>
      <w:sz w:val="28"/>
      <w:szCs w:val="28"/>
    </w:rPr>
  </w:style>
  <w:style w:type="character" w:styleId="1036">
    <w:name w:val="正文（缩进） Char Char"/>
    <w:next w:val="1036"/>
    <w:link w:val="884"/>
    <w:rPr>
      <w:rFonts w:eastAsia="宋体"/>
      <w:sz w:val="24"/>
      <w:szCs w:val="24"/>
      <w:lang w:val="en-US" w:eastAsia="zh-CN" w:bidi="ar-SA"/>
    </w:rPr>
  </w:style>
  <w:style w:type="character" w:styleId="1037">
    <w:name w:val="Char Char3"/>
    <w:next w:val="1037"/>
    <w:link w:val="884"/>
    <w:rPr>
      <w:rFonts w:ascii="Arial" w:hAnsi="Arial" w:eastAsia="黑体" w:cs="Times New Roman"/>
      <w:b/>
      <w:bCs/>
      <w:sz w:val="32"/>
      <w:szCs w:val="32"/>
      <w:lang w:val="en-US" w:eastAsia="zh-CN" w:bidi="ar-SA"/>
    </w:rPr>
  </w:style>
  <w:style w:type="paragraph" w:styleId="1038">
    <w:name w:val="表文1"/>
    <w:basedOn w:val="884"/>
    <w:next w:val="1038"/>
    <w:link w:val="884"/>
    <w:pPr>
      <w:ind w:firstLine="196"/>
      <w:spacing w:line="360" w:lineRule="auto"/>
      <w:widowControl/>
    </w:pPr>
    <w:rPr>
      <w:rFonts w:ascii="宋体"/>
      <w:sz w:val="24"/>
    </w:rPr>
  </w:style>
  <w:style w:type="paragraph" w:styleId="1039">
    <w:name w:val="Normal_6_0"/>
    <w:next w:val="1039"/>
    <w:link w:val="884"/>
    <w:qFormat/>
    <w:rPr>
      <w:rFonts w:ascii="黑体" w:hAnsi="黑体" w:eastAsia="黑体"/>
      <w:b/>
      <w:sz w:val="32"/>
      <w:szCs w:val="24"/>
      <w:lang w:bidi="ar-SA"/>
    </w:rPr>
  </w:style>
  <w:style w:type="paragraph" w:styleId="1040">
    <w:name w:val="正文文本缩进1"/>
    <w:basedOn w:val="1041"/>
    <w:next w:val="1040"/>
    <w:link w:val="884"/>
    <w:uiPriority w:val="99"/>
    <w:qFormat/>
    <w:pPr>
      <w:ind w:left="420"/>
      <w:spacing w:after="120"/>
    </w:pPr>
    <w:rPr>
      <w:rFonts w:ascii="Calibri" w:hAnsi="Calibri" w:cs="Calibri"/>
    </w:rPr>
  </w:style>
  <w:style w:type="paragraph" w:styleId="1041">
    <w:name w:val="正文11"/>
    <w:next w:val="1041"/>
    <w:link w:val="884"/>
    <w:uiPriority w:val="99"/>
    <w:qFormat/>
    <w:pPr>
      <w:widowControl w:val="off"/>
    </w:pPr>
    <w:rPr>
      <w:sz w:val="21"/>
      <w:szCs w:val="21"/>
      <w:lang w:val="en-US" w:eastAsia="zh-CN" w:bidi="ar-SA"/>
    </w:rPr>
  </w:style>
  <w:style w:type="paragraph" w:styleId="1042">
    <w:name w:val=" Char Char Char"/>
    <w:basedOn w:val="884"/>
    <w:next w:val="1042"/>
    <w:link w:val="884"/>
    <w:rPr>
      <w:rFonts w:ascii="Calibri" w:hAnsi="Calibri"/>
      <w:szCs w:val="21"/>
    </w:rPr>
  </w:style>
  <w:style w:type="paragraph" w:styleId="1043">
    <w:name w:val="标题二、"/>
    <w:basedOn w:val="884"/>
    <w:next w:val="1043"/>
    <w:link w:val="884"/>
    <w:uiPriority w:val="99"/>
    <w:qFormat/>
    <w:pPr>
      <w:ind w:firstLine="200"/>
      <w:spacing w:line="360" w:lineRule="auto"/>
      <w:outlineLvl w:val="2"/>
    </w:pPr>
    <w:rPr>
      <w:rFonts w:ascii="宋体" w:hAnsi="宋体"/>
      <w:b/>
      <w:szCs w:val="21"/>
    </w:rPr>
  </w:style>
  <w:style w:type="paragraph" w:styleId="1044">
    <w:name w:val="无标题正文 Char Char Char Char Char Char Char Char Char Char Char Char Char Char Char Char Char Char Char Char Char Char Char Char Char Char Char1 Char"/>
    <w:basedOn w:val="884"/>
    <w:next w:val="1044"/>
    <w:link w:val="884"/>
    <w:pPr>
      <w:jc w:val="center"/>
      <w:spacing w:after="160" w:line="240" w:lineRule="exact"/>
      <w:widowControl/>
    </w:pPr>
    <w:rPr>
      <w:rFonts w:ascii="Arial" w:hAnsi="Arial"/>
      <w:sz w:val="20"/>
      <w:szCs w:val="20"/>
      <w:lang w:eastAsia="en-US"/>
    </w:rPr>
  </w:style>
  <w:style w:type="paragraph" w:styleId="1045">
    <w:name w:val="xl29"/>
    <w:basedOn w:val="884"/>
    <w:next w:val="1045"/>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6">
    <w:name w:val="Normal_9_0"/>
    <w:next w:val="1046"/>
    <w:link w:val="884"/>
    <w:qFormat/>
    <w:rPr>
      <w:rFonts w:eastAsia="Times New Roman"/>
      <w:sz w:val="24"/>
      <w:szCs w:val="24"/>
      <w:lang w:bidi="ar-SA"/>
    </w:rPr>
  </w:style>
  <w:style w:type="paragraph" w:styleId="1047">
    <w:name w:val="正文_15"/>
    <w:next w:val="1047"/>
    <w:link w:val="884"/>
    <w:qFormat/>
    <w:pPr>
      <w:jc w:val="both"/>
      <w:widowControl w:val="off"/>
    </w:pPr>
    <w:rPr>
      <w:sz w:val="21"/>
      <w:szCs w:val="22"/>
      <w:lang w:val="en-US" w:eastAsia="zh-CN" w:bidi="ar-SA"/>
    </w:rPr>
  </w:style>
  <w:style w:type="paragraph" w:styleId="1048">
    <w:name w:val="pa-6"/>
    <w:basedOn w:val="884"/>
    <w:next w:val="1048"/>
    <w:link w:val="884"/>
    <w:pPr>
      <w:spacing w:line="360" w:lineRule="atLeast"/>
      <w:widowControl/>
    </w:pPr>
    <w:rPr>
      <w:rFonts w:ascii="宋体"/>
      <w:sz w:val="24"/>
      <w:szCs w:val="20"/>
    </w:rPr>
  </w:style>
  <w:style w:type="paragraph" w:styleId="1049">
    <w:name w:val="正文_20"/>
    <w:next w:val="1049"/>
    <w:link w:val="884"/>
    <w:qFormat/>
    <w:pPr>
      <w:jc w:val="both"/>
      <w:widowControl w:val="off"/>
    </w:pPr>
    <w:rPr>
      <w:sz w:val="21"/>
      <w:szCs w:val="22"/>
      <w:lang w:val="en-US" w:eastAsia="zh-CN" w:bidi="ar-SA"/>
    </w:rPr>
  </w:style>
  <w:style w:type="paragraph" w:styleId="1050">
    <w:name w:val="正文_4_0_0"/>
    <w:next w:val="1050"/>
    <w:link w:val="884"/>
    <w:qFormat/>
    <w:pPr>
      <w:jc w:val="both"/>
      <w:widowControl w:val="off"/>
    </w:pPr>
    <w:rPr>
      <w:sz w:val="21"/>
      <w:lang w:val="en-US" w:eastAsia="zh-CN" w:bidi="ar-SA"/>
    </w:rPr>
  </w:style>
  <w:style w:type="paragraph" w:styleId="1051">
    <w:name w:val="正文_13_0"/>
    <w:next w:val="1051"/>
    <w:link w:val="884"/>
    <w:qFormat/>
    <w:pPr>
      <w:jc w:val="both"/>
      <w:widowControl w:val="off"/>
    </w:pPr>
    <w:rPr>
      <w:sz w:val="21"/>
      <w:szCs w:val="22"/>
      <w:lang w:val="en-US" w:eastAsia="zh-CN" w:bidi="ar-SA"/>
    </w:rPr>
  </w:style>
  <w:style w:type="paragraph" w:styleId="1052">
    <w:name w:val="正文_0_1"/>
    <w:next w:val="1052"/>
    <w:link w:val="884"/>
    <w:qFormat/>
    <w:pPr>
      <w:jc w:val="both"/>
      <w:widowControl w:val="off"/>
    </w:pPr>
    <w:rPr>
      <w:sz w:val="21"/>
      <w:szCs w:val="22"/>
      <w:lang w:val="en-US" w:eastAsia="zh-CN" w:bidi="ar-SA"/>
    </w:rPr>
  </w:style>
  <w:style w:type="paragraph" w:styleId="1053">
    <w:name w:val="前言、引言标题"/>
    <w:next w:val="884"/>
    <w:link w:val="884"/>
    <w:pPr>
      <w:jc w:val="center"/>
      <w:spacing w:before="640" w:after="560"/>
      <w:shd w:val="clear" w:color="ffffff" w:fill="ffffff"/>
      <w:outlineLvl w:val="0"/>
    </w:pPr>
    <w:rPr>
      <w:rFonts w:ascii="黑体" w:eastAsia="黑体"/>
      <w:sz w:val="32"/>
      <w:lang w:val="en-US" w:eastAsia="zh-CN" w:bidi="ar-SA"/>
    </w:rPr>
  </w:style>
  <w:style w:type="paragraph" w:styleId="1054">
    <w:name w:val=" Char Char Char Char Char Char Char Char Char Char"/>
    <w:basedOn w:val="884"/>
    <w:next w:val="1054"/>
    <w:link w:val="884"/>
    <w:rPr>
      <w:rFonts w:ascii="Tahoma" w:hAnsi="Tahoma"/>
      <w:sz w:val="24"/>
      <w:szCs w:val="20"/>
    </w:rPr>
  </w:style>
  <w:style w:type="paragraph" w:styleId="1055">
    <w:name w:val="篇名"/>
    <w:next w:val="885"/>
    <w:link w:val="884"/>
    <w:pPr>
      <w:jc w:val="center"/>
      <w:pageBreakBefore/>
      <w:spacing w:before="480" w:after="480"/>
    </w:pPr>
    <w:rPr>
      <w:rFonts w:eastAsia="黑体"/>
      <w:b/>
      <w:sz w:val="44"/>
      <w:szCs w:val="24"/>
      <w:lang w:val="en-US" w:eastAsia="zh-CN" w:bidi="ar-SA"/>
    </w:rPr>
  </w:style>
  <w:style w:type="paragraph" w:styleId="1056">
    <w:name w:val="正文_6_0_0"/>
    <w:next w:val="1056"/>
    <w:link w:val="884"/>
    <w:qFormat/>
    <w:pPr>
      <w:jc w:val="both"/>
      <w:widowControl w:val="off"/>
    </w:pPr>
    <w:rPr>
      <w:sz w:val="21"/>
      <w:szCs w:val="22"/>
      <w:lang w:val="en-US" w:eastAsia="zh-CN" w:bidi="ar-SA"/>
    </w:rPr>
  </w:style>
  <w:style w:type="paragraph" w:styleId="1057">
    <w:name w:val="正文_3_0"/>
    <w:next w:val="1057"/>
    <w:link w:val="884"/>
    <w:qFormat/>
    <w:pPr>
      <w:jc w:val="both"/>
      <w:widowControl w:val="off"/>
    </w:pPr>
    <w:rPr>
      <w:sz w:val="21"/>
      <w:szCs w:val="22"/>
      <w:lang w:val="en-US" w:eastAsia="zh-CN" w:bidi="ar-SA"/>
    </w:rPr>
  </w:style>
  <w:style w:type="paragraph" w:styleId="1058">
    <w:name w:val="正文_9_0_0"/>
    <w:next w:val="1058"/>
    <w:link w:val="884"/>
    <w:qFormat/>
    <w:pPr>
      <w:jc w:val="both"/>
      <w:widowControl w:val="off"/>
    </w:pPr>
    <w:rPr>
      <w:sz w:val="21"/>
      <w:szCs w:val="22"/>
      <w:lang w:val="en-US" w:eastAsia="zh-CN" w:bidi="ar-SA"/>
    </w:rPr>
  </w:style>
  <w:style w:type="paragraph" w:styleId="1059">
    <w:name w:val="WPSOffice手动目录 1"/>
    <w:next w:val="1059"/>
    <w:link w:val="884"/>
    <w:rPr>
      <w:lang w:val="en-US" w:eastAsia="zh-CN" w:bidi="ar-SA"/>
    </w:rPr>
  </w:style>
  <w:style w:type="paragraph" w:styleId="1060">
    <w:name w:val="正文_0_0_0"/>
    <w:next w:val="1060"/>
    <w:link w:val="884"/>
    <w:qFormat/>
    <w:pPr>
      <w:jc w:val="both"/>
      <w:widowControl w:val="off"/>
    </w:pPr>
    <w:rPr>
      <w:sz w:val="21"/>
      <w:szCs w:val="24"/>
      <w:lang w:val="en-US" w:eastAsia="zh-CN" w:bidi="ar-SA"/>
    </w:rPr>
  </w:style>
  <w:style w:type="paragraph" w:styleId="1061">
    <w:name w:val="参考资料清单+倾斜+蓝色"/>
    <w:basedOn w:val="884"/>
    <w:next w:val="1061"/>
    <w:link w:val="884"/>
    <w:pPr>
      <w:spacing w:line="360" w:lineRule="auto"/>
    </w:pPr>
    <w:rPr>
      <w:rFonts w:ascii="Arial" w:hAnsi="Arial"/>
      <w:i/>
      <w:iCs/>
      <w:color w:val="0000ff"/>
      <w:szCs w:val="21"/>
    </w:rPr>
  </w:style>
  <w:style w:type="paragraph" w:styleId="1062">
    <w:name w:val="Normal_8"/>
    <w:next w:val="1062"/>
    <w:link w:val="884"/>
    <w:qFormat/>
    <w:rPr>
      <w:rFonts w:eastAsia="Times New Roman"/>
      <w:sz w:val="24"/>
      <w:szCs w:val="24"/>
      <w:lang w:bidi="ar-SA"/>
    </w:rPr>
  </w:style>
  <w:style w:type="paragraph" w:styleId="1063">
    <w:name w:val="缩进正文"/>
    <w:basedOn w:val="884"/>
    <w:next w:val="1063"/>
    <w:link w:val="884"/>
    <w:pPr>
      <w:ind w:left="1418" w:firstLine="425"/>
      <w:jc w:val="left"/>
      <w:spacing w:after="200" w:line="400" w:lineRule="exact"/>
      <w:widowControl/>
    </w:pPr>
    <w:rPr>
      <w:rFonts w:ascii="宋体"/>
      <w:sz w:val="24"/>
      <w:szCs w:val="20"/>
    </w:rPr>
  </w:style>
  <w:style w:type="paragraph" w:styleId="1064">
    <w:name w:val="Normal_2"/>
    <w:next w:val="1064"/>
    <w:link w:val="884"/>
    <w:qFormat/>
    <w:rPr>
      <w:rFonts w:ascii="黑体" w:hAnsi="黑体" w:eastAsia="黑体"/>
      <w:b/>
      <w:sz w:val="32"/>
      <w:szCs w:val="24"/>
      <w:lang w:bidi="ar-SA"/>
    </w:rPr>
  </w:style>
  <w:style w:type="paragraph" w:styleId="1065">
    <w:name w:val="Normal_1_2"/>
    <w:next w:val="1065"/>
    <w:link w:val="884"/>
    <w:qFormat/>
    <w:rPr>
      <w:rFonts w:eastAsia="Times New Roman"/>
      <w:sz w:val="24"/>
      <w:szCs w:val="24"/>
      <w:lang w:bidi="ar-SA"/>
    </w:rPr>
  </w:style>
  <w:style w:type="paragraph" w:styleId="1066">
    <w:name w:val="默认段落字体 Para Char Char Char Char Char Char Char Char Char1"/>
    <w:basedOn w:val="884"/>
    <w:next w:val="1066"/>
    <w:link w:val="884"/>
    <w:rPr>
      <w:rFonts w:ascii="Tahoma" w:hAnsi="Tahoma"/>
      <w:sz w:val="24"/>
      <w:szCs w:val="20"/>
    </w:rPr>
  </w:style>
  <w:style w:type="paragraph" w:styleId="1067">
    <w:name w:val="样式 序号----------- + 仿宋_GB2312"/>
    <w:basedOn w:val="1068"/>
    <w:next w:val="1067"/>
    <w:link w:val="884"/>
    <w:pPr>
      <w:ind w:firstLine="200"/>
      <w:spacing w:line="360" w:lineRule="auto"/>
    </w:pPr>
    <w:rPr>
      <w:rFonts w:ascii="仿宋_GB2312" w:eastAsia="仿宋_GB2312"/>
      <w:bCs w:val="0"/>
    </w:rPr>
  </w:style>
  <w:style w:type="paragraph" w:styleId="1068">
    <w:name w:val="序号-----------"/>
    <w:basedOn w:val="884"/>
    <w:next w:val="1068"/>
    <w:link w:val="884"/>
    <w:pPr>
      <w:jc w:val="left"/>
      <w:widowControl/>
    </w:pPr>
    <w:rPr>
      <w:rFonts w:ascii="宋体"/>
      <w:bCs/>
      <w:szCs w:val="21"/>
    </w:rPr>
  </w:style>
  <w:style w:type="paragraph" w:styleId="1069">
    <w:name w:val="pa-8"/>
    <w:basedOn w:val="884"/>
    <w:next w:val="1069"/>
    <w:link w:val="884"/>
    <w:pPr>
      <w:ind w:firstLine="480"/>
      <w:spacing w:line="280" w:lineRule="atLeast"/>
      <w:widowControl/>
    </w:pPr>
    <w:rPr>
      <w:rFonts w:ascii="宋体" w:cs="宋体"/>
      <w:sz w:val="24"/>
      <w:lang w:bidi="ar-SA"/>
    </w:rPr>
  </w:style>
  <w:style w:type="paragraph" w:styleId="1070">
    <w:name w:val="Indent Normal"/>
    <w:basedOn w:val="884"/>
    <w:next w:val="1070"/>
    <w:link w:val="884"/>
    <w:pPr>
      <w:ind w:firstLine="150"/>
    </w:pPr>
    <w:rPr>
      <w:sz w:val="24"/>
      <w:szCs w:val="20"/>
    </w:rPr>
  </w:style>
  <w:style w:type="paragraph" w:styleId="1071">
    <w:name w:val="Normal_3"/>
    <w:next w:val="1071"/>
    <w:link w:val="884"/>
    <w:qFormat/>
    <w:rPr>
      <w:rFonts w:ascii="黑体" w:hAnsi="黑体" w:eastAsia="黑体"/>
      <w:b/>
      <w:sz w:val="32"/>
      <w:szCs w:val="24"/>
      <w:lang w:bidi="ar-SA"/>
    </w:rPr>
  </w:style>
  <w:style w:type="paragraph" w:styleId="1072">
    <w:name w:val="寄信人地址1"/>
    <w:basedOn w:val="1041"/>
    <w:next w:val="1072"/>
    <w:link w:val="884"/>
    <w:uiPriority w:val="99"/>
    <w:qFormat/>
    <w:rPr>
      <w:rFonts w:ascii="Arial" w:hAnsi="Arial" w:cs="Arial"/>
    </w:rPr>
  </w:style>
  <w:style w:type="paragraph" w:styleId="1073">
    <w:name w:val="标题2"/>
    <w:basedOn w:val="884"/>
    <w:next w:val="1073"/>
    <w:link w:val="884"/>
    <w:pPr>
      <w:tabs>
        <w:tab w:val="left" w:pos="0" w:leader="none"/>
      </w:tabs>
    </w:pPr>
    <w:rPr>
      <w:rFonts w:ascii="黑体" w:eastAsia="黑体"/>
      <w:sz w:val="24"/>
      <w:szCs w:val="22"/>
    </w:rPr>
  </w:style>
  <w:style w:type="paragraph" w:styleId="1074">
    <w:name w:val="Normal_10"/>
    <w:next w:val="1074"/>
    <w:link w:val="884"/>
    <w:qFormat/>
    <w:rPr>
      <w:rFonts w:ascii="黑体" w:hAnsi="黑体" w:eastAsia="黑体"/>
      <w:b/>
      <w:sz w:val="32"/>
      <w:szCs w:val="24"/>
      <w:lang w:bidi="ar-SA"/>
    </w:rPr>
  </w:style>
  <w:style w:type="paragraph" w:styleId="1075">
    <w:name w:val="样式3"/>
    <w:basedOn w:val="887"/>
    <w:next w:val="1075"/>
    <w:link w:val="884"/>
    <w:pPr>
      <w:spacing w:line="415" w:lineRule="auto"/>
    </w:pPr>
    <w:rPr>
      <w:rFonts w:ascii="Calibri" w:hAnsi="Calibri"/>
      <w:bCs/>
      <w:color w:val="000000"/>
      <w:sz w:val="28"/>
      <w:szCs w:val="28"/>
    </w:rPr>
  </w:style>
  <w:style w:type="paragraph" w:styleId="1076">
    <w:name w:val="样式6"/>
    <w:basedOn w:val="969"/>
    <w:next w:val="1076"/>
    <w:link w:val="884"/>
    <w:pPr>
      <w:keepLines/>
      <w:keepNext/>
      <w:spacing w:before="260" w:after="260" w:line="415" w:lineRule="auto"/>
      <w:widowControl w:val="off"/>
      <w:tabs>
        <w:tab w:val="left" w:pos="0" w:leader="none"/>
      </w:tabs>
      <w:outlineLvl w:val="1"/>
    </w:pPr>
    <w:rPr>
      <w:rFonts w:ascii="Times New Roman" w:hAnsi="Times New Roman" w:eastAsia="宋体" w:cs="Times New Roman"/>
      <w:b/>
      <w:bCs/>
      <w:sz w:val="32"/>
      <w:szCs w:val="32"/>
      <w:lang w:bidi="ar-SA"/>
    </w:rPr>
  </w:style>
  <w:style w:type="paragraph" w:styleId="1077">
    <w:name w:val="Char1 Char Char Char"/>
    <w:basedOn w:val="884"/>
    <w:next w:val="1077"/>
    <w:link w:val="884"/>
    <w:rPr>
      <w:szCs w:val="20"/>
    </w:rPr>
  </w:style>
  <w:style w:type="paragraph" w:styleId="1078">
    <w:name w:val="纯文本2"/>
    <w:basedOn w:val="884"/>
    <w:next w:val="1078"/>
    <w:link w:val="884"/>
    <w:qFormat/>
    <w:rPr>
      <w:rFonts w:ascii="宋体" w:hAnsi="Courier New" w:eastAsia="楷体_GB2312"/>
      <w:sz w:val="26"/>
      <w:szCs w:val="20"/>
    </w:rPr>
  </w:style>
  <w:style w:type="paragraph" w:styleId="1079">
    <w:name w:val="Normal_4_0"/>
    <w:next w:val="1079"/>
    <w:link w:val="884"/>
    <w:qFormat/>
    <w:rPr>
      <w:rFonts w:ascii="黑体" w:hAnsi="黑体" w:eastAsia="黑体"/>
      <w:b/>
      <w:sz w:val="32"/>
      <w:szCs w:val="24"/>
      <w:lang w:bidi="ar-SA"/>
    </w:rPr>
  </w:style>
  <w:style w:type="paragraph" w:styleId="1080">
    <w:name w:val="三级条标题"/>
    <w:basedOn w:val="1081"/>
    <w:next w:val="1083"/>
    <w:link w:val="884"/>
    <w:pPr>
      <w:ind w:left="1050"/>
      <w:outlineLvl w:val="4"/>
    </w:pPr>
  </w:style>
  <w:style w:type="paragraph" w:styleId="1081">
    <w:name w:val="二级条标题"/>
    <w:basedOn w:val="1082"/>
    <w:next w:val="1083"/>
    <w:link w:val="884"/>
    <w:pPr>
      <w:ind w:left="360"/>
      <w:outlineLvl w:val="3"/>
    </w:pPr>
  </w:style>
  <w:style w:type="paragraph" w:styleId="1082">
    <w:name w:val="一级条标题"/>
    <w:next w:val="1083"/>
    <w:link w:val="884"/>
    <w:pPr>
      <w:outlineLvl w:val="2"/>
    </w:pPr>
    <w:rPr>
      <w:rFonts w:eastAsia="黑体"/>
      <w:sz w:val="21"/>
      <w:lang w:val="en-US" w:eastAsia="zh-CN" w:bidi="ar-SA"/>
    </w:rPr>
  </w:style>
  <w:style w:type="paragraph" w:styleId="1083">
    <w:name w:val="段"/>
    <w:next w:val="1083"/>
    <w:link w:val="884"/>
    <w:pPr>
      <w:ind w:firstLine="200"/>
      <w:jc w:val="both"/>
    </w:pPr>
    <w:rPr>
      <w:rFonts w:ascii="宋体"/>
      <w:sz w:val="21"/>
      <w:lang w:val="en-US" w:eastAsia="zh-CN" w:bidi="ar-SA"/>
    </w:rPr>
  </w:style>
  <w:style w:type="paragraph" w:styleId="1084">
    <w:name w:val="Normal_5_0"/>
    <w:next w:val="1084"/>
    <w:link w:val="884"/>
    <w:qFormat/>
    <w:rPr>
      <w:rFonts w:ascii="黑体" w:hAnsi="黑体" w:eastAsia="黑体"/>
      <w:b/>
      <w:sz w:val="32"/>
      <w:szCs w:val="24"/>
      <w:lang w:bidi="ar-SA"/>
    </w:rPr>
  </w:style>
  <w:style w:type="paragraph" w:styleId="1085">
    <w:name w:val="Normal_14_0"/>
    <w:next w:val="1085"/>
    <w:link w:val="884"/>
    <w:qFormat/>
    <w:rPr>
      <w:rFonts w:ascii="黑体" w:hAnsi="黑体" w:eastAsia="黑体"/>
      <w:b/>
      <w:sz w:val="32"/>
      <w:szCs w:val="24"/>
      <w:lang w:bidi="ar-SA"/>
    </w:rPr>
  </w:style>
  <w:style w:type="paragraph" w:styleId="1086">
    <w:name w:val="技术方案2"/>
    <w:basedOn w:val="884"/>
    <w:next w:val="1086"/>
    <w:link w:val="884"/>
    <w:pPr>
      <w:spacing w:line="480" w:lineRule="auto"/>
    </w:pPr>
    <w:rPr>
      <w:rFonts w:ascii="宋体"/>
      <w:b/>
      <w:bCs/>
      <w:sz w:val="36"/>
      <w:szCs w:val="22"/>
    </w:rPr>
  </w:style>
  <w:style w:type="paragraph" w:styleId="1087">
    <w:name w:val="表格样式居左"/>
    <w:next w:val="1087"/>
    <w:link w:val="884"/>
    <w:pPr>
      <w:jc w:val="both"/>
      <w:spacing w:before="120" w:after="120" w:line="400" w:lineRule="exact"/>
    </w:pPr>
    <w:rPr>
      <w:rFonts w:eastAsia="仿宋_GB2312"/>
      <w:bCs/>
      <w:sz w:val="21"/>
      <w:szCs w:val="21"/>
      <w:lang w:val="en-US" w:eastAsia="zh-CN" w:bidi="ar-SA"/>
    </w:rPr>
  </w:style>
  <w:style w:type="paragraph" w:styleId="1088">
    <w:name w:val="Normal_0_0"/>
    <w:next w:val="1088"/>
    <w:link w:val="884"/>
    <w:qFormat/>
    <w:rPr>
      <w:rFonts w:ascii="黑体" w:hAnsi="黑体" w:eastAsia="黑体"/>
      <w:b/>
      <w:sz w:val="40"/>
      <w:szCs w:val="24"/>
      <w:lang w:bidi="ar-SA"/>
    </w:rPr>
  </w:style>
  <w:style w:type="paragraph" w:styleId="1089">
    <w:name w:val="表格标题"/>
    <w:basedOn w:val="884"/>
    <w:next w:val="1089"/>
    <w:link w:val="884"/>
    <w:pPr>
      <w:jc w:val="center"/>
    </w:pPr>
    <w:rPr>
      <w:b/>
    </w:rPr>
  </w:style>
  <w:style w:type="paragraph" w:styleId="1090">
    <w:name w:val="表中文字"/>
    <w:basedOn w:val="884"/>
    <w:next w:val="1090"/>
    <w:link w:val="884"/>
    <w:pPr>
      <w:widowControl/>
    </w:pPr>
    <w:rPr>
      <w:rFonts w:ascii="Calibri" w:hAnsi="Calibri"/>
      <w:szCs w:val="20"/>
    </w:rPr>
  </w:style>
  <w:style w:type="paragraph" w:styleId="1091">
    <w:name w:val=" Char"/>
    <w:basedOn w:val="884"/>
    <w:next w:val="1091"/>
    <w:link w:val="884"/>
    <w:pPr>
      <w:jc w:val="left"/>
      <w:spacing w:after="160" w:line="240" w:lineRule="exact"/>
      <w:widowControl/>
    </w:pPr>
    <w:rPr>
      <w:rFonts w:ascii="Verdana" w:hAnsi="Verdana"/>
      <w:sz w:val="20"/>
      <w:szCs w:val="20"/>
      <w:lang w:eastAsia="en-US"/>
    </w:rPr>
  </w:style>
  <w:style w:type="paragraph" w:styleId="1092">
    <w:name w:val="pbody"/>
    <w:basedOn w:val="884"/>
    <w:next w:val="1092"/>
    <w:link w:val="884"/>
    <w:pPr>
      <w:jc w:val="left"/>
      <w:spacing w:before="100" w:beforeAutospacing="1" w:after="100" w:afterAutospacing="1" w:line="360" w:lineRule="auto"/>
      <w:widowControl/>
    </w:pPr>
    <w:rPr>
      <w:rFonts w:ascii="宋体" w:cs="宋体"/>
      <w:sz w:val="24"/>
      <w:lang w:bidi="ar-SA"/>
    </w:rPr>
  </w:style>
  <w:style w:type="paragraph" w:styleId="1093">
    <w:name w:val="正文_10"/>
    <w:next w:val="1093"/>
    <w:link w:val="884"/>
    <w:qFormat/>
    <w:pPr>
      <w:jc w:val="both"/>
      <w:widowControl w:val="off"/>
    </w:pPr>
    <w:rPr>
      <w:sz w:val="21"/>
      <w:szCs w:val="24"/>
      <w:lang w:val="en-US" w:eastAsia="zh-CN" w:bidi="ar-SA"/>
    </w:rPr>
  </w:style>
  <w:style w:type="paragraph" w:styleId="1094">
    <w:name w:val="Normal_9"/>
    <w:next w:val="1094"/>
    <w:link w:val="884"/>
    <w:qFormat/>
    <w:rPr>
      <w:rFonts w:ascii="黑体" w:hAnsi="黑体" w:eastAsia="黑体"/>
      <w:b/>
      <w:sz w:val="32"/>
      <w:szCs w:val="24"/>
      <w:lang w:bidi="ar-SA"/>
    </w:rPr>
  </w:style>
  <w:style w:type="paragraph" w:styleId="1095">
    <w:name w:val="表格正文"/>
    <w:basedOn w:val="884"/>
    <w:next w:val="1095"/>
    <w:link w:val="884"/>
    <w:pPr>
      <w:spacing w:line="300" w:lineRule="auto"/>
      <w:tabs>
        <w:tab w:val="left" w:pos="420" w:leader="none"/>
      </w:tabs>
    </w:pPr>
  </w:style>
  <w:style w:type="paragraph" w:styleId="1096">
    <w:name w:val="目录 1_0"/>
    <w:basedOn w:val="982"/>
    <w:next w:val="982"/>
    <w:link w:val="884"/>
    <w:semiHidden/>
    <w:pPr>
      <w:jc w:val="left"/>
    </w:pPr>
    <w:rPr>
      <w:rFonts w:hint="eastAsia" w:ascii="宋体" w:hAnsi="宋体"/>
      <w:b/>
      <w:sz w:val="24"/>
    </w:rPr>
  </w:style>
  <w:style w:type="paragraph" w:styleId="1097">
    <w:name w:val="正文_1_1"/>
    <w:next w:val="1097"/>
    <w:link w:val="884"/>
    <w:qFormat/>
    <w:pPr>
      <w:jc w:val="both"/>
      <w:widowControl w:val="off"/>
    </w:pPr>
    <w:rPr>
      <w:sz w:val="21"/>
      <w:szCs w:val="22"/>
      <w:lang w:val="en-US" w:eastAsia="zh-CN" w:bidi="ar-SA"/>
    </w:rPr>
  </w:style>
  <w:style w:type="paragraph" w:styleId="1098">
    <w:name w:val="正文_13"/>
    <w:next w:val="1098"/>
    <w:link w:val="884"/>
    <w:qFormat/>
    <w:pPr>
      <w:jc w:val="both"/>
      <w:widowControl w:val="off"/>
    </w:pPr>
    <w:rPr>
      <w:sz w:val="21"/>
      <w:szCs w:val="24"/>
      <w:lang w:val="en-US" w:eastAsia="zh-CN" w:bidi="ar-SA"/>
    </w:rPr>
  </w:style>
  <w:style w:type="paragraph" w:styleId="1099">
    <w:name w:val="Char Char Char Char Char Char Char"/>
    <w:basedOn w:val="884"/>
    <w:next w:val="1099"/>
    <w:link w:val="884"/>
    <w:pPr>
      <w:jc w:val="left"/>
      <w:spacing w:after="160" w:line="240" w:lineRule="exact"/>
      <w:widowControl/>
    </w:pPr>
    <w:rPr>
      <w:rFonts w:ascii="Verdana" w:hAnsi="Verdana"/>
      <w:sz w:val="20"/>
      <w:szCs w:val="20"/>
      <w:lang w:eastAsia="en-US"/>
    </w:rPr>
  </w:style>
  <w:style w:type="paragraph" w:styleId="1100">
    <w:name w:val="正文_5"/>
    <w:next w:val="1100"/>
    <w:link w:val="884"/>
    <w:qFormat/>
    <w:pPr>
      <w:jc w:val="both"/>
      <w:widowControl w:val="off"/>
    </w:pPr>
    <w:rPr>
      <w:sz w:val="21"/>
      <w:lang w:val="en-US" w:eastAsia="zh-CN" w:bidi="ar-SA"/>
    </w:rPr>
  </w:style>
  <w:style w:type="paragraph" w:styleId="1101">
    <w:name w:val="标书2"/>
    <w:next w:val="1102"/>
    <w:link w:val="884"/>
    <w:rPr>
      <w:rFonts w:eastAsia="黑体" w:cs="宋体"/>
      <w:b/>
      <w:sz w:val="44"/>
      <w:lang w:val="en-US" w:eastAsia="zh-CN" w:bidi="ar-SA"/>
    </w:rPr>
  </w:style>
  <w:style w:type="paragraph" w:styleId="1102">
    <w:name w:val="段落"/>
    <w:next w:val="1102"/>
    <w:link w:val="884"/>
    <w:pPr>
      <w:ind w:firstLine="420"/>
      <w:jc w:val="both"/>
      <w:spacing w:before="120" w:after="120" w:line="360" w:lineRule="auto"/>
    </w:pPr>
    <w:rPr>
      <w:rFonts w:eastAsia="仿宋_GB2312"/>
      <w:sz w:val="24"/>
      <w:szCs w:val="24"/>
      <w:lang w:val="en-US" w:eastAsia="zh-CN" w:bidi="ar-SA"/>
    </w:rPr>
  </w:style>
  <w:style w:type="paragraph" w:styleId="1103">
    <w:name w:val="xl38"/>
    <w:basedOn w:val="884"/>
    <w:next w:val="1103"/>
    <w:link w:val="884"/>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4">
    <w:name w:val="p0"/>
    <w:basedOn w:val="884"/>
    <w:next w:val="1104"/>
    <w:link w:val="884"/>
    <w:pPr>
      <w:widowControl/>
    </w:pPr>
    <w:rPr>
      <w:szCs w:val="21"/>
    </w:rPr>
  </w:style>
  <w:style w:type="paragraph" w:styleId="1105">
    <w:name w:val="ibm-list-next"/>
    <w:basedOn w:val="884"/>
    <w:next w:val="1105"/>
    <w:link w:val="884"/>
    <w:pPr>
      <w:jc w:val="left"/>
      <w:spacing w:before="100" w:beforeAutospacing="1" w:after="100" w:afterAutospacing="1"/>
      <w:widowControl/>
    </w:pPr>
    <w:rPr>
      <w:rFonts w:ascii="宋体" w:cs="宋体"/>
      <w:sz w:val="24"/>
      <w:lang w:bidi="ar-SA"/>
    </w:rPr>
  </w:style>
  <w:style w:type="paragraph" w:styleId="1106">
    <w:name w:val="WPSOffice手动目录 2"/>
    <w:next w:val="1106"/>
    <w:link w:val="884"/>
    <w:rPr>
      <w:lang w:val="en-US" w:eastAsia="zh-CN" w:bidi="ar-SA"/>
    </w:rPr>
  </w:style>
  <w:style w:type="paragraph" w:styleId="1107">
    <w:name w:val="正文文字缩进 3"/>
    <w:basedOn w:val="884"/>
    <w:next w:val="1107"/>
    <w:link w:val="884"/>
    <w:pPr>
      <w:ind w:left="420" w:firstLine="420"/>
      <w:spacing w:line="312" w:lineRule="auto"/>
    </w:pPr>
    <w:rPr>
      <w:rFonts w:ascii="黑体" w:hAnsi="黑体" w:cs="宋体"/>
      <w:bCs/>
      <w:color w:val="000000"/>
      <w:sz w:val="24"/>
      <w:szCs w:val="22"/>
      <w:lang w:bidi="ar-SA"/>
    </w:rPr>
  </w:style>
  <w:style w:type="paragraph" w:styleId="1108">
    <w:name w:val="pa-9"/>
    <w:basedOn w:val="884"/>
    <w:next w:val="1108"/>
    <w:link w:val="884"/>
    <w:pPr>
      <w:jc w:val="center"/>
      <w:spacing w:line="360" w:lineRule="atLeast"/>
      <w:widowControl/>
    </w:pPr>
    <w:rPr>
      <w:rFonts w:ascii="宋体" w:cs="宋体"/>
      <w:sz w:val="24"/>
      <w:lang w:bidi="ar-SA"/>
    </w:rPr>
  </w:style>
  <w:style w:type="paragraph" w:styleId="1109">
    <w:name w:val="表格文字"/>
    <w:basedOn w:val="884"/>
    <w:next w:val="1109"/>
    <w:link w:val="884"/>
    <w:pPr>
      <w:jc w:val="left"/>
    </w:pPr>
    <w:rPr>
      <w:sz w:val="18"/>
    </w:rPr>
  </w:style>
  <w:style w:type="paragraph" w:styleId="1110">
    <w:name w:val="Figure and Table Title"/>
    <w:basedOn w:val="884"/>
    <w:next w:val="1110"/>
    <w:link w:val="884"/>
    <w:pPr>
      <w:ind w:left="2160"/>
      <w:jc w:val="left"/>
      <w:widowControl/>
    </w:pPr>
    <w:rPr>
      <w:rFonts w:ascii="Helvetica-Light" w:hAnsi="Helvetica-Light"/>
      <w:b/>
      <w:bCs/>
      <w:sz w:val="20"/>
      <w:szCs w:val="22"/>
      <w:lang w:eastAsia="en-US"/>
    </w:rPr>
  </w:style>
  <w:style w:type="paragraph" w:styleId="1111">
    <w:name w:val="正文_9_1"/>
    <w:next w:val="1111"/>
    <w:link w:val="884"/>
    <w:qFormat/>
    <w:pPr>
      <w:jc w:val="both"/>
      <w:widowControl w:val="off"/>
    </w:pPr>
    <w:rPr>
      <w:sz w:val="21"/>
      <w:szCs w:val="24"/>
      <w:lang w:val="en-US" w:eastAsia="zh-CN" w:bidi="ar-SA"/>
    </w:rPr>
  </w:style>
  <w:style w:type="paragraph" w:styleId="1112">
    <w:name w:val="正文_1_1_0"/>
    <w:next w:val="1112"/>
    <w:link w:val="884"/>
    <w:qFormat/>
    <w:pPr>
      <w:jc w:val="both"/>
      <w:widowControl w:val="off"/>
    </w:pPr>
    <w:rPr>
      <w:sz w:val="21"/>
      <w:szCs w:val="22"/>
      <w:lang w:val="en-US" w:eastAsia="zh-CN" w:bidi="ar-SA"/>
    </w:rPr>
  </w:style>
  <w:style w:type="paragraph" w:styleId="1113">
    <w:name w:val="首页小标题"/>
    <w:next w:val="1114"/>
    <w:link w:val="884"/>
    <w:pPr>
      <w:jc w:val="center"/>
    </w:pPr>
    <w:rPr>
      <w:rFonts w:cs="宋体"/>
      <w:sz w:val="44"/>
      <w:lang w:val="en-US" w:eastAsia="zh-CN" w:bidi="ar-SA"/>
    </w:rPr>
  </w:style>
  <w:style w:type="paragraph" w:styleId="1114">
    <w:name w:val="首页空格"/>
    <w:next w:val="1114"/>
    <w:link w:val="884"/>
    <w:pPr>
      <w:jc w:val="center"/>
    </w:pPr>
    <w:rPr>
      <w:rFonts w:cs="宋体"/>
      <w:sz w:val="72"/>
      <w:lang w:val="en-US" w:eastAsia="zh-CN" w:bidi="ar-SA"/>
    </w:rPr>
  </w:style>
  <w:style w:type="paragraph" w:styleId="1115">
    <w:name w:val="纯文本1"/>
    <w:basedOn w:val="884"/>
    <w:next w:val="1115"/>
    <w:link w:val="884"/>
    <w:qFormat/>
    <w:rPr>
      <w:rFonts w:ascii="宋体" w:hAnsi="Courier New" w:eastAsia="楷体_GB2312"/>
      <w:sz w:val="26"/>
      <w:szCs w:val="20"/>
    </w:rPr>
  </w:style>
  <w:style w:type="paragraph" w:styleId="1116">
    <w:name w:val="xl41"/>
    <w:basedOn w:val="884"/>
    <w:next w:val="1116"/>
    <w:link w:val="884"/>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7">
    <w:name w:val="表头"/>
    <w:basedOn w:val="1118"/>
    <w:next w:val="1117"/>
    <w:link w:val="884"/>
    <w:pPr>
      <w:ind w:left="0" w:firstLine="0"/>
      <w:spacing w:line="240" w:lineRule="auto"/>
    </w:pPr>
    <w:rPr>
      <w:sz w:val="20"/>
    </w:rPr>
  </w:style>
  <w:style w:type="paragraph" w:styleId="1118">
    <w:name w:val="正文1"/>
    <w:basedOn w:val="884"/>
    <w:next w:val="1118"/>
    <w:link w:val="884"/>
    <w:pPr>
      <w:ind w:left="357" w:firstLine="420"/>
      <w:jc w:val="left"/>
      <w:spacing w:line="360" w:lineRule="auto"/>
      <w:widowControl/>
    </w:pPr>
    <w:rPr>
      <w:rFonts w:cs="Arial"/>
      <w:szCs w:val="20"/>
      <w:lang w:bidi="ar-SA"/>
    </w:rPr>
  </w:style>
  <w:style w:type="paragraph" w:styleId="1119">
    <w:name w:val="正文_0_0_1"/>
    <w:next w:val="1119"/>
    <w:link w:val="884"/>
    <w:qFormat/>
    <w:pPr>
      <w:jc w:val="both"/>
      <w:widowControl w:val="off"/>
    </w:pPr>
    <w:rPr>
      <w:sz w:val="21"/>
      <w:szCs w:val="24"/>
      <w:lang w:val="en-US" w:eastAsia="zh-CN" w:bidi="ar-SA"/>
    </w:rPr>
  </w:style>
  <w:style w:type="paragraph" w:styleId="1120">
    <w:name w:val="表格序号"/>
    <w:next w:val="1120"/>
    <w:link w:val="884"/>
    <w:rPr>
      <w:rFonts w:eastAsia="仿宋_GB2312" w:cs="宋体"/>
      <w:sz w:val="21"/>
      <w:lang w:val="en-US" w:eastAsia="zh-CN" w:bidi="ar-SA"/>
    </w:rPr>
  </w:style>
  <w:style w:type="paragraph" w:styleId="1121">
    <w:name w:val="正文_16"/>
    <w:next w:val="1121"/>
    <w:link w:val="884"/>
    <w:qFormat/>
    <w:pPr>
      <w:jc w:val="both"/>
      <w:widowControl w:val="off"/>
    </w:pPr>
    <w:rPr>
      <w:sz w:val="21"/>
      <w:szCs w:val="22"/>
      <w:lang w:val="en-US" w:eastAsia="zh-CN" w:bidi="ar-SA"/>
    </w:rPr>
  </w:style>
  <w:style w:type="paragraph" w:styleId="1122">
    <w:name w:val="Normal_15"/>
    <w:next w:val="1122"/>
    <w:link w:val="884"/>
    <w:qFormat/>
    <w:rPr>
      <w:rFonts w:ascii="黑体" w:hAnsi="黑体" w:eastAsia="黑体"/>
      <w:b/>
      <w:sz w:val="32"/>
      <w:szCs w:val="24"/>
      <w:lang w:bidi="ar-SA"/>
    </w:rPr>
  </w:style>
  <w:style w:type="paragraph" w:styleId="1123">
    <w:name w:val="List Paragraph"/>
    <w:basedOn w:val="884"/>
    <w:next w:val="1123"/>
    <w:link w:val="884"/>
    <w:pPr>
      <w:ind w:firstLine="200"/>
    </w:pPr>
    <w:rPr>
      <w:rFonts w:ascii="Calibri" w:hAnsi="Calibri"/>
      <w:szCs w:val="22"/>
    </w:rPr>
  </w:style>
  <w:style w:type="paragraph" w:styleId="1124">
    <w:name w:val="正文_10_1_0"/>
    <w:next w:val="1124"/>
    <w:link w:val="884"/>
    <w:qFormat/>
    <w:pPr>
      <w:jc w:val="both"/>
      <w:widowControl w:val="off"/>
    </w:pPr>
    <w:rPr>
      <w:sz w:val="21"/>
      <w:szCs w:val="24"/>
      <w:lang w:val="en-US" w:eastAsia="zh-CN" w:bidi="ar-SA"/>
    </w:rPr>
  </w:style>
  <w:style w:type="paragraph" w:styleId="1125">
    <w:name w:val="正文（首行缩进）"/>
    <w:basedOn w:val="884"/>
    <w:next w:val="1125"/>
    <w:link w:val="884"/>
    <w:pPr>
      <w:ind w:firstLine="482"/>
      <w:spacing w:before="120" w:line="360" w:lineRule="auto"/>
      <w:widowControl/>
    </w:pPr>
    <w:rPr>
      <w:rFonts w:ascii="Calibri" w:hAnsi="Calibri"/>
      <w:sz w:val="24"/>
      <w:szCs w:val="20"/>
    </w:rPr>
  </w:style>
  <w:style w:type="paragraph" w:styleId="1126">
    <w:name w:val="Normal_19"/>
    <w:next w:val="1126"/>
    <w:link w:val="884"/>
    <w:qFormat/>
    <w:pPr>
      <w:jc w:val="both"/>
      <w:widowControl w:val="off"/>
    </w:pPr>
    <w:rPr>
      <w:sz w:val="21"/>
      <w:szCs w:val="22"/>
      <w:lang w:val="en-US" w:eastAsia="zh-CN" w:bidi="ar-SA"/>
    </w:rPr>
  </w:style>
  <w:style w:type="paragraph" w:styleId="1127">
    <w:name w:val="技术方案3"/>
    <w:basedOn w:val="884"/>
    <w:next w:val="1127"/>
    <w:link w:val="884"/>
    <w:pPr>
      <w:spacing w:line="360" w:lineRule="auto"/>
    </w:pPr>
    <w:rPr>
      <w:rFonts w:ascii="宋体"/>
      <w:b/>
      <w:bCs/>
      <w:sz w:val="32"/>
      <w:szCs w:val="22"/>
    </w:rPr>
  </w:style>
  <w:style w:type="paragraph" w:styleId="1128">
    <w:name w:val="默认段落字体 Para Char Char Char Char Char"/>
    <w:basedOn w:val="884"/>
    <w:next w:val="1128"/>
    <w:link w:val="884"/>
    <w:pPr>
      <w:ind w:firstLine="200"/>
      <w:jc w:val="left"/>
      <w:spacing w:before="100" w:beforeAutospacing="1" w:after="100" w:afterAutospacing="1" w:line="360" w:lineRule="auto"/>
    </w:pPr>
    <w:rPr>
      <w:rFonts w:ascii="Arial" w:hAnsi="Arial"/>
      <w:sz w:val="24"/>
      <w:szCs w:val="22"/>
      <w:lang w:eastAsia="en-US"/>
    </w:rPr>
  </w:style>
  <w:style w:type="paragraph" w:styleId="1129">
    <w:name w:val="正文_17"/>
    <w:next w:val="1129"/>
    <w:link w:val="884"/>
    <w:qFormat/>
    <w:pPr>
      <w:jc w:val="both"/>
      <w:widowControl w:val="off"/>
    </w:pPr>
    <w:rPr>
      <w:sz w:val="21"/>
      <w:szCs w:val="22"/>
      <w:lang w:val="en-US" w:eastAsia="zh-CN" w:bidi="ar-SA"/>
    </w:rPr>
  </w:style>
  <w:style w:type="paragraph" w:styleId="1130">
    <w:name w:val="pa-10"/>
    <w:basedOn w:val="884"/>
    <w:next w:val="1130"/>
    <w:link w:val="884"/>
    <w:pPr>
      <w:spacing w:line="240" w:lineRule="atLeast"/>
      <w:widowControl/>
    </w:pPr>
    <w:rPr>
      <w:rFonts w:ascii="宋体" w:cs="宋体"/>
      <w:sz w:val="24"/>
      <w:lang w:bidi="ar-SA"/>
    </w:rPr>
  </w:style>
  <w:style w:type="paragraph" w:styleId="1131">
    <w:name w:val="pa-5"/>
    <w:basedOn w:val="884"/>
    <w:next w:val="1131"/>
    <w:link w:val="884"/>
    <w:pPr>
      <w:spacing w:line="280" w:lineRule="atLeast"/>
      <w:widowControl/>
    </w:pPr>
    <w:rPr>
      <w:rFonts w:ascii="宋体" w:cs="宋体"/>
      <w:sz w:val="24"/>
      <w:lang w:bidi="ar-SA"/>
    </w:rPr>
  </w:style>
  <w:style w:type="paragraph" w:styleId="1132">
    <w:name w:val="封面标准号1"/>
    <w:next w:val="1132"/>
    <w:link w:val="884"/>
    <w:pPr>
      <w:jc w:val="right"/>
      <w:spacing w:before="308"/>
      <w:widowControl w:val="off"/>
    </w:pPr>
    <w:rPr>
      <w:sz w:val="28"/>
      <w:lang w:val="en-US" w:eastAsia="zh-CN" w:bidi="ar-SA"/>
    </w:rPr>
  </w:style>
  <w:style w:type="paragraph" w:styleId="1133">
    <w:name w:val="新段落缩进"/>
    <w:basedOn w:val="884"/>
    <w:next w:val="1133"/>
    <w:link w:val="884"/>
    <w:pPr>
      <w:ind w:firstLine="200"/>
      <w:spacing w:line="400" w:lineRule="exact"/>
    </w:pPr>
    <w:rPr>
      <w:rFonts w:ascii="仿宋_GB2312" w:eastAsia="仿宋_GB2312"/>
      <w:sz w:val="24"/>
    </w:rPr>
  </w:style>
  <w:style w:type="paragraph" w:styleId="1134">
    <w:name w:val="正文_8"/>
    <w:next w:val="1134"/>
    <w:link w:val="884"/>
    <w:qFormat/>
    <w:pPr>
      <w:jc w:val="both"/>
      <w:widowControl w:val="off"/>
    </w:pPr>
    <w:rPr>
      <w:sz w:val="21"/>
      <w:szCs w:val="24"/>
      <w:lang w:val="en-US" w:eastAsia="zh-CN" w:bidi="ar-SA"/>
    </w:rPr>
  </w:style>
  <w:style w:type="paragraph" w:styleId="1135">
    <w:name w:val="pa-2"/>
    <w:basedOn w:val="884"/>
    <w:next w:val="1135"/>
    <w:link w:val="884"/>
    <w:pPr>
      <w:spacing w:line="360" w:lineRule="atLeast"/>
      <w:widowControl/>
    </w:pPr>
    <w:rPr>
      <w:rFonts w:ascii="宋体" w:cs="宋体"/>
      <w:sz w:val="24"/>
      <w:lang w:bidi="ar-SA"/>
    </w:rPr>
  </w:style>
  <w:style w:type="paragraph" w:styleId="1136">
    <w:name w:val="列出段落1"/>
    <w:basedOn w:val="884"/>
    <w:next w:val="1136"/>
    <w:link w:val="884"/>
    <w:uiPriority w:val="99"/>
    <w:qFormat/>
    <w:pPr>
      <w:ind w:firstLine="200"/>
    </w:pPr>
    <w:rPr>
      <w:rFonts w:ascii="Calibri" w:hAnsi="Calibri"/>
      <w:szCs w:val="22"/>
    </w:rPr>
  </w:style>
  <w:style w:type="paragraph" w:styleId="1137">
    <w:name w:val="说明书2级标题"/>
    <w:basedOn w:val="884"/>
    <w:next w:val="1138"/>
    <w:link w:val="884"/>
    <w:pPr>
      <w:numPr>
        <w:ilvl w:val="2"/>
        <w:numId w:val="1"/>
      </w:numPr>
      <w:spacing w:before="100"/>
      <w:tabs>
        <w:tab w:val="left" w:pos="1680" w:leader="none"/>
      </w:tabs>
    </w:pPr>
    <w:rPr>
      <w:rFonts w:ascii="Calibri" w:hAnsi="Calibri" w:eastAsia="黑体"/>
      <w:sz w:val="28"/>
      <w:szCs w:val="28"/>
    </w:rPr>
  </w:style>
  <w:style w:type="paragraph" w:styleId="1138">
    <w:name w:val="说明书3级标题"/>
    <w:basedOn w:val="884"/>
    <w:next w:val="884"/>
    <w:link w:val="884"/>
    <w:pPr>
      <w:numPr>
        <w:ilvl w:val="2"/>
        <w:numId w:val="2"/>
      </w:numPr>
      <w:spacing w:line="360" w:lineRule="auto"/>
      <w:tabs>
        <w:tab w:val="left" w:pos="0" w:leader="none"/>
      </w:tabs>
    </w:pPr>
    <w:rPr>
      <w:rFonts w:ascii="Calibri" w:hAnsi="Calibri" w:eastAsia="黑体"/>
      <w:sz w:val="24"/>
      <w:szCs w:val="22"/>
    </w:rPr>
  </w:style>
  <w:style w:type="paragraph" w:styleId="1139">
    <w:name w:val="Char Char1 Char Char Char Char Char Char Char Char"/>
    <w:basedOn w:val="884"/>
    <w:next w:val="1139"/>
    <w:link w:val="884"/>
    <w:pPr>
      <w:jc w:val="left"/>
      <w:spacing w:after="160" w:line="240" w:lineRule="exact"/>
      <w:widowControl/>
    </w:pPr>
  </w:style>
  <w:style w:type="paragraph" w:styleId="1140">
    <w:name w:val="Normal_11_0"/>
    <w:next w:val="1140"/>
    <w:link w:val="884"/>
    <w:qFormat/>
    <w:rPr>
      <w:rFonts w:ascii="黑体" w:hAnsi="黑体" w:eastAsia="黑体"/>
      <w:b/>
      <w:sz w:val="32"/>
      <w:szCs w:val="24"/>
      <w:lang w:bidi="ar-SA"/>
    </w:rPr>
  </w:style>
  <w:style w:type="paragraph" w:styleId="1141">
    <w:name w:val="首页标题小初"/>
    <w:next w:val="1141"/>
    <w:link w:val="884"/>
    <w:pPr>
      <w:jc w:val="center"/>
    </w:pPr>
    <w:rPr>
      <w:rFonts w:ascii="黑体" w:eastAsia="黑体" w:cs="宋体"/>
      <w:sz w:val="72"/>
      <w:lang w:val="en-US" w:eastAsia="zh-CN" w:bidi="ar-SA"/>
    </w:rPr>
  </w:style>
  <w:style w:type="paragraph" w:styleId="1142">
    <w:name w:val="xl32"/>
    <w:basedOn w:val="884"/>
    <w:next w:val="1142"/>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3">
    <w:name w:val="正文_6_0_0_0"/>
    <w:next w:val="1143"/>
    <w:link w:val="884"/>
    <w:qFormat/>
    <w:pPr>
      <w:jc w:val="both"/>
      <w:widowControl w:val="off"/>
    </w:pPr>
    <w:rPr>
      <w:sz w:val="21"/>
      <w:szCs w:val="22"/>
      <w:lang w:val="en-US" w:eastAsia="zh-CN" w:bidi="ar-SA"/>
    </w:rPr>
  </w:style>
  <w:style w:type="paragraph" w:styleId="1144">
    <w:name w:val="Default"/>
    <w:next w:val="1144"/>
    <w:link w:val="884"/>
    <w:pPr>
      <w:widowControl w:val="off"/>
    </w:pPr>
    <w:rPr>
      <w:rFonts w:ascii="宋体" w:cs="宋体"/>
      <w:color w:val="000000"/>
      <w:sz w:val="24"/>
      <w:szCs w:val="24"/>
      <w:lang w:val="en-US" w:eastAsia="zh-CN" w:bidi="ar-SA"/>
    </w:rPr>
  </w:style>
  <w:style w:type="paragraph" w:styleId="1145">
    <w:name w:val="附图标题"/>
    <w:basedOn w:val="907"/>
    <w:next w:val="906"/>
    <w:link w:val="884"/>
    <w:pPr>
      <w:ind w:left="780" w:hanging="480"/>
      <w:jc w:val="center"/>
      <w:spacing w:after="100"/>
      <w:tabs>
        <w:tab w:val="left" w:pos="780" w:leader="none"/>
      </w:tabs>
    </w:pPr>
    <w:rPr>
      <w:b/>
      <w:sz w:val="21"/>
    </w:rPr>
  </w:style>
  <w:style w:type="paragraph" w:styleId="1146">
    <w:name w:val="Normal_7"/>
    <w:next w:val="1146"/>
    <w:link w:val="884"/>
    <w:qFormat/>
    <w:rPr>
      <w:rFonts w:ascii="黑体" w:hAnsi="黑体" w:eastAsia="黑体"/>
      <w:b/>
      <w:sz w:val="32"/>
      <w:szCs w:val="24"/>
      <w:lang w:bidi="ar-SA"/>
    </w:rPr>
  </w:style>
  <w:style w:type="paragraph" w:styleId="1147">
    <w:name w:val="正文_10_2"/>
    <w:next w:val="1147"/>
    <w:link w:val="884"/>
    <w:qFormat/>
    <w:pPr>
      <w:jc w:val="both"/>
      <w:widowControl w:val="off"/>
    </w:pPr>
    <w:rPr>
      <w:sz w:val="21"/>
      <w:szCs w:val="24"/>
      <w:lang w:val="en-US" w:eastAsia="zh-CN" w:bidi="ar-SA"/>
    </w:rPr>
  </w:style>
  <w:style w:type="paragraph" w:styleId="1148">
    <w:name w:val="五级条标题"/>
    <w:basedOn w:val="1149"/>
    <w:next w:val="1083"/>
    <w:link w:val="884"/>
    <w:pPr>
      <w:outlineLvl w:val="6"/>
    </w:pPr>
  </w:style>
  <w:style w:type="paragraph" w:styleId="1149">
    <w:name w:val="四级条标题"/>
    <w:basedOn w:val="1080"/>
    <w:next w:val="1083"/>
    <w:link w:val="884"/>
    <w:pPr>
      <w:ind w:left="0"/>
      <w:outlineLvl w:val="5"/>
    </w:pPr>
  </w:style>
  <w:style w:type="paragraph" w:styleId="1150">
    <w:name w:val="正文_1"/>
    <w:next w:val="1150"/>
    <w:link w:val="884"/>
    <w:qFormat/>
    <w:pPr>
      <w:jc w:val="both"/>
      <w:widowControl w:val="off"/>
    </w:pPr>
    <w:rPr>
      <w:sz w:val="21"/>
      <w:szCs w:val="24"/>
      <w:lang w:val="en-US" w:eastAsia="zh-CN" w:bidi="ar-SA"/>
    </w:rPr>
  </w:style>
  <w:style w:type="paragraph" w:styleId="1151">
    <w:name w:val="正文_0_1_0"/>
    <w:next w:val="1151"/>
    <w:link w:val="884"/>
    <w:qFormat/>
    <w:pPr>
      <w:jc w:val="both"/>
      <w:widowControl w:val="off"/>
    </w:pPr>
    <w:rPr>
      <w:sz w:val="21"/>
      <w:szCs w:val="24"/>
      <w:lang w:val="en-US" w:eastAsia="zh-CN" w:bidi="ar-SA"/>
    </w:rPr>
  </w:style>
  <w:style w:type="paragraph" w:styleId="1152">
    <w:name w:val="标准小四"/>
    <w:basedOn w:val="884"/>
    <w:next w:val="1152"/>
    <w:link w:val="884"/>
    <w:pPr>
      <w:ind w:firstLine="200"/>
      <w:spacing w:line="360" w:lineRule="auto"/>
    </w:pPr>
    <w:rPr>
      <w:rFonts w:ascii="Arial" w:hAnsi="Arial"/>
      <w:sz w:val="24"/>
      <w:szCs w:val="21"/>
    </w:rPr>
  </w:style>
  <w:style w:type="paragraph" w:styleId="1153">
    <w:name w:val="图表目录1"/>
    <w:next w:val="1153"/>
    <w:link w:val="884"/>
    <w:pPr>
      <w:ind w:left="840" w:hanging="420"/>
    </w:pPr>
    <w:rPr>
      <w:rFonts w:cs="宋体"/>
      <w:sz w:val="21"/>
      <w:lang w:val="en-US" w:eastAsia="zh-CN" w:bidi="ar-SA"/>
    </w:rPr>
  </w:style>
  <w:style w:type="paragraph" w:styleId="1154">
    <w:name w:val="Normal_18_0"/>
    <w:next w:val="1154"/>
    <w:link w:val="884"/>
    <w:qFormat/>
    <w:rPr>
      <w:rFonts w:ascii="黑体" w:hAnsi="黑体" w:eastAsia="黑体"/>
      <w:b/>
      <w:sz w:val="32"/>
      <w:szCs w:val="24"/>
      <w:lang w:bidi="ar-SA"/>
    </w:rPr>
  </w:style>
  <w:style w:type="paragraph" w:styleId="1155">
    <w:name w:val="a0"/>
    <w:basedOn w:val="884"/>
    <w:next w:val="1155"/>
    <w:link w:val="884"/>
    <w:pPr>
      <w:jc w:val="left"/>
      <w:spacing w:before="100" w:beforeAutospacing="1" w:after="100" w:afterAutospacing="1"/>
      <w:widowControl/>
    </w:pPr>
    <w:rPr>
      <w:rFonts w:ascii="宋体"/>
      <w:sz w:val="24"/>
      <w:szCs w:val="22"/>
    </w:rPr>
  </w:style>
  <w:style w:type="paragraph" w:styleId="1156">
    <w:name w:val="正文（黑体）"/>
    <w:basedOn w:val="884"/>
    <w:next w:val="884"/>
    <w:link w:val="884"/>
    <w:pPr>
      <w:ind w:firstLine="200"/>
      <w:spacing w:before="50" w:after="50" w:line="360" w:lineRule="auto"/>
    </w:pPr>
    <w:rPr>
      <w:rFonts w:ascii="黑体" w:eastAsia="黑体"/>
      <w:color w:val="000080"/>
      <w:sz w:val="24"/>
    </w:rPr>
  </w:style>
  <w:style w:type="paragraph" w:styleId="1157">
    <w:name w:val="正文_14_0"/>
    <w:next w:val="1157"/>
    <w:link w:val="884"/>
    <w:qFormat/>
    <w:pPr>
      <w:jc w:val="both"/>
      <w:widowControl w:val="off"/>
    </w:pPr>
    <w:rPr>
      <w:sz w:val="21"/>
      <w:szCs w:val="22"/>
      <w:lang w:val="en-US" w:eastAsia="zh-CN" w:bidi="ar-SA"/>
    </w:rPr>
  </w:style>
  <w:style w:type="paragraph" w:styleId="1158">
    <w:name w:val="加点正文缩进"/>
    <w:basedOn w:val="884"/>
    <w:next w:val="1158"/>
    <w:link w:val="884"/>
    <w:pPr>
      <w:ind w:left="962" w:hanging="480"/>
      <w:spacing w:line="300" w:lineRule="auto"/>
      <w:tabs>
        <w:tab w:val="left" w:pos="840" w:leader="none"/>
      </w:tabs>
    </w:pPr>
    <w:rPr>
      <w:sz w:val="24"/>
    </w:rPr>
  </w:style>
  <w:style w:type="paragraph" w:styleId="1159">
    <w:name w:val="正文_13_0_0"/>
    <w:next w:val="1159"/>
    <w:link w:val="884"/>
    <w:qFormat/>
    <w:pPr>
      <w:jc w:val="both"/>
      <w:widowControl w:val="off"/>
    </w:pPr>
    <w:rPr>
      <w:sz w:val="21"/>
      <w:szCs w:val="24"/>
      <w:lang w:val="en-US" w:eastAsia="zh-CN" w:bidi="ar-SA"/>
    </w:rPr>
  </w:style>
  <w:style w:type="paragraph" w:styleId="1160">
    <w:name w:val="Normal_1_1"/>
    <w:next w:val="1160"/>
    <w:link w:val="884"/>
    <w:qFormat/>
    <w:rPr>
      <w:rFonts w:ascii="黑体" w:hAnsi="黑体" w:eastAsia="黑体"/>
      <w:b/>
      <w:sz w:val="32"/>
      <w:szCs w:val="24"/>
      <w:lang w:bidi="ar-SA"/>
    </w:rPr>
  </w:style>
  <w:style w:type="paragraph" w:styleId="1161">
    <w:name w:val="技术方案正文样式"/>
    <w:basedOn w:val="884"/>
    <w:next w:val="1161"/>
    <w:link w:val="884"/>
    <w:pPr>
      <w:ind w:firstLine="200"/>
      <w:spacing w:line="400" w:lineRule="exact"/>
    </w:pPr>
    <w:rPr>
      <w:rFonts w:ascii="宋体" w:cs="宋体"/>
      <w:sz w:val="24"/>
      <w:szCs w:val="21"/>
      <w:lang w:bidi="ar-SA"/>
    </w:rPr>
  </w:style>
  <w:style w:type="paragraph" w:styleId="1162">
    <w:name w:val="首页标题 一号"/>
    <w:basedOn w:val="1141"/>
    <w:next w:val="1162"/>
    <w:link w:val="884"/>
    <w:rPr>
      <w:sz w:val="52"/>
    </w:rPr>
  </w:style>
  <w:style w:type="paragraph" w:styleId="1163">
    <w:name w:val="样式 正文2 + 首行缩进:  0 厘米 段后: 1.5 行"/>
    <w:basedOn w:val="884"/>
    <w:next w:val="1163"/>
    <w:link w:val="884"/>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64">
    <w:name w:val="Table Text/Title"/>
    <w:basedOn w:val="884"/>
    <w:next w:val="1164"/>
    <w:link w:val="884"/>
    <w:pPr>
      <w:jc w:val="left"/>
      <w:widowControl/>
    </w:pPr>
    <w:rPr>
      <w:rFonts w:ascii="宋体"/>
      <w:b/>
      <w:bCs/>
      <w:sz w:val="20"/>
      <w:szCs w:val="20"/>
      <w:lang w:eastAsia="en-US"/>
    </w:rPr>
  </w:style>
  <w:style w:type="paragraph" w:styleId="1165">
    <w:name w:val="样式 序号----------- + 仿宋_GB23121"/>
    <w:basedOn w:val="1068"/>
    <w:next w:val="1165"/>
    <w:link w:val="884"/>
    <w:pPr>
      <w:spacing w:line="360" w:lineRule="auto"/>
    </w:pPr>
    <w:rPr>
      <w:rFonts w:ascii="仿宋_GB2312" w:eastAsia="仿宋_GB2312"/>
      <w:bCs w:val="0"/>
    </w:rPr>
  </w:style>
  <w:style w:type="paragraph" w:styleId="1166">
    <w:name w:val="Char Char Char Char1"/>
    <w:basedOn w:val="884"/>
    <w:next w:val="1166"/>
    <w:link w:val="884"/>
    <w:pPr>
      <w:ind w:firstLine="200"/>
      <w:spacing w:line="360" w:lineRule="auto"/>
    </w:pPr>
    <w:rPr>
      <w:sz w:val="24"/>
      <w:szCs w:val="20"/>
    </w:rPr>
  </w:style>
  <w:style w:type="paragraph" w:styleId="1167">
    <w:name w:val="正文_18"/>
    <w:next w:val="1167"/>
    <w:link w:val="884"/>
    <w:qFormat/>
    <w:pPr>
      <w:jc w:val="both"/>
      <w:widowControl w:val="off"/>
    </w:pPr>
    <w:rPr>
      <w:sz w:val="21"/>
      <w:szCs w:val="22"/>
      <w:lang w:val="en-US" w:eastAsia="zh-CN" w:bidi="ar-SA"/>
    </w:rPr>
  </w:style>
  <w:style w:type="paragraph" w:styleId="1168">
    <w:name w:val=" Char1"/>
    <w:basedOn w:val="884"/>
    <w:next w:val="1168"/>
    <w:link w:val="884"/>
    <w:pPr>
      <w:ind w:left="360" w:right="202" w:firstLine="360"/>
      <w:spacing w:line="480" w:lineRule="auto"/>
      <w:tabs>
        <w:tab w:val="left" w:pos="360" w:leader="none"/>
      </w:tabs>
    </w:pPr>
    <w:rPr>
      <w:sz w:val="24"/>
    </w:rPr>
  </w:style>
  <w:style w:type="paragraph" w:styleId="1169">
    <w:name w:val="正文_12"/>
    <w:next w:val="1169"/>
    <w:link w:val="884"/>
    <w:qFormat/>
    <w:pPr>
      <w:jc w:val="both"/>
      <w:widowControl w:val="off"/>
    </w:pPr>
    <w:rPr>
      <w:sz w:val="21"/>
      <w:szCs w:val="24"/>
      <w:lang w:val="en-US" w:eastAsia="zh-CN" w:bidi="ar-SA"/>
    </w:rPr>
  </w:style>
  <w:style w:type="paragraph" w:styleId="1170">
    <w:name w:val="章标题"/>
    <w:next w:val="1083"/>
    <w:link w:val="884"/>
    <w:pPr>
      <w:ind w:left="1320" w:hanging="420"/>
      <w:jc w:val="both"/>
      <w:spacing w:before="50" w:after="50"/>
      <w:tabs>
        <w:tab w:val="left" w:pos="1200" w:leader="none"/>
      </w:tabs>
      <w:outlineLvl w:val="1"/>
    </w:pPr>
    <w:rPr>
      <w:rFonts w:ascii="黑体" w:eastAsia="黑体"/>
      <w:sz w:val="21"/>
      <w:lang w:val="en-US" w:eastAsia="zh-CN" w:bidi="ar-SA"/>
    </w:rPr>
  </w:style>
  <w:style w:type="paragraph" w:styleId="1171">
    <w:name w:val="正文_3"/>
    <w:next w:val="1171"/>
    <w:link w:val="884"/>
    <w:qFormat/>
    <w:pPr>
      <w:jc w:val="both"/>
      <w:widowControl w:val="off"/>
    </w:pPr>
    <w:rPr>
      <w:sz w:val="21"/>
      <w:szCs w:val="24"/>
      <w:lang w:val="en-US" w:eastAsia="zh-CN" w:bidi="ar-SA"/>
    </w:rPr>
  </w:style>
  <w:style w:type="paragraph" w:styleId="1172">
    <w:name w:val="Normal_0_1"/>
    <w:next w:val="1172"/>
    <w:link w:val="884"/>
    <w:qFormat/>
    <w:rPr>
      <w:rFonts w:ascii="黑体" w:hAnsi="黑体" w:eastAsia="黑体"/>
      <w:b/>
      <w:sz w:val="32"/>
      <w:szCs w:val="24"/>
      <w:lang w:bidi="ar-SA"/>
    </w:rPr>
  </w:style>
  <w:style w:type="paragraph" w:styleId="1173">
    <w:name w:val="列表段落"/>
    <w:basedOn w:val="884"/>
    <w:next w:val="1173"/>
    <w:link w:val="884"/>
    <w:uiPriority w:val="34"/>
    <w:qFormat/>
    <w:pPr>
      <w:ind w:firstLine="420"/>
    </w:pPr>
  </w:style>
  <w:style w:type="paragraph" w:styleId="1174">
    <w:name w:val="默认段落字体 Para Char Char Char Char Char Char Char Char Char1 Char Char Char Char Char Char Char Char"/>
    <w:basedOn w:val="911"/>
    <w:next w:val="1174"/>
    <w:link w:val="884"/>
    <w:rPr>
      <w:rFonts w:ascii="Calibri" w:hAnsi="Calibri"/>
      <w:szCs w:val="22"/>
    </w:rPr>
  </w:style>
  <w:style w:type="paragraph" w:styleId="1175">
    <w:name w:val="Normal_7_0"/>
    <w:next w:val="1175"/>
    <w:link w:val="884"/>
    <w:qFormat/>
    <w:rPr>
      <w:rFonts w:ascii="黑体" w:hAnsi="黑体" w:eastAsia="黑体"/>
      <w:b/>
      <w:sz w:val="32"/>
      <w:szCs w:val="24"/>
      <w:lang w:bidi="ar-SA"/>
    </w:rPr>
  </w:style>
  <w:style w:type="paragraph" w:styleId="1176">
    <w:name w:val="Char Char Char Char Char Char Char Char Char Char Char Char Char"/>
    <w:basedOn w:val="884"/>
    <w:next w:val="1176"/>
    <w:link w:val="884"/>
    <w:pPr>
      <w:jc w:val="left"/>
      <w:spacing w:after="160" w:line="240" w:lineRule="exact"/>
      <w:widowControl/>
    </w:pPr>
    <w:rPr>
      <w:rFonts w:ascii="Verdana" w:hAnsi="Verdana"/>
      <w:sz w:val="20"/>
      <w:szCs w:val="20"/>
      <w:lang w:eastAsia="en-US"/>
    </w:rPr>
  </w:style>
  <w:style w:type="paragraph" w:styleId="1177">
    <w:name w:val="正文_1_0_0_0"/>
    <w:next w:val="1177"/>
    <w:link w:val="884"/>
    <w:qFormat/>
    <w:pPr>
      <w:jc w:val="both"/>
      <w:widowControl w:val="off"/>
    </w:pPr>
    <w:rPr>
      <w:sz w:val="21"/>
      <w:lang w:val="en-US" w:eastAsia="zh-CN" w:bidi="ar-SA"/>
    </w:rPr>
  </w:style>
  <w:style w:type="paragraph" w:styleId="1178">
    <w:name w:val="Normal_12_0"/>
    <w:next w:val="1178"/>
    <w:link w:val="884"/>
    <w:qFormat/>
    <w:rPr>
      <w:rFonts w:ascii="黑体" w:hAnsi="黑体" w:eastAsia="黑体"/>
      <w:b/>
      <w:sz w:val="32"/>
      <w:szCs w:val="24"/>
      <w:lang w:bidi="ar-SA"/>
    </w:rPr>
  </w:style>
  <w:style w:type="paragraph" w:styleId="1179">
    <w:name w:val="ul"/>
    <w:basedOn w:val="884"/>
    <w:next w:val="1179"/>
    <w:link w:val="884"/>
    <w:pPr>
      <w:numPr>
        <w:ilvl w:val="0"/>
        <w:numId w:val="3"/>
      </w:numPr>
      <w:ind w:left="567" w:hanging="85"/>
      <w:jc w:val="left"/>
      <w:spacing w:line="360" w:lineRule="auto"/>
      <w:widowControl/>
      <w:tabs>
        <w:tab w:val="left" w:pos="842" w:leader="none"/>
      </w:tabs>
    </w:pPr>
    <w:rPr>
      <w:rFonts w:ascii="Calibri" w:hAnsi="Calibri"/>
      <w:sz w:val="24"/>
      <w:szCs w:val="22"/>
    </w:rPr>
  </w:style>
  <w:style w:type="paragraph" w:styleId="1180">
    <w:name w:val="正文_1_0"/>
    <w:next w:val="1180"/>
    <w:link w:val="884"/>
    <w:qFormat/>
    <w:pPr>
      <w:jc w:val="both"/>
      <w:widowControl w:val="off"/>
    </w:pPr>
    <w:rPr>
      <w:sz w:val="21"/>
      <w:szCs w:val="24"/>
      <w:lang w:val="en-US" w:eastAsia="zh-CN" w:bidi="ar-SA"/>
    </w:rPr>
  </w:style>
  <w:style w:type="paragraph" w:styleId="1181">
    <w:name w:val="表格样式居中"/>
    <w:next w:val="1181"/>
    <w:link w:val="884"/>
    <w:pPr>
      <w:jc w:val="center"/>
    </w:pPr>
    <w:rPr>
      <w:rFonts w:eastAsia="仿宋_GB2312"/>
      <w:bCs/>
      <w:sz w:val="21"/>
      <w:szCs w:val="44"/>
      <w:lang w:val="en-US" w:eastAsia="zh-CN" w:bidi="ar-SA"/>
    </w:rPr>
  </w:style>
  <w:style w:type="paragraph" w:styleId="1182">
    <w:name w:val="Normal_18"/>
    <w:next w:val="1182"/>
    <w:link w:val="884"/>
    <w:qFormat/>
    <w:rPr>
      <w:rFonts w:ascii="黑体" w:hAnsi="黑体" w:eastAsia="黑体"/>
      <w:b/>
      <w:sz w:val="32"/>
      <w:szCs w:val="24"/>
      <w:lang w:bidi="ar-SA"/>
    </w:rPr>
  </w:style>
  <w:style w:type="paragraph" w:styleId="1183">
    <w:name w:val="xl34"/>
    <w:basedOn w:val="884"/>
    <w:next w:val="1183"/>
    <w:link w:val="884"/>
    <w:pPr>
      <w:jc w:val="center"/>
      <w:spacing w:before="100" w:beforeAutospacing="1" w:after="100" w:afterAutospacing="1"/>
      <w:widowControl/>
    </w:pPr>
    <w:rPr>
      <w:rFonts w:ascii="Arial Unicode MS" w:hAnsi="Arial Unicode MS" w:eastAsia="Arial Unicode MS"/>
      <w:sz w:val="24"/>
    </w:rPr>
  </w:style>
  <w:style w:type="paragraph" w:styleId="1184">
    <w:name w:val="Normal_0_3"/>
    <w:next w:val="1184"/>
    <w:link w:val="884"/>
    <w:qFormat/>
    <w:rPr>
      <w:rFonts w:ascii="黑体" w:hAnsi="黑体" w:eastAsia="黑体"/>
      <w:b/>
      <w:sz w:val="32"/>
      <w:szCs w:val="24"/>
      <w:lang w:bidi="ar-SA"/>
    </w:rPr>
  </w:style>
  <w:style w:type="paragraph" w:styleId="1185">
    <w:name w:val="正文_0_0_0_0"/>
    <w:next w:val="1185"/>
    <w:link w:val="884"/>
    <w:qFormat/>
    <w:pPr>
      <w:jc w:val="both"/>
      <w:widowControl w:val="off"/>
    </w:pPr>
    <w:rPr>
      <w:sz w:val="21"/>
      <w:szCs w:val="24"/>
      <w:lang w:val="en-US" w:eastAsia="zh-CN" w:bidi="ar-SA"/>
    </w:rPr>
  </w:style>
  <w:style w:type="paragraph" w:styleId="1186">
    <w:name w:val="修订"/>
    <w:next w:val="1186"/>
    <w:link w:val="884"/>
    <w:rPr>
      <w:sz w:val="21"/>
      <w:szCs w:val="24"/>
      <w:lang w:val="en-US" w:eastAsia="zh-CN" w:bidi="ar-SA"/>
    </w:rPr>
  </w:style>
  <w:style w:type="paragraph" w:styleId="1187">
    <w:name w:val="Char11"/>
    <w:basedOn w:val="884"/>
    <w:next w:val="1187"/>
    <w:link w:val="884"/>
    <w:rPr>
      <w:szCs w:val="21"/>
    </w:rPr>
  </w:style>
  <w:style w:type="paragraph" w:styleId="1188">
    <w:name w:val="编号2"/>
    <w:next w:val="1188"/>
    <w:link w:val="884"/>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89">
    <w:name w:val="Normal_12"/>
    <w:next w:val="1189"/>
    <w:link w:val="884"/>
    <w:qFormat/>
    <w:rPr>
      <w:rFonts w:ascii="黑体" w:hAnsi="黑体" w:eastAsia="黑体"/>
      <w:b/>
      <w:sz w:val="32"/>
      <w:szCs w:val="24"/>
      <w:lang w:bidi="ar-SA"/>
    </w:rPr>
  </w:style>
  <w:style w:type="paragraph" w:styleId="1190">
    <w:name w:val="Normal_8_0"/>
    <w:next w:val="1190"/>
    <w:link w:val="884"/>
    <w:qFormat/>
    <w:rPr>
      <w:rFonts w:ascii="黑体" w:hAnsi="黑体" w:eastAsia="黑体"/>
      <w:b/>
      <w:sz w:val="32"/>
      <w:szCs w:val="24"/>
      <w:lang w:bidi="ar-SA"/>
    </w:rPr>
  </w:style>
  <w:style w:type="paragraph" w:styleId="1191">
    <w:name w:val="文档正文"/>
    <w:basedOn w:val="884"/>
    <w:next w:val="1191"/>
    <w:link w:val="884"/>
    <w:rPr>
      <w:rFonts w:ascii="宋体"/>
      <w:szCs w:val="20"/>
    </w:rPr>
  </w:style>
  <w:style w:type="paragraph" w:styleId="1192">
    <w:name w:val="技术方案正文"/>
    <w:basedOn w:val="884"/>
    <w:next w:val="1192"/>
    <w:link w:val="884"/>
    <w:pPr>
      <w:ind w:firstLine="480"/>
      <w:spacing w:line="360" w:lineRule="auto"/>
    </w:pPr>
    <w:rPr>
      <w:rFonts w:ascii="宋体"/>
      <w:sz w:val="24"/>
      <w:szCs w:val="22"/>
    </w:rPr>
  </w:style>
  <w:style w:type="paragraph" w:styleId="1193">
    <w:name w:val="xl26"/>
    <w:basedOn w:val="884"/>
    <w:next w:val="1193"/>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4">
    <w:name w:val="普通正文"/>
    <w:basedOn w:val="884"/>
    <w:next w:val="1194"/>
    <w:link w:val="884"/>
    <w:pPr>
      <w:ind w:firstLine="425"/>
      <w:jc w:val="left"/>
    </w:pPr>
    <w:rPr>
      <w:rFonts w:ascii="宋体"/>
      <w:sz w:val="20"/>
      <w:szCs w:val="20"/>
    </w:rPr>
  </w:style>
  <w:style w:type="paragraph" w:styleId="1195">
    <w:name w:val="正文_12_0"/>
    <w:next w:val="1195"/>
    <w:link w:val="884"/>
    <w:qFormat/>
    <w:pPr>
      <w:jc w:val="both"/>
      <w:widowControl w:val="off"/>
    </w:pPr>
    <w:rPr>
      <w:sz w:val="21"/>
      <w:szCs w:val="22"/>
      <w:lang w:val="en-US" w:eastAsia="zh-CN" w:bidi="ar-SA"/>
    </w:rPr>
  </w:style>
  <w:style w:type="paragraph" w:styleId="1196">
    <w:name w:val="Normal_0_2"/>
    <w:next w:val="1196"/>
    <w:link w:val="884"/>
    <w:qFormat/>
    <w:rPr>
      <w:rFonts w:ascii="黑体" w:hAnsi="黑体" w:eastAsia="黑体"/>
      <w:b/>
      <w:sz w:val="32"/>
      <w:szCs w:val="24"/>
      <w:lang w:bidi="ar-SA"/>
    </w:rPr>
  </w:style>
  <w:style w:type="paragraph" w:styleId="1197">
    <w:name w:val="xl28"/>
    <w:basedOn w:val="884"/>
    <w:next w:val="1197"/>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8">
    <w:name w:val="正文_4"/>
    <w:next w:val="1198"/>
    <w:link w:val="884"/>
    <w:qFormat/>
    <w:pPr>
      <w:jc w:val="both"/>
      <w:widowControl w:val="off"/>
    </w:pPr>
    <w:rPr>
      <w:sz w:val="21"/>
      <w:szCs w:val="24"/>
      <w:lang w:val="en-US" w:eastAsia="zh-CN" w:bidi="ar-SA"/>
    </w:rPr>
  </w:style>
  <w:style w:type="paragraph" w:styleId="1199">
    <w:name w:val="样式4"/>
    <w:basedOn w:val="887"/>
    <w:next w:val="1199"/>
    <w:link w:val="884"/>
    <w:pPr>
      <w:spacing w:line="415" w:lineRule="auto"/>
    </w:pPr>
    <w:rPr>
      <w:rFonts w:ascii="Calibri" w:hAnsi="Calibri"/>
      <w:bCs/>
      <w:color w:val="000000"/>
      <w:sz w:val="28"/>
      <w:szCs w:val="28"/>
    </w:rPr>
  </w:style>
  <w:style w:type="paragraph" w:styleId="1200">
    <w:name w:val="pa-4"/>
    <w:basedOn w:val="884"/>
    <w:next w:val="1200"/>
    <w:link w:val="884"/>
    <w:pPr>
      <w:jc w:val="center"/>
      <w:spacing w:line="280" w:lineRule="atLeast"/>
      <w:widowControl/>
    </w:pPr>
    <w:rPr>
      <w:rFonts w:ascii="宋体" w:cs="宋体"/>
      <w:sz w:val="24"/>
      <w:lang w:bidi="ar-SA"/>
    </w:rPr>
  </w:style>
  <w:style w:type="paragraph" w:styleId="1201">
    <w:name w:val="Normal_1"/>
    <w:next w:val="1201"/>
    <w:link w:val="884"/>
    <w:qFormat/>
    <w:rPr>
      <w:rFonts w:ascii="黑体" w:hAnsi="黑体" w:eastAsia="黑体"/>
      <w:b/>
      <w:sz w:val="32"/>
      <w:szCs w:val="24"/>
      <w:lang w:bidi="ar-SA"/>
    </w:rPr>
  </w:style>
  <w:style w:type="paragraph" w:styleId="1202">
    <w:name w:val="标书3"/>
    <w:next w:val="1102"/>
    <w:link w:val="884"/>
    <w:pPr>
      <w:jc w:val="center"/>
      <w:widowControl w:val="off"/>
    </w:pPr>
    <w:rPr>
      <w:rFonts w:eastAsia="黑体"/>
      <w:b/>
      <w:sz w:val="44"/>
      <w:szCs w:val="24"/>
      <w:lang w:val="en-US" w:eastAsia="zh-CN" w:bidi="ar-SA"/>
    </w:rPr>
  </w:style>
  <w:style w:type="paragraph" w:styleId="1203">
    <w:name w:val="Char"/>
    <w:basedOn w:val="884"/>
    <w:next w:val="1203"/>
    <w:link w:val="884"/>
    <w:pPr>
      <w:tabs>
        <w:tab w:val="left" w:pos="360" w:leader="none"/>
      </w:tabs>
    </w:pPr>
    <w:rPr>
      <w:rFonts w:ascii="仿宋_GB2312" w:eastAsia="仿宋_GB2312"/>
      <w:b/>
      <w:sz w:val="24"/>
    </w:rPr>
  </w:style>
  <w:style w:type="paragraph" w:styleId="1204">
    <w:name w:val="正文_0_2"/>
    <w:next w:val="1204"/>
    <w:link w:val="884"/>
    <w:qFormat/>
    <w:pPr>
      <w:jc w:val="both"/>
      <w:widowControl w:val="off"/>
    </w:pPr>
    <w:rPr>
      <w:sz w:val="21"/>
      <w:szCs w:val="24"/>
      <w:lang w:val="en-US" w:eastAsia="zh-CN" w:bidi="ar-SA"/>
    </w:rPr>
  </w:style>
  <w:style w:type="paragraph" w:styleId="1205">
    <w:name w:val="正文（首行缩进两字）"/>
    <w:basedOn w:val="884"/>
    <w:next w:val="1205"/>
    <w:link w:val="884"/>
    <w:pPr>
      <w:spacing w:line="312" w:lineRule="auto"/>
    </w:pPr>
    <w:rPr>
      <w:rFonts w:ascii="宋体" w:cs="宋体"/>
      <w:sz w:val="24"/>
      <w:szCs w:val="22"/>
      <w:lang w:bidi="ar-SA"/>
    </w:rPr>
  </w:style>
  <w:style w:type="paragraph" w:styleId="1206">
    <w:name w:val="首页标题"/>
    <w:next w:val="1206"/>
    <w:link w:val="884"/>
    <w:pPr>
      <w:jc w:val="center"/>
    </w:pPr>
    <w:rPr>
      <w:rFonts w:ascii="宋体" w:cs="宋体"/>
      <w:sz w:val="72"/>
      <w:szCs w:val="72"/>
      <w:lang w:val="en-US" w:eastAsia="zh-CN" w:bidi="ar-SA"/>
    </w:rPr>
  </w:style>
  <w:style w:type="paragraph" w:styleId="1207">
    <w:name w:val="正文_14_0_0"/>
    <w:next w:val="1207"/>
    <w:link w:val="884"/>
    <w:qFormat/>
    <w:pPr>
      <w:jc w:val="both"/>
      <w:widowControl w:val="off"/>
    </w:pPr>
    <w:rPr>
      <w:sz w:val="21"/>
      <w:szCs w:val="24"/>
      <w:lang w:val="en-US" w:eastAsia="zh-CN" w:bidi="ar-SA"/>
    </w:rPr>
  </w:style>
  <w:style w:type="paragraph" w:styleId="1208">
    <w:name w:val="正文_11_0"/>
    <w:next w:val="1208"/>
    <w:link w:val="884"/>
    <w:qFormat/>
    <w:pPr>
      <w:jc w:val="both"/>
      <w:widowControl w:val="off"/>
    </w:pPr>
    <w:rPr>
      <w:sz w:val="21"/>
      <w:szCs w:val="22"/>
      <w:lang w:val="en-US" w:eastAsia="zh-CN" w:bidi="ar-SA"/>
    </w:rPr>
  </w:style>
  <w:style w:type="paragraph" w:styleId="1209">
    <w:name w:val="pa-3"/>
    <w:basedOn w:val="884"/>
    <w:next w:val="1209"/>
    <w:link w:val="884"/>
    <w:pPr>
      <w:jc w:val="left"/>
      <w:spacing w:before="150" w:after="150"/>
      <w:widowControl/>
    </w:pPr>
    <w:rPr>
      <w:rFonts w:ascii="宋体" w:cs="宋体"/>
      <w:sz w:val="24"/>
      <w:lang w:bidi="ar-SA"/>
    </w:rPr>
  </w:style>
  <w:style w:type="paragraph" w:styleId="1210">
    <w:name w:val="图号"/>
    <w:basedOn w:val="884"/>
    <w:next w:val="1210"/>
    <w:link w:val="884"/>
    <w:pPr>
      <w:jc w:val="center"/>
      <w:keepNext/>
      <w:spacing w:before="105" w:line="360" w:lineRule="auto"/>
      <w:tabs>
        <w:tab w:val="left" w:pos="0" w:leader="none"/>
        <w:tab w:val="left" w:pos="3360" w:leader="none"/>
      </w:tabs>
    </w:pPr>
    <w:rPr>
      <w:rFonts w:ascii="Arial" w:hAnsi="Arial"/>
      <w:sz w:val="18"/>
      <w:szCs w:val="18"/>
    </w:rPr>
  </w:style>
  <w:style w:type="paragraph" w:styleId="1211">
    <w:name w:val="Normal_10_0"/>
    <w:next w:val="1211"/>
    <w:link w:val="884"/>
    <w:qFormat/>
    <w:rPr>
      <w:rFonts w:ascii="黑体" w:hAnsi="黑体" w:eastAsia="黑体"/>
      <w:b/>
      <w:sz w:val="32"/>
      <w:szCs w:val="24"/>
      <w:lang w:bidi="ar-SA"/>
    </w:rPr>
  </w:style>
  <w:style w:type="paragraph" w:styleId="1212">
    <w:name w:val="Normal_6"/>
    <w:next w:val="1212"/>
    <w:link w:val="884"/>
    <w:qFormat/>
    <w:rPr>
      <w:rFonts w:ascii="黑体" w:hAnsi="黑体" w:eastAsia="黑体"/>
      <w:b/>
      <w:sz w:val="32"/>
      <w:szCs w:val="24"/>
      <w:lang w:bidi="ar-SA"/>
    </w:rPr>
  </w:style>
  <w:style w:type="paragraph" w:styleId="1213">
    <w:name w:val=" Char Char Char Char"/>
    <w:basedOn w:val="884"/>
    <w:next w:val="1213"/>
    <w:link w:val="884"/>
    <w:pPr>
      <w:ind w:left="560" w:firstLine="200"/>
      <w:jc w:val="left"/>
      <w:spacing w:after="120" w:line="360" w:lineRule="auto"/>
      <w:widowControl/>
    </w:pPr>
    <w:rPr>
      <w:rFonts w:ascii="Verdana" w:hAnsi="Verdana"/>
      <w:sz w:val="24"/>
      <w:szCs w:val="22"/>
    </w:rPr>
  </w:style>
  <w:style w:type="paragraph" w:styleId="1214">
    <w:name w:val="font9"/>
    <w:basedOn w:val="884"/>
    <w:next w:val="1214"/>
    <w:link w:val="884"/>
    <w:pPr>
      <w:jc w:val="left"/>
      <w:spacing w:before="100" w:beforeAutospacing="1" w:after="100" w:afterAutospacing="1"/>
      <w:widowControl/>
    </w:pPr>
    <w:rPr>
      <w:rFonts w:ascii="宋体"/>
      <w:color w:val="000000"/>
      <w:sz w:val="18"/>
      <w:szCs w:val="18"/>
    </w:rPr>
  </w:style>
  <w:style w:type="paragraph" w:styleId="1215">
    <w:name w:val="Body Text First Indent 21"/>
    <w:basedOn w:val="917"/>
    <w:next w:val="1215"/>
    <w:link w:val="884"/>
    <w:uiPriority w:val="99"/>
    <w:qFormat/>
    <w:pPr>
      <w:ind w:firstLine="420"/>
    </w:pPr>
  </w:style>
  <w:style w:type="paragraph" w:styleId="1216">
    <w:name w:val="CM17"/>
    <w:basedOn w:val="884"/>
    <w:next w:val="884"/>
    <w:link w:val="884"/>
    <w:pPr>
      <w:jc w:val="left"/>
      <w:spacing w:after="273" w:line="360" w:lineRule="auto"/>
    </w:pPr>
    <w:rPr>
      <w:rFonts w:ascii="宋体"/>
      <w:sz w:val="24"/>
    </w:rPr>
  </w:style>
  <w:style w:type="paragraph" w:styleId="1217">
    <w:name w:val="pa-0"/>
    <w:basedOn w:val="884"/>
    <w:next w:val="1217"/>
    <w:link w:val="884"/>
    <w:pPr>
      <w:ind w:firstLine="480"/>
      <w:spacing w:line="360" w:lineRule="atLeast"/>
      <w:widowControl/>
    </w:pPr>
    <w:rPr>
      <w:rFonts w:ascii="宋体" w:cs="宋体"/>
      <w:sz w:val="24"/>
      <w:lang w:bidi="ar-SA"/>
    </w:rPr>
  </w:style>
  <w:style w:type="paragraph" w:styleId="1218">
    <w:name w:val="正文_9"/>
    <w:next w:val="1218"/>
    <w:link w:val="884"/>
    <w:qFormat/>
    <w:pPr>
      <w:jc w:val="both"/>
      <w:widowControl w:val="off"/>
    </w:pPr>
    <w:rPr>
      <w:sz w:val="21"/>
      <w:szCs w:val="24"/>
      <w:lang w:val="en-US" w:eastAsia="zh-CN" w:bidi="ar-SA"/>
    </w:rPr>
  </w:style>
  <w:style w:type="paragraph" w:styleId="1219">
    <w:name w:val="D&amp;L"/>
    <w:basedOn w:val="935"/>
    <w:next w:val="1219"/>
    <w:link w:val="884"/>
    <w:pPr>
      <w:spacing w:line="240" w:lineRule="atLeast"/>
      <w:tabs>
        <w:tab w:val="center" w:pos="4153" w:leader="none"/>
        <w:tab w:val="right" w:pos="8306" w:leader="none"/>
      </w:tabs>
      <w:pBdr>
        <w:bottom w:val="single" w:color="000000" w:sz="18" w:space="1"/>
      </w:pBdr>
    </w:pPr>
    <w:rPr>
      <w:sz w:val="24"/>
      <w:szCs w:val="20"/>
    </w:rPr>
  </w:style>
  <w:style w:type="paragraph" w:styleId="1220">
    <w:name w:val="Normal_16"/>
    <w:next w:val="1220"/>
    <w:link w:val="884"/>
    <w:qFormat/>
    <w:rPr>
      <w:rFonts w:ascii="黑体" w:hAnsi="黑体" w:eastAsia="黑体"/>
      <w:b/>
      <w:sz w:val="32"/>
      <w:szCs w:val="24"/>
      <w:lang w:bidi="ar-SA"/>
    </w:rPr>
  </w:style>
  <w:style w:type="paragraph" w:styleId="1221">
    <w:name w:val="正文_6_0_0_0_0"/>
    <w:next w:val="1221"/>
    <w:link w:val="884"/>
    <w:qFormat/>
    <w:pPr>
      <w:jc w:val="both"/>
      <w:widowControl w:val="off"/>
    </w:pPr>
    <w:rPr>
      <w:sz w:val="21"/>
      <w:szCs w:val="22"/>
      <w:lang w:val="en-US" w:eastAsia="zh-CN" w:bidi="ar-SA"/>
    </w:rPr>
  </w:style>
  <w:style w:type="paragraph" w:styleId="1222">
    <w:name w:val="font5"/>
    <w:basedOn w:val="884"/>
    <w:next w:val="1222"/>
    <w:link w:val="884"/>
    <w:pPr>
      <w:jc w:val="left"/>
      <w:spacing w:before="100" w:beforeAutospacing="1" w:after="100" w:afterAutospacing="1"/>
      <w:widowControl/>
    </w:pPr>
    <w:rPr>
      <w:rFonts w:ascii="宋体"/>
      <w:sz w:val="18"/>
      <w:szCs w:val="18"/>
    </w:rPr>
  </w:style>
  <w:style w:type="paragraph" w:styleId="1223">
    <w:name w:val="正文_6_0"/>
    <w:next w:val="1223"/>
    <w:link w:val="884"/>
    <w:qFormat/>
    <w:pPr>
      <w:jc w:val="both"/>
      <w:widowControl w:val="off"/>
    </w:pPr>
    <w:rPr>
      <w:sz w:val="21"/>
      <w:szCs w:val="22"/>
      <w:lang w:val="en-US" w:eastAsia="zh-CN" w:bidi="ar-SA"/>
    </w:rPr>
  </w:style>
  <w:style w:type="paragraph" w:styleId="1224">
    <w:name w:val="大汉方案正文 Char"/>
    <w:basedOn w:val="884"/>
    <w:next w:val="1224"/>
    <w:link w:val="884"/>
    <w:pPr>
      <w:ind w:firstLine="200"/>
      <w:spacing w:line="360" w:lineRule="auto"/>
    </w:pPr>
    <w:rPr>
      <w:rFonts w:ascii="Arial" w:hAnsi="Arial"/>
      <w:sz w:val="24"/>
      <w:szCs w:val="22"/>
    </w:rPr>
  </w:style>
  <w:style w:type="paragraph" w:styleId="1225">
    <w:name w:val="样式2"/>
    <w:basedOn w:val="887"/>
    <w:next w:val="1225"/>
    <w:link w:val="884"/>
    <w:pPr>
      <w:spacing w:line="415" w:lineRule="auto"/>
    </w:pPr>
    <w:rPr>
      <w:rFonts w:ascii="Calibri" w:hAnsi="Calibri"/>
      <w:bCs/>
      <w:color w:val="000000"/>
      <w:sz w:val="28"/>
      <w:szCs w:val="28"/>
    </w:rPr>
  </w:style>
  <w:style w:type="paragraph" w:styleId="1226">
    <w:name w:val="Normal_2_0"/>
    <w:next w:val="1226"/>
    <w:link w:val="884"/>
    <w:qFormat/>
    <w:rPr>
      <w:rFonts w:ascii="黑体" w:hAnsi="黑体" w:eastAsia="黑体"/>
      <w:b/>
      <w:sz w:val="32"/>
      <w:szCs w:val="24"/>
      <w:lang w:bidi="ar-SA"/>
    </w:rPr>
  </w:style>
  <w:style w:type="paragraph" w:styleId="1227">
    <w:name w:val="序号"/>
    <w:next w:val="884"/>
    <w:link w:val="884"/>
    <w:pPr>
      <w:jc w:val="center"/>
    </w:pPr>
    <w:rPr>
      <w:rFonts w:eastAsia="仿宋_GB2312"/>
      <w:bCs/>
      <w:sz w:val="21"/>
      <w:szCs w:val="44"/>
      <w:lang w:val="en-US" w:eastAsia="zh-CN" w:bidi="ar-SA"/>
    </w:rPr>
  </w:style>
  <w:style w:type="paragraph" w:styleId="1228">
    <w:name w:val="Normal_4"/>
    <w:next w:val="1228"/>
    <w:link w:val="884"/>
    <w:qFormat/>
    <w:rPr>
      <w:rFonts w:ascii="黑体" w:hAnsi="黑体" w:eastAsia="黑体"/>
      <w:b/>
      <w:sz w:val="32"/>
      <w:szCs w:val="24"/>
      <w:lang w:bidi="ar-SA"/>
    </w:rPr>
  </w:style>
  <w:style w:type="paragraph" w:styleId="1229">
    <w:name w:val="xl35"/>
    <w:basedOn w:val="884"/>
    <w:next w:val="1229"/>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name w:val="txt"/>
    <w:basedOn w:val="884"/>
    <w:next w:val="1230"/>
    <w:link w:val="884"/>
    <w:pPr>
      <w:jc w:val="left"/>
      <w:spacing w:before="100" w:beforeAutospacing="1" w:after="100" w:afterAutospacing="1"/>
      <w:widowControl/>
    </w:pPr>
    <w:rPr>
      <w:rFonts w:ascii="宋体" w:cs="宋体"/>
      <w:sz w:val="24"/>
      <w:lang w:bidi="ar-SA"/>
    </w:rPr>
  </w:style>
  <w:style w:type="paragraph" w:styleId="1231">
    <w:name w:val="样式5"/>
    <w:basedOn w:val="887"/>
    <w:next w:val="1231"/>
    <w:link w:val="884"/>
    <w:pPr>
      <w:spacing w:line="415" w:lineRule="auto"/>
    </w:pPr>
    <w:rPr>
      <w:rFonts w:ascii="Calibri" w:hAnsi="Calibri"/>
      <w:bCs/>
      <w:color w:val="000000"/>
      <w:sz w:val="28"/>
      <w:szCs w:val="28"/>
    </w:rPr>
  </w:style>
  <w:style w:type="paragraph" w:styleId="1232">
    <w:name w:val="font7"/>
    <w:basedOn w:val="884"/>
    <w:next w:val="1232"/>
    <w:link w:val="884"/>
    <w:pPr>
      <w:jc w:val="left"/>
      <w:spacing w:before="100" w:beforeAutospacing="1" w:after="100" w:afterAutospacing="1"/>
      <w:widowControl/>
    </w:pPr>
    <w:rPr>
      <w:rFonts w:ascii="宋体"/>
      <w:sz w:val="20"/>
      <w:szCs w:val="20"/>
    </w:rPr>
  </w:style>
  <w:style w:type="paragraph" w:styleId="1233">
    <w:name w:val="正文_4_1"/>
    <w:next w:val="1233"/>
    <w:link w:val="884"/>
    <w:qFormat/>
    <w:pPr>
      <w:jc w:val="both"/>
      <w:widowControl w:val="off"/>
    </w:pPr>
    <w:rPr>
      <w:sz w:val="21"/>
      <w:szCs w:val="22"/>
      <w:lang w:val="en-US" w:eastAsia="zh-CN" w:bidi="ar-SA"/>
    </w:rPr>
  </w:style>
  <w:style w:type="paragraph" w:styleId="1234">
    <w:name w:val="xl37"/>
    <w:basedOn w:val="884"/>
    <w:next w:val="1234"/>
    <w:link w:val="884"/>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5">
    <w:name w:val="编号"/>
    <w:basedOn w:val="884"/>
    <w:next w:val="1102"/>
    <w:link w:val="884"/>
    <w:pPr>
      <w:ind w:left="420" w:right="-136" w:hanging="420"/>
      <w:widowControl/>
      <w:tabs>
        <w:tab w:val="left" w:pos="420" w:leader="none"/>
      </w:tabs>
    </w:pPr>
    <w:rPr>
      <w:rFonts w:ascii="仿宋_GB2312" w:eastAsia="仿宋_GB2312"/>
      <w:b/>
      <w:bCs/>
      <w:sz w:val="24"/>
      <w:szCs w:val="21"/>
    </w:rPr>
  </w:style>
  <w:style w:type="paragraph" w:styleId="1236">
    <w:name w:val="TOC 标题"/>
    <w:basedOn w:val="885"/>
    <w:next w:val="884"/>
    <w:link w:val="884"/>
    <w:qFormat/>
    <w:pPr>
      <w:spacing w:before="480" w:after="0" w:line="276" w:lineRule="auto"/>
      <w:widowControl/>
      <w:outlineLvl w:val="9"/>
    </w:pPr>
    <w:rPr>
      <w:rFonts w:ascii="Cambria" w:hAnsi="Cambria"/>
      <w:color w:val="365f91"/>
      <w:sz w:val="28"/>
    </w:rPr>
  </w:style>
  <w:style w:type="paragraph" w:styleId="1237">
    <w:name w:val="Sourcetext bullet"/>
    <w:basedOn w:val="884"/>
    <w:next w:val="1237"/>
    <w:link w:val="884"/>
    <w:pPr>
      <w:ind w:left="2160" w:hanging="360"/>
      <w:jc w:val="left"/>
      <w:spacing w:after="120"/>
      <w:widowControl/>
      <w:tabs>
        <w:tab w:val="left" w:pos="360" w:leader="none"/>
      </w:tabs>
    </w:pPr>
    <w:rPr>
      <w:rFonts w:ascii="Book Antiqua" w:hAnsi="Book Antiqua"/>
      <w:sz w:val="20"/>
      <w:szCs w:val="20"/>
      <w:lang w:eastAsia="en-US"/>
    </w:rPr>
  </w:style>
  <w:style w:type="paragraph" w:styleId="1238">
    <w:name w:val="xl40"/>
    <w:basedOn w:val="884"/>
    <w:next w:val="1238"/>
    <w:link w:val="884"/>
    <w:pPr>
      <w:jc w:val="left"/>
      <w:spacing w:before="100" w:beforeAutospacing="1" w:after="100" w:afterAutospacing="1"/>
      <w:widowControl/>
      <w:pBdr>
        <w:right w:val="single" w:color="000000" w:sz="4" w:space="0"/>
      </w:pBdr>
    </w:pPr>
    <w:rPr>
      <w:rFonts w:ascii="Arial Unicode MS" w:hAnsi="Arial Unicode MS"/>
      <w:sz w:val="24"/>
    </w:rPr>
  </w:style>
  <w:style w:type="paragraph" w:styleId="1239">
    <w:name w:val="font8"/>
    <w:basedOn w:val="884"/>
    <w:next w:val="1239"/>
    <w:link w:val="884"/>
    <w:pPr>
      <w:jc w:val="left"/>
      <w:spacing w:before="100" w:beforeAutospacing="1" w:after="100" w:afterAutospacing="1"/>
      <w:widowControl/>
    </w:pPr>
    <w:rPr>
      <w:rFonts w:ascii="Arial" w:hAnsi="Arial" w:cs="Arial"/>
      <w:color w:val="000000"/>
      <w:sz w:val="18"/>
      <w:szCs w:val="18"/>
      <w:lang w:bidi="ar-SA"/>
    </w:rPr>
  </w:style>
  <w:style w:type="paragraph" w:styleId="1240">
    <w:name w:val="Char Char Char Char Char Char Char Char Char Char1"/>
    <w:basedOn w:val="884"/>
    <w:next w:val="1240"/>
    <w:link w:val="884"/>
    <w:rPr>
      <w:rFonts w:ascii="Tahoma" w:hAnsi="Tahoma" w:cs="Tahoma"/>
      <w:sz w:val="24"/>
      <w:lang w:bidi="ar-SA"/>
    </w:rPr>
  </w:style>
  <w:style w:type="paragraph" w:styleId="1241">
    <w:name w:val=" Char Char Char Char Char Char Char"/>
    <w:basedOn w:val="884"/>
    <w:next w:val="1241"/>
    <w:link w:val="884"/>
    <w:pPr>
      <w:jc w:val="left"/>
      <w:spacing w:after="160" w:line="240" w:lineRule="exact"/>
      <w:widowControl/>
    </w:pPr>
    <w:rPr>
      <w:rFonts w:ascii="Verdana" w:hAnsi="Verdana"/>
      <w:sz w:val="20"/>
      <w:szCs w:val="20"/>
      <w:lang w:eastAsia="en-US"/>
    </w:rPr>
  </w:style>
  <w:style w:type="paragraph" w:styleId="1242">
    <w:name w:val="xl31"/>
    <w:basedOn w:val="884"/>
    <w:next w:val="1242"/>
    <w:link w:val="884"/>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3">
    <w:name w:val="正文_14"/>
    <w:next w:val="1243"/>
    <w:link w:val="884"/>
    <w:qFormat/>
    <w:pPr>
      <w:jc w:val="both"/>
      <w:widowControl w:val="off"/>
    </w:pPr>
    <w:rPr>
      <w:sz w:val="21"/>
      <w:szCs w:val="22"/>
      <w:lang w:val="en-US" w:eastAsia="zh-CN" w:bidi="ar-SA"/>
    </w:rPr>
  </w:style>
  <w:style w:type="paragraph" w:styleId="1244">
    <w:name w:val="Normal_11"/>
    <w:next w:val="1244"/>
    <w:link w:val="884"/>
    <w:qFormat/>
    <w:rPr>
      <w:rFonts w:ascii="黑体" w:hAnsi="黑体" w:eastAsia="黑体"/>
      <w:b/>
      <w:sz w:val="32"/>
      <w:szCs w:val="24"/>
      <w:lang w:bidi="ar-SA"/>
    </w:rPr>
  </w:style>
  <w:style w:type="paragraph" w:styleId="1245">
    <w:name w:val="Char12"/>
    <w:basedOn w:val="884"/>
    <w:next w:val="1245"/>
    <w:link w:val="884"/>
    <w:pPr>
      <w:ind w:left="360" w:right="202" w:firstLine="360"/>
      <w:spacing w:line="480" w:lineRule="auto"/>
      <w:tabs>
        <w:tab w:val="left" w:pos="360" w:leader="none"/>
      </w:tabs>
    </w:pPr>
    <w:rPr>
      <w:sz w:val="24"/>
    </w:rPr>
  </w:style>
  <w:style w:type="paragraph" w:styleId="1246">
    <w:name w:val="英文音标"/>
    <w:next w:val="1246"/>
    <w:link w:val="884"/>
    <w:rPr>
      <w:rFonts w:ascii="Kingsoft Phonetic Plain" w:hAnsi="Kingsoft Phonetic Plain" w:eastAsia="Kingsoft Phonetic Plain"/>
      <w:sz w:val="24"/>
      <w:szCs w:val="24"/>
      <w:lang w:val="en-US" w:eastAsia="zh-CN" w:bidi="ar-SA"/>
    </w:rPr>
  </w:style>
  <w:style w:type="paragraph" w:styleId="1247">
    <w:name w:val="xl30"/>
    <w:basedOn w:val="884"/>
    <w:next w:val="1247"/>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8">
    <w:name w:val="正文_11_1"/>
    <w:next w:val="1248"/>
    <w:link w:val="884"/>
    <w:qFormat/>
    <w:pPr>
      <w:jc w:val="both"/>
      <w:widowControl w:val="off"/>
    </w:pPr>
    <w:rPr>
      <w:sz w:val="21"/>
      <w:szCs w:val="22"/>
      <w:lang w:val="en-US" w:eastAsia="zh-CN" w:bidi="ar-SA"/>
    </w:rPr>
  </w:style>
  <w:style w:type="paragraph" w:styleId="1249">
    <w:name w:val="style42"/>
    <w:basedOn w:val="884"/>
    <w:next w:val="1249"/>
    <w:link w:val="884"/>
    <w:pPr>
      <w:jc w:val="left"/>
      <w:spacing w:before="100" w:beforeAutospacing="1" w:after="100" w:afterAutospacing="1"/>
      <w:widowControl/>
    </w:pPr>
    <w:rPr>
      <w:rFonts w:ascii="宋体" w:cs="宋体"/>
      <w:color w:val="000000"/>
      <w:sz w:val="15"/>
      <w:szCs w:val="15"/>
      <w:lang w:bidi="ar-SA"/>
    </w:rPr>
  </w:style>
  <w:style w:type="paragraph" w:styleId="1250">
    <w:name w:val="样式 标题 2 + Times New Roman 四号 非加粗 段前: 5 磅 段后: 0 磅 行距: 固定值 20..."/>
    <w:basedOn w:val="886"/>
    <w:next w:val="1250"/>
    <w:link w:val="884"/>
    <w:pPr>
      <w:spacing w:before="100" w:after="0" w:line="400" w:lineRule="exact"/>
    </w:pPr>
    <w:rPr>
      <w:rFonts w:ascii="Times New Roman" w:hAnsi="Times New Roman" w:cs="宋体"/>
      <w:b w:val="0"/>
      <w:sz w:val="28"/>
      <w:szCs w:val="20"/>
    </w:rPr>
  </w:style>
  <w:style w:type="paragraph" w:styleId="1251">
    <w:name w:val="font6"/>
    <w:basedOn w:val="884"/>
    <w:next w:val="1251"/>
    <w:link w:val="884"/>
    <w:pPr>
      <w:jc w:val="left"/>
      <w:spacing w:before="100" w:beforeAutospacing="1" w:after="100" w:afterAutospacing="1"/>
      <w:widowControl/>
    </w:pPr>
    <w:rPr>
      <w:sz w:val="20"/>
      <w:szCs w:val="20"/>
    </w:rPr>
  </w:style>
  <w:style w:type="paragraph" w:styleId="1252">
    <w:name w:val="样式 正文首行缩进 + 宋体 首行缩进:  0.74 厘米"/>
    <w:basedOn w:val="956"/>
    <w:next w:val="1252"/>
    <w:link w:val="884"/>
    <w:pPr>
      <w:ind w:firstLine="210"/>
      <w:spacing w:before="120" w:after="0" w:line="380" w:lineRule="exact"/>
    </w:pPr>
    <w:rPr>
      <w:rFonts w:ascii="宋体" w:cs="宋体"/>
      <w:sz w:val="24"/>
      <w:szCs w:val="20"/>
      <w:lang w:bidi="ar-SA"/>
    </w:rPr>
  </w:style>
  <w:style w:type="paragraph" w:styleId="1253">
    <w:name w:val="正文_7_0"/>
    <w:next w:val="1253"/>
    <w:link w:val="884"/>
    <w:qFormat/>
    <w:pPr>
      <w:jc w:val="both"/>
      <w:widowControl w:val="off"/>
    </w:pPr>
    <w:rPr>
      <w:sz w:val="21"/>
      <w:szCs w:val="22"/>
      <w:lang w:val="en-US" w:eastAsia="zh-CN" w:bidi="ar-SA"/>
    </w:rPr>
  </w:style>
  <w:style w:type="paragraph" w:styleId="1254">
    <w:name w:val="Normal_17_0"/>
    <w:next w:val="1254"/>
    <w:link w:val="884"/>
    <w:qFormat/>
    <w:rPr>
      <w:rFonts w:ascii="黑体" w:hAnsi="黑体" w:eastAsia="黑体"/>
      <w:b/>
      <w:sz w:val="32"/>
      <w:szCs w:val="24"/>
      <w:lang w:bidi="ar-SA"/>
    </w:rPr>
  </w:style>
  <w:style w:type="paragraph" w:styleId="1255">
    <w:name w:val="Char Char Char Char Char Char Char Char Char Char2"/>
    <w:basedOn w:val="884"/>
    <w:next w:val="1255"/>
    <w:link w:val="884"/>
    <w:rPr>
      <w:rFonts w:ascii="Tahoma" w:hAnsi="Tahoma"/>
      <w:sz w:val="24"/>
      <w:szCs w:val="20"/>
    </w:rPr>
  </w:style>
  <w:style w:type="paragraph" w:styleId="1256">
    <w:name w:val="一级缩进"/>
    <w:next w:val="1256"/>
    <w:link w:val="884"/>
    <w:pPr>
      <w:jc w:val="both"/>
      <w:spacing w:before="120" w:after="120" w:line="360" w:lineRule="auto"/>
      <w:tabs>
        <w:tab w:val="left" w:pos="0" w:leader="none"/>
        <w:tab w:val="left" w:pos="568" w:leader="none"/>
      </w:tabs>
    </w:pPr>
    <w:rPr>
      <w:rFonts w:eastAsia="仿宋_GB2312"/>
      <w:sz w:val="24"/>
      <w:szCs w:val="24"/>
      <w:lang w:val="en-US" w:eastAsia="zh-CN" w:bidi="ar-SA"/>
    </w:rPr>
  </w:style>
  <w:style w:type="paragraph" w:styleId="1257">
    <w:name w:val="编号3"/>
    <w:next w:val="1257"/>
    <w:link w:val="884"/>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258">
    <w:name w:val="Char Char Char Char Char Char Char1 Char"/>
    <w:basedOn w:val="884"/>
    <w:next w:val="1258"/>
    <w:link w:val="884"/>
    <w:rPr>
      <w:rFonts w:ascii="Tahoma" w:hAnsi="Tahoma"/>
      <w:sz w:val="24"/>
      <w:szCs w:val="20"/>
    </w:rPr>
  </w:style>
  <w:style w:type="paragraph" w:styleId="1259">
    <w:name w:val="Char Char1 Char Char Char Char Char Char"/>
    <w:basedOn w:val="884"/>
    <w:next w:val="1259"/>
    <w:link w:val="884"/>
    <w:pPr>
      <w:jc w:val="center"/>
      <w:widowControl/>
    </w:pPr>
    <w:rPr>
      <w:szCs w:val="20"/>
    </w:rPr>
  </w:style>
  <w:style w:type="paragraph" w:styleId="1260">
    <w:name w:val="Normal Paragraph Char"/>
    <w:basedOn w:val="884"/>
    <w:next w:val="1260"/>
    <w:link w:val="884"/>
    <w:pPr>
      <w:ind w:firstLine="425"/>
      <w:spacing w:before="120" w:line="360" w:lineRule="auto"/>
      <w:widowControl/>
    </w:pPr>
    <w:rPr>
      <w:rFonts w:ascii="Calibri" w:hAnsi="Calibri"/>
      <w:sz w:val="24"/>
      <w:szCs w:val="22"/>
    </w:rPr>
  </w:style>
  <w:style w:type="paragraph" w:styleId="1261">
    <w:name w:val=" Char Char Char Char Char Char Char Char Char Char Char Char Char"/>
    <w:basedOn w:val="884"/>
    <w:next w:val="1261"/>
    <w:link w:val="884"/>
    <w:pPr>
      <w:jc w:val="left"/>
      <w:spacing w:after="160" w:line="240" w:lineRule="exact"/>
      <w:widowControl/>
    </w:pPr>
    <w:rPr>
      <w:rFonts w:ascii="Arial" w:hAnsi="Arial" w:eastAsia="Times New Roman" w:cs="Verdana"/>
      <w:b/>
      <w:sz w:val="24"/>
      <w:szCs w:val="32"/>
      <w:lang w:eastAsia="en-US" w:bidi="ar-SA"/>
    </w:rPr>
  </w:style>
  <w:style w:type="paragraph" w:styleId="1262">
    <w:name w:val="默认段落字体 Para Char"/>
    <w:basedOn w:val="884"/>
    <w:next w:val="1262"/>
    <w:link w:val="884"/>
    <w:rPr>
      <w:rFonts w:ascii="宋体"/>
      <w:b/>
      <w:sz w:val="28"/>
      <w:szCs w:val="28"/>
    </w:rPr>
  </w:style>
  <w:style w:type="paragraph" w:styleId="1263">
    <w:name w:val="正文_0"/>
    <w:next w:val="1263"/>
    <w:link w:val="884"/>
    <w:qFormat/>
    <w:pPr>
      <w:jc w:val="both"/>
      <w:widowControl w:val="off"/>
    </w:pPr>
    <w:rPr>
      <w:sz w:val="21"/>
      <w:szCs w:val="24"/>
      <w:lang w:val="en-US" w:eastAsia="zh-CN" w:bidi="ar-SA"/>
    </w:rPr>
  </w:style>
  <w:style w:type="paragraph" w:styleId="1264">
    <w:name w:val="Normal_1_0"/>
    <w:next w:val="1264"/>
    <w:link w:val="884"/>
    <w:qFormat/>
    <w:rPr>
      <w:rFonts w:eastAsia="Times New Roman"/>
      <w:sz w:val="24"/>
      <w:szCs w:val="24"/>
      <w:lang w:bidi="ar-SA"/>
    </w:rPr>
  </w:style>
  <w:style w:type="paragraph" w:styleId="1265">
    <w:name w:val="Char Char Char"/>
    <w:basedOn w:val="884"/>
    <w:next w:val="1265"/>
    <w:link w:val="884"/>
    <w:rPr>
      <w:rFonts w:ascii="Tahoma" w:hAnsi="Tahoma"/>
      <w:sz w:val="24"/>
      <w:szCs w:val="20"/>
    </w:rPr>
  </w:style>
  <w:style w:type="paragraph" w:styleId="1266">
    <w:name w:val="Normal1"/>
    <w:next w:val="1266"/>
    <w:link w:val="884"/>
    <w:qFormat/>
    <w:rPr>
      <w:rFonts w:eastAsia="Times New Roman"/>
      <w:sz w:val="24"/>
      <w:szCs w:val="24"/>
      <w:lang w:bidi="ar-SA"/>
    </w:rPr>
  </w:style>
  <w:style w:type="paragraph" w:styleId="1267">
    <w:name w:val="xl33"/>
    <w:basedOn w:val="884"/>
    <w:next w:val="1267"/>
    <w:link w:val="88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8">
    <w:name w:val="表格"/>
    <w:basedOn w:val="884"/>
    <w:next w:val="1268"/>
    <w:link w:val="884"/>
    <w:pPr>
      <w:ind w:firstLine="21"/>
    </w:pPr>
    <w:rPr>
      <w:rFonts w:ascii="宋体"/>
      <w:szCs w:val="20"/>
    </w:rPr>
  </w:style>
  <w:style w:type="paragraph" w:styleId="1269">
    <w:name w:val="正文_10_1"/>
    <w:next w:val="1269"/>
    <w:link w:val="884"/>
    <w:qFormat/>
    <w:pPr>
      <w:jc w:val="both"/>
      <w:widowControl w:val="off"/>
    </w:pPr>
    <w:rPr>
      <w:sz w:val="21"/>
      <w:szCs w:val="22"/>
      <w:lang w:val="en-US" w:eastAsia="zh-CN" w:bidi="ar-SA"/>
    </w:rPr>
  </w:style>
  <w:style w:type="paragraph" w:styleId="1270">
    <w:name w:val="正文_11"/>
    <w:next w:val="1270"/>
    <w:link w:val="884"/>
    <w:qFormat/>
    <w:pPr>
      <w:jc w:val="both"/>
      <w:widowControl w:val="off"/>
    </w:pPr>
    <w:rPr>
      <w:sz w:val="21"/>
      <w:szCs w:val="24"/>
      <w:lang w:val="en-US" w:eastAsia="zh-CN" w:bidi="ar-SA"/>
    </w:rPr>
  </w:style>
  <w:style w:type="paragraph" w:styleId="1271">
    <w:name w:val="正文_6"/>
    <w:next w:val="1271"/>
    <w:link w:val="884"/>
    <w:qFormat/>
    <w:pPr>
      <w:jc w:val="both"/>
      <w:widowControl w:val="off"/>
    </w:pPr>
    <w:rPr>
      <w:sz w:val="21"/>
      <w:szCs w:val="22"/>
      <w:lang w:val="en-US" w:eastAsia="zh-CN" w:bidi="ar-SA"/>
    </w:rPr>
  </w:style>
  <w:style w:type="paragraph" w:styleId="1272">
    <w:name w:val="xl39"/>
    <w:basedOn w:val="884"/>
    <w:next w:val="1272"/>
    <w:link w:val="884"/>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3">
    <w:name w:val="项目"/>
    <w:basedOn w:val="884"/>
    <w:next w:val="1273"/>
    <w:link w:val="884"/>
    <w:pPr>
      <w:ind w:left="840" w:hanging="420"/>
      <w:spacing w:before="60" w:after="60" w:line="360" w:lineRule="auto"/>
      <w:tabs>
        <w:tab w:val="left" w:pos="840" w:leader="none"/>
      </w:tabs>
    </w:pPr>
    <w:rPr>
      <w:rFonts w:ascii="宋体"/>
      <w:szCs w:val="20"/>
    </w:rPr>
  </w:style>
  <w:style w:type="paragraph" w:styleId="1274">
    <w:name w:val="正文_0_0"/>
    <w:next w:val="1274"/>
    <w:link w:val="884"/>
    <w:qFormat/>
    <w:pPr>
      <w:jc w:val="both"/>
      <w:widowControl w:val="off"/>
    </w:pPr>
    <w:rPr>
      <w:sz w:val="21"/>
      <w:szCs w:val="24"/>
      <w:lang w:val="en-US" w:eastAsia="zh-CN" w:bidi="ar-SA"/>
    </w:rPr>
  </w:style>
  <w:style w:type="paragraph" w:styleId="1275">
    <w:name w:val="Bullet"/>
    <w:basedOn w:val="884"/>
    <w:next w:val="1275"/>
    <w:link w:val="884"/>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6">
    <w:name w:val="保密事宜内容"/>
    <w:basedOn w:val="884"/>
    <w:next w:val="1276"/>
    <w:link w:val="884"/>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277">
    <w:name w:val="正文_9_0"/>
    <w:next w:val="1277"/>
    <w:link w:val="884"/>
    <w:qFormat/>
    <w:pPr>
      <w:jc w:val="both"/>
      <w:widowControl w:val="off"/>
    </w:pPr>
    <w:rPr>
      <w:sz w:val="21"/>
      <w:szCs w:val="22"/>
      <w:lang w:val="en-US" w:eastAsia="zh-CN" w:bidi="ar-SA"/>
    </w:rPr>
  </w:style>
  <w:style w:type="paragraph" w:styleId="1278">
    <w:name w:val="规范正文"/>
    <w:basedOn w:val="884"/>
    <w:next w:val="1278"/>
    <w:link w:val="884"/>
    <w:pPr>
      <w:ind w:left="480"/>
      <w:spacing w:line="360" w:lineRule="auto"/>
    </w:pPr>
    <w:rPr>
      <w:sz w:val="24"/>
      <w:szCs w:val="20"/>
    </w:rPr>
  </w:style>
  <w:style w:type="paragraph" w:styleId="1279">
    <w:name w:val="封面标准名称"/>
    <w:next w:val="1279"/>
    <w:link w:val="884"/>
    <w:pPr>
      <w:jc w:val="center"/>
      <w:spacing w:line="680" w:lineRule="exact"/>
      <w:widowControl w:val="off"/>
    </w:pPr>
    <w:rPr>
      <w:rFonts w:ascii="黑体" w:eastAsia="黑体"/>
      <w:sz w:val="52"/>
      <w:lang w:val="en-US" w:eastAsia="zh-CN" w:bidi="ar-SA"/>
    </w:rPr>
  </w:style>
  <w:style w:type="paragraph" w:styleId="1280">
    <w:name w:val="正文_8_0"/>
    <w:next w:val="1280"/>
    <w:link w:val="884"/>
    <w:qFormat/>
    <w:pPr>
      <w:jc w:val="both"/>
      <w:widowControl w:val="off"/>
    </w:pPr>
    <w:rPr>
      <w:sz w:val="21"/>
      <w:szCs w:val="22"/>
      <w:lang w:val="en-US" w:eastAsia="zh-CN" w:bidi="ar-SA"/>
    </w:rPr>
  </w:style>
  <w:style w:type="paragraph" w:styleId="1281">
    <w:name w:val="正文_4_0"/>
    <w:next w:val="1281"/>
    <w:link w:val="884"/>
    <w:qFormat/>
    <w:pPr>
      <w:jc w:val="both"/>
      <w:widowControl w:val="off"/>
    </w:pPr>
    <w:rPr>
      <w:sz w:val="21"/>
      <w:lang w:val="en-US" w:eastAsia="zh-CN" w:bidi="ar-SA"/>
    </w:rPr>
  </w:style>
  <w:style w:type="paragraph" w:styleId="1282">
    <w:name w:val="正文_1_0_0"/>
    <w:next w:val="1282"/>
    <w:link w:val="884"/>
    <w:qFormat/>
    <w:pPr>
      <w:jc w:val="both"/>
      <w:widowControl w:val="off"/>
    </w:pPr>
    <w:rPr>
      <w:sz w:val="21"/>
      <w:lang w:val="en-US" w:eastAsia="zh-CN" w:bidi="ar-SA"/>
    </w:rPr>
  </w:style>
  <w:style w:type="paragraph" w:styleId="1283">
    <w:name w:val="正文_2_0"/>
    <w:next w:val="1283"/>
    <w:link w:val="884"/>
    <w:qFormat/>
    <w:pPr>
      <w:jc w:val="both"/>
      <w:widowControl w:val="off"/>
    </w:pPr>
    <w:rPr>
      <w:sz w:val="21"/>
      <w:szCs w:val="22"/>
      <w:lang w:val="en-US" w:eastAsia="zh-CN" w:bidi="ar-SA"/>
    </w:rPr>
  </w:style>
  <w:style w:type="paragraph" w:styleId="1284">
    <w:name w:val="特点"/>
    <w:basedOn w:val="884"/>
    <w:next w:val="884"/>
    <w:link w:val="884"/>
    <w:pPr>
      <w:jc w:val="center"/>
      <w:spacing w:line="360" w:lineRule="auto"/>
    </w:pPr>
    <w:rPr>
      <w:rFonts w:ascii="Arial" w:hAnsi="Arial"/>
      <w:sz w:val="24"/>
      <w:szCs w:val="20"/>
    </w:rPr>
  </w:style>
  <w:style w:type="paragraph" w:styleId="1285">
    <w:name w:val="正文小四"/>
    <w:basedOn w:val="884"/>
    <w:next w:val="1285"/>
    <w:link w:val="884"/>
    <w:pPr>
      <w:spacing w:line="312" w:lineRule="auto"/>
    </w:pPr>
    <w:rPr>
      <w:rFonts w:ascii="Calibri" w:hAnsi="Calibri"/>
      <w:sz w:val="24"/>
      <w:szCs w:val="22"/>
    </w:rPr>
  </w:style>
  <w:style w:type="paragraph" w:styleId="1286">
    <w:name w:val="Normal_15_0"/>
    <w:next w:val="1286"/>
    <w:link w:val="884"/>
    <w:qFormat/>
    <w:rPr>
      <w:rFonts w:ascii="黑体" w:hAnsi="黑体" w:eastAsia="黑体"/>
      <w:b/>
      <w:sz w:val="32"/>
      <w:szCs w:val="24"/>
      <w:lang w:bidi="ar-SA"/>
    </w:rPr>
  </w:style>
  <w:style w:type="paragraph" w:styleId="1287">
    <w:name w:val="tabletext"/>
    <w:basedOn w:val="884"/>
    <w:next w:val="1287"/>
    <w:link w:val="884"/>
    <w:pPr>
      <w:jc w:val="left"/>
      <w:spacing w:before="100" w:beforeAutospacing="1" w:after="100" w:afterAutospacing="1"/>
      <w:widowControl/>
    </w:pPr>
    <w:rPr>
      <w:rFonts w:ascii="宋体"/>
      <w:sz w:val="24"/>
      <w:szCs w:val="22"/>
    </w:rPr>
  </w:style>
  <w:style w:type="paragraph" w:styleId="1288">
    <w:name w:val="表内容"/>
    <w:basedOn w:val="1118"/>
    <w:next w:val="1288"/>
    <w:link w:val="884"/>
    <w:pPr>
      <w:ind w:left="0" w:firstLine="0"/>
      <w:spacing w:line="320" w:lineRule="exact"/>
    </w:pPr>
    <w:rPr>
      <w:sz w:val="20"/>
    </w:rPr>
  </w:style>
  <w:style w:type="paragraph" w:styleId="1289">
    <w:name w:val="Char1"/>
    <w:basedOn w:val="884"/>
    <w:next w:val="1289"/>
    <w:link w:val="884"/>
  </w:style>
  <w:style w:type="paragraph" w:styleId="1290">
    <w:name w:val="我的样式"/>
    <w:basedOn w:val="884"/>
    <w:next w:val="1290"/>
    <w:link w:val="884"/>
    <w:pPr>
      <w:ind w:firstLine="420"/>
      <w:jc w:val="left"/>
      <w:spacing w:after="120"/>
      <w:widowControl/>
    </w:pPr>
    <w:rPr>
      <w:rFonts w:ascii="宋体"/>
      <w:color w:val="000000"/>
      <w:sz w:val="24"/>
      <w:szCs w:val="16"/>
    </w:rPr>
  </w:style>
  <w:style w:type="paragraph" w:styleId="1291">
    <w:name w:val="正文_19"/>
    <w:next w:val="1291"/>
    <w:link w:val="884"/>
    <w:qFormat/>
    <w:pPr>
      <w:jc w:val="both"/>
      <w:widowControl w:val="off"/>
    </w:pPr>
    <w:rPr>
      <w:sz w:val="21"/>
      <w:szCs w:val="22"/>
      <w:lang w:val="en-US" w:eastAsia="zh-CN" w:bidi="ar-SA"/>
    </w:rPr>
  </w:style>
  <w:style w:type="paragraph" w:styleId="1292">
    <w:name w:val="编号1"/>
    <w:next w:val="1102"/>
    <w:link w:val="884"/>
    <w:pPr>
      <w:ind w:left="720" w:hanging="360"/>
      <w:spacing w:before="120" w:after="120" w:line="360" w:lineRule="auto"/>
      <w:tabs>
        <w:tab w:val="left" w:pos="420" w:leader="none"/>
      </w:tabs>
    </w:pPr>
    <w:rPr>
      <w:sz w:val="24"/>
      <w:szCs w:val="24"/>
      <w:lang w:val="en-US" w:eastAsia="zh-CN" w:bidi="ar-SA"/>
    </w:rPr>
  </w:style>
  <w:style w:type="paragraph" w:styleId="1293">
    <w:name w:val="Normal_0"/>
    <w:next w:val="1293"/>
    <w:link w:val="884"/>
    <w:qFormat/>
    <w:rPr>
      <w:rFonts w:ascii="黑体" w:hAnsi="黑体" w:eastAsia="黑体"/>
      <w:b/>
      <w:sz w:val="32"/>
      <w:szCs w:val="24"/>
      <w:lang w:bidi="ar-SA"/>
    </w:rPr>
  </w:style>
  <w:style w:type="paragraph" w:styleId="1294">
    <w:name w:val="首页单位日期"/>
    <w:basedOn w:val="884"/>
    <w:next w:val="1294"/>
    <w:link w:val="884"/>
    <w:pPr>
      <w:jc w:val="center"/>
      <w:widowControl/>
    </w:pPr>
    <w:rPr>
      <w:rFonts w:ascii="宋体" w:cs="宋体"/>
      <w:bCs/>
      <w:sz w:val="28"/>
      <w:szCs w:val="20"/>
      <w:lang w:bidi="ar-SA"/>
    </w:rPr>
  </w:style>
  <w:style w:type="paragraph" w:styleId="1295">
    <w:name w:val="Normal Paragraph"/>
    <w:basedOn w:val="884"/>
    <w:next w:val="1295"/>
    <w:link w:val="884"/>
    <w:pPr>
      <w:ind w:firstLine="425"/>
      <w:spacing w:before="120" w:line="360" w:lineRule="auto"/>
      <w:widowControl/>
    </w:pPr>
    <w:rPr>
      <w:rFonts w:ascii="Calibri" w:hAnsi="Calibri"/>
      <w:sz w:val="24"/>
      <w:szCs w:val="20"/>
    </w:rPr>
  </w:style>
  <w:style w:type="paragraph" w:styleId="1296">
    <w:name w:val="xl36"/>
    <w:basedOn w:val="884"/>
    <w:next w:val="1296"/>
    <w:link w:val="884"/>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97">
    <w:name w:val="È±Ê¡ÎÄ±¾"/>
    <w:basedOn w:val="884"/>
    <w:next w:val="1297"/>
    <w:link w:val="884"/>
    <w:pPr>
      <w:jc w:val="left"/>
      <w:spacing w:line="360" w:lineRule="auto"/>
      <w:widowControl/>
    </w:pPr>
    <w:rPr>
      <w:sz w:val="24"/>
      <w:szCs w:val="20"/>
    </w:rPr>
  </w:style>
  <w:style w:type="paragraph" w:styleId="1298">
    <w:name w:val="Char Char Char Char Char Char Char Char Char Char"/>
    <w:basedOn w:val="884"/>
    <w:next w:val="1298"/>
    <w:link w:val="884"/>
    <w:rPr>
      <w:rFonts w:ascii="Tahoma" w:hAnsi="Tahoma"/>
      <w:sz w:val="24"/>
      <w:szCs w:val="20"/>
    </w:rPr>
  </w:style>
  <w:style w:type="paragraph" w:styleId="1299">
    <w:name w:val="a1"/>
    <w:basedOn w:val="884"/>
    <w:next w:val="1299"/>
    <w:link w:val="884"/>
    <w:pPr>
      <w:jc w:val="left"/>
      <w:spacing w:before="100" w:beforeAutospacing="1" w:after="100" w:afterAutospacing="1"/>
      <w:widowControl/>
    </w:pPr>
    <w:rPr>
      <w:rFonts w:ascii="宋体"/>
      <w:sz w:val="24"/>
      <w:szCs w:val="22"/>
    </w:rPr>
  </w:style>
  <w:style w:type="paragraph" w:styleId="1300">
    <w:name w:val="正文_10_0"/>
    <w:next w:val="1300"/>
    <w:link w:val="884"/>
    <w:qFormat/>
    <w:pPr>
      <w:jc w:val="both"/>
      <w:widowControl w:val="off"/>
    </w:pPr>
    <w:rPr>
      <w:sz w:val="21"/>
      <w:szCs w:val="22"/>
      <w:lang w:val="en-US" w:eastAsia="zh-CN" w:bidi="ar-SA"/>
    </w:rPr>
  </w:style>
  <w:style w:type="paragraph" w:styleId="1301">
    <w:name w:val="正文_11_0_0"/>
    <w:next w:val="1301"/>
    <w:link w:val="884"/>
    <w:qFormat/>
    <w:pPr>
      <w:jc w:val="both"/>
      <w:widowControl w:val="off"/>
    </w:pPr>
    <w:rPr>
      <w:sz w:val="21"/>
      <w:szCs w:val="22"/>
      <w:lang w:val="en-US" w:eastAsia="zh-CN" w:bidi="ar-SA"/>
    </w:rPr>
  </w:style>
  <w:style w:type="paragraph" w:styleId="1302">
    <w:name w:val="xl27"/>
    <w:basedOn w:val="884"/>
    <w:next w:val="1302"/>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3">
    <w:name w:val="正文段"/>
    <w:basedOn w:val="884"/>
    <w:next w:val="1303"/>
    <w:link w:val="884"/>
    <w:pPr>
      <w:ind w:firstLine="425"/>
      <w:spacing w:after="240" w:line="240" w:lineRule="atLeast"/>
      <w:widowControl/>
    </w:pPr>
    <w:rPr>
      <w:sz w:val="24"/>
      <w:szCs w:val="20"/>
    </w:rPr>
  </w:style>
  <w:style w:type="paragraph" w:styleId="1304">
    <w:name w:val="Normal_16_0"/>
    <w:next w:val="1304"/>
    <w:link w:val="884"/>
    <w:qFormat/>
    <w:rPr>
      <w:rFonts w:ascii="黑体" w:hAnsi="黑体" w:eastAsia="黑体"/>
      <w:b/>
      <w:sz w:val="32"/>
      <w:szCs w:val="24"/>
      <w:lang w:bidi="ar-SA"/>
    </w:rPr>
  </w:style>
  <w:style w:type="paragraph" w:styleId="1305">
    <w:name w:val="Normal_17"/>
    <w:next w:val="1305"/>
    <w:link w:val="884"/>
    <w:qFormat/>
    <w:rPr>
      <w:rFonts w:ascii="黑体" w:hAnsi="黑体" w:eastAsia="黑体"/>
      <w:b/>
      <w:sz w:val="32"/>
      <w:szCs w:val="24"/>
      <w:lang w:bidi="ar-SA"/>
    </w:rPr>
  </w:style>
  <w:style w:type="paragraph" w:styleId="1306">
    <w:name w:val="xl42"/>
    <w:basedOn w:val="884"/>
    <w:next w:val="1306"/>
    <w:link w:val="884"/>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07">
    <w:name w:val="列出段落[858D7CFB-ED40-4347-BF05-701D383B685F][858D7CFB-ED40-4347-BF05-701D383B685F]"/>
    <w:basedOn w:val="884"/>
    <w:next w:val="1307"/>
    <w:link w:val="884"/>
    <w:pPr>
      <w:ind w:firstLine="200"/>
    </w:pPr>
    <w:rPr>
      <w:rFonts w:ascii="Calibri" w:hAnsi="Calibri"/>
      <w:szCs w:val="22"/>
    </w:rPr>
  </w:style>
  <w:style w:type="paragraph" w:styleId="1308">
    <w:name w:val="缺省文本"/>
    <w:basedOn w:val="884"/>
    <w:next w:val="1308"/>
    <w:link w:val="884"/>
    <w:pPr>
      <w:jc w:val="left"/>
    </w:pPr>
    <w:rPr>
      <w:sz w:val="24"/>
      <w:szCs w:val="20"/>
    </w:rPr>
  </w:style>
  <w:style w:type="paragraph" w:styleId="1309">
    <w:name w:val="Normal_13"/>
    <w:next w:val="1309"/>
    <w:link w:val="884"/>
    <w:qFormat/>
    <w:rPr>
      <w:rFonts w:ascii="黑体" w:hAnsi="黑体" w:eastAsia="黑体"/>
      <w:b/>
      <w:sz w:val="32"/>
      <w:szCs w:val="24"/>
      <w:lang w:bidi="ar-SA"/>
    </w:rPr>
  </w:style>
  <w:style w:type="paragraph" w:styleId="1310">
    <w:name w:val="SFClearBullets"/>
    <w:next w:val="1310"/>
    <w:link w:val="884"/>
    <w:pPr>
      <w:ind w:left="1440" w:hanging="360"/>
      <w:tabs>
        <w:tab w:val="left" w:pos="1440" w:leader="none"/>
      </w:tabs>
    </w:pPr>
    <w:rPr>
      <w:rFonts w:ascii="Helvetica" w:hAnsi="Helvetica"/>
      <w:szCs w:val="24"/>
      <w:lang w:val="en-US" w:eastAsia="en-US" w:bidi="ar-SA"/>
    </w:rPr>
  </w:style>
  <w:style w:type="paragraph" w:styleId="1311">
    <w:name w:val="FA正文+标号"/>
    <w:basedOn w:val="884"/>
    <w:next w:val="1311"/>
    <w:link w:val="884"/>
    <w:pPr>
      <w:ind w:left="900" w:hanging="420"/>
      <w:spacing w:line="400" w:lineRule="exact"/>
      <w:tabs>
        <w:tab w:val="left" w:pos="907" w:leader="none"/>
        <w:tab w:val="left" w:pos="3375" w:leader="none"/>
      </w:tabs>
    </w:pPr>
    <w:rPr>
      <w:rFonts w:ascii="仿宋_GB2312" w:eastAsia="仿宋_GB2312"/>
      <w:sz w:val="24"/>
      <w:szCs w:val="20"/>
    </w:rPr>
  </w:style>
  <w:style w:type="paragraph" w:styleId="1312">
    <w:name w:val="附图居中"/>
    <w:basedOn w:val="884"/>
    <w:next w:val="1145"/>
    <w:link w:val="884"/>
    <w:pPr>
      <w:ind w:left="1271" w:hanging="420"/>
      <w:jc w:val="center"/>
      <w:keepNext/>
      <w:spacing w:line="360" w:lineRule="auto"/>
      <w:tabs>
        <w:tab w:val="left" w:pos="0" w:leader="none"/>
      </w:tabs>
    </w:pPr>
    <w:rPr>
      <w:caps/>
      <w:sz w:val="24"/>
    </w:rPr>
  </w:style>
  <w:style w:type="paragraph" w:styleId="1313">
    <w:name w:val="正文_0_0_0_0_0"/>
    <w:next w:val="1313"/>
    <w:link w:val="884"/>
    <w:qFormat/>
    <w:pPr>
      <w:jc w:val="both"/>
      <w:widowControl w:val="off"/>
    </w:pPr>
    <w:rPr>
      <w:sz w:val="21"/>
      <w:szCs w:val="22"/>
      <w:lang w:val="en-US" w:eastAsia="zh-CN" w:bidi="ar-SA"/>
    </w:rPr>
  </w:style>
  <w:style w:type="paragraph" w:styleId="1314">
    <w:name w:val="正文 + 宋体"/>
    <w:basedOn w:val="884"/>
    <w:next w:val="1314"/>
    <w:link w:val="884"/>
    <w:pPr>
      <w:ind w:firstLine="250"/>
    </w:pPr>
    <w:rPr>
      <w:rFonts w:ascii="宋体"/>
      <w:szCs w:val="21"/>
    </w:rPr>
  </w:style>
  <w:style w:type="paragraph" w:styleId="1315">
    <w:name w:val="Normal_5"/>
    <w:next w:val="1315"/>
    <w:link w:val="884"/>
    <w:qFormat/>
    <w:rPr>
      <w:rFonts w:ascii="黑体" w:hAnsi="黑体" w:eastAsia="黑体"/>
      <w:b/>
      <w:sz w:val="32"/>
      <w:szCs w:val="24"/>
      <w:lang w:bidi="ar-SA"/>
    </w:rPr>
  </w:style>
  <w:style w:type="paragraph" w:styleId="1316">
    <w:name w:val="Normal_13_0"/>
    <w:next w:val="1316"/>
    <w:link w:val="884"/>
    <w:qFormat/>
    <w:rPr>
      <w:rFonts w:ascii="黑体" w:hAnsi="黑体" w:eastAsia="黑体"/>
      <w:b/>
      <w:sz w:val="32"/>
      <w:szCs w:val="24"/>
      <w:lang w:bidi="ar-SA"/>
    </w:rPr>
  </w:style>
  <w:style w:type="paragraph" w:styleId="1317">
    <w:name w:val="Normal_14"/>
    <w:next w:val="1317"/>
    <w:link w:val="884"/>
    <w:qFormat/>
    <w:rPr>
      <w:rFonts w:ascii="黑体" w:hAnsi="黑体" w:eastAsia="黑体"/>
      <w:b/>
      <w:sz w:val="32"/>
      <w:szCs w:val="24"/>
      <w:lang w:bidi="ar-SA"/>
    </w:rPr>
  </w:style>
  <w:style w:type="paragraph" w:styleId="1318">
    <w:name w:val="正文_1_0_0_0_0"/>
    <w:next w:val="1318"/>
    <w:link w:val="884"/>
    <w:qFormat/>
    <w:pPr>
      <w:jc w:val="both"/>
      <w:widowControl w:val="off"/>
    </w:pPr>
    <w:rPr>
      <w:sz w:val="21"/>
      <w:lang w:val="en-US" w:eastAsia="zh-CN" w:bidi="ar-SA"/>
    </w:rPr>
  </w:style>
  <w:style w:type="paragraph" w:styleId="1319">
    <w:name w:val="正文_7_1"/>
    <w:next w:val="1319"/>
    <w:link w:val="884"/>
    <w:qFormat/>
    <w:pPr>
      <w:jc w:val="both"/>
      <w:widowControl w:val="off"/>
    </w:pPr>
    <w:rPr>
      <w:sz w:val="21"/>
      <w:szCs w:val="22"/>
      <w:lang w:val="en-US" w:eastAsia="zh-CN" w:bidi="ar-SA"/>
    </w:rPr>
  </w:style>
  <w:style w:type="paragraph" w:styleId="1320">
    <w:name w:val="Normal_3_0"/>
    <w:next w:val="1320"/>
    <w:link w:val="884"/>
    <w:qFormat/>
    <w:rPr>
      <w:rFonts w:ascii="黑体" w:hAnsi="黑体" w:eastAsia="黑体"/>
      <w:b/>
      <w:sz w:val="32"/>
      <w:szCs w:val="24"/>
      <w:lang w:bidi="ar-SA"/>
    </w:rPr>
  </w:style>
  <w:style w:type="paragraph" w:styleId="1321">
    <w:name w:val="保密事宜格式"/>
    <w:basedOn w:val="907"/>
    <w:next w:val="1321"/>
    <w:link w:val="884"/>
    <w:pPr>
      <w:numPr>
        <w:ilvl w:val="0"/>
        <w:numId w:val="0"/>
      </w:num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322">
    <w:name w:val="样式 正文缩进 + (中文) 仿宋_GB2312 小四 Char"/>
    <w:basedOn w:val="906"/>
    <w:next w:val="1322"/>
    <w:link w:val="884"/>
    <w:pPr>
      <w:ind w:firstLine="200"/>
      <w:spacing w:line="360" w:lineRule="auto"/>
    </w:pPr>
    <w:rPr>
      <w:rFonts w:ascii="宋体"/>
      <w:color w:val="000000"/>
      <w:szCs w:val="24"/>
    </w:rPr>
  </w:style>
  <w:style w:type="paragraph" w:styleId="1323">
    <w:name w:val="默认段落字体 Para Char Char Char Char Char Char Char Char Char Char Char Char Char Char"/>
    <w:basedOn w:val="911"/>
    <w:next w:val="1323"/>
    <w:link w:val="884"/>
    <w:rPr>
      <w:rFonts w:ascii="Tahoma" w:hAnsi="Tahoma"/>
      <w:sz w:val="24"/>
    </w:rPr>
  </w:style>
  <w:style w:type="character" w:styleId="1324">
    <w:name w:val="font71"/>
    <w:next w:val="1324"/>
    <w:link w:val="884"/>
    <w:rPr>
      <w:rFonts w:hint="eastAsia" w:ascii="宋体" w:hAnsi="宋体" w:eastAsia="宋体" w:cs="宋体"/>
      <w:i w:val="0"/>
      <w:iCs w:val="0"/>
      <w:color w:val="ff0000"/>
      <w:sz w:val="24"/>
      <w:szCs w:val="24"/>
      <w:u w:val="none"/>
    </w:rPr>
  </w:style>
  <w:style w:type="paragraph" w:styleId="1325">
    <w:name w:val="正文缩进1"/>
    <w:basedOn w:val="884"/>
    <w:next w:val="1325"/>
    <w:link w:val="884"/>
    <w:qFormat/>
    <w:pPr>
      <w:ind w:firstLine="420"/>
    </w:pPr>
    <w:rPr>
      <w:szCs w:val="20"/>
    </w:rPr>
  </w:style>
  <w:style w:type="character" w:styleId="1326">
    <w:name w:val="占位符文本"/>
    <w:next w:val="1326"/>
    <w:link w:val="884"/>
    <w:uiPriority w:val="99"/>
    <w:rPr>
      <w:color w:val="808080"/>
    </w:rPr>
  </w:style>
  <w:style w:type="paragraph" w:styleId="1327">
    <w:name w:val="B2"/>
    <w:basedOn w:val="884"/>
    <w:next w:val="1327"/>
    <w:link w:val="884"/>
    <w:qFormat/>
    <w:pPr>
      <w:numPr>
        <w:ilvl w:val="1"/>
        <w:numId w:val="4"/>
      </w:numPr>
      <w:tabs>
        <w:tab w:val="left" w:pos="1418" w:leader="none"/>
      </w:tabs>
      <w:outlineLvl w:val="1"/>
    </w:pPr>
    <w:rPr>
      <w:rFonts w:ascii="Arial Narrow" w:hAnsi="Arial Narrow" w:eastAsia="仿宋"/>
      <w:sz w:val="24"/>
      <w:szCs w:val="24"/>
    </w:rPr>
  </w:style>
  <w:style w:type="paragraph" w:styleId="1328">
    <w:name w:val="B1"/>
    <w:basedOn w:val="884"/>
    <w:next w:val="1328"/>
    <w:link w:val="884"/>
    <w:qFormat/>
    <w:pPr>
      <w:numPr>
        <w:ilvl w:val="0"/>
        <w:numId w:val="4"/>
      </w:numPr>
      <w:jc w:val="left"/>
      <w:tabs>
        <w:tab w:val="left" w:pos="1418" w:leader="none"/>
      </w:tabs>
      <w:outlineLvl w:val="0"/>
    </w:pPr>
    <w:rPr>
      <w:rFonts w:ascii="Arial Narrow" w:hAnsi="Arial Narrow" w:eastAsia="仿宋"/>
      <w:b/>
      <w:sz w:val="28"/>
      <w:szCs w:val="24"/>
    </w:rPr>
  </w:style>
  <w:style w:type="paragraph" w:styleId="1329">
    <w:name w:val="正文文本11"/>
    <w:basedOn w:val="884"/>
    <w:next w:val="884"/>
    <w:link w:val="884"/>
    <w:qFormat/>
    <w:rPr>
      <w:rFonts w:ascii="楷体_GB2312" w:hAnsi="Arial" w:eastAsia="楷体_GB2312" w:cs="Times New Roman"/>
      <w:sz w:val="28"/>
      <w:szCs w:val="28"/>
    </w:rPr>
  </w:style>
  <w:style w:type="paragraph" w:styleId="1330">
    <w:name w:val="Table Text"/>
    <w:basedOn w:val="884"/>
    <w:next w:val="1330"/>
    <w:link w:val="884"/>
    <w:semiHidden/>
    <w:qFormat/>
    <w:rPr>
      <w:rFonts w:ascii="宋体" w:hAnsi="宋体" w:eastAsia="宋体" w:cs="宋体"/>
      <w:sz w:val="17"/>
      <w:szCs w:val="17"/>
      <w:lang w:val="en-US" w:eastAsia="en-US" w:bidi="ar-SA"/>
    </w:rPr>
  </w:style>
  <w:style w:type="table" w:styleId="1331">
    <w:name w:val="Table Normal"/>
    <w:next w:val="1331"/>
    <w:link w:val="884"/>
    <w:unhideWhenUsed/>
    <w:qFormat/>
    <w:rPr>
      <w:lang w:val="en-US" w:eastAsia="zh-CN" w:bidi="ar-SA"/>
    </w:rPr>
    <w:tblPr/>
  </w:style>
  <w:style w:type="character" w:styleId="1332">
    <w:name w:val="mark"/>
    <w:next w:val="1332"/>
    <w:link w:val="884"/>
    <w:qFormat/>
    <w:rPr>
      <w:rFonts w:ascii="Times New Roman" w:hAnsi="Times New Roman" w:eastAsia="宋体" w:cs="Times New Roman"/>
    </w:rPr>
  </w:style>
  <w:style w:type="paragraph" w:styleId="1333">
    <w:name w:val="标题 311"/>
    <w:basedOn w:val="884"/>
    <w:next w:val="884"/>
    <w:link w:val="884"/>
    <w:qFormat/>
    <w:pPr>
      <w:keepLines/>
      <w:keepNext/>
      <w:spacing w:before="260" w:after="260" w:line="416" w:lineRule="auto"/>
      <w:outlineLvl w:val="2"/>
    </w:pPr>
    <w:rPr>
      <w:b/>
      <w:sz w:val="32"/>
      <w:szCs w:val="20"/>
    </w:rPr>
  </w:style>
  <w:style w:type="character" w:styleId="1334" w:default="1">
    <w:name w:val="Default Paragraph Font"/>
    <w:uiPriority w:val="1"/>
    <w:semiHidden/>
    <w:unhideWhenUsed/>
  </w:style>
  <w:style w:type="numbering" w:styleId="1335" w:default="1">
    <w:name w:val="No List"/>
    <w:uiPriority w:val="99"/>
    <w:semiHidden/>
    <w:unhideWhenUsed/>
  </w:style>
  <w:style w:type="table" w:styleId="13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尹红</cp:lastModifiedBy>
  <cp:revision>4</cp:revision>
  <dcterms:created xsi:type="dcterms:W3CDTF">2023-04-11T08:14:00Z</dcterms:created>
  <dcterms:modified xsi:type="dcterms:W3CDTF">2024-10-31T07:10:09Z</dcterms:modified>
</cp:coreProperties>
</file>