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cs="仿宋" w:asciiTheme="minorEastAsia" w:hAnsiTheme="minorEastAsia" w:eastAsiaTheme="minorEastAsia"/>
          <w:b/>
          <w:i/>
          <w:sz w:val="21"/>
          <w:szCs w:val="21"/>
        </w:rPr>
      </w:pPr>
      <w:r>
        <w:rPr>
          <w:rFonts w:hint="eastAsia" w:cs="仿宋" w:asciiTheme="minorEastAsia" w:hAnsiTheme="minorEastAsia" w:eastAsiaTheme="minorEastAsia"/>
          <w:b/>
          <w:sz w:val="72"/>
        </w:rPr>
        <w:tab/>
      </w:r>
      <w:r/>
    </w:p>
    <w:p>
      <w:pPr>
        <w:jc w:val="center"/>
        <w:rPr>
          <w:rFonts w:hint="eastAsia" w:cs="仿宋" w:asciiTheme="minorEastAsia" w:hAnsiTheme="minorEastAsia" w:eastAsiaTheme="minorEastAsia"/>
          <w:b/>
          <w:sz w:val="72"/>
        </w:rPr>
      </w:pPr>
      <w:r>
        <w:rPr>
          <w:rFonts w:hint="eastAsia" w:cs="仿宋" w:asciiTheme="minorEastAsia" w:hAnsiTheme="minorEastAsia" w:eastAsiaTheme="minorEastAsia"/>
          <w:b/>
          <w:sz w:val="72"/>
        </w:rPr>
      </w:r>
      <w:r/>
    </w:p>
    <w:p>
      <w:pPr>
        <w:jc w:val="center"/>
        <w:spacing w:line="360" w:lineRule="auto"/>
        <w:rPr>
          <w:rFonts w:hint="eastAsia" w:cs="仿宋" w:asciiTheme="minorEastAsia" w:hAnsiTheme="minorEastAsia" w:eastAsiaTheme="minorEastAsia"/>
          <w:bCs/>
          <w:spacing w:val="20"/>
          <w:sz w:val="72"/>
          <w:szCs w:val="72"/>
        </w:rPr>
      </w:pPr>
      <w:r>
        <w:rPr>
          <w:rFonts w:hint="eastAsia" w:cs="仿宋" w:asciiTheme="minorEastAsia" w:hAnsiTheme="minorEastAsia" w:eastAsiaTheme="minorEastAsia"/>
          <w:bCs/>
          <w:spacing w:val="20"/>
          <w:sz w:val="72"/>
          <w:szCs w:val="72"/>
        </w:rPr>
        <w:t xml:space="preserve">泰州市政府采购</w:t>
      </w:r>
      <w:r/>
    </w:p>
    <w:p>
      <w:pPr>
        <w:jc w:val="center"/>
        <w:spacing w:line="360" w:lineRule="auto"/>
        <w:rPr>
          <w:rFonts w:hint="eastAsia" w:cs="仿宋" w:asciiTheme="minorEastAsia" w:hAnsiTheme="minorEastAsia" w:eastAsiaTheme="minorEastAsia"/>
          <w:bCs/>
          <w:spacing w:val="20"/>
          <w:sz w:val="52"/>
          <w:szCs w:val="52"/>
        </w:rPr>
      </w:pPr>
      <w:r>
        <w:rPr>
          <w:rFonts w:hint="eastAsia" w:cs="仿宋" w:asciiTheme="minorEastAsia" w:hAnsiTheme="minorEastAsia" w:eastAsiaTheme="minorEastAsia"/>
          <w:bCs/>
          <w:spacing w:val="20"/>
          <w:sz w:val="52"/>
          <w:szCs w:val="52"/>
        </w:rPr>
        <w:t xml:space="preserve">公开</w:t>
      </w: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-113665</wp:posOffset>
                </wp:positionH>
                <wp:positionV relativeFrom="paragraph">
                  <wp:posOffset>197485</wp:posOffset>
                </wp:positionV>
                <wp:extent cx="635" cy="0"/>
                <wp:effectExtent l="0" t="4445" r="0" b="508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8.9pt,15.5pt" to="-8.9pt,15.5pt" filled="f" strokecolor="#000000"/>
            </w:pict>
          </mc:Fallback>
        </mc:AlternateContent>
      </w:r>
      <w:r>
        <w:rPr>
          <w:rFonts w:hint="eastAsia" w:cs="仿宋" w:asciiTheme="minorEastAsia" w:hAnsiTheme="minorEastAsia" w:eastAsiaTheme="minorEastAsia"/>
          <w:bCs/>
          <w:spacing w:val="20"/>
          <w:sz w:val="52"/>
          <w:szCs w:val="52"/>
        </w:rPr>
        <w:t xml:space="preserve">招标文件</w:t>
      </w:r>
      <w:r/>
    </w:p>
    <w:p>
      <w:pPr>
        <w:jc w:val="center"/>
        <w:rPr>
          <w:rFonts w:hint="eastAsia" w:cs="仿宋" w:asciiTheme="minorEastAsia" w:hAnsiTheme="minorEastAsia" w:eastAsiaTheme="minorEastAsia"/>
          <w:b/>
          <w:sz w:val="72"/>
          <w:szCs w:val="72"/>
        </w:rPr>
      </w:pPr>
      <w:r>
        <w:rPr>
          <w:rFonts w:hint="eastAsia" w:cs="仿宋" w:asciiTheme="minorEastAsia" w:hAnsiTheme="minorEastAsia" w:eastAsiaTheme="minorEastAsia"/>
          <w:bCs/>
          <w:sz w:val="30"/>
        </w:rPr>
        <w:t xml:space="preserve">（全流程电子化不见面开标）</w:t>
      </w:r>
      <w:r/>
    </w:p>
    <w:p>
      <w:pPr>
        <w:rPr>
          <w:rFonts w:hint="eastAsia" w:cs="仿宋" w:asciiTheme="minorEastAsia" w:hAnsiTheme="minorEastAsia" w:eastAsiaTheme="minorEastAsia"/>
          <w:b/>
          <w:sz w:val="72"/>
        </w:rPr>
      </w:pPr>
      <w:r>
        <w:rPr>
          <w:rFonts w:hint="eastAsia" w:cs="仿宋" w:asciiTheme="minorEastAsia" w:hAnsiTheme="minorEastAsia" w:eastAsiaTheme="minorEastAsia"/>
          <w:b/>
          <w:sz w:val="72"/>
        </w:rPr>
      </w:r>
      <w:r/>
    </w:p>
    <w:p>
      <w:pPr>
        <w:pStyle w:val="1004"/>
        <w:ind w:firstLine="568"/>
        <w:rPr>
          <w:rFonts w:hint="eastAsia" w:cs="仿宋" w:asciiTheme="minorEastAsia" w:hAnsiTheme="minorEastAsia" w:eastAsiaTheme="minorEastAsia"/>
        </w:rPr>
      </w:pPr>
      <w:r>
        <w:rPr>
          <w:rFonts w:hint="eastAsia" w:cs="仿宋" w:asciiTheme="minorEastAsia" w:hAnsiTheme="minorEastAsia" w:eastAsiaTheme="minorEastAsia"/>
        </w:rPr>
      </w:r>
      <w:r/>
    </w:p>
    <w:p>
      <w:pPr>
        <w:pStyle w:val="1004"/>
        <w:ind w:firstLine="568"/>
        <w:rPr>
          <w:rFonts w:hint="eastAsia" w:cs="仿宋" w:asciiTheme="minorEastAsia" w:hAnsiTheme="minorEastAsia" w:eastAsiaTheme="minorEastAsia"/>
        </w:rPr>
      </w:pPr>
      <w:r>
        <w:rPr>
          <w:rFonts w:hint="eastAsia" w:cs="仿宋" w:asciiTheme="minorEastAsia" w:hAnsiTheme="minorEastAsia" w:eastAsiaTheme="minorEastAsia"/>
        </w:rPr>
      </w:r>
      <w:r/>
    </w:p>
    <w:p>
      <w:pPr>
        <w:pStyle w:val="1004"/>
        <w:ind w:firstLine="568"/>
        <w:rPr>
          <w:rFonts w:hint="eastAsia" w:cs="仿宋" w:asciiTheme="minorEastAsia" w:hAnsiTheme="minorEastAsia" w:eastAsiaTheme="minorEastAsia"/>
        </w:rPr>
      </w:pPr>
      <w:r>
        <w:rPr>
          <w:rFonts w:hint="eastAsia" w:cs="仿宋" w:asciiTheme="minorEastAsia" w:hAnsiTheme="minorEastAsia" w:eastAsiaTheme="minorEastAsia"/>
        </w:rPr>
      </w:r>
      <w:r/>
    </w:p>
    <w:p>
      <w:pPr>
        <w:pStyle w:val="1004"/>
        <w:ind w:firstLine="568"/>
        <w:rPr>
          <w:rFonts w:hint="eastAsia" w:cs="仿宋" w:asciiTheme="minorEastAsia" w:hAnsiTheme="minorEastAsia" w:eastAsiaTheme="minorEastAsia"/>
        </w:rPr>
      </w:pPr>
      <w:r>
        <w:rPr>
          <w:rFonts w:hint="eastAsia" w:cs="仿宋" w:asciiTheme="minorEastAsia" w:hAnsiTheme="minorEastAsia" w:eastAsiaTheme="minorEastAsia"/>
        </w:rPr>
      </w:r>
      <w:r/>
    </w:p>
    <w:p>
      <w:pPr>
        <w:jc w:val="center"/>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苏采云项目编号：JSZC-321282-HRGJ-G2025-0005</w:t>
      </w:r>
      <w:r/>
    </w:p>
    <w:p>
      <w:pPr>
        <w:ind w:firstLine="1124"/>
        <w:jc w:val="both"/>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项目名称：全数字化通用型平板血管造影系统</w:t>
      </w:r>
      <w:r/>
    </w:p>
    <w:p>
      <w:pPr>
        <w:ind w:firstLine="419"/>
        <w:jc w:val="center"/>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r>
      <w:r/>
    </w:p>
    <w:p>
      <w:pPr>
        <w:ind w:firstLine="419"/>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r>
      <w:r/>
    </w:p>
    <w:p>
      <w:pPr>
        <w:ind w:firstLine="419"/>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r>
      <w:r/>
    </w:p>
    <w:p>
      <w:pPr>
        <w:ind w:firstLine="419"/>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r>
      <w:r/>
    </w:p>
    <w:p>
      <w:pPr>
        <w:ind w:firstLine="419"/>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r>
      <w:r/>
    </w:p>
    <w:p>
      <w:pPr>
        <w:pStyle w:val="816"/>
      </w:pPr>
      <w:r/>
      <w:r/>
    </w:p>
    <w:p>
      <w:r/>
      <w:r/>
    </w:p>
    <w:p>
      <w:pPr>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r>
      <w:r/>
    </w:p>
    <w:p>
      <w:pPr>
        <w:jc w:val="center"/>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采   购   人：靖江市中医院</w:t>
      </w:r>
      <w:r/>
    </w:p>
    <w:p>
      <w:pPr>
        <w:pStyle w:val="846"/>
        <w:ind w:firstLine="0"/>
        <w:jc w:val="center"/>
        <w:rPr>
          <w:rFonts w:hint="eastAsia" w:cs="仿宋" w:asciiTheme="minorEastAsia" w:hAnsiTheme="minorEastAsia" w:eastAsiaTheme="minorEastAsia"/>
        </w:rPr>
      </w:pPr>
      <w:r>
        <w:rPr>
          <w:rFonts w:hint="eastAsia" w:cs="仿宋" w:asciiTheme="minorEastAsia" w:hAnsiTheme="minorEastAsia" w:eastAsiaTheme="minorEastAsia"/>
        </w:rPr>
      </w:r>
      <w:r/>
    </w:p>
    <w:p>
      <w:pPr>
        <w:ind w:firstLine="1687"/>
        <w:jc w:val="both"/>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采购代理机构：华瑞国际工程咨询集团有限公司</w:t>
      </w:r>
      <w:r/>
    </w:p>
    <w:p>
      <w:pPr>
        <w:jc w:val="center"/>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r>
      <w:r/>
    </w:p>
    <w:p>
      <w:pPr>
        <w:jc w:val="center"/>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2025年</w:t>
      </w:r>
      <w:r>
        <w:rPr>
          <w:rFonts w:cs="仿宋" w:asciiTheme="minorEastAsia" w:hAnsiTheme="minorEastAsia" w:eastAsiaTheme="minorEastAsia"/>
          <w:b/>
          <w:sz w:val="28"/>
          <w:szCs w:val="28"/>
        </w:rPr>
        <w:t xml:space="preserve">4</w:t>
      </w:r>
      <w:r>
        <w:rPr>
          <w:rFonts w:hint="eastAsia" w:cs="仿宋" w:asciiTheme="minorEastAsia" w:hAnsiTheme="minorEastAsia" w:eastAsiaTheme="minorEastAsia"/>
          <w:b/>
          <w:sz w:val="28"/>
          <w:szCs w:val="28"/>
        </w:rPr>
        <w:t xml:space="preserve">月</w:t>
      </w:r>
      <w:r/>
    </w:p>
    <w:p>
      <w:pPr>
        <w:jc w:val="center"/>
        <w:spacing w:line="360" w:lineRule="auto"/>
        <w:widowControl/>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br w:type="page" w:clear="all"/>
      </w:r>
      <w:r/>
    </w:p>
    <w:p>
      <w:pPr>
        <w:jc w:val="center"/>
        <w:spacing w:line="360" w:lineRule="auto"/>
        <w:widowControl/>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r>
      <w:r/>
    </w:p>
    <w:p>
      <w:pPr>
        <w:jc w:val="center"/>
        <w:spacing w:line="360" w:lineRule="auto"/>
        <w:widowControl/>
        <w:rPr>
          <w:rFonts w:hint="eastAsia" w:cs="仿宋" w:asciiTheme="minorEastAsia" w:hAnsiTheme="minorEastAsia" w:eastAsiaTheme="minorEastAsia"/>
          <w:b/>
          <w:sz w:val="36"/>
          <w:szCs w:val="36"/>
        </w:rPr>
      </w:pPr>
      <w:r>
        <w:rPr>
          <w:rFonts w:hint="eastAsia" w:cs="仿宋" w:asciiTheme="minorEastAsia" w:hAnsiTheme="minorEastAsia" w:eastAsiaTheme="minorEastAsia"/>
          <w:b/>
          <w:sz w:val="36"/>
          <w:szCs w:val="36"/>
        </w:rPr>
        <w:t xml:space="preserve">目  录</w:t>
      </w:r>
      <w:r/>
    </w:p>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1005"/>
        <w:spacing w:line="480" w:lineRule="auto"/>
        <w:tabs>
          <w:tab w:val="right" w:pos="9344" w:leader="dot"/>
        </w:tabs>
        <w:rPr>
          <w:rFonts w:hint="eastAsia" w:cs="仿宋" w:asciiTheme="minorEastAsia" w:hAnsiTheme="minorEastAsia" w:eastAsiaTheme="minorEastAsia"/>
          <w:b/>
          <w:sz w:val="28"/>
          <w:szCs w:val="21"/>
        </w:rPr>
      </w:pPr>
      <w:r>
        <w:rPr>
          <w:rFonts w:hint="eastAsia" w:cs="仿宋" w:asciiTheme="minorEastAsia" w:hAnsiTheme="minorEastAsia" w:eastAsiaTheme="minorEastAsia"/>
          <w:b/>
          <w:sz w:val="28"/>
          <w:szCs w:val="21"/>
        </w:rPr>
        <w:fldChar w:fldCharType="begin"/>
      </w:r>
      <w:r>
        <w:rPr>
          <w:rFonts w:hint="eastAsia" w:cs="仿宋" w:asciiTheme="minorEastAsia" w:hAnsiTheme="minorEastAsia" w:eastAsiaTheme="minorEastAsia"/>
          <w:b/>
          <w:sz w:val="28"/>
          <w:szCs w:val="21"/>
        </w:rPr>
        <w:instrText xml:space="preserve">TOC  \* MERGEFORMAT</w:instrText>
      </w:r>
      <w:r>
        <w:rPr>
          <w:rFonts w:hint="eastAsia" w:cs="仿宋" w:asciiTheme="minorEastAsia" w:hAnsiTheme="minorEastAsia" w:eastAsiaTheme="minorEastAsia"/>
          <w:b/>
          <w:sz w:val="28"/>
          <w:szCs w:val="21"/>
        </w:rPr>
        <w:fldChar w:fldCharType="separate"/>
      </w:r>
      <w:r>
        <w:rPr>
          <w:rFonts w:hint="eastAsia" w:cs="仿宋" w:asciiTheme="minorEastAsia" w:hAnsiTheme="minorEastAsia" w:eastAsiaTheme="minorEastAsia"/>
          <w:b/>
          <w:sz w:val="28"/>
          <w:szCs w:val="21"/>
        </w:rPr>
        <w:t xml:space="preserve">第一章 招标公告</w:t>
      </w:r>
      <w:r/>
    </w:p>
    <w:p>
      <w:pPr>
        <w:pStyle w:val="1005"/>
        <w:spacing w:line="480" w:lineRule="auto"/>
        <w:tabs>
          <w:tab w:val="right" w:pos="9344" w:leader="dot"/>
        </w:tabs>
        <w:rPr>
          <w:rFonts w:hint="eastAsia" w:cs="仿宋" w:asciiTheme="minorEastAsia" w:hAnsiTheme="minorEastAsia" w:eastAsiaTheme="minorEastAsia"/>
          <w:b/>
          <w:sz w:val="28"/>
          <w:szCs w:val="21"/>
        </w:rPr>
      </w:pPr>
      <w:r>
        <w:rPr>
          <w:rFonts w:hint="eastAsia" w:cs="仿宋" w:asciiTheme="minorEastAsia" w:hAnsiTheme="minorEastAsia" w:eastAsiaTheme="minorEastAsia"/>
          <w:b/>
          <w:sz w:val="28"/>
          <w:szCs w:val="21"/>
        </w:rPr>
        <w:t xml:space="preserve">第二章 投标人须知</w:t>
      </w:r>
      <w:r/>
    </w:p>
    <w:p>
      <w:pPr>
        <w:pStyle w:val="1005"/>
        <w:spacing w:line="480" w:lineRule="auto"/>
        <w:tabs>
          <w:tab w:val="right" w:pos="9344" w:leader="dot"/>
        </w:tabs>
        <w:rPr>
          <w:rFonts w:hint="eastAsia" w:cs="仿宋" w:asciiTheme="minorEastAsia" w:hAnsiTheme="minorEastAsia" w:eastAsiaTheme="minorEastAsia"/>
          <w:b/>
          <w:sz w:val="28"/>
          <w:szCs w:val="21"/>
        </w:rPr>
      </w:pPr>
      <w:r>
        <w:rPr>
          <w:rFonts w:hint="eastAsia" w:cs="仿宋" w:asciiTheme="minorEastAsia" w:hAnsiTheme="minorEastAsia" w:eastAsiaTheme="minorEastAsia"/>
          <w:b/>
          <w:sz w:val="28"/>
          <w:szCs w:val="21"/>
        </w:rPr>
        <w:t xml:space="preserve">第三章 采购需求</w:t>
      </w:r>
      <w:r/>
    </w:p>
    <w:p>
      <w:pPr>
        <w:pStyle w:val="1005"/>
        <w:spacing w:line="480" w:lineRule="auto"/>
        <w:tabs>
          <w:tab w:val="right" w:pos="9344" w:leader="dot"/>
        </w:tabs>
        <w:rPr>
          <w:rFonts w:hint="eastAsia" w:cs="仿宋" w:asciiTheme="minorEastAsia" w:hAnsiTheme="minorEastAsia" w:eastAsiaTheme="minorEastAsia"/>
          <w:b/>
          <w:sz w:val="28"/>
          <w:szCs w:val="21"/>
        </w:rPr>
      </w:pPr>
      <w:r>
        <w:rPr>
          <w:rFonts w:hint="eastAsia" w:cs="仿宋" w:asciiTheme="minorEastAsia" w:hAnsiTheme="minorEastAsia" w:eastAsiaTheme="minorEastAsia"/>
          <w:b/>
          <w:sz w:val="28"/>
          <w:szCs w:val="21"/>
        </w:rPr>
        <w:t xml:space="preserve">第四章 评标办法及标准</w:t>
      </w:r>
      <w:r/>
    </w:p>
    <w:p>
      <w:pPr>
        <w:pStyle w:val="1005"/>
        <w:spacing w:line="480" w:lineRule="auto"/>
        <w:tabs>
          <w:tab w:val="right" w:pos="9344" w:leader="dot"/>
        </w:tabs>
        <w:rPr>
          <w:rFonts w:hint="eastAsia" w:cs="仿宋" w:asciiTheme="minorEastAsia" w:hAnsiTheme="minorEastAsia" w:eastAsiaTheme="minorEastAsia"/>
          <w:b/>
          <w:sz w:val="28"/>
          <w:szCs w:val="21"/>
        </w:rPr>
      </w:pPr>
      <w:r>
        <w:rPr>
          <w:rFonts w:hint="eastAsia" w:cs="仿宋" w:asciiTheme="minorEastAsia" w:hAnsiTheme="minorEastAsia" w:eastAsiaTheme="minorEastAsia"/>
          <w:b/>
          <w:sz w:val="28"/>
          <w:szCs w:val="21"/>
        </w:rPr>
        <w:t xml:space="preserve">第五章 合同条款</w:t>
      </w:r>
      <w:r/>
    </w:p>
    <w:p>
      <w:pPr>
        <w:pStyle w:val="1005"/>
        <w:spacing w:line="480" w:lineRule="auto"/>
        <w:tabs>
          <w:tab w:val="right" w:pos="9344" w:leader="dot"/>
        </w:tabs>
        <w:rPr>
          <w:rFonts w:hint="eastAsia" w:cs="仿宋" w:asciiTheme="minorEastAsia" w:hAnsiTheme="minorEastAsia" w:eastAsiaTheme="minorEastAsia"/>
          <w:b/>
          <w:sz w:val="28"/>
          <w:szCs w:val="21"/>
        </w:rPr>
      </w:pPr>
      <w:r>
        <w:rPr>
          <w:rFonts w:hint="eastAsia" w:cs="仿宋" w:asciiTheme="minorEastAsia" w:hAnsiTheme="minorEastAsia" w:eastAsiaTheme="minorEastAsia"/>
          <w:b/>
          <w:sz w:val="28"/>
          <w:szCs w:val="21"/>
        </w:rPr>
        <w:fldChar w:fldCharType="end"/>
      </w:r>
      <w:r>
        <w:rPr>
          <w:rFonts w:hint="eastAsia" w:cs="仿宋" w:asciiTheme="minorEastAsia" w:hAnsiTheme="minorEastAsia" w:eastAsiaTheme="minorEastAsia"/>
          <w:b/>
          <w:sz w:val="28"/>
          <w:szCs w:val="21"/>
        </w:rPr>
        <w:t xml:space="preserve">第六章 投标文件格式</w:t>
      </w:r>
      <w:r/>
    </w:p>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spacing w:line="360" w:lineRule="auto"/>
        <w:rPr>
          <w:rFonts w:hint="eastAsia" w:cs="仿宋" w:asciiTheme="minorEastAsia" w:hAnsiTheme="minorEastAsia" w:eastAsiaTheme="minorEastAsia"/>
          <w:b/>
          <w:sz w:val="21"/>
          <w:szCs w:val="21"/>
        </w:rPr>
      </w:pPr>
      <w:r>
        <w:rPr>
          <w:rFonts w:hint="eastAsia" w:cs="仿宋" w:asciiTheme="minorEastAsia" w:hAnsiTheme="minorEastAsia" w:eastAsiaTheme="minorEastAsia"/>
          <w:b/>
          <w:sz w:val="21"/>
          <w:szCs w:val="21"/>
        </w:rPr>
      </w:r>
      <w:r/>
    </w:p>
    <w:p>
      <w:pPr>
        <w:spacing w:line="360" w:lineRule="auto"/>
        <w:rPr>
          <w:rFonts w:hint="eastAsia" w:cs="仿宋" w:asciiTheme="minorEastAsia" w:hAnsiTheme="minorEastAsia" w:eastAsiaTheme="minorEastAsia"/>
          <w:b/>
          <w:sz w:val="21"/>
          <w:szCs w:val="21"/>
        </w:rPr>
      </w:pPr>
      <w:r>
        <w:rPr>
          <w:rFonts w:hint="eastAsia" w:cs="仿宋" w:asciiTheme="minorEastAsia" w:hAnsiTheme="minorEastAsia" w:eastAsiaTheme="minorEastAsia"/>
          <w:b/>
          <w:sz w:val="21"/>
          <w:szCs w:val="21"/>
        </w:rPr>
      </w:r>
      <w:r/>
    </w:p>
    <w:p>
      <w:pPr>
        <w:spacing w:line="360" w:lineRule="auto"/>
        <w:rPr>
          <w:rFonts w:hint="eastAsia" w:cs="仿宋" w:asciiTheme="minorEastAsia" w:hAnsiTheme="minorEastAsia" w:eastAsiaTheme="minorEastAsia"/>
          <w:b/>
          <w:sz w:val="21"/>
          <w:szCs w:val="21"/>
        </w:rPr>
      </w:pPr>
      <w:r>
        <w:rPr>
          <w:rFonts w:hint="eastAsia" w:cs="仿宋" w:asciiTheme="minorEastAsia" w:hAnsiTheme="minorEastAsia" w:eastAsiaTheme="minorEastAsia"/>
          <w:b/>
          <w:sz w:val="21"/>
          <w:szCs w:val="21"/>
        </w:rPr>
      </w:r>
      <w:r/>
    </w:p>
    <w:p>
      <w:pPr>
        <w:spacing w:line="360" w:lineRule="auto"/>
        <w:rPr>
          <w:rFonts w:hint="eastAsia" w:cs="仿宋" w:asciiTheme="minorEastAsia" w:hAnsiTheme="minorEastAsia" w:eastAsiaTheme="minorEastAsia"/>
          <w:b/>
          <w:sz w:val="21"/>
          <w:szCs w:val="21"/>
        </w:rPr>
      </w:pPr>
      <w:r>
        <w:rPr>
          <w:rFonts w:hint="eastAsia" w:cs="仿宋" w:asciiTheme="minorEastAsia" w:hAnsiTheme="minorEastAsia" w:eastAsiaTheme="minorEastAsia"/>
          <w:b/>
          <w:sz w:val="21"/>
          <w:szCs w:val="21"/>
        </w:rPr>
      </w:r>
      <w:r/>
    </w:p>
    <w:p>
      <w:pPr>
        <w:jc w:val="center"/>
        <w:spacing w:line="360" w:lineRule="auto"/>
        <w:widowControl/>
        <w:rPr>
          <w:rFonts w:hint="eastAsia" w:cs="仿宋" w:asciiTheme="minorEastAsia" w:hAnsiTheme="minorEastAsia" w:eastAsiaTheme="minorEastAsia"/>
          <w:b/>
          <w:spacing w:val="15"/>
          <w:sz w:val="32"/>
          <w:szCs w:val="32"/>
        </w:rPr>
      </w:pPr>
      <w:r>
        <w:rPr>
          <w:rFonts w:hint="eastAsia" w:cs="仿宋" w:asciiTheme="minorEastAsia" w:hAnsiTheme="minorEastAsia" w:eastAsiaTheme="minorEastAsia"/>
          <w:sz w:val="21"/>
          <w:szCs w:val="21"/>
        </w:rPr>
        <w:br w:type="page" w:clear="all"/>
      </w:r>
      <w:bookmarkStart w:id="0" w:name="_Toc388026584"/>
      <w:r/>
      <w:bookmarkStart w:id="1" w:name="_Toc409438817"/>
      <w:r>
        <w:rPr>
          <w:rFonts w:hint="eastAsia" w:cs="仿宋" w:asciiTheme="minorEastAsia" w:hAnsiTheme="minorEastAsia" w:eastAsiaTheme="minorEastAsia"/>
          <w:b/>
          <w:spacing w:val="15"/>
          <w:sz w:val="32"/>
          <w:szCs w:val="32"/>
        </w:rPr>
        <w:t xml:space="preserve">第一章</w:t>
      </w:r>
      <w:r>
        <w:rPr>
          <w:rFonts w:hint="eastAsia" w:cs="宋体" w:asciiTheme="minorEastAsia" w:hAnsiTheme="minorEastAsia" w:eastAsiaTheme="minorEastAsia"/>
          <w:sz w:val="32"/>
          <w:szCs w:val="32"/>
        </w:rPr>
        <w:t xml:space="preserve"> </w:t>
      </w:r>
      <w:bookmarkStart w:id="2" w:name="_Toc417477665"/>
      <w:r/>
      <w:bookmarkEnd w:id="2"/>
      <w:r/>
      <w:bookmarkStart w:id="3" w:name="_Toc258329824"/>
      <w:r/>
      <w:bookmarkEnd w:id="3"/>
      <w:r/>
      <w:bookmarkStart w:id="4" w:name="_Toc228679947"/>
      <w:r/>
      <w:bookmarkEnd w:id="4"/>
      <w:r>
        <w:rPr>
          <w:rFonts w:hint="eastAsia" w:cs="仿宋" w:asciiTheme="minorEastAsia" w:hAnsiTheme="minorEastAsia" w:eastAsiaTheme="minorEastAsia"/>
          <w:b/>
          <w:spacing w:val="15"/>
          <w:sz w:val="32"/>
          <w:szCs w:val="32"/>
        </w:rPr>
        <w:t xml:space="preserve">招标公告</w:t>
      </w:r>
      <w:r/>
    </w:p>
    <w:p>
      <w:pPr>
        <w:spacing w:line="360" w:lineRule="auto"/>
        <w:rPr>
          <w:rFonts w:hint="eastAsia" w:cs="仿宋" w:asciiTheme="minorEastAsia" w:hAnsiTheme="minorEastAsia" w:eastAsiaTheme="minorEastAsia"/>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sz w:val="24"/>
          <w:szCs w:val="24"/>
        </w:rPr>
        <w:t xml:space="preserve">项目概况</w:t>
      </w:r>
      <w:r/>
    </w:p>
    <w:p>
      <w:pPr>
        <w:ind w:firstLine="488"/>
        <w:spacing w:line="360" w:lineRule="auto"/>
        <w:rPr>
          <w:rFonts w:hint="eastAsia" w:cs="仿宋" w:asciiTheme="minorEastAsia" w:hAnsiTheme="minorEastAsia" w:eastAsiaTheme="minorEastAsia"/>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sz w:val="24"/>
          <w:szCs w:val="24"/>
          <w:u w:val="single"/>
        </w:rPr>
        <w:t xml:space="preserve">全数字化通用型平板血管造影系统</w:t>
      </w:r>
      <w:r>
        <w:rPr>
          <w:rFonts w:hint="eastAsia" w:cs="仿宋" w:asciiTheme="minorEastAsia" w:hAnsiTheme="minorEastAsia" w:eastAsiaTheme="minorEastAsia"/>
          <w:sz w:val="24"/>
          <w:szCs w:val="24"/>
        </w:rPr>
        <w:t xml:space="preserve">招标项目的潜在投标人可在“江苏政府采购网</w:t>
      </w:r>
      <w:r>
        <w:rPr>
          <w:rFonts w:hint="eastAsia" w:cs="仿宋" w:asciiTheme="minorEastAsia" w:hAnsiTheme="minorEastAsia" w:eastAsiaTheme="minorEastAsia"/>
          <w:sz w:val="24"/>
          <w:szCs w:val="24"/>
          <w:u w:val="single"/>
        </w:rPr>
        <w:t xml:space="preserve">-苏采云”系统</w:t>
      </w:r>
      <w:r>
        <w:rPr>
          <w:rFonts w:hint="eastAsia" w:cs="仿宋" w:asciiTheme="minorEastAsia" w:hAnsiTheme="minorEastAsia" w:eastAsiaTheme="minorEastAsia"/>
          <w:sz w:val="24"/>
          <w:szCs w:val="24"/>
        </w:rPr>
        <w:t xml:space="preserve">自行下载招标文件 </w:t>
      </w:r>
      <w:r>
        <w:rPr>
          <w:highlight w:val="white"/>
        </w:rPr>
        <w:fldChar w:fldCharType="begin"/>
      </w:r>
      <w:r>
        <w:rPr>
          <w:highlight w:val="white"/>
        </w:rPr>
        <w:instrText xml:space="preserve"> HYPERLINK "http://jszfcg.jsczt.cn/）获取招标文件，并于2023年11月" \o "http://jszfcg.jsczt.cn/）获取招标文件，并于2023年11月" </w:instrText>
      </w:r>
      <w:r>
        <w:rPr>
          <w:highlight w:val="white"/>
        </w:rPr>
        <w:fldChar w:fldCharType="separate"/>
      </w:r>
      <w:r>
        <w:rPr>
          <w:rStyle w:val="850"/>
          <w:rFonts w:hint="eastAsia" w:cs="仿宋" w:asciiTheme="minorEastAsia" w:hAnsiTheme="minorEastAsia" w:eastAsiaTheme="minorEastAsia"/>
          <w:color w:val="auto"/>
          <w:sz w:val="24"/>
          <w:szCs w:val="24"/>
          <w:highlight w:val="white"/>
          <w:u w:val="none"/>
        </w:rPr>
        <w:t xml:space="preserve">，并于</w:t>
      </w:r>
      <w:r>
        <w:rPr>
          <w:rStyle w:val="850"/>
          <w:rFonts w:hint="eastAsia" w:cs="仿宋" w:asciiTheme="minorEastAsia" w:hAnsiTheme="minorEastAsia" w:eastAsiaTheme="minorEastAsia"/>
          <w:color w:val="auto"/>
          <w:sz w:val="24"/>
          <w:szCs w:val="24"/>
          <w:highlight w:val="white"/>
        </w:rPr>
        <w:t xml:space="preserve">2025年</w:t>
      </w:r>
      <w:r>
        <w:rPr>
          <w:rStyle w:val="850"/>
          <w:rFonts w:hint="eastAsia" w:cs="仿宋" w:asciiTheme="minorEastAsia" w:hAnsiTheme="minorEastAsia" w:eastAsiaTheme="minorEastAsia"/>
          <w:color w:val="auto"/>
          <w:sz w:val="24"/>
          <w:szCs w:val="24"/>
          <w:highlight w:val="white"/>
          <w:lang w:val="en-US" w:eastAsia="zh-CN"/>
        </w:rPr>
        <w:t xml:space="preserve">05</w:t>
      </w:r>
      <w:r>
        <w:rPr>
          <w:rStyle w:val="850"/>
          <w:rFonts w:hint="eastAsia" w:cs="仿宋" w:asciiTheme="minorEastAsia" w:hAnsiTheme="minorEastAsia" w:eastAsiaTheme="minorEastAsia"/>
          <w:color w:val="auto"/>
          <w:sz w:val="24"/>
          <w:szCs w:val="24"/>
          <w:highlight w:val="white"/>
        </w:rPr>
        <w:t xml:space="preserve">月</w:t>
      </w:r>
      <w:r>
        <w:rPr>
          <w:rStyle w:val="850"/>
          <w:rFonts w:hint="eastAsia" w:cs="仿宋" w:asciiTheme="minorEastAsia" w:hAnsiTheme="minorEastAsia" w:eastAsiaTheme="minorEastAsia"/>
          <w:color w:val="auto"/>
          <w:sz w:val="24"/>
          <w:szCs w:val="24"/>
          <w:highlight w:val="white"/>
        </w:rPr>
        <w:fldChar w:fldCharType="end"/>
      </w:r>
      <w:r>
        <w:rPr>
          <w:rStyle w:val="850"/>
          <w:rFonts w:hint="eastAsia" w:cs="仿宋" w:asciiTheme="minorEastAsia" w:hAnsiTheme="minorEastAsia" w:eastAsiaTheme="minorEastAsia"/>
          <w:color w:val="auto"/>
          <w:sz w:val="24"/>
          <w:szCs w:val="24"/>
          <w:highlight w:val="white"/>
          <w:lang w:val="en-US" w:eastAsia="zh-CN"/>
        </w:rPr>
        <w:t xml:space="preserve">07</w:t>
      </w:r>
      <w:r>
        <w:rPr>
          <w:rFonts w:hint="eastAsia" w:cs="仿宋" w:asciiTheme="minorEastAsia" w:hAnsiTheme="minorEastAsia" w:eastAsiaTheme="minorEastAsia"/>
          <w:sz w:val="24"/>
          <w:szCs w:val="24"/>
          <w:highlight w:val="white"/>
          <w:u w:val="single"/>
        </w:rPr>
        <w:t xml:space="preserve">日</w:t>
      </w:r>
      <w:r>
        <w:rPr>
          <w:rFonts w:hint="eastAsia" w:cs="仿宋" w:asciiTheme="minorEastAsia" w:hAnsiTheme="minorEastAsia" w:eastAsiaTheme="minorEastAsia"/>
          <w:sz w:val="24"/>
          <w:szCs w:val="24"/>
          <w:highlight w:val="white"/>
          <w:u w:val="single"/>
          <w:lang w:val="en-US" w:eastAsia="zh-CN"/>
        </w:rPr>
        <w:t xml:space="preserve">09</w:t>
      </w:r>
      <w:r>
        <w:rPr>
          <w:rFonts w:hint="eastAsia" w:cs="仿宋" w:asciiTheme="minorEastAsia" w:hAnsiTheme="minorEastAsia" w:eastAsiaTheme="minorEastAsia"/>
          <w:sz w:val="24"/>
          <w:szCs w:val="24"/>
          <w:highlight w:val="white"/>
          <w:u w:val="single"/>
        </w:rPr>
        <w:t xml:space="preserve">时</w:t>
      </w:r>
      <w:r>
        <w:rPr>
          <w:rFonts w:hint="eastAsia" w:cs="仿宋" w:asciiTheme="minorEastAsia" w:hAnsiTheme="minorEastAsia" w:eastAsiaTheme="minorEastAsia"/>
          <w:sz w:val="24"/>
          <w:szCs w:val="24"/>
          <w:highlight w:val="white"/>
          <w:u w:val="single"/>
          <w:lang w:val="en-US" w:eastAsia="zh-CN"/>
        </w:rPr>
        <w:t xml:space="preserve">00</w:t>
      </w:r>
      <w:r>
        <w:rPr>
          <w:rFonts w:hint="eastAsia" w:cs="仿宋" w:asciiTheme="minorEastAsia" w:hAnsiTheme="minorEastAsia" w:eastAsiaTheme="minorEastAsia"/>
          <w:sz w:val="24"/>
          <w:szCs w:val="24"/>
          <w:highlight w:val="white"/>
          <w:u w:val="single"/>
        </w:rPr>
        <w:t xml:space="preserve">分</w:t>
      </w:r>
      <w:r>
        <w:rPr>
          <w:rFonts w:hint="eastAsia" w:cs="仿宋" w:asciiTheme="minorEastAsia" w:hAnsiTheme="minorEastAsia" w:eastAsiaTheme="minorEastAsia"/>
          <w:bCs/>
          <w:sz w:val="24"/>
          <w:szCs w:val="24"/>
        </w:rPr>
        <w:t xml:space="preserve">（北京时间）前上传投标文件</w:t>
      </w:r>
      <w:r>
        <w:rPr>
          <w:rFonts w:hint="eastAsia" w:cs="仿宋" w:asciiTheme="minorEastAsia" w:hAnsiTheme="minorEastAsia" w:eastAsiaTheme="minorEastAsia"/>
          <w:sz w:val="24"/>
          <w:szCs w:val="24"/>
        </w:rPr>
        <w:t xml:space="preserve">。</w:t>
      </w:r>
      <w:r/>
    </w:p>
    <w:p>
      <w:pPr>
        <w:pStyle w:val="1006"/>
        <w:spacing w:before="0" w:after="0" w:line="500" w:lineRule="exact"/>
        <w:rPr>
          <w:rFonts w:hint="eastAsia" w:cs="仿宋" w:asciiTheme="minorEastAsia" w:hAnsiTheme="minorEastAsia" w:eastAsiaTheme="minorEastAsia"/>
          <w:bCs w:val="0"/>
          <w:sz w:val="24"/>
          <w:szCs w:val="24"/>
        </w:rPr>
      </w:pPr>
      <w:r/>
      <w:bookmarkStart w:id="5" w:name="_Toc28359079"/>
      <w:r/>
      <w:bookmarkStart w:id="6" w:name="_Toc35393621"/>
      <w:r/>
      <w:bookmarkStart w:id="7" w:name="_Toc28359002"/>
      <w:r/>
      <w:bookmarkStart w:id="8" w:name="_Toc35393790"/>
      <w:r/>
      <w:bookmarkStart w:id="9" w:name="_Hlk24379207"/>
      <w:r>
        <w:rPr>
          <w:rFonts w:hint="eastAsia" w:cs="仿宋" w:asciiTheme="minorEastAsia" w:hAnsiTheme="minorEastAsia" w:eastAsiaTheme="minorEastAsia"/>
          <w:bCs w:val="0"/>
          <w:sz w:val="24"/>
          <w:szCs w:val="24"/>
        </w:rPr>
        <w:t xml:space="preserve">一、项目基本情况</w:t>
      </w:r>
      <w:bookmarkEnd w:id="5"/>
      <w:r/>
      <w:bookmarkEnd w:id="6"/>
      <w:r/>
      <w:bookmarkEnd w:id="7"/>
      <w:r/>
      <w:bookmarkEnd w:id="8"/>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项目编号：JSZC-321282-HRGJ-G2025-0005</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项目名称：</w:t>
      </w:r>
      <w:bookmarkEnd w:id="9"/>
      <w:r>
        <w:rPr>
          <w:rFonts w:hint="eastAsia" w:cs="仿宋" w:asciiTheme="minorEastAsia" w:hAnsiTheme="minorEastAsia" w:eastAsiaTheme="minorEastAsia"/>
          <w:sz w:val="24"/>
          <w:szCs w:val="24"/>
        </w:rPr>
        <w:t xml:space="preserve">全数字化通用型平板血管造影系统</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预算金额：</w:t>
      </w:r>
      <w:r>
        <w:rPr>
          <w:rFonts w:cs="仿宋" w:asciiTheme="minorEastAsia" w:hAnsiTheme="minorEastAsia" w:eastAsiaTheme="minorEastAsia"/>
          <w:sz w:val="24"/>
          <w:szCs w:val="24"/>
        </w:rPr>
        <w:t xml:space="preserve">560</w:t>
      </w:r>
      <w:r>
        <w:rPr>
          <w:rFonts w:hint="eastAsia" w:cs="仿宋" w:asciiTheme="minorEastAsia" w:hAnsiTheme="minorEastAsia" w:eastAsiaTheme="minorEastAsia"/>
          <w:sz w:val="24"/>
          <w:szCs w:val="24"/>
        </w:rPr>
        <w:t xml:space="preserve">万元</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最高限价：</w:t>
      </w:r>
      <w:r>
        <w:rPr>
          <w:rFonts w:cs="仿宋" w:asciiTheme="minorEastAsia" w:hAnsiTheme="minorEastAsia" w:eastAsiaTheme="minorEastAsia"/>
          <w:sz w:val="24"/>
          <w:szCs w:val="24"/>
        </w:rPr>
        <w:t xml:space="preserve">560</w:t>
      </w:r>
      <w:r>
        <w:rPr>
          <w:rFonts w:hint="eastAsia" w:cs="仿宋" w:asciiTheme="minorEastAsia" w:hAnsiTheme="minorEastAsia" w:eastAsiaTheme="minorEastAsia"/>
          <w:sz w:val="24"/>
          <w:szCs w:val="24"/>
        </w:rPr>
        <w:t xml:space="preserve">万元</w:t>
      </w:r>
      <w:r/>
    </w:p>
    <w:p>
      <w:pPr>
        <w:ind w:firstLine="480"/>
        <w:jc w:val="left"/>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采购需求：</w:t>
      </w:r>
      <w:r/>
    </w:p>
    <w:tbl>
      <w:tblPr>
        <w:tblStyle w:val="1033"/>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6"/>
        <w:gridCol w:w="1128"/>
        <w:gridCol w:w="3736"/>
        <w:gridCol w:w="804"/>
        <w:gridCol w:w="1306"/>
        <w:gridCol w:w="756"/>
      </w:tblGrid>
      <w:tr>
        <w:trPr>
          <w:jc w:val="center"/>
          <w:trHeight w:val="1041"/>
        </w:trPr>
        <w:tc>
          <w:tcPr>
            <w:tcW w:w="347"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标段</w:t>
            </w:r>
            <w:r/>
          </w:p>
        </w:tc>
        <w:tc>
          <w:tcPr>
            <w:tcW w:w="679"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品目号</w:t>
            </w:r>
            <w:r/>
          </w:p>
        </w:tc>
        <w:tc>
          <w:tcPr>
            <w:tcW w:w="2249"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484"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78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455"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680" w:hRule="exact"/>
        </w:trPr>
        <w:tc>
          <w:tcPr>
            <w:shd w:val="clear" w:color="auto" w:fill="ffffff"/>
            <w:tcW w:w="347"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ffffff"/>
            <w:tcW w:w="679" w:type="pct"/>
            <w:vAlign w:val="center"/>
            <w:textDirection w:val="lrTb"/>
            <w:noWrap w:val="false"/>
          </w:tcPr>
          <w:p>
            <w:pPr>
              <w:jc w:val="center"/>
              <w:spacing w:line="440" w:lineRule="exact"/>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1-1</w:t>
            </w:r>
            <w:r/>
          </w:p>
        </w:tc>
        <w:tc>
          <w:tcPr>
            <w:shd w:val="clear" w:color="auto" w:fill="ffffff"/>
            <w:tcW w:w="2249"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cs="仿宋" w:asciiTheme="minorEastAsia" w:hAnsiTheme="minorEastAsia" w:eastAsiaTheme="minorEastAsia"/>
                <w:sz w:val="24"/>
                <w:szCs w:val="24"/>
                <w:highlight w:val="none"/>
              </w:rPr>
              <w:t xml:space="preserve">全数字化通用型平板血管造影系统</w:t>
            </w:r>
            <w:r/>
          </w:p>
        </w:tc>
        <w:tc>
          <w:tcPr>
            <w:shd w:val="clear" w:color="auto" w:fill="ffffff"/>
            <w:tcW w:w="484"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1套</w:t>
            </w:r>
            <w:r/>
          </w:p>
        </w:tc>
        <w:tc>
          <w:tcPr>
            <w:shd w:val="clear" w:color="auto" w:fill="ffffff"/>
            <w:tcW w:w="786"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ascii="宋体" w:hAnsi="宋体" w:eastAsia="宋体" w:cs="宋体"/>
                <w:sz w:val="24"/>
                <w:szCs w:val="24"/>
                <w:highlight w:val="none"/>
              </w:rPr>
              <w:t xml:space="preserve">560</w:t>
            </w:r>
            <w:r/>
          </w:p>
        </w:tc>
        <w:tc>
          <w:tcPr>
            <w:shd w:val="clear" w:color="auto" w:fill="ffffff"/>
            <w:tcW w:w="455"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不接受</w:t>
            </w:r>
            <w:r/>
          </w:p>
        </w:tc>
      </w:tr>
    </w:tbl>
    <w:p>
      <w:pPr>
        <w:pStyle w:val="1007"/>
        <w:ind w:firstLine="480"/>
        <w:spacing w:line="500" w:lineRule="exact"/>
        <w:rPr>
          <w:rFonts w:hint="eastAsia" w:asciiTheme="minorEastAsia" w:hAnsiTheme="minorEastAsia" w:eastAsiaTheme="minorEastAsia"/>
          <w:color w:val="auto"/>
        </w:rPr>
      </w:pPr>
      <w:r>
        <w:rPr>
          <w:rFonts w:hint="eastAsia" w:asciiTheme="minorEastAsia" w:hAnsiTheme="minorEastAsia" w:eastAsiaTheme="minorEastAsia"/>
          <w:color w:val="auto"/>
          <w:highlight w:val="none"/>
        </w:rPr>
        <w:t xml:space="preserve">合同履行期限：合同签订后三个月内</w:t>
      </w:r>
      <w:r/>
    </w:p>
    <w:p>
      <w:pPr>
        <w:pStyle w:val="1007"/>
        <w:ind w:firstLine="480"/>
        <w:spacing w:line="500" w:lineRule="exact"/>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本项目不接受联合体投标。</w:t>
      </w:r>
      <w:r/>
    </w:p>
    <w:p>
      <w:pPr>
        <w:pStyle w:val="1006"/>
        <w:spacing w:before="0" w:after="0" w:line="500" w:lineRule="exact"/>
        <w:rPr>
          <w:rFonts w:hint="eastAsia" w:cs="仿宋" w:asciiTheme="minorEastAsia" w:hAnsiTheme="minorEastAsia" w:eastAsiaTheme="minorEastAsia"/>
          <w:bCs w:val="0"/>
          <w:sz w:val="24"/>
          <w:szCs w:val="24"/>
        </w:rPr>
      </w:pPr>
      <w:r/>
      <w:bookmarkStart w:id="10" w:name="_Toc35393791"/>
      <w:r/>
      <w:bookmarkStart w:id="11" w:name="_Toc28359003"/>
      <w:r/>
      <w:bookmarkStart w:id="12" w:name="_Toc28359080"/>
      <w:r/>
      <w:bookmarkStart w:id="13" w:name="_Toc35393622"/>
      <w:r>
        <w:rPr>
          <w:rFonts w:hint="eastAsia" w:cs="仿宋" w:asciiTheme="minorEastAsia" w:hAnsiTheme="minorEastAsia" w:eastAsiaTheme="minorEastAsia"/>
          <w:bCs w:val="0"/>
          <w:sz w:val="24"/>
          <w:szCs w:val="24"/>
        </w:rPr>
        <w:t xml:space="preserve">二、申请人的资格要求：</w:t>
      </w:r>
      <w:bookmarkEnd w:id="10"/>
      <w:r/>
      <w:bookmarkEnd w:id="11"/>
      <w:r/>
      <w:bookmarkEnd w:id="12"/>
      <w:r/>
      <w:bookmarkEnd w:id="13"/>
      <w:r/>
      <w:r/>
    </w:p>
    <w:p>
      <w:pPr>
        <w:ind w:firstLine="480"/>
        <w:spacing w:line="500" w:lineRule="exact"/>
        <w:rPr>
          <w:rFonts w:hint="eastAsia" w:cs="仿宋" w:asciiTheme="minorEastAsia" w:hAnsiTheme="minorEastAsia" w:eastAsiaTheme="minorEastAsia"/>
          <w:b/>
          <w:bCs/>
          <w:sz w:val="24"/>
          <w:szCs w:val="24"/>
        </w:rPr>
      </w:pPr>
      <w:r/>
      <w:bookmarkStart w:id="14" w:name="_Toc28359004"/>
      <w:r/>
      <w:bookmarkStart w:id="15" w:name="_Toc28359081"/>
      <w:r>
        <w:rPr>
          <w:rFonts w:hint="eastAsia" w:cs="仿宋" w:asciiTheme="minorEastAsia" w:hAnsiTheme="minorEastAsia" w:eastAsiaTheme="minorEastAsia"/>
          <w:b/>
          <w:bCs/>
          <w:sz w:val="24"/>
          <w:szCs w:val="24"/>
        </w:rPr>
        <w:t xml:space="preserve">1、满足《中华人民共和国政府采购法》第二十二条规定。</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（1）具有独立承担民事责任的能力【提供企事业法人（或其他组织）的营业执照（或相关部门的登记证明文件）】；</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（2）具有良好的商业信誉和健全的财务会计制度【近六个月中任意一个月份(不含投标文件递交当月) 的财务状况报告或由会计师事务所出具的近两年中任意一个年度的审计报告，其他组织、自然人及成立未满一年的法人应提供银行出具的资信证明】；</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（3）具有履行合同所必须的设备和专业技术能力【提供书面声明】；</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（4）有依法缴纳税收和社会保障资金的良好记录【近六个月中任意一个月份(不含投标文件递交当月) 的依法缴纳税收的相关材料（提供相关主管部门证明或银行代扣证明）；近六个月中任意一个月份(不含投标文件递交当月)的依法缴纳社会保障资金的相关材料（提供相关主管部门证明或银行代扣证明）】；</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（5）参加政府采购活动前三年内，在经营活动中没有重大违法记录【提供承诺函】；</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（6）法律、行政法规规定的其他条件。</w:t>
      </w:r>
      <w:r/>
    </w:p>
    <w:p>
      <w:pPr>
        <w:ind w:firstLine="480"/>
        <w:spacing w:line="500" w:lineRule="exact"/>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2、落实政府采购政策需满足的资格要求：</w:t>
      </w:r>
      <w:r/>
    </w:p>
    <w:p>
      <w:pPr>
        <w:ind w:firstLine="480"/>
        <w:spacing w:line="500" w:lineRule="exact"/>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2.1</w:t>
      </w:r>
      <w:r>
        <w:rPr>
          <w:rFonts w:cs="仿宋" w:asciiTheme="minorEastAsia" w:hAnsiTheme="minorEastAsia" w:eastAsiaTheme="minorEastAsia"/>
          <w:bCs/>
          <w:sz w:val="24"/>
          <w:szCs w:val="24"/>
        </w:rPr>
        <w:t xml:space="preserve">本项目属于</w:t>
      </w:r>
      <w:r>
        <w:rPr>
          <w:rFonts w:cs="仿宋" w:asciiTheme="minorEastAsia" w:hAnsiTheme="minorEastAsia" w:eastAsiaTheme="minorEastAsia"/>
          <w:bCs/>
          <w:sz w:val="24"/>
          <w:szCs w:val="24"/>
          <w:u w:val="single"/>
        </w:rPr>
        <w:t xml:space="preserve">货物类</w:t>
      </w:r>
      <w:r>
        <w:rPr>
          <w:rFonts w:cs="仿宋" w:asciiTheme="minorEastAsia" w:hAnsiTheme="minorEastAsia" w:eastAsiaTheme="minorEastAsia"/>
          <w:bCs/>
          <w:sz w:val="24"/>
          <w:szCs w:val="24"/>
        </w:rPr>
        <w:t xml:space="preserve">采购。</w:t>
      </w:r>
      <w:r>
        <w:rPr>
          <w:rFonts w:hint="eastAsia" w:cs="仿宋" w:asciiTheme="minorEastAsia" w:hAnsiTheme="minorEastAsia" w:eastAsiaTheme="minorEastAsia"/>
          <w:bCs/>
          <w:sz w:val="24"/>
          <w:szCs w:val="24"/>
        </w:rPr>
        <w:t xml:space="preserve">不专门面向中小企业采购。</w:t>
      </w:r>
      <w:r>
        <w:rPr>
          <w:rFonts w:cs="仿宋" w:asciiTheme="minorEastAsia" w:hAnsiTheme="minorEastAsia" w:eastAsiaTheme="minorEastAsia"/>
          <w:bCs/>
          <w:sz w:val="24"/>
          <w:szCs w:val="24"/>
        </w:rPr>
        <w:t xml:space="preserve">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cs="仿宋" w:asciiTheme="minorEastAsia" w:hAnsiTheme="minorEastAsia" w:eastAsiaTheme="minorEastAsia"/>
          <w:bCs/>
          <w:sz w:val="24"/>
          <w:szCs w:val="24"/>
        </w:rPr>
        <w:t xml:space="preserve">投标人</w:t>
      </w:r>
      <w:r>
        <w:rPr>
          <w:rFonts w:cs="仿宋" w:asciiTheme="minorEastAsia" w:hAnsiTheme="minorEastAsia" w:eastAsiaTheme="minorEastAsia"/>
          <w:bCs/>
          <w:sz w:val="24"/>
          <w:szCs w:val="24"/>
        </w:rPr>
        <w:t xml:space="preserve">企业规模。（</w:t>
      </w:r>
      <w:r>
        <w:rPr>
          <w:rFonts w:hint="eastAsia" w:cs="仿宋" w:asciiTheme="minorEastAsia" w:hAnsiTheme="minorEastAsia" w:eastAsiaTheme="minorEastAsia"/>
          <w:bCs/>
          <w:sz w:val="24"/>
          <w:szCs w:val="24"/>
        </w:rPr>
        <w:t xml:space="preserve">投标人</w:t>
      </w:r>
      <w:r>
        <w:rPr>
          <w:rFonts w:cs="仿宋" w:asciiTheme="minorEastAsia" w:hAnsiTheme="minorEastAsia" w:eastAsiaTheme="minorEastAsia"/>
          <w:bCs/>
          <w:sz w:val="24"/>
          <w:szCs w:val="24"/>
        </w:rPr>
        <w:t xml:space="preserve">必须提供</w:t>
      </w:r>
      <w:r>
        <w:rPr>
          <w:rFonts w:hint="eastAsia" w:cs="仿宋" w:asciiTheme="minorEastAsia" w:hAnsiTheme="minorEastAsia" w:eastAsiaTheme="minorEastAsia"/>
          <w:bCs/>
          <w:sz w:val="24"/>
          <w:szCs w:val="24"/>
        </w:rPr>
        <w:t xml:space="preserve">中小企业声明函</w:t>
      </w:r>
      <w:r>
        <w:rPr>
          <w:rFonts w:cs="仿宋" w:asciiTheme="minorEastAsia" w:hAnsiTheme="minorEastAsia" w:eastAsiaTheme="minorEastAsia"/>
          <w:bCs/>
          <w:sz w:val="24"/>
          <w:szCs w:val="24"/>
        </w:rPr>
        <w:t xml:space="preserve">（见格式））</w:t>
      </w:r>
      <w:r/>
    </w:p>
    <w:p>
      <w:pPr>
        <w:ind w:firstLine="480"/>
        <w:spacing w:line="500" w:lineRule="exact"/>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w:t>
      </w:r>
      <w:r>
        <w:rPr>
          <w:rFonts w:cs="仿宋" w:asciiTheme="minorEastAsia" w:hAnsiTheme="minorEastAsia" w:eastAsiaTheme="minorEastAsia"/>
          <w:bCs/>
          <w:sz w:val="24"/>
          <w:szCs w:val="24"/>
        </w:rPr>
        <w:t xml:space="preserve">.2中小微企业划型标准请对照《关于印发中小企业划型标准规定的通知》（工信部联企业〔2011〕300号）（详见</w:t>
      </w:r>
      <w:r>
        <w:rPr>
          <w:rFonts w:hint="eastAsia" w:cs="仿宋" w:asciiTheme="minorEastAsia" w:hAnsiTheme="minorEastAsia" w:eastAsiaTheme="minorEastAsia"/>
          <w:bCs/>
          <w:sz w:val="24"/>
          <w:szCs w:val="24"/>
        </w:rPr>
        <w:t xml:space="preserve">格式</w:t>
      </w:r>
      <w:r>
        <w:rPr>
          <w:rFonts w:cs="仿宋" w:asciiTheme="minorEastAsia" w:hAnsiTheme="minorEastAsia" w:eastAsiaTheme="minorEastAsia"/>
          <w:bCs/>
          <w:sz w:val="24"/>
          <w:szCs w:val="24"/>
        </w:rPr>
        <w:t xml:space="preserve">）。本项目采购标的对应的行业主要为</w:t>
      </w:r>
      <w:r>
        <w:rPr>
          <w:rFonts w:cs="仿宋" w:asciiTheme="minorEastAsia" w:hAnsiTheme="minorEastAsia" w:eastAsiaTheme="minorEastAsia"/>
          <w:bCs/>
          <w:sz w:val="24"/>
          <w:szCs w:val="24"/>
          <w:u w:val="single"/>
        </w:rPr>
        <w:t xml:space="preserve">工业</w:t>
      </w:r>
      <w:r>
        <w:rPr>
          <w:rFonts w:cs="仿宋" w:asciiTheme="minorEastAsia" w:hAnsiTheme="minorEastAsia" w:eastAsiaTheme="minorEastAsia"/>
          <w:bCs/>
          <w:sz w:val="24"/>
          <w:szCs w:val="24"/>
        </w:rPr>
        <w:t xml:space="preserve">。</w:t>
      </w:r>
      <w:r/>
    </w:p>
    <w:p>
      <w:pPr>
        <w:ind w:firstLine="480"/>
        <w:spacing w:line="500" w:lineRule="exact"/>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3、本项目的特定资格要求：</w:t>
      </w:r>
      <w:r/>
    </w:p>
    <w:p>
      <w:pPr>
        <w:ind w:firstLine="480"/>
        <w:spacing w:line="360" w:lineRule="auto"/>
        <w:rPr>
          <w:rFonts w:hint="eastAsia" w:ascii="宋体" w:hAnsi="宋体" w:eastAsia="宋体" w:cs="宋体"/>
          <w:bCs/>
          <w:color w:val="000000"/>
          <w:sz w:val="24"/>
          <w:szCs w:val="24"/>
        </w:rPr>
      </w:pPr>
      <w:r/>
      <w:bookmarkStart w:id="16" w:name="_Toc35393792"/>
      <w:r/>
      <w:bookmarkStart w:id="17" w:name="_Toc35393623"/>
      <w:r>
        <w:rPr>
          <w:rFonts w:hint="eastAsia" w:ascii="宋体" w:hAnsi="宋体" w:eastAsia="宋体" w:cs="宋体"/>
          <w:bCs/>
          <w:color w:val="000000"/>
          <w:sz w:val="24"/>
          <w:szCs w:val="24"/>
        </w:rPr>
        <w:t xml:space="preserve">3.1、投标产品需提供医疗器械注册证，销售公司需提供医疗器械经营许可证(投标产品为二类医疗产品的需提供医疗器械经营备案表)，若投标供应商为生产商，须提供《医疗器械生产许可证》。</w:t>
      </w:r>
      <w:r/>
    </w:p>
    <w:p>
      <w:pPr>
        <w:ind w:firstLine="480"/>
        <w:spacing w:line="360" w:lineRule="auto"/>
        <w:rPr>
          <w:rFonts w:ascii="楷体_GB2312" w:hAnsi="Arial"/>
          <w:b/>
          <w:position w:val="-10"/>
          <w:sz w:val="28"/>
          <w:szCs w:val="28"/>
        </w:rPr>
      </w:pPr>
      <w:r>
        <w:rPr>
          <w:rFonts w:hint="eastAsia" w:ascii="宋体" w:hAnsi="宋体" w:eastAsia="宋体"/>
          <w:sz w:val="24"/>
          <w:szCs w:val="24"/>
          <w:highlight w:val="none"/>
        </w:rPr>
        <w:t xml:space="preserve">3.2、投标人需具备辐射安全许可证</w:t>
      </w:r>
      <w:r/>
    </w:p>
    <w:p>
      <w:pPr>
        <w:pStyle w:val="1006"/>
        <w:spacing w:before="0" w:after="0" w:line="500" w:lineRule="exact"/>
        <w:rPr>
          <w:rFonts w:hint="eastAsia" w:cs="仿宋" w:asciiTheme="minorEastAsia" w:hAnsiTheme="minorEastAsia" w:eastAsiaTheme="minorEastAsia"/>
          <w:bCs w:val="0"/>
          <w:sz w:val="24"/>
          <w:szCs w:val="24"/>
        </w:rPr>
      </w:pPr>
      <w:r>
        <w:rPr>
          <w:rFonts w:hint="eastAsia" w:cs="仿宋" w:asciiTheme="minorEastAsia" w:hAnsiTheme="minorEastAsia" w:eastAsiaTheme="minorEastAsia"/>
          <w:bCs w:val="0"/>
          <w:sz w:val="24"/>
          <w:szCs w:val="24"/>
        </w:rPr>
        <w:t xml:space="preserve">三、获取招标文件</w:t>
      </w:r>
      <w:bookmarkEnd w:id="14"/>
      <w:r/>
      <w:bookmarkEnd w:id="15"/>
      <w:r/>
      <w:bookmarkEnd w:id="16"/>
      <w:r/>
      <w:bookmarkEnd w:id="17"/>
      <w:r>
        <w:rPr>
          <w:rFonts w:hint="eastAsia" w:cs="仿宋" w:asciiTheme="minorEastAsia" w:hAnsiTheme="minorEastAsia" w:eastAsiaTheme="minorEastAsia"/>
          <w:bCs w:val="0"/>
          <w:sz w:val="24"/>
          <w:szCs w:val="24"/>
        </w:rPr>
        <w:t xml:space="preserve">：</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时间：自招标文件公告发布之日起5个工作日。</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地点：投标人完成注册并办理CA证书后登录“江苏政府采购‘苏采云’系统”下载本项目招标文件。</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方式：登录江苏政府采购“苏采云”系统免费下载。</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售价：免费。</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注意事项：</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本项目采用网上注册登记方式。</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1.潜在投标人访问电子招标投标交易平台的网络地址和方法：</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（1）登录 http://jszfcg.jsczt.cn/，点击“苏采云”进入系统。</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2.采购代理机构将数据电文形式的招标文件加载至电子招标投标交易平台，供潜在投标人下载或者查阅。</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3.如潜在投标人未按上述要求操作，将自行承担所产生的风险。</w:t>
      </w:r>
      <w:r/>
    </w:p>
    <w:p>
      <w:pPr>
        <w:pStyle w:val="1006"/>
        <w:spacing w:before="0" w:after="0" w:line="500" w:lineRule="exact"/>
        <w:rPr>
          <w:rFonts w:hint="eastAsia" w:cs="仿宋" w:asciiTheme="minorEastAsia" w:hAnsiTheme="minorEastAsia" w:eastAsiaTheme="minorEastAsia"/>
          <w:bCs w:val="0"/>
          <w:sz w:val="24"/>
          <w:szCs w:val="24"/>
        </w:rPr>
      </w:pPr>
      <w:r/>
      <w:bookmarkStart w:id="18" w:name="_Toc28359005"/>
      <w:r/>
      <w:bookmarkStart w:id="19" w:name="_Toc28359082"/>
      <w:r/>
      <w:bookmarkStart w:id="20" w:name="_Toc35393624"/>
      <w:r/>
      <w:bookmarkStart w:id="21" w:name="_Toc35393793"/>
      <w:r>
        <w:rPr>
          <w:rFonts w:hint="eastAsia" w:cs="仿宋" w:asciiTheme="minorEastAsia" w:hAnsiTheme="minorEastAsia" w:eastAsiaTheme="minorEastAsia"/>
          <w:bCs w:val="0"/>
          <w:sz w:val="24"/>
          <w:szCs w:val="24"/>
        </w:rPr>
        <w:t xml:space="preserve">四、提交投标文件</w:t>
      </w:r>
      <w:bookmarkEnd w:id="18"/>
      <w:r/>
      <w:bookmarkEnd w:id="19"/>
      <w:r>
        <w:rPr>
          <w:rFonts w:hint="eastAsia" w:cs="仿宋" w:asciiTheme="minorEastAsia" w:hAnsiTheme="minorEastAsia" w:eastAsiaTheme="minorEastAsia"/>
          <w:bCs w:val="0"/>
          <w:sz w:val="24"/>
          <w:szCs w:val="24"/>
        </w:rPr>
        <w:t xml:space="preserve">截止时间、开标时间和地点</w:t>
      </w:r>
      <w:bookmarkEnd w:id="20"/>
      <w:r/>
      <w:bookmarkEnd w:id="21"/>
      <w:r/>
      <w:r/>
    </w:p>
    <w:p>
      <w:pPr>
        <w:ind w:firstLine="488"/>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时间：202</w:t>
      </w:r>
      <w:r>
        <w:rPr>
          <w:rFonts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年</w:t>
      </w:r>
      <w:r>
        <w:rPr>
          <w:rFonts w:hint="eastAsia" w:cs="仿宋" w:asciiTheme="minorEastAsia" w:hAnsiTheme="minorEastAsia" w:eastAsiaTheme="minorEastAsia"/>
          <w:sz w:val="24"/>
          <w:szCs w:val="24"/>
          <w:lang w:val="en-US" w:eastAsia="zh-CN"/>
        </w:rPr>
        <w:t xml:space="preserve">05</w:t>
      </w:r>
      <w:r>
        <w:rPr>
          <w:rFonts w:hint="eastAsia" w:cs="仿宋" w:asciiTheme="minorEastAsia" w:hAnsiTheme="minorEastAsia" w:eastAsiaTheme="minorEastAsia"/>
          <w:sz w:val="24"/>
          <w:szCs w:val="24"/>
        </w:rPr>
        <w:t xml:space="preserve">月</w:t>
      </w:r>
      <w:r>
        <w:rPr>
          <w:rFonts w:hint="eastAsia" w:cs="仿宋" w:asciiTheme="minorEastAsia" w:hAnsiTheme="minorEastAsia" w:eastAsiaTheme="minorEastAsia"/>
          <w:sz w:val="24"/>
          <w:szCs w:val="24"/>
          <w:lang w:val="en-US" w:eastAsia="zh-CN"/>
        </w:rPr>
        <w:t xml:space="preserve">07</w:t>
      </w:r>
      <w:r>
        <w:rPr>
          <w:rFonts w:hint="eastAsia" w:cs="仿宋" w:asciiTheme="minorEastAsia" w:hAnsiTheme="minorEastAsia" w:eastAsiaTheme="minorEastAsia"/>
          <w:sz w:val="24"/>
          <w:szCs w:val="24"/>
        </w:rPr>
        <w:t xml:space="preserve">日</w:t>
      </w:r>
      <w:r>
        <w:rPr>
          <w:rFonts w:hint="eastAsia" w:cs="仿宋" w:asciiTheme="minorEastAsia" w:hAnsiTheme="minorEastAsia" w:eastAsiaTheme="minorEastAsia"/>
          <w:sz w:val="24"/>
          <w:szCs w:val="24"/>
          <w:lang w:val="en-US" w:eastAsia="zh-CN"/>
        </w:rPr>
        <w:t xml:space="preserve">09</w:t>
      </w:r>
      <w:r>
        <w:rPr>
          <w:rFonts w:hint="eastAsia" w:cs="仿宋" w:asciiTheme="minorEastAsia" w:hAnsiTheme="minorEastAsia" w:eastAsiaTheme="minorEastAsia"/>
          <w:sz w:val="24"/>
          <w:szCs w:val="24"/>
        </w:rPr>
        <w:t xml:space="preserve">时</w:t>
      </w:r>
      <w:r>
        <w:rPr>
          <w:rFonts w:hint="eastAsia" w:cs="仿宋" w:asciiTheme="minorEastAsia" w:hAnsiTheme="minorEastAsia" w:eastAsiaTheme="minorEastAsia"/>
          <w:sz w:val="24"/>
          <w:szCs w:val="24"/>
          <w:lang w:val="en-US" w:eastAsia="zh-CN"/>
        </w:rPr>
        <w:t xml:space="preserve">00</w:t>
      </w:r>
      <w:r>
        <w:rPr>
          <w:rFonts w:hint="eastAsia" w:cs="仿宋" w:asciiTheme="minorEastAsia" w:hAnsiTheme="minorEastAsia" w:eastAsiaTheme="minorEastAsia"/>
          <w:sz w:val="24"/>
          <w:szCs w:val="24"/>
        </w:rPr>
        <w:t xml:space="preserve">分（北京时间）</w:t>
      </w:r>
      <w:r/>
    </w:p>
    <w:p>
      <w:pPr>
        <w:ind w:firstLine="54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地点：江苏政府采购“苏采云”系统不见面开标大厅</w:t>
      </w:r>
      <w:r/>
    </w:p>
    <w:p>
      <w:pPr>
        <w:pStyle w:val="1006"/>
        <w:spacing w:before="0" w:after="0" w:line="500" w:lineRule="exact"/>
        <w:rPr>
          <w:rFonts w:hint="eastAsia" w:cs="仿宋" w:asciiTheme="minorEastAsia" w:hAnsiTheme="minorEastAsia" w:eastAsiaTheme="minorEastAsia"/>
          <w:bCs w:val="0"/>
          <w:sz w:val="24"/>
          <w:szCs w:val="24"/>
        </w:rPr>
      </w:pPr>
      <w:r/>
      <w:bookmarkStart w:id="22" w:name="_Toc35393625"/>
      <w:r/>
      <w:bookmarkStart w:id="23" w:name="_Toc28359007"/>
      <w:r/>
      <w:bookmarkStart w:id="24" w:name="_Toc28359084"/>
      <w:r/>
      <w:bookmarkStart w:id="25" w:name="_Toc35393794"/>
      <w:r>
        <w:rPr>
          <w:rFonts w:hint="eastAsia" w:cs="仿宋" w:asciiTheme="minorEastAsia" w:hAnsiTheme="minorEastAsia" w:eastAsiaTheme="minorEastAsia"/>
          <w:bCs w:val="0"/>
          <w:sz w:val="24"/>
          <w:szCs w:val="24"/>
        </w:rPr>
        <w:t xml:space="preserve">五、公告期限</w:t>
      </w:r>
      <w:bookmarkEnd w:id="22"/>
      <w:r/>
      <w:bookmarkEnd w:id="23"/>
      <w:r/>
      <w:bookmarkEnd w:id="24"/>
      <w:r/>
      <w:bookmarkEnd w:id="25"/>
      <w:r/>
      <w:r/>
    </w:p>
    <w:p>
      <w:pPr>
        <w:ind w:firstLine="488"/>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自本公告发布之日起5个工作日。</w:t>
      </w:r>
      <w:r/>
    </w:p>
    <w:p>
      <w:pPr>
        <w:pStyle w:val="1006"/>
        <w:spacing w:before="0" w:after="0" w:line="500" w:lineRule="exact"/>
        <w:rPr>
          <w:rFonts w:hint="eastAsia" w:cs="仿宋" w:asciiTheme="minorEastAsia" w:hAnsiTheme="minorEastAsia" w:eastAsiaTheme="minorEastAsia"/>
          <w:bCs w:val="0"/>
          <w:sz w:val="24"/>
          <w:szCs w:val="24"/>
        </w:rPr>
      </w:pPr>
      <w:r/>
      <w:bookmarkStart w:id="26" w:name="_Toc35393795"/>
      <w:r/>
      <w:bookmarkStart w:id="27" w:name="_Toc35393626"/>
      <w:r>
        <w:rPr>
          <w:rFonts w:hint="eastAsia" w:cs="仿宋" w:asciiTheme="minorEastAsia" w:hAnsiTheme="minorEastAsia" w:eastAsiaTheme="minorEastAsia"/>
          <w:bCs w:val="0"/>
          <w:sz w:val="24"/>
          <w:szCs w:val="24"/>
        </w:rPr>
        <w:t xml:space="preserve">六、其他补充事宜</w:t>
      </w:r>
      <w:bookmarkEnd w:id="26"/>
      <w:r/>
      <w:bookmarkEnd w:id="27"/>
      <w:r/>
      <w:r/>
    </w:p>
    <w:p>
      <w:pPr>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rPr>
        <w:t xml:space="preserve"> </w:t>
      </w:r>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28" w:name="_Hlk142317669"/>
      <w:r>
        <w:rPr>
          <w:rFonts w:hint="eastAsia" w:ascii="宋体" w:hAnsi="宋体" w:eastAsia="宋体" w:cs="宋体"/>
          <w:bCs/>
          <w:sz w:val="24"/>
          <w:szCs w:val="24"/>
        </w:rPr>
        <w:t xml:space="preserve">本项目支持</w:t>
      </w:r>
      <w:bookmarkEnd w:id="28"/>
      <w:r>
        <w:rPr>
          <w:rFonts w:hint="eastAsia" w:ascii="宋体" w:hAnsi="宋体" w:eastAsia="宋体" w:cs="宋体"/>
          <w:bCs/>
          <w:sz w:val="24"/>
          <w:szCs w:val="24"/>
        </w:rPr>
        <w:t xml:space="preserve">1）.小微企业价格扣除《江苏省财政厅关于进一</w:t>
      </w:r>
      <w:r>
        <w:rPr>
          <w:rFonts w:hint="eastAsia" w:ascii="宋体" w:hAnsi="宋体" w:eastAsia="宋体" w:cs="宋体"/>
          <w:bCs/>
          <w:sz w:val="24"/>
          <w:szCs w:val="24"/>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3、本项目不属于专门面向中小企业采购的项目</w:t>
      </w:r>
      <w:r/>
    </w:p>
    <w:p>
      <w:pPr>
        <w:pStyle w:val="1006"/>
        <w:spacing w:before="0" w:after="0" w:line="500" w:lineRule="exact"/>
        <w:rPr>
          <w:rFonts w:hint="eastAsia" w:cs="仿宋" w:asciiTheme="minorEastAsia" w:hAnsiTheme="minorEastAsia" w:eastAsiaTheme="minorEastAsia"/>
          <w:sz w:val="24"/>
          <w:szCs w:val="24"/>
        </w:rPr>
      </w:pPr>
      <w:r/>
      <w:bookmarkStart w:id="29" w:name="_Toc35393796"/>
      <w:r/>
      <w:bookmarkStart w:id="30" w:name="_Toc28359008"/>
      <w:r/>
      <w:bookmarkStart w:id="31" w:name="_Toc35393627"/>
      <w:r/>
      <w:bookmarkStart w:id="32" w:name="_Toc28359085"/>
      <w:r>
        <w:rPr>
          <w:rFonts w:hint="eastAsia" w:cs="仿宋" w:asciiTheme="minorEastAsia" w:hAnsiTheme="minorEastAsia" w:eastAsiaTheme="minorEastAsia"/>
          <w:sz w:val="24"/>
          <w:szCs w:val="24"/>
        </w:rPr>
        <w:t xml:space="preserve">七、对本次招标提出询问，请按以下方式联系。</w:t>
      </w:r>
      <w:bookmarkEnd w:id="29"/>
      <w:r/>
      <w:bookmarkEnd w:id="30"/>
      <w:r/>
      <w:bookmarkEnd w:id="31"/>
      <w:r/>
      <w:bookmarkEnd w:id="32"/>
      <w:r/>
      <w:r/>
    </w:p>
    <w:p>
      <w:pPr>
        <w:jc w:val="left"/>
        <w:spacing w:line="500" w:lineRule="exac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　　1.采购人信息</w:t>
      </w:r>
      <w:r/>
    </w:p>
    <w:p>
      <w:pPr>
        <w:ind w:firstLine="480"/>
        <w:spacing w:line="500" w:lineRule="exact"/>
        <w:rPr>
          <w:rFonts w:hint="eastAsia" w:cs="仿宋" w:asciiTheme="minorEastAsia" w:hAnsiTheme="minorEastAsia" w:eastAsiaTheme="minorEastAsia"/>
          <w:sz w:val="24"/>
          <w:szCs w:val="24"/>
        </w:rPr>
      </w:pPr>
      <w:r/>
      <w:bookmarkStart w:id="33" w:name="_Hlk186556010"/>
      <w:r>
        <w:rPr>
          <w:rFonts w:hint="eastAsia" w:cs="仿宋" w:asciiTheme="minorEastAsia" w:hAnsiTheme="minorEastAsia" w:eastAsiaTheme="minorEastAsia"/>
          <w:sz w:val="24"/>
          <w:szCs w:val="24"/>
        </w:rPr>
        <w:t xml:space="preserve">名 </w:t>
      </w:r>
      <w:r>
        <w:rPr>
          <w:rFonts w:hint="eastAsia" w:cs="仿宋" w:asciiTheme="minorEastAsia" w:hAnsiTheme="minorEastAsia" w:eastAsiaTheme="minorEastAsia"/>
          <w:sz w:val="24"/>
          <w:szCs w:val="24"/>
          <w:lang w:val="en-US" w:eastAsia="zh-CN"/>
        </w:rPr>
        <w:t xml:space="preserve"> </w:t>
      </w:r>
      <w:r>
        <w:rPr>
          <w:rFonts w:hint="eastAsia" w:cs="仿宋" w:asciiTheme="minorEastAsia" w:hAnsiTheme="minorEastAsia" w:eastAsiaTheme="minorEastAsia"/>
          <w:sz w:val="24"/>
          <w:szCs w:val="24"/>
        </w:rPr>
        <w:t xml:space="preserve">称：靖江市中医院 </w:t>
      </w:r>
      <w:r/>
    </w:p>
    <w:p>
      <w:pPr>
        <w:ind w:firstLine="480"/>
        <w:spacing w:line="500" w:lineRule="exact"/>
        <w:rPr>
          <w:rFonts w:hint="default" w:cs="仿宋" w:asciiTheme="minorEastAsia" w:hAnsiTheme="minorEastAsia" w:eastAsiaTheme="minorEastAsia"/>
          <w:sz w:val="24"/>
          <w:szCs w:val="24"/>
          <w:highlight w:val="none"/>
          <w:lang w:val="en-US" w:eastAsia="zh-CN"/>
        </w:rPr>
      </w:pPr>
      <w:r/>
      <w:bookmarkStart w:id="34" w:name="_Toc28359086"/>
      <w:r/>
      <w:bookmarkStart w:id="35" w:name="_Toc28359009"/>
      <w:r>
        <w:rPr>
          <w:rFonts w:hint="eastAsia" w:cs="仿宋" w:asciiTheme="minorEastAsia" w:hAnsiTheme="minorEastAsia" w:eastAsiaTheme="minorEastAsia"/>
          <w:sz w:val="24"/>
          <w:szCs w:val="24"/>
          <w:highlight w:val="none"/>
        </w:rPr>
        <w:t xml:space="preserve">地</w:t>
      </w:r>
      <w:r>
        <w:rPr>
          <w:rFonts w:hint="eastAsia" w:cs="仿宋" w:asciiTheme="minorEastAsia" w:hAnsiTheme="minorEastAsia" w:eastAsiaTheme="minorEastAsia"/>
          <w:sz w:val="24"/>
          <w:szCs w:val="24"/>
          <w:highlight w:val="none"/>
          <w:lang w:val="en-US" w:eastAsia="zh-CN"/>
        </w:rPr>
        <w:t xml:space="preserve">  </w:t>
      </w:r>
      <w:r>
        <w:rPr>
          <w:rFonts w:hint="eastAsia" w:cs="仿宋" w:asciiTheme="minorEastAsia" w:hAnsiTheme="minorEastAsia" w:eastAsiaTheme="minorEastAsia"/>
          <w:sz w:val="24"/>
          <w:szCs w:val="24"/>
          <w:highlight w:val="none"/>
        </w:rPr>
        <w:t xml:space="preserve">址：</w:t>
      </w:r>
      <w:r>
        <w:rPr>
          <w:rFonts w:hint="eastAsia" w:cs="仿宋" w:asciiTheme="minorEastAsia" w:hAnsiTheme="minorEastAsia" w:eastAsiaTheme="minorEastAsia"/>
          <w:sz w:val="24"/>
          <w:szCs w:val="24"/>
          <w:highlight w:val="none"/>
          <w:lang w:val="en-US" w:eastAsia="zh-CN"/>
        </w:rPr>
        <w:t xml:space="preserve">泰州市靖江市康宁路29号</w:t>
      </w:r>
      <w:r/>
    </w:p>
    <w:p>
      <w:pPr>
        <w:ind w:firstLine="480"/>
        <w:spacing w:line="500" w:lineRule="exact"/>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联系人：</w:t>
      </w:r>
      <w:r>
        <w:rPr>
          <w:rFonts w:hint="eastAsia" w:cs="仿宋" w:asciiTheme="minorEastAsia" w:hAnsiTheme="minorEastAsia" w:eastAsiaTheme="minorEastAsia"/>
          <w:sz w:val="24"/>
          <w:szCs w:val="24"/>
          <w:highlight w:val="none"/>
          <w:lang w:val="en-US" w:eastAsia="zh-CN"/>
        </w:rPr>
        <w:t xml:space="preserve">鞠先生</w:t>
      </w:r>
      <w:r>
        <w:rPr>
          <w:rFonts w:hint="eastAsia" w:cs="仿宋" w:asciiTheme="minorEastAsia" w:hAnsiTheme="minorEastAsia" w:eastAsiaTheme="minorEastAsia"/>
          <w:sz w:val="24"/>
          <w:szCs w:val="24"/>
          <w:highlight w:val="none"/>
        </w:rPr>
        <w:t xml:space="preserve"> </w:t>
      </w:r>
      <w:r/>
    </w:p>
    <w:p>
      <w:pPr>
        <w:ind w:firstLine="480"/>
        <w:spacing w:line="500" w:lineRule="exact"/>
        <w:rPr>
          <w:rFonts w:hint="default" w:cs="仿宋" w:asciiTheme="minorEastAsia" w:hAnsiTheme="minorEastAsia" w:eastAsiaTheme="minorEastAsia"/>
          <w:sz w:val="24"/>
          <w:szCs w:val="24"/>
          <w:highlight w:val="none"/>
          <w:lang w:val="en-US" w:eastAsia="zh-CN"/>
        </w:rPr>
      </w:pPr>
      <w:r>
        <w:rPr>
          <w:rFonts w:hint="eastAsia" w:cs="仿宋" w:asciiTheme="minorEastAsia" w:hAnsiTheme="minorEastAsia" w:eastAsiaTheme="minorEastAsia"/>
          <w:sz w:val="24"/>
          <w:szCs w:val="24"/>
          <w:highlight w:val="none"/>
        </w:rPr>
        <w:t xml:space="preserve">电</w:t>
      </w:r>
      <w:r>
        <w:rPr>
          <w:rFonts w:hint="eastAsia" w:cs="仿宋" w:asciiTheme="minorEastAsia" w:hAnsiTheme="minorEastAsia" w:eastAsiaTheme="minorEastAsia"/>
          <w:sz w:val="24"/>
          <w:szCs w:val="24"/>
          <w:highlight w:val="none"/>
          <w:lang w:val="en-US" w:eastAsia="zh-CN"/>
        </w:rPr>
        <w:t xml:space="preserve">  </w:t>
      </w:r>
      <w:r>
        <w:rPr>
          <w:rFonts w:hint="eastAsia" w:cs="仿宋" w:asciiTheme="minorEastAsia" w:hAnsiTheme="minorEastAsia" w:eastAsiaTheme="minorEastAsia"/>
          <w:sz w:val="24"/>
          <w:szCs w:val="24"/>
          <w:highlight w:val="none"/>
        </w:rPr>
        <w:t xml:space="preserve">话：</w:t>
      </w:r>
      <w:bookmarkEnd w:id="33"/>
      <w:r>
        <w:rPr>
          <w:rFonts w:hint="eastAsia" w:cs="仿宋" w:asciiTheme="minorEastAsia" w:hAnsiTheme="minorEastAsia" w:eastAsiaTheme="minorEastAsia"/>
          <w:sz w:val="24"/>
          <w:szCs w:val="24"/>
          <w:highlight w:val="none"/>
          <w:lang w:val="en-US" w:eastAsia="zh-CN"/>
        </w:rPr>
        <w:t xml:space="preserve">0523-84996307</w:t>
      </w:r>
      <w:r/>
    </w:p>
    <w:p>
      <w:pPr>
        <w:ind w:firstLine="480"/>
        <w:jc w:val="left"/>
        <w:spacing w:line="500" w:lineRule="exact"/>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2.采购代理机构信息</w:t>
      </w:r>
      <w:bookmarkEnd w:id="34"/>
      <w:r/>
      <w:bookmarkEnd w:id="35"/>
      <w:r/>
      <w:r/>
    </w:p>
    <w:p>
      <w:pPr>
        <w:ind w:firstLine="480"/>
        <w:spacing w:line="500" w:lineRule="exact"/>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名 </w:t>
      </w:r>
      <w:r>
        <w:rPr>
          <w:rFonts w:hint="eastAsia" w:cs="仿宋" w:asciiTheme="minorEastAsia" w:hAnsiTheme="minorEastAsia" w:eastAsiaTheme="minorEastAsia"/>
          <w:sz w:val="24"/>
          <w:szCs w:val="24"/>
          <w:highlight w:val="none"/>
          <w:lang w:val="en-US" w:eastAsia="zh-CN"/>
        </w:rPr>
        <w:t xml:space="preserve"> </w:t>
      </w:r>
      <w:r>
        <w:rPr>
          <w:rFonts w:hint="eastAsia" w:cs="仿宋" w:asciiTheme="minorEastAsia" w:hAnsiTheme="minorEastAsia" w:eastAsiaTheme="minorEastAsia"/>
          <w:sz w:val="24"/>
          <w:szCs w:val="24"/>
          <w:highlight w:val="none"/>
        </w:rPr>
        <w:t xml:space="preserve">称</w:t>
      </w:r>
      <w:r>
        <w:rPr>
          <w:rFonts w:hint="eastAsia" w:cs="仿宋" w:asciiTheme="minorEastAsia" w:hAnsiTheme="minorEastAsia" w:eastAsiaTheme="minorEastAsia"/>
          <w:sz w:val="24"/>
          <w:szCs w:val="24"/>
          <w:highlight w:val="none"/>
          <w:lang w:eastAsia="zh-CN"/>
        </w:rPr>
        <w:t xml:space="preserve">：</w:t>
      </w:r>
      <w:r>
        <w:rPr>
          <w:rFonts w:hint="eastAsia" w:cs="仿宋" w:asciiTheme="minorEastAsia" w:hAnsiTheme="minorEastAsia" w:eastAsiaTheme="minorEastAsia"/>
          <w:sz w:val="24"/>
          <w:szCs w:val="24"/>
          <w:highlight w:val="none"/>
        </w:rPr>
        <w:t xml:space="preserve">华瑞国际工程咨询集团有限公司</w:t>
      </w:r>
      <w:r/>
    </w:p>
    <w:p>
      <w:pPr>
        <w:ind w:firstLine="480"/>
        <w:spacing w:line="500" w:lineRule="exact"/>
        <w:rPr>
          <w:rFonts w:hint="default" w:cs="仿宋" w:asciiTheme="minorEastAsia" w:hAnsiTheme="minorEastAsia" w:eastAsiaTheme="minorEastAsia"/>
          <w:sz w:val="24"/>
          <w:szCs w:val="24"/>
          <w:highlight w:val="none"/>
          <w:lang w:val="en-US" w:eastAsia="zh-CN"/>
        </w:rPr>
      </w:pPr>
      <w:r>
        <w:rPr>
          <w:rFonts w:hint="eastAsia" w:cs="仿宋" w:asciiTheme="minorEastAsia" w:hAnsiTheme="minorEastAsia" w:eastAsiaTheme="minorEastAsia"/>
          <w:sz w:val="24"/>
          <w:szCs w:val="24"/>
          <w:highlight w:val="none"/>
        </w:rPr>
        <w:t xml:space="preserve">地　址：</w:t>
      </w:r>
      <w:r>
        <w:rPr>
          <w:rFonts w:hint="eastAsia" w:cs="仿宋" w:asciiTheme="minorEastAsia" w:hAnsiTheme="minorEastAsia" w:eastAsiaTheme="minorEastAsia"/>
          <w:sz w:val="24"/>
          <w:szCs w:val="24"/>
          <w:highlight w:val="none"/>
          <w:lang w:val="en-US" w:eastAsia="zh-CN"/>
        </w:rPr>
        <w:t xml:space="preserve">靖江市人民南路28号501室</w:t>
      </w:r>
      <w:r/>
    </w:p>
    <w:p>
      <w:pPr>
        <w:pStyle w:val="1008"/>
        <w:ind w:firstLine="480"/>
        <w:spacing w:line="500" w:lineRule="exact"/>
        <w:rPr>
          <w:rFonts w:hint="eastAsia" w:cs="仿宋" w:asciiTheme="minorEastAsia" w:hAnsiTheme="minorEastAsia" w:eastAsiaTheme="minorEastAsia"/>
          <w:sz w:val="24"/>
          <w:szCs w:val="24"/>
          <w:highlight w:val="none"/>
          <w:lang w:val="en-US" w:eastAsia="zh-CN"/>
        </w:rPr>
      </w:pPr>
      <w:r>
        <w:rPr>
          <w:rFonts w:hint="eastAsia" w:cs="仿宋" w:asciiTheme="minorEastAsia" w:hAnsiTheme="minorEastAsia" w:eastAsiaTheme="minorEastAsia"/>
          <w:sz w:val="24"/>
          <w:szCs w:val="24"/>
          <w:highlight w:val="none"/>
          <w:lang w:val="en-US" w:eastAsia="zh-CN"/>
        </w:rPr>
        <w:t xml:space="preserve">联系人</w:t>
      </w:r>
      <w:r>
        <w:rPr>
          <w:rFonts w:hint="eastAsia" w:cs="仿宋" w:asciiTheme="minorEastAsia" w:hAnsiTheme="minorEastAsia" w:eastAsiaTheme="minorEastAsia"/>
          <w:sz w:val="24"/>
          <w:szCs w:val="24"/>
          <w:highlight w:val="none"/>
        </w:rPr>
        <w:t xml:space="preserve">：</w:t>
      </w:r>
      <w:r>
        <w:rPr>
          <w:rFonts w:hint="eastAsia" w:cs="仿宋" w:asciiTheme="minorEastAsia" w:hAnsiTheme="minorEastAsia" w:eastAsiaTheme="minorEastAsia"/>
          <w:sz w:val="24"/>
          <w:szCs w:val="24"/>
          <w:highlight w:val="none"/>
          <w:lang w:val="en-US" w:eastAsia="zh-CN"/>
        </w:rPr>
        <w:t xml:space="preserve">卢工</w:t>
      </w:r>
      <w:r/>
    </w:p>
    <w:p>
      <w:pPr>
        <w:pStyle w:val="1008"/>
        <w:ind w:firstLine="480"/>
        <w:spacing w:line="500" w:lineRule="exact"/>
        <w:rPr>
          <w:rFonts w:hint="default" w:cs="仿宋" w:asciiTheme="minorEastAsia" w:hAnsiTheme="minorEastAsia" w:eastAsiaTheme="minorEastAsia"/>
          <w:b/>
          <w:szCs w:val="22"/>
          <w:highlight w:val="none"/>
          <w:lang w:val="en-US" w:eastAsia="zh-CN"/>
        </w:rPr>
      </w:pPr>
      <w:r>
        <w:rPr>
          <w:rFonts w:hint="eastAsia" w:cs="仿宋" w:asciiTheme="minorEastAsia" w:hAnsiTheme="minorEastAsia" w:eastAsiaTheme="minorEastAsia"/>
          <w:sz w:val="24"/>
          <w:szCs w:val="24"/>
          <w:highlight w:val="none"/>
        </w:rPr>
        <w:t xml:space="preserve">电　话：</w:t>
      </w:r>
      <w:r>
        <w:rPr>
          <w:rFonts w:hint="eastAsia" w:cs="仿宋" w:asciiTheme="minorEastAsia" w:hAnsiTheme="minorEastAsia" w:eastAsiaTheme="minorEastAsia"/>
          <w:sz w:val="24"/>
          <w:szCs w:val="24"/>
          <w:highlight w:val="none"/>
          <w:lang w:val="en-US" w:eastAsia="zh-CN"/>
        </w:rPr>
        <w:t xml:space="preserve">15189930807</w:t>
      </w:r>
      <w:r/>
    </w:p>
    <w:p>
      <w:pPr>
        <w:ind w:right="840" w:firstLine="530"/>
        <w:jc w:val="center"/>
        <w:spacing w:line="360" w:lineRule="auto"/>
        <w:widowControl/>
        <w:rPr>
          <w:rFonts w:hint="eastAsia" w:cs="仿宋" w:asciiTheme="minorEastAsia" w:hAnsiTheme="minorEastAsia" w:eastAsiaTheme="minorEastAsia"/>
          <w:b/>
          <w:szCs w:val="22"/>
        </w:rPr>
      </w:pPr>
      <w:r>
        <w:rPr>
          <w:rFonts w:hint="eastAsia" w:cs="仿宋" w:asciiTheme="minorEastAsia" w:hAnsiTheme="minorEastAsia" w:eastAsiaTheme="minorEastAsia"/>
          <w:b/>
          <w:szCs w:val="22"/>
        </w:rPr>
      </w:r>
      <w:r/>
    </w:p>
    <w:p>
      <w:pPr>
        <w:jc w:val="center"/>
        <w:spacing w:line="500" w:lineRule="exact"/>
        <w:widowControl/>
        <w:rPr>
          <w:rFonts w:hint="eastAsia" w:cs="仿宋" w:asciiTheme="minorEastAsia" w:hAnsiTheme="minorEastAsia" w:eastAsiaTheme="minorEastAsia"/>
          <w:b/>
          <w:sz w:val="32"/>
          <w:szCs w:val="32"/>
        </w:rPr>
      </w:pPr>
      <w:r>
        <w:rPr>
          <w:rFonts w:cs="仿宋" w:asciiTheme="minorEastAsia" w:hAnsiTheme="minorEastAsia" w:eastAsiaTheme="minorEastAsia"/>
          <w:b/>
          <w:sz w:val="32"/>
          <w:szCs w:val="32"/>
        </w:rPr>
        <w:br w:type="page" w:clear="all"/>
      </w:r>
      <w:r/>
    </w:p>
    <w:p>
      <w:pPr>
        <w:jc w:val="center"/>
        <w:spacing w:line="500" w:lineRule="exact"/>
        <w:widowControl/>
        <w:rPr>
          <w:rFonts w:hint="eastAsia" w:cs="仿宋" w:asciiTheme="minorEastAsia" w:hAnsiTheme="minorEastAsia" w:eastAsiaTheme="minorEastAsia"/>
          <w:b/>
          <w:sz w:val="32"/>
          <w:szCs w:val="32"/>
        </w:rPr>
      </w:pPr>
      <w:r>
        <w:rPr>
          <w:rFonts w:hint="eastAsia" w:cs="仿宋" w:asciiTheme="minorEastAsia" w:hAnsiTheme="minorEastAsia" w:eastAsiaTheme="minorEastAsia"/>
          <w:b/>
          <w:sz w:val="32"/>
          <w:szCs w:val="32"/>
        </w:rPr>
        <w:t xml:space="preserve">第二章 投标人须知</w:t>
      </w:r>
      <w:bookmarkEnd w:id="0"/>
      <w:r/>
      <w:bookmarkEnd w:id="1"/>
      <w:r/>
      <w:r/>
    </w:p>
    <w:p>
      <w:pPr>
        <w:jc w:val="center"/>
        <w:spacing w:line="500" w:lineRule="exact"/>
        <w:widowControl/>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    投标人须知前附表</w:t>
      </w:r>
      <w:r/>
    </w:p>
    <w:tbl>
      <w:tblPr>
        <w:tblStyle w:val="815"/>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494"/>
        <w:gridCol w:w="6249"/>
      </w:tblGrid>
      <w:tr>
        <w:trPr>
          <w:jc w:val="center"/>
          <w:trHeight w:val="558"/>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序号</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w:t>
            </w:r>
            <w:r/>
          </w:p>
        </w:tc>
        <w:tc>
          <w:tcPr>
            <w:tcW w:w="6249"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内容</w:t>
            </w:r>
            <w:r/>
          </w:p>
        </w:tc>
      </w:tr>
      <w:tr>
        <w:trPr>
          <w:jc w:val="center"/>
          <w:trHeight w:val="557"/>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项目名称</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全数字化通用型平板血管造影系统</w:t>
            </w:r>
            <w:r/>
          </w:p>
        </w:tc>
      </w:tr>
      <w:tr>
        <w:trPr>
          <w:jc w:val="center"/>
          <w:trHeight w:val="543"/>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招标内容</w:t>
            </w:r>
            <w:r/>
          </w:p>
        </w:tc>
        <w:tc>
          <w:tcPr>
            <w:tcW w:w="6249" w:type="dxa"/>
            <w:vAlign w:val="center"/>
            <w:textDirection w:val="lrTb"/>
            <w:noWrap w:val="false"/>
          </w:tcPr>
          <w:p>
            <w:pPr>
              <w:rPr>
                <w:rFonts w:hint="eastAsia" w:cs="仿宋" w:asciiTheme="minorEastAsia" w:hAnsiTheme="minorEastAsia" w:eastAsiaTheme="minorEastAsia"/>
                <w:szCs w:val="21"/>
              </w:rPr>
            </w:pPr>
            <w:r>
              <w:rPr>
                <w:rFonts w:hint="eastAsia" w:cs="仿宋" w:asciiTheme="minorEastAsia" w:hAnsiTheme="minorEastAsia" w:eastAsiaTheme="minorEastAsia"/>
                <w:sz w:val="24"/>
                <w:szCs w:val="24"/>
              </w:rPr>
              <w:t xml:space="preserve">详见第三章采购需求</w:t>
            </w:r>
            <w:r/>
          </w:p>
        </w:tc>
      </w:tr>
      <w:tr>
        <w:trPr>
          <w:jc w:val="center"/>
          <w:trHeight w:val="744"/>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供货期及供货地点</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highlight w:val="none"/>
              </w:rPr>
              <w:t xml:space="preserve">交货期：合同签订后三个月内</w:t>
            </w:r>
            <w:r>
              <w:rPr>
                <w:rFonts w:hint="eastAsia" w:cs="仿宋" w:asciiTheme="minorEastAsia" w:hAnsiTheme="minorEastAsia" w:eastAsiaTheme="minorEastAsia"/>
                <w:sz w:val="24"/>
                <w:szCs w:val="24"/>
              </w:rPr>
              <w:t xml:space="preserve"> </w:t>
            </w:r>
            <w:r/>
          </w:p>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最高投标限价</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iCs/>
                <w:sz w:val="24"/>
                <w:szCs w:val="24"/>
              </w:rPr>
              <w:t xml:space="preserve">预算金额：</w:t>
            </w:r>
            <w:r>
              <w:rPr>
                <w:rFonts w:cs="仿宋" w:asciiTheme="minorEastAsia" w:hAnsiTheme="minorEastAsia" w:eastAsiaTheme="minorEastAsia"/>
                <w:sz w:val="24"/>
                <w:szCs w:val="24"/>
              </w:rPr>
              <w:t xml:space="preserve">560</w:t>
            </w:r>
            <w:r>
              <w:rPr>
                <w:rFonts w:hint="eastAsia" w:cs="仿宋" w:asciiTheme="minorEastAsia" w:hAnsiTheme="minorEastAsia" w:eastAsiaTheme="minorEastAsia"/>
                <w:sz w:val="24"/>
                <w:szCs w:val="24"/>
              </w:rPr>
              <w:t xml:space="preserve">万元</w:t>
            </w:r>
            <w:r/>
          </w:p>
          <w:p>
            <w:pPr>
              <w:rPr>
                <w:rFonts w:hint="eastAsia" w:cs="仿宋" w:asciiTheme="minorEastAsia" w:hAnsiTheme="minorEastAsia" w:eastAsiaTheme="minorEastAsia"/>
                <w:sz w:val="24"/>
                <w:szCs w:val="24"/>
              </w:rPr>
            </w:pPr>
            <w:r>
              <w:rPr>
                <w:rFonts w:hint="eastAsia" w:cs="仿宋" w:asciiTheme="minorEastAsia" w:hAnsiTheme="minorEastAsia" w:eastAsiaTheme="minorEastAsia"/>
                <w:iCs/>
                <w:sz w:val="24"/>
                <w:szCs w:val="24"/>
              </w:rPr>
              <w:t xml:space="preserve">最高限价：</w:t>
            </w:r>
            <w:r>
              <w:rPr>
                <w:rFonts w:cs="仿宋" w:asciiTheme="minorEastAsia" w:hAnsiTheme="minorEastAsia" w:eastAsiaTheme="minorEastAsia"/>
                <w:sz w:val="24"/>
                <w:szCs w:val="24"/>
              </w:rPr>
              <w:t xml:space="preserve">560</w:t>
            </w:r>
            <w:r>
              <w:rPr>
                <w:rFonts w:hint="eastAsia" w:cs="仿宋" w:asciiTheme="minorEastAsia" w:hAnsiTheme="minorEastAsia" w:eastAsiaTheme="minorEastAsia"/>
                <w:sz w:val="24"/>
                <w:szCs w:val="24"/>
              </w:rPr>
              <w:t xml:space="preserve">万元</w:t>
            </w:r>
            <w:r/>
          </w:p>
          <w:p>
            <w:pPr>
              <w:rPr>
                <w:rFonts w:hint="eastAsia" w:cs="仿宋" w:asciiTheme="minorEastAsia" w:hAnsiTheme="minorEastAsia" w:eastAsiaTheme="minorEastAsia"/>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合格投标人资格要求</w:t>
            </w:r>
            <w:r/>
          </w:p>
        </w:tc>
        <w:tc>
          <w:tcPr>
            <w:tcW w:w="6249" w:type="dxa"/>
            <w:vAlign w:val="center"/>
            <w:textDirection w:val="lrTb"/>
            <w:noWrap w:val="false"/>
          </w:tcPr>
          <w:p>
            <w:pPr>
              <w:jc w:val="lef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详见招标公告</w:t>
            </w:r>
            <w:r/>
          </w:p>
        </w:tc>
      </w:tr>
      <w:tr>
        <w:trPr>
          <w:jc w:val="center"/>
          <w:trHeight w:val="834"/>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联合体投标</w:t>
            </w:r>
            <w:r/>
          </w:p>
        </w:tc>
        <w:tc>
          <w:tcPr>
            <w:tcW w:w="6249" w:type="dxa"/>
            <w:vAlign w:val="center"/>
            <w:textDirection w:val="lrTb"/>
            <w:noWrap w:val="false"/>
          </w:tcPr>
          <w:p>
            <w:pPr>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63"/>
              <w:numPr>
                <w:ilvl w:val="0"/>
                <w:numId w:val="1"/>
              </w:numPr>
              <w:rPr>
                <w:rFonts w:hint="eastAsia" w:cs="仿宋" w:asciiTheme="minorEastAsia" w:hAnsiTheme="minorEastAsia" w:eastAsiaTheme="minorEastAsia"/>
                <w:sz w:val="24"/>
                <w:szCs w:val="24"/>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现场勘察</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ascii="MS Mincho" w:hAnsi="MS Mincho" w:eastAsia="MS Mincho" w:cs="MS Mincho"/>
              </w:rPr>
              <w:t xml:space="preserve">☑</w:t>
            </w:r>
            <w:r>
              <w:rPr>
                <w:rFonts w:hint="eastAsia" w:cs="仿宋" w:asciiTheme="minorEastAsia" w:hAnsiTheme="minorEastAsia" w:eastAsiaTheme="minorEastAsia"/>
                <w:sz w:val="24"/>
                <w:szCs w:val="24"/>
              </w:rPr>
              <w:t xml:space="preserve">不组织，自行勘察;如投标人需自行勘察,费用自理。</w:t>
            </w:r>
            <w:r/>
          </w:p>
          <w:p>
            <w:pPr>
              <w:pStyle w:val="863"/>
              <w:numPr>
                <w:ilvl w:val="0"/>
                <w:numId w:val="1"/>
              </w:num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组织，勘察时间： 年月日时</w:t>
            </w:r>
            <w:r/>
          </w:p>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        集合地点：</w:t>
            </w:r>
            <w:r/>
          </w:p>
          <w:p>
            <w:pPr>
              <w:ind w:firstLine="975"/>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联系人：联系电话：</w:t>
            </w:r>
            <w:r/>
          </w:p>
        </w:tc>
      </w:tr>
      <w:tr>
        <w:trPr>
          <w:jc w:val="center"/>
          <w:trHeight w:val="1067"/>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投标答疑会</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ascii="MS Mincho" w:hAnsi="MS Mincho" w:eastAsia="MS Mincho" w:cs="MS Mincho"/>
              </w:rPr>
              <w:t xml:space="preserve">☑</w:t>
            </w:r>
            <w:r>
              <w:rPr>
                <w:rFonts w:hint="eastAsia" w:cs="仿宋" w:asciiTheme="minorEastAsia" w:hAnsiTheme="minorEastAsia" w:eastAsiaTheme="minorEastAsia"/>
                <w:sz w:val="24"/>
                <w:szCs w:val="24"/>
              </w:rPr>
              <w:t xml:space="preserve">不召开</w:t>
            </w:r>
            <w:r/>
          </w:p>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口召开，召开时间：年月日时</w:t>
            </w:r>
            <w:r/>
          </w:p>
          <w:p>
            <w:pPr>
              <w:ind w:firstLine="975"/>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召开地点：</w:t>
            </w:r>
            <w:r/>
          </w:p>
        </w:tc>
      </w:tr>
      <w:tr>
        <w:trPr>
          <w:jc w:val="center"/>
          <w:trHeight w:val="420"/>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投标货币</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人民币</w:t>
            </w:r>
            <w:r/>
          </w:p>
        </w:tc>
      </w:tr>
      <w:tr>
        <w:trPr>
          <w:jc w:val="center"/>
          <w:trHeight w:val="768"/>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249" w:type="dxa"/>
            <w:vAlign w:val="center"/>
            <w:textDirection w:val="lrTb"/>
            <w:noWrap w:val="false"/>
          </w:tcPr>
          <w:p>
            <w:pPr>
              <w:jc w:val="lef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投标保证金</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本项目不收取投标保证金。</w:t>
            </w:r>
            <w:r/>
          </w:p>
        </w:tc>
      </w:tr>
      <w:tr>
        <w:trPr>
          <w:jc w:val="center"/>
          <w:trHeight w:val="429"/>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投标文件有效期</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u w:val="single"/>
              </w:rPr>
              <w:t xml:space="preserve"> </w:t>
            </w:r>
            <w:r>
              <w:rPr>
                <w:rFonts w:cs="仿宋" w:asciiTheme="minorEastAsia" w:hAnsiTheme="minorEastAsia" w:eastAsiaTheme="minorEastAsia"/>
                <w:sz w:val="24"/>
                <w:szCs w:val="24"/>
                <w:u w:val="single"/>
              </w:rPr>
              <w:t xml:space="preserve">9</w:t>
            </w:r>
            <w:r>
              <w:rPr>
                <w:rFonts w:hint="eastAsia" w:cs="仿宋" w:asciiTheme="minorEastAsia" w:hAnsiTheme="minorEastAsia" w:eastAsiaTheme="minorEastAsia"/>
                <w:sz w:val="24"/>
                <w:szCs w:val="24"/>
                <w:u w:val="single"/>
              </w:rPr>
              <w:t xml:space="preserve">0 </w:t>
            </w:r>
            <w:r>
              <w:rPr>
                <w:rFonts w:hint="eastAsia" w:cs="仿宋" w:asciiTheme="minorEastAsia" w:hAnsiTheme="minorEastAsia" w:eastAsiaTheme="minorEastAsia"/>
                <w:sz w:val="24"/>
                <w:szCs w:val="24"/>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投标截止时间</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时间：202</w:t>
            </w:r>
            <w:r>
              <w:rPr>
                <w:rFonts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年</w:t>
            </w:r>
            <w:r>
              <w:rPr>
                <w:rFonts w:hint="eastAsia" w:cs="仿宋" w:asciiTheme="minorEastAsia" w:hAnsiTheme="minorEastAsia" w:eastAsiaTheme="minorEastAsia"/>
                <w:sz w:val="24"/>
                <w:szCs w:val="24"/>
                <w:lang w:val="en-US" w:eastAsia="zh-CN"/>
              </w:rPr>
              <w:t xml:space="preserve">05</w:t>
            </w:r>
            <w:r>
              <w:rPr>
                <w:rFonts w:hint="eastAsia" w:cs="仿宋" w:asciiTheme="minorEastAsia" w:hAnsiTheme="minorEastAsia" w:eastAsiaTheme="minorEastAsia"/>
                <w:sz w:val="24"/>
                <w:szCs w:val="24"/>
              </w:rPr>
              <w:t xml:space="preserve">月</w:t>
            </w:r>
            <w:r>
              <w:rPr>
                <w:rFonts w:hint="eastAsia" w:cs="仿宋" w:asciiTheme="minorEastAsia" w:hAnsiTheme="minorEastAsia" w:eastAsiaTheme="minorEastAsia"/>
                <w:sz w:val="24"/>
                <w:szCs w:val="24"/>
                <w:lang w:val="en-US" w:eastAsia="zh-CN"/>
              </w:rPr>
              <w:t xml:space="preserve">07</w:t>
            </w:r>
            <w:r>
              <w:rPr>
                <w:rFonts w:hint="eastAsia" w:cs="仿宋" w:asciiTheme="minorEastAsia" w:hAnsiTheme="minorEastAsia" w:eastAsiaTheme="minorEastAsia"/>
                <w:sz w:val="24"/>
                <w:szCs w:val="24"/>
              </w:rPr>
              <w:t xml:space="preserve">日</w:t>
            </w:r>
            <w:r>
              <w:rPr>
                <w:rFonts w:hint="eastAsia" w:cs="仿宋" w:asciiTheme="minorEastAsia" w:hAnsiTheme="minorEastAsia" w:eastAsiaTheme="minorEastAsia"/>
                <w:sz w:val="24"/>
                <w:szCs w:val="24"/>
                <w:lang w:val="en-US" w:eastAsia="zh-CN"/>
              </w:rPr>
              <w:t xml:space="preserve">09</w:t>
            </w:r>
            <w:r>
              <w:rPr>
                <w:rFonts w:hint="eastAsia" w:cs="仿宋" w:asciiTheme="minorEastAsia" w:hAnsiTheme="minorEastAsia" w:eastAsiaTheme="minorEastAsia"/>
                <w:sz w:val="24"/>
                <w:szCs w:val="24"/>
              </w:rPr>
              <w:t xml:space="preserve">时</w:t>
            </w:r>
            <w:r>
              <w:rPr>
                <w:rFonts w:hint="eastAsia" w:cs="仿宋" w:asciiTheme="minorEastAsia" w:hAnsiTheme="minorEastAsia" w:eastAsiaTheme="minorEastAsia"/>
                <w:sz w:val="24"/>
                <w:szCs w:val="24"/>
                <w:lang w:val="en-US" w:eastAsia="zh-CN"/>
              </w:rPr>
              <w:t xml:space="preserve">00</w:t>
            </w:r>
            <w:r>
              <w:rPr>
                <w:rFonts w:hint="eastAsia" w:cs="仿宋" w:asciiTheme="minorEastAsia" w:hAnsiTheme="minorEastAsia" w:eastAsiaTheme="minorEastAsia"/>
                <w:sz w:val="24"/>
                <w:szCs w:val="24"/>
              </w:rPr>
              <w:t xml:space="preserve">分</w:t>
            </w:r>
            <w:r/>
          </w:p>
        </w:tc>
      </w:tr>
      <w:tr>
        <w:trPr>
          <w:cantSplit/>
          <w:jc w:val="center"/>
          <w:trHeight w:val="535"/>
        </w:trPr>
        <w:tc>
          <w:tcPr>
            <w:tcW w:w="768" w:type="dxa"/>
            <w:vAlign w:val="center"/>
            <w:vMerge w:val="continue"/>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494"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投标地点</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地点：江苏政府采购“苏采云”系统不见面开标大厅 </w:t>
            </w:r>
            <w:r/>
          </w:p>
        </w:tc>
      </w:tr>
      <w:tr>
        <w:trPr>
          <w:jc w:val="center"/>
          <w:trHeight w:val="752"/>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开标时间和地点</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时间：202</w:t>
            </w:r>
            <w:r>
              <w:rPr>
                <w:rFonts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年</w:t>
            </w:r>
            <w:r>
              <w:rPr>
                <w:rFonts w:hint="eastAsia" w:cs="仿宋" w:asciiTheme="minorEastAsia" w:hAnsiTheme="minorEastAsia" w:eastAsiaTheme="minorEastAsia"/>
                <w:sz w:val="24"/>
                <w:szCs w:val="24"/>
                <w:lang w:val="en-US" w:eastAsia="zh-CN"/>
              </w:rPr>
              <w:t xml:space="preserve">05</w:t>
            </w:r>
            <w:r>
              <w:rPr>
                <w:rFonts w:hint="eastAsia" w:cs="仿宋" w:asciiTheme="minorEastAsia" w:hAnsiTheme="minorEastAsia" w:eastAsiaTheme="minorEastAsia"/>
                <w:sz w:val="24"/>
                <w:szCs w:val="24"/>
              </w:rPr>
              <w:t xml:space="preserve">月</w:t>
            </w:r>
            <w:r>
              <w:rPr>
                <w:rFonts w:hint="eastAsia" w:cs="仿宋" w:asciiTheme="minorEastAsia" w:hAnsiTheme="minorEastAsia" w:eastAsiaTheme="minorEastAsia"/>
                <w:sz w:val="24"/>
                <w:szCs w:val="24"/>
                <w:lang w:val="en-US" w:eastAsia="zh-CN"/>
              </w:rPr>
              <w:t xml:space="preserve">07</w:t>
            </w:r>
            <w:r>
              <w:rPr>
                <w:rFonts w:hint="eastAsia" w:cs="仿宋" w:asciiTheme="minorEastAsia" w:hAnsiTheme="minorEastAsia" w:eastAsiaTheme="minorEastAsia"/>
                <w:sz w:val="24"/>
                <w:szCs w:val="24"/>
              </w:rPr>
              <w:t xml:space="preserve">日</w:t>
            </w:r>
            <w:r>
              <w:rPr>
                <w:rFonts w:hint="eastAsia" w:cs="仿宋" w:asciiTheme="minorEastAsia" w:hAnsiTheme="minorEastAsia" w:eastAsiaTheme="minorEastAsia"/>
                <w:sz w:val="24"/>
                <w:szCs w:val="24"/>
                <w:lang w:val="en-US" w:eastAsia="zh-CN"/>
              </w:rPr>
              <w:t xml:space="preserve">09</w:t>
            </w:r>
            <w:r>
              <w:rPr>
                <w:rFonts w:hint="eastAsia" w:cs="仿宋" w:asciiTheme="minorEastAsia" w:hAnsiTheme="minorEastAsia" w:eastAsiaTheme="minorEastAsia"/>
                <w:sz w:val="24"/>
                <w:szCs w:val="24"/>
              </w:rPr>
              <w:t xml:space="preserve">时</w:t>
            </w:r>
            <w:r>
              <w:rPr>
                <w:rFonts w:hint="eastAsia" w:cs="仿宋" w:asciiTheme="minorEastAsia" w:hAnsiTheme="minorEastAsia" w:eastAsiaTheme="minorEastAsia"/>
                <w:sz w:val="24"/>
                <w:szCs w:val="24"/>
                <w:lang w:val="en-US" w:eastAsia="zh-CN"/>
              </w:rPr>
              <w:t xml:space="preserve">00</w:t>
            </w:r>
            <w:r>
              <w:rPr>
                <w:rFonts w:hint="eastAsia" w:cs="仿宋" w:asciiTheme="minorEastAsia" w:hAnsiTheme="minorEastAsia" w:eastAsiaTheme="minorEastAsia"/>
                <w:sz w:val="24"/>
                <w:szCs w:val="24"/>
              </w:rPr>
              <w:t xml:space="preserve">分</w:t>
            </w:r>
            <w:r/>
          </w:p>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地点：江苏政府采购“苏采云”系统不见面开标大厅 </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15</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评标办法</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16</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定标办法</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17</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履约保证金</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ascii="MS Mincho" w:hAnsi="MS Mincho" w:eastAsia="宋体" w:cs="MS Mincho"/>
              </w:rPr>
              <w:t xml:space="preserve">☑</w:t>
            </w:r>
            <w:r>
              <w:rPr>
                <w:rFonts w:hint="eastAsia" w:cs="仿宋" w:asciiTheme="minorEastAsia" w:hAnsiTheme="minorEastAsia" w:eastAsiaTheme="minorEastAsia"/>
                <w:sz w:val="24"/>
                <w:szCs w:val="24"/>
              </w:rPr>
              <w:t xml:space="preserve">不提交，招标文件中有关履约保证金的规定均不适用</w:t>
            </w:r>
            <w:r/>
          </w:p>
          <w:p>
            <w:pPr>
              <w:pStyle w:val="863"/>
              <w:ind w:firstLine="0"/>
              <w:rPr>
                <w:rFonts w:hint="eastAsia" w:cs="仿宋" w:asciiTheme="minorEastAsia" w:hAnsiTheme="minorEastAsia" w:eastAsiaTheme="minorEastAsia"/>
                <w:sz w:val="24"/>
                <w:szCs w:val="24"/>
              </w:rPr>
            </w:pPr>
            <w:r>
              <w:rPr>
                <w:rFonts w:hint="eastAsia" w:ascii="MS Mincho" w:hAnsi="MS Mincho" w:eastAsia="宋体" w:cs="MS Mincho"/>
              </w:rPr>
              <w:t xml:space="preserve">□</w:t>
            </w:r>
            <w:r>
              <w:rPr>
                <w:rFonts w:hint="eastAsia" w:cs="仿宋" w:asciiTheme="minorEastAsia" w:hAnsiTheme="minorEastAsia" w:eastAsiaTheme="minorEastAsia"/>
                <w:sz w:val="24"/>
                <w:szCs w:val="24"/>
              </w:rPr>
              <w:t xml:space="preserve">提交</w:t>
            </w:r>
            <w:r/>
          </w:p>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金额：中标价的/% </w:t>
            </w:r>
            <w:r/>
          </w:p>
          <w:p>
            <w:pPr>
              <w:pStyle w:val="1009"/>
              <w:ind w:firstLine="0"/>
              <w:rPr>
                <w:rFonts w:hint="eastAsia" w:cs="仿宋" w:asciiTheme="minorEastAsia" w:hAnsiTheme="minorEastAsia" w:eastAsiaTheme="minorEastAsia"/>
              </w:rPr>
            </w:pPr>
            <w:r>
              <w:rPr>
                <w:rFonts w:hint="eastAsia" w:cs="仿宋" w:asciiTheme="minorEastAsia" w:hAnsiTheme="minorEastAsia" w:eastAsiaTheme="minorEastAsia"/>
                <w:szCs w:val="24"/>
              </w:rPr>
              <w:t xml:space="preserve">形式：保证保险、保函、电汇、转账、汇票、支票、本票等非现金形式</w:t>
            </w:r>
            <w:r/>
          </w:p>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提交时间：收到中标通知书后签订合同前。</w:t>
            </w:r>
            <w:r/>
          </w:p>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18</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签订合同</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中标通知书发出之日起</w:t>
            </w:r>
            <w:r>
              <w:rPr>
                <w:rFonts w:hint="eastAsia" w:cs="仿宋" w:asciiTheme="minorEastAsia" w:hAnsiTheme="minorEastAsia" w:eastAsiaTheme="minorEastAsia"/>
                <w:sz w:val="24"/>
                <w:szCs w:val="24"/>
                <w:u w:val="single"/>
              </w:rPr>
              <w:t xml:space="preserve"> 30 </w:t>
            </w:r>
            <w:r>
              <w:rPr>
                <w:rFonts w:hint="eastAsia" w:cs="仿宋" w:asciiTheme="minorEastAsia" w:hAnsiTheme="minorEastAsia" w:eastAsiaTheme="minorEastAsia"/>
                <w:sz w:val="24"/>
                <w:szCs w:val="24"/>
              </w:rPr>
              <w:t xml:space="preserve">日内</w:t>
            </w:r>
            <w:r/>
          </w:p>
        </w:tc>
      </w:tr>
      <w:tr>
        <w:trPr>
          <w:jc w:val="center"/>
          <w:trHeight w:val="848"/>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19</w:t>
            </w:r>
            <w:r/>
          </w:p>
        </w:tc>
        <w:tc>
          <w:tcPr>
            <w:tcW w:w="1494" w:type="dxa"/>
            <w:vAlign w:val="center"/>
            <w:textDirection w:val="lrTb"/>
            <w:noWrap w:val="false"/>
          </w:tcPr>
          <w:p>
            <w:pPr>
              <w:jc w:val="center"/>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付款方式</w:t>
            </w:r>
            <w:r/>
          </w:p>
        </w:tc>
        <w:tc>
          <w:tcPr>
            <w:tcW w:w="6249" w:type="dxa"/>
            <w:vAlign w:val="center"/>
            <w:textDirection w:val="lrTb"/>
            <w:noWrap w:val="false"/>
          </w:tcPr>
          <w:p>
            <w:pPr>
              <w:ind w:right="-117"/>
              <w:jc w:val="left"/>
              <w:rPr>
                <w:rFonts w:hint="eastAsia" w:cs="仿宋" w:asciiTheme="minorEastAsia" w:hAnsiTheme="minorEastAsia" w:eastAsiaTheme="minorEastAsia"/>
                <w:sz w:val="24"/>
                <w:szCs w:val="24"/>
                <w:highlight w:val="none"/>
                <w:lang w:eastAsia="zh-CN"/>
              </w:rPr>
            </w:pPr>
            <w:r>
              <w:rPr>
                <w:rFonts w:hint="eastAsia" w:cs="仿宋" w:asciiTheme="minorEastAsia" w:hAnsiTheme="minorEastAsia" w:eastAsiaTheme="minorEastAsia"/>
                <w:sz w:val="24"/>
                <w:szCs w:val="24"/>
                <w:highlight w:val="none"/>
              </w:rPr>
              <w:t xml:space="preserve">合同签订后</w:t>
            </w:r>
            <w:r>
              <w:rPr>
                <w:rFonts w:hint="eastAsia" w:cs="仿宋" w:asciiTheme="minorEastAsia" w:hAnsiTheme="minorEastAsia" w:eastAsiaTheme="minorEastAsia"/>
                <w:sz w:val="24"/>
                <w:szCs w:val="24"/>
                <w:highlight w:val="none"/>
                <w:lang w:val="en-US" w:eastAsia="zh-CN"/>
              </w:rPr>
              <w:t xml:space="preserve">预付</w:t>
            </w:r>
            <w:r>
              <w:rPr>
                <w:rFonts w:cs="仿宋" w:asciiTheme="minorEastAsia" w:hAnsiTheme="minorEastAsia" w:eastAsiaTheme="minorEastAsia"/>
                <w:sz w:val="24"/>
                <w:szCs w:val="24"/>
                <w:highlight w:val="none"/>
              </w:rPr>
              <w:t xml:space="preserve">30%</w:t>
            </w:r>
            <w:r>
              <w:rPr>
                <w:rFonts w:hint="eastAsia" w:cs="仿宋" w:asciiTheme="minorEastAsia" w:hAnsiTheme="minorEastAsia" w:eastAsiaTheme="minorEastAsia"/>
                <w:sz w:val="24"/>
                <w:szCs w:val="24"/>
                <w:highlight w:val="none"/>
              </w:rPr>
              <w:t xml:space="preserve">，安装验收合格后付清剩余的</w:t>
            </w:r>
            <w:r>
              <w:rPr>
                <w:rFonts w:cs="仿宋" w:asciiTheme="minorEastAsia" w:hAnsiTheme="minorEastAsia" w:eastAsiaTheme="minorEastAsia"/>
                <w:sz w:val="24"/>
                <w:szCs w:val="24"/>
                <w:highlight w:val="none"/>
              </w:rPr>
              <w:t xml:space="preserve">70%</w:t>
            </w:r>
            <w:r>
              <w:rPr>
                <w:rFonts w:hint="eastAsia" w:cs="仿宋" w:asciiTheme="minorEastAsia" w:hAnsiTheme="minorEastAsia" w:eastAsiaTheme="minorEastAsia"/>
                <w:sz w:val="24"/>
                <w:szCs w:val="24"/>
                <w:highlight w:val="none"/>
              </w:rPr>
              <w:t xml:space="preserve">货款</w:t>
            </w:r>
            <w:r>
              <w:rPr>
                <w:rFonts w:hint="eastAsia" w:cs="仿宋" w:asciiTheme="minorEastAsia" w:hAnsiTheme="minorEastAsia" w:eastAsiaTheme="minorEastAsia"/>
                <w:sz w:val="24"/>
                <w:szCs w:val="24"/>
                <w:highlight w:val="none"/>
                <w:lang w:eastAsia="zh-CN"/>
              </w:rPr>
              <w:t xml:space="preserve">。</w:t>
            </w:r>
            <w:r/>
          </w:p>
        </w:tc>
      </w:tr>
      <w:tr>
        <w:trPr>
          <w:jc w:val="center"/>
          <w:trHeight w:val="1355"/>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20</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中标服务费</w:t>
            </w:r>
            <w:r/>
          </w:p>
        </w:tc>
        <w:tc>
          <w:tcPr>
            <w:tcW w:w="6249" w:type="dxa"/>
            <w:vAlign w:val="center"/>
            <w:textDirection w:val="lrTb"/>
            <w:noWrap w:val="false"/>
          </w:tcPr>
          <w:p>
            <w:pPr>
              <w:pStyle w:val="1009"/>
              <w:ind w:firstLine="0"/>
              <w:jc w:val="both"/>
              <w:rPr>
                <w:rFonts w:hint="eastAsia" w:cs="仿宋" w:asciiTheme="minorEastAsia" w:hAnsiTheme="minorEastAsia" w:eastAsiaTheme="minorEastAsia"/>
                <w:szCs w:val="24"/>
                <w:lang w:eastAsia="zh-CN"/>
              </w:rPr>
            </w:pPr>
            <w:r>
              <w:rPr>
                <w:rFonts w:hint="eastAsia" w:cs="仿宋" w:asciiTheme="minorEastAsia" w:hAnsiTheme="minorEastAsia" w:eastAsiaTheme="minorEastAsia"/>
                <w:szCs w:val="24"/>
              </w:rPr>
              <w:t xml:space="preserve">按《江苏省政府采购代理服务收费指导意见》苏政采协（2024）20 号文件所规定的收费标准的</w:t>
            </w:r>
            <w:r>
              <w:rPr>
                <w:rFonts w:hint="eastAsia" w:cs="仿宋" w:asciiTheme="minorEastAsia" w:hAnsiTheme="minorEastAsia" w:eastAsiaTheme="minorEastAsia"/>
                <w:szCs w:val="24"/>
                <w:lang w:val="en-US" w:eastAsia="zh-CN"/>
              </w:rPr>
              <w:t xml:space="preserve">45</w:t>
            </w:r>
            <w:r>
              <w:rPr>
                <w:rFonts w:hint="eastAsia" w:cs="仿宋" w:asciiTheme="minorEastAsia" w:hAnsiTheme="minorEastAsia" w:eastAsiaTheme="minorEastAsia"/>
                <w:szCs w:val="24"/>
              </w:rPr>
              <w:t xml:space="preserve">%收取</w:t>
            </w:r>
            <w:r>
              <w:rPr>
                <w:rFonts w:hint="eastAsia" w:cs="仿宋" w:asciiTheme="minorEastAsia" w:hAnsiTheme="minorEastAsia" w:eastAsiaTheme="minorEastAsia"/>
                <w:szCs w:val="24"/>
                <w:lang w:eastAsia="zh-CN"/>
              </w:rPr>
              <w:t xml:space="preserve">。</w:t>
            </w:r>
            <w:r/>
          </w:p>
        </w:tc>
      </w:tr>
      <w:tr>
        <w:trPr>
          <w:jc w:val="center"/>
          <w:trHeight w:val="1090"/>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其他</w:t>
            </w:r>
            <w:r/>
          </w:p>
        </w:tc>
        <w:tc>
          <w:tcPr>
            <w:tcW w:w="6249" w:type="dxa"/>
            <w:vAlign w:val="center"/>
            <w:textDirection w:val="lrTb"/>
            <w:noWrap w:val="false"/>
          </w:tcPr>
          <w:p>
            <w:pPr>
              <w:pStyle w:val="1009"/>
              <w:ind w:firstLine="0"/>
              <w:rPr>
                <w:rFonts w:hint="eastAsia" w:cs="仿宋" w:asciiTheme="minorEastAsia" w:hAnsiTheme="minorEastAsia" w:eastAsiaTheme="minorEastAsia"/>
                <w:b/>
                <w:bCs/>
                <w:szCs w:val="24"/>
              </w:rPr>
            </w:pPr>
            <w:r>
              <w:rPr>
                <w:rFonts w:hint="eastAsia" w:cs="仿宋" w:asciiTheme="minorEastAsia" w:hAnsiTheme="minorEastAsia" w:eastAsiaTheme="minorEastAsia"/>
                <w:b/>
                <w:bCs/>
                <w:szCs w:val="24"/>
              </w:rPr>
              <w:t xml:space="preserve">投标文件的制作要求</w:t>
            </w:r>
            <w:r/>
          </w:p>
          <w:p>
            <w:pPr>
              <w:pStyle w:val="1009"/>
              <w:ind w:firstLine="240"/>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本次采购采用“苏采云”系统进行政府采购活动。</w:t>
            </w:r>
            <w:r/>
          </w:p>
          <w:p>
            <w:pPr>
              <w:pStyle w:val="1009"/>
              <w:ind w:firstLine="240"/>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投标人如确定参加投标，可自行下载招标文件及有关资料，按</w:t>
            </w:r>
            <w:r>
              <w:rPr>
                <w:rFonts w:hint="eastAsia" w:cs="仿宋" w:asciiTheme="minorEastAsia" w:hAnsiTheme="minorEastAsia" w:eastAsiaTheme="minorEastAsia"/>
                <w:szCs w:val="24"/>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一、说明和释义</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1.说明  </w:t>
      </w:r>
      <w:r/>
    </w:p>
    <w:p>
      <w:pPr>
        <w:pStyle w:val="1009"/>
        <w:ind w:firstLine="480"/>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1.1本招标文件仅适用于本采购项目的招标、投标、评审、确定中标单位、验收、合同履约、付款等（法律、法规另有规定的，从其规定）。</w:t>
      </w:r>
      <w:r/>
    </w:p>
    <w:p>
      <w:pPr>
        <w:pStyle w:val="1009"/>
        <w:ind w:firstLine="480"/>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1.2本次招标活动及因本次招标产生的合同受中国法律制约和保护。</w:t>
      </w:r>
      <w:r/>
    </w:p>
    <w:p>
      <w:pPr>
        <w:pStyle w:val="1009"/>
        <w:ind w:firstLine="480"/>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1.3本招标文件的解释权属于采购人（代理机构）。</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2.词语释义</w:t>
      </w:r>
      <w:r/>
    </w:p>
    <w:p>
      <w:pPr>
        <w:pStyle w:val="1009"/>
        <w:ind w:firstLine="480"/>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2.1采购人：指依法进行采购的国家机关、事业单位、团体组织。</w:t>
      </w:r>
      <w:r/>
    </w:p>
    <w:p>
      <w:pPr>
        <w:pStyle w:val="1009"/>
        <w:ind w:firstLine="480"/>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2.8天：日历天。</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2.12书面形式：指书面文字、合同书、信件等可以有形地表现所载内容的形式。</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二、投标人</w:t>
      </w:r>
      <w:r/>
    </w:p>
    <w:p>
      <w:pPr>
        <w:spacing w:line="360" w:lineRule="auto"/>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3.合格投标人资格要求</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3.1详见投标人须知前附表规定。</w:t>
      </w:r>
      <w:r/>
    </w:p>
    <w:p>
      <w:pPr>
        <w:spacing w:line="360" w:lineRule="auto"/>
        <w:rPr>
          <w:rFonts w:hint="eastAsia" w:cs="仿宋" w:asciiTheme="minorEastAsia" w:hAnsiTheme="minorEastAsia" w:eastAsiaTheme="minorEastAsia"/>
          <w:bCs/>
          <w:sz w:val="24"/>
          <w:szCs w:val="24"/>
        </w:rPr>
      </w:pPr>
      <w:r>
        <w:rPr>
          <w:rFonts w:hint="eastAsia" w:cs="仿宋" w:asciiTheme="minorEastAsia" w:hAnsiTheme="minorEastAsia" w:eastAsiaTheme="minorEastAsia"/>
          <w:b/>
          <w:sz w:val="24"/>
          <w:szCs w:val="24"/>
        </w:rPr>
        <w:t xml:space="preserve">4.</w:t>
      </w:r>
      <w:r>
        <w:rPr>
          <w:rFonts w:hint="eastAsia" w:cs="仿宋" w:asciiTheme="minorEastAsia" w:hAnsiTheme="minorEastAsia" w:eastAsiaTheme="minorEastAsia"/>
          <w:bCs/>
          <w:sz w:val="24"/>
          <w:szCs w:val="24"/>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5.投标人代表</w:t>
      </w:r>
      <w:r/>
    </w:p>
    <w:p>
      <w:pPr>
        <w:ind w:firstLine="366"/>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5.1指全权代表投标人参加投标活动并签署投标文件的人，如果投标人代表不是法人代表，须具有《法人代表授权委托书》（详见统一格式）。</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6.不接受联合体投标。</w:t>
      </w:r>
      <w:r/>
    </w:p>
    <w:p>
      <w:pPr>
        <w:jc w:val="left"/>
        <w:spacing w:line="360" w:lineRule="auto"/>
        <w:widowControl/>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（9）违反法律法规相关规定的。</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三、招标文件说明</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8.招标文件</w:t>
      </w:r>
      <w:r/>
    </w:p>
    <w:p>
      <w:pPr>
        <w:ind w:firstLine="50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9.现场勘察 </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9.1投标人应按</w:t>
      </w:r>
      <w:r>
        <w:rPr>
          <w:rFonts w:hint="eastAsia" w:cs="仿宋" w:asciiTheme="minorEastAsia" w:hAnsiTheme="minorEastAsia" w:eastAsiaTheme="minorEastAsia"/>
          <w:bCs/>
          <w:sz w:val="24"/>
          <w:szCs w:val="24"/>
        </w:rPr>
        <w:t xml:space="preserve">招标文件中所述时间</w:t>
      </w:r>
      <w:r>
        <w:rPr>
          <w:rFonts w:hint="eastAsia" w:cs="仿宋" w:asciiTheme="minorEastAsia" w:hAnsiTheme="minorEastAsia" w:eastAsiaTheme="minorEastAsia"/>
          <w:sz w:val="24"/>
          <w:szCs w:val="24"/>
        </w:rPr>
        <w:t xml:space="preserve">对有关现场和周围环境进行勘察，以获取编制投标文件和签署合同所需的信息。勘察现场所发生的费用由投标人自己承担。</w:t>
      </w:r>
      <w:r/>
    </w:p>
    <w:p>
      <w:pPr>
        <w:pStyle w:val="1009"/>
        <w:ind w:firstLine="480"/>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09"/>
        <w:ind w:firstLine="480"/>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09"/>
        <w:ind w:firstLine="480"/>
        <w:jc w:val="both"/>
        <w:spacing w:line="360" w:lineRule="auto"/>
        <w:rPr>
          <w:rFonts w:hint="eastAsia" w:cs="仿宋" w:asciiTheme="minorEastAsia" w:hAnsiTheme="minorEastAsia" w:eastAsiaTheme="minorEastAsia"/>
          <w:b/>
          <w:szCs w:val="24"/>
        </w:rPr>
      </w:pPr>
      <w:r>
        <w:rPr>
          <w:rFonts w:hint="eastAsia" w:cs="仿宋" w:asciiTheme="minorEastAsia" w:hAnsiTheme="minorEastAsia" w:eastAsiaTheme="minorEastAsia"/>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10.招标文件的澄清和修改</w:t>
      </w:r>
      <w:r/>
    </w:p>
    <w:p>
      <w:pPr>
        <w:ind w:firstLine="488"/>
        <w:spacing w:line="360" w:lineRule="auto"/>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四、投标文件说明</w:t>
      </w:r>
      <w:r/>
    </w:p>
    <w:p>
      <w:pPr>
        <w:spacing w:line="360" w:lineRule="auto"/>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11.投标文件计量单位和使用文字</w:t>
      </w:r>
      <w:r/>
    </w:p>
    <w:p>
      <w:pPr>
        <w:pStyle w:val="1009"/>
        <w:ind w:firstLine="509"/>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11.1投标文件中所使用的计量单位，除招标文件中有特殊要求外，均应使用中华人民共和国法定计量单位。</w:t>
      </w:r>
      <w:r/>
    </w:p>
    <w:p>
      <w:pPr>
        <w:ind w:firstLine="50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08"/>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w:t>
      </w:r>
      <w:bookmarkStart w:id="36" w:name="_Toc217446047"/>
      <w:r>
        <w:rPr>
          <w:rFonts w:hint="eastAsia" w:cs="仿宋" w:asciiTheme="minorEastAsia" w:hAnsiTheme="minorEastAsia" w:eastAsiaTheme="minorEastAsia"/>
          <w:b/>
          <w:sz w:val="24"/>
          <w:szCs w:val="24"/>
        </w:rPr>
        <w:t xml:space="preserve">2.知识产权</w:t>
      </w:r>
      <w:bookmarkEnd w:id="36"/>
      <w:r/>
      <w:r/>
    </w:p>
    <w:p>
      <w:pPr>
        <w:pStyle w:val="1009"/>
        <w:ind w:firstLine="509"/>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资格、资信证明文件：</w:t>
      </w:r>
      <w:r/>
    </w:p>
    <w:p>
      <w:pPr>
        <w:pStyle w:val="863"/>
        <w:numPr>
          <w:ilvl w:val="1"/>
          <w:numId w:val="2"/>
        </w:numPr>
        <w:ind w:left="0" w:firstLine="567"/>
        <w:spacing w:line="360" w:lineRule="auto"/>
        <w:tabs>
          <w:tab w:val="left" w:pos="1276"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资格证明文件（格式见附件）</w:t>
      </w:r>
      <w:r/>
    </w:p>
    <w:p>
      <w:pPr>
        <w:pStyle w:val="863"/>
        <w:numPr>
          <w:ilvl w:val="1"/>
          <w:numId w:val="2"/>
        </w:numPr>
        <w:ind w:left="0" w:firstLine="567"/>
        <w:spacing w:line="360" w:lineRule="auto"/>
        <w:tabs>
          <w:tab w:val="left" w:pos="1276"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投标人近六个月中任意一个月份(不含投标文件递交当月)的财务状况报告或由会计师事务所出具的近两年中任意一个年度的审计报告，其他组织、自然人及成立未满一年的法人应提供银行出具的资信证明；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承诺书（格式见附件）；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采购人要求的特定资质证明（详见“采购公告”-“本项目特定资格要求”之3中要求）。</w:t>
      </w:r>
      <w:r/>
    </w:p>
    <w:p>
      <w:pPr>
        <w:pStyle w:val="1010"/>
        <w:rPr>
          <w:rFonts w:hint="eastAsia" w:cs="仿宋" w:asciiTheme="minorEastAsia" w:hAnsiTheme="minorEastAsia" w:eastAsiaTheme="minorEastAsia"/>
        </w:rPr>
      </w:pPr>
      <w:r>
        <w:rPr>
          <w:rFonts w:hint="eastAsia" w:cs="仿宋" w:asciiTheme="minorEastAsia" w:hAnsiTheme="minorEastAsia" w:eastAsiaTheme="minorEastAsia"/>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sz w:val="24"/>
          <w:u w:val="single"/>
        </w:rPr>
      </w:pPr>
      <w:r>
        <w:rPr>
          <w:rFonts w:hint="eastAsia" w:cs="仿宋" w:asciiTheme="minorEastAsia" w:hAnsiTheme="minorEastAsia" w:eastAsiaTheme="minorEastAsia"/>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14.投标文件编制及递交要求</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14.1所有文件、往来函件均应使用</w:t>
      </w:r>
      <w:r>
        <w:rPr>
          <w:rFonts w:hint="eastAsia" w:cs="仿宋" w:asciiTheme="minorEastAsia" w:hAnsiTheme="minorEastAsia" w:eastAsiaTheme="minorEastAsia"/>
          <w:b/>
          <w:bCs/>
          <w:sz w:val="24"/>
          <w:szCs w:val="24"/>
        </w:rPr>
        <w:t xml:space="preserve">简体中文</w:t>
      </w:r>
      <w:r>
        <w:rPr>
          <w:rFonts w:hint="eastAsia" w:cs="仿宋" w:asciiTheme="minorEastAsia" w:hAnsiTheme="minorEastAsia" w:eastAsiaTheme="minorEastAsia"/>
          <w:sz w:val="24"/>
          <w:szCs w:val="24"/>
        </w:rPr>
        <w:t xml:space="preserve">（规格、型号辅助符号例外）。</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14.5投标费用自理。</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15.投标报价（编制）要求的说明</w:t>
      </w:r>
      <w:r/>
    </w:p>
    <w:p>
      <w:pPr>
        <w:pStyle w:val="1009"/>
        <w:ind w:firstLine="505"/>
        <w:jc w:val="both"/>
        <w:spacing w:line="360" w:lineRule="auto"/>
        <w:rPr>
          <w:rFonts w:hint="eastAsia" w:cs="仿宋" w:asciiTheme="minorEastAsia" w:hAnsiTheme="minorEastAsia" w:eastAsiaTheme="minorEastAsia"/>
          <w:b/>
          <w:bCs/>
          <w:szCs w:val="24"/>
        </w:rPr>
      </w:pPr>
      <w:r>
        <w:rPr>
          <w:rFonts w:hint="eastAsia" w:cs="仿宋" w:asciiTheme="minorEastAsia" w:hAnsiTheme="minorEastAsia" w:eastAsiaTheme="minorEastAsia"/>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009"/>
        <w:ind w:firstLine="505"/>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投标人要认真阅读清单，慎重报价。采购人不再支付报价以外的任何费用。</w:t>
      </w:r>
      <w:r/>
    </w:p>
    <w:p>
      <w:pPr>
        <w:pStyle w:val="1009"/>
        <w:ind w:firstLine="505"/>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15.2投标人应对招标文件内所要采购的全部内容进行报价，只投其中部分内容者，其标书将被拒绝。</w:t>
      </w:r>
      <w:r/>
    </w:p>
    <w:p>
      <w:pPr>
        <w:pStyle w:val="1009"/>
        <w:ind w:firstLine="505"/>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15.3一项投标内容只允许一个报价，招标采购单位不接受任何有选择性的投标报价。</w:t>
      </w:r>
      <w:r/>
    </w:p>
    <w:p>
      <w:pPr>
        <w:pStyle w:val="1009"/>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16.投标保证金</w:t>
      </w:r>
      <w:r/>
    </w:p>
    <w:p>
      <w:pPr>
        <w:pStyle w:val="853"/>
        <w:ind w:firstLine="480"/>
        <w:keepLines w:val="0"/>
        <w:keepNext w:val="0"/>
        <w:spacing w:before="0" w:after="0" w:line="360" w:lineRule="auto"/>
        <w:rPr>
          <w:rFonts w:hint="eastAsia" w:cs="仿宋" w:asciiTheme="minorEastAsia" w:hAnsiTheme="minorEastAsia" w:eastAsiaTheme="minorEastAsia"/>
          <w:b w:val="0"/>
          <w:bCs w:val="0"/>
          <w:sz w:val="24"/>
          <w:szCs w:val="24"/>
        </w:rPr>
      </w:pPr>
      <w:r>
        <w:rPr>
          <w:rFonts w:hint="eastAsia" w:cs="仿宋" w:asciiTheme="minorEastAsia" w:hAnsiTheme="minorEastAsia" w:eastAsiaTheme="minorEastAsia"/>
          <w:b w:val="0"/>
          <w:bCs w:val="0"/>
          <w:sz w:val="24"/>
          <w:szCs w:val="24"/>
        </w:rPr>
        <w:t xml:space="preserve">根据苏财购〔2020〕52号文件，本项目不收取投标保证金。 </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17.投标文件的有效期</w:t>
      </w:r>
      <w:r/>
    </w:p>
    <w:p>
      <w:pPr>
        <w:ind w:firstLine="50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18.投标文件的拒收</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五、投标文件的递交</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19.投标文件的递交</w:t>
      </w:r>
      <w:r/>
    </w:p>
    <w:p>
      <w:pPr>
        <w:ind w:firstLine="426"/>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19.1电子投标文件的递交</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20.投标截止日期</w:t>
      </w:r>
      <w:r/>
    </w:p>
    <w:p>
      <w:pPr>
        <w:ind w:firstLine="426"/>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21.投标文件的修改和撤回</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21.1投标文件的撤回</w:t>
      </w:r>
      <w:r/>
    </w:p>
    <w:p>
      <w:pPr>
        <w:ind w:firstLine="426"/>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21.2 投标文件的修改</w:t>
      </w:r>
      <w:r/>
    </w:p>
    <w:p>
      <w:pPr>
        <w:ind w:firstLine="426"/>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六、开标和评标</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23.评标委员会</w:t>
      </w:r>
      <w:r>
        <w:rPr>
          <w:rFonts w:hint="eastAsia" w:cs="仿宋" w:asciiTheme="minorEastAsia" w:hAnsiTheme="minorEastAsia" w:eastAsiaTheme="minorEastAsia"/>
          <w:b/>
          <w:sz w:val="24"/>
          <w:szCs w:val="24"/>
        </w:rPr>
        <w:tab/>
      </w:r>
      <w:r/>
    </w:p>
    <w:p>
      <w:pPr>
        <w:pStyle w:val="1009"/>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23.1评标委员会由招标采购单位依法组建，负责本项目的评标事务。</w:t>
      </w:r>
      <w:r/>
    </w:p>
    <w:p>
      <w:pPr>
        <w:pStyle w:val="1009"/>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23.2评标委员会独立履行下列职责：</w:t>
      </w:r>
      <w:r/>
    </w:p>
    <w:p>
      <w:pPr>
        <w:pStyle w:val="1009"/>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23.2.1审查投标文件是否符合招标文件的要求，并作出评价；</w:t>
      </w:r>
      <w:r/>
    </w:p>
    <w:p>
      <w:pPr>
        <w:pStyle w:val="1009"/>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23.2.2可以要求投标供应商对投标文件有关事项作出解释或澄清；</w:t>
      </w:r>
      <w:r/>
    </w:p>
    <w:p>
      <w:pPr>
        <w:pStyle w:val="1009"/>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23.2.3推荐中标候选供应商名单，或者受采购人委托按照事先确定的办法直接确定中标供应商；</w:t>
      </w:r>
      <w:r/>
    </w:p>
    <w:p>
      <w:pPr>
        <w:pStyle w:val="1009"/>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23.2.4向招标采购单位或者有关部门报告非法干预评标工作的行为。</w:t>
      </w:r>
      <w:r/>
    </w:p>
    <w:p>
      <w:pPr>
        <w:pStyle w:val="1009"/>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23.3评标委员会成员应当履行下列义务：</w:t>
      </w:r>
      <w:r/>
    </w:p>
    <w:p>
      <w:pPr>
        <w:pStyle w:val="1009"/>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23.3.1遵纪守法，客观、公正、廉洁地履行职责；</w:t>
      </w:r>
      <w:r/>
    </w:p>
    <w:p>
      <w:pPr>
        <w:pStyle w:val="1009"/>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23.3.2按照招标文件规定的评标办法和评标标准进行评标，对评审意见承担个人责任；</w:t>
      </w:r>
      <w:r/>
    </w:p>
    <w:p>
      <w:pPr>
        <w:pStyle w:val="1009"/>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23.3.3对评标过程和结果，以及投标人的商业秘密保密；</w:t>
      </w:r>
      <w:r/>
    </w:p>
    <w:p>
      <w:pPr>
        <w:pStyle w:val="1009"/>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23.3.4参与评标报告的起草；</w:t>
      </w:r>
      <w:r/>
    </w:p>
    <w:p>
      <w:pPr>
        <w:pStyle w:val="1009"/>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23.3.5配合相关部门的投诉处理工作；</w:t>
      </w:r>
      <w:r/>
    </w:p>
    <w:p>
      <w:pPr>
        <w:pStyle w:val="1009"/>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23.3.6配合招标采购单位答复投标供应商提出的质疑。</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24.评标内容的保密</w:t>
      </w:r>
      <w:r/>
    </w:p>
    <w:p>
      <w:pPr>
        <w:pStyle w:val="1009"/>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24.1公开开标后，直到宣布授予中标人合同为止，凡属于审查、澄清、评价和比较投标的所有资料，有关授予合同的信息都不应向投标人或与评标无关的其他人泄露。</w:t>
      </w:r>
      <w:r/>
    </w:p>
    <w:p>
      <w:pPr>
        <w:pStyle w:val="1009"/>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24.2 在投标文件的审查、澄清、评价和比较以及授予合同的过程中，投标人对招标采购单位和评标委员会成员施加影响的任何行为，都将取消其投标资格。</w:t>
      </w:r>
      <w:r/>
    </w:p>
    <w:p>
      <w:pPr>
        <w:pStyle w:val="1009"/>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25.对投标文件初审</w:t>
      </w:r>
      <w:r/>
    </w:p>
    <w:p>
      <w:pPr>
        <w:pStyle w:val="1009"/>
        <w:ind w:firstLine="488"/>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25.1投标文件初审分为资格性检查和符合性检查。</w:t>
      </w:r>
      <w:r/>
    </w:p>
    <w:p>
      <w:pPr>
        <w:pStyle w:val="1009"/>
        <w:ind w:firstLine="488"/>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26.投标的澄清</w:t>
      </w:r>
      <w:r/>
    </w:p>
    <w:p>
      <w:pPr>
        <w:pStyle w:val="1009"/>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26.1对投标文件中含义不明确</w:t>
      </w:r>
      <w:r>
        <w:rPr>
          <w:rFonts w:hint="eastAsia" w:cs="仿宋" w:asciiTheme="minorEastAsia" w:hAnsiTheme="minorEastAsia" w:eastAsiaTheme="minorEastAsia"/>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27.废标</w:t>
      </w:r>
      <w:r/>
    </w:p>
    <w:p>
      <w:pPr>
        <w:ind w:firstLine="575"/>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4．因重大变故，采购任务取消。</w:t>
      </w:r>
      <w:r/>
    </w:p>
    <w:p>
      <w:pPr>
        <w:ind w:left="485" w:firstLine="85"/>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5．因“江苏政府采购“苏采云”系统”系统重大故障原因无法继续开评标的。</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28.投标文件的评价和比较</w:t>
      </w:r>
      <w:r/>
    </w:p>
    <w:p>
      <w:pPr>
        <w:pStyle w:val="1009"/>
        <w:ind w:firstLine="609"/>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28.1评标委员会按招标文件规定的评标方法和标准，对符合性检查合格的投标文件进行商务和技术评估，综合比较与评价。</w:t>
      </w:r>
      <w:r/>
    </w:p>
    <w:p>
      <w:pPr>
        <w:pStyle w:val="1009"/>
        <w:ind w:firstLine="609"/>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七、授予合同</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29.中标人的确认</w:t>
      </w:r>
      <w:r/>
    </w:p>
    <w:p>
      <w:pPr>
        <w:pStyle w:val="1009"/>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09"/>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29.2中标无效的确认：</w:t>
      </w:r>
      <w:r/>
    </w:p>
    <w:p>
      <w:pPr>
        <w:pStyle w:val="1009"/>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（1）提供虚假材料谋取中标的；</w:t>
      </w:r>
      <w:r/>
    </w:p>
    <w:p>
      <w:pPr>
        <w:pStyle w:val="1009"/>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（2）采取不正当手段诋毁、排挤其他投标人的；</w:t>
      </w:r>
      <w:r/>
    </w:p>
    <w:p>
      <w:pPr>
        <w:pStyle w:val="1009"/>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（3）与招标采购单位、其他投标人恶意串通的；</w:t>
      </w:r>
      <w:r/>
    </w:p>
    <w:p>
      <w:pPr>
        <w:pStyle w:val="1009"/>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（4）向招标采购单位行贿或者提供其他不正当利益的；</w:t>
      </w:r>
      <w:r/>
    </w:p>
    <w:p>
      <w:pPr>
        <w:pStyle w:val="1009"/>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（5）在招标过程中与招标采购单位进行协商谈判、不按照招标文件和中标供应商的投标文件订立合同，或者与采购人另行订立背离合同实质性内容的协议的；</w:t>
      </w:r>
      <w:r/>
    </w:p>
    <w:p>
      <w:pPr>
        <w:pStyle w:val="1009"/>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（6）拒绝有关部门监督检查或者提供虚假情况的。</w:t>
      </w:r>
      <w:r/>
    </w:p>
    <w:p>
      <w:pPr>
        <w:pStyle w:val="1009"/>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09"/>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29.3经评标委员</w:t>
      </w:r>
      <w:r>
        <w:rPr>
          <w:rFonts w:hint="eastAsia" w:cs="仿宋" w:asciiTheme="minorEastAsia" w:hAnsiTheme="minorEastAsia" w:eastAsiaTheme="minorEastAsia"/>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29.7以下情形的质疑不予受理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（2）供应商超过法定质疑期提出质疑的；</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（5）供应商对自身提出质疑的。</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30.合同授予标准</w:t>
      </w:r>
      <w:r/>
    </w:p>
    <w:p>
      <w:pPr>
        <w:ind w:firstLine="50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31.中标通知书</w:t>
      </w:r>
      <w:r/>
    </w:p>
    <w:p>
      <w:pPr>
        <w:pStyle w:val="1009"/>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09"/>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31.2中标通知书将成为合同的组成部分。</w:t>
      </w:r>
      <w:r/>
    </w:p>
    <w:p>
      <w:pPr>
        <w:pStyle w:val="1009"/>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sz w:val="24"/>
          <w:szCs w:val="24"/>
        </w:rPr>
        <w:outlineLvl w:val="0"/>
      </w:pPr>
      <w:r>
        <w:rPr>
          <w:rFonts w:hint="eastAsia" w:cs="仿宋" w:asciiTheme="minorEastAsia" w:hAnsiTheme="minorEastAsia" w:eastAsiaTheme="minorEastAsia"/>
          <w:b/>
          <w:sz w:val="24"/>
          <w:szCs w:val="24"/>
        </w:rPr>
        <w:t xml:space="preserve">32.履约保证金</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32.1中标人应按规定提交履约保证金。</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32.2中标人必须在合同签订前按规定将履约保证金交至采购人指定账户。中标人未按上述要求提交履约保证金的,采购人可取消其中标资格。</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32.3履约保证金用以约束供应商在合同履行中的行为，弥补合同执行中由于自身行为可能给采购人带来的各种损失。</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33.合同的签订</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33.1中标人应按中标通知书中规定的时间和地点，由法定代表人或委托代理人与采购人代表签订合同。</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34.特别提醒</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34.1投标单位如有提供不实评审材料，弄虚作假者，一律作废标处理，该不良行为将予以公示。</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09"/>
        <w:ind w:firstLine="431"/>
        <w:jc w:val="both"/>
        <w:spacing w:line="360" w:lineRule="auto"/>
        <w:rPr>
          <w:rFonts w:hint="eastAsia" w:cs="仿宋" w:asciiTheme="minorEastAsia" w:hAnsiTheme="minorEastAsia" w:eastAsiaTheme="minorEastAsia"/>
          <w:szCs w:val="24"/>
        </w:rPr>
      </w:pPr>
      <w:r/>
      <w:bookmarkStart w:id="37" w:name="_Toc409438818"/>
      <w:r>
        <w:rPr>
          <w:rFonts w:hint="eastAsia" w:cs="仿宋" w:asciiTheme="minorEastAsia" w:hAnsiTheme="minorEastAsia" w:eastAsiaTheme="minorEastAsia"/>
          <w:szCs w:val="24"/>
        </w:rPr>
        <w:t xml:space="preserve">34.3政府采购线上合同信用融资功能告知提醒</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我区已正式启用“苏采云”系统，目前已全面开通政府采购线上合同信用融资（以下简称“政采贷”）功能。成交供应商可凭政府采购合同在中征平台发起贷款申请贷款。</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34.3.1.“政采贷”业务流程</w:t>
      </w:r>
      <w:r/>
    </w:p>
    <w:p>
      <w:pPr>
        <w:pStyle w:val="1009"/>
        <w:ind w:firstLine="431"/>
        <w:jc w:val="center"/>
        <w:spacing w:line="360" w:lineRule="auto"/>
        <w:rPr>
          <w:rFonts w:hint="eastAsia" w:cs="仿宋" w:asciiTheme="minorEastAsia" w:hAnsiTheme="minorEastAsia" w:eastAsiaTheme="minorEastAsia"/>
          <w:szCs w:val="24"/>
        </w:rPr>
      </w:pPr>
      <w:r>
        <w:rPr>
          <w:rFonts w:cs="仿宋" w:asciiTheme="minorEastAsia" w:hAnsiTheme="minorEastAsia" w:eastAsiaTheme="minorEastAsia"/>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6"/>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6" o:title=""/>
              </v:shape>
            </w:pict>
          </mc:Fallback>
        </mc:AlternateConten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34.3.2.操作流程</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34.3.3.常见问题</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Q1：哪些企业能申请“政采贷”？</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答：江苏省内采用国库集中支付的政府采购项目的中标供应商，可凭政府采购合同申请"政采贷"。</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Q2：供应商在哪里申请“政采贷”？</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答：中标供应商在“中征应收账款融资服务平台”（简称“中征平台”）上向意向银行发起融资申请</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Q3：中标供应商要注意什么？</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答：中标供应商要加强和采购单位的沟通协调，尽早确定融资需求。需要“政采贷”融资的，政府采购合同付款账号应当空置。</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Q4：采购单位要做什么？</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Q5：“政采贷”融资失败怎么办？</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34.3.4.网址及联系方式</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政采贷：http://www.ccgp-jiangsu.gov.cn/jiangsu/paying.html</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中征平台：https://www.crcrfsp.com/</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联系人：翟先生           联系电话：0523-88816349</w:t>
      </w:r>
      <w:r/>
    </w:p>
    <w:p>
      <w:pPr>
        <w:pStyle w:val="1009"/>
        <w:numPr>
          <w:ilvl w:val="0"/>
          <w:numId w:val="3"/>
        </w:numPr>
        <w:ind w:firstLine="431"/>
        <w:jc w:val="both"/>
        <w:spacing w:line="360" w:lineRule="auto"/>
        <w:rPr>
          <w:rFonts w:hint="eastAsia" w:cs="仿宋" w:asciiTheme="minorEastAsia" w:hAnsiTheme="minorEastAsia" w:eastAsiaTheme="minorEastAsia"/>
          <w:b/>
          <w:szCs w:val="24"/>
        </w:rPr>
      </w:pPr>
      <w:r>
        <w:rPr>
          <w:rFonts w:hint="eastAsia" w:cs="仿宋" w:asciiTheme="minorEastAsia" w:hAnsiTheme="minorEastAsia" w:eastAsiaTheme="minorEastAsia"/>
          <w:b/>
          <w:szCs w:val="24"/>
        </w:rPr>
        <w:t xml:space="preserve">货物（包含与货物相关的服务）的追加</w:t>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7"/>
      <w:r/>
      <w:bookmarkStart w:id="38" w:name="_Toc388026586"/>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09"/>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09"/>
        <w:numPr>
          <w:ilvl w:val="0"/>
          <w:numId w:val="4"/>
        </w:numPr>
        <w:ind w:firstLine="0"/>
        <w:jc w:val="center"/>
        <w:spacing w:line="360" w:lineRule="auto"/>
        <w:rPr>
          <w:rFonts w:hint="eastAsia" w:cs="仿宋" w:asciiTheme="minorEastAsia" w:hAnsiTheme="minorEastAsia" w:eastAsiaTheme="minorEastAsia"/>
          <w:b/>
          <w:sz w:val="32"/>
          <w:szCs w:val="32"/>
        </w:rPr>
      </w:pPr>
      <w:r>
        <w:rPr>
          <w:rFonts w:hint="eastAsia" w:cs="仿宋" w:asciiTheme="minorEastAsia" w:hAnsiTheme="minorEastAsia" w:eastAsiaTheme="minorEastAsia"/>
          <w:b/>
          <w:sz w:val="32"/>
          <w:szCs w:val="32"/>
        </w:rPr>
        <w:t xml:space="preserve"> 采购</w:t>
      </w:r>
      <w:bookmarkEnd w:id="38"/>
      <w:r>
        <w:rPr>
          <w:rFonts w:hint="eastAsia" w:cs="仿宋" w:asciiTheme="minorEastAsia" w:hAnsiTheme="minorEastAsia" w:eastAsiaTheme="minorEastAsia"/>
          <w:b/>
          <w:sz w:val="32"/>
          <w:szCs w:val="32"/>
        </w:rPr>
        <w:t xml:space="preserve">需求</w:t>
      </w:r>
      <w:r/>
    </w:p>
    <w:p>
      <w:pPr>
        <w:pStyle w:val="863"/>
        <w:ind w:left="720" w:firstLine="0"/>
        <w:jc w:val="left"/>
        <w:spacing w:line="360" w:lineRule="auto"/>
        <w:tabs>
          <w:tab w:val="left" w:pos="1260" w:leader="none"/>
        </w:tabs>
        <w:rPr>
          <w:rFonts w:hint="eastAsia" w:ascii="宋体" w:hAnsi="宋体" w:eastAsia="宋体"/>
          <w:b/>
          <w:sz w:val="28"/>
          <w:szCs w:val="28"/>
        </w:rPr>
      </w:pPr>
      <w:r/>
      <w:bookmarkStart w:id="39" w:name="_Toc388026588"/>
      <w:r/>
      <w:bookmarkStart w:id="40" w:name="_Toc409438821"/>
      <w:r>
        <w:rPr>
          <w:rFonts w:hint="eastAsia" w:ascii="宋体" w:hAnsi="宋体" w:eastAsia="宋体"/>
          <w:b/>
          <w:sz w:val="28"/>
          <w:szCs w:val="28"/>
        </w:rPr>
        <w:t xml:space="preserve">一、采购需求</w:t>
      </w:r>
      <w:r/>
    </w:p>
    <w:tbl>
      <w:tblPr>
        <w:tblStyle w:val="1033"/>
        <w:tblW w:w="486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92"/>
        <w:gridCol w:w="790"/>
        <w:gridCol w:w="3532"/>
        <w:gridCol w:w="913"/>
        <w:gridCol w:w="2055"/>
      </w:tblGrid>
      <w:tr>
        <w:trPr>
          <w:jc w:val="center"/>
          <w:trHeight w:val="998"/>
        </w:trPr>
        <w:tc>
          <w:tcPr>
            <w:tcW w:w="490"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489"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包品目号</w:t>
            </w:r>
            <w:r/>
          </w:p>
        </w:tc>
        <w:tc>
          <w:tcPr>
            <w:tcW w:w="2185"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565"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27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098" w:hRule="exact"/>
        </w:trPr>
        <w:tc>
          <w:tcPr>
            <w:shd w:val="clear" w:color="auto" w:fill="ffffff"/>
            <w:tcW w:w="490"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489" w:type="pct"/>
            <w:vAlign w:val="center"/>
            <w:textDirection w:val="lrTb"/>
            <w:noWrap w:val="false"/>
          </w:tcPr>
          <w:p>
            <w:pPr>
              <w:jc w:val="center"/>
              <w:spacing w:line="440" w:lineRule="exact"/>
              <w:rPr>
                <w:rFonts w:hint="eastAsia" w:ascii="宋体" w:hAnsi="宋体" w:eastAsia="宋体" w:cs="宋体"/>
                <w:sz w:val="24"/>
                <w:szCs w:val="24"/>
              </w:rPr>
            </w:pPr>
            <w:r/>
            <w:bookmarkStart w:id="41" w:name="_Hlk183174083"/>
            <w:r>
              <w:rPr>
                <w:rFonts w:hint="eastAsia" w:ascii="宋体" w:hAnsi="宋体" w:eastAsia="宋体" w:cs="宋体"/>
                <w:sz w:val="24"/>
                <w:szCs w:val="24"/>
              </w:rPr>
              <w:t xml:space="preserve">1-1</w:t>
            </w:r>
            <w:r/>
          </w:p>
        </w:tc>
        <w:tc>
          <w:tcPr>
            <w:shd w:val="clear" w:color="auto" w:fill="ffffff"/>
            <w:tcW w:w="2185"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全数字化通用型平板血管造影系统</w:t>
            </w:r>
            <w:r/>
          </w:p>
        </w:tc>
        <w:tc>
          <w:tcPr>
            <w:shd w:val="clear" w:color="auto" w:fill="ffffff"/>
            <w:tcW w:w="565"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1套</w:t>
            </w:r>
            <w:r/>
          </w:p>
        </w:tc>
        <w:tc>
          <w:tcPr>
            <w:shd w:val="clear" w:color="auto" w:fill="ffffff"/>
            <w:tcW w:w="127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靖江市中医院指定地点</w:t>
            </w:r>
            <w:bookmarkEnd w:id="41"/>
            <w:r/>
            <w:r/>
          </w:p>
        </w:tc>
      </w:tr>
    </w:tbl>
    <w:p>
      <w:pPr>
        <w:numPr>
          <w:ilvl w:val="0"/>
          <w:numId w:val="5"/>
        </w:numPr>
        <w:spacing w:line="520" w:lineRule="exact"/>
        <w:tabs>
          <w:tab w:val="left" w:pos="1260" w:leader="none"/>
        </w:tabs>
        <w:rPr>
          <w:rFonts w:hint="eastAsia" w:ascii="宋体" w:hAnsi="宋体" w:eastAsia="宋体"/>
          <w:b/>
          <w:sz w:val="24"/>
          <w:szCs w:val="24"/>
        </w:rPr>
      </w:pPr>
      <w:r>
        <w:rPr>
          <w:rFonts w:ascii="宋体" w:hAnsi="宋体" w:eastAsia="宋体"/>
          <w:b/>
          <w:sz w:val="24"/>
          <w:szCs w:val="24"/>
        </w:rPr>
        <w:br w:type="page" w:clear="all"/>
      </w:r>
      <w:r/>
    </w:p>
    <w:p>
      <w:pPr>
        <w:jc w:val="left"/>
        <w:spacing w:line="360" w:lineRule="auto"/>
        <w:tabs>
          <w:tab w:val="left" w:pos="1260" w:leader="none"/>
        </w:tabs>
        <w:rPr>
          <w:rFonts w:hint="eastAsia" w:ascii="宋体" w:hAnsi="宋体" w:eastAsia="宋体"/>
          <w:sz w:val="28"/>
          <w:szCs w:val="28"/>
        </w:rPr>
      </w:pPr>
      <w:r>
        <w:rPr>
          <w:rFonts w:hint="eastAsia" w:ascii="宋体" w:hAnsi="宋体" w:eastAsia="宋体"/>
          <w:b/>
          <w:sz w:val="28"/>
          <w:szCs w:val="28"/>
        </w:rPr>
        <w:t xml:space="preserve">二、技术要求</w:t>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7"/>
        <w:gridCol w:w="7109"/>
      </w:tblGrid>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机架系统:</w:t>
            </w:r>
            <w:r/>
          </w:p>
        </w:tc>
      </w:tr>
      <w:tr>
        <w:trPr>
          <w:trHeight w:val="78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全自动悬吊式C臂，具有智能床旁控制系统可以控制机架和导管床的运动，机架多位置预设，并且机架可移动至抢救位，即机架可与检查床完全分离</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C臂在头位时CRA≥ 55°</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C臂在头位时CAU≥ 45°</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C臂在头位时RAO ≥ 180°</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C臂在头位时LAO ≥ 105°</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C臂旋转速度（非旋转采集）≥25度/秒</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C臂旋转采集速度≥40度/秒</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SID范围可调，最小范围90cm-119.5cm   </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导管床:</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碳纤维浮动床面，具备导管床手臂支架，床垫，输液支架</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床长≥280cm（不包含延长板的长度）</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床的最大物理承重≥325KG</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2.4</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最大病人承重≥200KG + 50KG（CPR）</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床的纵向运动范围≥125cm，横向运动≥34cm</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▲2.6</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床面的垂直升降范围≥28 cm</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2.7</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床面旋转角度顺时针≥90度， 床面旋转角度逆时针≥90度 </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液晶触摸控制屏：</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检查床旁具备液晶触摸控制屏</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液晶触摸控制屏搭配操作杆，可进行采集条件设置、图像后处理和定量分析、器官程序选择等操作</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X线高压发生器装置：</w:t>
            </w:r>
            <w:r/>
          </w:p>
        </w:tc>
      </w:tr>
      <w:tr>
        <w:trPr>
          <w:trHeight w:val="69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无需测试曝光进行自动曝光控制，发生器功率≥100KW，高频逆变频率≥100KHz，最大连续透视功率≥3000W</w:t>
            </w:r>
            <w:r/>
          </w:p>
        </w:tc>
      </w:tr>
      <w:tr>
        <w:trPr>
          <w:trHeight w:val="69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最大管电流支持≥1000mA （100KV/100KW时），最小管电流≤1 mA，最小管电压≤50 KV，最大管电压≥125KV</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▲4.3</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最短曝光时间≤1 ms</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X线球管：</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最大透视管电流≥ 130 mA</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球管阳极连续高速旋转，转速≥4200转/分，包括透视及采集</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b/>
                <w:bCs/>
                <w:sz w:val="24"/>
                <w:szCs w:val="24"/>
              </w:rPr>
            </w:pPr>
            <w:r>
              <w:rPr>
                <w:rFonts w:hint="eastAsia" w:ascii="宋体" w:hAnsi="宋体" w:eastAsia="宋体" w:cs="宋体"/>
                <w:bCs/>
                <w:sz w:val="24"/>
                <w:szCs w:val="24"/>
              </w:rPr>
              <w:t xml:space="preserve">★</w:t>
            </w:r>
            <w:r>
              <w:rPr>
                <w:rFonts w:hint="eastAsia" w:asciiTheme="minorEastAsia" w:hAnsiTheme="minorEastAsia" w:eastAsiaTheme="minorEastAsia"/>
                <w:b/>
                <w:bCs/>
                <w:sz w:val="24"/>
                <w:szCs w:val="24"/>
              </w:rPr>
              <w:t xml:space="preserve">5.3</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阳极热容量≥ 3.5 MHU</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b/>
                <w:bCs/>
                <w:sz w:val="24"/>
                <w:szCs w:val="24"/>
              </w:rPr>
            </w:pPr>
            <w:r>
              <w:rPr>
                <w:rFonts w:hint="eastAsia" w:ascii="宋体" w:hAnsi="宋体" w:eastAsia="宋体" w:cs="宋体"/>
                <w:bCs/>
                <w:sz w:val="24"/>
                <w:szCs w:val="24"/>
              </w:rPr>
              <w:t xml:space="preserve">★</w:t>
            </w:r>
            <w:r>
              <w:rPr>
                <w:rFonts w:hint="eastAsia" w:asciiTheme="minorEastAsia" w:hAnsiTheme="minorEastAsia" w:eastAsiaTheme="minorEastAsia"/>
                <w:b/>
                <w:bCs/>
                <w:sz w:val="24"/>
                <w:szCs w:val="24"/>
              </w:rPr>
              <w:t xml:space="preserve">5.4</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阳极最大散热功率≥6500 W</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▲5.5</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球管焦点≥2个</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5.6</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最小焦点≤0.4，最小焦点功率≥17KW</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5.7</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中焦点≤0.7，中焦点功率≥40KW</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5.8</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最大焦点≤1.0，最大焦点功率≥90KW</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5.9</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球管带有防碰撞保护装置，球管采用油冷或水冷的冷却方式，采用液态金属轴承技术</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▲5.1</w:t>
            </w:r>
            <w:r>
              <w:rPr>
                <w:rFonts w:asciiTheme="minorEastAsia" w:hAnsiTheme="minorEastAsia" w:eastAsiaTheme="minorEastAsia"/>
                <w:sz w:val="24"/>
                <w:szCs w:val="24"/>
              </w:rPr>
              <w:t xml:space="preserve">0</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自动实时调节铜滤片≥ 3 档</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数字化平板探测器：</w:t>
            </w:r>
            <w:r/>
          </w:p>
        </w:tc>
      </w:tr>
      <w:tr>
        <w:trPr>
          <w:trHeight w:val="81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采用碘化铯非晶硅数字化平板探测器技术，平板带有感应式防碰撞保护装置及防碰撞自动控制，平板内具备可抽取滤线栅</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平板检测器光子转换效率≥77% DQE </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6.3</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平板有效探测面积≥38cm x 29 cm；平板像素尺寸≤154μm；系统采集：≥ 2400 x 1900矩阵；动态灰阶≥16bit</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6.4</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视野≥6 </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6.5</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最小视野≥9 x 9cm, 最小视野对角线≥11 cm</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图像采集及处理系统：</w:t>
            </w:r>
            <w:r/>
          </w:p>
        </w:tc>
      </w:tr>
      <w:tr>
        <w:trPr>
          <w:trHeight w:val="765"/>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主机配备双工作站处理系统，分别完成图像采集和后处理操作,图像处理包括窗宽/窗位可调节，噪声滤过及图像边缘增强的功能,具有实时动态范围管理功能</w:t>
            </w:r>
            <w:r/>
          </w:p>
        </w:tc>
      </w:tr>
      <w:tr>
        <w:trPr>
          <w:trHeight w:val="72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标准DR模式，速率：≥0.5-7.5帧/秒；标准DSA模式，速率：≥0.5-7.5帧/秒，并具有实时DSA功能</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▲7.3</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数字脉冲透视 ≥ 4档 </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7.4</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透视图像存储量≥1000幅，最大透视图像储存时间≥60s</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智能二维路径导航功能：</w:t>
            </w:r>
            <w:r/>
          </w:p>
        </w:tc>
      </w:tr>
      <w:tr>
        <w:trPr>
          <w:trHeight w:val="84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可实现传统路图功能，可使用DSA采集序列中任意一副减影图像作为路径图，可使用DR采集序列中任意一副图像或任意一副透视图像作为路径图，路图视野可一键放大</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路径导航功能可用于心脏介入</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8.3</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实时透视图像与路径图像叠加，可淡进淡出，循环显像</w:t>
            </w:r>
            <w:r/>
          </w:p>
        </w:tc>
      </w:tr>
      <w:tr>
        <w:trPr>
          <w:trHeight w:val="735"/>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8.4</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可对路径图中的血管影像、介入植入物（导丝导管、胶、弹簧圈等）、解剖背景的亮度进行分别的独立调节，以满足复杂介入操作引导的需要</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智能双路图导航功能：</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可同时显示路图以及非减影实时影像路图</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当路图视野一键放大时，非减影实时路图视野不变</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颅内支架精显：</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可在低剂量条件下，实现二维颅内支架增强显影</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能够识别不同厂家支架，并增强图像清晰度</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图像采集及处理及优化技术软件包:</w:t>
            </w:r>
            <w:r/>
          </w:p>
        </w:tc>
      </w:tr>
      <w:tr>
        <w:trPr>
          <w:trHeight w:val="93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由身高、体重等参数，自动测算患者不同解剖部位体厚，由被投造部位的解剖厚度及密度信息自动计算该部位的X线穿透性，由C型臂的角度自动计算X线穿越人体的路径</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动态图像优化降噪，适应性边缘增强 ，轮廓跟踪自动亮度、对比度实时调节</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图像显示系统：</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检查室两台（19英吋）TFT显视器，分别用于实时图像和参考图像显示：控制室一台（19英吋）TFT显示器，用于主机操作以及实时图像显示</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（19英吋）TFT显视器亮度≥400 cd/m2，显视器分辨率≥1280X1024</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12.3</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配有四架位监视器悬吊架，监视器吊架可置于床左右二侧及床尾，监视器悬吊架可纵向及旋转运动</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图像存储及图像分析系统：</w:t>
            </w:r>
            <w:r/>
          </w:p>
        </w:tc>
      </w:tr>
      <w:tr>
        <w:trPr>
          <w:trHeight w:val="735"/>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主机硬盘图像存储：1024x1024矩阵，容量≥25000幅，主机硬盘图像可存储在CD/DVD光盘上，同时CD/DVD光盘上的图像可回传至主机硬盘</w:t>
            </w:r>
            <w:r/>
          </w:p>
        </w:tc>
      </w:tr>
      <w:tr>
        <w:trPr>
          <w:trHeight w:val="108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自动回放采集序列,回放序列的速度及方向可调,可进行减影及非减影切换,后处理功能包括：选择路标图像、电子遮光器、边缘增强、图像反转、附加注解、选择图像、移动放大、造影图像自动窗宽、窗位调节、重定蒙片、手动自动像素移位等</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高级三维图像后处理工作站：</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具有独立的三维重建及分析工作站（原厂提供）</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3.6GHz以上CPU，六核，RAM：≥ 64GB，图像硬盘容量：≥ 1TB</w:t>
            </w:r>
            <w:r/>
          </w:p>
        </w:tc>
      </w:tr>
      <w:tr>
        <w:trPr>
          <w:trHeight w:val="129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14.3</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进行图像后处理，包括图像全幅和局部放大，多幅图像显示，图像边缘增强等；配备全兼容性的CD/DVD刻录系统，可制作标准血管造影光盘，输出及叠加单幅图像，可用AVI文件输出完整图像；光盘刻录数据可随时回传至主机，并进行后处理、分析</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14.4</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控制室：≥19英吋高分辨率LCD彩色监视器一台</w:t>
            </w:r>
            <w:r/>
          </w:p>
        </w:tc>
      </w:tr>
      <w:tr>
        <w:trPr>
          <w:trHeight w:val="1005"/>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14.5</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可完成全身各部位三维图像的重建、后处理、显示和归档；具有快速二维和多平面显示、回放，三维处理：3D血管表面重建（SSD）、最大密度投影重建（MIP）、3D容积重建（VRT）</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三维血管路图导航功能：</w:t>
            </w:r>
            <w:r/>
          </w:p>
        </w:tc>
      </w:tr>
      <w:tr>
        <w:trPr>
          <w:trHeight w:val="795"/>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三维血管路图导航功能，可将三维血管路图与实时的二维透视图像叠加，在检查室床旁实时显示导管、导丝、弹簧圈在三维图像中的走行</w:t>
            </w:r>
            <w:r/>
          </w:p>
        </w:tc>
      </w:tr>
      <w:tr>
        <w:trPr>
          <w:trHeight w:val="825"/>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三维路图能够自动追踪C臂角度、检查床面即解剖投照位置、投照野大小、SID位置变化，提高治疗准确性，安全性及工作流程</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血管机类CT成像功能：</w:t>
            </w:r>
            <w:r/>
          </w:p>
        </w:tc>
      </w:tr>
      <w:tr>
        <w:trPr>
          <w:trHeight w:val="75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床旁可实现对血管机类CT图像采集、重建及后处理等操作; 能完成CT断层图像重建和显示</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机架最快旋转速度≥40度/秒</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16.3</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类CT最快扫描速率：≥60帧/秒</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16.4</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密度分辨率：≤5Hu</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16.5</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可实现CT图像与三维血管的双容积显示，便于观察血管与软组织关系</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16.6</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可实现一键高清类CT成像</w:t>
            </w:r>
            <w:r/>
          </w:p>
        </w:tc>
      </w:tr>
      <w:tr>
        <w:trPr>
          <w:trHeight w:val="885"/>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16.7</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可实现一次采集获得多期相的类CT影像，使医生可以同时观察两个不同时相的三维数据，如肝脏肿瘤增强扫描的动脉期和实质期</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双轨采集:</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支持偏中心部位类CT采集</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采集旋转角度≥200度</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17.3</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密度分辨率：≤5Hu</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三维/三维融合功能：</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血管机CT，CT, MR和PET影像均可作为融合影像，进行融合处理</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运用解剖标记，可方便地进行配准和调节</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18.3</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对不同2个显示（影像）间进行伪彩显示平衡</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射线剂量防护技术：</w:t>
            </w:r>
            <w:r/>
          </w:p>
        </w:tc>
      </w:tr>
      <w:tr>
        <w:trPr>
          <w:trHeight w:val="825"/>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高清低剂量技术，提供IGS Autoright平台，或Clarity平台，或CARE+CLEAR MAX平台或 uVera IQ或IDM(InSighter，Defender，Master)平台等</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采用铜滤片自动插入技术消除球管软射线，无需人工干预</w:t>
            </w:r>
            <w:r/>
          </w:p>
        </w:tc>
      </w:tr>
      <w:tr>
        <w:trPr>
          <w:trHeight w:val="825"/>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19.3</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具有射线剂量监测功能，透视时，表面剂量率显示；透视间期，显示积累剂量，区域剂量和剂量限值</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19.4</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具有床下防护铅帘，悬吊式防护铅屏</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19.5</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透视末帧图像上可实现无射线调节遮光板、滤线器位置</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19.6</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透视末帧图像上可显示无射线病人投照视野的改变</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19.7</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可以提供低剂量的采集协议，并有专门低剂量曝光脚闸开关</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19.8</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可以提供DICOM格式的剂量报告</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其他：</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20.1</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为提供安全、稳定、高效的治疗，要求核心部分即高压发生器、球管、平板探测器、高清低剂量平台等为同一品牌</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20.2</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高压注射器接口，激光相机接口，通过以太网输出Dicom-3.0格式图像，有传输/接收、打印、存储、查询、工作表等功能</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20.3</w:t>
            </w:r>
            <w:r/>
          </w:p>
        </w:tc>
        <w:tc>
          <w:tcPr>
            <w:tcW w:w="7109" w:type="dxa"/>
            <w:vAlign w:val="center"/>
            <w:textDirection w:val="lrTb"/>
            <w:noWrap w:val="false"/>
          </w:tcPr>
          <w:p>
            <w:pPr>
              <w:pStyle w:val="816"/>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原装双向对讲通话系统，悬吊式手术灯（一个）</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highlight w:val="yellow"/>
              </w:rPr>
            </w:pPr>
            <w:r>
              <w:rPr>
                <w:rFonts w:hint="eastAsia" w:asciiTheme="minorEastAsia" w:hAnsiTheme="minorEastAsia" w:eastAsiaTheme="minorEastAsia"/>
                <w:sz w:val="24"/>
                <w:szCs w:val="24"/>
                <w:highlight w:val="yellow"/>
              </w:rPr>
              <w:t xml:space="preserve">20.4</w:t>
            </w:r>
            <w:r/>
          </w:p>
        </w:tc>
        <w:tc>
          <w:tcPr>
            <w:tcW w:w="7109" w:type="dxa"/>
            <w:vAlign w:val="center"/>
            <w:textDirection w:val="lrTb"/>
            <w:noWrap w:val="false"/>
          </w:tcPr>
          <w:p>
            <w:pPr>
              <w:pStyle w:val="816"/>
              <w:rPr>
                <w:rFonts w:hint="eastAsia" w:asciiTheme="minorEastAsia" w:hAnsiTheme="minorEastAsia" w:eastAsiaTheme="minorEastAsia"/>
                <w:sz w:val="24"/>
                <w:szCs w:val="24"/>
                <w:highlight w:val="yellow"/>
              </w:rPr>
            </w:pPr>
            <w:r>
              <w:rPr>
                <w:rFonts w:hint="eastAsia" w:asciiTheme="minorEastAsia" w:hAnsiTheme="minorEastAsia" w:eastAsiaTheme="minorEastAsia"/>
                <w:sz w:val="24"/>
                <w:szCs w:val="24"/>
                <w:highlight w:val="yellow"/>
              </w:rPr>
              <w:t xml:space="preserve">投标人需承担与医院PACS系统对接所产生的费用</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highlight w:val="yellow"/>
              </w:rPr>
            </w:pPr>
            <w:r>
              <w:rPr>
                <w:rFonts w:hint="eastAsia" w:asciiTheme="minorEastAsia" w:hAnsiTheme="minorEastAsia" w:eastAsiaTheme="minorEastAsia"/>
                <w:sz w:val="24"/>
                <w:szCs w:val="24"/>
                <w:highlight w:val="yellow"/>
              </w:rPr>
              <w:t xml:space="preserve">20.5</w:t>
            </w:r>
            <w:r/>
          </w:p>
        </w:tc>
        <w:tc>
          <w:tcPr>
            <w:tcW w:w="7109" w:type="dxa"/>
            <w:vAlign w:val="center"/>
            <w:textDirection w:val="lrTb"/>
            <w:noWrap w:val="false"/>
          </w:tcPr>
          <w:p>
            <w:pPr>
              <w:pStyle w:val="816"/>
              <w:rPr>
                <w:rFonts w:hint="eastAsia" w:asciiTheme="minorEastAsia" w:hAnsiTheme="minorEastAsia" w:eastAsiaTheme="minorEastAsia"/>
                <w:sz w:val="24"/>
                <w:szCs w:val="24"/>
                <w:highlight w:val="yellow"/>
              </w:rPr>
            </w:pPr>
            <w:r>
              <w:rPr>
                <w:rFonts w:hint="eastAsia" w:asciiTheme="minorEastAsia" w:hAnsiTheme="minorEastAsia" w:eastAsiaTheme="minorEastAsia"/>
                <w:sz w:val="24"/>
                <w:szCs w:val="24"/>
                <w:highlight w:val="yellow"/>
              </w:rPr>
              <w:t xml:space="preserve">工作台桌椅 数量：1套</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highlight w:val="yellow"/>
              </w:rPr>
            </w:pPr>
            <w:r>
              <w:rPr>
                <w:rFonts w:hint="eastAsia" w:asciiTheme="minorEastAsia" w:hAnsiTheme="minorEastAsia" w:eastAsiaTheme="minorEastAsia"/>
                <w:sz w:val="24"/>
                <w:szCs w:val="24"/>
                <w:highlight w:val="yellow"/>
              </w:rPr>
              <w:t xml:space="preserve">20.6</w:t>
            </w:r>
            <w:r/>
          </w:p>
        </w:tc>
        <w:tc>
          <w:tcPr>
            <w:tcW w:w="7109" w:type="dxa"/>
            <w:vAlign w:val="center"/>
            <w:textDirection w:val="lrTb"/>
            <w:noWrap w:val="false"/>
          </w:tcPr>
          <w:p>
            <w:pPr>
              <w:pStyle w:val="816"/>
              <w:rPr>
                <w:rFonts w:hint="eastAsia" w:asciiTheme="minorEastAsia" w:hAnsiTheme="minorEastAsia" w:eastAsiaTheme="minorEastAsia"/>
                <w:sz w:val="24"/>
                <w:szCs w:val="24"/>
                <w:highlight w:val="yellow"/>
              </w:rPr>
            </w:pPr>
            <w:r>
              <w:rPr>
                <w:rFonts w:hint="eastAsia" w:asciiTheme="minorEastAsia" w:hAnsiTheme="minorEastAsia" w:eastAsiaTheme="minorEastAsia"/>
                <w:sz w:val="24"/>
                <w:szCs w:val="24"/>
                <w:highlight w:val="yellow"/>
              </w:rPr>
              <w:t xml:space="preserve">全套铅衣  数量：1套</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highlight w:val="yellow"/>
              </w:rPr>
            </w:pPr>
            <w:r>
              <w:rPr>
                <w:rFonts w:hint="eastAsia" w:asciiTheme="minorEastAsia" w:hAnsiTheme="minorEastAsia" w:eastAsiaTheme="minorEastAsia"/>
                <w:sz w:val="24"/>
                <w:szCs w:val="24"/>
                <w:highlight w:val="yellow"/>
              </w:rPr>
              <w:t xml:space="preserve">20.7</w:t>
            </w:r>
            <w:r/>
          </w:p>
        </w:tc>
        <w:tc>
          <w:tcPr>
            <w:tcW w:w="7109" w:type="dxa"/>
            <w:vAlign w:val="center"/>
            <w:textDirection w:val="lrTb"/>
            <w:noWrap w:val="false"/>
          </w:tcPr>
          <w:p>
            <w:pPr>
              <w:pStyle w:val="816"/>
              <w:rPr>
                <w:rFonts w:hint="eastAsia" w:asciiTheme="minorEastAsia" w:hAnsiTheme="minorEastAsia" w:eastAsiaTheme="minorEastAsia"/>
                <w:sz w:val="24"/>
                <w:szCs w:val="24"/>
                <w:highlight w:val="yellow"/>
              </w:rPr>
            </w:pPr>
            <w:r>
              <w:rPr>
                <w:rFonts w:hint="eastAsia" w:asciiTheme="minorEastAsia" w:hAnsiTheme="minorEastAsia" w:eastAsiaTheme="minorEastAsia"/>
                <w:sz w:val="24"/>
                <w:szCs w:val="24"/>
                <w:highlight w:val="yellow"/>
              </w:rPr>
              <w:t xml:space="preserve">手托 数量：2个</w:t>
            </w:r>
            <w:r/>
          </w:p>
        </w:tc>
      </w:tr>
      <w:tr>
        <w:trPr>
          <w:trHeight w:val="600"/>
        </w:trPr>
        <w:tc>
          <w:tcPr>
            <w:tcW w:w="1407" w:type="dxa"/>
            <w:vAlign w:val="center"/>
            <w:textDirection w:val="lrTb"/>
            <w:noWrap w:val="false"/>
          </w:tcPr>
          <w:p>
            <w:pPr>
              <w:pStyle w:val="816"/>
              <w:jc w:val="center"/>
              <w:rPr>
                <w:rFonts w:hint="eastAsia" w:asciiTheme="minorEastAsia" w:hAnsiTheme="minorEastAsia" w:eastAsiaTheme="minorEastAsia"/>
                <w:sz w:val="24"/>
                <w:szCs w:val="24"/>
                <w:highlight w:val="yellow"/>
              </w:rPr>
            </w:pPr>
            <w:r>
              <w:rPr>
                <w:rFonts w:hint="eastAsia" w:asciiTheme="minorEastAsia" w:hAnsiTheme="minorEastAsia" w:eastAsiaTheme="minorEastAsia"/>
                <w:sz w:val="24"/>
                <w:szCs w:val="24"/>
                <w:highlight w:val="yellow"/>
              </w:rPr>
              <w:t xml:space="preserve">20.8</w:t>
            </w:r>
            <w:r/>
          </w:p>
        </w:tc>
        <w:tc>
          <w:tcPr>
            <w:tcW w:w="7109" w:type="dxa"/>
            <w:vAlign w:val="center"/>
            <w:textDirection w:val="lrTb"/>
            <w:noWrap w:val="false"/>
          </w:tcPr>
          <w:p>
            <w:pPr>
              <w:pStyle w:val="816"/>
              <w:rPr>
                <w:rFonts w:hint="eastAsia" w:asciiTheme="minorEastAsia" w:hAnsiTheme="minorEastAsia" w:eastAsiaTheme="minorEastAsia"/>
                <w:sz w:val="24"/>
                <w:szCs w:val="24"/>
                <w:highlight w:val="yellow"/>
              </w:rPr>
            </w:pPr>
            <w:r>
              <w:rPr>
                <w:rFonts w:hint="eastAsia" w:asciiTheme="minorEastAsia" w:hAnsiTheme="minorEastAsia" w:eastAsiaTheme="minorEastAsia"/>
                <w:sz w:val="24"/>
                <w:szCs w:val="24"/>
                <w:highlight w:val="yellow"/>
              </w:rPr>
              <w:t xml:space="preserve">高压注射器 数量：1套</w:t>
            </w:r>
            <w:r/>
          </w:p>
        </w:tc>
      </w:tr>
    </w:tbl>
    <w:p>
      <w:pPr>
        <w:pStyle w:val="816"/>
      </w:pPr>
      <w:r/>
      <w:r/>
    </w:p>
    <w:p>
      <w:pPr>
        <w:jc w:val="left"/>
        <w:spacing w:line="360" w:lineRule="auto"/>
        <w:tabs>
          <w:tab w:val="left" w:pos="323" w:leader="none"/>
        </w:tabs>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jc w:val="left"/>
        <w:spacing w:line="360" w:lineRule="auto"/>
        <w:tabs>
          <w:tab w:val="left" w:pos="323" w:leader="none"/>
        </w:tabs>
        <w:rPr>
          <w:rFonts w:hint="eastAsia"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、商务需求</w:t>
      </w:r>
      <w:r/>
    </w:p>
    <w:tbl>
      <w:tblPr>
        <w:tblStyle w:val="815"/>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2158"/>
        <w:gridCol w:w="5732"/>
      </w:tblGrid>
      <w:tr>
        <w:trPr>
          <w:jc w:val="center"/>
          <w:trHeight w:val="750"/>
        </w:trPr>
        <w:tc>
          <w:tcPr>
            <w:tcW w:w="475"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序号</w:t>
            </w:r>
            <w:r/>
          </w:p>
        </w:tc>
        <w:tc>
          <w:tcPr>
            <w:tcW w:w="1237"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商务和服务项目</w:t>
            </w:r>
            <w:r/>
          </w:p>
        </w:tc>
        <w:tc>
          <w:tcPr>
            <w:tcW w:w="3286"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商务和服务要求</w:t>
            </w:r>
            <w:r/>
          </w:p>
        </w:tc>
      </w:tr>
      <w:tr>
        <w:trPr>
          <w:jc w:val="center"/>
          <w:trHeight w:val="759"/>
        </w:trPr>
        <w:tc>
          <w:tcPr>
            <w:tcW w:w="475"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w:t>
            </w:r>
            <w:r/>
          </w:p>
        </w:tc>
        <w:tc>
          <w:tcPr>
            <w:tcW w:w="1237"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交货期</w:t>
            </w:r>
            <w:r/>
          </w:p>
        </w:tc>
        <w:tc>
          <w:tcPr>
            <w:tcW w:w="3286" w:type="pct"/>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合同签订后三个月内 </w:t>
            </w:r>
            <w:r/>
          </w:p>
        </w:tc>
      </w:tr>
      <w:tr>
        <w:trPr>
          <w:jc w:val="center"/>
          <w:trHeight w:val="867"/>
        </w:trPr>
        <w:tc>
          <w:tcPr>
            <w:tcW w:w="475"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2</w:t>
            </w:r>
            <w:r/>
          </w:p>
        </w:tc>
        <w:tc>
          <w:tcPr>
            <w:tcW w:w="1237"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售后服务</w:t>
            </w:r>
            <w:r/>
          </w:p>
        </w:tc>
        <w:tc>
          <w:tcPr>
            <w:tcW w:w="3286" w:type="pct"/>
            <w:vAlign w:val="center"/>
            <w:textDirection w:val="lrTb"/>
            <w:noWrap w:val="false"/>
          </w:tcPr>
          <w:p>
            <w:pPr>
              <w:jc w:val="left"/>
              <w:spacing w:line="340" w:lineRule="exact"/>
              <w:widowControl/>
              <w:rPr>
                <w:rFonts w:hint="eastAsia" w:ascii="宋体" w:hAnsi="宋体" w:eastAsia="宋体" w:cs="宋体"/>
                <w:bCs/>
                <w:sz w:val="24"/>
                <w:szCs w:val="24"/>
                <w:highlight w:val="none"/>
              </w:rPr>
            </w:pPr>
            <w:r>
              <w:rPr>
                <w:rFonts w:ascii="宋体" w:hAnsi="宋体" w:eastAsia="宋体" w:cs="宋体"/>
                <w:bCs/>
                <w:sz w:val="24"/>
                <w:szCs w:val="24"/>
                <w:highlight w:val="none"/>
              </w:rPr>
              <w:t xml:space="preserve">1 </w:t>
            </w:r>
            <w:r>
              <w:rPr>
                <w:rFonts w:hint="eastAsia" w:ascii="宋体" w:hAnsi="宋体" w:eastAsia="宋体" w:cs="宋体"/>
                <w:bCs/>
                <w:sz w:val="24"/>
                <w:szCs w:val="24"/>
                <w:highlight w:val="none"/>
              </w:rPr>
              <w:t xml:space="preserve">产品保修期：所投</w:t>
            </w:r>
            <w:r>
              <w:rPr>
                <w:rFonts w:ascii="宋体" w:hAnsi="宋体" w:eastAsia="宋体" w:cs="宋体"/>
                <w:bCs/>
                <w:sz w:val="24"/>
                <w:szCs w:val="24"/>
                <w:highlight w:val="none"/>
              </w:rPr>
              <w:t xml:space="preserve">产品</w:t>
            </w:r>
            <w:r>
              <w:rPr>
                <w:rFonts w:hint="eastAsia" w:ascii="宋体" w:hAnsi="宋体" w:eastAsia="宋体" w:cs="宋体"/>
                <w:bCs/>
                <w:sz w:val="24"/>
                <w:szCs w:val="24"/>
                <w:highlight w:val="none"/>
              </w:rPr>
              <w:t xml:space="preserve">提供不少于一年的原厂免费质保</w:t>
            </w:r>
            <w:r/>
          </w:p>
          <w:p>
            <w:pPr>
              <w:jc w:val="left"/>
              <w:spacing w:line="340" w:lineRule="exact"/>
              <w:widowControl/>
              <w:rPr>
                <w:rFonts w:hint="eastAsia" w:ascii="宋体" w:hAnsi="宋体" w:eastAsia="宋体" w:cs="宋体"/>
                <w:bCs/>
                <w:sz w:val="24"/>
                <w:szCs w:val="24"/>
                <w:highlight w:val="none"/>
              </w:rPr>
            </w:pPr>
            <w:r>
              <w:rPr>
                <w:rFonts w:ascii="宋体" w:hAnsi="宋体" w:eastAsia="宋体" w:cs="宋体"/>
                <w:bCs/>
                <w:sz w:val="24"/>
                <w:szCs w:val="24"/>
                <w:highlight w:val="none"/>
              </w:rPr>
              <w:t xml:space="preserve">2 </w:t>
            </w:r>
            <w:r>
              <w:rPr>
                <w:rFonts w:hint="eastAsia" w:ascii="宋体" w:hAnsi="宋体" w:eastAsia="宋体" w:cs="宋体"/>
                <w:bCs/>
                <w:sz w:val="24"/>
                <w:szCs w:val="24"/>
                <w:highlight w:val="none"/>
              </w:rPr>
              <w:t xml:space="preserve">验收以产品原始样本技术资料及标书技术文件为依据；</w:t>
            </w:r>
            <w:r/>
          </w:p>
          <w:p>
            <w:pPr>
              <w:jc w:val="left"/>
              <w:spacing w:line="340" w:lineRule="exact"/>
              <w:widowControl/>
              <w:rPr>
                <w:rFonts w:hint="eastAsia" w:ascii="宋体" w:hAnsi="宋体" w:eastAsia="宋体" w:cs="宋体"/>
                <w:bCs/>
                <w:sz w:val="24"/>
                <w:szCs w:val="24"/>
                <w:highlight w:val="none"/>
              </w:rPr>
            </w:pPr>
            <w:r>
              <w:rPr>
                <w:rFonts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现场免费培训操作人员，免费负责设备的安装调试，如设备出现故障</w:t>
            </w:r>
            <w:r>
              <w:rPr>
                <w:rFonts w:ascii="宋体" w:hAnsi="宋体" w:eastAsia="宋体" w:cs="宋体"/>
                <w:bCs/>
                <w:sz w:val="24"/>
                <w:szCs w:val="24"/>
                <w:highlight w:val="none"/>
              </w:rPr>
              <w:t xml:space="preserve">, </w:t>
            </w:r>
            <w:r>
              <w:rPr>
                <w:rFonts w:hint="eastAsia" w:ascii="宋体" w:hAnsi="宋体" w:eastAsia="宋体" w:cs="宋体"/>
                <w:bCs/>
                <w:sz w:val="24"/>
                <w:szCs w:val="24"/>
                <w:highlight w:val="none"/>
              </w:rPr>
              <w:t xml:space="preserve">接到通知后</w:t>
            </w:r>
            <w:r>
              <w:rPr>
                <w:rFonts w:ascii="宋体" w:hAnsi="宋体" w:eastAsia="宋体" w:cs="宋体"/>
                <w:bCs/>
                <w:sz w:val="24"/>
                <w:szCs w:val="24"/>
                <w:highlight w:val="none"/>
              </w:rPr>
              <w:t xml:space="preserve">48</w:t>
            </w:r>
            <w:r>
              <w:rPr>
                <w:rFonts w:hint="eastAsia" w:ascii="宋体" w:hAnsi="宋体" w:eastAsia="宋体" w:cs="宋体"/>
                <w:bCs/>
                <w:sz w:val="24"/>
                <w:szCs w:val="24"/>
                <w:highlight w:val="none"/>
              </w:rPr>
              <w:t xml:space="preserve">小时内工程人员应到达现场</w:t>
            </w:r>
            <w:r/>
          </w:p>
          <w:p>
            <w:pPr>
              <w:jc w:val="left"/>
              <w:spacing w:line="340" w:lineRule="exact"/>
              <w:widowControl/>
              <w:rPr>
                <w:rFonts w:hint="eastAsia" w:ascii="宋体" w:hAnsi="宋体" w:eastAsia="宋体" w:cs="宋体"/>
                <w:bCs/>
                <w:sz w:val="24"/>
                <w:szCs w:val="24"/>
                <w:highlight w:val="none"/>
              </w:rPr>
            </w:pPr>
            <w:r>
              <w:rPr>
                <w:rFonts w:ascii="宋体" w:hAnsi="宋体" w:eastAsia="宋体" w:cs="宋体"/>
                <w:bCs/>
                <w:sz w:val="24"/>
                <w:szCs w:val="24"/>
                <w:highlight w:val="none"/>
              </w:rPr>
              <w:t xml:space="preserve">4</w:t>
            </w:r>
            <w:r>
              <w:rPr>
                <w:rFonts w:hint="eastAsia" w:ascii="宋体" w:hAnsi="宋体" w:eastAsia="宋体" w:cs="宋体"/>
                <w:bCs/>
                <w:sz w:val="24"/>
                <w:szCs w:val="24"/>
                <w:highlight w:val="none"/>
              </w:rPr>
              <w:t xml:space="preserve">提供对机房及电源的要求，开机率≥</w:t>
            </w:r>
            <w:r>
              <w:rPr>
                <w:rFonts w:ascii="宋体" w:hAnsi="宋体" w:eastAsia="宋体" w:cs="宋体"/>
                <w:bCs/>
                <w:sz w:val="24"/>
                <w:szCs w:val="24"/>
                <w:highlight w:val="none"/>
              </w:rPr>
              <w:t xml:space="preserve">95%</w:t>
            </w:r>
            <w:r>
              <w:rPr>
                <w:rFonts w:hint="eastAsia" w:ascii="宋体" w:hAnsi="宋体" w:eastAsia="宋体" w:cs="宋体"/>
                <w:bCs/>
                <w:sz w:val="24"/>
                <w:szCs w:val="24"/>
                <w:highlight w:val="none"/>
              </w:rPr>
              <w:t xml:space="preserve">，国内具有大规模零配件库存，以保证及时的零配件供应</w:t>
            </w:r>
            <w:r/>
          </w:p>
        </w:tc>
      </w:tr>
      <w:tr>
        <w:trPr>
          <w:jc w:val="center"/>
          <w:trHeight w:val="810"/>
        </w:trPr>
        <w:tc>
          <w:tcPr>
            <w:tcW w:w="475"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3</w:t>
            </w:r>
            <w:r/>
          </w:p>
        </w:tc>
        <w:tc>
          <w:tcPr>
            <w:tcW w:w="1237"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交货地点</w:t>
            </w:r>
            <w:r/>
          </w:p>
        </w:tc>
        <w:tc>
          <w:tcPr>
            <w:tcW w:w="3286"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靖江市中医院指定地点</w:t>
            </w:r>
            <w:r/>
          </w:p>
        </w:tc>
      </w:tr>
      <w:tr>
        <w:trPr>
          <w:jc w:val="center"/>
          <w:trHeight w:val="837"/>
        </w:trPr>
        <w:tc>
          <w:tcPr>
            <w:tcW w:w="475" w:type="pct"/>
            <w:vAlign w:val="center"/>
            <w:textDirection w:val="lrTb"/>
            <w:noWrap w:val="false"/>
          </w:tcPr>
          <w:p>
            <w:pPr>
              <w:jc w:val="center"/>
              <w:spacing w:line="3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1237" w:type="pct"/>
            <w:vAlign w:val="center"/>
            <w:textDirection w:val="lrTb"/>
            <w:noWrap w:val="false"/>
          </w:tcPr>
          <w:p>
            <w:pPr>
              <w:jc w:val="center"/>
              <w:spacing w:line="3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包装运输</w:t>
            </w:r>
            <w:r/>
          </w:p>
        </w:tc>
        <w:tc>
          <w:tcPr>
            <w:tcW w:w="3286" w:type="pct"/>
            <w:vAlign w:val="center"/>
            <w:textDirection w:val="lrTb"/>
            <w:noWrap w:val="false"/>
          </w:tcPr>
          <w:p>
            <w:pPr>
              <w:jc w:val="center"/>
              <w:spacing w:line="3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由供应商承担</w:t>
            </w:r>
            <w:r/>
          </w:p>
        </w:tc>
      </w:tr>
      <w:tr>
        <w:trPr>
          <w:jc w:val="center"/>
          <w:trHeight w:val="692"/>
        </w:trPr>
        <w:tc>
          <w:tcPr>
            <w:tcW w:w="475" w:type="pct"/>
            <w:vAlign w:val="center"/>
            <w:textDirection w:val="lrTb"/>
            <w:noWrap w:val="false"/>
          </w:tcPr>
          <w:p>
            <w:pPr>
              <w:jc w:val="center"/>
              <w:spacing w:line="340" w:lineRule="exact"/>
              <w:widowControl/>
              <w:rPr>
                <w:rFonts w:hint="eastAsia" w:ascii="宋体" w:hAnsi="宋体" w:eastAsia="宋体" w:cs="宋体"/>
                <w:bCs/>
                <w:sz w:val="24"/>
                <w:szCs w:val="24"/>
              </w:rPr>
            </w:pPr>
            <w:r>
              <w:rPr>
                <w:rFonts w:ascii="宋体" w:hAnsi="宋体" w:eastAsia="宋体" w:cs="宋体"/>
                <w:bCs/>
                <w:sz w:val="24"/>
                <w:szCs w:val="24"/>
              </w:rPr>
              <w:t xml:space="preserve">5</w:t>
            </w:r>
            <w:r/>
          </w:p>
        </w:tc>
        <w:tc>
          <w:tcPr>
            <w:shd w:val="clear" w:color="auto" w:fill="ffffff" w:themeFill="background1"/>
            <w:tcW w:w="1237"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付款方式</w:t>
            </w:r>
            <w:r/>
          </w:p>
        </w:tc>
        <w:tc>
          <w:tcPr>
            <w:shd w:val="clear" w:color="auto" w:fill="ffffff" w:themeFill="background1"/>
            <w:tcW w:w="3286" w:type="pct"/>
            <w:vAlign w:val="center"/>
            <w:textDirection w:val="lrTb"/>
            <w:noWrap w:val="false"/>
          </w:tcPr>
          <w:p>
            <w:pPr>
              <w:jc w:val="left"/>
              <w:spacing w:line="340" w:lineRule="exact"/>
              <w:widowControl/>
              <w:rPr>
                <w:rFonts w:hint="eastAsia" w:ascii="宋体" w:hAnsi="宋体" w:eastAsia="宋体" w:cs="宋体"/>
                <w:bCs/>
                <w:sz w:val="24"/>
                <w:szCs w:val="24"/>
              </w:rPr>
            </w:pPr>
            <w:r>
              <w:rPr>
                <w:rFonts w:hint="eastAsia" w:cs="仿宋" w:asciiTheme="minorEastAsia" w:hAnsiTheme="minorEastAsia" w:eastAsiaTheme="minorEastAsia"/>
                <w:sz w:val="24"/>
                <w:szCs w:val="24"/>
                <w:highlight w:val="none"/>
              </w:rPr>
              <w:t xml:space="preserve">合同签订后</w:t>
            </w:r>
            <w:r>
              <w:rPr>
                <w:rFonts w:hint="eastAsia" w:cs="仿宋" w:asciiTheme="minorEastAsia" w:hAnsiTheme="minorEastAsia" w:eastAsiaTheme="minorEastAsia"/>
                <w:sz w:val="24"/>
                <w:szCs w:val="24"/>
                <w:highlight w:val="none"/>
                <w:lang w:val="en-US" w:eastAsia="zh-CN"/>
              </w:rPr>
              <w:t xml:space="preserve">预付</w:t>
            </w:r>
            <w:r>
              <w:rPr>
                <w:rFonts w:cs="仿宋" w:asciiTheme="minorEastAsia" w:hAnsiTheme="minorEastAsia" w:eastAsiaTheme="minorEastAsia"/>
                <w:sz w:val="24"/>
                <w:szCs w:val="24"/>
                <w:highlight w:val="none"/>
              </w:rPr>
              <w:t xml:space="preserve">30%</w:t>
            </w:r>
            <w:r>
              <w:rPr>
                <w:rFonts w:hint="eastAsia" w:cs="仿宋" w:asciiTheme="minorEastAsia" w:hAnsiTheme="minorEastAsia" w:eastAsiaTheme="minorEastAsia"/>
                <w:sz w:val="24"/>
                <w:szCs w:val="24"/>
                <w:highlight w:val="none"/>
              </w:rPr>
              <w:t xml:space="preserve">，安装验收合格后付清剩余的</w:t>
            </w:r>
            <w:r>
              <w:rPr>
                <w:rFonts w:cs="仿宋" w:asciiTheme="minorEastAsia" w:hAnsiTheme="minorEastAsia" w:eastAsiaTheme="minorEastAsia"/>
                <w:sz w:val="24"/>
                <w:szCs w:val="24"/>
                <w:highlight w:val="none"/>
              </w:rPr>
              <w:t xml:space="preserve">70%</w:t>
            </w:r>
            <w:r>
              <w:rPr>
                <w:rFonts w:hint="eastAsia" w:cs="仿宋" w:asciiTheme="minorEastAsia" w:hAnsiTheme="minorEastAsia" w:eastAsiaTheme="minorEastAsia"/>
                <w:sz w:val="24"/>
                <w:szCs w:val="24"/>
                <w:highlight w:val="none"/>
              </w:rPr>
              <w:t xml:space="preserve">货款</w:t>
            </w:r>
            <w:r>
              <w:rPr>
                <w:rFonts w:hint="eastAsia" w:ascii="宋体" w:hAnsi="宋体" w:eastAsia="宋体" w:cs="宋体"/>
                <w:sz w:val="24"/>
                <w:szCs w:val="24"/>
                <w:highlight w:val="none"/>
              </w:rPr>
              <w:t xml:space="preserve">。 </w:t>
            </w:r>
            <w:r/>
          </w:p>
        </w:tc>
      </w:tr>
    </w:tbl>
    <w:p>
      <w:pPr>
        <w:spacing w:line="360" w:lineRule="auto"/>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四、采购标的的所属行业</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sz w:val="24"/>
          <w:szCs w:val="24"/>
          <w:u w:val="single"/>
        </w:rPr>
        <w:t xml:space="preserve"> 工业  </w:t>
      </w:r>
      <w:r>
        <w:rPr>
          <w:rFonts w:hint="eastAsia" w:cs="仿宋" w:asciiTheme="minorEastAsia" w:hAnsiTheme="minorEastAsia" w:eastAsiaTheme="minorEastAsia"/>
          <w:sz w:val="24"/>
          <w:szCs w:val="24"/>
        </w:rPr>
        <w:t xml:space="preserve">。 </w:t>
      </w:r>
      <w:r/>
    </w:p>
    <w:p>
      <w:pPr>
        <w:rPr>
          <w:rFonts w:hint="eastAsia" w:cs="仿宋" w:asciiTheme="minorEastAsia" w:hAnsiTheme="minorEastAsia" w:eastAsiaTheme="minorEastAsia"/>
        </w:rPr>
      </w:pPr>
      <w:r>
        <w:rPr>
          <w:rFonts w:cs="仿宋" w:asciiTheme="minorEastAsia" w:hAnsiTheme="minorEastAsia" w:eastAsiaTheme="minorEastAsia"/>
        </w:rPr>
        <w:br w:type="page" w:clear="all"/>
      </w:r>
      <w:r/>
    </w:p>
    <w:p>
      <w:pPr>
        <w:pStyle w:val="1012"/>
        <w:numPr>
          <w:ilvl w:val="0"/>
          <w:numId w:val="6"/>
        </w:numPr>
        <w:jc w:val="center"/>
        <w:spacing w:before="0" w:after="0" w:line="240" w:lineRule="auto"/>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评标办法及标准</w:t>
      </w:r>
      <w:bookmarkEnd w:id="39"/>
      <w:r/>
      <w:bookmarkEnd w:id="40"/>
      <w:r/>
      <w:r/>
    </w:p>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Style w:val="815"/>
        <w:tblW w:w="0" w:type="auto"/>
        <w:jc w:val="center"/>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ind w:firstLine="240"/>
              <w:jc w:val="center"/>
              <w:spacing w:after="200" w:line="360" w:lineRule="auto"/>
              <w:widowControl/>
              <w:rPr>
                <w:rFonts w:hint="eastAsia" w:cs="宋体" w:asciiTheme="minorEastAsia" w:hAnsiTheme="minorEastAsia" w:eastAsiaTheme="minorEastAsia"/>
                <w:b/>
                <w:sz w:val="24"/>
                <w:szCs w:val="24"/>
                <w:lang w:eastAsia="en-US"/>
              </w:rPr>
              <w:outlineLvl w:val="0"/>
            </w:pPr>
            <w:r>
              <w:rPr>
                <w:rFonts w:hint="eastAsia" w:cs="宋体" w:asciiTheme="minorEastAsia" w:hAnsiTheme="minorEastAsia" w:eastAsiaTheme="minorEastAsia"/>
                <w:sz w:val="24"/>
                <w:szCs w:val="24"/>
                <w:lang w:eastAsia="en-US"/>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ind w:firstLine="480"/>
              <w:jc w:val="center"/>
              <w:spacing w:after="200" w:line="360" w:lineRule="auto"/>
              <w:widowControl/>
              <w:rPr>
                <w:rFonts w:hint="eastAsia" w:cs="宋体" w:asciiTheme="minorEastAsia" w:hAnsiTheme="minorEastAsia" w:eastAsiaTheme="minorEastAsia"/>
                <w:b/>
                <w:sz w:val="24"/>
                <w:szCs w:val="24"/>
                <w:lang w:eastAsia="en-US"/>
              </w:rPr>
              <w:outlineLvl w:val="0"/>
            </w:pPr>
            <w:r>
              <w:rPr>
                <w:rFonts w:hint="eastAsia" w:cs="宋体" w:asciiTheme="minorEastAsia" w:hAnsiTheme="minorEastAsia" w:eastAsiaTheme="minorEastAsia"/>
                <w:sz w:val="24"/>
                <w:szCs w:val="24"/>
                <w:lang w:eastAsia="en-US"/>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ind w:firstLine="480"/>
              <w:jc w:val="center"/>
              <w:spacing w:after="200" w:line="360" w:lineRule="auto"/>
              <w:widowControl/>
              <w:rPr>
                <w:rFonts w:hint="eastAsia" w:cs="宋体" w:asciiTheme="minorEastAsia" w:hAnsiTheme="minorEastAsia" w:eastAsiaTheme="minorEastAsia"/>
                <w:b/>
                <w:sz w:val="24"/>
                <w:szCs w:val="24"/>
                <w:lang w:eastAsia="en-US"/>
              </w:rPr>
              <w:outlineLvl w:val="0"/>
            </w:pPr>
            <w:r>
              <w:rPr>
                <w:rFonts w:hint="eastAsia" w:cs="宋体" w:asciiTheme="minorEastAsia" w:hAnsiTheme="minorEastAsia" w:eastAsiaTheme="minorEastAsia"/>
                <w:sz w:val="24"/>
                <w:szCs w:val="24"/>
                <w:lang w:eastAsia="en-US"/>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ind w:firstLine="480"/>
              <w:jc w:val="center"/>
              <w:spacing w:after="200" w:line="360" w:lineRule="auto"/>
              <w:widowControl/>
              <w:rPr>
                <w:rFonts w:hint="eastAsia" w:cs="宋体" w:asciiTheme="minorEastAsia" w:hAnsiTheme="minorEastAsia" w:eastAsiaTheme="minorEastAsia"/>
                <w:b/>
                <w:sz w:val="24"/>
                <w:szCs w:val="24"/>
                <w:lang w:eastAsia="en-US"/>
              </w:rPr>
              <w:outlineLvl w:val="0"/>
            </w:pPr>
            <w:r>
              <w:rPr>
                <w:rFonts w:hint="eastAsia" w:cs="宋体" w:asciiTheme="minorEastAsia" w:hAnsiTheme="minorEastAsia" w:eastAsiaTheme="minorEastAsia"/>
                <w:sz w:val="24"/>
                <w:szCs w:val="24"/>
                <w:lang w:eastAsia="en-US"/>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ind w:firstLine="480"/>
              <w:jc w:val="center"/>
              <w:spacing w:after="200" w:line="360" w:lineRule="auto"/>
              <w:widowControl/>
              <w:rPr>
                <w:rFonts w:hint="eastAsia" w:cs="宋体" w:asciiTheme="minorEastAsia" w:hAnsiTheme="minorEastAsia" w:eastAsiaTheme="minorEastAsia"/>
                <w:b/>
                <w:sz w:val="24"/>
                <w:szCs w:val="24"/>
                <w:lang w:eastAsia="en-US"/>
              </w:rPr>
              <w:outlineLvl w:val="0"/>
            </w:pPr>
            <w:r>
              <w:rPr>
                <w:rFonts w:hint="eastAsia" w:cs="宋体" w:asciiTheme="minorEastAsia" w:hAnsiTheme="minorEastAsia" w:eastAsiaTheme="minorEastAsia"/>
                <w:sz w:val="24"/>
                <w:szCs w:val="24"/>
                <w:lang w:eastAsia="en-US"/>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ind w:firstLine="480"/>
              <w:jc w:val="center"/>
              <w:spacing w:after="200" w:line="360" w:lineRule="auto"/>
              <w:widowControl/>
              <w:rPr>
                <w:rFonts w:hint="eastAsia" w:cs="宋体" w:asciiTheme="minorEastAsia" w:hAnsiTheme="minorEastAsia" w:eastAsiaTheme="minorEastAsia"/>
                <w:b/>
                <w:sz w:val="24"/>
                <w:szCs w:val="24"/>
                <w:lang w:eastAsia="en-US"/>
              </w:rPr>
              <w:outlineLvl w:val="0"/>
            </w:pPr>
            <w:r>
              <w:rPr>
                <w:rFonts w:hint="eastAsia" w:cs="宋体" w:asciiTheme="minorEastAsia" w:hAnsiTheme="minorEastAsia" w:eastAsiaTheme="minorEastAsia"/>
                <w:sz w:val="24"/>
                <w:szCs w:val="24"/>
                <w:lang w:eastAsia="en-US"/>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ind w:firstLine="482"/>
              <w:jc w:val="center"/>
              <w:spacing w:after="200" w:line="360" w:lineRule="auto"/>
              <w:widowControl/>
              <w:rPr>
                <w:rFonts w:hint="eastAsia" w:cs="宋体" w:asciiTheme="minorEastAsia" w:hAnsiTheme="minorEastAsia" w:eastAsiaTheme="minorEastAsia"/>
                <w:b/>
                <w:sz w:val="24"/>
                <w:szCs w:val="24"/>
                <w:lang w:eastAsia="en-US"/>
              </w:rPr>
              <w:outlineLvl w:val="0"/>
            </w:pPr>
            <w:r>
              <w:rPr>
                <w:rFonts w:hint="eastAsia" w:cs="宋体" w:asciiTheme="minorEastAsia" w:hAnsiTheme="minorEastAsia" w:eastAsiaTheme="minorEastAsia"/>
                <w:b/>
                <w:sz w:val="24"/>
                <w:szCs w:val="24"/>
                <w:lang w:eastAsia="en-US"/>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ind w:firstLine="482"/>
              <w:jc w:val="center"/>
              <w:spacing w:after="200" w:line="360" w:lineRule="auto"/>
              <w:widowControl/>
              <w:rPr>
                <w:rFonts w:hint="eastAsia" w:cs="宋体" w:asciiTheme="minorEastAsia" w:hAnsiTheme="minorEastAsia" w:eastAsiaTheme="minorEastAsia"/>
                <w:b/>
                <w:sz w:val="24"/>
                <w:szCs w:val="24"/>
                <w:lang w:eastAsia="en-US"/>
              </w:rPr>
              <w:outlineLvl w:val="0"/>
            </w:pPr>
            <w:r>
              <w:rPr>
                <w:rFonts w:hint="eastAsia" w:cs="宋体" w:asciiTheme="minorEastAsia" w:hAnsiTheme="minorEastAsia" w:eastAsiaTheme="minorEastAsia"/>
                <w:b/>
                <w:sz w:val="24"/>
                <w:szCs w:val="24"/>
                <w:lang w:eastAsia="en-US"/>
              </w:rPr>
            </w:r>
            <w:r/>
          </w:p>
        </w:tc>
      </w:tr>
    </w:tbl>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r>
      <w:r/>
    </w:p>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Style w:val="815"/>
        <w:tblW w:w="9610" w:type="dxa"/>
        <w:jc w:val="center"/>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三、评标办法：</w:t>
      </w:r>
      <w:r/>
    </w:p>
    <w:p>
      <w:pPr>
        <w:pStyle w:val="84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auto"/>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42"/>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auto"/>
          <w:shd w:val="clear" w:color="auto" w:fill="ffffff"/>
        </w:rPr>
      </w:pPr>
      <w:r>
        <w:rPr>
          <w:rFonts w:hint="eastAsia" w:cs="仿宋" w:asciiTheme="minorEastAsia" w:hAnsiTheme="minorEastAsia" w:eastAsiaTheme="minorEastAsia"/>
          <w:b/>
          <w:bCs/>
          <w:color w:val="auto"/>
          <w:shd w:val="clear" w:color="auto" w:fill="ffffff"/>
        </w:rPr>
        <w:t xml:space="preserve">政府采购政策功能落实</w:t>
      </w:r>
      <w:r/>
    </w:p>
    <w:p>
      <w:pPr>
        <w:pStyle w:val="84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1、小微型企业价格扣除</w:t>
      </w:r>
      <w:r/>
    </w:p>
    <w:p>
      <w:pPr>
        <w:pStyle w:val="84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（1）本项目对小型和微型企业产品给予10%的扣除价格，用扣除后的价格参与评审。</w:t>
      </w:r>
      <w:r/>
    </w:p>
    <w:p>
      <w:pPr>
        <w:pStyle w:val="84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（2）供应商需按照采购文件的要求提供相应的《中小企业声明函》。</w:t>
      </w:r>
      <w:r/>
    </w:p>
    <w:p>
      <w:pPr>
        <w:pStyle w:val="84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（3）企业标准请参照《关于印发中小企业划型标准规定的通知》（工信部联企业[2011]300号）文件规定自行填写。</w:t>
      </w:r>
      <w:r/>
    </w:p>
    <w:p>
      <w:pPr>
        <w:pStyle w:val="84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2、残疾人福利单位价格扣除</w:t>
      </w:r>
      <w:r/>
    </w:p>
    <w:p>
      <w:pPr>
        <w:pStyle w:val="84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（1）本项目对残疾人福利性单位视同小型、微型企业，给予10%的价格扣除，用扣除后的价格参与评审。</w:t>
      </w:r>
      <w:r/>
    </w:p>
    <w:p>
      <w:pPr>
        <w:pStyle w:val="84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（2）残疾人福利单位需按照采购文件的要求提供《残疾人福利性单位声明函》。</w:t>
      </w:r>
      <w:r/>
    </w:p>
    <w:p>
      <w:pPr>
        <w:pStyle w:val="84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（3）残疾人福利单位标准请参照《关于促进残疾人就业政府采购政策的通知》（财库〔2017〕141号）。</w:t>
      </w:r>
      <w:r/>
    </w:p>
    <w:p>
      <w:pPr>
        <w:pStyle w:val="84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3、监狱和戒毒企业价格扣除</w:t>
      </w:r>
      <w:r/>
    </w:p>
    <w:p>
      <w:pPr>
        <w:pStyle w:val="84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（1）本项目对监狱和戒毒企业（简称监狱企业）视同小型、微型企业，给予10%的价格扣除，用扣除后的价格参与评审。</w:t>
      </w:r>
      <w:r/>
    </w:p>
    <w:p>
      <w:pPr>
        <w:pStyle w:val="84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（3）监狱企业标准请参照《关于政府采购支持监狱企业发展有关问题的通知》（财库[2014]68号）。</w:t>
      </w:r>
      <w:r/>
    </w:p>
    <w:p>
      <w:pPr>
        <w:pStyle w:val="84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4、残疾人福利单位、监狱企业属于小型、微型企业的，不重复享受政策。</w:t>
      </w:r>
      <w:r/>
    </w:p>
    <w:p>
      <w:pPr>
        <w:pStyle w:val="84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4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6、联合体各方均为小型、微型企业（残疾人福利单位、监狱企业）的，联合体享受10%价格扣除，用扣除后的价格参与评审。</w:t>
      </w:r>
      <w:r/>
    </w:p>
    <w:p>
      <w:pPr>
        <w:pStyle w:val="84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7、专门面向中小企业采购的项目，小微企业不再享受价格扣除优惠政策。</w:t>
      </w:r>
      <w:r/>
    </w:p>
    <w:p>
      <w:pPr>
        <w:spacing w:line="360" w:lineRule="auto"/>
        <w:rPr>
          <w:rFonts w:hint="eastAsia" w:ascii="宋体" w:hAnsi="宋体" w:eastAsia="宋体"/>
          <w:b/>
          <w:sz w:val="24"/>
          <w:szCs w:val="24"/>
        </w:rPr>
      </w:pPr>
      <w:r/>
      <w:bookmarkStart w:id="42" w:name="_Hlk147842034"/>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cs="仿宋" w:asciiTheme="minorEastAsia" w:hAnsiTheme="minorEastAsia" w:eastAsiaTheme="minorEastAsia"/>
          <w:b/>
          <w:sz w:val="24"/>
          <w:szCs w:val="24"/>
        </w:rPr>
      </w:pPr>
      <w:r>
        <w:rPr>
          <w:rFonts w:hint="eastAsia" w:ascii="宋体" w:hAnsi="宋体" w:eastAsia="宋体"/>
          <w:b/>
          <w:sz w:val="24"/>
          <w:szCs w:val="24"/>
        </w:rPr>
        <w:t xml:space="preserve">二、评标内容及标准</w:t>
      </w:r>
      <w:r>
        <w:rPr>
          <w:rFonts w:hint="eastAsia" w:cs="仿宋" w:asciiTheme="minorEastAsia" w:hAnsiTheme="minorEastAsia" w:eastAsiaTheme="minorEastAsia"/>
          <w:b/>
          <w:sz w:val="24"/>
          <w:szCs w:val="24"/>
        </w:rPr>
        <w:t xml:space="preserve">： </w:t>
      </w:r>
      <w:r/>
    </w:p>
    <w:tbl>
      <w:tblPr>
        <w:tblStyle w:val="847"/>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5"/>
        <w:gridCol w:w="1194"/>
        <w:gridCol w:w="5561"/>
        <w:gridCol w:w="656"/>
      </w:tblGrid>
      <w:tr>
        <w:trPr/>
        <w:tc>
          <w:tcPr>
            <w:tcBorders>
              <w:top w:val="single" w:color="000000" w:sz="8" w:space="0"/>
              <w:left w:val="single" w:color="000000" w:sz="8" w:space="0"/>
              <w:bottom w:val="single" w:color="000000" w:sz="8" w:space="0"/>
              <w:right w:val="single" w:color="000000" w:sz="8" w:space="0"/>
            </w:tcBorders>
            <w:tcW w:w="649" w:type="pct"/>
            <w:vAlign w:val="center"/>
            <w:textDirection w:val="lrTb"/>
            <w:noWrap w:val="false"/>
          </w:tcPr>
          <w:p>
            <w:pPr>
              <w:ind w:firstLine="21"/>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43" w:name="_Hlk186556083"/>
            <w:r>
              <w:rPr>
                <w:rFonts w:hint="eastAsia" w:ascii="宋体" w:hAnsi="宋体" w:eastAsia="宋体" w:cs="宋体"/>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评标标准及细则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分值</w:t>
            </w:r>
            <w:r/>
          </w:p>
        </w:tc>
      </w:tr>
      <w:t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1"/>
              <w:jc w:val="cente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采用低价优先法计算，即满足招标文件要求且投标价格最低的投标报价为评标基准价，其价格分为满分。其他供应商的价格分统一按照下列公式计算:投标报价得分=(评标基准价/投标报价)×30（小数点保留两位）评标过程中，不得去掉报价中的最高报价和最低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30</w:t>
            </w:r>
            <w:r/>
          </w:p>
        </w:tc>
      </w:tr>
      <w:t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left="24"/>
              <w:jc w:val="cente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ind w:left="91"/>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技术、性能、配置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评委根据招标文件中《招标技术规格及其他要求》，结合投标文件提供的技术白皮书等佐证材料等进行评审：</w:t>
            </w:r>
            <w:r/>
          </w:p>
          <w:p>
            <w:pPr>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highlight w:val="none"/>
              </w:rPr>
              <w:t xml:space="preserve">满足招标文件</w:t>
            </w:r>
            <w:r>
              <w:rPr>
                <w:rFonts w:hint="eastAsia" w:ascii="宋体" w:hAnsi="宋体" w:eastAsia="宋体" w:cs="宋体"/>
                <w:bCs/>
                <w:sz w:val="24"/>
                <w:szCs w:val="24"/>
                <w:highlight w:val="none"/>
              </w:rPr>
              <w:t xml:space="preserve">全部技术要求得标准分值20</w:t>
            </w:r>
            <w:r>
              <w:rPr>
                <w:rFonts w:ascii="宋体" w:hAnsi="宋体" w:eastAsia="宋体" w:cs="宋体"/>
                <w:bCs/>
                <w:sz w:val="24"/>
                <w:szCs w:val="24"/>
                <w:highlight w:val="none"/>
              </w:rPr>
              <w:t xml:space="preserve">分；</w:t>
            </w:r>
            <w:r/>
          </w:p>
          <w:p>
            <w:pPr>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2.1、标★参数，如有一项负偏离，将作无效投标处理；</w:t>
            </w:r>
            <w:r/>
          </w:p>
          <w:p>
            <w:pPr>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2.2、标▲号参数为重要参数，有一项负偏离扣3分，扣完为止；有一项正偏离加3分，正偏离加分最高不超过30分。</w:t>
            </w:r>
            <w:r/>
          </w:p>
          <w:p>
            <w:pPr>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2.3、除标★、▲外，其他为全部一般参数，每有一项负偏离扣１分，扣完为止。其中技术部分负偏离超过半数的，或该项分值得0分或经评委会评议负偏离可能实质性影响使用的，将判定为实质性不符合招标要求，做无效投标处理。</w:t>
            </w:r>
            <w:r/>
          </w:p>
          <w:p>
            <w:pPr>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w:t>
            </w:r>
            <w:r>
              <w:rPr>
                <w:rFonts w:ascii="宋体" w:hAnsi="宋体" w:eastAsia="宋体" w:cs="宋体"/>
                <w:bCs/>
                <w:sz w:val="24"/>
                <w:szCs w:val="24"/>
                <w:highlight w:val="none"/>
              </w:rPr>
              <w:t xml:space="preserve">4</w:t>
            </w:r>
            <w:r>
              <w:rPr>
                <w:rFonts w:hint="eastAsia" w:ascii="宋体" w:hAnsi="宋体" w:eastAsia="宋体" w:cs="宋体"/>
                <w:bCs/>
                <w:sz w:val="24"/>
                <w:szCs w:val="24"/>
                <w:highlight w:val="none"/>
              </w:rPr>
              <w:t xml:space="preserve">、产品交付验收时，招标人将对技术规格要求中的关键技术指标进行逐一核实验收，如发现虚假应标，或无法实现关键技术指标功能，有权向采购主管部门进行举报，所有后果由中标投标人承担。</w:t>
            </w:r>
            <w:r/>
          </w:p>
          <w:p>
            <w:r>
              <w:rPr>
                <w:rFonts w:hint="eastAsia" w:ascii="宋体" w:hAnsi="宋体" w:eastAsia="宋体" w:cs="宋体"/>
                <w:b/>
                <w:bCs/>
                <w:sz w:val="24"/>
                <w:szCs w:val="24"/>
                <w:highlight w:val="none"/>
              </w:rPr>
              <w:t xml:space="preserve">注：</w:t>
            </w:r>
            <w:r>
              <w:rPr>
                <w:rFonts w:hint="eastAsia" w:ascii="宋体" w:hAnsi="宋体" w:eastAsia="宋体" w:cs="宋体"/>
                <w:bCs/>
                <w:sz w:val="24"/>
                <w:szCs w:val="24"/>
                <w:highlight w:val="none"/>
              </w:rPr>
              <w:t xml:space="preserve">★、▲技术参数，须提供相关证明材料（</w:t>
            </w:r>
            <w:r>
              <w:rPr>
                <w:rFonts w:hint="eastAsia" w:ascii="宋体" w:hAnsi="宋体" w:eastAsia="宋体" w:cs="宋体"/>
                <w:bCs/>
                <w:sz w:val="24"/>
                <w:szCs w:val="24"/>
              </w:rPr>
              <w:t xml:space="preserve">包括制造商技术白皮书或Data Sheet或医疗器械检测所检测报告或国家承认的第三方机构出具的检测报告或厂家公开发行的宣传彩页等），并在投标文件技术参数偏离表备注栏中标注相应证明文件页码及相关证明条款，未提供相关证明材料、标注页码或标注错误视为负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50</w:t>
            </w:r>
            <w:r/>
          </w:p>
        </w:tc>
      </w:tr>
      <w:tr>
        <w:trPr>
          <w:trHeight w:val="585"/>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1"/>
              <w:jc w:val="cente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ind w:hanging="8"/>
              <w:jc w:val="cente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技术培训方案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投标人提供对用户的操作培训、业务功能培训等相关培训计划方案，除正常操作培训外，针对甲方是教学培训单位的特点，提出其他技术培训保障方案；</w:t>
            </w:r>
            <w:r/>
          </w:p>
          <w:p>
            <w:pP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1、技术培训保障方案内容详实、科学、合理，考虑周全，培训计划针对性强、内容详实，培训人员配备齐全、技术水平高、分工明确、岗位设置科学合理，培训率承诺高，得5分。</w:t>
            </w:r>
            <w:r/>
          </w:p>
          <w:p>
            <w:pP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2、技术培训保障方案内容详实、考虑较全，培训计划具体，培训人员齐全，培训率承诺较高，得3分。</w:t>
            </w:r>
            <w:r/>
          </w:p>
          <w:p>
            <w:pP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3、技术培训保障方案表述简单，培训计划简单、培训人员较少，培训率承诺一般，得1分。</w:t>
            </w:r>
            <w:r/>
          </w:p>
          <w:p>
            <w:pP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4、未提供方案或方案无可行性不得分。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5</w:t>
            </w:r>
            <w:r/>
          </w:p>
        </w:tc>
      </w:tr>
      <w:t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1"/>
              <w:jc w:val="cente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售后服务实施方案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售后服务实施响应：根据投标人质保期内售后服务（响应时间，回访巡检方案、故障解决措施、技术人员保障、备品配件价格等）、本地化服务方案（就近各服务网点、维修网点设置情况以及技术人员安排情况）等服务内容</w:t>
            </w:r>
            <w:r/>
          </w:p>
          <w:p>
            <w:pPr>
              <w:rPr>
                <w:rFonts w:hint="eastAsia" w:ascii="宋体" w:hAnsi="宋体" w:eastAsia="宋体" w:cs="宋体"/>
                <w:bCs/>
                <w:sz w:val="24"/>
                <w:szCs w:val="24"/>
              </w:rPr>
            </w:pPr>
            <w:r>
              <w:rPr>
                <w:rFonts w:hint="eastAsia" w:ascii="宋体" w:hAnsi="宋体" w:eastAsia="宋体" w:cs="宋体"/>
                <w:bCs/>
                <w:sz w:val="24"/>
                <w:szCs w:val="24"/>
              </w:rPr>
              <w:t xml:space="preserve">1）售后方案内容详实、科学、合理，考虑周全，对产品质量管控措施要求全面到位，相关服务承诺内容详实，人员配备齐全，分工明确、岗位设置科学合理，人员配备齐全、设备配备齐全、先进者得5分；</w:t>
            </w:r>
            <w:r/>
          </w:p>
          <w:p>
            <w:pPr>
              <w:rPr>
                <w:rFonts w:hint="eastAsia" w:ascii="宋体" w:hAnsi="宋体" w:eastAsia="宋体" w:cs="宋体"/>
                <w:bCs/>
                <w:sz w:val="24"/>
                <w:szCs w:val="24"/>
              </w:rPr>
            </w:pPr>
            <w:r>
              <w:rPr>
                <w:rFonts w:hint="eastAsia" w:ascii="宋体" w:hAnsi="宋体" w:eastAsia="宋体" w:cs="宋体"/>
                <w:bCs/>
                <w:sz w:val="24"/>
                <w:szCs w:val="24"/>
              </w:rPr>
              <w:t xml:space="preserve">2）售后方案内容详实、考虑较全，对产品质量管控措施要求到位，相关服务承诺内容具体，人员配备齐全、设备配备齐全者得3分；</w:t>
            </w:r>
            <w:r/>
          </w:p>
          <w:p>
            <w:pPr>
              <w:rPr>
                <w:rFonts w:hint="eastAsia" w:ascii="宋体" w:hAnsi="宋体" w:eastAsia="宋体" w:cs="宋体"/>
                <w:bCs/>
                <w:sz w:val="24"/>
                <w:szCs w:val="24"/>
              </w:rPr>
            </w:pPr>
            <w:r>
              <w:rPr>
                <w:rFonts w:hint="eastAsia" w:ascii="宋体" w:hAnsi="宋体" w:eastAsia="宋体" w:cs="宋体"/>
                <w:bCs/>
                <w:sz w:val="24"/>
                <w:szCs w:val="24"/>
              </w:rPr>
              <w:t xml:space="preserve">3）技术培训保障方案表述简单，培训计划简单、培训人员较少，培训率承诺一般者得1分；</w:t>
            </w:r>
            <w:r/>
          </w:p>
          <w:p>
            <w:pPr>
              <w:rPr>
                <w:rFonts w:hint="eastAsia" w:ascii="宋体" w:hAnsi="宋体" w:eastAsia="宋体" w:cs="宋体"/>
                <w:bCs/>
                <w:sz w:val="24"/>
                <w:szCs w:val="24"/>
              </w:rPr>
            </w:pPr>
            <w:r>
              <w:rPr>
                <w:rFonts w:hint="eastAsia" w:ascii="宋体" w:hAnsi="宋体" w:eastAsia="宋体" w:cs="宋体"/>
                <w:bCs/>
                <w:sz w:val="24"/>
                <w:szCs w:val="24"/>
              </w:rPr>
              <w:t xml:space="preserve">4）未提供服务方案的不得分。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5</w:t>
            </w:r>
            <w:r/>
          </w:p>
        </w:tc>
      </w:tr>
      <w:t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1"/>
              <w:jc w:val="cente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pStyle w:val="816"/>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投标人提供的售后服务承诺书需响应招标文件要求的免费质保期，满足基本要求得3分，每超过1年加2分，最多得5分。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5</w:t>
            </w:r>
            <w:r/>
          </w:p>
        </w:tc>
      </w:tr>
      <w:t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1"/>
              <w:jc w:val="cente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pStyle w:val="816"/>
              <w:rPr>
                <w:rFonts w:hint="eastAsia" w:ascii="宋体" w:hAnsi="宋体" w:eastAsia="宋体" w:cs="宋体"/>
                <w:bCs/>
                <w:sz w:val="24"/>
                <w:szCs w:val="24"/>
              </w:rPr>
            </w:pPr>
            <w:r/>
            <w:bookmarkStart w:id="64" w:name="_GoBack"/>
            <w:r>
              <w:rPr>
                <w:rFonts w:hint="eastAsia" w:ascii="宋体" w:hAnsi="宋体" w:eastAsia="宋体" w:cs="宋体"/>
                <w:bCs/>
                <w:sz w:val="24"/>
                <w:szCs w:val="24"/>
              </w:rPr>
              <w:t xml:space="preserve">提供投标产品类似的业绩证明文件（销售合同复印件），每提供</w:t>
            </w:r>
            <w:r>
              <w:rPr>
                <w:rFonts w:ascii="宋体" w:hAnsi="宋体" w:eastAsia="宋体" w:cs="宋体"/>
                <w:bCs/>
                <w:sz w:val="24"/>
                <w:szCs w:val="24"/>
              </w:rPr>
              <w:t xml:space="preserve">1</w:t>
            </w:r>
            <w:r>
              <w:rPr>
                <w:rFonts w:hint="eastAsia" w:ascii="宋体" w:hAnsi="宋体" w:eastAsia="宋体" w:cs="宋体"/>
                <w:bCs/>
                <w:sz w:val="24"/>
                <w:szCs w:val="24"/>
              </w:rPr>
              <w:t xml:space="preserve">份合同得1分，最多得5分。未提供合同或合同产品与投标产品无关的、关键页不清晰者，该项不得分。</w:t>
            </w:r>
            <w:bookmarkEnd w:id="64"/>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5</w:t>
            </w:r>
            <w:r/>
          </w:p>
        </w:tc>
      </w:tr>
      <w:tr>
        <w:trPr/>
        <w:tc>
          <w:tcPr>
            <w:gridSpan w:val="3"/>
            <w:tcBorders>
              <w:top w:val="none" w:color="000000" w:sz="4" w:space="0"/>
              <w:left w:val="single" w:color="000000" w:sz="8" w:space="0"/>
              <w:bottom w:val="single" w:color="000000" w:sz="8" w:space="0"/>
              <w:right w:val="single" w:color="000000" w:sz="8" w:space="0"/>
            </w:tcBorders>
            <w:tcW w:w="4615"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100</w:t>
            </w:r>
            <w:bookmarkEnd w:id="43"/>
            <w:r/>
            <w:r/>
          </w:p>
        </w:tc>
      </w:tr>
    </w:tbl>
    <w:p>
      <w:pPr>
        <w:pStyle w:val="846"/>
        <w:ind w:firstLine="0"/>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三、推荐中标候选人:</w:t>
      </w:r>
      <w:r/>
    </w:p>
    <w:p>
      <w:pPr>
        <w:ind w:firstLine="488"/>
        <w:spacing w:line="360" w:lineRule="auto"/>
        <w:rPr>
          <w:rFonts w:hint="eastAsia" w:cs="仿宋" w:asciiTheme="minorEastAsia" w:hAnsiTheme="minorEastAsia" w:eastAsiaTheme="minorEastAsia"/>
          <w:bCs/>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sz w:val="24"/>
          <w:szCs w:val="24"/>
        </w:rPr>
        <w:t xml:space="preserve">汇总上述各项分值（保留两位小数,小数点后第三位四舍五入），按总得分由高到低的顺序排列,综合得分最高的为中</w:t>
      </w:r>
      <w:bookmarkEnd w:id="42"/>
      <w:r/>
      <w:r/>
    </w:p>
    <w:p>
      <w:pPr>
        <w:spacing w:line="300" w:lineRule="auto"/>
        <w:rPr>
          <w:rFonts w:hint="eastAsia" w:cs="仿宋" w:asciiTheme="minorEastAsia" w:hAnsiTheme="minorEastAsia" w:eastAsiaTheme="minorEastAsia"/>
          <w:b/>
          <w:sz w:val="32"/>
          <w:szCs w:val="32"/>
        </w:rPr>
        <w:outlineLvl w:val="0"/>
      </w:pPr>
      <w:r>
        <w:rPr>
          <w:rFonts w:hint="eastAsia" w:cs="仿宋" w:asciiTheme="minorEastAsia" w:hAnsiTheme="minorEastAsia" w:eastAsiaTheme="minorEastAsia"/>
          <w:b/>
          <w:sz w:val="32"/>
          <w:szCs w:val="32"/>
        </w:rPr>
      </w:r>
      <w:r/>
    </w:p>
    <w:p>
      <w:pPr>
        <w:jc w:val="center"/>
        <w:spacing w:line="300" w:lineRule="auto"/>
        <w:rPr>
          <w:rFonts w:hint="eastAsia" w:cs="仿宋" w:asciiTheme="minorEastAsia" w:hAnsiTheme="minorEastAsia" w:eastAsiaTheme="minorEastAsia"/>
          <w:b/>
          <w:sz w:val="32"/>
          <w:szCs w:val="32"/>
        </w:rPr>
        <w:outlineLvl w:val="0"/>
      </w:pPr>
      <w:r>
        <w:rPr>
          <w:rFonts w:hint="eastAsia" w:cs="仿宋" w:asciiTheme="minorEastAsia" w:hAnsiTheme="minorEastAsia" w:eastAsiaTheme="minorEastAsia"/>
          <w:b/>
          <w:sz w:val="32"/>
          <w:szCs w:val="32"/>
        </w:rPr>
        <w:t xml:space="preserve">第五章 合同条款</w:t>
      </w:r>
      <w:r/>
    </w:p>
    <w:p>
      <w:pPr>
        <w:ind w:firstLine="567"/>
        <w:jc w:val="center"/>
        <w:rPr>
          <w:rFonts w:hint="eastAsia" w:ascii="宋体" w:hAnsi="宋体" w:eastAsia="宋体" w:cs="仿宋"/>
          <w:bCs/>
          <w:sz w:val="24"/>
          <w:szCs w:val="24"/>
        </w:rPr>
      </w:pPr>
      <w:r>
        <w:rPr>
          <w:rFonts w:hint="eastAsia" w:ascii="宋体" w:hAnsi="宋体" w:eastAsia="宋体" w:cs="仿宋"/>
          <w:bCs/>
          <w:sz w:val="24"/>
          <w:szCs w:val="24"/>
        </w:rPr>
      </w:r>
      <w:r/>
    </w:p>
    <w:p>
      <w:pPr>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注：本合同仅为合同的参考文本，合同签订双方可根据项目的具体要求进行修订，但不得更改实质性要求。</w:t>
      </w:r>
      <w:r/>
    </w:p>
    <w:p>
      <w:pPr>
        <w:ind w:firstLine="480"/>
        <w:spacing w:line="360" w:lineRule="auto"/>
        <w:rPr>
          <w:rFonts w:hint="eastAsia" w:ascii="宋体" w:hAnsi="宋体" w:eastAsia="宋体" w:cs="宋体"/>
          <w:bCs/>
          <w:position w:val="-10"/>
          <w:sz w:val="24"/>
        </w:rPr>
      </w:pPr>
      <w:r/>
      <w:bookmarkStart w:id="44" w:name="_Toc20823315"/>
      <w:r/>
      <w:bookmarkStart w:id="45" w:name="_Toc513029243"/>
      <w:r/>
      <w:bookmarkStart w:id="46" w:name="_Toc16938559"/>
      <w:r>
        <w:rPr>
          <w:rFonts w:hint="eastAsia" w:ascii="宋体" w:hAnsi="宋体" w:eastAsia="宋体" w:cs="宋体"/>
          <w:bCs/>
          <w:position w:val="-10"/>
          <w:sz w:val="24"/>
        </w:rPr>
        <w:t xml:space="preserve">以下为中标后签定本项目合同的通用条款，采购人与中标人应按此签订采购合同。中标人不得提出实质性的修改，关于专用条款将由采购人与中标人结合本项目具体情况协商后签订。</w:t>
      </w:r>
      <w:bookmarkEnd w:id="44"/>
      <w:r/>
      <w:bookmarkEnd w:id="45"/>
      <w:r/>
      <w:bookmarkEnd w:id="46"/>
      <w:r/>
      <w:r/>
    </w:p>
    <w:p>
      <w:pPr>
        <w:jc w:val="center"/>
        <w:spacing w:line="360" w:lineRule="auto"/>
        <w:rPr>
          <w:rFonts w:hint="eastAsia" w:ascii="宋体" w:hAnsi="宋体" w:eastAsia="宋体"/>
          <w:bCs/>
          <w:position w:val="-10"/>
          <w:sz w:val="44"/>
          <w:szCs w:val="44"/>
        </w:rPr>
      </w:pPr>
      <w:r>
        <w:rPr>
          <w:rFonts w:hint="eastAsia" w:ascii="宋体" w:hAnsi="宋体" w:eastAsia="宋体"/>
          <w:bCs/>
          <w:position w:val="-10"/>
          <w:sz w:val="44"/>
          <w:szCs w:val="44"/>
        </w:rPr>
        <w:t xml:space="preserve">医疗设备采购合同</w:t>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t xml:space="preserve">甲方：靖江市中医院     </w:t>
      </w:r>
      <w:r/>
    </w:p>
    <w:p>
      <w:pPr>
        <w:spacing w:line="360" w:lineRule="auto"/>
        <w:rPr>
          <w:rFonts w:hint="eastAsia" w:ascii="宋体" w:hAnsi="宋体" w:eastAsia="宋体"/>
          <w:bCs/>
          <w:position w:val="-10"/>
          <w:sz w:val="28"/>
          <w:szCs w:val="28"/>
        </w:rPr>
      </w:pPr>
      <w:r>
        <w:rPr>
          <w:rFonts w:ascii="宋体" w:hAnsi="宋体" w:eastAsia="宋体"/>
          <w:bCs/>
          <w:position w:val="-10"/>
          <w:sz w:val="28"/>
          <w:szCs w:val="28"/>
        </w:rPr>
        <w:t xml:space="preserve">地址：</w:t>
      </w:r>
      <w:r>
        <w:rPr>
          <w:rFonts w:hint="eastAsia" w:ascii="宋体" w:hAnsi="宋体" w:eastAsia="宋体"/>
          <w:bCs/>
          <w:position w:val="-10"/>
          <w:sz w:val="28"/>
          <w:szCs w:val="28"/>
        </w:rPr>
        <w:t xml:space="preserve"> </w:t>
      </w:r>
      <w:r/>
    </w:p>
    <w:p>
      <w:pPr>
        <w:spacing w:line="360" w:lineRule="auto"/>
        <w:rPr>
          <w:rFonts w:hint="eastAsia" w:ascii="宋体" w:hAnsi="宋体" w:eastAsia="宋体"/>
          <w:bCs/>
          <w:position w:val="-10"/>
          <w:sz w:val="28"/>
          <w:szCs w:val="28"/>
        </w:rPr>
      </w:pPr>
      <w:r>
        <w:rPr>
          <w:rFonts w:ascii="宋体" w:hAnsi="宋体" w:eastAsia="宋体"/>
          <w:bCs/>
          <w:position w:val="-10"/>
          <w:sz w:val="28"/>
          <w:szCs w:val="28"/>
        </w:rPr>
        <w:t xml:space="preserve">电话：</w:t>
      </w:r>
      <w:r>
        <w:rPr>
          <w:rFonts w:hint="eastAsia" w:ascii="宋体" w:hAnsi="宋体" w:eastAsia="宋体"/>
          <w:bCs/>
          <w:position w:val="-10"/>
          <w:sz w:val="28"/>
          <w:szCs w:val="28"/>
        </w:rPr>
        <w:t xml:space="preserve"> </w:t>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t xml:space="preserve">乙方：</w:t>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t xml:space="preserve">地址：</w:t>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t xml:space="preserve">电话：</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经甲、乙双方协商，就乙方销售给甲方的医疗设备，特订立本合同。</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一、设备名称、厂家、型号、数量和价格。</w:t>
      </w:r>
      <w:r/>
    </w:p>
    <w:tbl>
      <w:tblPr>
        <w:tblStyle w:val="815"/>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8"/>
        <w:gridCol w:w="1875"/>
        <w:gridCol w:w="1950"/>
        <w:gridCol w:w="925"/>
        <w:gridCol w:w="1260"/>
        <w:gridCol w:w="1620"/>
      </w:tblGrid>
      <w:tr>
        <w:trPr>
          <w:trHeight w:val="307"/>
        </w:trPr>
        <w:tc>
          <w:tcPr>
            <w:tcW w:w="1658"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设备名称</w:t>
            </w:r>
            <w:r/>
          </w:p>
        </w:tc>
        <w:tc>
          <w:tcPr>
            <w:tcW w:w="187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生产厂家</w:t>
            </w:r>
            <w:r/>
          </w:p>
        </w:tc>
        <w:tc>
          <w:tcPr>
            <w:tcW w:w="195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规格型号</w:t>
            </w:r>
            <w:r/>
          </w:p>
        </w:tc>
        <w:tc>
          <w:tcPr>
            <w:tcW w:w="92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数量</w:t>
            </w:r>
            <w:r/>
          </w:p>
        </w:tc>
        <w:tc>
          <w:tcPr>
            <w:tcW w:w="126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单价（元）</w:t>
            </w:r>
            <w:r/>
          </w:p>
        </w:tc>
        <w:tc>
          <w:tcPr>
            <w:tcW w:w="162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成交价（元）</w:t>
            </w:r>
            <w:r/>
          </w:p>
        </w:tc>
      </w:tr>
      <w:tr>
        <w:trPr>
          <w:trHeight w:val="171"/>
        </w:trPr>
        <w:tc>
          <w:tcPr>
            <w:tcW w:w="1658" w:type="dxa"/>
            <w:textDirection w:val="lrTb"/>
            <w:noWrap w:val="false"/>
          </w:tcPr>
          <w:p>
            <w:pPr>
              <w:ind w:firstLine="240"/>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87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95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92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260" w:type="dxa"/>
            <w:textDirection w:val="lrTb"/>
            <w:noWrap w:val="false"/>
          </w:tcPr>
          <w:p>
            <w:pPr>
              <w:ind w:firstLine="120"/>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620" w:type="dxa"/>
            <w:textDirection w:val="lrTb"/>
            <w:noWrap w:val="false"/>
          </w:tcPr>
          <w:p>
            <w:pPr>
              <w:ind w:firstLine="120"/>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r>
      <w:tr>
        <w:trPr>
          <w:trHeight w:val="171"/>
        </w:trPr>
        <w:tc>
          <w:tcPr>
            <w:tcW w:w="1658" w:type="dxa"/>
            <w:textDirection w:val="lrTb"/>
            <w:noWrap w:val="false"/>
          </w:tcPr>
          <w:p>
            <w:pPr>
              <w:ind w:firstLine="240"/>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87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95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92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260" w:type="dxa"/>
            <w:textDirection w:val="lrTb"/>
            <w:noWrap w:val="false"/>
          </w:tcPr>
          <w:p>
            <w:pPr>
              <w:ind w:firstLine="120"/>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620" w:type="dxa"/>
            <w:textDirection w:val="lrTb"/>
            <w:noWrap w:val="false"/>
          </w:tcPr>
          <w:p>
            <w:pPr>
              <w:ind w:firstLine="120"/>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r>
      <w:tr>
        <w:trPr>
          <w:trHeight w:val="70"/>
        </w:trPr>
        <w:tc>
          <w:tcPr>
            <w:gridSpan w:val="4"/>
            <w:tcW w:w="6408" w:type="dxa"/>
            <w:textDirection w:val="lrTb"/>
            <w:noWrap w:val="false"/>
          </w:tcPr>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总计(大写):</w:t>
            </w:r>
            <w:r/>
          </w:p>
        </w:tc>
        <w:tc>
          <w:tcPr>
            <w:gridSpan w:val="2"/>
            <w:tcW w:w="2880" w:type="dxa"/>
            <w:textDirection w:val="lrTb"/>
            <w:noWrap w:val="false"/>
          </w:tcPr>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（小写）：￥</w:t>
            </w:r>
            <w:r/>
          </w:p>
        </w:tc>
      </w:tr>
    </w:tbl>
    <w:p>
      <w:pPr>
        <w:ind w:firstLine="480"/>
        <w:spacing w:line="360" w:lineRule="auto"/>
        <w:rPr>
          <w:rFonts w:hint="eastAsia" w:ascii="宋体" w:hAnsi="宋体" w:eastAsia="宋体" w:cs="等线"/>
          <w:bCs/>
          <w:position w:val="-10"/>
          <w:sz w:val="24"/>
        </w:rPr>
      </w:pPr>
      <w:r>
        <w:rPr>
          <w:rFonts w:hint="eastAsia" w:ascii="宋体" w:hAnsi="宋体" w:eastAsia="宋体"/>
          <w:bCs/>
          <w:position w:val="-10"/>
          <w:sz w:val="24"/>
        </w:rPr>
        <w:t xml:space="preserve">1.上述价格含设备制造、包装、仓储、运输、退换货、安装、调试以及提供相应的培训，</w:t>
      </w:r>
      <w:r>
        <w:rPr>
          <w:rFonts w:hint="eastAsia" w:ascii="宋体" w:hAnsi="宋体" w:eastAsia="宋体" w:cs="等线"/>
          <w:bCs/>
          <w:position w:val="-10"/>
          <w:sz w:val="24"/>
        </w:rPr>
        <w:t xml:space="preserve">验收合格之前和质保期内备品、备件发生的所有含税费用，以及包装拆除物的清理费用。</w:t>
      </w:r>
      <w:r/>
    </w:p>
    <w:p>
      <w:pPr>
        <w:ind w:firstLine="480"/>
        <w:spacing w:line="360" w:lineRule="auto"/>
        <w:rPr>
          <w:rFonts w:hint="eastAsia" w:ascii="宋体" w:hAnsi="宋体" w:eastAsia="宋体" w:cs="等线"/>
          <w:bCs/>
          <w:position w:val="-10"/>
          <w:sz w:val="24"/>
        </w:rPr>
      </w:pPr>
      <w:r>
        <w:rPr>
          <w:rFonts w:hint="eastAsia" w:ascii="宋体" w:hAnsi="宋体" w:eastAsia="宋体" w:cs="等线"/>
          <w:bCs/>
          <w:position w:val="-10"/>
          <w:sz w:val="24"/>
        </w:rPr>
        <w:t xml:space="preserve">2.质保期内的维护、保养（含设备所有部件）与技术支持等事项而发生的一切费用，均已包含在合同总价中，由乙方自行承担。</w:t>
      </w:r>
      <w:r/>
    </w:p>
    <w:p>
      <w:pPr>
        <w:ind w:firstLine="480"/>
        <w:spacing w:line="360" w:lineRule="auto"/>
        <w:rPr>
          <w:rFonts w:hint="eastAsia" w:ascii="宋体" w:hAnsi="宋体" w:eastAsia="宋体" w:cs="等线"/>
          <w:bCs/>
          <w:position w:val="-10"/>
          <w:sz w:val="24"/>
        </w:rPr>
      </w:pPr>
      <w:r>
        <w:rPr>
          <w:rFonts w:hint="eastAsia" w:ascii="宋体" w:hAnsi="宋体" w:eastAsia="宋体" w:cs="等线"/>
          <w:bCs/>
          <w:position w:val="-10"/>
          <w:sz w:val="24"/>
        </w:rPr>
        <w:t xml:space="preserve">3.乙方未按本合同约定提交设备所产生的任何费用由乙方负责，甲方对由此所引起的任何价格变动不予承认。</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二、设备详细配置清单见附件。</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三、付款方式：待定 。 </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四、交货期：合同生效之日起 </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内货物运抵医院并安装完毕。</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五、交货地点：靖江市中医院指定地点。</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六、质保期：上述设备提供原厂质保期</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年，所有维修配件均为原厂全新合格产品；质保期从设备安装调试验收合格并完成培训之日算起，保修期外乙方对本设备终身负责维修。</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七、资质、质量要求及技术标准：</w:t>
      </w:r>
      <w:r/>
    </w:p>
    <w:p>
      <w:pPr>
        <w:ind w:firstLine="480"/>
        <w:spacing w:line="360" w:lineRule="auto"/>
        <w:rPr>
          <w:rFonts w:hint="eastAsia" w:ascii="宋体" w:hAnsi="宋体" w:eastAsia="宋体" w:cs="等线"/>
          <w:bCs/>
          <w:position w:val="-10"/>
          <w:sz w:val="24"/>
        </w:rPr>
      </w:pPr>
      <w:r>
        <w:rPr>
          <w:rFonts w:hint="eastAsia" w:ascii="宋体" w:hAnsi="宋体" w:eastAsia="宋体" w:cs="等线"/>
          <w:bCs/>
          <w:position w:val="-10"/>
          <w:sz w:val="24"/>
        </w:rPr>
        <w:t xml:space="preserve">1．特别提醒条款：a、所提供医疗器械产品注册证必须真实有效；b、所提供设备的投标文件、资料以及设备上的中文品名和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2．乙方保证向甲方提设备满足中国国家标准或相关行业标准。根据国家规定，如需要提供计量检定证书、3C认证证书和标记的设备及有关配置，必须提供上述证书和标记。</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3．乙方保证所提供设备型号是最新的，且是上等材料和工艺制成、全新，并严格保持原包装，不得对原出厂设备进行改装，设备的生产日期不得早于实际安装日期前六个月，以设备出厂铭牌上标注日期为准，否则甲方有权要求乙方进行更换，并且保证10年正常运行所需的备品备件，否则造成的逾期交货等一切损失由乙方负全部责任。</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4．乙方应保证其提供的货物在正确安装、正常使用和保养条件下，在其使用寿命内具有良好的性能。乙方所提供设备如验收不合格，根据甲方要求，乙方必须无条件换货或退货，货物验收后，在质量保证期内，乙方应对由于设计、工艺或材料的缺陷所发生的任何不足或故障负责，由此引起的一切损失由乙方承担。</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八、设备包装、到货、安装和验收要求：</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1.乙方提供的设备及其外观、包装、运输应按国家规定或颁布标准执行，按标准保护措施进行包装。该包装应适应于远距离运输、防潮、防震、防锈和防野蛮装卸，以确保货物安全无损运抵指定地点。同时须满足产品彩页内容中所列全部规格、颜色、技术参数及功能要求和供方承诺的其它指标，并按要求提供相关证件，保证质量，否则由此引起的一切责任由乙方承担。</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2.乙方交付的货物应当完全符合本合同或者招投标文件所规定的货物、数量和规格要求，按照本合同或合同后附招标文件约定的时间、地点交货。乙方不得少交或多交货物。乙方提供的货物不符合后附招投标文件或本合同规定的，甲方有权拒收货物，由此引起的风险，由乙方承担。</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3.货物的到货验收包括：品牌、型号、规格、数量、外观质量及货物包装是否完好。货物和系统调试验收的标准：按行业通行标准、厂方出厂标准和乙方投标文件的承诺。</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5.设备安装、调试合格后交甲方验收，之前所有事宜由乙方承担。设备安装时，乙方必须事先与甲方设备科联系，设备到达甲方医院时，乙方代表必须同时到达，由乙方负责卸货并搬运至甲方指定的地点，双方需一起现场开箱验货，按招标技术参数要求和投标文件及其承诺内容，安装合格后，填写设备安装验收表，双方签字确认，使用科室办理入库手续，如发现货物短缺、质次、损坏和规格不符等问题，应作详细记录，由乙方立即无条件调换或补齐，否则引起的一切后果由乙方承担。</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6.乙方提供的设备必须能免费与我院现有的信息系统连接，若该设备涉及网络问题，甲方只负责提供一个网络接口，设备内部的局域网建设由乙方负责提供。如设备设有维修软件密码，乙方应保证无条件地为甲方永久免费打开。如设备软件升级，乙方负责免费软件升级，保证软件为在国内已取得注册证认证的最新、最高版本。</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7.设备安装、调试结束后，甲方对设备试用后进行验收（时间由甲、乙双方商定），乙方免费派工程师到达现场协助验收工作。</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8.工程类项目乙方必须定期向甲方汇报工程进度，涉及隐蔽工程，再对将被下一工序所封闭前，乙方须通知甲方现场进行查勘确认。</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9.如有设备具有远程维修诊断功能，乙方需在签订合同前告知甲方，并按甲方要求签订保密协议及承诺书后，乙方按照甲方要求负责免费为甲方安装，并在保证数据安全的前提下进行远程操作。</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九、售后服务要求：</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1．确保设备保修期内开机率为98%，如设备故障停机率超过2%（一年按365天计算，每年7天），每超过一天，保修期延长两周，或扣除相应设备尾款。</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2．如设备发生故障，乙方在接到甲方报修电话后2小时内予以响应，24小时到达现场维修，现场不能解决的提供同样型号的备用机，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3．保修期内乙方保证按照使用说明书要求提供上门保养服务，若使用说明书无特殊要求则提供每年2次的上门保养服务，并提供保养记录单，保修期外只收配件费，免收人工费。无论在保修期内还是保修期外，乙方必须上门维修，即由乙方派员到使用现场维修。乙方工程师来我院维修设备，必须事先与我院设备科取得联系，并做相应登记；在维修过程中需由甲方派员在场或甲方工程师共同完成维修工作，否则由此引起的一切责任由乙方负责。</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4．乙方提供免费系统软件升级和全套技术资料（包括详细电路图、操作说明书、维修手册、操作流程卡及光盘），如技术资料不全，甲方有权不支付货款。</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5.如乙方提供的设备设有维修软件密码，乙方保证无条件地为甲方免费打开，直至最底层维修模式。</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十、技术培训：</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在安装过程中或安装结束后，乙方工程师或有关人员有义务对甲方工程师和操作人员进行现场维修、保养、操作培训，解答甲方人员提出的问题。</w:t>
      </w:r>
      <w:r/>
    </w:p>
    <w:p>
      <w:pPr>
        <w:numPr>
          <w:ilvl w:val="0"/>
          <w:numId w:val="7"/>
        </w:numPr>
        <w:spacing w:line="360" w:lineRule="auto"/>
        <w:rPr>
          <w:rFonts w:hint="eastAsia" w:ascii="宋体" w:hAnsi="宋体" w:eastAsia="宋体"/>
          <w:bCs/>
          <w:position w:val="-10"/>
          <w:sz w:val="24"/>
        </w:rPr>
      </w:pPr>
      <w:r>
        <w:rPr>
          <w:rFonts w:hint="eastAsia" w:ascii="宋体" w:hAnsi="宋体" w:eastAsia="宋体"/>
          <w:bCs/>
          <w:position w:val="-10"/>
          <w:sz w:val="24"/>
        </w:rPr>
        <w:t xml:space="preserve">知识产权：</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   乙方应保证甲方在使用、接受本合同货物和服务或其任何一部分时不受第三方提出侵犯其专利权等知识产权的起诉。一旦出现侵权，由乙方负全部责任。</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十二、信息保密：</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甲乙双方对本合同及本合同相关的其它信息均负有保密义务。未经另一方事先书面同意，任何一方不得将该信息的任何部分向任何第三方或社会公众披露。本条款不受本合同有效期的限制。</w:t>
      </w:r>
      <w:r/>
    </w:p>
    <w:p>
      <w:pPr>
        <w:numPr>
          <w:ilvl w:val="0"/>
          <w:numId w:val="7"/>
        </w:numPr>
        <w:spacing w:line="360" w:lineRule="auto"/>
        <w:rPr>
          <w:rFonts w:hint="eastAsia" w:ascii="宋体" w:hAnsi="宋体" w:eastAsia="宋体"/>
          <w:bCs/>
          <w:position w:val="-10"/>
          <w:sz w:val="24"/>
        </w:rPr>
      </w:pPr>
      <w:r>
        <w:rPr>
          <w:rFonts w:hint="eastAsia" w:ascii="宋体" w:hAnsi="宋体" w:eastAsia="宋体"/>
          <w:bCs/>
          <w:position w:val="-10"/>
          <w:sz w:val="24"/>
        </w:rPr>
        <w:t xml:space="preserve">违约责任</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1.甲方无正当理由拒收货物、拒付货物款的，由甲方向乙方偿付合同总价的20%违约金。</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2.如乙方不能交付货物，视为根本违约，甲方有权解除合同，解除合同的通知自到达乙方时生效。乙方应向甲方支付合同总价20%的违约金。</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3.乙方所交付的货物品种、型号、规格、数量不符合合同规定的，甲方有权拒收。甲方拒收的，视为乙方未完成交货义务，且应向甲方支付货款总额20%的违约金。</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4. 如乙方逾期交货，则每日按货款总额0.1%扣除违约金，但该违约金总额不超过合同总金额的30%，违约金可以在每次应付款中直接扣除；如乙方逾期交货达两个月则视为乙方不能交付货物。</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5.在乙方承诺的或国家规定的质量保证期内（取两者中最长的期限），如经乙方两次维修或更换，货物仍不能达到合同约定的质量标准，甲方有权退货，乙方应退回全部货款，同时，乙方应向甲方支付合同总价20%的违约金，并还须赔偿甲方因此遭受的损失。</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6.乙方未按本合同的规定提供伴随服务/售后服务的，应按合同总价款的10%向甲方承担违约责任。</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7.因乙方的违约行为给甲方造成损失的（包括所有直接和间接损失），如果违约金不足以补偿该损失部分的，甲方有权继续要求乙方赔偿甲方所有实际损失，并保留追偿的权利。</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8.乙方对本合同所约定的设备价格负责，如果产生与设备价值、成本相关的任何法律纠纷由乙方承担，甲方不承担任何相关法律责任。</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十四、争议解决</w:t>
      </w:r>
      <w:r/>
    </w:p>
    <w:p>
      <w:pPr>
        <w:ind w:firstLine="480"/>
        <w:spacing w:line="360" w:lineRule="auto"/>
        <w:rPr>
          <w:rFonts w:hint="eastAsia" w:ascii="宋体" w:hAnsi="宋体" w:eastAsia="宋体" w:cs="宋体"/>
          <w:bCs/>
          <w:position w:val="-10"/>
          <w:sz w:val="24"/>
        </w:rPr>
      </w:pPr>
      <w:r>
        <w:rPr>
          <w:rFonts w:hint="eastAsia" w:ascii="宋体" w:hAnsi="宋体" w:eastAsia="宋体" w:cs="宋体"/>
          <w:bCs/>
          <w:position w:val="-10"/>
          <w:sz w:val="24"/>
          <w:szCs w:val="24"/>
        </w:rPr>
        <w:t xml:space="preserve">1.因货物的质量问题发生争议的，甲方可以邀请国家认可的质量检测机构对货物质量进行鉴定。货物符合标准的，鉴定费由甲方承担；货物不符合质量标准的，鉴定费由乙方承担。</w:t>
      </w:r>
      <w:r/>
    </w:p>
    <w:p>
      <w:pPr>
        <w:ind w:firstLine="480"/>
        <w:spacing w:line="360" w:lineRule="auto"/>
        <w:rPr>
          <w:rFonts w:hint="eastAsia" w:ascii="宋体" w:hAnsi="宋体" w:eastAsia="宋体"/>
          <w:bCs/>
          <w:position w:val="-10"/>
          <w:sz w:val="24"/>
        </w:rPr>
      </w:pPr>
      <w:r>
        <w:rPr>
          <w:rFonts w:hint="eastAsia" w:ascii="宋体" w:hAnsi="宋体" w:eastAsia="宋体" w:cs="宋体"/>
          <w:bCs/>
          <w:position w:val="-10"/>
          <w:sz w:val="24"/>
          <w:szCs w:val="24"/>
        </w:rPr>
        <w:t xml:space="preserve">2.</w:t>
      </w:r>
      <w:r>
        <w:rPr>
          <w:rFonts w:hint="eastAsia" w:ascii="宋体" w:hAnsi="宋体" w:eastAsia="宋体"/>
          <w:bCs/>
          <w:position w:val="-10"/>
          <w:sz w:val="24"/>
        </w:rPr>
        <w:t xml:space="preserve">本合同如产生争议，甲、乙双方协商解决，协商不成将争议提交甲方所在地法院裁判。</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十五、</w:t>
      </w:r>
      <w:r>
        <w:rPr>
          <w:rFonts w:ascii="宋体" w:hAnsi="宋体" w:eastAsia="宋体"/>
          <w:bCs/>
          <w:position w:val="-10"/>
          <w:sz w:val="24"/>
        </w:rPr>
        <w:t xml:space="preserve">合同解除与终止</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1.</w:t>
      </w:r>
      <w:r>
        <w:rPr>
          <w:rFonts w:ascii="宋体" w:hAnsi="宋体" w:eastAsia="宋体"/>
          <w:bCs/>
          <w:position w:val="-10"/>
          <w:sz w:val="24"/>
        </w:rPr>
        <w:t xml:space="preserve">本合同签订后，任何一方无正当理由均不得单方解除合同，否则应按照本合同总价款的</w:t>
      </w:r>
      <w:r>
        <w:rPr>
          <w:rFonts w:hint="eastAsia" w:ascii="宋体" w:hAnsi="宋体" w:eastAsia="宋体"/>
          <w:bCs/>
          <w:position w:val="-10"/>
          <w:sz w:val="24"/>
        </w:rPr>
        <w:t xml:space="preserve">2</w:t>
      </w:r>
      <w:r>
        <w:rPr>
          <w:rFonts w:ascii="宋体" w:hAnsi="宋体" w:eastAsia="宋体"/>
          <w:bCs/>
          <w:position w:val="-10"/>
          <w:sz w:val="24"/>
        </w:rPr>
        <w:t xml:space="preserve">0%承担违约责任。</w:t>
      </w:r>
      <w:r/>
    </w:p>
    <w:p>
      <w:pPr>
        <w:ind w:firstLine="480"/>
        <w:spacing w:line="360" w:lineRule="auto"/>
        <w:rPr>
          <w:rFonts w:hint="eastAsia" w:ascii="宋体" w:hAnsi="宋体" w:eastAsia="宋体"/>
          <w:bCs/>
          <w:position w:val="-10"/>
          <w:sz w:val="24"/>
        </w:rPr>
      </w:pPr>
      <w:r>
        <w:rPr>
          <w:rFonts w:ascii="宋体" w:hAnsi="宋体" w:eastAsia="宋体"/>
          <w:bCs/>
          <w:position w:val="-10"/>
          <w:sz w:val="24"/>
        </w:rPr>
        <w:t xml:space="preserve">2</w:t>
      </w:r>
      <w:r>
        <w:rPr>
          <w:rFonts w:hint="eastAsia" w:ascii="宋体" w:hAnsi="宋体" w:eastAsia="宋体"/>
          <w:bCs/>
          <w:position w:val="-10"/>
          <w:sz w:val="24"/>
        </w:rPr>
        <w:t xml:space="preserve">.</w:t>
      </w:r>
      <w:r>
        <w:rPr>
          <w:rFonts w:ascii="宋体" w:hAnsi="宋体" w:eastAsia="宋体"/>
          <w:bCs/>
          <w:position w:val="-10"/>
          <w:sz w:val="24"/>
        </w:rPr>
        <w:t xml:space="preserve">一方违约，经他方催告并在合理期限内仍未履行或整改到位的，守约方有权单方解除合同，并要求违约方按照本合同总价款的</w:t>
      </w:r>
      <w:r>
        <w:rPr>
          <w:rFonts w:hint="eastAsia" w:ascii="宋体" w:hAnsi="宋体" w:eastAsia="宋体"/>
          <w:bCs/>
          <w:position w:val="-10"/>
          <w:sz w:val="24"/>
        </w:rPr>
        <w:t xml:space="preserve">20</w:t>
      </w:r>
      <w:r>
        <w:rPr>
          <w:rFonts w:ascii="宋体" w:hAnsi="宋体" w:eastAsia="宋体"/>
          <w:bCs/>
          <w:position w:val="-10"/>
          <w:sz w:val="24"/>
        </w:rPr>
        <w:t xml:space="preserve">%承担违约责任。合同解除文件自实际送达之日起生效，如发生拒收，则自合同解除文件向本合同中记载的甲乙双方联系地址发出之日起生效。</w:t>
      </w:r>
      <w:r/>
    </w:p>
    <w:p>
      <w:pPr>
        <w:ind w:firstLine="480"/>
        <w:spacing w:line="360" w:lineRule="auto"/>
        <w:rPr>
          <w:rFonts w:hint="eastAsia" w:ascii="宋体" w:hAnsi="宋体" w:eastAsia="宋体"/>
          <w:bCs/>
          <w:position w:val="-10"/>
          <w:sz w:val="24"/>
        </w:rPr>
      </w:pPr>
      <w:r>
        <w:rPr>
          <w:rFonts w:ascii="宋体" w:hAnsi="宋体" w:eastAsia="宋体"/>
          <w:bCs/>
          <w:position w:val="-10"/>
          <w:sz w:val="24"/>
        </w:rPr>
        <w:t xml:space="preserve">3</w:t>
      </w:r>
      <w:r>
        <w:rPr>
          <w:rFonts w:hint="eastAsia" w:ascii="宋体" w:hAnsi="宋体" w:eastAsia="宋体"/>
          <w:bCs/>
          <w:position w:val="-10"/>
          <w:sz w:val="24"/>
        </w:rPr>
        <w:t xml:space="preserve">.</w:t>
      </w:r>
      <w:r>
        <w:rPr>
          <w:rFonts w:ascii="宋体" w:hAnsi="宋体" w:eastAsia="宋体"/>
          <w:bCs/>
          <w:position w:val="-10"/>
          <w:sz w:val="24"/>
        </w:rPr>
        <w:t xml:space="preserve">任何一方由于不能预料、无法控制且不能避免和克服的</w:t>
      </w:r>
      <w:r>
        <w:rPr>
          <w:rFonts w:hint="eastAsia" w:ascii="宋体" w:hAnsi="宋体" w:eastAsia="宋体"/>
          <w:bCs/>
          <w:position w:val="-10"/>
          <w:sz w:val="24"/>
        </w:rPr>
        <w:t xml:space="preserve">不可抗力</w:t>
      </w:r>
      <w:r>
        <w:rPr>
          <w:rFonts w:ascii="宋体" w:hAnsi="宋体" w:eastAsia="宋体"/>
          <w:bCs/>
          <w:position w:val="-10"/>
          <w:sz w:val="24"/>
        </w:rPr>
        <w:t xml:space="preserve">事件而导致不能或暂时不能履行全部或部分合同义务的，</w:t>
      </w:r>
      <w:r>
        <w:rPr>
          <w:rFonts w:hint="eastAsia" w:ascii="宋体" w:hAnsi="宋体" w:eastAsia="宋体"/>
          <w:bCs/>
          <w:position w:val="-10"/>
          <w:sz w:val="24"/>
        </w:rPr>
        <w:t xml:space="preserve">可</w:t>
      </w:r>
      <w:r>
        <w:rPr>
          <w:rFonts w:ascii="宋体" w:hAnsi="宋体" w:eastAsia="宋体"/>
          <w:bCs/>
          <w:position w:val="-10"/>
          <w:sz w:val="24"/>
        </w:rPr>
        <w:t xml:space="preserve">不负责任。但受不可抗力影响的一方，应尽快地将所发生的事件通知对方，并应在事件发生后15天内将有关机构出具的不可抗力事件的证明寄交对方。</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十六、合同签署地点：靖江市中医院。</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十七、该设备招标文件、商务谈判文件、承诺书、合同附件、购销廉洁要求、诚信承诺书作为本合同不可分割的部分，与本合同具有同等的法律效力。本合同一式三份，甲方两份，乙方一份，自签订之日起生效。</w:t>
      </w:r>
      <w:r/>
    </w:p>
    <w:p>
      <w:pPr>
        <w:spacing w:line="360" w:lineRule="auto"/>
        <w:rPr>
          <w:rFonts w:hint="eastAsia" w:ascii="宋体" w:hAnsi="宋体" w:eastAsia="宋体"/>
          <w:bCs/>
          <w:position w:val="-10"/>
          <w:sz w:val="24"/>
          <w:u w:val="single"/>
        </w:rPr>
      </w:pPr>
      <w:r>
        <w:rPr>
          <w:rFonts w:hint="eastAsia" w:ascii="宋体" w:hAnsi="宋体" w:eastAsia="宋体"/>
          <w:bCs/>
          <w:position w:val="-10"/>
          <w:sz w:val="24"/>
        </w:rPr>
        <w:t xml:space="preserve">十八、其它事项：</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w:t>
      </w:r>
      <w:r/>
    </w:p>
    <w:p>
      <w:pPr>
        <w:spacing w:line="360" w:lineRule="auto"/>
        <w:rPr>
          <w:rFonts w:hint="eastAsia" w:ascii="宋体" w:hAnsi="宋体" w:eastAsia="宋体"/>
          <w:bCs/>
          <w:position w:val="-10"/>
          <w:sz w:val="24"/>
          <w:u w:val="single"/>
        </w:rPr>
      </w:pPr>
      <w:r>
        <w:rPr>
          <w:rFonts w:hint="eastAsia" w:ascii="宋体" w:hAnsi="宋体" w:eastAsia="宋体"/>
          <w:bCs/>
          <w:position w:val="-10"/>
          <w:sz w:val="24"/>
        </w:rPr>
        <w:t xml:space="preserve">甲方：靖江市中医院            乙方：</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　</w:t>
      </w:r>
      <w:r/>
    </w:p>
    <w:p>
      <w:pPr>
        <w:spacing w:before="120" w:line="360" w:lineRule="auto"/>
        <w:rPr>
          <w:rFonts w:hint="eastAsia" w:ascii="宋体" w:hAnsi="宋体" w:eastAsia="宋体"/>
          <w:bCs/>
          <w:position w:val="-10"/>
          <w:sz w:val="24"/>
        </w:rPr>
      </w:pPr>
      <w:r>
        <w:rPr>
          <w:rFonts w:hint="eastAsia" w:ascii="宋体" w:hAnsi="宋体" w:eastAsia="宋体"/>
          <w:bCs/>
          <w:position w:val="-10"/>
          <w:sz w:val="24"/>
        </w:rPr>
        <w:t xml:space="preserve">甲方（签章）：                          乙方（签章）：</w:t>
      </w:r>
      <w:r/>
    </w:p>
    <w:p>
      <w:pPr>
        <w:spacing w:before="120" w:line="360" w:lineRule="auto"/>
        <w:rPr>
          <w:rFonts w:hint="eastAsia" w:ascii="宋体" w:hAnsi="宋体" w:eastAsia="宋体"/>
          <w:bCs/>
          <w:position w:val="-10"/>
          <w:sz w:val="24"/>
          <w:u w:val="single"/>
        </w:rPr>
      </w:pPr>
      <w:r>
        <w:rPr>
          <w:rFonts w:hint="eastAsia" w:ascii="宋体" w:hAnsi="宋体" w:eastAsia="宋体"/>
          <w:bCs/>
          <w:position w:val="-10"/>
          <w:sz w:val="24"/>
          <w:u w:val="single"/>
        </w:rPr>
      </w:r>
      <w:r/>
    </w:p>
    <w:p>
      <w:pPr>
        <w:ind w:firstLine="240"/>
        <w:spacing w:line="360" w:lineRule="auto"/>
        <w:rPr>
          <w:rFonts w:hint="eastAsia" w:ascii="宋体" w:hAnsi="宋体" w:eastAsia="宋体" w:cs="宋体"/>
          <w:bCs/>
          <w:sz w:val="21"/>
          <w:szCs w:val="24"/>
        </w:rPr>
      </w:pPr>
      <w:r>
        <w:rPr>
          <w:rFonts w:hint="eastAsia" w:ascii="宋体" w:hAnsi="宋体" w:eastAsia="宋体"/>
          <w:bCs/>
          <w:position w:val="-10"/>
          <w:sz w:val="24"/>
        </w:rPr>
        <w:t xml:space="preserve">年  月   日                             年   月    日</w:t>
      </w:r>
      <w:r/>
    </w:p>
    <w:p>
      <w:pPr>
        <w:rPr>
          <w:rFonts w:hint="eastAsia" w:ascii="宋体" w:hAnsi="宋体" w:eastAsia="宋体" w:cs="仿宋"/>
          <w:sz w:val="21"/>
          <w:szCs w:val="21"/>
        </w:rPr>
      </w:pPr>
      <w:r>
        <w:rPr>
          <w:rFonts w:hint="eastAsia" w:ascii="宋体" w:hAnsi="宋体" w:eastAsia="宋体" w:cs="仿宋"/>
          <w:sz w:val="21"/>
          <w:szCs w:val="21"/>
        </w:rPr>
      </w:r>
      <w:r/>
    </w:p>
    <w:p>
      <w:pPr>
        <w:pStyle w:val="846"/>
        <w:rPr>
          <w:rFonts w:hint="eastAsia" w:ascii="宋体" w:hAnsi="宋体" w:eastAsia="宋体" w:cs="仿宋"/>
          <w:b/>
          <w:sz w:val="30"/>
          <w:szCs w:val="30"/>
        </w:rPr>
      </w:pPr>
      <w:r>
        <w:rPr>
          <w:rFonts w:hint="eastAsia" w:ascii="宋体" w:hAnsi="宋体" w:eastAsia="宋体" w:cs="仿宋"/>
          <w:b/>
          <w:sz w:val="30"/>
          <w:szCs w:val="30"/>
        </w:rPr>
      </w:r>
      <w:r/>
    </w:p>
    <w:p>
      <w:pPr>
        <w:rPr>
          <w:rFonts w:hint="eastAsia" w:cs="仿宋" w:asciiTheme="minorEastAsia" w:hAnsiTheme="minorEastAsia" w:eastAsiaTheme="minorEastAsia"/>
          <w:b/>
          <w:sz w:val="30"/>
          <w:szCs w:val="30"/>
        </w:rPr>
      </w:pPr>
      <w:r>
        <w:rPr>
          <w:rFonts w:hint="eastAsia" w:cs="仿宋" w:asciiTheme="minorEastAsia" w:hAnsiTheme="minorEastAsia" w:eastAsiaTheme="minorEastAsia"/>
          <w:b/>
          <w:sz w:val="30"/>
          <w:szCs w:val="30"/>
        </w:rPr>
      </w:r>
      <w:r/>
    </w:p>
    <w:p>
      <w:pPr>
        <w:pStyle w:val="846"/>
        <w:rPr>
          <w:rFonts w:hint="eastAsia" w:cs="仿宋" w:asciiTheme="minorEastAsia" w:hAnsiTheme="minorEastAsia" w:eastAsiaTheme="minorEastAsia"/>
          <w:b/>
          <w:sz w:val="30"/>
          <w:szCs w:val="30"/>
        </w:rPr>
      </w:pPr>
      <w:r>
        <w:rPr>
          <w:rFonts w:hint="eastAsia" w:cs="仿宋" w:asciiTheme="minorEastAsia" w:hAnsiTheme="minorEastAsia" w:eastAsiaTheme="minorEastAsia"/>
          <w:b/>
          <w:sz w:val="30"/>
          <w:szCs w:val="30"/>
        </w:rPr>
      </w:r>
      <w:r/>
    </w:p>
    <w:p>
      <w:pPr>
        <w:rPr>
          <w:rFonts w:hint="eastAsia" w:cs="仿宋" w:asciiTheme="minorEastAsia" w:hAnsiTheme="minorEastAsia" w:eastAsiaTheme="minorEastAsia"/>
          <w:b/>
          <w:sz w:val="30"/>
          <w:szCs w:val="30"/>
        </w:rPr>
      </w:pPr>
      <w:r>
        <w:rPr>
          <w:rFonts w:hint="eastAsia" w:cs="仿宋" w:asciiTheme="minorEastAsia" w:hAnsiTheme="minorEastAsia" w:eastAsiaTheme="minorEastAsia"/>
          <w:b/>
          <w:sz w:val="30"/>
          <w:szCs w:val="30"/>
        </w:rPr>
      </w:r>
      <w:r/>
    </w:p>
    <w:p>
      <w:pPr>
        <w:rPr>
          <w:rFonts w:hint="eastAsia" w:cs="仿宋" w:asciiTheme="minorEastAsia" w:hAnsiTheme="minorEastAsia" w:eastAsiaTheme="minorEastAsia"/>
          <w:b/>
          <w:sz w:val="30"/>
          <w:szCs w:val="30"/>
        </w:rPr>
      </w:pPr>
      <w:r>
        <w:rPr>
          <w:rFonts w:hint="eastAsia" w:cs="仿宋" w:asciiTheme="minorEastAsia" w:hAnsiTheme="minorEastAsia" w:eastAsiaTheme="minorEastAsia"/>
          <w:b/>
          <w:sz w:val="30"/>
          <w:szCs w:val="30"/>
        </w:rPr>
      </w:r>
      <w:r/>
    </w:p>
    <w:p>
      <w:pPr>
        <w:jc w:val="center"/>
        <w:keepNext/>
        <w:rPr>
          <w:rFonts w:eastAsia="黑体"/>
          <w:bCs/>
          <w:sz w:val="44"/>
          <w:szCs w:val="28"/>
        </w:rPr>
        <w:outlineLvl w:val="0"/>
      </w:pPr>
      <w:r>
        <w:rPr>
          <w:rFonts w:hint="eastAsia" w:eastAsia="黑体"/>
          <w:bCs/>
          <w:sz w:val="44"/>
          <w:szCs w:val="28"/>
        </w:rPr>
        <w:t xml:space="preserve">第六章  投标文件格式 </w:t>
      </w:r>
      <w:r/>
    </w:p>
    <w:p>
      <w:pPr>
        <w:jc w:val="center"/>
        <w:rPr>
          <w:rFonts w:eastAsia="宋体"/>
          <w:b/>
          <w:sz w:val="72"/>
          <w:szCs w:val="21"/>
        </w:rPr>
      </w:pPr>
      <w:r/>
      <w:bookmarkStart w:id="47" w:name="_Hlt26955039"/>
      <w:r/>
      <w:bookmarkEnd w:id="47"/>
      <w:r/>
      <w:bookmarkStart w:id="48" w:name="_Hlt26671244"/>
      <w:r/>
      <w:bookmarkEnd w:id="48"/>
      <w:r/>
      <w:bookmarkStart w:id="49" w:name="_Toc120614282"/>
      <w:r/>
      <w:bookmarkStart w:id="50" w:name="_Toc49090576"/>
      <w:r/>
      <w:bookmarkStart w:id="51" w:name="_Toc26554094"/>
      <w:r/>
      <w:r/>
    </w:p>
    <w:p>
      <w:pPr>
        <w:jc w:val="center"/>
        <w:rPr>
          <w:rFonts w:eastAsia="宋体"/>
          <w:b/>
          <w:sz w:val="72"/>
          <w:szCs w:val="21"/>
        </w:rPr>
      </w:pPr>
      <w:r>
        <w:rPr>
          <w:rFonts w:hint="eastAsia" w:eastAsia="宋体"/>
          <w:b/>
          <w:sz w:val="72"/>
          <w:szCs w:val="21"/>
        </w:rPr>
        <w:t xml:space="preserve">投  标  文  件</w:t>
      </w:r>
      <w:r/>
    </w:p>
    <w:p>
      <w:pPr>
        <w:jc w:val="center"/>
        <w:rPr>
          <w:rFonts w:eastAsia="宋体"/>
          <w:b/>
          <w:sz w:val="72"/>
          <w:szCs w:val="21"/>
        </w:rPr>
      </w:pPr>
      <w:r>
        <w:rPr>
          <w:rFonts w:eastAsia="宋体"/>
          <w:b/>
          <w:sz w:val="72"/>
          <w:szCs w:val="21"/>
        </w:rPr>
      </w:r>
      <w:r/>
    </w:p>
    <w:p>
      <w:pPr>
        <w:jc w:val="center"/>
        <w:rPr>
          <w:rFonts w:eastAsia="宋体"/>
          <w:b/>
          <w:sz w:val="72"/>
          <w:szCs w:val="21"/>
        </w:rPr>
      </w:pPr>
      <w:r>
        <w:rPr>
          <w:rFonts w:eastAsia="宋体"/>
          <w:b/>
          <w:sz w:val="72"/>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ind w:firstLine="1084"/>
        <w:rPr>
          <w:rFonts w:eastAsia="宋体"/>
          <w:b/>
          <w:sz w:val="36"/>
          <w:szCs w:val="21"/>
        </w:rPr>
      </w:pPr>
      <w:r>
        <w:rPr>
          <w:rFonts w:hint="eastAsia" w:eastAsia="宋体"/>
          <w:b/>
          <w:sz w:val="36"/>
          <w:szCs w:val="21"/>
        </w:rPr>
        <w:t xml:space="preserve">项 目 名 称：</w:t>
      </w:r>
      <w:r>
        <w:rPr>
          <w:rFonts w:hint="eastAsia" w:eastAsia="宋体"/>
          <w:b/>
          <w:sz w:val="36"/>
          <w:szCs w:val="21"/>
          <w:u w:val="single"/>
        </w:rPr>
        <w:t xml:space="preserve">               </w:t>
      </w:r>
      <w:r/>
    </w:p>
    <w:p>
      <w:pPr>
        <w:ind w:firstLine="1084"/>
        <w:rPr>
          <w:rFonts w:eastAsia="宋体"/>
          <w:b/>
          <w:sz w:val="36"/>
          <w:szCs w:val="21"/>
          <w:u w:val="single"/>
        </w:rPr>
      </w:pPr>
      <w:r>
        <w:rPr>
          <w:rFonts w:hint="eastAsia" w:eastAsia="宋体"/>
          <w:b/>
          <w:sz w:val="36"/>
          <w:szCs w:val="21"/>
        </w:rPr>
        <w:t xml:space="preserve">项 目 编 号：</w:t>
      </w:r>
      <w:r>
        <w:rPr>
          <w:rFonts w:hint="eastAsia" w:eastAsia="宋体"/>
          <w:b/>
          <w:sz w:val="36"/>
          <w:szCs w:val="21"/>
          <w:u w:val="single"/>
        </w:rPr>
        <w:t xml:space="preserve">               </w:t>
      </w:r>
      <w:r/>
    </w:p>
    <w:p>
      <w:pPr>
        <w:rPr>
          <w:rFonts w:eastAsia="宋体"/>
          <w:b/>
          <w:sz w:val="36"/>
          <w:szCs w:val="21"/>
          <w:u w:val="single"/>
        </w:rPr>
      </w:pPr>
      <w:r>
        <w:rPr>
          <w:rFonts w:hint="eastAsia" w:eastAsia="宋体"/>
          <w:b/>
          <w:sz w:val="36"/>
          <w:szCs w:val="21"/>
        </w:rPr>
        <w:t xml:space="preserve">      投标人名称 ：</w:t>
      </w:r>
      <w:r>
        <w:rPr>
          <w:rFonts w:hint="eastAsia" w:eastAsia="宋体"/>
          <w:b/>
          <w:sz w:val="36"/>
          <w:szCs w:val="21"/>
          <w:u w:val="single"/>
        </w:rPr>
        <w:t xml:space="preserve">（加盖CA电子公章）</w:t>
      </w:r>
      <w:r/>
    </w:p>
    <w:p>
      <w:pPr>
        <w:rPr>
          <w:rFonts w:eastAsia="宋体"/>
          <w:b/>
          <w:sz w:val="36"/>
          <w:szCs w:val="21"/>
          <w:u w:val="single"/>
        </w:rPr>
      </w:pPr>
      <w:r>
        <w:rPr>
          <w:rFonts w:hint="eastAsia" w:eastAsia="宋体"/>
          <w:b/>
          <w:sz w:val="36"/>
          <w:szCs w:val="21"/>
        </w:rPr>
        <w:t xml:space="preserve">      日      期 ：</w:t>
      </w:r>
      <w:r>
        <w:rPr>
          <w:rFonts w:hint="eastAsia" w:eastAsia="宋体"/>
          <w:b/>
          <w:sz w:val="36"/>
          <w:szCs w:val="21"/>
          <w:u w:val="single"/>
        </w:rPr>
        <w:t xml:space="preserve">               </w:t>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bCs/>
          <w:sz w:val="32"/>
          <w:szCs w:val="32"/>
        </w:rPr>
      </w:pPr>
      <w:r>
        <w:rPr>
          <w:rFonts w:hint="eastAsia" w:eastAsia="宋体"/>
          <w:b/>
          <w:bCs/>
          <w:sz w:val="32"/>
          <w:szCs w:val="32"/>
        </w:rPr>
        <w:t xml:space="preserve">投标文件目录</w:t>
      </w:r>
      <w:r/>
    </w:p>
    <w:p>
      <w:pPr>
        <w:jc w:val="center"/>
        <w:spacing w:line="440" w:lineRule="exact"/>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16"/>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400" w:lineRule="exact"/>
        <w:tabs>
          <w:tab w:val="right" w:pos="8720" w:leader="dot"/>
        </w:tabs>
        <w:rPr>
          <w:rFonts w:eastAsia="宋体"/>
          <w:sz w:val="24"/>
          <w:szCs w:val="24"/>
        </w:rPr>
      </w:pPr>
      <w:r>
        <w:rPr>
          <w:rFonts w:eastAsia="宋体"/>
          <w:sz w:val="24"/>
          <w:szCs w:val="24"/>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jc w:val="left"/>
        <w:widowControl/>
        <w:rPr>
          <w:rFonts w:eastAsia="Times New Roman"/>
          <w:sz w:val="24"/>
          <w:szCs w:val="24"/>
        </w:rPr>
      </w:pPr>
      <w:r/>
      <w:bookmarkStart w:id="52" w:name="_Toc23838"/>
      <w:r/>
      <w:r/>
    </w:p>
    <w:p>
      <w:pPr>
        <w:jc w:val="left"/>
        <w:widowControl/>
        <w:rPr>
          <w:rFonts w:eastAsia="Times New Roman"/>
          <w:sz w:val="24"/>
          <w:szCs w:val="24"/>
        </w:rPr>
      </w:pPr>
      <w:r>
        <w:rPr>
          <w:rFonts w:eastAsia="Times New Roman"/>
          <w:sz w:val="24"/>
          <w:szCs w:val="24"/>
        </w:rPr>
      </w:r>
      <w:r/>
    </w:p>
    <w:p>
      <w:pPr>
        <w:jc w:val="left"/>
        <w:widowControl/>
        <w:rPr>
          <w:rFonts w:eastAsia="Times New Roman"/>
          <w:sz w:val="24"/>
          <w:szCs w:val="24"/>
        </w:rPr>
      </w:pPr>
      <w:r>
        <w:rPr>
          <w:rFonts w:eastAsia="Times New Roman"/>
          <w:sz w:val="24"/>
          <w:szCs w:val="24"/>
        </w:rPr>
      </w:r>
      <w:r/>
    </w:p>
    <w:p>
      <w:pPr>
        <w:jc w:val="left"/>
        <w:widowControl/>
        <w:rPr>
          <w:rFonts w:eastAsia="Times New Roman"/>
          <w:sz w:val="24"/>
          <w:szCs w:val="24"/>
        </w:rPr>
      </w:pPr>
      <w:r>
        <w:rPr>
          <w:rFonts w:eastAsia="Times New Roman"/>
          <w:sz w:val="24"/>
          <w:szCs w:val="24"/>
        </w:rPr>
        <w:br w:type="page" w:clear="all"/>
      </w:r>
      <w:bookmarkEnd w:id="52"/>
      <w:r/>
      <w:r/>
    </w:p>
    <w:p>
      <w:pPr>
        <w:rPr>
          <w:rFonts w:hint="eastAsia" w:ascii="宋体" w:hAnsi="宋体" w:eastAsia="宋体"/>
          <w:b/>
          <w:sz w:val="32"/>
          <w:szCs w:val="32"/>
        </w:rPr>
      </w:pPr>
      <w:r>
        <w:rPr>
          <w:rFonts w:hint="eastAsia" w:ascii="宋体" w:hAnsi="宋体" w:eastAsia="宋体"/>
          <w:b/>
          <w:sz w:val="32"/>
          <w:szCs w:val="32"/>
        </w:rPr>
        <w:t xml:space="preserve">一、</w:t>
      </w:r>
      <w:bookmarkEnd w:id="49"/>
      <w:r/>
      <w:bookmarkEnd w:id="50"/>
      <w:r/>
      <w:bookmarkEnd w:id="51"/>
      <w:r/>
      <w:bookmarkStart w:id="53" w:name="_Toc120614284"/>
      <w:r>
        <w:rPr>
          <w:rFonts w:hint="eastAsia" w:ascii="宋体" w:hAnsi="宋体" w:eastAsia="宋体"/>
          <w:b/>
          <w:sz w:val="32"/>
          <w:szCs w:val="32"/>
        </w:rPr>
        <w:t xml:space="preserve">投标声明及承诺函</w:t>
      </w:r>
      <w:r/>
    </w:p>
    <w:p>
      <w:pPr>
        <w:jc w:val="left"/>
        <w:spacing w:line="500" w:lineRule="exact"/>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500" w:lineRule="exact"/>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highlight w:val="white"/>
        </w:rPr>
        <w:t xml:space="preserve">具备《中华人民共和国政府采购法》第二十二条第一款规定的6项条件；</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r>
      <w:r/>
    </w:p>
    <w:p>
      <w:pPr>
        <w:jc w:val="left"/>
        <w:spacing w:line="500" w:lineRule="exact"/>
        <w:rPr>
          <w:rFonts w:hint="eastAsia" w:ascii="宋体" w:hAnsi="宋体" w:eastAsia="宋体"/>
          <w:sz w:val="24"/>
          <w:szCs w:val="24"/>
        </w:rPr>
      </w:pPr>
      <w:r>
        <w:rPr>
          <w:rFonts w:hint="eastAsia" w:ascii="宋体" w:hAnsi="宋体" w:eastAsia="宋体"/>
          <w:sz w:val="24"/>
          <w:szCs w:val="24"/>
        </w:rPr>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rPr>
          <w:rFonts w:hint="eastAsia" w:ascii="宋体" w:hAnsi="宋体" w:eastAsia="宋体"/>
          <w:sz w:val="21"/>
          <w:szCs w:val="22"/>
        </w:rPr>
      </w:pPr>
      <w:r>
        <w:rPr>
          <w:rFonts w:hint="eastAsia" w:ascii="宋体" w:hAnsi="宋体" w:eastAsia="宋体"/>
          <w:sz w:val="24"/>
          <w:szCs w:val="24"/>
        </w:rPr>
        <w:t xml:space="preserve">日期：    年    月   日</w:t>
      </w:r>
      <w:r/>
    </w:p>
    <w:p>
      <w:pPr>
        <w:jc w:val="left"/>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rPr>
          <w:rFonts w:hint="eastAsia" w:ascii="宋体" w:hAnsi="宋体" w:eastAsia="宋体"/>
          <w:sz w:val="44"/>
          <w:szCs w:val="44"/>
        </w:rPr>
      </w:pPr>
      <w:r>
        <w:rPr>
          <w:rFonts w:hint="eastAsia" w:ascii="宋体" w:hAnsi="宋体" w:eastAsia="宋体"/>
          <w:sz w:val="44"/>
          <w:szCs w:val="44"/>
        </w:rPr>
        <w:t xml:space="preserve">投标人基本情况表</w:t>
      </w:r>
      <w:r/>
    </w:p>
    <w:tbl>
      <w:tblPr>
        <w:tblStyle w:val="8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560" w:lineRule="exact"/>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500" w:lineRule="exact"/>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rPr>
          <w:rFonts w:hint="eastAsia" w:ascii="宋体" w:hAnsi="宋体" w:eastAsia="宋体"/>
          <w:i/>
          <w:sz w:val="32"/>
          <w:szCs w:val="32"/>
          <w:u w:val="single"/>
        </w:rPr>
      </w:pPr>
      <w:r>
        <w:rPr>
          <w:rFonts w:hint="eastAsia" w:ascii="宋体" w:hAnsi="宋体" w:eastAsia="宋体"/>
          <w:i/>
          <w:sz w:val="32"/>
          <w:szCs w:val="32"/>
          <w:u w:val="single"/>
        </w:rPr>
      </w:r>
      <w:r/>
    </w:p>
    <w:p>
      <w:pPr>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460" w:lineRule="exact"/>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460" w:lineRule="exact"/>
        <w:rPr>
          <w:rFonts w:hint="eastAsia" w:ascii="宋体" w:hAnsi="宋体" w:eastAsia="宋体"/>
          <w:bCs/>
          <w:sz w:val="24"/>
          <w:szCs w:val="21"/>
        </w:rPr>
      </w:pPr>
      <w:r>
        <w:rPr>
          <w:rFonts w:hint="eastAsia" w:ascii="宋体" w:hAnsi="宋体" w:eastAsia="宋体"/>
          <w:bCs/>
          <w:sz w:val="24"/>
          <w:szCs w:val="21"/>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560" w:lineRule="exact"/>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560" w:lineRule="exact"/>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pStyle w:val="81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1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1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1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1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16"/>
        <w:rPr>
          <w:rFonts w:hint="eastAsia" w:ascii="宋体" w:hAnsi="宋体" w:eastAsia="宋体"/>
        </w:rPr>
      </w:pPr>
      <w:r>
        <w:rPr>
          <w:rFonts w:hint="eastAsia" w:ascii="宋体" w:hAnsi="宋体" w:eastAsia="宋体"/>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54" w:name="_Hlt26955070"/>
      <w:r/>
      <w:bookmarkEnd w:id="54"/>
      <w:r/>
      <w:bookmarkStart w:id="55" w:name="_格式3__银行出具的资信证明"/>
      <w:r/>
      <w:bookmarkEnd w:id="55"/>
      <w:r/>
      <w:bookmarkStart w:id="56" w:name="_Hlt26671380"/>
      <w:r/>
      <w:bookmarkEnd w:id="56"/>
      <w:r>
        <w:rPr>
          <w:rFonts w:hint="eastAsia" w:ascii="宋体" w:hAnsi="宋体" w:eastAsia="宋体"/>
          <w:sz w:val="24"/>
          <w:szCs w:val="24"/>
          <w:u w:val="single"/>
        </w:rPr>
        <w:t xml:space="preserve">                                         </w:t>
      </w:r>
      <w:r/>
    </w:p>
    <w:p>
      <w:pPr>
        <w:ind w:firstLine="420"/>
        <w:rPr>
          <w:rFonts w:hint="eastAsia" w:ascii="宋体" w:hAnsi="宋体" w:eastAsia="宋体"/>
          <w:i/>
          <w:sz w:val="24"/>
          <w:szCs w:val="24"/>
          <w:u w:val="single"/>
        </w:rPr>
      </w:pPr>
      <w:r>
        <w:rPr>
          <w:rFonts w:hint="eastAsia" w:ascii="宋体" w:hAnsi="宋体" w:eastAsia="宋体"/>
          <w:i/>
          <w:sz w:val="24"/>
          <w:szCs w:val="24"/>
          <w:u w:val="single"/>
        </w:rPr>
      </w:r>
      <w:r/>
    </w:p>
    <w:p>
      <w:pPr>
        <w:rPr>
          <w:rFonts w:hint="eastAsia" w:ascii="宋体" w:hAnsi="宋体" w:eastAsia="宋体"/>
          <w:sz w:val="20"/>
          <w:szCs w:val="21"/>
        </w:rPr>
      </w:pPr>
      <w:r>
        <w:rPr>
          <w:rFonts w:hint="eastAsia" w:ascii="宋体" w:hAnsi="宋体" w:eastAsia="宋体"/>
          <w:sz w:val="20"/>
          <w:szCs w:val="21"/>
        </w:rPr>
      </w:r>
      <w:r/>
    </w:p>
    <w:p>
      <w:pPr>
        <w:spacing w:line="460" w:lineRule="exact"/>
        <w:rPr>
          <w:rFonts w:hint="eastAsia" w:ascii="宋体" w:hAnsi="宋体" w:eastAsia="宋体"/>
          <w:bCs/>
          <w:sz w:val="24"/>
          <w:szCs w:val="21"/>
        </w:rPr>
      </w:pPr>
      <w:r>
        <w:rPr>
          <w:rFonts w:hint="eastAsia" w:ascii="宋体" w:hAnsi="宋体" w:eastAsia="宋体"/>
          <w:bCs/>
          <w:sz w:val="24"/>
          <w:szCs w:val="21"/>
        </w:rPr>
      </w:r>
      <w:r/>
    </w:p>
    <w:p>
      <w:pPr>
        <w:jc w:val="center"/>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rPr>
          <w:rFonts w:hint="eastAsia" w:ascii="宋体" w:hAnsi="宋体" w:eastAsia="宋体"/>
          <w:sz w:val="24"/>
        </w:rPr>
      </w:pPr>
      <w:r>
        <w:rPr>
          <w:rFonts w:hint="eastAsia" w:ascii="宋体" w:hAnsi="宋体" w:eastAsia="宋体"/>
          <w:sz w:val="24"/>
        </w:rPr>
      </w:r>
      <w:r/>
    </w:p>
    <w:p>
      <w:pPr>
        <w:ind w:firstLine="480"/>
        <w:rPr>
          <w:rFonts w:hint="eastAsia" w:ascii="宋体" w:hAnsi="宋体" w:eastAsia="宋体"/>
          <w:sz w:val="24"/>
          <w:szCs w:val="24"/>
        </w:rPr>
      </w:pPr>
      <w:r>
        <w:rPr>
          <w:rFonts w:hint="eastAsia" w:ascii="宋体" w:hAnsi="宋体" w:eastAsia="宋体"/>
          <w:sz w:val="24"/>
          <w:szCs w:val="24"/>
        </w:rPr>
        <w:t xml:space="preserve">投标人全称（加盖CA电子签章）：</w:t>
      </w:r>
      <w:r/>
    </w:p>
    <w:p>
      <w:pPr>
        <w:ind w:firstLine="480"/>
        <w:rPr>
          <w:rFonts w:hint="eastAsia" w:ascii="宋体" w:hAnsi="宋体" w:eastAsia="宋体"/>
          <w:sz w:val="24"/>
          <w:szCs w:val="24"/>
        </w:rPr>
      </w:pPr>
      <w:r>
        <w:rPr>
          <w:rFonts w:hint="eastAsia" w:ascii="宋体" w:hAnsi="宋体" w:eastAsia="宋体"/>
          <w:sz w:val="24"/>
          <w:szCs w:val="24"/>
        </w:rPr>
        <w:t xml:space="preserve">项目名称：</w:t>
      </w:r>
      <w:r/>
    </w:p>
    <w:p>
      <w:pPr>
        <w:ind w:firstLine="480"/>
        <w:rPr>
          <w:rFonts w:hint="eastAsia" w:ascii="宋体" w:hAnsi="宋体" w:eastAsia="宋体"/>
          <w:sz w:val="24"/>
          <w:szCs w:val="24"/>
        </w:rPr>
      </w:pPr>
      <w:r>
        <w:rPr>
          <w:rFonts w:hint="eastAsia" w:ascii="宋体" w:hAnsi="宋体" w:eastAsia="宋体"/>
          <w:sz w:val="24"/>
          <w:szCs w:val="24"/>
        </w:rPr>
        <w:t xml:space="preserve">招标编号：                                   分包号：</w:t>
      </w:r>
      <w:r/>
    </w:p>
    <w:tbl>
      <w:tblPr>
        <w:tblStyle w:val="8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eastAsia="宋体"/>
                <w:sz w:val="24"/>
                <w:szCs w:val="24"/>
              </w:rPr>
            </w:pPr>
            <w:r>
              <w:rPr>
                <w:rFonts w:hint="eastAsia" w:ascii="宋体" w:hAnsi="宋体" w:eastAsia="宋体" w:cs="宋体"/>
                <w:sz w:val="24"/>
                <w:szCs w:val="24"/>
              </w:rPr>
              <w:t xml:space="preserve">                      </w:t>
            </w:r>
            <w:r>
              <w:rPr>
                <w:rFonts w:hint="eastAsia" w:ascii="宋体" w:hAnsi="宋体" w:eastAsia="宋体"/>
                <w:sz w:val="24"/>
                <w:szCs w:val="24"/>
              </w:rPr>
              <w:t xml:space="preserve">投标总报价</w:t>
            </w:r>
            <w:r/>
          </w:p>
        </w:tc>
      </w:tr>
      <w:tr>
        <w:trPr>
          <w:cantSplit/>
          <w:trHeight w:val="612"/>
        </w:trPr>
        <w:tc>
          <w:tcPr>
            <w:tcW w:w="8206" w:type="dxa"/>
            <w:vAlign w:val="center"/>
            <w:textDirection w:val="lrTb"/>
            <w:noWrap w:val="false"/>
          </w:tcPr>
          <w:p>
            <w:pPr>
              <w:jc w:val="left"/>
              <w:spacing w:line="500" w:lineRule="exact"/>
              <w:rPr>
                <w:rFonts w:hint="eastAsia" w:ascii="宋体" w:hAnsi="宋体" w:eastAsia="宋体"/>
                <w:sz w:val="24"/>
                <w:szCs w:val="21"/>
              </w:rPr>
            </w:pPr>
            <w:r>
              <w:rPr>
                <w:rFonts w:hint="eastAsia" w:ascii="宋体" w:hAnsi="宋体" w:eastAsia="宋体" w:cs="宋体"/>
                <w:sz w:val="24"/>
                <w:szCs w:val="24"/>
              </w:rPr>
              <w:t xml:space="preserve">小写：                             （人民币：元）</w:t>
            </w:r>
            <w:r/>
          </w:p>
        </w:tc>
      </w:tr>
    </w:tbl>
    <w:p>
      <w:pPr>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sz w:val="24"/>
          <w:szCs w:val="24"/>
        </w:rPr>
      </w:pPr>
      <w:r>
        <w:rPr>
          <w:rFonts w:hint="eastAsia" w:ascii="宋体" w:hAnsi="宋体" w:eastAsia="宋体"/>
          <w:sz w:val="24"/>
          <w:szCs w:val="24"/>
        </w:rPr>
        <w:t xml:space="preserve">                                      日期：  </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ind w:firstLine="480"/>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pPr>
        <w:pStyle w:val="81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1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16"/>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16"/>
        <w:rPr>
          <w:rFonts w:hint="eastAsia" w:asciiTheme="minorEastAsia" w:hAnsiTheme="minorEastAsia" w:eastAsiaTheme="minorEastAsia"/>
        </w:rPr>
      </w:pPr>
      <w:r>
        <w:rPr>
          <w:rFonts w:hint="eastAsia" w:asciiTheme="minorEastAsia" w:hAnsiTheme="minorEastAsia" w:eastAsiaTheme="minorEastAsia"/>
        </w:rPr>
      </w:r>
      <w:r/>
    </w:p>
    <w:p>
      <w:pPr>
        <w:pStyle w:val="816"/>
        <w:rPr>
          <w:rFonts w:hint="eastAsia" w:ascii="宋体" w:hAnsi="宋体" w:eastAsia="宋体"/>
        </w:rPr>
      </w:pPr>
      <w:r>
        <w:rPr>
          <w:rFonts w:hint="eastAsia" w:ascii="宋体" w:hAnsi="宋体" w:eastAsia="宋体"/>
        </w:rPr>
      </w:r>
      <w:r/>
    </w:p>
    <w:p>
      <w:pPr>
        <w:jc w:val="center"/>
        <w:spacing w:line="560" w:lineRule="exact"/>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Style w:val="81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pStyle w:val="1040"/>
        <w:jc w:val="center"/>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39"/>
        <w:jc w:val="center"/>
        <w:rPr>
          <w:rFonts w:hint="eastAsia" w:ascii="宋体" w:hAnsi="宋体"/>
          <w:b/>
          <w:sz w:val="36"/>
          <w:szCs w:val="36"/>
        </w:rPr>
      </w:pPr>
      <w:r>
        <w:rPr>
          <w:rFonts w:hint="eastAsia" w:ascii="宋体" w:hAnsi="宋体"/>
          <w:b/>
          <w:sz w:val="36"/>
          <w:szCs w:val="36"/>
        </w:rPr>
        <w:t xml:space="preserve">中小企业声明函（货物）</w:t>
      </w:r>
      <w:r/>
    </w:p>
    <w:p>
      <w:pPr>
        <w:pStyle w:val="1039"/>
        <w:jc w:val="left"/>
        <w:rPr>
          <w:rFonts w:hint="eastAsia" w:ascii="宋体" w:hAnsi="宋体"/>
          <w:b/>
          <w:sz w:val="32"/>
          <w:szCs w:val="32"/>
        </w:rPr>
      </w:pPr>
      <w:r>
        <w:rPr>
          <w:rFonts w:hint="eastAsia" w:ascii="宋体" w:hAnsi="宋体"/>
          <w:b/>
          <w:sz w:val="32"/>
          <w:szCs w:val="32"/>
        </w:rPr>
      </w:r>
      <w:r/>
    </w:p>
    <w:p>
      <w:pPr>
        <w:pStyle w:val="1039"/>
        <w:ind w:firstLine="480"/>
        <w:jc w:val="left"/>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39"/>
        <w:ind w:firstLine="480"/>
        <w:jc w:val="left"/>
        <w:spacing w:line="500" w:lineRule="exact"/>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39"/>
        <w:ind w:firstLine="480"/>
        <w:jc w:val="left"/>
        <w:spacing w:line="500" w:lineRule="exact"/>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39"/>
        <w:ind w:firstLine="480"/>
        <w:jc w:val="left"/>
        <w:spacing w:line="500" w:lineRule="exact"/>
        <w:rPr>
          <w:rFonts w:hint="eastAsia" w:ascii="宋体" w:hAnsi="宋体"/>
          <w:sz w:val="24"/>
          <w:szCs w:val="24"/>
        </w:rPr>
      </w:pPr>
      <w:r>
        <w:rPr>
          <w:rFonts w:ascii="宋体" w:hAnsi="宋体"/>
          <w:sz w:val="24"/>
          <w:szCs w:val="24"/>
        </w:rPr>
        <w:t xml:space="preserve">……</w:t>
      </w:r>
      <w:r/>
    </w:p>
    <w:p>
      <w:pPr>
        <w:pStyle w:val="1039"/>
        <w:ind w:firstLine="480"/>
        <w:jc w:val="left"/>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39"/>
        <w:ind w:firstLine="480"/>
        <w:jc w:val="left"/>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39"/>
        <w:ind w:firstLine="480"/>
        <w:jc w:val="center"/>
        <w:spacing w:line="500" w:lineRule="exact"/>
        <w:rPr>
          <w:rFonts w:hint="eastAsia" w:ascii="宋体" w:hAnsi="宋体"/>
          <w:sz w:val="24"/>
          <w:szCs w:val="24"/>
        </w:rPr>
      </w:pPr>
      <w:r>
        <w:rPr>
          <w:rFonts w:hint="eastAsia" w:ascii="宋体" w:hAnsi="宋体"/>
          <w:sz w:val="24"/>
          <w:szCs w:val="24"/>
        </w:rPr>
      </w:r>
      <w:r/>
    </w:p>
    <w:p>
      <w:pPr>
        <w:pStyle w:val="1039"/>
        <w:ind w:firstLine="480"/>
        <w:jc w:val="left"/>
        <w:spacing w:line="500" w:lineRule="exact"/>
        <w:rPr>
          <w:rFonts w:hint="eastAsia" w:ascii="宋体" w:hAnsi="宋体"/>
          <w:sz w:val="24"/>
          <w:szCs w:val="24"/>
        </w:rPr>
      </w:pPr>
      <w:r>
        <w:rPr>
          <w:rFonts w:hint="eastAsia" w:ascii="宋体" w:hAnsi="宋体"/>
          <w:sz w:val="24"/>
          <w:szCs w:val="24"/>
        </w:rPr>
        <w:t xml:space="preserve">企业名称（加盖CA电子公章）：</w:t>
      </w:r>
      <w:r/>
    </w:p>
    <w:p>
      <w:pPr>
        <w:pStyle w:val="1039"/>
        <w:ind w:firstLine="480"/>
        <w:jc w:val="left"/>
        <w:spacing w:line="500" w:lineRule="exact"/>
        <w:rPr>
          <w:rFonts w:hint="eastAsia" w:ascii="宋体" w:hAnsi="宋体"/>
          <w:sz w:val="24"/>
          <w:szCs w:val="24"/>
        </w:rPr>
      </w:pPr>
      <w:r>
        <w:rPr>
          <w:rFonts w:hint="eastAsia" w:ascii="宋体" w:hAnsi="宋体"/>
          <w:sz w:val="24"/>
          <w:szCs w:val="24"/>
        </w:rPr>
        <w:t xml:space="preserve">日期：</w:t>
      </w:r>
      <w:r/>
    </w:p>
    <w:p>
      <w:pPr>
        <w:pStyle w:val="1039"/>
        <w:ind w:firstLine="560"/>
        <w:spacing w:line="560" w:lineRule="exact"/>
        <w:rPr>
          <w:rFonts w:hint="eastAsia" w:ascii="宋体" w:hAnsi="宋体"/>
          <w:sz w:val="28"/>
          <w:szCs w:val="28"/>
        </w:rPr>
      </w:pPr>
      <w:r>
        <w:rPr>
          <w:rFonts w:hint="eastAsia" w:ascii="宋体" w:hAnsi="宋体"/>
          <w:sz w:val="28"/>
          <w:szCs w:val="28"/>
        </w:rPr>
      </w:r>
      <w:r/>
    </w:p>
    <w:p>
      <w:pPr>
        <w:pStyle w:val="1039"/>
        <w:ind w:firstLine="360"/>
        <w:spacing w:line="560" w:lineRule="exact"/>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39"/>
        <w:jc w:val="center"/>
        <w:rPr>
          <w:rFonts w:hint="eastAsia" w:ascii="宋体" w:hAnsi="宋体"/>
          <w:b/>
          <w:sz w:val="36"/>
          <w:szCs w:val="36"/>
        </w:rPr>
      </w:pPr>
      <w:r>
        <w:rPr>
          <w:rFonts w:hint="eastAsia" w:ascii="宋体" w:hAnsi="宋体"/>
          <w:b/>
          <w:sz w:val="36"/>
          <w:szCs w:val="36"/>
        </w:rPr>
      </w:r>
      <w:r/>
    </w:p>
    <w:p>
      <w:pPr>
        <w:pStyle w:val="1039"/>
        <w:rPr>
          <w:rFonts w:hint="eastAsia" w:ascii="宋体" w:hAnsi="宋体"/>
          <w:b/>
          <w:sz w:val="36"/>
          <w:szCs w:val="36"/>
        </w:rPr>
      </w:pPr>
      <w:r>
        <w:rPr>
          <w:rFonts w:hint="eastAsia" w:ascii="宋体" w:hAnsi="宋体"/>
          <w:b/>
          <w:sz w:val="36"/>
          <w:szCs w:val="36"/>
        </w:rPr>
      </w:r>
      <w:r/>
    </w:p>
    <w:p>
      <w:pPr>
        <w:pStyle w:val="1039"/>
        <w:jc w:val="center"/>
        <w:rPr>
          <w:rFonts w:hint="eastAsia" w:ascii="宋体" w:hAnsi="宋体"/>
          <w:b/>
          <w:sz w:val="36"/>
          <w:szCs w:val="36"/>
        </w:rPr>
      </w:pPr>
      <w:r>
        <w:rPr>
          <w:rFonts w:hint="eastAsia" w:ascii="宋体" w:hAnsi="宋体"/>
          <w:b/>
          <w:sz w:val="36"/>
          <w:szCs w:val="36"/>
        </w:rPr>
      </w:r>
      <w:r/>
    </w:p>
    <w:p>
      <w:pPr>
        <w:pStyle w:val="1039"/>
        <w:jc w:val="center"/>
        <w:rPr>
          <w:rFonts w:hint="eastAsia" w:ascii="宋体" w:hAnsi="宋体"/>
          <w:b/>
          <w:sz w:val="36"/>
          <w:szCs w:val="36"/>
        </w:rPr>
      </w:pPr>
      <w:r>
        <w:rPr>
          <w:rFonts w:hint="eastAsia" w:ascii="宋体" w:hAnsi="宋体"/>
          <w:b/>
          <w:sz w:val="36"/>
          <w:szCs w:val="36"/>
        </w:rPr>
      </w:r>
      <w:r/>
    </w:p>
    <w:p>
      <w:pPr>
        <w:pStyle w:val="1039"/>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39"/>
        <w:jc w:val="center"/>
        <w:rPr>
          <w:rFonts w:hint="eastAsia" w:ascii="宋体" w:hAnsi="宋体"/>
          <w:b/>
          <w:sz w:val="36"/>
          <w:szCs w:val="36"/>
        </w:rPr>
      </w:pPr>
      <w:r>
        <w:rPr>
          <w:rFonts w:hint="eastAsia" w:ascii="宋体" w:hAnsi="宋体"/>
          <w:b/>
          <w:sz w:val="36"/>
          <w:szCs w:val="36"/>
        </w:rPr>
      </w:r>
      <w:r/>
    </w:p>
    <w:p>
      <w:pPr>
        <w:pStyle w:val="1039"/>
        <w:jc w:val="center"/>
        <w:rPr>
          <w:rFonts w:hint="eastAsia" w:ascii="宋体" w:hAnsi="宋体"/>
          <w:b/>
          <w:sz w:val="36"/>
          <w:szCs w:val="36"/>
        </w:rPr>
      </w:pPr>
      <w:r>
        <w:rPr>
          <w:rFonts w:hint="eastAsia" w:ascii="宋体" w:hAnsi="宋体"/>
          <w:b/>
          <w:sz w:val="36"/>
          <w:szCs w:val="36"/>
        </w:rPr>
        <w:t xml:space="preserve">中小企业声明函（工程、服务）</w:t>
      </w:r>
      <w:r/>
    </w:p>
    <w:p>
      <w:pPr>
        <w:pStyle w:val="1039"/>
        <w:jc w:val="left"/>
        <w:rPr>
          <w:rFonts w:hint="eastAsia" w:ascii="宋体" w:hAnsi="宋体"/>
          <w:b/>
          <w:sz w:val="32"/>
          <w:szCs w:val="32"/>
        </w:rPr>
      </w:pPr>
      <w:r>
        <w:rPr>
          <w:rFonts w:hint="eastAsia" w:ascii="宋体" w:hAnsi="宋体"/>
          <w:b/>
          <w:sz w:val="32"/>
          <w:szCs w:val="32"/>
        </w:rPr>
      </w:r>
      <w:r/>
    </w:p>
    <w:p>
      <w:pPr>
        <w:pStyle w:val="1039"/>
        <w:ind w:firstLine="480"/>
        <w:jc w:val="left"/>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39"/>
        <w:ind w:firstLine="480"/>
        <w:jc w:val="left"/>
        <w:spacing w:line="500" w:lineRule="exact"/>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39"/>
        <w:ind w:firstLine="480"/>
        <w:jc w:val="left"/>
        <w:spacing w:line="500" w:lineRule="exact"/>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39"/>
        <w:ind w:firstLine="480"/>
        <w:jc w:val="left"/>
        <w:spacing w:line="500" w:lineRule="exact"/>
        <w:rPr>
          <w:rFonts w:hint="eastAsia" w:ascii="宋体" w:hAnsi="宋体"/>
          <w:sz w:val="24"/>
          <w:szCs w:val="24"/>
        </w:rPr>
      </w:pPr>
      <w:r>
        <w:rPr>
          <w:rFonts w:ascii="宋体" w:hAnsi="宋体"/>
          <w:sz w:val="24"/>
          <w:szCs w:val="24"/>
        </w:rPr>
        <w:t xml:space="preserve">……</w:t>
      </w:r>
      <w:r/>
    </w:p>
    <w:p>
      <w:pPr>
        <w:pStyle w:val="1039"/>
        <w:ind w:firstLine="480"/>
        <w:jc w:val="left"/>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39"/>
        <w:ind w:firstLine="480"/>
        <w:jc w:val="left"/>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39"/>
        <w:ind w:firstLine="480"/>
        <w:jc w:val="center"/>
        <w:spacing w:line="500" w:lineRule="exact"/>
        <w:rPr>
          <w:rFonts w:hint="eastAsia" w:ascii="宋体" w:hAnsi="宋体"/>
          <w:sz w:val="24"/>
          <w:szCs w:val="24"/>
        </w:rPr>
      </w:pPr>
      <w:r>
        <w:rPr>
          <w:rFonts w:hint="eastAsia" w:ascii="宋体" w:hAnsi="宋体"/>
          <w:sz w:val="24"/>
          <w:szCs w:val="24"/>
        </w:rPr>
      </w:r>
      <w:r/>
    </w:p>
    <w:p>
      <w:pPr>
        <w:pStyle w:val="1039"/>
        <w:ind w:firstLine="480"/>
        <w:jc w:val="left"/>
        <w:spacing w:line="500" w:lineRule="exact"/>
        <w:rPr>
          <w:rFonts w:hint="eastAsia" w:ascii="宋体" w:hAnsi="宋体"/>
          <w:sz w:val="24"/>
          <w:szCs w:val="24"/>
        </w:rPr>
      </w:pPr>
      <w:r>
        <w:rPr>
          <w:rFonts w:hint="eastAsia" w:ascii="宋体" w:hAnsi="宋体"/>
          <w:sz w:val="24"/>
          <w:szCs w:val="24"/>
        </w:rPr>
        <w:t xml:space="preserve">企业名称（加盖CA电子公章）：</w:t>
      </w:r>
      <w:r/>
    </w:p>
    <w:p>
      <w:pPr>
        <w:pStyle w:val="1039"/>
        <w:ind w:firstLine="480"/>
        <w:jc w:val="left"/>
        <w:spacing w:line="500" w:lineRule="exact"/>
        <w:rPr>
          <w:rFonts w:hint="eastAsia" w:ascii="宋体" w:hAnsi="宋体"/>
          <w:sz w:val="24"/>
          <w:szCs w:val="24"/>
        </w:rPr>
      </w:pPr>
      <w:r>
        <w:rPr>
          <w:rFonts w:hint="eastAsia" w:ascii="宋体" w:hAnsi="宋体"/>
          <w:sz w:val="24"/>
          <w:szCs w:val="24"/>
        </w:rPr>
        <w:t xml:space="preserve">日期：</w:t>
      </w:r>
      <w:r/>
    </w:p>
    <w:p>
      <w:pPr>
        <w:pStyle w:val="1039"/>
        <w:ind w:firstLine="480"/>
        <w:spacing w:line="500" w:lineRule="exact"/>
        <w:rPr>
          <w:rFonts w:hint="eastAsia" w:ascii="宋体" w:hAnsi="宋体"/>
          <w:sz w:val="24"/>
          <w:szCs w:val="24"/>
        </w:rPr>
      </w:pPr>
      <w:r>
        <w:rPr>
          <w:rFonts w:hint="eastAsia" w:ascii="宋体" w:hAnsi="宋体"/>
          <w:sz w:val="24"/>
          <w:szCs w:val="24"/>
        </w:rPr>
      </w:r>
      <w:r/>
    </w:p>
    <w:p>
      <w:pPr>
        <w:pStyle w:val="1039"/>
        <w:ind w:firstLine="360"/>
        <w:spacing w:line="560" w:lineRule="exact"/>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39"/>
        <w:jc w:val="center"/>
        <w:spacing w:before="151" w:after="151" w:line="600" w:lineRule="exact"/>
        <w:rPr>
          <w:rFonts w:hint="eastAsia" w:ascii="宋体" w:hAnsi="宋体"/>
          <w:b/>
          <w:bCs/>
          <w:sz w:val="32"/>
          <w:szCs w:val="32"/>
        </w:rPr>
      </w:pPr>
      <w:r>
        <w:rPr>
          <w:rFonts w:hint="eastAsia" w:ascii="宋体" w:hAnsi="宋体"/>
          <w:b/>
          <w:bCs/>
          <w:sz w:val="32"/>
          <w:szCs w:val="32"/>
        </w:rPr>
      </w:r>
      <w:r/>
    </w:p>
    <w:p>
      <w:pPr>
        <w:pStyle w:val="1039"/>
        <w:spacing w:before="151" w:after="151" w:line="600" w:lineRule="exact"/>
        <w:rPr>
          <w:rFonts w:hint="eastAsia" w:ascii="宋体" w:hAnsi="宋体"/>
          <w:b/>
          <w:bCs/>
          <w:sz w:val="32"/>
          <w:szCs w:val="32"/>
        </w:rPr>
      </w:pPr>
      <w:r>
        <w:rPr>
          <w:rFonts w:hint="eastAsia" w:ascii="宋体" w:hAnsi="宋体"/>
          <w:b/>
          <w:bCs/>
          <w:sz w:val="32"/>
          <w:szCs w:val="32"/>
        </w:rPr>
      </w:r>
      <w:r/>
    </w:p>
    <w:p>
      <w:pPr>
        <w:pStyle w:val="1039"/>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39"/>
        <w:rPr>
          <w:rFonts w:hint="eastAsia" w:ascii="宋体" w:hAnsi="宋体"/>
          <w:b/>
          <w:sz w:val="36"/>
          <w:szCs w:val="36"/>
        </w:rPr>
      </w:pPr>
      <w:r>
        <w:rPr>
          <w:rFonts w:hint="eastAsia" w:ascii="宋体" w:hAnsi="宋体"/>
          <w:b/>
          <w:sz w:val="36"/>
          <w:szCs w:val="36"/>
        </w:rPr>
      </w:r>
      <w:r/>
    </w:p>
    <w:p>
      <w:pPr>
        <w:pStyle w:val="1041"/>
        <w:jc w:val="center"/>
        <w:spacing w:before="151" w:after="151" w:line="600" w:lineRule="exact"/>
        <w:rPr>
          <w:rFonts w:hint="eastAsia" w:ascii="宋体" w:hAnsi="宋体"/>
          <w:b/>
          <w:bCs/>
          <w:sz w:val="32"/>
          <w:szCs w:val="32"/>
        </w:rPr>
      </w:pPr>
      <w:r>
        <w:rPr>
          <w:rFonts w:hint="eastAsia" w:ascii="宋体" w:hAnsi="宋体"/>
          <w:b/>
          <w:bCs/>
          <w:sz w:val="32"/>
          <w:szCs w:val="32"/>
        </w:rPr>
        <w:t xml:space="preserve">残疾人福利性单位声明函</w:t>
      </w:r>
      <w:r/>
    </w:p>
    <w:p>
      <w:pPr>
        <w:pStyle w:val="1042"/>
        <w:spacing w:line="588" w:lineRule="exact"/>
        <w:rPr>
          <w:rFonts w:hint="eastAsia" w:ascii="宋体" w:hAnsi="宋体"/>
          <w:b/>
          <w:spacing w:val="6"/>
          <w:sz w:val="30"/>
          <w:szCs w:val="30"/>
        </w:rPr>
      </w:pPr>
      <w:r>
        <w:rPr>
          <w:rFonts w:hint="eastAsia" w:ascii="宋体" w:hAnsi="宋体"/>
          <w:b/>
          <w:spacing w:val="6"/>
          <w:sz w:val="30"/>
          <w:szCs w:val="30"/>
        </w:rPr>
      </w:r>
      <w:r/>
    </w:p>
    <w:p>
      <w:pPr>
        <w:pStyle w:val="1041"/>
        <w:ind w:firstLine="480"/>
        <w:spacing w:line="500"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1041"/>
        <w:ind w:firstLine="480"/>
        <w:spacing w:line="500"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43"/>
        <w:ind w:firstLine="3810"/>
        <w:spacing w:line="500" w:lineRule="exact"/>
        <w:rPr>
          <w:rFonts w:hint="eastAsia" w:ascii="宋体" w:hAnsi="宋体"/>
          <w:spacing w:val="6"/>
          <w:sz w:val="24"/>
          <w:szCs w:val="24"/>
        </w:rPr>
      </w:pPr>
      <w:r>
        <w:rPr>
          <w:rFonts w:hint="eastAsia" w:ascii="宋体" w:hAnsi="宋体"/>
          <w:spacing w:val="6"/>
          <w:sz w:val="24"/>
          <w:szCs w:val="24"/>
        </w:rPr>
      </w:r>
      <w:r/>
    </w:p>
    <w:p>
      <w:pPr>
        <w:pStyle w:val="1043"/>
        <w:ind w:firstLine="3628"/>
        <w:jc w:val="left"/>
        <w:spacing w:line="500" w:lineRule="exact"/>
        <w:rPr>
          <w:rFonts w:hint="eastAsia" w:ascii="宋体" w:hAnsi="宋体"/>
          <w:sz w:val="24"/>
        </w:rPr>
      </w:pPr>
      <w:r>
        <w:rPr>
          <w:rFonts w:hint="eastAsia" w:ascii="宋体" w:hAnsi="宋体"/>
          <w:sz w:val="24"/>
        </w:rPr>
      </w:r>
      <w:r/>
    </w:p>
    <w:p>
      <w:pPr>
        <w:pStyle w:val="1043"/>
        <w:ind w:firstLine="480"/>
        <w:jc w:val="left"/>
        <w:spacing w:line="5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1039"/>
        <w:ind w:firstLine="480"/>
        <w:jc w:val="left"/>
        <w:spacing w:line="500" w:lineRule="exact"/>
        <w:rPr>
          <w:rFonts w:hint="eastAsia" w:ascii="宋体" w:hAnsi="宋体"/>
          <w:sz w:val="24"/>
          <w:szCs w:val="20"/>
        </w:rPr>
      </w:pPr>
      <w:r>
        <w:rPr>
          <w:rFonts w:hint="eastAsia" w:ascii="宋体" w:hAnsi="宋体"/>
          <w:sz w:val="24"/>
          <w:szCs w:val="20"/>
        </w:rPr>
        <w:t xml:space="preserve">日期：  年  月  日</w:t>
      </w:r>
      <w:r/>
    </w:p>
    <w:p>
      <w:pPr>
        <w:pStyle w:val="1042"/>
        <w:ind w:right="1560" w:firstLine="480"/>
        <w:jc w:val="center"/>
        <w:spacing w:line="588" w:lineRule="exact"/>
        <w:tabs>
          <w:tab w:val="left" w:pos="4860" w:leader="none"/>
        </w:tabs>
        <w:rPr>
          <w:rFonts w:hint="eastAsia" w:ascii="宋体" w:hAnsi="宋体" w:cs="Arial"/>
          <w:sz w:val="24"/>
          <w:szCs w:val="24"/>
        </w:rPr>
      </w:pPr>
      <w:r>
        <w:rPr>
          <w:rFonts w:hint="eastAsia" w:ascii="宋体" w:hAnsi="宋体" w:cs="Arial"/>
          <w:sz w:val="24"/>
          <w:szCs w:val="24"/>
        </w:rPr>
      </w:r>
      <w:r/>
    </w:p>
    <w:p>
      <w:pPr>
        <w:pStyle w:val="1044"/>
        <w:ind w:left="357" w:firstLine="0"/>
        <w:spacing w:line="500" w:lineRule="exact"/>
        <w:rPr>
          <w:rFonts w:hint="eastAsia" w:ascii="宋体" w:hAnsi="宋体" w:cs="Arial"/>
          <w:sz w:val="24"/>
          <w:szCs w:val="24"/>
        </w:rPr>
      </w:pPr>
      <w:r>
        <w:rPr>
          <w:rFonts w:hint="eastAsia" w:ascii="宋体" w:hAnsi="宋体" w:cs="Arial"/>
          <w:sz w:val="24"/>
          <w:szCs w:val="24"/>
        </w:rPr>
      </w:r>
      <w:r/>
    </w:p>
    <w:p>
      <w:pPr>
        <w:pStyle w:val="1041"/>
        <w:ind w:firstLine="445"/>
        <w:spacing w:before="151" w:after="151" w:line="240" w:lineRule="atLeast"/>
        <w:rPr>
          <w:rFonts w:hint="eastAsia" w:ascii="宋体" w:hAnsi="宋体"/>
          <w:sz w:val="24"/>
        </w:rPr>
      </w:pPr>
      <w:r>
        <w:rPr>
          <w:rFonts w:hint="eastAsia" w:ascii="宋体" w:hAnsi="宋体"/>
          <w:sz w:val="24"/>
        </w:rPr>
        <w:t xml:space="preserve">注：非残疾人福利性单位不需提供此函。</w:t>
      </w:r>
      <w:r/>
    </w:p>
    <w:p>
      <w:pPr>
        <w:jc w:val="left"/>
        <w:keepLines/>
        <w:spacing w:before="120" w:after="120" w:line="416"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八、技术要求响应及偏离表（分包号：**）</w:t>
      </w:r>
      <w:r/>
    </w:p>
    <w:tbl>
      <w:tblPr>
        <w:tblStyle w:val="8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eastAsia="宋体"/>
                <w:sz w:val="24"/>
                <w:szCs w:val="24"/>
              </w:rPr>
            </w:pPr>
            <w:r>
              <w:rPr>
                <w:rFonts w:hint="eastAsia" w:eastAsia="宋体"/>
                <w:sz w:val="24"/>
                <w:szCs w:val="24"/>
              </w:rPr>
              <w:t xml:space="preserve">序号</w:t>
            </w:r>
            <w:r/>
          </w:p>
        </w:tc>
        <w:tc>
          <w:tcPr>
            <w:tcW w:w="3291" w:type="dxa"/>
            <w:vAlign w:val="center"/>
            <w:textDirection w:val="lrTb"/>
            <w:noWrap w:val="false"/>
          </w:tcPr>
          <w:p>
            <w:pPr>
              <w:jc w:val="center"/>
              <w:widowControl/>
              <w:rPr>
                <w:rFonts w:eastAsia="宋体" w:cs="宋体"/>
                <w:sz w:val="24"/>
                <w:szCs w:val="24"/>
              </w:rPr>
            </w:pPr>
            <w:r>
              <w:rPr>
                <w:rFonts w:eastAsia="宋体" w:cs="宋体"/>
                <w:sz w:val="24"/>
                <w:szCs w:val="24"/>
              </w:rPr>
              <w:t xml:space="preserve">技术要求和商务要求中的实质性要求（</w:t>
            </w:r>
            <w:r>
              <w:rPr>
                <w:rFonts w:eastAsia="宋体" w:cs="宋体"/>
                <w:i/>
                <w:iCs/>
                <w:sz w:val="24"/>
                <w:szCs w:val="24"/>
                <w:u w:val="single"/>
              </w:rPr>
              <w:t xml:space="preserve">加斜体下划线内容或</w:t>
            </w:r>
            <w:r>
              <w:rPr>
                <w:rFonts w:eastAsia="宋体" w:cs="宋体"/>
                <w:sz w:val="24"/>
                <w:szCs w:val="24"/>
              </w:rPr>
              <w:t xml:space="preserve">打“</w:t>
            </w:r>
            <w:r>
              <w:rPr>
                <w:rFonts w:hint="eastAsia" w:ascii="宋体" w:hAnsi="宋体" w:eastAsia="宋体" w:cs="宋体"/>
                <w:sz w:val="24"/>
                <w:szCs w:val="24"/>
              </w:rPr>
              <w:t xml:space="preserve">★</w:t>
            </w:r>
            <w:r>
              <w:rPr>
                <w:rFonts w:eastAsia="宋体"/>
                <w:sz w:val="24"/>
                <w:szCs w:val="24"/>
              </w:rPr>
              <w:t xml:space="preserve">”</w:t>
            </w:r>
            <w:r>
              <w:rPr>
                <w:rFonts w:eastAsia="宋体" w:cs="宋体"/>
                <w:sz w:val="24"/>
                <w:szCs w:val="24"/>
              </w:rPr>
              <w:t xml:space="preserve">内容）</w:t>
            </w:r>
            <w:r/>
          </w:p>
        </w:tc>
        <w:tc>
          <w:tcPr>
            <w:tcW w:w="2852" w:type="dxa"/>
            <w:vAlign w:val="center"/>
            <w:textDirection w:val="lrTb"/>
            <w:noWrap w:val="false"/>
          </w:tcPr>
          <w:p>
            <w:pPr>
              <w:jc w:val="center"/>
              <w:widowControl/>
              <w:rPr>
                <w:rFonts w:eastAsia="宋体" w:cs="宋体"/>
                <w:sz w:val="24"/>
                <w:szCs w:val="24"/>
              </w:rPr>
            </w:pPr>
            <w:r>
              <w:rPr>
                <w:rFonts w:eastAsia="宋体" w:cs="宋体"/>
                <w:sz w:val="24"/>
                <w:szCs w:val="24"/>
              </w:rPr>
              <w:t xml:space="preserve">响应情况</w:t>
            </w:r>
            <w:r>
              <w:rPr>
                <w:rFonts w:hint="eastAsia" w:eastAsia="宋体" w:cs="宋体"/>
                <w:sz w:val="24"/>
                <w:szCs w:val="24"/>
              </w:rPr>
              <w:t xml:space="preserve">（填报“响应或完全响应”）</w:t>
            </w:r>
            <w:r/>
          </w:p>
        </w:tc>
        <w:tc>
          <w:tcPr>
            <w:tcW w:w="1308" w:type="dxa"/>
            <w:vAlign w:val="center"/>
            <w:textDirection w:val="lrTb"/>
            <w:noWrap w:val="false"/>
          </w:tcPr>
          <w:p>
            <w:pPr>
              <w:jc w:val="center"/>
              <w:widowControl/>
              <w:rPr>
                <w:rFonts w:eastAsia="宋体" w:cs="宋体"/>
                <w:sz w:val="24"/>
                <w:szCs w:val="24"/>
              </w:rPr>
            </w:pPr>
            <w:r>
              <w:rPr>
                <w:rFonts w:hint="eastAsia" w:eastAsia="宋体" w:cs="宋体"/>
                <w:sz w:val="24"/>
                <w:szCs w:val="24"/>
              </w:rPr>
              <w:t xml:space="preserve">偏离（填报“正偏离、符合或负偏离”）</w:t>
            </w:r>
            <w:r/>
          </w:p>
        </w:tc>
        <w:tc>
          <w:tcPr>
            <w:tcW w:w="1173" w:type="dxa"/>
            <w:vAlign w:val="center"/>
            <w:textDirection w:val="lrTb"/>
            <w:noWrap w:val="false"/>
          </w:tcPr>
          <w:p>
            <w:pPr>
              <w:jc w:val="center"/>
              <w:rPr>
                <w:rFonts w:eastAsia="宋体"/>
                <w:sz w:val="24"/>
                <w:szCs w:val="24"/>
              </w:rPr>
            </w:pPr>
            <w:r>
              <w:rPr>
                <w:rFonts w:hint="eastAsia" w:eastAsia="宋体"/>
                <w:sz w:val="24"/>
                <w:szCs w:val="24"/>
              </w:rPr>
              <w:t xml:space="preserve">证明</w:t>
            </w:r>
            <w:r/>
          </w:p>
          <w:p>
            <w:pPr>
              <w:jc w:val="center"/>
              <w:rPr>
                <w:rFonts w:eastAsia="宋体"/>
                <w:sz w:val="24"/>
                <w:szCs w:val="24"/>
              </w:rPr>
            </w:pPr>
            <w:r>
              <w:rPr>
                <w:rFonts w:hint="eastAsia" w:eastAsia="宋体"/>
                <w:sz w:val="24"/>
                <w:szCs w:val="24"/>
              </w:rPr>
              <w:t xml:space="preserve">材料</w:t>
            </w:r>
            <w:r/>
          </w:p>
        </w:tc>
      </w:tr>
      <w:tr>
        <w:trPr>
          <w:cantSplit/>
          <w:trHeight w:val="640"/>
        </w:trPr>
        <w:tc>
          <w:tcPr>
            <w:tcW w:w="545" w:type="dxa"/>
            <w:textDirection w:val="lrTb"/>
            <w:noWrap w:val="false"/>
          </w:tcPr>
          <w:p>
            <w:pPr>
              <w:jc w:val="center"/>
              <w:rPr>
                <w:rFonts w:eastAsia="宋体"/>
                <w:sz w:val="24"/>
                <w:szCs w:val="24"/>
              </w:rPr>
            </w:pPr>
            <w:r>
              <w:rPr>
                <w:rFonts w:eastAsia="宋体"/>
                <w:sz w:val="24"/>
                <w:szCs w:val="24"/>
              </w:rPr>
            </w:r>
            <w:r/>
          </w:p>
        </w:tc>
        <w:tc>
          <w:tcPr>
            <w:tcW w:w="3291" w:type="dxa"/>
            <w:textDirection w:val="lrTb"/>
            <w:noWrap w:val="false"/>
          </w:tcPr>
          <w:p>
            <w:pPr>
              <w:jc w:val="center"/>
              <w:rPr>
                <w:rFonts w:eastAsia="宋体"/>
                <w:sz w:val="24"/>
                <w:szCs w:val="24"/>
              </w:rPr>
            </w:pPr>
            <w:r>
              <w:rPr>
                <w:rFonts w:eastAsia="宋体"/>
                <w:sz w:val="24"/>
                <w:szCs w:val="24"/>
              </w:rPr>
            </w:r>
            <w:r/>
          </w:p>
        </w:tc>
        <w:tc>
          <w:tcPr>
            <w:tcW w:w="2852" w:type="dxa"/>
            <w:textDirection w:val="lrTb"/>
            <w:noWrap w:val="false"/>
          </w:tcPr>
          <w:p>
            <w:pPr>
              <w:jc w:val="center"/>
              <w:rPr>
                <w:rFonts w:eastAsia="宋体"/>
                <w:sz w:val="24"/>
                <w:szCs w:val="24"/>
              </w:rPr>
            </w:pPr>
            <w:r>
              <w:rPr>
                <w:rFonts w:eastAsia="宋体"/>
                <w:sz w:val="24"/>
                <w:szCs w:val="24"/>
              </w:rPr>
            </w:r>
            <w:r/>
          </w:p>
        </w:tc>
        <w:tc>
          <w:tcPr>
            <w:tcW w:w="1308" w:type="dxa"/>
            <w:textDirection w:val="lrTb"/>
            <w:noWrap w:val="false"/>
          </w:tcPr>
          <w:p>
            <w:pPr>
              <w:jc w:val="center"/>
              <w:rPr>
                <w:rFonts w:eastAsia="宋体"/>
                <w:sz w:val="24"/>
                <w:szCs w:val="24"/>
              </w:rPr>
            </w:pPr>
            <w:r>
              <w:rPr>
                <w:rFonts w:eastAsia="宋体"/>
                <w:sz w:val="24"/>
                <w:szCs w:val="24"/>
              </w:rPr>
            </w:r>
            <w:r/>
          </w:p>
        </w:tc>
        <w:tc>
          <w:tcPr>
            <w:tcW w:w="1173" w:type="dxa"/>
            <w:textDirection w:val="lrTb"/>
            <w:noWrap w:val="false"/>
          </w:tcPr>
          <w:p>
            <w:pPr>
              <w:jc w:val="center"/>
              <w:rPr>
                <w:rFonts w:eastAsia="宋体"/>
                <w:sz w:val="24"/>
                <w:szCs w:val="24"/>
              </w:rPr>
            </w:pPr>
            <w:r>
              <w:rPr>
                <w:rFonts w:eastAsia="宋体"/>
                <w:sz w:val="24"/>
                <w:szCs w:val="24"/>
              </w:rPr>
            </w:r>
            <w:r/>
          </w:p>
        </w:tc>
      </w:tr>
      <w:tr>
        <w:trPr>
          <w:cantSplit/>
          <w:trHeight w:val="640"/>
        </w:trPr>
        <w:tc>
          <w:tcPr>
            <w:tcW w:w="545" w:type="dxa"/>
            <w:textDirection w:val="lrTb"/>
            <w:noWrap w:val="false"/>
          </w:tcPr>
          <w:p>
            <w:pPr>
              <w:jc w:val="center"/>
              <w:rPr>
                <w:rFonts w:eastAsia="宋体"/>
                <w:sz w:val="24"/>
                <w:szCs w:val="24"/>
              </w:rPr>
            </w:pPr>
            <w:r>
              <w:rPr>
                <w:rFonts w:eastAsia="宋体"/>
                <w:sz w:val="24"/>
                <w:szCs w:val="24"/>
              </w:rPr>
            </w:r>
            <w:r/>
          </w:p>
        </w:tc>
        <w:tc>
          <w:tcPr>
            <w:tcW w:w="3291" w:type="dxa"/>
            <w:textDirection w:val="lrTb"/>
            <w:noWrap w:val="false"/>
          </w:tcPr>
          <w:p>
            <w:pPr>
              <w:jc w:val="center"/>
              <w:rPr>
                <w:rFonts w:eastAsia="宋体"/>
                <w:sz w:val="24"/>
                <w:szCs w:val="24"/>
              </w:rPr>
            </w:pPr>
            <w:r>
              <w:rPr>
                <w:rFonts w:eastAsia="宋体"/>
                <w:sz w:val="24"/>
                <w:szCs w:val="24"/>
              </w:rPr>
            </w:r>
            <w:r/>
          </w:p>
        </w:tc>
        <w:tc>
          <w:tcPr>
            <w:tcW w:w="2852" w:type="dxa"/>
            <w:textDirection w:val="lrTb"/>
            <w:noWrap w:val="false"/>
          </w:tcPr>
          <w:p>
            <w:pPr>
              <w:jc w:val="center"/>
              <w:rPr>
                <w:rFonts w:eastAsia="宋体"/>
                <w:sz w:val="24"/>
                <w:szCs w:val="24"/>
              </w:rPr>
            </w:pPr>
            <w:r>
              <w:rPr>
                <w:rFonts w:eastAsia="宋体"/>
                <w:sz w:val="24"/>
                <w:szCs w:val="24"/>
              </w:rPr>
            </w:r>
            <w:r/>
          </w:p>
        </w:tc>
        <w:tc>
          <w:tcPr>
            <w:tcW w:w="1308" w:type="dxa"/>
            <w:textDirection w:val="lrTb"/>
            <w:noWrap w:val="false"/>
          </w:tcPr>
          <w:p>
            <w:pPr>
              <w:jc w:val="center"/>
              <w:rPr>
                <w:rFonts w:eastAsia="宋体"/>
                <w:sz w:val="24"/>
                <w:szCs w:val="24"/>
              </w:rPr>
            </w:pPr>
            <w:r>
              <w:rPr>
                <w:rFonts w:eastAsia="宋体"/>
                <w:sz w:val="24"/>
                <w:szCs w:val="24"/>
              </w:rPr>
            </w:r>
            <w:r/>
          </w:p>
        </w:tc>
        <w:tc>
          <w:tcPr>
            <w:tcW w:w="1173" w:type="dxa"/>
            <w:textDirection w:val="lrTb"/>
            <w:noWrap w:val="false"/>
          </w:tcPr>
          <w:p>
            <w:pPr>
              <w:jc w:val="center"/>
              <w:rPr>
                <w:rFonts w:eastAsia="宋体"/>
                <w:sz w:val="24"/>
                <w:szCs w:val="24"/>
              </w:rPr>
            </w:pPr>
            <w:r>
              <w:rPr>
                <w:rFonts w:eastAsia="宋体"/>
                <w:sz w:val="24"/>
                <w:szCs w:val="24"/>
              </w:rPr>
            </w:r>
            <w:r/>
          </w:p>
        </w:tc>
      </w:tr>
      <w:tr>
        <w:trPr>
          <w:cantSplit/>
          <w:trHeight w:val="640"/>
        </w:trPr>
        <w:tc>
          <w:tcPr>
            <w:tcW w:w="545" w:type="dxa"/>
            <w:textDirection w:val="lrTb"/>
            <w:noWrap w:val="false"/>
          </w:tcPr>
          <w:p>
            <w:pPr>
              <w:jc w:val="center"/>
              <w:rPr>
                <w:rFonts w:eastAsia="宋体"/>
                <w:sz w:val="24"/>
                <w:szCs w:val="24"/>
              </w:rPr>
            </w:pPr>
            <w:r>
              <w:rPr>
                <w:rFonts w:eastAsia="宋体"/>
                <w:sz w:val="24"/>
                <w:szCs w:val="24"/>
              </w:rPr>
            </w:r>
            <w:r/>
          </w:p>
        </w:tc>
        <w:tc>
          <w:tcPr>
            <w:tcW w:w="3291" w:type="dxa"/>
            <w:textDirection w:val="lrTb"/>
            <w:noWrap w:val="false"/>
          </w:tcPr>
          <w:p>
            <w:pPr>
              <w:jc w:val="center"/>
              <w:rPr>
                <w:rFonts w:eastAsia="宋体"/>
                <w:sz w:val="24"/>
                <w:szCs w:val="24"/>
              </w:rPr>
            </w:pPr>
            <w:r>
              <w:rPr>
                <w:rFonts w:eastAsia="宋体"/>
                <w:sz w:val="24"/>
                <w:szCs w:val="24"/>
              </w:rPr>
            </w:r>
            <w:r/>
          </w:p>
        </w:tc>
        <w:tc>
          <w:tcPr>
            <w:tcW w:w="2852" w:type="dxa"/>
            <w:textDirection w:val="lrTb"/>
            <w:noWrap w:val="false"/>
          </w:tcPr>
          <w:p>
            <w:pPr>
              <w:jc w:val="center"/>
              <w:rPr>
                <w:rFonts w:eastAsia="宋体"/>
                <w:sz w:val="24"/>
                <w:szCs w:val="24"/>
              </w:rPr>
            </w:pPr>
            <w:r>
              <w:rPr>
                <w:rFonts w:eastAsia="宋体"/>
                <w:sz w:val="24"/>
                <w:szCs w:val="24"/>
              </w:rPr>
            </w:r>
            <w:r/>
          </w:p>
        </w:tc>
        <w:tc>
          <w:tcPr>
            <w:tcW w:w="1308" w:type="dxa"/>
            <w:textDirection w:val="lrTb"/>
            <w:noWrap w:val="false"/>
          </w:tcPr>
          <w:p>
            <w:pPr>
              <w:jc w:val="center"/>
              <w:rPr>
                <w:rFonts w:eastAsia="宋体"/>
                <w:sz w:val="24"/>
                <w:szCs w:val="24"/>
              </w:rPr>
            </w:pPr>
            <w:r>
              <w:rPr>
                <w:rFonts w:eastAsia="宋体"/>
                <w:sz w:val="24"/>
                <w:szCs w:val="24"/>
              </w:rPr>
            </w:r>
            <w:r/>
          </w:p>
        </w:tc>
        <w:tc>
          <w:tcPr>
            <w:tcW w:w="1173" w:type="dxa"/>
            <w:textDirection w:val="lrTb"/>
            <w:noWrap w:val="false"/>
          </w:tcPr>
          <w:p>
            <w:pPr>
              <w:jc w:val="center"/>
              <w:rPr>
                <w:rFonts w:eastAsia="宋体"/>
                <w:sz w:val="24"/>
                <w:szCs w:val="24"/>
              </w:rPr>
            </w:pPr>
            <w:r>
              <w:rPr>
                <w:rFonts w:eastAsia="宋体"/>
                <w:sz w:val="24"/>
                <w:szCs w:val="24"/>
              </w:rPr>
            </w:r>
            <w:r/>
          </w:p>
        </w:tc>
      </w:tr>
      <w:tr>
        <w:trPr>
          <w:cantSplit/>
          <w:trHeight w:val="640"/>
        </w:trPr>
        <w:tc>
          <w:tcPr>
            <w:tcW w:w="545" w:type="dxa"/>
            <w:textDirection w:val="lrTb"/>
            <w:noWrap w:val="false"/>
          </w:tcPr>
          <w:p>
            <w:pPr>
              <w:jc w:val="center"/>
              <w:rPr>
                <w:rFonts w:eastAsia="宋体"/>
                <w:sz w:val="24"/>
                <w:szCs w:val="24"/>
              </w:rPr>
            </w:pPr>
            <w:r>
              <w:rPr>
                <w:rFonts w:eastAsia="宋体"/>
                <w:sz w:val="24"/>
                <w:szCs w:val="24"/>
              </w:rPr>
            </w:r>
            <w:r/>
          </w:p>
        </w:tc>
        <w:tc>
          <w:tcPr>
            <w:tcW w:w="3291" w:type="dxa"/>
            <w:textDirection w:val="lrTb"/>
            <w:noWrap w:val="false"/>
          </w:tcPr>
          <w:p>
            <w:pPr>
              <w:jc w:val="center"/>
              <w:rPr>
                <w:rFonts w:eastAsia="宋体"/>
                <w:sz w:val="24"/>
                <w:szCs w:val="24"/>
              </w:rPr>
            </w:pPr>
            <w:r>
              <w:rPr>
                <w:rFonts w:eastAsia="宋体"/>
                <w:sz w:val="24"/>
                <w:szCs w:val="24"/>
              </w:rPr>
            </w:r>
            <w:r/>
          </w:p>
        </w:tc>
        <w:tc>
          <w:tcPr>
            <w:tcW w:w="2852" w:type="dxa"/>
            <w:textDirection w:val="lrTb"/>
            <w:noWrap w:val="false"/>
          </w:tcPr>
          <w:p>
            <w:pPr>
              <w:jc w:val="center"/>
              <w:rPr>
                <w:rFonts w:eastAsia="宋体"/>
                <w:sz w:val="24"/>
                <w:szCs w:val="24"/>
              </w:rPr>
            </w:pPr>
            <w:r>
              <w:rPr>
                <w:rFonts w:eastAsia="宋体"/>
                <w:sz w:val="24"/>
                <w:szCs w:val="24"/>
              </w:rPr>
            </w:r>
            <w:r/>
          </w:p>
        </w:tc>
        <w:tc>
          <w:tcPr>
            <w:tcW w:w="1308" w:type="dxa"/>
            <w:textDirection w:val="lrTb"/>
            <w:noWrap w:val="false"/>
          </w:tcPr>
          <w:p>
            <w:pPr>
              <w:jc w:val="center"/>
              <w:rPr>
                <w:rFonts w:eastAsia="宋体"/>
                <w:sz w:val="24"/>
                <w:szCs w:val="24"/>
              </w:rPr>
            </w:pPr>
            <w:r>
              <w:rPr>
                <w:rFonts w:eastAsia="宋体"/>
                <w:sz w:val="24"/>
                <w:szCs w:val="24"/>
              </w:rPr>
            </w:r>
            <w:r/>
          </w:p>
        </w:tc>
        <w:tc>
          <w:tcPr>
            <w:tcW w:w="1173" w:type="dxa"/>
            <w:textDirection w:val="lrTb"/>
            <w:noWrap w:val="false"/>
          </w:tcPr>
          <w:p>
            <w:pPr>
              <w:jc w:val="center"/>
              <w:rPr>
                <w:rFonts w:eastAsia="宋体"/>
                <w:sz w:val="24"/>
                <w:szCs w:val="24"/>
              </w:rPr>
            </w:pPr>
            <w:r>
              <w:rPr>
                <w:rFonts w:eastAsia="宋体"/>
                <w:sz w:val="24"/>
                <w:szCs w:val="24"/>
              </w:rPr>
            </w:r>
            <w:r/>
          </w:p>
        </w:tc>
      </w:tr>
      <w:tr>
        <w:trPr>
          <w:cantSplit/>
          <w:trHeight w:val="640"/>
        </w:trPr>
        <w:tc>
          <w:tcPr>
            <w:tcW w:w="545" w:type="dxa"/>
            <w:textDirection w:val="lrTb"/>
            <w:noWrap w:val="false"/>
          </w:tcPr>
          <w:p>
            <w:pPr>
              <w:jc w:val="center"/>
              <w:rPr>
                <w:rFonts w:eastAsia="宋体"/>
                <w:sz w:val="24"/>
                <w:szCs w:val="24"/>
              </w:rPr>
            </w:pPr>
            <w:r>
              <w:rPr>
                <w:rFonts w:eastAsia="宋体"/>
                <w:sz w:val="24"/>
                <w:szCs w:val="24"/>
              </w:rPr>
            </w:r>
            <w:r/>
          </w:p>
        </w:tc>
        <w:tc>
          <w:tcPr>
            <w:tcW w:w="3291" w:type="dxa"/>
            <w:textDirection w:val="lrTb"/>
            <w:noWrap w:val="false"/>
          </w:tcPr>
          <w:p>
            <w:pPr>
              <w:jc w:val="center"/>
              <w:rPr>
                <w:rFonts w:eastAsia="宋体"/>
                <w:sz w:val="24"/>
                <w:szCs w:val="24"/>
              </w:rPr>
            </w:pPr>
            <w:r>
              <w:rPr>
                <w:rFonts w:eastAsia="宋体"/>
                <w:sz w:val="24"/>
                <w:szCs w:val="24"/>
              </w:rPr>
            </w:r>
            <w:r/>
          </w:p>
        </w:tc>
        <w:tc>
          <w:tcPr>
            <w:tcW w:w="2852" w:type="dxa"/>
            <w:textDirection w:val="lrTb"/>
            <w:noWrap w:val="false"/>
          </w:tcPr>
          <w:p>
            <w:pPr>
              <w:jc w:val="center"/>
              <w:rPr>
                <w:rFonts w:eastAsia="宋体"/>
                <w:sz w:val="24"/>
                <w:szCs w:val="24"/>
              </w:rPr>
            </w:pPr>
            <w:r>
              <w:rPr>
                <w:rFonts w:eastAsia="宋体"/>
                <w:sz w:val="24"/>
                <w:szCs w:val="24"/>
              </w:rPr>
            </w:r>
            <w:r/>
          </w:p>
        </w:tc>
        <w:tc>
          <w:tcPr>
            <w:tcW w:w="1308" w:type="dxa"/>
            <w:textDirection w:val="lrTb"/>
            <w:noWrap w:val="false"/>
          </w:tcPr>
          <w:p>
            <w:pPr>
              <w:jc w:val="center"/>
              <w:rPr>
                <w:rFonts w:eastAsia="宋体"/>
                <w:sz w:val="24"/>
                <w:szCs w:val="24"/>
              </w:rPr>
            </w:pPr>
            <w:r>
              <w:rPr>
                <w:rFonts w:eastAsia="宋体"/>
                <w:sz w:val="24"/>
                <w:szCs w:val="24"/>
              </w:rPr>
            </w:r>
            <w:r/>
          </w:p>
        </w:tc>
        <w:tc>
          <w:tcPr>
            <w:tcW w:w="1173" w:type="dxa"/>
            <w:textDirection w:val="lrTb"/>
            <w:noWrap w:val="false"/>
          </w:tcPr>
          <w:p>
            <w:pPr>
              <w:jc w:val="center"/>
              <w:rPr>
                <w:rFonts w:eastAsia="宋体"/>
                <w:sz w:val="24"/>
                <w:szCs w:val="24"/>
              </w:rPr>
            </w:pPr>
            <w:r>
              <w:rPr>
                <w:rFonts w:eastAsia="宋体"/>
                <w:sz w:val="24"/>
                <w:szCs w:val="24"/>
              </w:rPr>
            </w:r>
            <w:r/>
          </w:p>
        </w:tc>
      </w:tr>
      <w:tr>
        <w:trPr>
          <w:cantSplit/>
          <w:trHeight w:val="640"/>
        </w:trPr>
        <w:tc>
          <w:tcPr>
            <w:tcW w:w="545" w:type="dxa"/>
            <w:textDirection w:val="lrTb"/>
            <w:noWrap w:val="false"/>
          </w:tcPr>
          <w:p>
            <w:pPr>
              <w:jc w:val="center"/>
              <w:rPr>
                <w:rFonts w:eastAsia="宋体"/>
                <w:sz w:val="24"/>
                <w:szCs w:val="24"/>
              </w:rPr>
            </w:pPr>
            <w:r>
              <w:rPr>
                <w:rFonts w:eastAsia="宋体"/>
                <w:sz w:val="24"/>
                <w:szCs w:val="24"/>
              </w:rPr>
            </w:r>
            <w:r/>
          </w:p>
        </w:tc>
        <w:tc>
          <w:tcPr>
            <w:tcW w:w="3291" w:type="dxa"/>
            <w:textDirection w:val="lrTb"/>
            <w:noWrap w:val="false"/>
          </w:tcPr>
          <w:p>
            <w:pPr>
              <w:jc w:val="center"/>
              <w:rPr>
                <w:rFonts w:eastAsia="宋体"/>
                <w:sz w:val="24"/>
                <w:szCs w:val="24"/>
              </w:rPr>
            </w:pPr>
            <w:r>
              <w:rPr>
                <w:rFonts w:eastAsia="宋体"/>
                <w:sz w:val="24"/>
                <w:szCs w:val="24"/>
              </w:rPr>
            </w:r>
            <w:r/>
          </w:p>
        </w:tc>
        <w:tc>
          <w:tcPr>
            <w:tcW w:w="2852" w:type="dxa"/>
            <w:textDirection w:val="lrTb"/>
            <w:noWrap w:val="false"/>
          </w:tcPr>
          <w:p>
            <w:pPr>
              <w:jc w:val="center"/>
              <w:rPr>
                <w:rFonts w:eastAsia="宋体"/>
                <w:sz w:val="24"/>
                <w:szCs w:val="24"/>
              </w:rPr>
            </w:pPr>
            <w:r>
              <w:rPr>
                <w:rFonts w:eastAsia="宋体"/>
                <w:sz w:val="24"/>
                <w:szCs w:val="24"/>
              </w:rPr>
            </w:r>
            <w:r/>
          </w:p>
        </w:tc>
        <w:tc>
          <w:tcPr>
            <w:tcW w:w="1308" w:type="dxa"/>
            <w:textDirection w:val="lrTb"/>
            <w:noWrap w:val="false"/>
          </w:tcPr>
          <w:p>
            <w:pPr>
              <w:jc w:val="center"/>
              <w:rPr>
                <w:rFonts w:eastAsia="宋体"/>
                <w:sz w:val="24"/>
                <w:szCs w:val="24"/>
              </w:rPr>
            </w:pPr>
            <w:r>
              <w:rPr>
                <w:rFonts w:eastAsia="宋体"/>
                <w:sz w:val="24"/>
                <w:szCs w:val="24"/>
              </w:rPr>
            </w:r>
            <w:r/>
          </w:p>
        </w:tc>
        <w:tc>
          <w:tcPr>
            <w:tcW w:w="1173" w:type="dxa"/>
            <w:textDirection w:val="lrTb"/>
            <w:noWrap w:val="false"/>
          </w:tcPr>
          <w:p>
            <w:pPr>
              <w:jc w:val="center"/>
              <w:rPr>
                <w:rFonts w:eastAsia="宋体"/>
                <w:sz w:val="24"/>
                <w:szCs w:val="24"/>
              </w:rPr>
            </w:pPr>
            <w:r>
              <w:rPr>
                <w:rFonts w:eastAsia="宋体"/>
                <w:sz w:val="24"/>
                <w:szCs w:val="24"/>
              </w:rPr>
            </w:r>
            <w:r/>
          </w:p>
        </w:tc>
      </w:tr>
      <w:tr>
        <w:trPr>
          <w:cantSplit/>
          <w:trHeight w:val="640"/>
        </w:trPr>
        <w:tc>
          <w:tcPr>
            <w:tcW w:w="545" w:type="dxa"/>
            <w:textDirection w:val="lrTb"/>
            <w:noWrap w:val="false"/>
          </w:tcPr>
          <w:p>
            <w:pPr>
              <w:jc w:val="center"/>
              <w:rPr>
                <w:rFonts w:eastAsia="宋体"/>
                <w:sz w:val="24"/>
                <w:szCs w:val="24"/>
              </w:rPr>
            </w:pPr>
            <w:r>
              <w:rPr>
                <w:rFonts w:eastAsia="宋体"/>
                <w:sz w:val="24"/>
                <w:szCs w:val="24"/>
              </w:rPr>
            </w:r>
            <w:r/>
          </w:p>
        </w:tc>
        <w:tc>
          <w:tcPr>
            <w:tcW w:w="3291" w:type="dxa"/>
            <w:textDirection w:val="lrTb"/>
            <w:noWrap w:val="false"/>
          </w:tcPr>
          <w:p>
            <w:pPr>
              <w:jc w:val="center"/>
              <w:rPr>
                <w:rFonts w:eastAsia="宋体"/>
                <w:sz w:val="24"/>
                <w:szCs w:val="24"/>
              </w:rPr>
            </w:pPr>
            <w:r>
              <w:rPr>
                <w:rFonts w:eastAsia="宋体"/>
                <w:sz w:val="24"/>
                <w:szCs w:val="24"/>
              </w:rPr>
            </w:r>
            <w:r/>
          </w:p>
        </w:tc>
        <w:tc>
          <w:tcPr>
            <w:tcW w:w="2852" w:type="dxa"/>
            <w:textDirection w:val="lrTb"/>
            <w:noWrap w:val="false"/>
          </w:tcPr>
          <w:p>
            <w:pPr>
              <w:jc w:val="center"/>
              <w:rPr>
                <w:rFonts w:eastAsia="宋体"/>
                <w:sz w:val="24"/>
                <w:szCs w:val="24"/>
              </w:rPr>
            </w:pPr>
            <w:r>
              <w:rPr>
                <w:rFonts w:eastAsia="宋体"/>
                <w:sz w:val="24"/>
                <w:szCs w:val="24"/>
              </w:rPr>
            </w:r>
            <w:r/>
          </w:p>
        </w:tc>
        <w:tc>
          <w:tcPr>
            <w:tcW w:w="1308" w:type="dxa"/>
            <w:textDirection w:val="lrTb"/>
            <w:noWrap w:val="false"/>
          </w:tcPr>
          <w:p>
            <w:pPr>
              <w:jc w:val="center"/>
              <w:rPr>
                <w:rFonts w:eastAsia="宋体"/>
                <w:sz w:val="24"/>
                <w:szCs w:val="24"/>
              </w:rPr>
            </w:pPr>
            <w:r>
              <w:rPr>
                <w:rFonts w:eastAsia="宋体"/>
                <w:sz w:val="24"/>
                <w:szCs w:val="24"/>
              </w:rPr>
            </w:r>
            <w:r/>
          </w:p>
        </w:tc>
        <w:tc>
          <w:tcPr>
            <w:tcW w:w="1173" w:type="dxa"/>
            <w:textDirection w:val="lrTb"/>
            <w:noWrap w:val="false"/>
          </w:tcPr>
          <w:p>
            <w:pPr>
              <w:jc w:val="center"/>
              <w:rPr>
                <w:rFonts w:eastAsia="宋体"/>
                <w:sz w:val="24"/>
                <w:szCs w:val="24"/>
              </w:rPr>
            </w:pPr>
            <w:r>
              <w:rPr>
                <w:rFonts w:eastAsia="宋体"/>
                <w:sz w:val="24"/>
                <w:szCs w:val="24"/>
              </w:rPr>
            </w:r>
            <w:r/>
          </w:p>
        </w:tc>
      </w:tr>
      <w:tr>
        <w:trPr>
          <w:cantSplit/>
          <w:trHeight w:val="640"/>
        </w:trPr>
        <w:tc>
          <w:tcPr>
            <w:tcW w:w="545" w:type="dxa"/>
            <w:textDirection w:val="lrTb"/>
            <w:noWrap w:val="false"/>
          </w:tcPr>
          <w:p>
            <w:pPr>
              <w:jc w:val="center"/>
              <w:rPr>
                <w:rFonts w:eastAsia="宋体"/>
                <w:sz w:val="24"/>
                <w:szCs w:val="24"/>
              </w:rPr>
            </w:pPr>
            <w:r>
              <w:rPr>
                <w:rFonts w:eastAsia="宋体"/>
                <w:sz w:val="24"/>
                <w:szCs w:val="24"/>
              </w:rPr>
            </w:r>
            <w:r/>
          </w:p>
        </w:tc>
        <w:tc>
          <w:tcPr>
            <w:tcW w:w="3291" w:type="dxa"/>
            <w:textDirection w:val="lrTb"/>
            <w:noWrap w:val="false"/>
          </w:tcPr>
          <w:p>
            <w:pPr>
              <w:jc w:val="center"/>
              <w:rPr>
                <w:rFonts w:eastAsia="宋体"/>
                <w:sz w:val="24"/>
                <w:szCs w:val="24"/>
              </w:rPr>
            </w:pPr>
            <w:r>
              <w:rPr>
                <w:rFonts w:eastAsia="宋体"/>
                <w:sz w:val="24"/>
                <w:szCs w:val="24"/>
              </w:rPr>
              <w:t xml:space="preserve">……</w:t>
            </w:r>
            <w:r/>
          </w:p>
        </w:tc>
        <w:tc>
          <w:tcPr>
            <w:tcW w:w="2852" w:type="dxa"/>
            <w:textDirection w:val="lrTb"/>
            <w:noWrap w:val="false"/>
          </w:tcPr>
          <w:p>
            <w:pPr>
              <w:jc w:val="center"/>
              <w:rPr>
                <w:rFonts w:eastAsia="宋体"/>
                <w:sz w:val="24"/>
                <w:szCs w:val="24"/>
              </w:rPr>
            </w:pPr>
            <w:r>
              <w:rPr>
                <w:rFonts w:eastAsia="宋体"/>
                <w:sz w:val="24"/>
                <w:szCs w:val="24"/>
              </w:rPr>
            </w:r>
            <w:r/>
          </w:p>
        </w:tc>
        <w:tc>
          <w:tcPr>
            <w:tcW w:w="1308" w:type="dxa"/>
            <w:textDirection w:val="lrTb"/>
            <w:noWrap w:val="false"/>
          </w:tcPr>
          <w:p>
            <w:pPr>
              <w:jc w:val="center"/>
              <w:rPr>
                <w:rFonts w:eastAsia="宋体"/>
                <w:sz w:val="24"/>
                <w:szCs w:val="24"/>
              </w:rPr>
            </w:pPr>
            <w:r>
              <w:rPr>
                <w:rFonts w:eastAsia="宋体"/>
                <w:sz w:val="24"/>
                <w:szCs w:val="24"/>
              </w:rPr>
            </w:r>
            <w:r/>
          </w:p>
        </w:tc>
        <w:tc>
          <w:tcPr>
            <w:tcW w:w="1173" w:type="dxa"/>
            <w:textDirection w:val="lrTb"/>
            <w:noWrap w:val="false"/>
          </w:tcPr>
          <w:p>
            <w:pPr>
              <w:jc w:val="center"/>
              <w:rPr>
                <w:rFonts w:eastAsia="宋体"/>
                <w:sz w:val="24"/>
                <w:szCs w:val="24"/>
              </w:rPr>
            </w:pPr>
            <w:r>
              <w:rPr>
                <w:rFonts w:eastAsia="宋体"/>
                <w:sz w:val="24"/>
                <w:szCs w:val="24"/>
              </w:rPr>
            </w:r>
            <w:r/>
          </w:p>
        </w:tc>
      </w:tr>
    </w:tbl>
    <w:p>
      <w:pPr>
        <w:spacing w:line="588" w:lineRule="exact"/>
        <w:rPr>
          <w:rFonts w:eastAsia="宋体"/>
          <w:sz w:val="24"/>
          <w:szCs w:val="21"/>
        </w:rPr>
      </w:pPr>
      <w:r>
        <w:rPr>
          <w:rFonts w:eastAsia="宋体"/>
          <w:sz w:val="24"/>
          <w:szCs w:val="21"/>
        </w:rPr>
        <w:t xml:space="preserve">1.</w:t>
      </w:r>
      <w:r>
        <w:rPr>
          <w:rFonts w:hint="eastAsia" w:eastAsia="宋体"/>
          <w:sz w:val="24"/>
          <w:szCs w:val="21"/>
        </w:rPr>
        <w:t xml:space="preserve">投标人</w:t>
      </w:r>
      <w:r>
        <w:rPr>
          <w:rFonts w:eastAsia="宋体"/>
          <w:sz w:val="24"/>
          <w:szCs w:val="21"/>
        </w:rPr>
        <w:t xml:space="preserve">必须对技术要求和商务要求中的实质性要求（加斜体下划线内容或打“</w:t>
      </w:r>
      <w:r>
        <w:rPr>
          <w:rFonts w:hint="eastAsia" w:ascii="宋体" w:hAnsi="宋体" w:eastAsia="宋体" w:cs="宋体"/>
          <w:sz w:val="24"/>
          <w:szCs w:val="21"/>
        </w:rPr>
        <w:t xml:space="preserve">★</w:t>
      </w:r>
      <w:r>
        <w:rPr>
          <w:rFonts w:eastAsia="宋体"/>
          <w:sz w:val="24"/>
          <w:szCs w:val="21"/>
        </w:rPr>
        <w:t xml:space="preserve">”内容）做出明确响应，否则作无效响应处理。</w:t>
      </w:r>
      <w:r/>
    </w:p>
    <w:p>
      <w:pPr>
        <w:spacing w:line="588" w:lineRule="exact"/>
        <w:rPr>
          <w:rFonts w:eastAsia="宋体"/>
          <w:sz w:val="24"/>
          <w:szCs w:val="21"/>
        </w:rPr>
      </w:pPr>
      <w:r>
        <w:rPr>
          <w:rFonts w:eastAsia="宋体"/>
          <w:sz w:val="24"/>
          <w:szCs w:val="21"/>
        </w:rPr>
        <w:t xml:space="preserve">2.如果采购文件要求提供证明材料，</w:t>
      </w:r>
      <w:r>
        <w:rPr>
          <w:rFonts w:hint="eastAsia" w:eastAsia="宋体"/>
          <w:sz w:val="24"/>
          <w:szCs w:val="21"/>
        </w:rPr>
        <w:t xml:space="preserve">投标人</w:t>
      </w:r>
      <w:r>
        <w:rPr>
          <w:rFonts w:eastAsia="宋体"/>
          <w:sz w:val="24"/>
          <w:szCs w:val="21"/>
        </w:rPr>
        <w:t xml:space="preserve">必须将证明材料列于该表之下。</w:t>
      </w:r>
      <w:r/>
    </w:p>
    <w:p>
      <w:pPr>
        <w:spacing w:line="588" w:lineRule="exact"/>
        <w:rPr>
          <w:rFonts w:eastAsia="宋体"/>
          <w:sz w:val="24"/>
          <w:szCs w:val="21"/>
        </w:rPr>
      </w:pPr>
      <w:r>
        <w:rPr>
          <w:rFonts w:eastAsia="宋体"/>
          <w:sz w:val="24"/>
          <w:szCs w:val="21"/>
        </w:rPr>
        <w:t xml:space="preserve">3.</w:t>
      </w:r>
      <w:r>
        <w:rPr>
          <w:rFonts w:hint="eastAsia" w:eastAsia="宋体"/>
          <w:sz w:val="24"/>
          <w:szCs w:val="21"/>
        </w:rPr>
        <w:t xml:space="preserve">投标人</w:t>
      </w:r>
      <w:r>
        <w:rPr>
          <w:rFonts w:eastAsia="宋体"/>
          <w:sz w:val="24"/>
          <w:szCs w:val="21"/>
        </w:rPr>
        <w:t xml:space="preserve">未对实质性要求作出明确响应的，或未按采购文件要求提供证明材料的，该分包作无效响应处理。</w:t>
      </w:r>
      <w:r/>
    </w:p>
    <w:p>
      <w:pPr>
        <w:spacing w:line="588" w:lineRule="exact"/>
        <w:rPr>
          <w:rFonts w:eastAsia="宋体"/>
          <w:sz w:val="24"/>
          <w:szCs w:val="21"/>
        </w:rPr>
      </w:pPr>
      <w:r>
        <w:rPr>
          <w:rFonts w:hint="eastAsia" w:eastAsia="宋体"/>
          <w:sz w:val="24"/>
          <w:szCs w:val="21"/>
        </w:rPr>
        <w:t xml:space="preserve">4.行数不够，可自行添加。</w:t>
      </w:r>
      <w:r/>
    </w:p>
    <w:p>
      <w:pPr>
        <w:jc w:val="center"/>
        <w:rPr>
          <w:rFonts w:eastAsia="黑体"/>
          <w:b/>
          <w:sz w:val="36"/>
          <w:szCs w:val="21"/>
        </w:rPr>
      </w:pPr>
      <w:r>
        <w:rPr>
          <w:rFonts w:eastAsia="黑体"/>
          <w:b/>
          <w:sz w:val="36"/>
          <w:szCs w:val="21"/>
        </w:rPr>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pStyle w:val="816"/>
      </w:pPr>
      <w:r/>
      <w:r/>
    </w:p>
    <w:p>
      <w:r/>
      <w:r/>
    </w:p>
    <w:p>
      <w:pPr>
        <w:pStyle w:val="816"/>
      </w:pPr>
      <w:r/>
      <w:r/>
    </w:p>
    <w:p>
      <w:r/>
      <w:r/>
    </w:p>
    <w:p>
      <w:pPr>
        <w:jc w:val="left"/>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p>
    <w:p>
      <w:pPr>
        <w:jc w:val="center"/>
        <w:spacing w:before="100" w:beforeAutospacing="1" w:after="100" w:afterAutospacing="1" w:line="600" w:lineRule="exact"/>
        <w:widowControl/>
        <w:rPr>
          <w:rFonts w:eastAsia="宋体" w:cs="宋体"/>
          <w:b/>
          <w:bCs/>
          <w:sz w:val="32"/>
          <w:szCs w:val="32"/>
        </w:rPr>
      </w:pPr>
      <w:r>
        <w:rPr>
          <w:rFonts w:hint="eastAsia" w:eastAsia="宋体" w:cs="宋体"/>
          <w:b/>
          <w:bCs/>
          <w:sz w:val="32"/>
          <w:szCs w:val="32"/>
        </w:rPr>
        <w:t xml:space="preserve">项目组成员</w:t>
      </w:r>
      <w:r/>
    </w:p>
    <w:tbl>
      <w:tblPr>
        <w:tblStyle w:val="815"/>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460" w:lineRule="exact"/>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500" w:lineRule="exact"/>
        <w:widowControl/>
        <w:rPr>
          <w:rFonts w:eastAsia="仿宋_GB2312" w:cs="仿宋_GB2312"/>
          <w:sz w:val="24"/>
          <w:szCs w:val="24"/>
        </w:rPr>
      </w:pPr>
      <w:r>
        <w:rPr>
          <w:rFonts w:eastAsia="仿宋_GB2312" w:cs="仿宋_GB2312"/>
          <w:sz w:val="24"/>
          <w:szCs w:val="24"/>
        </w:rPr>
      </w:r>
      <w:r/>
    </w:p>
    <w:p>
      <w:pPr>
        <w:spacing w:line="500" w:lineRule="exact"/>
        <w:rPr>
          <w:rFonts w:eastAsia="宋体"/>
          <w:sz w:val="21"/>
          <w:szCs w:val="24"/>
        </w:rPr>
      </w:pPr>
      <w:r>
        <w:rPr>
          <w:rFonts w:eastAsia="宋体"/>
          <w:sz w:val="21"/>
          <w:szCs w:val="24"/>
        </w:rPr>
        <w:br w:type="page" w:clear="all"/>
      </w:r>
      <w:bookmarkStart w:id="57" w:name="_Toc11176"/>
      <w:r>
        <w:rPr>
          <w:rFonts w:hint="eastAsia" w:eastAsia="黑体" w:cs="黑体"/>
          <w:b/>
          <w:sz w:val="32"/>
          <w:szCs w:val="24"/>
        </w:rPr>
        <w:t xml:space="preserve">十、</w:t>
      </w:r>
      <w:bookmarkEnd w:id="57"/>
      <w:r>
        <w:rPr>
          <w:rFonts w:hint="eastAsia" w:eastAsia="黑体" w:cs="黑体"/>
          <w:b/>
          <w:sz w:val="32"/>
          <w:szCs w:val="24"/>
        </w:rPr>
        <w:t xml:space="preserve">企业业绩</w:t>
      </w:r>
      <w:r/>
    </w:p>
    <w:p>
      <w:pPr>
        <w:jc w:val="center"/>
        <w:rPr>
          <w:rFonts w:eastAsia="宋体"/>
          <w:b/>
          <w:sz w:val="32"/>
          <w:szCs w:val="32"/>
        </w:rPr>
      </w:pPr>
      <w:r>
        <w:rPr>
          <w:rFonts w:hint="eastAsia" w:eastAsia="宋体"/>
          <w:b/>
          <w:sz w:val="32"/>
          <w:szCs w:val="32"/>
        </w:rPr>
        <w:t xml:space="preserve">投标人承担类似项目业绩一览表</w:t>
      </w:r>
      <w:r/>
    </w:p>
    <w:tbl>
      <w:tblPr>
        <w:tblStyle w:val="815"/>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bl>
    <w:p>
      <w:pPr>
        <w:rPr>
          <w:rFonts w:eastAsia="宋体"/>
          <w:sz w:val="21"/>
          <w:szCs w:val="22"/>
        </w:rPr>
      </w:pPr>
      <w:r>
        <w:rPr>
          <w:rFonts w:hint="eastAsia" w:eastAsia="仿宋_GB2312"/>
          <w:b/>
          <w:sz w:val="24"/>
          <w:szCs w:val="22"/>
        </w:rPr>
        <w:t xml:space="preserve">注：请填写此表，并按要求上传业绩资料电子件。</w:t>
      </w:r>
      <w:r/>
    </w:p>
    <w:p>
      <w:pPr>
        <w:jc w:val="left"/>
        <w:widowControl/>
        <w:rPr>
          <w:rFonts w:eastAsia="黑体" w:cs="黑体"/>
          <w:b/>
          <w:sz w:val="32"/>
          <w:szCs w:val="24"/>
        </w:rPr>
        <w:outlineLvl w:val="1"/>
      </w:pPr>
      <w:r>
        <w:rPr>
          <w:rFonts w:eastAsia="黑体" w:cs="黑体"/>
          <w:b/>
          <w:sz w:val="32"/>
          <w:szCs w:val="24"/>
        </w:rPr>
        <w:br w:type="page" w:clear="all"/>
      </w:r>
      <w:bookmarkStart w:id="58" w:name="_Toc28140"/>
      <w:r>
        <w:rPr>
          <w:rFonts w:hint="eastAsia" w:eastAsia="黑体" w:cs="黑体"/>
          <w:b/>
          <w:sz w:val="32"/>
          <w:szCs w:val="24"/>
        </w:rPr>
        <w:t xml:space="preserve">十一</w:t>
      </w:r>
      <w:r>
        <w:rPr>
          <w:rFonts w:eastAsia="黑体" w:cs="黑体"/>
          <w:b/>
          <w:sz w:val="32"/>
          <w:szCs w:val="24"/>
        </w:rPr>
        <w:t xml:space="preserve">、投标所需其他材料</w:t>
      </w:r>
      <w:bookmarkEnd w:id="58"/>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rPr>
          <w:rFonts w:eastAsia="宋体"/>
          <w:sz w:val="20"/>
          <w:szCs w:val="21"/>
          <w:highlight w:val="white"/>
        </w:rPr>
      </w:pPr>
      <w:r>
        <w:rPr>
          <w:rFonts w:hint="eastAsia" w:eastAsia="宋体"/>
          <w:sz w:val="20"/>
          <w:szCs w:val="21"/>
          <w:highlight w:val="white"/>
        </w:rPr>
        <w:t xml:space="preserve"> </w:t>
      </w:r>
      <w:r/>
    </w:p>
    <w:p>
      <w:pPr>
        <w:rPr>
          <w:rFonts w:eastAsia="宋体"/>
          <w:sz w:val="21"/>
          <w:szCs w:val="21"/>
        </w:rPr>
      </w:pPr>
      <w:r>
        <w:rPr>
          <w:rFonts w:eastAsia="宋体"/>
          <w:sz w:val="21"/>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bookmarkEnd w:id="53"/>
      <w:r/>
      <w:r/>
    </w:p>
    <w:p>
      <w:pPr>
        <w:spacing w:line="480" w:lineRule="auto"/>
        <w:rPr>
          <w:rFonts w:eastAsia="宋体"/>
          <w:sz w:val="24"/>
          <w:szCs w:val="21"/>
        </w:rPr>
      </w:pPr>
      <w:r>
        <w:rPr>
          <w:rFonts w:eastAsia="宋体"/>
          <w:sz w:val="24"/>
          <w:szCs w:val="21"/>
        </w:rPr>
      </w:r>
      <w:r/>
    </w:p>
    <w:p>
      <w:pPr>
        <w:spacing w:line="480" w:lineRule="auto"/>
        <w:rPr>
          <w:rFonts w:eastAsia="宋体"/>
          <w:sz w:val="30"/>
          <w:szCs w:val="21"/>
        </w:rPr>
      </w:pPr>
      <w:r>
        <w:rPr>
          <w:rFonts w:eastAsia="宋体"/>
          <w:sz w:val="30"/>
          <w:szCs w:val="21"/>
        </w:rPr>
      </w:r>
      <w:r/>
    </w:p>
    <w:p>
      <w:pPr>
        <w:rPr>
          <w:rFonts w:eastAsia="宋体"/>
          <w:sz w:val="24"/>
          <w:szCs w:val="21"/>
        </w:rPr>
      </w:pPr>
      <w:r/>
      <w:bookmarkStart w:id="59" w:name="_Hlt26609389"/>
      <w:r/>
      <w:bookmarkEnd w:id="59"/>
      <w:r/>
      <w:bookmarkStart w:id="60" w:name="_Hlt26671374"/>
      <w:r/>
      <w:bookmarkEnd w:id="60"/>
      <w:r/>
      <w:bookmarkStart w:id="61" w:name="_Hlt26955066"/>
      <w:r/>
      <w:bookmarkEnd w:id="61"/>
      <w:r/>
      <w:bookmarkStart w:id="62" w:name="_Toc462564146"/>
      <w:r/>
      <w:r/>
    </w:p>
    <w:p>
      <w:pPr>
        <w:rPr>
          <w:rFonts w:eastAsia="宋体"/>
          <w:sz w:val="24"/>
          <w:szCs w:val="21"/>
        </w:rPr>
      </w:pPr>
      <w:r>
        <w:rPr>
          <w:rFonts w:eastAsia="宋体"/>
          <w:sz w:val="24"/>
          <w:szCs w:val="21"/>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bookmarkEnd w:id="62"/>
      <w:r/>
      <w:r/>
    </w:p>
    <w:p>
      <w:pPr>
        <w:rPr>
          <w:rFonts w:eastAsia="黑体"/>
          <w:b/>
          <w:sz w:val="32"/>
          <w:szCs w:val="32"/>
        </w:rPr>
      </w:pPr>
      <w:r/>
      <w:bookmarkStart w:id="63" w:name="_格式2__法定代表人授权书"/>
      <w:r/>
      <w:bookmarkEnd w:id="63"/>
      <w:r/>
      <w:r/>
    </w:p>
    <w:p>
      <w:pPr>
        <w:rPr>
          <w:rFonts w:eastAsia="黑体"/>
          <w:b/>
          <w:sz w:val="32"/>
          <w:szCs w:val="32"/>
        </w:rPr>
      </w:pPr>
      <w:r>
        <w:rPr>
          <w:rFonts w:eastAsia="黑体"/>
          <w:b/>
          <w:sz w:val="32"/>
          <w:szCs w:val="32"/>
        </w:rPr>
      </w:r>
      <w:r/>
    </w:p>
    <w:p>
      <w:pPr>
        <w:jc w:val="center"/>
        <w:rPr>
          <w:rFonts w:eastAsia="宋体" w:cs="仿宋"/>
          <w:b/>
          <w:bCs/>
          <w:sz w:val="32"/>
          <w:szCs w:val="32"/>
        </w:rPr>
      </w:pPr>
      <w:r>
        <w:rPr>
          <w:rFonts w:eastAsia="宋体" w:cs="仿宋"/>
          <w:b/>
          <w:bCs/>
          <w:sz w:val="32"/>
          <w:szCs w:val="32"/>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格式七*****（本项目要求的其他资格条件）</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Style w:val="815"/>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r/>
      <w:r/>
    </w:p>
    <w:p>
      <w:r/>
      <w:r/>
    </w:p>
    <w:p>
      <w:r/>
      <w:r/>
    </w:p>
    <w:p>
      <w:r/>
      <w:r/>
    </w:p>
    <w:p>
      <w:r/>
      <w:r/>
    </w:p>
    <w:p>
      <w:r/>
      <w:r/>
    </w:p>
    <w:p>
      <w:r/>
      <w:r/>
    </w:p>
    <w:p>
      <w:r/>
      <w:r/>
    </w:p>
    <w:p>
      <w:r/>
      <w:r/>
    </w:p>
    <w:p>
      <w:r/>
      <w:r/>
    </w:p>
    <w:p>
      <w:r/>
      <w:r/>
    </w:p>
    <w:p>
      <w:r/>
      <w:r/>
    </w:p>
    <w:p>
      <w:r/>
      <w:r/>
    </w:p>
    <w:p>
      <w:r/>
      <w:r/>
    </w:p>
    <w:p>
      <w:r>
        <w:br w:type="page" w:clear="all"/>
      </w:r>
      <w:r/>
    </w:p>
    <w:p>
      <w:r>
        <w:rPr>
          <w:rFonts w:hint="eastAsia"/>
        </w:rPr>
        <w:t xml:space="preserve">格式六</w:t>
      </w:r>
      <w:r/>
    </w:p>
    <w:p>
      <w:r>
        <w:rPr>
          <w:rFonts w:hint="eastAsia"/>
        </w:rPr>
        <w:t xml:space="preserve">资质证书（复印件）</w:t>
      </w:r>
      <w:r/>
    </w:p>
    <w:p>
      <w:r/>
      <w:r/>
    </w:p>
    <w:p>
      <w:r/>
      <w:r/>
    </w:p>
    <w:p>
      <w:pPr>
        <w:pStyle w:val="1009"/>
        <w:ind w:firstLine="240"/>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sectPr>
      <w:footerReference w:type="default" r:id="rId12"/>
      <w:footerReference w:type="first" r:id="rId13"/>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等线">
    <w:panose1 w:val="02010600030101010101"/>
  </w:font>
  <w:font w:name="仿宋">
    <w:panose1 w:val="02010609060101010101"/>
  </w:font>
  <w:font w:name="Cambria">
    <w:panose1 w:val="0204050305040603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29"/>
          <w:jc w:val="center"/>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10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2725" cy="170815"/>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212725" cy="170815"/>
                      </a:xfrm>
                      <a:prstGeom prst="rect">
                        <a:avLst/>
                      </a:prstGeom>
                      <a:noFill/>
                      <a:ln w="6350">
                        <a:noFill/>
                      </a:ln>
                      <a:effectLst/>
                    </wps:spPr>
                    <wps:txbx>
                      <w:txbxContent>
                        <w:p>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6.8pt;height:13.4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0"/>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6"/>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4"/>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Heading 1 Char"/>
    <w:basedOn w:val="814"/>
    <w:link w:val="805"/>
    <w:uiPriority w:val="9"/>
    <w:rPr>
      <w:rFonts w:ascii="Arial" w:hAnsi="Arial" w:eastAsia="Arial" w:cs="Arial"/>
      <w:sz w:val="40"/>
      <w:szCs w:val="40"/>
    </w:rPr>
  </w:style>
  <w:style w:type="character" w:styleId="769">
    <w:name w:val="Heading 2 Char"/>
    <w:basedOn w:val="814"/>
    <w:link w:val="806"/>
    <w:uiPriority w:val="9"/>
    <w:rPr>
      <w:rFonts w:ascii="Arial" w:hAnsi="Arial" w:eastAsia="Arial" w:cs="Arial"/>
      <w:sz w:val="34"/>
    </w:rPr>
  </w:style>
  <w:style w:type="character" w:styleId="770">
    <w:name w:val="Heading 3 Char"/>
    <w:basedOn w:val="814"/>
    <w:link w:val="807"/>
    <w:uiPriority w:val="9"/>
    <w:rPr>
      <w:rFonts w:ascii="Arial" w:hAnsi="Arial" w:eastAsia="Arial" w:cs="Arial"/>
      <w:sz w:val="30"/>
      <w:szCs w:val="30"/>
    </w:rPr>
  </w:style>
  <w:style w:type="character" w:styleId="771">
    <w:name w:val="Heading 4 Char"/>
    <w:basedOn w:val="814"/>
    <w:link w:val="808"/>
    <w:uiPriority w:val="9"/>
    <w:rPr>
      <w:rFonts w:ascii="Arial" w:hAnsi="Arial" w:eastAsia="Arial" w:cs="Arial"/>
      <w:b/>
      <w:bCs/>
      <w:sz w:val="26"/>
      <w:szCs w:val="26"/>
    </w:rPr>
  </w:style>
  <w:style w:type="character" w:styleId="772">
    <w:name w:val="Heading 5 Char"/>
    <w:basedOn w:val="814"/>
    <w:link w:val="809"/>
    <w:uiPriority w:val="9"/>
    <w:rPr>
      <w:rFonts w:ascii="Arial" w:hAnsi="Arial" w:eastAsia="Arial" w:cs="Arial"/>
      <w:b/>
      <w:bCs/>
      <w:sz w:val="24"/>
      <w:szCs w:val="24"/>
    </w:rPr>
  </w:style>
  <w:style w:type="character" w:styleId="773">
    <w:name w:val="Heading 6 Char"/>
    <w:basedOn w:val="814"/>
    <w:link w:val="810"/>
    <w:uiPriority w:val="9"/>
    <w:rPr>
      <w:rFonts w:ascii="Arial" w:hAnsi="Arial" w:eastAsia="Arial" w:cs="Arial"/>
      <w:b/>
      <w:bCs/>
      <w:sz w:val="22"/>
      <w:szCs w:val="22"/>
    </w:rPr>
  </w:style>
  <w:style w:type="character" w:styleId="774">
    <w:name w:val="Heading 7 Char"/>
    <w:basedOn w:val="814"/>
    <w:link w:val="811"/>
    <w:uiPriority w:val="9"/>
    <w:rPr>
      <w:rFonts w:ascii="Arial" w:hAnsi="Arial" w:eastAsia="Arial" w:cs="Arial"/>
      <w:b/>
      <w:bCs/>
      <w:i/>
      <w:iCs/>
      <w:sz w:val="22"/>
      <w:szCs w:val="22"/>
    </w:rPr>
  </w:style>
  <w:style w:type="character" w:styleId="775">
    <w:name w:val="Heading 8 Char"/>
    <w:basedOn w:val="814"/>
    <w:link w:val="812"/>
    <w:uiPriority w:val="9"/>
    <w:rPr>
      <w:rFonts w:ascii="Arial" w:hAnsi="Arial" w:eastAsia="Arial" w:cs="Arial"/>
      <w:i/>
      <w:iCs/>
      <w:sz w:val="22"/>
      <w:szCs w:val="22"/>
    </w:rPr>
  </w:style>
  <w:style w:type="character" w:styleId="776">
    <w:name w:val="Heading 9 Char"/>
    <w:basedOn w:val="814"/>
    <w:link w:val="813"/>
    <w:uiPriority w:val="9"/>
    <w:rPr>
      <w:rFonts w:ascii="Arial" w:hAnsi="Arial" w:eastAsia="Arial" w:cs="Arial"/>
      <w:i/>
      <w:iCs/>
      <w:sz w:val="21"/>
      <w:szCs w:val="21"/>
    </w:rPr>
  </w:style>
  <w:style w:type="character" w:styleId="777">
    <w:name w:val="Title Char"/>
    <w:basedOn w:val="814"/>
    <w:link w:val="843"/>
    <w:uiPriority w:val="10"/>
    <w:rPr>
      <w:sz w:val="48"/>
      <w:szCs w:val="48"/>
    </w:rPr>
  </w:style>
  <w:style w:type="character" w:styleId="778">
    <w:name w:val="Subtitle Char"/>
    <w:basedOn w:val="814"/>
    <w:link w:val="836"/>
    <w:uiPriority w:val="11"/>
    <w:rPr>
      <w:sz w:val="24"/>
      <w:szCs w:val="24"/>
    </w:rPr>
  </w:style>
  <w:style w:type="character" w:styleId="779">
    <w:name w:val="Quote Char"/>
    <w:link w:val="867"/>
    <w:uiPriority w:val="29"/>
    <w:rPr>
      <w:i/>
    </w:rPr>
  </w:style>
  <w:style w:type="character" w:styleId="780">
    <w:name w:val="Intense Quote Char"/>
    <w:link w:val="869"/>
    <w:uiPriority w:val="30"/>
    <w:rPr>
      <w:i/>
    </w:rPr>
  </w:style>
  <w:style w:type="character" w:styleId="781">
    <w:name w:val="Caption Char"/>
    <w:basedOn w:val="819"/>
    <w:link w:val="829"/>
    <w:uiPriority w:val="99"/>
  </w:style>
  <w:style w:type="table" w:styleId="782">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1">
    <w:name w:val="Footnote Text Char"/>
    <w:link w:val="837"/>
    <w:uiPriority w:val="99"/>
    <w:rPr>
      <w:sz w:val="18"/>
    </w:rPr>
  </w:style>
  <w:style w:type="character" w:styleId="802">
    <w:name w:val="Endnote Text Char"/>
    <w:link w:val="827"/>
    <w:uiPriority w:val="99"/>
    <w:rPr>
      <w:sz w:val="20"/>
    </w:rPr>
  </w:style>
  <w:style w:type="paragraph" w:styleId="803">
    <w:name w:val="TOC Heading"/>
    <w:uiPriority w:val="39"/>
    <w:unhideWhenUsed/>
  </w:style>
  <w:style w:type="paragraph" w:styleId="804" w:default="1">
    <w:name w:val="Normal"/>
    <w:next w:val="816"/>
    <w:uiPriority w:val="0"/>
    <w:qFormat/>
    <w:pPr>
      <w:jc w:val="both"/>
      <w:widowControl w:val="off"/>
    </w:pPr>
    <w:rPr>
      <w:rFonts w:ascii="Times New Roman" w:hAnsi="Times New Roman" w:eastAsia="楷体_GB2312" w:cs="Times New Roman"/>
      <w:sz w:val="26"/>
      <w:lang w:val="en-US" w:eastAsia="zh-CN" w:bidi="ar-SA"/>
    </w:rPr>
  </w:style>
  <w:style w:type="paragraph" w:styleId="805">
    <w:name w:val="Heading 1"/>
    <w:basedOn w:val="804"/>
    <w:next w:val="804"/>
    <w:link w:val="854"/>
    <w:uiPriority w:val="0"/>
    <w:qFormat/>
    <w:pPr>
      <w:jc w:val="center"/>
      <w:keepLines/>
      <w:keepNext/>
      <w:spacing w:line="360" w:lineRule="auto"/>
      <w:outlineLvl w:val="0"/>
    </w:pPr>
    <w:rPr>
      <w:rFonts w:eastAsia="宋体"/>
      <w:b/>
      <w:sz w:val="32"/>
    </w:rPr>
  </w:style>
  <w:style w:type="paragraph" w:styleId="806">
    <w:name w:val="Heading 2"/>
    <w:basedOn w:val="804"/>
    <w:next w:val="804"/>
    <w:link w:val="855"/>
    <w:uiPriority w:val="9"/>
    <w:unhideWhenUsed/>
    <w:qFormat/>
    <w:pPr>
      <w:keepLines/>
      <w:keepNext/>
      <w:spacing w:before="360" w:after="200"/>
      <w:outlineLvl w:val="1"/>
    </w:pPr>
    <w:rPr>
      <w:rFonts w:ascii="Arial" w:hAnsi="Arial" w:eastAsia="Arial" w:cs="Arial"/>
      <w:sz w:val="34"/>
    </w:rPr>
  </w:style>
  <w:style w:type="paragraph" w:styleId="807">
    <w:name w:val="Heading 3"/>
    <w:basedOn w:val="804"/>
    <w:next w:val="804"/>
    <w:link w:val="856"/>
    <w:uiPriority w:val="9"/>
    <w:unhideWhenUsed/>
    <w:qFormat/>
    <w:pPr>
      <w:keepLines/>
      <w:keepNext/>
      <w:spacing w:before="320" w:after="200"/>
      <w:outlineLvl w:val="2"/>
    </w:pPr>
    <w:rPr>
      <w:rFonts w:ascii="Arial" w:hAnsi="Arial" w:eastAsia="Arial" w:cs="Arial"/>
      <w:sz w:val="30"/>
      <w:szCs w:val="30"/>
    </w:rPr>
  </w:style>
  <w:style w:type="paragraph" w:styleId="808">
    <w:name w:val="Heading 4"/>
    <w:basedOn w:val="804"/>
    <w:next w:val="804"/>
    <w:link w:val="857"/>
    <w:uiPriority w:val="9"/>
    <w:unhideWhenUsed/>
    <w:qFormat/>
    <w:pPr>
      <w:keepLines/>
      <w:keepNext/>
      <w:spacing w:before="320" w:after="200"/>
      <w:outlineLvl w:val="3"/>
    </w:pPr>
    <w:rPr>
      <w:rFonts w:ascii="Arial" w:hAnsi="Arial" w:eastAsia="Arial" w:cs="Arial"/>
      <w:b/>
      <w:bCs/>
      <w:szCs w:val="26"/>
    </w:rPr>
  </w:style>
  <w:style w:type="paragraph" w:styleId="809">
    <w:name w:val="Heading 5"/>
    <w:basedOn w:val="804"/>
    <w:next w:val="804"/>
    <w:link w:val="858"/>
    <w:uiPriority w:val="9"/>
    <w:unhideWhenUsed/>
    <w:qFormat/>
    <w:pPr>
      <w:keepLines/>
      <w:keepNext/>
      <w:spacing w:before="320" w:after="200"/>
      <w:outlineLvl w:val="4"/>
    </w:pPr>
    <w:rPr>
      <w:rFonts w:ascii="Arial" w:hAnsi="Arial" w:eastAsia="Arial" w:cs="Arial"/>
      <w:b/>
      <w:bCs/>
      <w:sz w:val="24"/>
      <w:szCs w:val="24"/>
    </w:rPr>
  </w:style>
  <w:style w:type="paragraph" w:styleId="810">
    <w:name w:val="Heading 6"/>
    <w:basedOn w:val="804"/>
    <w:next w:val="804"/>
    <w:link w:val="859"/>
    <w:uiPriority w:val="9"/>
    <w:unhideWhenUsed/>
    <w:qFormat/>
    <w:pPr>
      <w:keepLines/>
      <w:keepNext/>
      <w:spacing w:before="320" w:after="200"/>
      <w:outlineLvl w:val="5"/>
    </w:pPr>
    <w:rPr>
      <w:rFonts w:ascii="Arial" w:hAnsi="Arial" w:eastAsia="Arial" w:cs="Arial"/>
      <w:b/>
      <w:bCs/>
      <w:sz w:val="22"/>
      <w:szCs w:val="22"/>
    </w:rPr>
  </w:style>
  <w:style w:type="paragraph" w:styleId="811">
    <w:name w:val="Heading 7"/>
    <w:basedOn w:val="804"/>
    <w:next w:val="804"/>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812">
    <w:name w:val="Heading 8"/>
    <w:basedOn w:val="804"/>
    <w:next w:val="804"/>
    <w:link w:val="861"/>
    <w:uiPriority w:val="9"/>
    <w:unhideWhenUsed/>
    <w:qFormat/>
    <w:pPr>
      <w:keepLines/>
      <w:keepNext/>
      <w:spacing w:before="320" w:after="200"/>
      <w:outlineLvl w:val="7"/>
    </w:pPr>
    <w:rPr>
      <w:rFonts w:ascii="Arial" w:hAnsi="Arial" w:eastAsia="Arial" w:cs="Arial"/>
      <w:i/>
      <w:iCs/>
      <w:sz w:val="22"/>
      <w:szCs w:val="22"/>
    </w:rPr>
  </w:style>
  <w:style w:type="paragraph" w:styleId="813">
    <w:name w:val="Heading 9"/>
    <w:basedOn w:val="804"/>
    <w:next w:val="804"/>
    <w:link w:val="862"/>
    <w:uiPriority w:val="9"/>
    <w:unhideWhenUsed/>
    <w:qFormat/>
    <w:pPr>
      <w:keepLines/>
      <w:keepNext/>
      <w:spacing w:before="320" w:after="200"/>
      <w:outlineLvl w:val="8"/>
    </w:pPr>
    <w:rPr>
      <w:rFonts w:ascii="Arial" w:hAnsi="Arial" w:eastAsia="Arial" w:cs="Arial"/>
      <w:i/>
      <w:iCs/>
      <w:sz w:val="21"/>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Body Text"/>
    <w:basedOn w:val="804"/>
    <w:next w:val="804"/>
    <w:uiPriority w:val="0"/>
    <w:qFormat/>
    <w:rPr>
      <w:rFonts w:ascii="楷体_GB2312" w:hAnsi="Arial"/>
      <w:sz w:val="28"/>
    </w:rPr>
  </w:style>
  <w:style w:type="paragraph" w:styleId="817">
    <w:name w:val="toc 7"/>
    <w:basedOn w:val="804"/>
    <w:next w:val="804"/>
    <w:uiPriority w:val="39"/>
    <w:unhideWhenUsed/>
    <w:qFormat/>
    <w:pPr>
      <w:ind w:left="1701"/>
      <w:spacing w:after="57"/>
    </w:pPr>
  </w:style>
  <w:style w:type="paragraph" w:styleId="818">
    <w:name w:val="Normal Indent"/>
    <w:basedOn w:val="804"/>
    <w:next w:val="804"/>
    <w:uiPriority w:val="0"/>
    <w:qFormat/>
    <w:pPr>
      <w:ind w:firstLine="200"/>
    </w:pPr>
  </w:style>
  <w:style w:type="paragraph" w:styleId="819">
    <w:name w:val="Caption"/>
    <w:basedOn w:val="804"/>
    <w:next w:val="804"/>
    <w:uiPriority w:val="35"/>
    <w:semiHidden/>
    <w:unhideWhenUsed/>
    <w:qFormat/>
    <w:pPr>
      <w:spacing w:line="276" w:lineRule="auto"/>
    </w:pPr>
    <w:rPr>
      <w:b/>
      <w:bCs/>
      <w:color w:val="4f81bd"/>
      <w:sz w:val="18"/>
      <w:szCs w:val="18"/>
    </w:rPr>
  </w:style>
  <w:style w:type="paragraph" w:styleId="820">
    <w:name w:val="annotation text"/>
    <w:basedOn w:val="804"/>
    <w:link w:val="1036"/>
    <w:uiPriority w:val="99"/>
    <w:semiHidden/>
    <w:unhideWhenUsed/>
    <w:qFormat/>
    <w:pPr>
      <w:jc w:val="left"/>
    </w:pPr>
  </w:style>
  <w:style w:type="paragraph" w:styleId="821">
    <w:name w:val="Body Text Indent"/>
    <w:basedOn w:val="804"/>
    <w:uiPriority w:val="0"/>
    <w:qFormat/>
    <w:pPr>
      <w:ind w:firstLine="645"/>
    </w:pPr>
    <w:rPr>
      <w:rFonts w:ascii="楷体_GB2312" w:hAnsi="Calibri"/>
      <w:sz w:val="32"/>
      <w:szCs w:val="22"/>
    </w:rPr>
  </w:style>
  <w:style w:type="paragraph" w:styleId="822">
    <w:name w:val="Block Text"/>
    <w:basedOn w:val="804"/>
    <w:uiPriority w:val="0"/>
    <w:qFormat/>
    <w:pPr>
      <w:ind w:left="525" w:right="-1" w:firstLine="525"/>
      <w:spacing w:line="312" w:lineRule="atLeast"/>
    </w:pPr>
    <w:rPr>
      <w:sz w:val="28"/>
      <w:szCs w:val="28"/>
    </w:rPr>
  </w:style>
  <w:style w:type="paragraph" w:styleId="823">
    <w:name w:val="toc 5"/>
    <w:basedOn w:val="804"/>
    <w:next w:val="804"/>
    <w:uiPriority w:val="39"/>
    <w:unhideWhenUsed/>
    <w:qFormat/>
    <w:pPr>
      <w:ind w:left="1134"/>
      <w:spacing w:after="57"/>
    </w:pPr>
  </w:style>
  <w:style w:type="paragraph" w:styleId="824">
    <w:name w:val="toc 3"/>
    <w:basedOn w:val="804"/>
    <w:next w:val="804"/>
    <w:uiPriority w:val="39"/>
    <w:unhideWhenUsed/>
    <w:qFormat/>
    <w:pPr>
      <w:ind w:left="567"/>
      <w:spacing w:after="57"/>
    </w:pPr>
  </w:style>
  <w:style w:type="paragraph" w:styleId="825">
    <w:name w:val="Plain Text"/>
    <w:basedOn w:val="804"/>
    <w:next w:val="818"/>
    <w:uiPriority w:val="0"/>
    <w:qFormat/>
    <w:rPr>
      <w:rFonts w:ascii="宋体"/>
    </w:rPr>
  </w:style>
  <w:style w:type="paragraph" w:styleId="826">
    <w:name w:val="toc 8"/>
    <w:basedOn w:val="804"/>
    <w:next w:val="804"/>
    <w:uiPriority w:val="39"/>
    <w:unhideWhenUsed/>
    <w:qFormat/>
    <w:pPr>
      <w:ind w:left="1984"/>
      <w:spacing w:after="57"/>
    </w:pPr>
  </w:style>
  <w:style w:type="paragraph" w:styleId="827">
    <w:name w:val="endnote text"/>
    <w:basedOn w:val="804"/>
    <w:link w:val="1000"/>
    <w:uiPriority w:val="99"/>
    <w:semiHidden/>
    <w:unhideWhenUsed/>
    <w:qFormat/>
    <w:rPr>
      <w:sz w:val="20"/>
    </w:rPr>
  </w:style>
  <w:style w:type="paragraph" w:styleId="828">
    <w:name w:val="Balloon Text"/>
    <w:basedOn w:val="804"/>
    <w:link w:val="1032"/>
    <w:uiPriority w:val="99"/>
    <w:semiHidden/>
    <w:unhideWhenUsed/>
    <w:qFormat/>
    <w:rPr>
      <w:sz w:val="18"/>
      <w:szCs w:val="18"/>
    </w:rPr>
  </w:style>
  <w:style w:type="paragraph" w:styleId="829">
    <w:name w:val="Footer"/>
    <w:basedOn w:val="804"/>
    <w:link w:val="873"/>
    <w:uiPriority w:val="99"/>
    <w:unhideWhenUsed/>
    <w:qFormat/>
    <w:pPr>
      <w:tabs>
        <w:tab w:val="center" w:pos="7143" w:leader="none"/>
        <w:tab w:val="right" w:pos="14287" w:leader="none"/>
      </w:tabs>
    </w:pPr>
  </w:style>
  <w:style w:type="paragraph" w:styleId="830">
    <w:name w:val="envelope return"/>
    <w:basedOn w:val="831"/>
    <w:uiPriority w:val="99"/>
    <w:unhideWhenUsed/>
    <w:qFormat/>
    <w:rPr>
      <w:rFonts w:ascii="Arial" w:hAnsi="Arial"/>
    </w:rPr>
  </w:style>
  <w:style w:type="paragraph" w:styleId="831" w:customStyle="1">
    <w:name w:val="Normal_19"/>
    <w:next w:val="832"/>
    <w:uiPriority w:val="0"/>
    <w:qFormat/>
    <w:pPr>
      <w:jc w:val="both"/>
      <w:widowControl w:val="off"/>
    </w:pPr>
    <w:rPr>
      <w:rFonts w:ascii="Times New Roman" w:hAnsi="Times New Roman" w:eastAsia="宋体" w:cs="Times New Roman"/>
      <w:sz w:val="21"/>
      <w:szCs w:val="24"/>
      <w:lang w:val="en-US" w:eastAsia="zh-CN" w:bidi="ar-SA"/>
    </w:rPr>
  </w:style>
  <w:style w:type="paragraph" w:styleId="832" w:customStyle="1">
    <w:name w:val="正文文本缩进1"/>
    <w:basedOn w:val="804"/>
    <w:next w:val="830"/>
    <w:uiPriority w:val="0"/>
    <w:unhideWhenUsed/>
    <w:qFormat/>
    <w:pPr>
      <w:ind w:firstLine="570"/>
    </w:pPr>
    <w:rPr>
      <w:rFonts w:ascii="宋体" w:eastAsia="宋体"/>
      <w:sz w:val="28"/>
    </w:rPr>
  </w:style>
  <w:style w:type="paragraph" w:styleId="833">
    <w:name w:val="Header"/>
    <w:basedOn w:val="804"/>
    <w:link w:val="1002"/>
    <w:uiPriority w:val="0"/>
    <w:qFormat/>
    <w:pPr>
      <w:jc w:val="center"/>
      <w:tabs>
        <w:tab w:val="center" w:pos="4153" w:leader="none"/>
        <w:tab w:val="right" w:pos="8306" w:leader="none"/>
      </w:tabs>
    </w:pPr>
    <w:rPr>
      <w:sz w:val="18"/>
      <w:szCs w:val="18"/>
    </w:rPr>
  </w:style>
  <w:style w:type="paragraph" w:styleId="834">
    <w:name w:val="toc 1"/>
    <w:basedOn w:val="804"/>
    <w:next w:val="804"/>
    <w:uiPriority w:val="39"/>
    <w:unhideWhenUsed/>
    <w:qFormat/>
    <w:pPr>
      <w:spacing w:after="57"/>
    </w:pPr>
  </w:style>
  <w:style w:type="paragraph" w:styleId="835">
    <w:name w:val="toc 4"/>
    <w:basedOn w:val="804"/>
    <w:next w:val="804"/>
    <w:uiPriority w:val="39"/>
    <w:unhideWhenUsed/>
    <w:qFormat/>
    <w:pPr>
      <w:ind w:left="850"/>
      <w:spacing w:after="57"/>
    </w:pPr>
  </w:style>
  <w:style w:type="paragraph" w:styleId="836">
    <w:name w:val="Subtitle"/>
    <w:basedOn w:val="804"/>
    <w:next w:val="804"/>
    <w:link w:val="866"/>
    <w:uiPriority w:val="11"/>
    <w:qFormat/>
    <w:pPr>
      <w:spacing w:before="200" w:after="200"/>
    </w:pPr>
    <w:rPr>
      <w:sz w:val="24"/>
      <w:szCs w:val="24"/>
    </w:rPr>
  </w:style>
  <w:style w:type="paragraph" w:styleId="837">
    <w:name w:val="footnote text"/>
    <w:basedOn w:val="804"/>
    <w:link w:val="999"/>
    <w:uiPriority w:val="99"/>
    <w:semiHidden/>
    <w:unhideWhenUsed/>
    <w:qFormat/>
    <w:pPr>
      <w:spacing w:after="40"/>
    </w:pPr>
    <w:rPr>
      <w:sz w:val="18"/>
    </w:rPr>
  </w:style>
  <w:style w:type="paragraph" w:styleId="838">
    <w:name w:val="toc 6"/>
    <w:basedOn w:val="804"/>
    <w:next w:val="804"/>
    <w:uiPriority w:val="39"/>
    <w:unhideWhenUsed/>
    <w:qFormat/>
    <w:pPr>
      <w:ind w:left="1417"/>
      <w:spacing w:after="57"/>
    </w:pPr>
  </w:style>
  <w:style w:type="paragraph" w:styleId="839">
    <w:name w:val="table of figures"/>
    <w:basedOn w:val="804"/>
    <w:next w:val="804"/>
    <w:uiPriority w:val="99"/>
    <w:unhideWhenUsed/>
    <w:qFormat/>
  </w:style>
  <w:style w:type="paragraph" w:styleId="840">
    <w:name w:val="toc 2"/>
    <w:basedOn w:val="804"/>
    <w:next w:val="804"/>
    <w:uiPriority w:val="39"/>
    <w:unhideWhenUsed/>
    <w:qFormat/>
    <w:pPr>
      <w:ind w:left="283"/>
      <w:spacing w:after="57"/>
    </w:pPr>
  </w:style>
  <w:style w:type="paragraph" w:styleId="841">
    <w:name w:val="toc 9"/>
    <w:basedOn w:val="804"/>
    <w:next w:val="804"/>
    <w:uiPriority w:val="39"/>
    <w:unhideWhenUsed/>
    <w:qFormat/>
    <w:pPr>
      <w:ind w:left="2268"/>
      <w:spacing w:after="57"/>
    </w:pPr>
  </w:style>
  <w:style w:type="paragraph" w:styleId="842">
    <w:name w:val="Normal (Web)"/>
    <w:basedOn w:val="804"/>
    <w:uiPriority w:val="0"/>
    <w:qFormat/>
    <w:pPr>
      <w:jc w:val="left"/>
      <w:spacing w:before="100" w:beforeAutospacing="1" w:after="100" w:afterAutospacing="1"/>
      <w:widowControl/>
    </w:pPr>
    <w:rPr>
      <w:rFonts w:ascii="宋体" w:hAnsi="宋体"/>
      <w:color w:val="000000"/>
      <w:sz w:val="24"/>
      <w:szCs w:val="24"/>
    </w:rPr>
  </w:style>
  <w:style w:type="paragraph" w:styleId="843">
    <w:name w:val="Title"/>
    <w:basedOn w:val="804"/>
    <w:next w:val="804"/>
    <w:link w:val="865"/>
    <w:uiPriority w:val="10"/>
    <w:qFormat/>
    <w:pPr>
      <w:contextualSpacing/>
      <w:spacing w:before="300" w:after="200"/>
    </w:pPr>
    <w:rPr>
      <w:sz w:val="48"/>
      <w:szCs w:val="48"/>
    </w:rPr>
  </w:style>
  <w:style w:type="paragraph" w:styleId="844">
    <w:name w:val="annotation subject"/>
    <w:basedOn w:val="820"/>
    <w:next w:val="820"/>
    <w:link w:val="1037"/>
    <w:uiPriority w:val="99"/>
    <w:semiHidden/>
    <w:unhideWhenUsed/>
    <w:qFormat/>
    <w:rPr>
      <w:b/>
      <w:bCs/>
    </w:rPr>
  </w:style>
  <w:style w:type="paragraph" w:styleId="845">
    <w:name w:val="Body Text First Indent"/>
    <w:basedOn w:val="816"/>
    <w:next w:val="846"/>
    <w:uiPriority w:val="0"/>
    <w:qFormat/>
    <w:pPr>
      <w:ind w:firstLine="420"/>
    </w:pPr>
  </w:style>
  <w:style w:type="paragraph" w:styleId="846">
    <w:name w:val="Body Text First Indent 2"/>
    <w:basedOn w:val="821"/>
    <w:uiPriority w:val="99"/>
    <w:unhideWhenUsed/>
    <w:qFormat/>
    <w:pPr>
      <w:ind w:firstLine="200"/>
    </w:pPr>
  </w:style>
  <w:style w:type="table" w:styleId="847">
    <w:name w:val="Table Grid"/>
    <w:basedOn w:val="8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8">
    <w:name w:val="endnote reference"/>
    <w:uiPriority w:val="99"/>
    <w:semiHidden/>
    <w:unhideWhenUsed/>
    <w:qFormat/>
    <w:rPr>
      <w:vertAlign w:val="superscript"/>
    </w:rPr>
  </w:style>
  <w:style w:type="character" w:styleId="849">
    <w:name w:val="Emphasis"/>
    <w:uiPriority w:val="0"/>
    <w:qFormat/>
    <w:rPr>
      <w:rFonts w:ascii="Times New Roman" w:hAnsi="Times New Roman" w:eastAsia="宋体" w:cs="Times New Roman"/>
      <w:i/>
    </w:rPr>
  </w:style>
  <w:style w:type="character" w:styleId="850">
    <w:name w:val="Hyperlink"/>
    <w:uiPriority w:val="99"/>
    <w:unhideWhenUsed/>
    <w:qFormat/>
    <w:rPr>
      <w:color w:val="0563c1"/>
      <w:u w:val="single"/>
    </w:rPr>
  </w:style>
  <w:style w:type="character" w:styleId="851">
    <w:name w:val="annotation reference"/>
    <w:basedOn w:val="814"/>
    <w:uiPriority w:val="99"/>
    <w:semiHidden/>
    <w:unhideWhenUsed/>
    <w:qFormat/>
    <w:rPr>
      <w:sz w:val="21"/>
      <w:szCs w:val="21"/>
    </w:rPr>
  </w:style>
  <w:style w:type="character" w:styleId="852">
    <w:name w:val="footnote reference"/>
    <w:uiPriority w:val="99"/>
    <w:unhideWhenUsed/>
    <w:qFormat/>
    <w:rPr>
      <w:vertAlign w:val="superscript"/>
    </w:rPr>
  </w:style>
  <w:style w:type="paragraph" w:styleId="853" w:customStyle="1">
    <w:name w:val="标题 31"/>
    <w:basedOn w:val="804"/>
    <w:next w:val="804"/>
    <w:uiPriority w:val="0"/>
    <w:qFormat/>
    <w:pPr>
      <w:keepLines/>
      <w:keepNext/>
      <w:spacing w:before="260" w:after="260" w:line="416" w:lineRule="auto"/>
      <w:outlineLvl w:val="2"/>
    </w:pPr>
    <w:rPr>
      <w:b/>
      <w:bCs/>
      <w:sz w:val="32"/>
      <w:szCs w:val="32"/>
    </w:rPr>
  </w:style>
  <w:style w:type="character" w:styleId="854" w:customStyle="1">
    <w:name w:val="标题 1 字符"/>
    <w:link w:val="805"/>
    <w:uiPriority w:val="0"/>
    <w:qFormat/>
    <w:rPr>
      <w:rFonts w:ascii="Arial" w:hAnsi="Arial" w:eastAsia="Arial" w:cs="Arial"/>
      <w:sz w:val="40"/>
      <w:szCs w:val="40"/>
    </w:rPr>
  </w:style>
  <w:style w:type="character" w:styleId="855" w:customStyle="1">
    <w:name w:val="标题 2 字符"/>
    <w:link w:val="806"/>
    <w:uiPriority w:val="9"/>
    <w:qFormat/>
    <w:rPr>
      <w:rFonts w:ascii="Arial" w:hAnsi="Arial" w:eastAsia="Arial" w:cs="Arial"/>
      <w:sz w:val="34"/>
    </w:rPr>
  </w:style>
  <w:style w:type="character" w:styleId="856" w:customStyle="1">
    <w:name w:val="标题 3 字符"/>
    <w:link w:val="807"/>
    <w:uiPriority w:val="9"/>
    <w:qFormat/>
    <w:rPr>
      <w:rFonts w:ascii="Arial" w:hAnsi="Arial" w:eastAsia="Arial" w:cs="Arial"/>
      <w:sz w:val="30"/>
      <w:szCs w:val="30"/>
    </w:rPr>
  </w:style>
  <w:style w:type="character" w:styleId="857" w:customStyle="1">
    <w:name w:val="标题 4 字符"/>
    <w:link w:val="808"/>
    <w:uiPriority w:val="9"/>
    <w:qFormat/>
    <w:rPr>
      <w:rFonts w:ascii="Arial" w:hAnsi="Arial" w:eastAsia="Arial" w:cs="Arial"/>
      <w:b/>
      <w:bCs/>
      <w:sz w:val="26"/>
      <w:szCs w:val="26"/>
    </w:rPr>
  </w:style>
  <w:style w:type="character" w:styleId="858" w:customStyle="1">
    <w:name w:val="标题 5 字符"/>
    <w:link w:val="809"/>
    <w:uiPriority w:val="9"/>
    <w:qFormat/>
    <w:rPr>
      <w:rFonts w:ascii="Arial" w:hAnsi="Arial" w:eastAsia="Arial" w:cs="Arial"/>
      <w:b/>
      <w:bCs/>
      <w:sz w:val="24"/>
      <w:szCs w:val="24"/>
    </w:rPr>
  </w:style>
  <w:style w:type="character" w:styleId="859" w:customStyle="1">
    <w:name w:val="标题 6 字符"/>
    <w:link w:val="810"/>
    <w:uiPriority w:val="9"/>
    <w:qFormat/>
    <w:rPr>
      <w:rFonts w:ascii="Arial" w:hAnsi="Arial" w:eastAsia="Arial" w:cs="Arial"/>
      <w:b/>
      <w:bCs/>
      <w:sz w:val="22"/>
      <w:szCs w:val="22"/>
    </w:rPr>
  </w:style>
  <w:style w:type="character" w:styleId="860" w:customStyle="1">
    <w:name w:val="标题 7 字符"/>
    <w:link w:val="811"/>
    <w:uiPriority w:val="9"/>
    <w:qFormat/>
    <w:rPr>
      <w:rFonts w:ascii="Arial" w:hAnsi="Arial" w:eastAsia="Arial" w:cs="Arial"/>
      <w:b/>
      <w:bCs/>
      <w:i/>
      <w:iCs/>
      <w:sz w:val="22"/>
      <w:szCs w:val="22"/>
    </w:rPr>
  </w:style>
  <w:style w:type="character" w:styleId="861" w:customStyle="1">
    <w:name w:val="标题 8 字符"/>
    <w:link w:val="812"/>
    <w:uiPriority w:val="9"/>
    <w:qFormat/>
    <w:rPr>
      <w:rFonts w:ascii="Arial" w:hAnsi="Arial" w:eastAsia="Arial" w:cs="Arial"/>
      <w:i/>
      <w:iCs/>
      <w:sz w:val="22"/>
      <w:szCs w:val="22"/>
    </w:rPr>
  </w:style>
  <w:style w:type="character" w:styleId="862" w:customStyle="1">
    <w:name w:val="标题 9 字符"/>
    <w:link w:val="813"/>
    <w:uiPriority w:val="9"/>
    <w:qFormat/>
    <w:rPr>
      <w:rFonts w:ascii="Arial" w:hAnsi="Arial" w:eastAsia="Arial" w:cs="Arial"/>
      <w:i/>
      <w:iCs/>
      <w:sz w:val="21"/>
      <w:szCs w:val="21"/>
    </w:rPr>
  </w:style>
  <w:style w:type="paragraph" w:styleId="863">
    <w:name w:val="List Paragraph"/>
    <w:basedOn w:val="804"/>
    <w:uiPriority w:val="0"/>
    <w:qFormat/>
    <w:pPr>
      <w:ind w:firstLine="420"/>
    </w:pPr>
  </w:style>
  <w:style w:type="paragraph" w:styleId="864">
    <w:name w:val="No Spacing"/>
    <w:uiPriority w:val="1"/>
    <w:qFormat/>
    <w:rPr>
      <w:rFonts w:ascii="Times New Roman" w:hAnsi="Times New Roman" w:eastAsia="宋体" w:cs="Times New Roman"/>
      <w:lang w:val="en-US" w:eastAsia="zh-CN" w:bidi="ar-SA"/>
    </w:rPr>
  </w:style>
  <w:style w:type="character" w:styleId="865" w:customStyle="1">
    <w:name w:val="标题 字符"/>
    <w:link w:val="843"/>
    <w:uiPriority w:val="10"/>
    <w:qFormat/>
    <w:rPr>
      <w:sz w:val="48"/>
      <w:szCs w:val="48"/>
    </w:rPr>
  </w:style>
  <w:style w:type="character" w:styleId="866" w:customStyle="1">
    <w:name w:val="副标题 字符"/>
    <w:link w:val="836"/>
    <w:uiPriority w:val="11"/>
    <w:qFormat/>
    <w:rPr>
      <w:sz w:val="24"/>
      <w:szCs w:val="24"/>
    </w:rPr>
  </w:style>
  <w:style w:type="paragraph" w:styleId="867">
    <w:name w:val="Quote"/>
    <w:basedOn w:val="804"/>
    <w:next w:val="804"/>
    <w:link w:val="868"/>
    <w:uiPriority w:val="29"/>
    <w:qFormat/>
    <w:pPr>
      <w:ind w:left="720" w:right="720"/>
    </w:pPr>
    <w:rPr>
      <w:i/>
    </w:rPr>
  </w:style>
  <w:style w:type="character" w:styleId="868" w:customStyle="1">
    <w:name w:val="引用 字符"/>
    <w:link w:val="867"/>
    <w:uiPriority w:val="29"/>
    <w:qFormat/>
    <w:rPr>
      <w:i/>
    </w:rPr>
  </w:style>
  <w:style w:type="paragraph" w:styleId="869">
    <w:name w:val="Intense Quote"/>
    <w:basedOn w:val="804"/>
    <w:next w:val="804"/>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字符"/>
    <w:link w:val="869"/>
    <w:uiPriority w:val="30"/>
    <w:qFormat/>
    <w:rPr>
      <w:i/>
    </w:rPr>
  </w:style>
  <w:style w:type="character" w:styleId="871" w:customStyle="1">
    <w:name w:val="Header Char"/>
    <w:uiPriority w:val="99"/>
    <w:qFormat/>
  </w:style>
  <w:style w:type="character" w:styleId="872" w:customStyle="1">
    <w:name w:val="Footer Char"/>
    <w:uiPriority w:val="99"/>
    <w:qFormat/>
  </w:style>
  <w:style w:type="character" w:styleId="873" w:customStyle="1">
    <w:name w:val="页脚 字符"/>
    <w:link w:val="829"/>
    <w:uiPriority w:val="99"/>
    <w:qFormat/>
  </w:style>
  <w:style w:type="table" w:styleId="87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7" w:customStyle="1">
    <w:name w:val="无格式表格 31"/>
    <w:uiPriority w:val="99"/>
    <w:qFormat/>
    <w:tblPr>
      <w:tblCellMar>
        <w:left w:w="0" w:type="dxa"/>
        <w:top w:w="0" w:type="dxa"/>
        <w:right w:w="0" w:type="dxa"/>
        <w:bottom w:w="0" w:type="dxa"/>
      </w:tblCellMar>
    </w:tblPr>
  </w:style>
  <w:style w:type="table" w:styleId="878" w:customStyle="1">
    <w:name w:val="无格式表格 41"/>
    <w:uiPriority w:val="99"/>
    <w:qFormat/>
    <w:tblPr>
      <w:tblCellMar>
        <w:left w:w="0" w:type="dxa"/>
        <w:top w:w="0" w:type="dxa"/>
        <w:right w:w="0" w:type="dxa"/>
        <w:bottom w:w="0" w:type="dxa"/>
      </w:tblCellMar>
    </w:tblPr>
  </w:style>
  <w:style w:type="table" w:styleId="879" w:customStyle="1">
    <w:name w:val="无格式表格 51"/>
    <w:uiPriority w:val="99"/>
    <w:qFormat/>
    <w:tblPr>
      <w:tblCellMar>
        <w:left w:w="0" w:type="dxa"/>
        <w:top w:w="0" w:type="dxa"/>
        <w:right w:w="0" w:type="dxa"/>
        <w:bottom w:w="0" w:type="dxa"/>
      </w:tblCellMar>
    </w:tblPr>
  </w:style>
  <w:style w:type="table" w:styleId="88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8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0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9" w:customStyle="1">
    <w:name w:val="清单表 1 浅色1"/>
    <w:uiPriority w:val="99"/>
    <w:qFormat/>
    <w:tblPr>
      <w:tblCellMar>
        <w:left w:w="0" w:type="dxa"/>
        <w:top w:w="0" w:type="dxa"/>
        <w:right w:w="0" w:type="dxa"/>
        <w:bottom w:w="0" w:type="dxa"/>
      </w:tblCellMar>
    </w:tblPr>
  </w:style>
  <w:style w:type="table" w:styleId="930" w:customStyle="1">
    <w:name w:val="List Table 1 Light - Accent 1"/>
    <w:uiPriority w:val="99"/>
    <w:qFormat/>
    <w:tblPr>
      <w:tblCellMar>
        <w:left w:w="0" w:type="dxa"/>
        <w:top w:w="0" w:type="dxa"/>
        <w:right w:w="0" w:type="dxa"/>
        <w:bottom w:w="0" w:type="dxa"/>
      </w:tblCellMar>
    </w:tblPr>
  </w:style>
  <w:style w:type="table" w:styleId="931" w:customStyle="1">
    <w:name w:val="List Table 1 Light - Accent 2"/>
    <w:uiPriority w:val="99"/>
    <w:qFormat/>
    <w:tblPr>
      <w:tblCellMar>
        <w:left w:w="0" w:type="dxa"/>
        <w:top w:w="0" w:type="dxa"/>
        <w:right w:w="0" w:type="dxa"/>
        <w:bottom w:w="0" w:type="dxa"/>
      </w:tblCellMar>
    </w:tblPr>
  </w:style>
  <w:style w:type="table" w:styleId="932" w:customStyle="1">
    <w:name w:val="List Table 1 Light - Accent 3"/>
    <w:uiPriority w:val="99"/>
    <w:qFormat/>
    <w:tblPr>
      <w:tblCellMar>
        <w:left w:w="0" w:type="dxa"/>
        <w:top w:w="0" w:type="dxa"/>
        <w:right w:w="0" w:type="dxa"/>
        <w:bottom w:w="0" w:type="dxa"/>
      </w:tblCellMar>
    </w:tblPr>
  </w:style>
  <w:style w:type="table" w:styleId="933" w:customStyle="1">
    <w:name w:val="List Table 1 Light - Accent 4"/>
    <w:uiPriority w:val="99"/>
    <w:qFormat/>
    <w:tblPr>
      <w:tblCellMar>
        <w:left w:w="0" w:type="dxa"/>
        <w:top w:w="0" w:type="dxa"/>
        <w:right w:w="0" w:type="dxa"/>
        <w:bottom w:w="0" w:type="dxa"/>
      </w:tblCellMar>
    </w:tblPr>
  </w:style>
  <w:style w:type="table" w:styleId="934" w:customStyle="1">
    <w:name w:val="List Table 1 Light - Accent 5"/>
    <w:uiPriority w:val="99"/>
    <w:qFormat/>
    <w:tblPr>
      <w:tblCellMar>
        <w:left w:w="0" w:type="dxa"/>
        <w:top w:w="0" w:type="dxa"/>
        <w:right w:w="0" w:type="dxa"/>
        <w:bottom w:w="0" w:type="dxa"/>
      </w:tblCellMar>
    </w:tblPr>
  </w:style>
  <w:style w:type="table" w:styleId="935" w:customStyle="1">
    <w:name w:val="List Table 1 Light - Accent 6"/>
    <w:uiPriority w:val="99"/>
    <w:qFormat/>
    <w:tblPr>
      <w:tblCellMar>
        <w:left w:w="0" w:type="dxa"/>
        <w:top w:w="0" w:type="dxa"/>
        <w:right w:w="0" w:type="dxa"/>
        <w:bottom w:w="0" w:type="dxa"/>
      </w:tblCellMar>
    </w:tblPr>
  </w:style>
  <w:style w:type="table" w:styleId="93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6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7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8" w:customStyle="1">
    <w:name w:val="Lined - Accent"/>
    <w:uiPriority w:val="99"/>
    <w:qFormat/>
    <w:rPr>
      <w:color w:val="404040"/>
    </w:rPr>
    <w:tblPr>
      <w:tblCellMar>
        <w:left w:w="0" w:type="dxa"/>
        <w:top w:w="0" w:type="dxa"/>
        <w:right w:w="0" w:type="dxa"/>
        <w:bottom w:w="0" w:type="dxa"/>
      </w:tblCellMar>
    </w:tblPr>
  </w:style>
  <w:style w:type="table" w:styleId="979" w:customStyle="1">
    <w:name w:val="Lined - Accent 1"/>
    <w:uiPriority w:val="99"/>
    <w:qFormat/>
    <w:rPr>
      <w:color w:val="404040"/>
    </w:rPr>
    <w:tblPr>
      <w:tblCellMar>
        <w:left w:w="0" w:type="dxa"/>
        <w:top w:w="0" w:type="dxa"/>
        <w:right w:w="0" w:type="dxa"/>
        <w:bottom w:w="0" w:type="dxa"/>
      </w:tblCellMar>
    </w:tblPr>
  </w:style>
  <w:style w:type="table" w:styleId="980" w:customStyle="1">
    <w:name w:val="Lined - Accent 2"/>
    <w:uiPriority w:val="99"/>
    <w:qFormat/>
    <w:rPr>
      <w:color w:val="404040"/>
    </w:rPr>
    <w:tblPr>
      <w:tblCellMar>
        <w:left w:w="0" w:type="dxa"/>
        <w:top w:w="0" w:type="dxa"/>
        <w:right w:w="0" w:type="dxa"/>
        <w:bottom w:w="0" w:type="dxa"/>
      </w:tblCellMar>
    </w:tblPr>
  </w:style>
  <w:style w:type="table" w:styleId="981" w:customStyle="1">
    <w:name w:val="Lined - Accent 3"/>
    <w:uiPriority w:val="99"/>
    <w:qFormat/>
    <w:rPr>
      <w:color w:val="404040"/>
    </w:rPr>
    <w:tblPr>
      <w:tblCellMar>
        <w:left w:w="0" w:type="dxa"/>
        <w:top w:w="0" w:type="dxa"/>
        <w:right w:w="0" w:type="dxa"/>
        <w:bottom w:w="0" w:type="dxa"/>
      </w:tblCellMar>
    </w:tblPr>
  </w:style>
  <w:style w:type="table" w:styleId="982" w:customStyle="1">
    <w:name w:val="Lined - Accent 4"/>
    <w:uiPriority w:val="99"/>
    <w:qFormat/>
    <w:rPr>
      <w:color w:val="404040"/>
    </w:rPr>
    <w:tblPr>
      <w:tblCellMar>
        <w:left w:w="0" w:type="dxa"/>
        <w:top w:w="0" w:type="dxa"/>
        <w:right w:w="0" w:type="dxa"/>
        <w:bottom w:w="0" w:type="dxa"/>
      </w:tblCellMar>
    </w:tblPr>
  </w:style>
  <w:style w:type="table" w:styleId="983" w:customStyle="1">
    <w:name w:val="Lined - Accent 5"/>
    <w:uiPriority w:val="99"/>
    <w:qFormat/>
    <w:rPr>
      <w:color w:val="404040"/>
    </w:rPr>
    <w:tblPr>
      <w:tblCellMar>
        <w:left w:w="0" w:type="dxa"/>
        <w:top w:w="0" w:type="dxa"/>
        <w:right w:w="0" w:type="dxa"/>
        <w:bottom w:w="0" w:type="dxa"/>
      </w:tblCellMar>
    </w:tblPr>
  </w:style>
  <w:style w:type="table" w:styleId="984" w:customStyle="1">
    <w:name w:val="Lined - Accent 6"/>
    <w:uiPriority w:val="99"/>
    <w:qFormat/>
    <w:rPr>
      <w:color w:val="404040"/>
    </w:rPr>
    <w:tblPr>
      <w:tblCellMar>
        <w:left w:w="0" w:type="dxa"/>
        <w:top w:w="0" w:type="dxa"/>
        <w:right w:w="0" w:type="dxa"/>
        <w:bottom w:w="0" w:type="dxa"/>
      </w:tblCellMar>
    </w:tblPr>
  </w:style>
  <w:style w:type="table" w:styleId="98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9" w:customStyle="1">
    <w:name w:val="脚注文本 字符"/>
    <w:link w:val="837"/>
    <w:uiPriority w:val="99"/>
    <w:qFormat/>
    <w:rPr>
      <w:sz w:val="18"/>
    </w:rPr>
  </w:style>
  <w:style w:type="character" w:styleId="1000" w:customStyle="1">
    <w:name w:val="尾注文本 字符"/>
    <w:link w:val="827"/>
    <w:uiPriority w:val="99"/>
    <w:qFormat/>
    <w:rPr>
      <w:sz w:val="20"/>
    </w:rPr>
  </w:style>
  <w:style w:type="paragraph" w:styleId="1001" w:customStyle="1">
    <w:name w:val="TOC 标题1"/>
    <w:uiPriority w:val="39"/>
    <w:unhideWhenUsed/>
    <w:qFormat/>
    <w:rPr>
      <w:rFonts w:ascii="Times New Roman" w:hAnsi="Times New Roman" w:eastAsia="宋体" w:cs="Times New Roman"/>
      <w:lang w:val="en-US" w:eastAsia="zh-CN" w:bidi="ar-SA"/>
    </w:rPr>
  </w:style>
  <w:style w:type="character" w:styleId="1002" w:customStyle="1">
    <w:name w:val="页眉 字符"/>
    <w:link w:val="833"/>
    <w:uiPriority w:val="0"/>
    <w:qFormat/>
    <w:rPr>
      <w:rFonts w:ascii="Times New Roman" w:hAnsi="Times New Roman" w:eastAsia="楷体_GB2312"/>
      <w:sz w:val="18"/>
      <w:szCs w:val="18"/>
    </w:rPr>
  </w:style>
  <w:style w:type="paragraph" w:styleId="1003" w:customStyle="1">
    <w:name w:val="索引 41"/>
    <w:basedOn w:val="804"/>
    <w:next w:val="804"/>
    <w:uiPriority w:val="0"/>
    <w:qFormat/>
    <w:pPr>
      <w:ind w:left="600"/>
    </w:pPr>
    <w:rPr>
      <w:szCs w:val="21"/>
    </w:rPr>
  </w:style>
  <w:style w:type="paragraph" w:styleId="1004" w:customStyle="1">
    <w:name w:val="正文首行缩进 21"/>
    <w:basedOn w:val="832"/>
    <w:uiPriority w:val="99"/>
    <w:unhideWhenUsed/>
    <w:qFormat/>
    <w:pPr>
      <w:ind w:firstLine="420"/>
    </w:pPr>
  </w:style>
  <w:style w:type="paragraph" w:styleId="1005" w:customStyle="1">
    <w:name w:val="目录 11"/>
    <w:basedOn w:val="804"/>
    <w:next w:val="804"/>
    <w:uiPriority w:val="0"/>
    <w:unhideWhenUsed/>
    <w:qFormat/>
    <w:pPr>
      <w:jc w:val="left"/>
    </w:pPr>
    <w:rPr>
      <w:sz w:val="24"/>
    </w:rPr>
  </w:style>
  <w:style w:type="paragraph" w:styleId="1006" w:customStyle="1">
    <w:name w:val="标题 21"/>
    <w:basedOn w:val="804"/>
    <w:next w:val="804"/>
    <w:uiPriority w:val="0"/>
    <w:qFormat/>
    <w:pPr>
      <w:keepLines/>
      <w:keepNext/>
      <w:spacing w:before="260" w:after="260" w:line="416" w:lineRule="auto"/>
      <w:outlineLvl w:val="1"/>
    </w:pPr>
    <w:rPr>
      <w:rFonts w:ascii="Cambria" w:hAnsi="Cambria" w:eastAsia="宋体"/>
      <w:b/>
      <w:bCs/>
      <w:sz w:val="32"/>
      <w:szCs w:val="32"/>
    </w:rPr>
  </w:style>
  <w:style w:type="paragraph" w:styleId="1007"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008" w:customStyle="1">
    <w:name w:val="纯文本1111"/>
    <w:basedOn w:val="804"/>
    <w:next w:val="1009"/>
    <w:uiPriority w:val="0"/>
    <w:unhideWhenUsed/>
    <w:qFormat/>
    <w:rPr>
      <w:rFonts w:ascii="宋体" w:hAnsi="Courier New"/>
    </w:rPr>
  </w:style>
  <w:style w:type="paragraph" w:styleId="1009" w:customStyle="1">
    <w:name w:val="正文缩进1"/>
    <w:basedOn w:val="804"/>
    <w:uiPriority w:val="0"/>
    <w:unhideWhenUsed/>
    <w:qFormat/>
    <w:pPr>
      <w:ind w:firstLine="420"/>
      <w:jc w:val="left"/>
    </w:pPr>
    <w:rPr>
      <w:sz w:val="24"/>
    </w:rPr>
  </w:style>
  <w:style w:type="paragraph" w:styleId="1010" w:customStyle="1">
    <w:name w:val="首行缩进"/>
    <w:basedOn w:val="804"/>
    <w:uiPriority w:val="0"/>
    <w:qFormat/>
    <w:pPr>
      <w:ind w:firstLine="480"/>
      <w:spacing w:line="360" w:lineRule="auto"/>
    </w:pPr>
    <w:rPr>
      <w:rFonts w:hAnsi="宋体" w:eastAsia="宋体" w:cs="宋体"/>
      <w:sz w:val="24"/>
      <w:szCs w:val="24"/>
    </w:rPr>
  </w:style>
  <w:style w:type="paragraph" w:styleId="1011" w:customStyle="1">
    <w:name w:val="Char"/>
    <w:basedOn w:val="804"/>
    <w:uiPriority w:val="0"/>
    <w:qFormat/>
  </w:style>
  <w:style w:type="paragraph" w:styleId="1012" w:customStyle="1">
    <w:name w:val="标题 11"/>
    <w:basedOn w:val="804"/>
    <w:next w:val="804"/>
    <w:uiPriority w:val="0"/>
    <w:qFormat/>
    <w:pPr>
      <w:keepLines/>
      <w:keepNext/>
      <w:spacing w:before="340" w:after="330" w:line="578" w:lineRule="auto"/>
      <w:outlineLvl w:val="0"/>
    </w:pPr>
    <w:rPr>
      <w:b/>
      <w:sz w:val="44"/>
    </w:rPr>
  </w:style>
  <w:style w:type="paragraph" w:styleId="1013" w:customStyle="1">
    <w:name w:val="纯文本1"/>
    <w:basedOn w:val="804"/>
    <w:uiPriority w:val="0"/>
    <w:qFormat/>
    <w:rPr>
      <w:rFonts w:ascii="宋体" w:hAnsi="Courier New"/>
    </w:rPr>
  </w:style>
  <w:style w:type="paragraph" w:styleId="1014" w:customStyle="1">
    <w:name w:val="正文2"/>
    <w:basedOn w:val="804"/>
    <w:uiPriority w:val="0"/>
    <w:qFormat/>
    <w:pPr>
      <w:ind w:firstLine="510"/>
      <w:spacing w:before="156" w:line="360" w:lineRule="auto"/>
    </w:pPr>
    <w:rPr>
      <w:sz w:val="24"/>
    </w:rPr>
  </w:style>
  <w:style w:type="character" w:styleId="1015" w:customStyle="1">
    <w:name w:val="要点1"/>
    <w:uiPriority w:val="0"/>
    <w:qFormat/>
    <w:rPr>
      <w:b/>
      <w:bCs/>
    </w:rPr>
  </w:style>
  <w:style w:type="paragraph" w:styleId="1016" w:customStyle="1">
    <w:name w:val="普通(网站)1"/>
    <w:basedOn w:val="804"/>
    <w:uiPriority w:val="0"/>
    <w:unhideWhenUsed/>
    <w:qFormat/>
    <w:pPr>
      <w:jc w:val="left"/>
      <w:spacing w:before="100" w:beforeAutospacing="1" w:after="100" w:afterAutospacing="1"/>
      <w:widowControl/>
    </w:pPr>
    <w:rPr>
      <w:rFonts w:ascii="宋体" w:hAnsi="宋体" w:cs="宋体"/>
      <w:sz w:val="24"/>
    </w:rPr>
  </w:style>
  <w:style w:type="paragraph" w:styleId="1017" w:customStyle="1">
    <w:name w:val="正文文本缩进 21"/>
    <w:basedOn w:val="804"/>
    <w:uiPriority w:val="0"/>
    <w:unhideWhenUsed/>
    <w:qFormat/>
    <w:pPr>
      <w:ind w:left="420"/>
      <w:spacing w:after="120" w:line="480" w:lineRule="auto"/>
    </w:pPr>
  </w:style>
  <w:style w:type="paragraph" w:styleId="1018" w:customStyle="1">
    <w:name w:val="纯文本11"/>
    <w:basedOn w:val="804"/>
    <w:uiPriority w:val="99"/>
    <w:qFormat/>
    <w:rPr>
      <w:rFonts w:ascii="宋体" w:hAnsi="Courier New"/>
    </w:rPr>
  </w:style>
  <w:style w:type="paragraph" w:styleId="1019" w:customStyle="1">
    <w:name w:val="索引 11"/>
    <w:basedOn w:val="804"/>
    <w:next w:val="804"/>
    <w:uiPriority w:val="0"/>
    <w:unhideWhenUsed/>
    <w:qFormat/>
    <w:pPr>
      <w:jc w:val="center"/>
      <w:spacing w:line="220" w:lineRule="exact"/>
    </w:pPr>
    <w:rPr>
      <w:rFonts w:ascii="仿宋_GB2312" w:eastAsia="仿宋_GB2312"/>
      <w:szCs w:val="21"/>
    </w:rPr>
  </w:style>
  <w:style w:type="paragraph" w:styleId="1020" w:customStyle="1">
    <w:name w:val="正文文本1"/>
    <w:basedOn w:val="804"/>
    <w:uiPriority w:val="0"/>
    <w:unhideWhenUsed/>
    <w:qFormat/>
    <w:rPr>
      <w:rFonts w:ascii="楷体_GB2312"/>
      <w:b/>
      <w:bCs/>
      <w:sz w:val="28"/>
    </w:rPr>
  </w:style>
  <w:style w:type="paragraph" w:styleId="1021" w:customStyle="1">
    <w:name w:val="页眉1"/>
    <w:basedOn w:val="804"/>
    <w:uiPriority w:val="0"/>
    <w:unhideWhenUsed/>
    <w:qFormat/>
    <w:pPr>
      <w:jc w:val="center"/>
      <w:tabs>
        <w:tab w:val="center" w:pos="4153" w:leader="none"/>
        <w:tab w:val="right" w:pos="8306" w:leader="none"/>
      </w:tabs>
      <w:pBdr>
        <w:bottom w:val="single" w:color="000000" w:sz="6" w:space="1"/>
      </w:pBdr>
    </w:pPr>
    <w:rPr>
      <w:sz w:val="18"/>
    </w:rPr>
  </w:style>
  <w:style w:type="paragraph" w:styleId="1022" w:customStyle="1">
    <w:name w:val="页脚1"/>
    <w:basedOn w:val="804"/>
    <w:uiPriority w:val="0"/>
    <w:unhideWhenUsed/>
    <w:qFormat/>
    <w:pPr>
      <w:jc w:val="left"/>
      <w:tabs>
        <w:tab w:val="center" w:pos="4153" w:leader="none"/>
        <w:tab w:val="right" w:pos="8306" w:leader="none"/>
      </w:tabs>
    </w:pPr>
    <w:rPr>
      <w:sz w:val="18"/>
    </w:rPr>
  </w:style>
  <w:style w:type="character" w:styleId="1023" w:customStyle="1">
    <w:name w:val="font81"/>
    <w:uiPriority w:val="0"/>
    <w:qFormat/>
    <w:rPr>
      <w:rFonts w:ascii="Times New Roman" w:hAnsi="Times New Roman" w:cs="Times New Roman"/>
      <w:color w:val="000000"/>
      <w:sz w:val="22"/>
      <w:szCs w:val="22"/>
      <w:u w:val="none"/>
    </w:rPr>
  </w:style>
  <w:style w:type="character" w:styleId="1024" w:customStyle="1">
    <w:name w:val="font11"/>
    <w:uiPriority w:val="0"/>
    <w:qFormat/>
    <w:rPr>
      <w:rFonts w:hint="eastAsia" w:ascii="仿宋" w:hAnsi="仿宋" w:eastAsia="仿宋" w:cs="仿宋"/>
      <w:color w:val="000000"/>
      <w:sz w:val="22"/>
      <w:szCs w:val="22"/>
      <w:u w:val="none"/>
    </w:rPr>
  </w:style>
  <w:style w:type="character" w:styleId="1025" w:customStyle="1">
    <w:name w:val="font101"/>
    <w:uiPriority w:val="0"/>
    <w:qFormat/>
    <w:rPr>
      <w:rFonts w:ascii="Arial" w:hAnsi="Arial" w:cs="Arial"/>
      <w:color w:val="000000"/>
      <w:sz w:val="22"/>
      <w:szCs w:val="22"/>
      <w:u w:val="none"/>
    </w:rPr>
  </w:style>
  <w:style w:type="paragraph" w:styleId="1026" w:customStyle="1">
    <w:name w:val="List Paragraph_f0420307-4c65-4cf4-ac34-e8950b7bacb1"/>
    <w:basedOn w:val="804"/>
    <w:uiPriority w:val="0"/>
    <w:qFormat/>
    <w:pPr>
      <w:ind w:firstLine="420"/>
    </w:pPr>
    <w:rPr>
      <w:rFonts w:eastAsia="宋体"/>
      <w:sz w:val="21"/>
      <w:szCs w:val="21"/>
    </w:rPr>
  </w:style>
  <w:style w:type="character" w:styleId="1027" w:customStyle="1">
    <w:name w:val="font51"/>
    <w:basedOn w:val="814"/>
    <w:uiPriority w:val="0"/>
    <w:qFormat/>
    <w:rPr>
      <w:rFonts w:hint="default" w:ascii="Times New Roman" w:hAnsi="Times New Roman" w:cs="Times New Roman"/>
      <w:color w:val="000000"/>
      <w:sz w:val="21"/>
      <w:szCs w:val="21"/>
      <w:u w:val="none"/>
    </w:rPr>
  </w:style>
  <w:style w:type="character" w:styleId="1028" w:customStyle="1">
    <w:name w:val="font31"/>
    <w:basedOn w:val="814"/>
    <w:uiPriority w:val="0"/>
    <w:qFormat/>
    <w:rPr>
      <w:rFonts w:hint="eastAsia" w:ascii="宋体" w:hAnsi="宋体" w:eastAsia="宋体" w:cs="宋体"/>
      <w:color w:val="000000"/>
      <w:sz w:val="21"/>
      <w:szCs w:val="21"/>
      <w:u w:val="none"/>
    </w:rPr>
  </w:style>
  <w:style w:type="character" w:styleId="1029" w:customStyle="1">
    <w:name w:val="font21"/>
    <w:basedOn w:val="814"/>
    <w:uiPriority w:val="0"/>
    <w:qFormat/>
    <w:rPr>
      <w:rFonts w:hint="default" w:ascii="Times New Roman" w:hAnsi="Times New Roman" w:cs="Times New Roman"/>
      <w:color w:val="000000"/>
      <w:sz w:val="21"/>
      <w:szCs w:val="21"/>
      <w:u w:val="none"/>
    </w:rPr>
  </w:style>
  <w:style w:type="character" w:styleId="1030" w:customStyle="1">
    <w:name w:val="font61"/>
    <w:basedOn w:val="814"/>
    <w:uiPriority w:val="0"/>
    <w:qFormat/>
    <w:rPr>
      <w:rFonts w:hint="eastAsia" w:ascii="宋体" w:hAnsi="宋体" w:eastAsia="宋体" w:cs="宋体"/>
      <w:color w:val="000000"/>
      <w:sz w:val="21"/>
      <w:szCs w:val="21"/>
      <w:u w:val="none"/>
    </w:rPr>
  </w:style>
  <w:style w:type="character" w:styleId="1031" w:customStyle="1">
    <w:name w:val="font41"/>
    <w:basedOn w:val="814"/>
    <w:uiPriority w:val="0"/>
    <w:qFormat/>
    <w:rPr>
      <w:rFonts w:hint="default" w:ascii="Times New Roman" w:hAnsi="Times New Roman" w:cs="Times New Roman"/>
      <w:color w:val="000000"/>
      <w:sz w:val="20"/>
      <w:szCs w:val="20"/>
      <w:u w:val="none"/>
    </w:rPr>
  </w:style>
  <w:style w:type="character" w:styleId="1032" w:customStyle="1">
    <w:name w:val="批注框文本 字符"/>
    <w:basedOn w:val="814"/>
    <w:link w:val="828"/>
    <w:uiPriority w:val="99"/>
    <w:semiHidden/>
    <w:qFormat/>
    <w:rPr>
      <w:rFonts w:eastAsia="楷体_GB2312"/>
      <w:sz w:val="18"/>
      <w:szCs w:val="18"/>
    </w:rPr>
  </w:style>
  <w:style w:type="table" w:styleId="1033" w:customStyle="1">
    <w:name w:val="Table Normal"/>
    <w:uiPriority w:val="0"/>
    <w:semiHidden/>
    <w:unhideWhenUsed/>
    <w:qFormat/>
    <w:tblPr>
      <w:tblCellMar>
        <w:left w:w="0" w:type="dxa"/>
        <w:top w:w="0" w:type="dxa"/>
        <w:right w:w="0" w:type="dxa"/>
        <w:bottom w:w="0" w:type="dxa"/>
      </w:tblCellMar>
    </w:tblPr>
  </w:style>
  <w:style w:type="paragraph" w:styleId="1034" w:customStyle="1">
    <w:name w:val="样式 首行缩进:  2 字符"/>
    <w:basedOn w:val="804"/>
    <w:link w:val="1035"/>
    <w:uiPriority w:val="0"/>
    <w:qFormat/>
    <w:pPr>
      <w:ind w:firstLine="480"/>
      <w:spacing w:line="360" w:lineRule="auto"/>
    </w:pPr>
    <w:rPr>
      <w:rFonts w:eastAsia="宋体"/>
      <w:sz w:val="24"/>
    </w:rPr>
  </w:style>
  <w:style w:type="character" w:styleId="1035" w:customStyle="1">
    <w:name w:val="样式 首行缩进:  2 字符 Char Char"/>
    <w:link w:val="1034"/>
    <w:uiPriority w:val="0"/>
    <w:qFormat/>
    <w:rPr>
      <w:sz w:val="24"/>
    </w:rPr>
  </w:style>
  <w:style w:type="character" w:styleId="1036" w:customStyle="1">
    <w:name w:val="批注文字 字符"/>
    <w:basedOn w:val="814"/>
    <w:link w:val="820"/>
    <w:uiPriority w:val="99"/>
    <w:semiHidden/>
    <w:qFormat/>
    <w:rPr>
      <w:rFonts w:eastAsia="楷体_GB2312"/>
      <w:sz w:val="26"/>
    </w:rPr>
  </w:style>
  <w:style w:type="character" w:styleId="1037" w:customStyle="1">
    <w:name w:val="批注主题 字符"/>
    <w:basedOn w:val="1036"/>
    <w:link w:val="844"/>
    <w:uiPriority w:val="99"/>
    <w:semiHidden/>
    <w:qFormat/>
    <w:rPr>
      <w:rFonts w:eastAsia="楷体_GB2312"/>
      <w:b/>
      <w:bCs/>
      <w:sz w:val="26"/>
    </w:rPr>
  </w:style>
  <w:style w:type="paragraph" w:styleId="1038" w:customStyle="1">
    <w:name w:val="Revision"/>
    <w:hidden/>
    <w:uiPriority w:val="99"/>
    <w:unhideWhenUsed/>
    <w:qFormat/>
    <w:rPr>
      <w:rFonts w:ascii="Times New Roman" w:hAnsi="Times New Roman" w:eastAsia="楷体_GB2312" w:cs="Times New Roman"/>
      <w:sz w:val="26"/>
      <w:lang w:val="en-US" w:eastAsia="zh-CN" w:bidi="ar-SA"/>
    </w:rPr>
  </w:style>
  <w:style w:type="paragraph" w:styleId="1039" w:customStyle="1">
    <w:name w:val="Normal_17_1"/>
    <w:uiPriority w:val="0"/>
    <w:qFormat/>
    <w:pPr>
      <w:jc w:val="both"/>
      <w:widowControl w:val="off"/>
    </w:pPr>
    <w:rPr>
      <w:rFonts w:ascii="Calibri" w:hAnsi="Calibri" w:eastAsia="宋体" w:cs="Times New Roman"/>
      <w:sz w:val="21"/>
      <w:szCs w:val="22"/>
      <w:lang w:val="en-US" w:eastAsia="zh-CN" w:bidi="ar-SA"/>
    </w:rPr>
  </w:style>
  <w:style w:type="paragraph" w:styleId="1040" w:customStyle="1">
    <w:name w:val="Normal_16_1"/>
    <w:uiPriority w:val="0"/>
    <w:qFormat/>
    <w:rPr>
      <w:rFonts w:ascii="宋体" w:hAnsi="宋体" w:eastAsia="宋体" w:cs="Times New Roman"/>
      <w:sz w:val="32"/>
      <w:szCs w:val="24"/>
      <w:lang w:val="en-US" w:eastAsia="zh-CN" w:bidi="ar-SA"/>
    </w:rPr>
  </w:style>
  <w:style w:type="paragraph" w:styleId="1041" w:customStyle="1">
    <w:name w:val="正文_9_0_1"/>
    <w:uiPriority w:val="0"/>
    <w:qFormat/>
    <w:pPr>
      <w:jc w:val="both"/>
      <w:widowControl w:val="off"/>
    </w:pPr>
    <w:rPr>
      <w:rFonts w:ascii="Calibri" w:hAnsi="Calibri" w:eastAsia="宋体" w:cs="Times New Roman"/>
      <w:sz w:val="21"/>
      <w:szCs w:val="22"/>
      <w:lang w:val="en-US" w:eastAsia="zh-CN" w:bidi="ar-SA"/>
    </w:rPr>
  </w:style>
  <w:style w:type="paragraph" w:styleId="1042" w:customStyle="1">
    <w:name w:val="正文_8_1_1"/>
    <w:uiPriority w:val="0"/>
    <w:qFormat/>
    <w:pPr>
      <w:jc w:val="both"/>
      <w:widowControl w:val="off"/>
    </w:pPr>
    <w:rPr>
      <w:rFonts w:ascii="Calibri" w:hAnsi="Calibri" w:eastAsia="宋体" w:cs="Times New Roman"/>
      <w:sz w:val="21"/>
      <w:szCs w:val="22"/>
      <w:lang w:val="en-US" w:eastAsia="zh-CN" w:bidi="ar-SA"/>
    </w:rPr>
  </w:style>
  <w:style w:type="paragraph" w:styleId="1043" w:customStyle="1">
    <w:name w:val="正文_1_0_0_0_0_0"/>
    <w:uiPriority w:val="0"/>
    <w:qFormat/>
    <w:pPr>
      <w:jc w:val="both"/>
      <w:widowControl w:val="off"/>
    </w:pPr>
    <w:rPr>
      <w:rFonts w:ascii="Times New Roman" w:hAnsi="Times New Roman" w:eastAsia="宋体" w:cs="Times New Roman"/>
      <w:sz w:val="21"/>
      <w:lang w:val="en-US" w:eastAsia="zh-CN" w:bidi="ar-SA"/>
    </w:rPr>
  </w:style>
  <w:style w:type="paragraph" w:styleId="1044" w:customStyle="1">
    <w:name w:val="列出段落_2"/>
    <w:basedOn w:val="1042"/>
    <w:uiPriority w:val="34"/>
    <w:qFormat/>
    <w:pPr>
      <w:ind w:firstLine="420"/>
    </w:pPr>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6C44437-46E2-4E45-BE4B-ED9BF0797BE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羊泽军</cp:lastModifiedBy>
  <cp:revision>42</cp:revision>
  <dcterms:created xsi:type="dcterms:W3CDTF">2024-11-12T10:22:00Z</dcterms:created>
  <dcterms:modified xsi:type="dcterms:W3CDTF">2025-04-10T08:06:22Z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9988DA3C2FEB42C9A408A8D8220172A2_13</vt:lpwstr>
  </property>
  <property fmtid="{D5CDD505-2E9C-101B-9397-08002B2CF9AE}" pid="4" name="KSOTemplateDocerSaveRecord">
    <vt:lpwstr>eyJoZGlkIjoiNTczMGNjMDE1MjgyNzYzZWQ1MzI0ZThlZDdkYWZmYjUiLCJ1c2VySWQiOiI0ODc5MDkxNjQifQ==</vt:lpwstr>
  </property>
</Properties>
</file>