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72"/>
          <w:highlight w:val="none"/>
          <w14:textFill>
            <w14:solidFill>
              <w14:schemeClr w14:val="tx1"/>
            </w14:solidFill>
          </w14:textFill>
        </w:rPr>
        <w:tab/>
      </w:r>
      <w:r/>
    </w:p>
    <w:p>
      <w:pPr>
        <w:jc w:val="center"/>
        <w:rPr>
          <w:rFonts w:hint="eastAsia" w:cs="仿宋" w:asciiTheme="minorEastAsia" w:hAnsiTheme="minorEastAsia" w:eastAsiaTheme="minorEastAsia"/>
          <w:b/>
          <w:color w:val="000000" w:themeColor="text1"/>
          <w:sz w:val="72"/>
          <w:highlight w:val="none"/>
          <w14:textFill>
            <w14:solidFill>
              <w14:schemeClr w14:val="tx1"/>
            </w14:solidFill>
          </w14:textFill>
        </w:rPr>
      </w:pPr>
      <w:r>
        <w:rPr>
          <w:rFonts w:hint="eastAsia" w:cs="仿宋" w:asciiTheme="minorEastAsia" w:hAnsiTheme="minorEastAsia" w:eastAsiaTheme="minorEastAsia"/>
          <w:b/>
          <w:color w:val="000000" w:themeColor="text1"/>
          <w:sz w:val="72"/>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Cs/>
          <w:color w:val="000000" w:themeColor="text1"/>
          <w:spacing w:val="20"/>
          <w:sz w:val="72"/>
          <w:szCs w:val="72"/>
          <w:highlight w:val="none"/>
          <w14:textFill>
            <w14:solidFill>
              <w14:schemeClr w14:val="tx1"/>
            </w14:solidFill>
          </w14:textFill>
        </w:rPr>
      </w:pPr>
      <w:r>
        <w:rPr>
          <w:rFonts w:hint="eastAsia" w:cs="仿宋" w:asciiTheme="minorEastAsia" w:hAnsiTheme="minorEastAsia" w:eastAsiaTheme="minorEastAsia"/>
          <w:bCs/>
          <w:color w:val="000000" w:themeColor="text1"/>
          <w:spacing w:val="20"/>
          <w:sz w:val="72"/>
          <w:szCs w:val="72"/>
          <w:highlight w:val="none"/>
          <w14:textFill>
            <w14:solidFill>
              <w14:schemeClr w14:val="tx1"/>
            </w14:solidFill>
          </w14:textFill>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highlight w:val="none"/>
          <w14:textFill>
            <w14:solidFill>
              <w14:schemeClr w14:val="tx1"/>
            </w14:solidFill>
          </w14:textFill>
        </w:rPr>
      </w:pPr>
      <w:r>
        <w:rPr>
          <w:rFonts w:hint="eastAsia" w:cs="仿宋" w:asciiTheme="minorEastAsia" w:hAnsiTheme="minorEastAsia" w:eastAsiaTheme="minorEastAsia"/>
          <w:bCs/>
          <w:color w:val="000000" w:themeColor="text1"/>
          <w:spacing w:val="20"/>
          <w:sz w:val="52"/>
          <w:szCs w:val="52"/>
          <w:highlight w:val="none"/>
          <w14:textFill>
            <w14:solidFill>
              <w14:schemeClr w14:val="tx1"/>
            </w14:solidFill>
          </w14:textFill>
        </w:rPr>
        <w:t xml:space="preserve">公开</w:t>
      </w:r>
      <w:r>
        <w:rPr>
          <w:rFonts w:asciiTheme="minorEastAsia" w:hAnsiTheme="minorEastAsia" w:eastAsiaTheme="minor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196850</wp:posOffset>
                </wp:positionV>
                <wp:extent cx="0" cy="0"/>
                <wp:effectExtent l="0" t="0" r="0" b="0"/>
                <wp:wrapNone/>
                <wp:docPr id="4" name="shape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5pt" to="-8.9pt,15.5pt" filled="f" strokecolor="#000000" strokeweight="0.75pt">
                <v:stroke dashstyle="solid"/>
              </v:line>
            </w:pict>
          </mc:Fallback>
        </mc:AlternateContent>
      </w:r>
      <w:r>
        <w:rPr>
          <w:rFonts w:hint="eastAsia" w:cs="仿宋" w:asciiTheme="minorEastAsia" w:hAnsiTheme="minorEastAsia" w:eastAsiaTheme="minorEastAsia"/>
          <w:bCs/>
          <w:color w:val="000000" w:themeColor="text1"/>
          <w:spacing w:val="20"/>
          <w:sz w:val="52"/>
          <w:szCs w:val="52"/>
          <w:highlight w:val="none"/>
          <w14:textFill>
            <w14:solidFill>
              <w14:schemeClr w14:val="tx1"/>
            </w14:solidFill>
          </w14:textFill>
        </w:rPr>
        <w:t xml:space="preserve">招标文件</w:t>
      </w:r>
      <w:r/>
    </w:p>
    <w:p>
      <w:pPr>
        <w:jc w:val="center"/>
        <w:rPr>
          <w:rFonts w:hint="eastAsia" w:cs="仿宋" w:asciiTheme="minorEastAsia" w:hAnsiTheme="minorEastAsia" w:eastAsiaTheme="minorEastAsia"/>
          <w:b/>
          <w:color w:val="000000" w:themeColor="text1"/>
          <w:sz w:val="72"/>
          <w:szCs w:val="72"/>
          <w:highlight w:val="none"/>
          <w14:textFill>
            <w14:solidFill>
              <w14:schemeClr w14:val="tx1"/>
            </w14:solidFill>
          </w14:textFill>
        </w:rPr>
      </w:pPr>
      <w:r>
        <w:rPr>
          <w:rFonts w:hint="eastAsia" w:cs="仿宋" w:asciiTheme="minorEastAsia" w:hAnsiTheme="minorEastAsia" w:eastAsiaTheme="minorEastAsia"/>
          <w:bCs/>
          <w:color w:val="000000" w:themeColor="text1"/>
          <w:sz w:val="30"/>
          <w:highlight w:val="none"/>
          <w14:textFill>
            <w14:solidFill>
              <w14:schemeClr w14:val="tx1"/>
            </w14:solidFill>
          </w14:textFill>
        </w:rPr>
        <w:t xml:space="preserve">（全流程电子化不见面开标）</w:t>
      </w:r>
      <w:r/>
    </w:p>
    <w:p>
      <w:pPr>
        <w:rPr>
          <w:rFonts w:hint="eastAsia" w:cs="仿宋" w:asciiTheme="minorEastAsia" w:hAnsiTheme="minorEastAsia" w:eastAsiaTheme="minorEastAsia"/>
          <w:b/>
          <w:color w:val="000000" w:themeColor="text1"/>
          <w:sz w:val="72"/>
          <w:highlight w:val="none"/>
          <w14:textFill>
            <w14:solidFill>
              <w14:schemeClr w14:val="tx1"/>
            </w14:solidFill>
          </w14:textFill>
        </w:rPr>
      </w:pPr>
      <w:r>
        <w:rPr>
          <w:rFonts w:hint="eastAsia" w:cs="仿宋" w:asciiTheme="minorEastAsia" w:hAnsiTheme="minorEastAsia" w:eastAsiaTheme="minorEastAsia"/>
          <w:b/>
          <w:color w:val="000000" w:themeColor="text1"/>
          <w:sz w:val="72"/>
          <w:highlight w:val="none"/>
          <w14:textFill>
            <w14:solidFill>
              <w14:schemeClr w14:val="tx1"/>
            </w14:solidFill>
          </w14:textFill>
        </w:rPr>
      </w:r>
      <w:r/>
    </w:p>
    <w:p>
      <w:pPr>
        <w:pStyle w:val="1050"/>
        <w:ind w:firstLine="568"/>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pStyle w:val="1050"/>
        <w:ind w:firstLine="568"/>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项目编号：JSZC-321204-HWZX-G2026-0070（</w:t>
      </w:r>
      <w:r>
        <w:rPr>
          <w:rFonts w:hint="eastAsia" w:cs="仿宋"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JYZC-2026</w:t>
      </w:r>
      <w:r>
        <w:rPr>
          <w:rFonts w:hint="eastAsia" w:cs="仿宋"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010</w:t>
      </w: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w:t>
      </w:r>
      <w:r/>
    </w:p>
    <w:p>
      <w:pPr>
        <w:jc w:val="center"/>
        <w:spacing w:line="360" w:lineRule="auto"/>
        <w:rPr>
          <w:rFonts w:hint="eastAsia" w:cs="仿宋"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cs="仿宋" w:asciiTheme="minorEastAsia" w:hAnsiTheme="minorEastAsia" w:eastAsiaTheme="minorEastAsia"/>
          <w:b/>
          <w:bCs/>
          <w:color w:val="000000" w:themeColor="text1"/>
          <w:szCs w:val="28"/>
          <w:highlight w:val="none"/>
          <w14:textFill>
            <w14:solidFill>
              <w14:schemeClr w14:val="tx1"/>
            </w14:solidFill>
          </w14:textFill>
        </w:rPr>
        <w:t xml:space="preserve">采购代理编号：</w:t>
      </w:r>
      <w:r>
        <w:rPr>
          <w:rFonts w:hint="eastAsia" w:cs="仿宋" w:asciiTheme="minorEastAsia" w:hAnsiTheme="minorEastAsia" w:eastAsiaTheme="minorEastAsia"/>
          <w:b/>
          <w:bCs/>
          <w:color w:val="000000" w:themeColor="text1"/>
          <w:szCs w:val="28"/>
          <w:highlight w:val="none"/>
          <w:lang w:eastAsia="zh-CN"/>
          <w14:textFill>
            <w14:solidFill>
              <w14:schemeClr w14:val="tx1"/>
            </w14:solidFill>
          </w14:textFill>
        </w:rPr>
        <w:t xml:space="preserve">0675-266JOC003183</w:t>
      </w:r>
      <w:r/>
    </w:p>
    <w:p>
      <w:pPr>
        <w:jc w:val="center"/>
        <w:spacing w:line="360" w:lineRule="auto"/>
        <w:rPr>
          <w:rFonts w:hint="eastAsia" w:cs="仿宋"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项目名称：</w:t>
      </w:r>
      <w:r>
        <w:rPr>
          <w:rFonts w:hint="eastAsia" w:cs="仿宋"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血透机和血液透析滤过机一批</w:t>
      </w:r>
      <w:r/>
    </w:p>
    <w:p>
      <w:pPr>
        <w:ind w:firstLine="419"/>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采   购   人：泰州市姜堰中医院</w:t>
      </w:r>
      <w:r/>
    </w:p>
    <w:p>
      <w:pPr>
        <w:pStyle w:val="863"/>
        <w:ind w:firstLine="0"/>
        <w:jc w:val="center"/>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szCs w:val="28"/>
          <w:highlight w:val="none"/>
          <w14:textFill>
            <w14:solidFill>
              <w14:schemeClr w14:val="tx1"/>
            </w14:solidFill>
          </w14:textFill>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202</w:t>
      </w:r>
      <w:r>
        <w:rPr>
          <w:rFonts w:hint="eastAsia" w:cs="仿宋"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6</w:t>
      </w: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年</w:t>
      </w:r>
      <w:r>
        <w:rPr>
          <w:rFonts w:hint="eastAsia" w:cs="仿宋"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2</w:t>
      </w: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br w:type="page" w:clear="all"/>
      </w:r>
      <w:r/>
    </w:p>
    <w:p>
      <w:pPr>
        <w:jc w:val="center"/>
        <w:spacing w:line="360" w:lineRule="auto"/>
        <w:widowControl/>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r>
      <w:r/>
    </w:p>
    <w:p>
      <w:pPr>
        <w:jc w:val="center"/>
        <w:spacing w:line="360" w:lineRule="auto"/>
        <w:widowControl/>
        <w:rPr>
          <w:rFonts w:hint="eastAsia" w:cs="仿宋" w:asciiTheme="minorEastAsia" w:hAnsiTheme="minorEastAsia" w:eastAsiaTheme="minorEastAsia"/>
          <w:b/>
          <w:color w:val="000000" w:themeColor="text1"/>
          <w:sz w:val="36"/>
          <w:szCs w:val="36"/>
          <w:highlight w:val="none"/>
          <w14:textFill>
            <w14:solidFill>
              <w14:schemeClr w14:val="tx1"/>
            </w14:solidFill>
          </w14:textFill>
        </w:rPr>
      </w:pPr>
      <w:r>
        <w:rPr>
          <w:rFonts w:hint="eastAsia" w:cs="仿宋" w:asciiTheme="minorEastAsia" w:hAnsiTheme="minorEastAsia" w:eastAsiaTheme="minorEastAsia"/>
          <w:b/>
          <w:color w:val="000000" w:themeColor="text1"/>
          <w:sz w:val="36"/>
          <w:szCs w:val="36"/>
          <w:highlight w:val="none"/>
          <w14:textFill>
            <w14:solidFill>
              <w14:schemeClr w14:val="tx1"/>
            </w14:solidFill>
          </w14:textFill>
        </w:rPr>
        <w:t xml:space="preserve">目  录</w:t>
      </w:r>
      <w:r/>
    </w:p>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1"/>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fldChar w:fldCharType="begin"/>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instrText xml:space="preserve">TOC  \* MERGEFORMAT</w:instrText>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fldChar w:fldCharType="separate"/>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第一章 招标公告</w:t>
      </w:r>
      <w:r/>
    </w:p>
    <w:p>
      <w:pPr>
        <w:pStyle w:val="1051"/>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第二章 投标人须知</w:t>
      </w:r>
      <w:r/>
    </w:p>
    <w:p>
      <w:pPr>
        <w:pStyle w:val="1051"/>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第三章 采购需求</w:t>
      </w:r>
      <w:r/>
    </w:p>
    <w:p>
      <w:pPr>
        <w:pStyle w:val="1051"/>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第四章 评标办法及标准</w:t>
      </w:r>
      <w:r/>
    </w:p>
    <w:p>
      <w:pPr>
        <w:pStyle w:val="1051"/>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第五章 合同条款</w:t>
      </w:r>
      <w:r/>
    </w:p>
    <w:p>
      <w:pPr>
        <w:pStyle w:val="1051"/>
        <w:spacing w:line="480" w:lineRule="auto"/>
        <w:tabs>
          <w:tab w:val="right" w:pos="9344" w:leader="dot"/>
        </w:tabs>
        <w:rPr>
          <w:rFonts w:hint="eastAsia" w:cs="仿宋" w:asciiTheme="minorEastAsia" w:hAnsiTheme="minorEastAsia" w:eastAsiaTheme="minorEastAsia"/>
          <w:b/>
          <w:color w:val="000000" w:themeColor="text1"/>
          <w:sz w:val="28"/>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fldChar w:fldCharType="end"/>
      </w:r>
      <w:r>
        <w:rPr>
          <w:rFonts w:hint="eastAsia" w:cs="仿宋" w:asciiTheme="minorEastAsia" w:hAnsiTheme="minorEastAsia" w:eastAsiaTheme="minorEastAsia"/>
          <w:b/>
          <w:color w:val="000000" w:themeColor="text1"/>
          <w:sz w:val="28"/>
          <w:szCs w:val="21"/>
          <w:highlight w:val="none"/>
          <w14:textFill>
            <w14:solidFill>
              <w14:schemeClr w14:val="tx1"/>
            </w14:solidFill>
          </w14:textFill>
        </w:rPr>
        <w:t xml:space="preserve">第六章 投标文件格式</w:t>
      </w:r>
      <w:r/>
    </w:p>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1"/>
          <w:szCs w:val="21"/>
          <w:highlight w:val="none"/>
          <w14:textFill>
            <w14:solidFill>
              <w14:schemeClr w14:val="tx1"/>
            </w14:solidFill>
          </w14:textFill>
        </w:rPr>
      </w:pPr>
      <w:r>
        <w:rPr>
          <w:rFonts w:hint="eastAsia" w:cs="仿宋" w:asciiTheme="minorEastAsia" w:hAnsiTheme="minorEastAsia" w:eastAsiaTheme="minorEastAsia"/>
          <w:b/>
          <w:color w:val="000000" w:themeColor="text1"/>
          <w:sz w:val="21"/>
          <w:szCs w:val="21"/>
          <w:highlight w:val="none"/>
          <w14:textFill>
            <w14:solidFill>
              <w14:schemeClr w14:val="tx1"/>
            </w14:solidFill>
          </w14:textFill>
        </w:rPr>
      </w:r>
      <w:r/>
    </w:p>
    <w:p>
      <w:pPr>
        <w:jc w:val="center"/>
        <w:spacing w:line="360" w:lineRule="auto"/>
        <w:widowControl/>
        <w:rPr>
          <w:rFonts w:hint="eastAsia" w:cs="仿宋" w:asciiTheme="minorEastAsia" w:hAnsiTheme="minorEastAsia" w:eastAsiaTheme="minorEastAsia"/>
          <w:b/>
          <w:color w:val="000000" w:themeColor="text1"/>
          <w:spacing w:val="15"/>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21"/>
          <w:szCs w:val="21"/>
          <w:highlight w:val="none"/>
          <w14:textFill>
            <w14:solidFill>
              <w14:schemeClr w14:val="tx1"/>
            </w14:solidFill>
          </w14:textFill>
        </w:rPr>
        <w:br w:type="page" w:clear="all"/>
      </w:r>
      <w:bookmarkStart w:id="0" w:name="_Toc409438817"/>
      <w:r/>
      <w:bookmarkStart w:id="1" w:name="_Toc388026584"/>
      <w:r>
        <w:rPr>
          <w:rFonts w:hint="eastAsia" w:cs="仿宋" w:asciiTheme="minorEastAsia" w:hAnsiTheme="minorEastAsia" w:eastAsiaTheme="minorEastAsia"/>
          <w:b/>
          <w:color w:val="000000" w:themeColor="text1"/>
          <w:spacing w:val="15"/>
          <w:sz w:val="32"/>
          <w:szCs w:val="32"/>
          <w:highlight w:val="none"/>
          <w14:textFill>
            <w14:solidFill>
              <w14:schemeClr w14:val="tx1"/>
            </w14:solidFill>
          </w14:textFill>
        </w:rPr>
        <w:t xml:space="preserve">第一章</w:t>
      </w:r>
      <w:r>
        <w:rPr>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 </w:t>
      </w:r>
      <w:bookmarkStart w:id="2" w:name="_Toc228679947"/>
      <w:r/>
      <w:bookmarkEnd w:id="2"/>
      <w:r/>
      <w:bookmarkStart w:id="3" w:name="_Toc258329824"/>
      <w:r/>
      <w:bookmarkEnd w:id="3"/>
      <w:r/>
      <w:bookmarkStart w:id="4" w:name="_Toc417477665"/>
      <w:r/>
      <w:bookmarkEnd w:id="4"/>
      <w:r>
        <w:rPr>
          <w:rFonts w:hint="eastAsia" w:cs="仿宋" w:asciiTheme="minorEastAsia" w:hAnsiTheme="minorEastAsia" w:eastAsiaTheme="minorEastAsia"/>
          <w:b/>
          <w:color w:val="000000" w:themeColor="text1"/>
          <w:spacing w:val="15"/>
          <w:sz w:val="32"/>
          <w:szCs w:val="32"/>
          <w:highlight w:val="none"/>
          <w14:textFill>
            <w14:solidFill>
              <w14:schemeClr w14:val="tx1"/>
            </w14:solidFill>
          </w14:textFill>
        </w:rPr>
        <w:t xml:space="preserve">招标公告</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血透机和血液透析滤过机一批</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招标项目的潜在投标人可在“江苏政府采购网</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-苏采云”系统</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自行下载招标文件</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w:t>
      </w:r>
      <w:r>
        <w:rPr>
          <w:highlight w:val="none"/>
        </w:rPr>
        <w:fldChar w:fldCharType="begin"/>
      </w:r>
      <w:r>
        <w:rPr>
          <w:highlight w:val="none"/>
        </w:rPr>
        <w:instrText xml:space="preserve"> HYPERLINK "http://jszfcg.jsczt.cn/）获取招标文件，并于2023年11月" \o "http://jszfcg.jsczt.cn/）获取招标文件，并于2023年11月" </w:instrText>
      </w:r>
      <w:r>
        <w:rPr>
          <w:highlight w:val="none"/>
        </w:rPr>
        <w:fldChar w:fldCharType="separate"/>
      </w:r>
      <w:r>
        <w:rPr>
          <w:rStyle w:val="867"/>
          <w:rFonts w:hint="eastAsia" w:cs="仿宋" w:asciiTheme="minorEastAsia" w:hAnsiTheme="minorEastAsia" w:eastAsiaTheme="minorEastAsia"/>
          <w:color w:val="000000" w:themeColor="text1"/>
          <w:sz w:val="24"/>
          <w:szCs w:val="24"/>
          <w:highlight w:val="none"/>
          <w:u w:val="none"/>
          <w14:textFill>
            <w14:solidFill>
              <w14:schemeClr w14:val="tx1"/>
            </w14:solidFill>
          </w14:textFill>
        </w:rPr>
        <w:t xml:space="preserve">，并于</w:t>
      </w:r>
      <w:r>
        <w:rPr>
          <w:rStyle w:val="867"/>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202</w:t>
      </w:r>
      <w:r>
        <w:rPr>
          <w:rStyle w:val="867"/>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Style w:val="867"/>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Style w:val="867"/>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02</w:t>
      </w:r>
      <w:r>
        <w:rPr>
          <w:rStyle w:val="867"/>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Style w:val="867"/>
          <w:rFonts w:hint="eastAsia" w:cs="仿宋" w:asciiTheme="minorEastAsia" w:hAnsiTheme="minorEastAsia" w:eastAsiaTheme="minorEastAsia"/>
          <w:color w:val="000000" w:themeColor="text1"/>
          <w:sz w:val="24"/>
          <w:szCs w:val="24"/>
          <w:highlight w:val="none"/>
          <w14:textFill>
            <w14:solidFill>
              <w14:schemeClr w14:val="tx1"/>
            </w14:solidFill>
          </w14:textFill>
        </w:rPr>
        <w:fldChar w:fldCharType="end"/>
      </w:r>
      <w:r>
        <w:rPr>
          <w:rStyle w:val="867"/>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26</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10时00分</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（北京时间）前上传投标文件</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p>
    <w:p>
      <w:pPr>
        <w:pStyle w:val="1052"/>
        <w:spacing w:before="0" w:after="0" w:line="500" w:lineRule="exact"/>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5" w:name="_Toc35393790"/>
      <w:r/>
      <w:bookmarkStart w:id="6" w:name="_Toc28359002"/>
      <w:r/>
      <w:bookmarkStart w:id="7" w:name="_Toc28359079"/>
      <w:r/>
      <w:bookmarkStart w:id="8" w:name="_Toc35393621"/>
      <w:r/>
      <w:bookmarkStart w:id="9" w:name="_Hlk24379207"/>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一、项目基本情况</w:t>
      </w:r>
      <w:bookmarkEnd w:id="5"/>
      <w:r/>
      <w:bookmarkEnd w:id="6"/>
      <w:r/>
      <w:bookmarkEnd w:id="7"/>
      <w:r/>
      <w:bookmarkEnd w:id="8"/>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项目编号：JSZC-321204-HWZX-G2026-0070（</w:t>
      </w:r>
      <w:r>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t xml:space="preserve">JYZC-2026</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spacing w:line="500" w:lineRule="exact"/>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采购代理编号：</w:t>
      </w:r>
      <w:r>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t xml:space="preserve">0675-266JOC003183</w:t>
      </w:r>
      <w:r/>
    </w:p>
    <w:p>
      <w:pPr>
        <w:ind w:firstLine="480"/>
        <w:spacing w:line="500" w:lineRule="exact"/>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项目名称</w:t>
      </w:r>
      <w:bookmarkEnd w:id="9"/>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t xml:space="preserve">血透机和血液透析滤过机一批</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预算金额：1</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最高限价：</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万元</w:t>
      </w:r>
      <w:r/>
    </w:p>
    <w:p>
      <w:pPr>
        <w:ind w:firstLine="480"/>
        <w:jc w:val="left"/>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采购需求：</w:t>
      </w:r>
      <w:r/>
    </w:p>
    <w:tbl>
      <w:tblPr>
        <w:tblStyle w:val="1079"/>
        <w:tblW w:w="532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5"/>
        <w:gridCol w:w="900"/>
        <w:gridCol w:w="4278"/>
        <w:gridCol w:w="856"/>
        <w:gridCol w:w="1389"/>
        <w:gridCol w:w="801"/>
      </w:tblGrid>
      <w:tr>
        <w:trPr>
          <w:jc w:val="center"/>
          <w:trHeight w:val="604"/>
        </w:trPr>
        <w:tc>
          <w:tcPr>
            <w:tcW w:w="348"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标段</w:t>
            </w:r>
            <w:r/>
          </w:p>
        </w:tc>
        <w:tc>
          <w:tcPr>
            <w:tcW w:w="509"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品目号</w:t>
            </w:r>
            <w:r/>
          </w:p>
        </w:tc>
        <w:tc>
          <w:tcPr>
            <w:tcW w:w="2420"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货物名称</w:t>
            </w:r>
            <w:r/>
          </w:p>
        </w:tc>
        <w:tc>
          <w:tcPr>
            <w:tcW w:w="484"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数量</w:t>
            </w:r>
            <w:r/>
          </w:p>
        </w:tc>
        <w:tc>
          <w:tcPr>
            <w:tcW w:w="786"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预算及最高限价</w:t>
            </w:r>
            <w:r/>
          </w:p>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（万元）</w:t>
            </w:r>
            <w:r/>
          </w:p>
        </w:tc>
        <w:tc>
          <w:tcPr>
            <w:tcW w:w="453"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是否接受进口产品</w:t>
            </w:r>
            <w:r/>
          </w:p>
        </w:tc>
      </w:tr>
      <w:tr>
        <w:trPr>
          <w:jc w:val="center"/>
          <w:trHeight w:val="653" w:hRule="exact"/>
        </w:trPr>
        <w:tc>
          <w:tcPr>
            <w:shd w:val="clear" w:color="auto" w:fill="ffffff"/>
            <w:tcW w:w="348" w:type="pct"/>
            <w:vAlign w:val="center"/>
            <w:vMerge w:val="restart"/>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 xml:space="preserve">1</w:t>
            </w:r>
            <w:r/>
          </w:p>
        </w:tc>
        <w:tc>
          <w:tcPr>
            <w:shd w:val="clear" w:color="auto" w:fill="ffffff"/>
            <w:tcW w:w="509"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1-1</w:t>
            </w:r>
            <w:r/>
          </w:p>
        </w:tc>
        <w:tc>
          <w:tcPr>
            <w:shd w:val="clear" w:color="auto" w:fill="ffffff"/>
            <w:tcW w:w="4278" w:type="dxa"/>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 xml:space="preserve">血透机</w:t>
            </w:r>
            <w:r>
              <w:rPr>
                <w:rFonts w:hint="eastAsia" w:ascii="宋体" w:hAnsi="宋体" w:eastAsia="宋体" w:cs="宋体"/>
                <w:color w:val="auto"/>
                <w:sz w:val="24"/>
                <w:szCs w:val="24"/>
                <w:highlight w:val="none"/>
                <w:lang w:val="en-US" w:eastAsia="zh-CN"/>
              </w:rPr>
              <w:t xml:space="preserve">(核心产品）</w:t>
            </w:r>
            <w:r/>
          </w:p>
        </w:tc>
        <w:tc>
          <w:tcPr>
            <w:shd w:val="clear" w:color="auto" w:fill="ffffff"/>
            <w:tcW w:w="856"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8台</w:t>
            </w:r>
            <w:r/>
          </w:p>
        </w:tc>
        <w:tc>
          <w:tcPr>
            <w:shd w:val="clear" w:color="auto" w:fill="ffffff"/>
            <w:tcW w:w="786"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64</w:t>
            </w:r>
            <w:r/>
          </w:p>
        </w:tc>
        <w:tc>
          <w:tcPr>
            <w:shd w:val="clear" w:color="auto" w:fill="ffffff"/>
            <w:tcW w:w="453"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否</w:t>
            </w:r>
            <w:r/>
          </w:p>
        </w:tc>
      </w:tr>
      <w:tr>
        <w:trPr>
          <w:jc w:val="center"/>
          <w:trHeight w:val="653" w:hRule="exact"/>
        </w:trPr>
        <w:tc>
          <w:tcPr>
            <w:shd w:val="clear" w:color="auto" w:fill="ffffff"/>
            <w:tcW w:w="348" w:type="pct"/>
            <w:vAlign w:val="center"/>
            <w:vMerge w:val="continue"/>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r>
            <w:r/>
          </w:p>
        </w:tc>
        <w:tc>
          <w:tcPr>
            <w:shd w:val="clear" w:color="auto" w:fill="ffffff"/>
            <w:tcW w:w="509" w:type="pct"/>
            <w:vAlign w:val="center"/>
            <w:textDirection w:val="lrTb"/>
            <w:noWrap w:val="false"/>
          </w:tcPr>
          <w:p>
            <w:pPr>
              <w:jc w:val="center"/>
              <w:spacing w:line="44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1-2</w:t>
            </w:r>
            <w:r/>
          </w:p>
        </w:tc>
        <w:tc>
          <w:tcPr>
            <w:shd w:val="clear" w:color="auto" w:fill="ffffff"/>
            <w:tcW w:w="427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血滤机</w:t>
            </w:r>
            <w:r/>
          </w:p>
        </w:tc>
        <w:tc>
          <w:tcPr>
            <w:shd w:val="clear" w:color="auto" w:fill="ffffff"/>
            <w:tcW w:w="856"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6台</w:t>
            </w:r>
            <w:r/>
          </w:p>
        </w:tc>
        <w:tc>
          <w:tcPr>
            <w:shd w:val="clear" w:color="auto" w:fill="ffffff"/>
            <w:tcW w:w="786"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c>
          <w:tcPr>
            <w:shd w:val="clear" w:color="auto" w:fill="ffffff"/>
            <w:tcW w:w="453"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否</w:t>
            </w:r>
            <w:r/>
          </w:p>
        </w:tc>
      </w:tr>
    </w:tbl>
    <w:p>
      <w:pPr>
        <w:pStyle w:val="1053"/>
        <w:ind w:firstLine="480"/>
        <w:spacing w:line="500" w:lineRule="exact"/>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pStyle w:val="1053"/>
        <w:ind w:firstLine="480"/>
        <w:spacing w:line="500" w:lineRule="exact"/>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合同履行期限：合同签订后一个月内</w:t>
      </w:r>
      <w:r/>
    </w:p>
    <w:p>
      <w:pPr>
        <w:pStyle w:val="1053"/>
        <w:ind w:firstLine="480"/>
        <w:spacing w:line="500" w:lineRule="exact"/>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本项目不接受联合体投标。</w:t>
      </w:r>
      <w:r/>
    </w:p>
    <w:p>
      <w:pPr>
        <w:pStyle w:val="1052"/>
        <w:spacing w:before="0" w:after="0" w:line="500" w:lineRule="exact"/>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10" w:name="_Toc28359003"/>
      <w:r/>
      <w:bookmarkStart w:id="11" w:name="_Toc28359080"/>
      <w:r/>
      <w:bookmarkStart w:id="12" w:name="_Toc35393791"/>
      <w:r/>
      <w:bookmarkStart w:id="13" w:name="_Toc35393622"/>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二、申请人的资格要求：</w:t>
      </w:r>
      <w:bookmarkEnd w:id="10"/>
      <w:r/>
      <w:bookmarkEnd w:id="11"/>
      <w:r/>
      <w:bookmarkEnd w:id="12"/>
      <w:r/>
      <w:bookmarkEnd w:id="13"/>
      <w:r/>
      <w:r/>
    </w:p>
    <w:p>
      <w:pPr>
        <w:ind w:firstLine="480"/>
        <w:spacing w:line="500" w:lineRule="exact"/>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bookmarkStart w:id="14" w:name="_Toc28359081"/>
      <w:r/>
      <w:bookmarkStart w:id="15" w:name="_Toc28359004"/>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（1）具有独立承担民事责任的能力</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（2）具有良好的商业信誉和健全的财务会计制度</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（3）具有履行合同所必须的设备和专业技术能力</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（4）有依法缴纳税收和社会保障资金的良好记录；</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（6）法律、行政法规规定的其他条件。</w:t>
      </w:r>
      <w:r/>
    </w:p>
    <w:p>
      <w:pPr>
        <w:ind w:firstLine="480"/>
        <w:spacing w:line="500" w:lineRule="exact"/>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2.1本项目属于货物类采购。</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不专门面向中小企业采购。</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500" w:lineRule="exact"/>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2.2中小微企业划型标准请对照《关于印发中小企业划型标准规定的通知》（工信部联企业〔2011〕300号）（详见格式）。本项目采购标的对应的行业主要为工业。</w:t>
      </w:r>
      <w:r/>
    </w:p>
    <w:p>
      <w:pPr>
        <w:ind w:firstLine="480"/>
        <w:spacing w:line="500" w:lineRule="exact"/>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3、本项目的特定资格要求：</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供应商需根据所投产品相应提供三类医疗器械经营企业许可证/二类医疗器械经营备案凭证、所投产品医疗器械注册证、医疗器械产品注册登记表/医疗器械备案凭证；</w:t>
      </w:r>
      <w:r>
        <w:rPr>
          <w:rFonts w:cs="仿宋" w:asciiTheme="minorEastAsia" w:hAnsiTheme="minorEastAsia" w:eastAsiaTheme="minorEastAsia"/>
          <w:b/>
          <w:bCs/>
          <w:color w:val="000000" w:themeColor="text1"/>
          <w:sz w:val="24"/>
          <w:szCs w:val="24"/>
          <w:highlight w:val="none"/>
          <w14:textFill>
            <w14:solidFill>
              <w14:schemeClr w14:val="tx1"/>
            </w14:solidFill>
          </w14:textFill>
        </w:rPr>
        <w:t xml:space="preserve"> </w:t>
      </w:r>
      <w:r/>
    </w:p>
    <w:p>
      <w:pPr>
        <w:pStyle w:val="1052"/>
        <w:spacing w:before="0" w:after="0" w:line="500" w:lineRule="exact"/>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16" w:name="_Toc35393623"/>
      <w:r/>
      <w:bookmarkStart w:id="17" w:name="_Toc35393792"/>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三、获取招标文件</w:t>
      </w:r>
      <w:bookmarkEnd w:id="14"/>
      <w:r/>
      <w:bookmarkEnd w:id="15"/>
      <w:r/>
      <w:bookmarkEnd w:id="16"/>
      <w:r/>
      <w:bookmarkEnd w:id="17"/>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时间：自招标文件公告发布之日起5个工作日。</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地点：投标人完成注册并办理CA证书后登录“江苏政府采购‘苏采云’系统”下载本项目招标文件。</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方式：登录江苏政府采购“苏采云”系统免费下载。</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售价：免费。</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注意事项：</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本项目采用网上注册登记方式。</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1.潜在投标人访问电子招标投标交易平台的网络地址和方法：</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（1）登录 http://jszfcg.jsczt.cn/，点击“苏采云”进入系统。</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2.采购代理机构将数据电文形式的招标文件加载至电子招标投标交易平台，供潜在投标人下载或者查阅。</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3.如潜在投标人未按上述要求操作，将自行承担所产生的风险。</w:t>
      </w:r>
      <w:r/>
    </w:p>
    <w:p>
      <w:pPr>
        <w:pStyle w:val="1052"/>
        <w:spacing w:before="0" w:after="0" w:line="500" w:lineRule="exact"/>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18" w:name="_Toc28359082"/>
      <w:r/>
      <w:bookmarkStart w:id="19" w:name="_Toc28359005"/>
      <w:r/>
      <w:bookmarkStart w:id="20" w:name="_Toc35393624"/>
      <w:r/>
      <w:bookmarkStart w:id="21" w:name="_Toc35393793"/>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四、提交投标文件</w:t>
      </w:r>
      <w:bookmarkEnd w:id="18"/>
      <w:r/>
      <w:bookmarkEnd w:id="19"/>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截止时间、开标时间和地点</w:t>
      </w:r>
      <w:bookmarkEnd w:id="20"/>
      <w:r/>
      <w:bookmarkEnd w:id="21"/>
      <w:r/>
      <w:r/>
    </w:p>
    <w:p>
      <w:pPr>
        <w:ind w:firstLine="488"/>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时间：202</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02</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日10时00分（</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北京时间）</w:t>
      </w:r>
      <w:r/>
    </w:p>
    <w:p>
      <w:pPr>
        <w:ind w:firstLine="54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地点：江苏政府采购“苏采云”系统不见面开标大厅</w:t>
      </w:r>
      <w:r/>
    </w:p>
    <w:p>
      <w:pPr>
        <w:pStyle w:val="1052"/>
        <w:spacing w:before="0" w:after="0" w:line="500" w:lineRule="exact"/>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22" w:name="_Toc28359007"/>
      <w:r/>
      <w:bookmarkStart w:id="23" w:name="_Toc28359084"/>
      <w:r/>
      <w:bookmarkStart w:id="24" w:name="_Toc35393625"/>
      <w:r/>
      <w:bookmarkStart w:id="25" w:name="_Toc35393794"/>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五、公告期限</w:t>
      </w:r>
      <w:bookmarkEnd w:id="22"/>
      <w:r/>
      <w:bookmarkEnd w:id="23"/>
      <w:r/>
      <w:bookmarkEnd w:id="24"/>
      <w:r/>
      <w:bookmarkEnd w:id="25"/>
      <w:r/>
      <w:r/>
    </w:p>
    <w:p>
      <w:pPr>
        <w:ind w:firstLine="488"/>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自本公告发布之日起5个工作日。 </w:t>
      </w:r>
      <w:r/>
    </w:p>
    <w:p>
      <w:pPr>
        <w:pStyle w:val="1052"/>
        <w:spacing w:before="0" w:after="0" w:line="500" w:lineRule="exact"/>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pPr>
      <w:r/>
      <w:bookmarkStart w:id="26" w:name="_Toc35393626"/>
      <w:r/>
      <w:bookmarkStart w:id="27" w:name="_Toc35393795"/>
      <w:r>
        <w:rPr>
          <w:rFonts w:hint="eastAsia" w:cs="仿宋" w:asciiTheme="minorEastAsia" w:hAnsiTheme="minorEastAsia" w:eastAsiaTheme="minorEastAsia"/>
          <w:bCs w:val="0"/>
          <w:color w:val="000000" w:themeColor="text1"/>
          <w:sz w:val="24"/>
          <w:szCs w:val="24"/>
          <w:highlight w:val="none"/>
          <w14:textFill>
            <w14:solidFill>
              <w14:schemeClr w14:val="tx1"/>
            </w14:solidFill>
          </w14:textFill>
        </w:rPr>
        <w:t xml:space="preserve">六、其他补充事宜</w:t>
      </w:r>
      <w:bookmarkEnd w:id="26"/>
      <w:r/>
      <w:bookmarkEnd w:id="27"/>
      <w:r/>
      <w:r/>
    </w:p>
    <w:p>
      <w:pPr>
        <w:pStyle w:val="1052"/>
        <w:ind w:firstLine="480"/>
        <w:keepLines w:val="0"/>
        <w:keepNext w:val="0"/>
        <w:spacing w:before="0" w:after="0" w:line="500" w:lineRule="exact"/>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bookmarkStart w:id="28" w:name="_Toc28359008"/>
      <w:r/>
      <w:bookmarkStart w:id="29" w:name="_Toc35393627"/>
      <w:r/>
      <w:bookmarkStart w:id="30" w:name="_Toc35393796"/>
      <w:r/>
      <w:bookmarkStart w:id="31" w:name="_Toc28359085"/>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1、投标保证金</w:t>
      </w:r>
      <w:r/>
    </w:p>
    <w:p>
      <w:pPr>
        <w:pStyle w:val="1052"/>
        <w:ind w:firstLine="480"/>
        <w:keepLines w:val="0"/>
        <w:keepNext w:val="0"/>
        <w:spacing w:before="0" w:after="0" w:line="500" w:lineRule="exact"/>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本项目不收取投标保证金。</w:t>
      </w:r>
      <w:r/>
    </w:p>
    <w:p>
      <w:pPr>
        <w:pStyle w:val="1052"/>
        <w:ind w:firstLine="480"/>
        <w:keepLines w:val="0"/>
        <w:keepNext w:val="0"/>
        <w:spacing w:before="0" w:after="0" w:line="500" w:lineRule="exact"/>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2、本项目支持</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1</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小微企业价格扣除《江苏省财政厅关于进一步加大政府采购支持中小企业力度的通知》（苏财购〔</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2022</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45</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号）</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2</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节能、环保产品政策《江苏省财政厅关于加强政府绿色采购有关事项的通知》（苏财购〔</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2023</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65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号）</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3</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商品包装、快递包装、绿色数据中心等需求标准《财政部办公厅</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生态环境部办公厅</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国家邮政局办公室关于印发〈商品包装政府采购需求标准（试行）〉、〈快递包装政府采购需求标准（试行）〉的通知》（财办库〔</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2020</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123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号）</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4</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电子履约保函（保险）《关于在全省政府采购领域推行电子履约保函（保险）的通知》（苏财购〔</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2023</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150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号）等政策。</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5）.本项目对采购本国产品给予政策支持，具体内容见招标文件“第</w:t>
      </w:r>
      <w:r>
        <w:rPr>
          <w:rFonts w:hint="eastAsia" w:cs="仿宋" w:asciiTheme="minorEastAsia" w:hAnsiTheme="minorEastAsia" w:eastAsiaTheme="minorEastAsia"/>
          <w:b w:val="0"/>
          <w:bCs w:val="0"/>
          <w:color w:val="000000" w:themeColor="text1"/>
          <w:sz w:val="24"/>
          <w:szCs w:val="24"/>
          <w:highlight w:val="none"/>
          <w:lang w:eastAsia="zh-CN"/>
          <w14:textFill>
            <w14:solidFill>
              <w14:schemeClr w14:val="tx1"/>
            </w14:solidFill>
          </w14:textFill>
        </w:rPr>
        <w:t xml:space="preserve">四</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章 评标方法与评标标准”。</w:t>
      </w:r>
      <w:r/>
    </w:p>
    <w:p>
      <w:pPr>
        <w:pStyle w:val="1052"/>
        <w:ind w:firstLine="482"/>
        <w:spacing w:before="0" w:after="0"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七、对本次招标提出询问，请按以下方式联系。</w:t>
      </w:r>
      <w:bookmarkEnd w:id="28"/>
      <w:r/>
      <w:bookmarkEnd w:id="29"/>
      <w:r/>
      <w:bookmarkEnd w:id="30"/>
      <w:r/>
      <w:bookmarkEnd w:id="31"/>
      <w:r/>
      <w:r/>
    </w:p>
    <w:p>
      <w:pPr>
        <w:jc w:val="left"/>
        <w:spacing w:line="500" w:lineRule="exac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1.采购人信息</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名 称：泰州市姜堰中医院 </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bookmarkStart w:id="32" w:name="_Toc28359009"/>
      <w:r/>
      <w:bookmarkStart w:id="33" w:name="_Toc28359086"/>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地址：泰州市姜堰区姜堰大道699号 </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联系人：崔科长   电话：</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0523-82977095  </w:t>
      </w:r>
      <w:r/>
    </w:p>
    <w:p>
      <w:pPr>
        <w:ind w:firstLine="480"/>
        <w:jc w:val="left"/>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2.采购代理机构信息</w:t>
      </w:r>
      <w:bookmarkEnd w:id="32"/>
      <w:r/>
      <w:bookmarkEnd w:id="33"/>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名 称：江苏海外集团国际工程咨询有限公司</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　址：南京市建邺区云龙山路56号大唐科技大厦A座高区15楼  </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联系方式：</w:t>
      </w:r>
      <w:bookmarkStart w:id="34" w:name="_Toc28359087"/>
      <w:r/>
      <w:bookmarkStart w:id="35" w:name="_Toc28359010"/>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025-84795469 </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3.项目联系方式</w:t>
      </w:r>
      <w:bookmarkEnd w:id="34"/>
      <w:r/>
      <w:bookmarkEnd w:id="35"/>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480"/>
        <w:spacing w:line="5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项目联系人：马先生  </w:t>
      </w:r>
      <w:r/>
    </w:p>
    <w:p>
      <w:pPr>
        <w:ind w:firstLine="480"/>
        <w:spacing w:line="500" w:lineRule="exact"/>
        <w:rPr>
          <w:rFonts w:hint="eastAsia" w:cs="仿宋" w:asciiTheme="minorEastAsia" w:hAnsiTheme="minorEastAsia" w:eastAsiaTheme="minorEastAsia"/>
          <w:b/>
          <w:color w:val="000000" w:themeColor="text1"/>
          <w:szCs w:val="22"/>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电　话：1</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8905161867</w:t>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Theme="minorEastAsia"/>
          <w:highlight w:val="none"/>
        </w:rPr>
      </w:pPr>
      <w:r>
        <w:rPr>
          <w:rFonts w:eastAsiaTheme="minorEastAsia"/>
          <w:highlight w:val="none"/>
        </w:rPr>
      </w:r>
      <w:r/>
    </w:p>
    <w:p>
      <w:pPr>
        <w:jc w:val="center"/>
        <w:spacing w:line="500" w:lineRule="exact"/>
        <w:widowControl/>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    投标人须知前附表</w:t>
      </w:r>
      <w:r/>
    </w:p>
    <w:tbl>
      <w:tblPr>
        <w:tblStyle w:val="83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lang w:eastAsia="zh-CN"/>
                <w14:textFill>
                  <w14:solidFill>
                    <w14:schemeClr w14:val="tx1"/>
                  </w14:solidFill>
                </w14:textFill>
              </w:rPr>
              <w:t xml:space="preserve">血透机和血液透析滤过机一批</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交货期：</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合同签订后7天内 </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iCs/>
                <w:color w:val="000000" w:themeColor="text1"/>
                <w:sz w:val="24"/>
                <w:szCs w:val="24"/>
                <w:highlight w:val="none"/>
                <w14:textFill>
                  <w14:solidFill>
                    <w14:schemeClr w14:val="tx1"/>
                  </w14:solidFill>
                </w14:textFill>
              </w:rPr>
              <w:t xml:space="preserve">预算金额：</w:t>
            </w:r>
            <w:r>
              <w:rPr>
                <w:rFonts w:cs="仿宋" w:asciiTheme="minorEastAsia" w:hAnsiTheme="minorEastAsia" w:eastAsiaTheme="minorEastAsia"/>
                <w:iCs/>
                <w:color w:val="000000" w:themeColor="text1"/>
                <w:sz w:val="24"/>
                <w:szCs w:val="24"/>
                <w:highlight w:val="none"/>
                <w14:textFill>
                  <w14:solidFill>
                    <w14:schemeClr w14:val="tx1"/>
                  </w14:solidFill>
                </w14:textFill>
              </w:rPr>
              <w:t xml:space="preserve">1</w:t>
            </w:r>
            <w:r>
              <w:rPr>
                <w:rFonts w:hint="eastAsia" w:cs="仿宋" w:asciiTheme="minorEastAsia" w:hAnsiTheme="minorEastAsia" w:eastAsiaTheme="minorEastAsia"/>
                <w:iCs/>
                <w:color w:val="000000" w:themeColor="text1"/>
                <w:sz w:val="24"/>
                <w:szCs w:val="24"/>
                <w:highlight w:val="none"/>
                <w:lang w:val="en-US" w:eastAsia="zh-CN"/>
                <w14:textFill>
                  <w14:solidFill>
                    <w14:schemeClr w14:val="tx1"/>
                  </w14:solidFill>
                </w14:textFill>
              </w:rPr>
              <w:t xml:space="preserve">24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万元</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iCs/>
                <w:color w:val="000000" w:themeColor="text1"/>
                <w:sz w:val="24"/>
                <w:szCs w:val="24"/>
                <w:highlight w:val="none"/>
                <w14:textFill>
                  <w14:solidFill>
                    <w14:schemeClr w14:val="tx1"/>
                  </w14:solidFill>
                </w14:textFill>
              </w:rPr>
              <w:t xml:space="preserve">最高限价：</w:t>
            </w:r>
            <w:r>
              <w:rPr>
                <w:rFonts w:cs="仿宋" w:asciiTheme="minorEastAsia" w:hAnsiTheme="minorEastAsia" w:eastAsiaTheme="minorEastAsia"/>
                <w:iCs/>
                <w:color w:val="000000" w:themeColor="text1"/>
                <w:sz w:val="24"/>
                <w:szCs w:val="24"/>
                <w:highlight w:val="none"/>
                <w14:textFill>
                  <w14:solidFill>
                    <w14:schemeClr w14:val="tx1"/>
                  </w14:solidFill>
                </w14:textFill>
              </w:rPr>
              <w:t xml:space="preserve">1</w:t>
            </w:r>
            <w:r>
              <w:rPr>
                <w:rFonts w:hint="eastAsia" w:cs="仿宋" w:asciiTheme="minorEastAsia" w:hAnsiTheme="minorEastAsia" w:eastAsiaTheme="minorEastAsia"/>
                <w:iCs/>
                <w:color w:val="000000" w:themeColor="text1"/>
                <w:sz w:val="24"/>
                <w:szCs w:val="24"/>
                <w:highlight w:val="none"/>
                <w:lang w:val="en-US" w:eastAsia="zh-CN"/>
                <w14:textFill>
                  <w14:solidFill>
                    <w14:schemeClr w14:val="tx1"/>
                  </w14:solidFill>
                </w14:textFill>
              </w:rPr>
              <w:t xml:space="preserve">2</w:t>
            </w:r>
            <w:r>
              <w:rPr>
                <w:rFonts w:cs="仿宋" w:asciiTheme="minorEastAsia" w:hAnsiTheme="minorEastAsia" w:eastAsiaTheme="minorEastAsia"/>
                <w:iCs/>
                <w:color w:val="000000" w:themeColor="text1"/>
                <w:sz w:val="24"/>
                <w:szCs w:val="24"/>
                <w:highlight w:val="none"/>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万元</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联合体投标</w:t>
            </w:r>
            <w:r/>
          </w:p>
        </w:tc>
        <w:tc>
          <w:tcPr>
            <w:tcW w:w="6249"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MS Mincho" w:hAnsi="MS Mincho" w:eastAsia="MS Mincho" w:cs="MS Mincho"/>
                <w:color w:val="000000" w:themeColor="text1"/>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不接受，招标文件中有关联合体规定均不适用。</w:t>
            </w:r>
            <w:r/>
          </w:p>
          <w:p>
            <w:pPr>
              <w:pStyle w:val="928"/>
              <w:numPr>
                <w:ilvl w:val="0"/>
                <w:numId w:val="1"/>
              </w:num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MS Mincho" w:cs="MS Mincho"/>
                <w:color w:val="000000" w:themeColor="text1"/>
                <w:highlight w:val="none"/>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不组织，自行勘察;如投标人需自行勘察,费用自理。</w:t>
            </w:r>
            <w:r/>
          </w:p>
          <w:p>
            <w:pPr>
              <w:pStyle w:val="928"/>
              <w:numPr>
                <w:ilvl w:val="0"/>
                <w:numId w:val="1"/>
              </w:num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组织，勘察时间： 年月日时</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集合地点：</w:t>
            </w:r>
            <w:r/>
          </w:p>
          <w:p>
            <w:pPr>
              <w:ind w:firstLine="975"/>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MS Mincho" w:cs="MS Mincho"/>
                <w:color w:val="000000" w:themeColor="text1"/>
                <w:highlight w:val="none"/>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不召开</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口召开，召开时间：年月日时</w:t>
            </w:r>
            <w:r/>
          </w:p>
          <w:p>
            <w:pPr>
              <w:ind w:firstLine="975"/>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血透机</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仿宋" w:asciiTheme="minorEastAsia" w:hAnsiTheme="minorEastAsia" w:eastAsiaTheme="minorEastAsia"/>
                <w:color w:val="000000" w:themeColor="text1"/>
                <w:sz w:val="24"/>
                <w:szCs w:val="24"/>
                <w:highlight w:val="none"/>
                <w:u w:val="single"/>
                <w14:textFill>
                  <w14:solidFill>
                    <w14:schemeClr w14:val="tx1"/>
                  </w14:solidFill>
                </w14:textFill>
              </w:rPr>
              <w:t xml:space="preserve">9</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0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202</w:t>
            </w:r>
            <w:r>
              <w:rPr>
                <w:rFonts w:hint="eastAsia" w:cs="仿宋"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02</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日10时00分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时间：202</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02</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日10时00分</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MS Mincho" w:cs="MS Mincho"/>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综合评分</w:t>
            </w:r>
            <w:r>
              <w:rPr>
                <w:rFonts w:ascii="宋体" w:hAnsi="宋体" w:eastAsia="宋体"/>
                <w:color w:val="000000" w:themeColor="text1"/>
                <w:sz w:val="24"/>
                <w:szCs w:val="24"/>
                <w:highlight w:val="none"/>
                <w14:textFill>
                  <w14:solidFill>
                    <w14:schemeClr w14:val="tx1"/>
                  </w14:solidFill>
                </w14:textFill>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宋体" w:cs="MS Mincho"/>
                <w:color w:val="000000" w:themeColor="text1"/>
                <w:highlight w:val="none"/>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不提交，招标文件中有关履约保证金的规定均不适用</w:t>
            </w:r>
            <w:r/>
          </w:p>
          <w:p>
            <w:pPr>
              <w:pStyle w:val="928"/>
              <w:ind w:firstLine="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MS Mincho" w:hAnsi="MS Mincho" w:eastAsia="宋体" w:cs="MS Mincho"/>
                <w:color w:val="000000" w:themeColor="text1"/>
                <w:highlight w:val="none"/>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提交</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金额：中标价的/% </w:t>
            </w:r>
            <w:r/>
          </w:p>
          <w:p>
            <w:pPr>
              <w:pStyle w:val="1055"/>
              <w:ind w:firstLine="0"/>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提交时间：收到中标通知书后签订合同前。</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中标通知书发出之日起</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30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验收合格并试运行一个月后支付90%货款，一年之后支付余款.如果中标人为中小企业，按&lt;&lt;保障中小企业款项支付条例&gt;&gt;(国令第802号)相关要求执行</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中标服务费</w:t>
            </w:r>
            <w:r/>
          </w:p>
        </w:tc>
        <w:tc>
          <w:tcPr>
            <w:tcW w:w="6249" w:type="dxa"/>
            <w:textDirection w:val="lrTb"/>
            <w:noWrap w:val="false"/>
          </w:tcPr>
          <w:p>
            <w:pPr>
              <w:pStyle w:val="1055"/>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领取成交通知书前，成交供应商需按照准按照《江苏省政府采购代理服务收费指导意见》苏政采协[2024]20号执行货物收费指导价标准的80%，单个项目最低收费标准为4000元，向采购代理机构一次性缴纳代理服务费，需备注2</w:t>
            </w:r>
            <w:r>
              <w:rPr>
                <w:rFonts w:hint="eastAsia" w:cs="仿宋" w:asciiTheme="minorEastAsia" w:hAnsiTheme="minorEastAsia" w:eastAsiaTheme="minorEastAsia"/>
                <w:color w:val="000000" w:themeColor="text1"/>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6-003</w:t>
            </w:r>
            <w:r>
              <w:rPr>
                <w:rFonts w:hint="eastAsia" w:cs="仿宋" w:asciiTheme="minorEastAsia" w:hAnsiTheme="minorEastAsia" w:eastAsiaTheme="minorEastAsia"/>
                <w:color w:val="000000" w:themeColor="text1"/>
                <w:szCs w:val="24"/>
                <w:highlight w:val="none"/>
                <w:lang w:val="en-US" w:eastAsia="zh-CN"/>
                <w14:textFill>
                  <w14:solidFill>
                    <w14:schemeClr w14:val="tx1"/>
                  </w14:solidFill>
                </w14:textFill>
              </w:rPr>
              <w:t xml:space="preserve">183</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代理服务费。</w:t>
            </w:r>
            <w:r/>
          </w:p>
          <w:p>
            <w:pPr>
              <w:pStyle w:val="1055"/>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收款账号如下：</w:t>
            </w:r>
            <w:r/>
          </w:p>
          <w:p>
            <w:pPr>
              <w:pStyle w:val="1055"/>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江苏海外集团国际工程咨询有限公司</w:t>
            </w:r>
            <w:r/>
          </w:p>
          <w:p>
            <w:pPr>
              <w:pStyle w:val="1055"/>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税务登记号：913200007589889640</w:t>
            </w:r>
            <w:r/>
          </w:p>
          <w:p>
            <w:pPr>
              <w:pStyle w:val="1055"/>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地址：南京市建邺区云龙山路56号大唐科技大厦A座第14、15层</w:t>
            </w:r>
            <w:r/>
          </w:p>
          <w:p>
            <w:pPr>
              <w:pStyle w:val="1055"/>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联系电话：025-84795420</w:t>
            </w:r>
            <w:r/>
          </w:p>
          <w:p>
            <w:pPr>
              <w:pStyle w:val="1055"/>
              <w:ind w:firstLine="0"/>
              <w:jc w:val="both"/>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开户行名称及账号：交行江苏省分行营业部320006607010141124109</w:t>
            </w:r>
            <w:r/>
          </w:p>
          <w:p>
            <w:pPr>
              <w:jc w:val="center"/>
              <w:spacing w:line="360" w:lineRule="auto"/>
              <w:rPr>
                <w:rFonts w:hint="eastAsia" w:ascii="宋体" w:hAnsi="宋体" w:eastAsia="宋体" w:cs="仿宋"/>
                <w:b/>
                <w:bCs/>
                <w:color w:val="000000" w:themeColor="text1"/>
                <w:sz w:val="24"/>
                <w:szCs w:val="24"/>
                <w:highlight w:val="none"/>
                <w14:textFill>
                  <w14:solidFill>
                    <w14:schemeClr w14:val="tx1"/>
                  </w14:solidFill>
                </w14:textFill>
              </w:rPr>
            </w:pPr>
            <w:r>
              <w:rPr>
                <w:rFonts w:hint="eastAsia" w:ascii="宋体" w:hAnsi="宋体" w:eastAsia="宋体" w:cs="仿宋"/>
                <w:b/>
                <w:bCs/>
                <w:color w:val="000000" w:themeColor="text1"/>
                <w:sz w:val="24"/>
                <w:szCs w:val="24"/>
                <w:highlight w:val="none"/>
                <w14:textFill>
                  <w14:solidFill>
                    <w14:schemeClr w14:val="tx1"/>
                  </w14:solidFill>
                </w14:textFill>
              </w:rPr>
              <w:t xml:space="preserve">江苏省政府采购代理常规服务收费指导价</w:t>
            </w:r>
            <w:r/>
          </w:p>
          <w:tbl>
            <w:tblPr>
              <w:tblStyle w:val="834"/>
              <w:tblW w:w="4740" w:type="dxa"/>
              <w:jc w:val="center"/>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0.005%</w:t>
                  </w:r>
                  <w:r/>
                </w:p>
              </w:tc>
            </w:tr>
          </w:tbl>
          <w:p>
            <w:pPr>
              <w:pStyle w:val="1055"/>
              <w:ind w:firstLine="0"/>
              <w:jc w:val="both"/>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其他</w:t>
            </w:r>
            <w:r/>
          </w:p>
        </w:tc>
        <w:tc>
          <w:tcPr>
            <w:tcW w:w="6249" w:type="dxa"/>
            <w:vAlign w:val="center"/>
            <w:textDirection w:val="lrTb"/>
            <w:noWrap w:val="false"/>
          </w:tcPr>
          <w:p>
            <w:pPr>
              <w:pStyle w:val="1055"/>
              <w:ind w:firstLine="0"/>
              <w:rPr>
                <w:rFonts w:hint="eastAsia" w:cs="仿宋" w:asciiTheme="minorEastAsia" w:hAnsiTheme="minorEastAsia" w:eastAsiaTheme="minorEastAsia"/>
                <w:b/>
                <w:bCs/>
                <w:color w:val="000000" w:themeColor="text1"/>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Cs w:val="24"/>
                <w:highlight w:val="none"/>
                <w14:textFill>
                  <w14:solidFill>
                    <w14:schemeClr w14:val="tx1"/>
                  </w14:solidFill>
                </w14:textFill>
              </w:rPr>
              <w:t xml:space="preserve">投标文件的制作要求</w:t>
            </w:r>
            <w:r/>
          </w:p>
          <w:p>
            <w:pPr>
              <w:pStyle w:val="1055"/>
              <w:ind w:firstLine="240"/>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本次采购采用“苏采云”系统进行政府采购活动。</w:t>
            </w:r>
            <w:r/>
          </w:p>
          <w:p>
            <w:pPr>
              <w:pStyle w:val="1055"/>
              <w:ind w:firstLine="240"/>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投标人如确定参加投标，可自行下载招标文件及有关资料，按</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一、说明和释义</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1.说明  </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1.1本招标文件仅适用于本采购项目的招标、投标、评审、确定中标单位、验收、合同履约、付款等（法律、法规另有规定的，从其规定）。</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1.2本次招标活动及因本次招标产生的合同受中国法律制约和保护。</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2.词语释义</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2.1采购人：指依法进行采购的国家机关、事业单位、团体组织。</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二、投标人</w:t>
      </w:r>
      <w:r/>
    </w:p>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3.合格投标人资格要求</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4.</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三、招标文件说明</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9.1投标人应按</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招标文件中所述时间</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55"/>
        <w:ind w:firstLine="48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55"/>
        <w:ind w:firstLine="480"/>
        <w:jc w:val="both"/>
        <w:spacing w:line="360" w:lineRule="auto"/>
        <w:rPr>
          <w:rFonts w:hint="eastAsia" w:cs="仿宋" w:asciiTheme="minorEastAsia" w:hAnsiTheme="minorEastAsia" w:eastAsiaTheme="minorEastAsia"/>
          <w:b/>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11.投标文件计量单位和使用文字</w:t>
      </w:r>
      <w:r/>
    </w:p>
    <w:p>
      <w:pPr>
        <w:pStyle w:val="1055"/>
        <w:ind w:firstLine="509"/>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54"/>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w:t>
      </w:r>
      <w:bookmarkStart w:id="36" w:name="_Toc217446047"/>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2.知识产权</w:t>
      </w:r>
      <w:bookmarkEnd w:id="36"/>
      <w:r/>
      <w:r/>
    </w:p>
    <w:p>
      <w:pPr>
        <w:pStyle w:val="1055"/>
        <w:ind w:firstLine="509"/>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资格、资信证明文件：</w:t>
      </w:r>
      <w:r/>
    </w:p>
    <w:p>
      <w:pPr>
        <w:pStyle w:val="928"/>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投标人上一年度的财务状况报告或由会计师事务所出具的近两年中任意一个年度的审计报告，其他组织、自然人及成立未满一年的法人应提供银行出具的资信证明；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采购人要求的特定资质证明（详见“采购公告”-“本项目特定资格要求”之3中要求）。</w:t>
      </w:r>
      <w:r/>
    </w:p>
    <w:p>
      <w:pPr>
        <w:pStyle w:val="1056"/>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t xml:space="preserve">（8）未被列入“信用中国”网站(www.creditchina.gov.cn)失信被执行人名单、重大税收违法案件当事人名单和中国政府采购网(www.ccgp.gov.cn)政府采购严重违法失信行为记录名单（网页截图）。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14.1所有文件、往来函件均应使用</w:t>
      </w: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简体中文</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15.投标报价（编制）要求的说明</w:t>
      </w:r>
      <w:r/>
    </w:p>
    <w:p>
      <w:pPr>
        <w:pStyle w:val="1055"/>
        <w:ind w:firstLine="505"/>
        <w:jc w:val="both"/>
        <w:spacing w:line="360" w:lineRule="auto"/>
        <w:rPr>
          <w:rFonts w:hint="eastAsia" w:cs="仿宋" w:asciiTheme="minorEastAsia" w:hAnsiTheme="minorEastAsia" w:eastAsiaTheme="minorEastAsia"/>
          <w:b/>
          <w:bCs/>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55"/>
        <w:ind w:firstLine="505"/>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投标人要认真阅读清单，慎重报价。采购人不再支付报价以外的任何费用。</w:t>
      </w:r>
      <w:r/>
    </w:p>
    <w:p>
      <w:pPr>
        <w:pStyle w:val="1055"/>
        <w:ind w:firstLine="505"/>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15.2投标人应对招标文件内所要采购的全部内容进行报价，只投其中部分内容者，其标书将被拒绝。</w:t>
      </w:r>
      <w:r/>
    </w:p>
    <w:p>
      <w:pPr>
        <w:pStyle w:val="1055"/>
        <w:ind w:firstLine="505"/>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15.3一项投标内容只允许一个报价，招标采购单位不接受任何有选择性的投标报价。</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16.投标保证金</w:t>
      </w:r>
      <w:r/>
    </w:p>
    <w:p>
      <w:pPr>
        <w:pStyle w:val="918"/>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18.投标文件的拒收</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五、投标文件的递交</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六、开标和评标</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23.评标委员会</w:t>
      </w: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ab/>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23.1评标委员会由招标采购单位依法组建，负责本项目的评标事务。</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23.2评标委员会独立履行下列职责：</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23.2.1审查投标文件是否符合招标文件的要求，并作出评价；</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23.2.2可以要求投标供应商对投标文件有关事项作出解释或澄清；</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23.2.3推荐中标候选供应商名单，或者受采购人委托按照事先确定的办法直接确定中标供应商；</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23.2.4向招标采购单位或者有关部门报告非法干预评标工作的行为。</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23.3评标委员会成员应当履行下列义务：</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23.3.1遵纪守法，客观、公正、廉洁地履行职责；</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23.3.2按照招标文件规定的评标办法和评标标准进行评标，对评审意见承担个人责任；</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23.3.3对评标过程和结果，以及投标人的商业秘密保密；</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23.3.4参与评标报告的起草；</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23.3.5配合相关部门的投诉处理工作；</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24.评标内容的保密</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24.2 在投标文件的审查、澄清、评价和比较以及授予合同的过程中，投标人对招标采购单位和评标委员会成员施加影响的任何行为，都将取消其投标资格。</w:t>
      </w:r>
      <w:r/>
    </w:p>
    <w:p>
      <w:pPr>
        <w:pStyle w:val="1055"/>
        <w:ind w:firstLine="426"/>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25.对投标文件初审</w:t>
      </w:r>
      <w:r/>
    </w:p>
    <w:p>
      <w:pPr>
        <w:pStyle w:val="1055"/>
        <w:ind w:firstLine="488"/>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25.1投标文件初审分为资格性检查和符合性检查。</w:t>
      </w:r>
      <w:r/>
    </w:p>
    <w:p>
      <w:pPr>
        <w:pStyle w:val="1055"/>
        <w:ind w:firstLine="488"/>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26.投标的澄清</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26.1对投标文件中含义不明确</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27.废标</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28.投标文件的评价和比较</w:t>
      </w:r>
      <w:r/>
    </w:p>
    <w:p>
      <w:pPr>
        <w:pStyle w:val="1055"/>
        <w:ind w:firstLine="609"/>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1055"/>
        <w:ind w:firstLine="609"/>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七、授予合同</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29.中标人的确认</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29.2中标无效的确认：</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（1）提供虚假材料谋取中标的；</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（2）采取不正当手段诋毁、排挤其他投标人的；</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（3）与招标采购单位、其他投标人恶意串通的；</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（4）向招标采购单位行贿或者提供其他不正当利益的；</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（6）拒绝有关部门监督检查或者提供虚假情况的。</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29.3经评标委员</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31.中标通知书</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31.2中标通知书将成为合同的组成部分。</w:t>
      </w:r>
      <w:r/>
    </w:p>
    <w:p>
      <w:pPr>
        <w:pStyle w:val="1055"/>
        <w:ind w:firstLine="502"/>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32.履约保证金</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32.1中标人应按规定提交履约保证金。</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33.合同的签订</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33.1中标人应按中标通知书中规定的时间和地点，由法定代表人或委托代理人与采购人代表签订合同。</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34.特别提醒</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34.1投标单位如有提供不实评审材料，弄虚作假者，一律作废标处理，该不良行为将予以公示。</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bookmarkStart w:id="37" w:name="_Toc409438818"/>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34.3政府采购线上合同信用融资功能告知提醒</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我区已正式启用“苏采云”系统，目前已全面开通政府采购线上合同信用融资（以下简称“政采贷”）功能。成交供应商可凭政府采购合同在中征平台发起贷款申请贷款。</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34.3.1.“政采贷”业务流程</w:t>
      </w:r>
      <w:r/>
    </w:p>
    <w:p>
      <w:pPr>
        <w:pStyle w:val="1055"/>
        <w:ind w:firstLine="431"/>
        <w:jc w:val="center"/>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cs="仿宋" w:asciiTheme="minorEastAsia" w:hAnsiTheme="minor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141595" cy="1527175"/>
                <wp:effectExtent l="0" t="0" r="1905" b="158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5"/>
                        <a:stretch/>
                      </pic:blipFill>
                      <pic:spPr bwMode="auto">
                        <a:xfrm>
                          <a:off x="0" y="0"/>
                          <a:ext cx="5141595" cy="152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8pt;height:120.2pt;mso-wrap-distance-left:0.0pt;mso-wrap-distance-top:0.0pt;mso-wrap-distance-right:0.0pt;mso-wrap-distance-bottom:0.0pt;" stroked="f">
                <v:path textboxrect="0,0,0,0"/>
                <v:imagedata r:id="rId15" o:title=""/>
              </v:shape>
            </w:pict>
          </mc:Fallback>
        </mc:AlternateConten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34.3.2.操作流程</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34.3.3.常见问题</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Q1：哪些企业能申请“政采贷”？</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答：江苏省内采用国库集中支付的政府采购项目的中标供应商，可凭政府采购合同申请"政采贷"。</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Q2：供应商在哪里申请“政采贷”？</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答：中标供应商在“中征应收账款融资服务平台”（简称“中征平台”）上向意向银行发起融资申请</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Q3：中标供应商要注意什么？</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Q4：采购单位要做什么？</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Q5：“政采贷”融资失败怎么办？</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34.3.4.网址及联系方式</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政采贷：http://www.ccgp-jiangsu.gov.cn/jiangsu/paying.html</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中征平台：https://www.crcrfsp.com/</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联系人：翟先生           联系电话：0523-88816349</w:t>
      </w:r>
      <w:r/>
    </w:p>
    <w:p>
      <w:pPr>
        <w:pStyle w:val="1055"/>
        <w:numPr>
          <w:ilvl w:val="0"/>
          <w:numId w:val="3"/>
        </w:numPr>
        <w:ind w:firstLine="431"/>
        <w:jc w:val="both"/>
        <w:spacing w:line="360" w:lineRule="auto"/>
        <w:rPr>
          <w:rFonts w:hint="eastAsia" w:cs="仿宋" w:asciiTheme="minorEastAsia" w:hAnsiTheme="minorEastAsia" w:eastAsiaTheme="minorEastAsia"/>
          <w:b/>
          <w:color w:val="000000" w:themeColor="text1"/>
          <w:szCs w:val="24"/>
          <w:highlight w:val="none"/>
          <w14:textFill>
            <w14:solidFill>
              <w14:schemeClr w14:val="tx1"/>
            </w14:solidFill>
          </w14:textFill>
        </w:rPr>
      </w:pPr>
      <w:r>
        <w:rPr>
          <w:rFonts w:hint="eastAsia" w:cs="仿宋" w:asciiTheme="minorEastAsia" w:hAnsiTheme="minorEastAsia" w:eastAsiaTheme="minorEastAsia"/>
          <w:b/>
          <w:color w:val="000000" w:themeColor="text1"/>
          <w:szCs w:val="24"/>
          <w:highlight w:val="none"/>
          <w14:textFill>
            <w14:solidFill>
              <w14:schemeClr w14:val="tx1"/>
            </w14:solidFill>
          </w14:textFill>
        </w:rPr>
        <w:t xml:space="preserve">货物（包含与货物相关的服务）的追加</w:t>
      </w:r>
      <w:r/>
    </w:p>
    <w:p>
      <w:pPr>
        <w:pStyle w:val="1055"/>
        <w:ind w:firstLine="431"/>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1055"/>
        <w:ind w:left="0" w:firstLine="0"/>
        <w:jc w:val="both"/>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r>
      <w:r/>
    </w:p>
    <w:p>
      <w:pPr>
        <w:pStyle w:val="105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采购</w:t>
      </w:r>
      <w:bookmarkEnd w:id="38"/>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需求</w:t>
      </w:r>
      <w:r/>
    </w:p>
    <w:p>
      <w:pPr>
        <w:numPr>
          <w:ilvl w:val="0"/>
          <w:numId w:val="5"/>
        </w:numPr>
        <w:spacing w:line="520" w:lineRule="exact"/>
        <w:tabs>
          <w:tab w:val="left" w:pos="1260" w:leader="none"/>
        </w:tabs>
        <w:rPr>
          <w:rFonts w:hint="eastAsia" w:ascii="宋体" w:hAnsi="宋体" w:eastAsia="宋体"/>
          <w:b/>
          <w:color w:val="000000" w:themeColor="text1"/>
          <w:sz w:val="24"/>
          <w:szCs w:val="24"/>
          <w:highlight w:val="none"/>
          <w14:textFill>
            <w14:solidFill>
              <w14:schemeClr w14:val="tx1"/>
            </w14:solidFill>
          </w14:textFill>
        </w:rPr>
      </w:pPr>
      <w:r/>
      <w:bookmarkStart w:id="39" w:name="_Toc409438821"/>
      <w:r/>
      <w:bookmarkStart w:id="40" w:name="_Toc388026588"/>
      <w:r>
        <w:rPr>
          <w:rFonts w:hint="eastAsia" w:ascii="宋体" w:hAnsi="宋体" w:eastAsia="宋体"/>
          <w:b/>
          <w:color w:val="000000" w:themeColor="text1"/>
          <w:sz w:val="24"/>
          <w:szCs w:val="24"/>
          <w:highlight w:val="none"/>
          <w14:textFill>
            <w14:solidFill>
              <w14:schemeClr w14:val="tx1"/>
            </w14:solidFill>
          </w14:textFill>
        </w:rPr>
        <w:t xml:space="preserve">采购需求</w:t>
      </w:r>
      <w:r/>
    </w:p>
    <w:tbl>
      <w:tblPr>
        <w:tblStyle w:val="1079"/>
        <w:tblW w:w="501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62"/>
        <w:gridCol w:w="4346"/>
        <w:gridCol w:w="896"/>
        <w:gridCol w:w="2034"/>
      </w:tblGrid>
      <w:tr>
        <w:trPr>
          <w:jc w:val="center"/>
          <w:trHeight w:val="574" w:hRule="exact"/>
        </w:trPr>
        <w:tc>
          <w:tcPr>
            <w:tcW w:w="637" w:type="pct"/>
            <w:vAlign w:val="center"/>
            <w:textDirection w:val="lrTb"/>
            <w:noWrap w:val="false"/>
          </w:tcPr>
          <w:p>
            <w:pPr>
              <w:jc w:val="center"/>
              <w:spacing w:line="440" w:lineRule="exac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品目号</w:t>
            </w:r>
            <w:r/>
          </w:p>
        </w:tc>
        <w:tc>
          <w:tcPr>
            <w:tcW w:w="2606" w:type="pct"/>
            <w:vAlign w:val="center"/>
            <w:textDirection w:val="lrTb"/>
            <w:noWrap w:val="false"/>
          </w:tcPr>
          <w:p>
            <w:pPr>
              <w:jc w:val="center"/>
              <w:spacing w:line="440" w:lineRule="exac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货物名称</w:t>
            </w:r>
            <w:r/>
          </w:p>
        </w:tc>
        <w:tc>
          <w:tcPr>
            <w:tcW w:w="537" w:type="pct"/>
            <w:vAlign w:val="center"/>
            <w:textDirection w:val="lrTb"/>
            <w:noWrap w:val="false"/>
          </w:tcPr>
          <w:p>
            <w:pPr>
              <w:jc w:val="center"/>
              <w:spacing w:line="440" w:lineRule="exac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数量</w:t>
            </w:r>
            <w:r/>
          </w:p>
        </w:tc>
        <w:tc>
          <w:tcPr>
            <w:tcW w:w="1220" w:type="pct"/>
            <w:vAlign w:val="center"/>
            <w:textDirection w:val="lrTb"/>
            <w:noWrap w:val="false"/>
          </w:tcPr>
          <w:p>
            <w:pPr>
              <w:jc w:val="center"/>
              <w:spacing w:line="440" w:lineRule="exac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交货地点</w:t>
            </w:r>
            <w:r/>
          </w:p>
        </w:tc>
      </w:tr>
      <w:tr>
        <w:trPr>
          <w:jc w:val="center"/>
          <w:trHeight w:val="1214" w:hRule="exact"/>
        </w:trPr>
        <w:tc>
          <w:tcPr>
            <w:shd w:val="clear" w:color="auto" w:fill="ffffff"/>
            <w:tcW w:w="637" w:type="pct"/>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shd w:val="clear" w:color="auto" w:fill="ffffff"/>
            <w:tcW w:w="4346"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血透机</w:t>
            </w:r>
            <w:r/>
          </w:p>
        </w:tc>
        <w:tc>
          <w:tcPr>
            <w:shd w:val="clear" w:color="auto" w:fill="ffffff"/>
            <w:tcW w:w="896"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8台</w:t>
            </w:r>
            <w:r/>
          </w:p>
        </w:tc>
        <w:tc>
          <w:tcPr>
            <w:shd w:val="clear" w:color="auto" w:fill="ffffff"/>
            <w:tcW w:w="1220" w:type="pct"/>
            <w:vAlign w:val="center"/>
            <w:vMerge w:val="restart"/>
            <w:textDirection w:val="lrTb"/>
            <w:noWrap w:val="false"/>
          </w:tcPr>
          <w:p>
            <w:pPr>
              <w:jc w:val="center"/>
              <w:spacing w:line="440" w:lineRule="exac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泰州市姜堰中医院指定地点</w:t>
            </w:r>
            <w:r/>
          </w:p>
        </w:tc>
      </w:tr>
      <w:tr>
        <w:trPr>
          <w:jc w:val="center"/>
          <w:trHeight w:val="1214" w:hRule="exact"/>
        </w:trPr>
        <w:tc>
          <w:tcPr>
            <w:shd w:val="clear" w:color="auto" w:fill="ffffff"/>
            <w:tcW w:w="637" w:type="pct"/>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shd w:val="clear" w:color="auto" w:fill="ffffff"/>
            <w:tcW w:w="4346"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血滤机</w:t>
            </w:r>
            <w:r/>
          </w:p>
        </w:tc>
        <w:tc>
          <w:tcPr>
            <w:shd w:val="clear" w:color="auto" w:fill="ffffff"/>
            <w:tcW w:w="896"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6台</w:t>
            </w:r>
            <w:r/>
          </w:p>
        </w:tc>
        <w:tc>
          <w:tcPr>
            <w:shd w:val="clear" w:color="auto" w:fill="ffffff"/>
            <w:tcW w:w="1220" w:type="pct"/>
            <w:vAlign w:val="center"/>
            <w:vMerge w:val="continue"/>
            <w:textDirection w:val="lrTb"/>
            <w:noWrap w:val="false"/>
          </w:tcPr>
          <w:p>
            <w:pPr>
              <w:jc w:val="center"/>
              <w:spacing w:line="440" w:lineRule="exac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r>
            <w:r/>
          </w:p>
        </w:tc>
      </w:tr>
    </w:tbl>
    <w:p>
      <w:pPr>
        <w:numPr>
          <w:ilvl w:val="0"/>
          <w:numId w:val="5"/>
        </w:numPr>
        <w:spacing w:line="520" w:lineRule="exact"/>
        <w:tabs>
          <w:tab w:val="left" w:pos="1260" w:leader="none"/>
        </w:tabs>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br w:type="page" w:clear="all"/>
      </w:r>
      <w:r/>
    </w:p>
    <w:p>
      <w:pPr>
        <w:pStyle w:val="838"/>
        <w:rPr>
          <w:rFonts w:hint="eastAsia" w:ascii="宋体" w:hAnsi="宋体" w:eastAsia="宋体"/>
          <w:b/>
          <w:sz w:val="24"/>
          <w:szCs w:val="24"/>
          <w:highlight w:val="none"/>
        </w:rPr>
      </w:pPr>
      <w:r>
        <w:rPr>
          <w:rFonts w:hint="eastAsia" w:ascii="宋体" w:hAnsi="宋体" w:eastAsia="宋体"/>
          <w:b/>
          <w:sz w:val="24"/>
          <w:szCs w:val="24"/>
          <w:highlight w:val="none"/>
        </w:rPr>
        <w:t xml:space="preserve">二</w:t>
      </w:r>
      <w:r>
        <w:rPr>
          <w:rFonts w:ascii="宋体" w:hAnsi="宋体" w:eastAsia="宋体"/>
          <w:b/>
          <w:sz w:val="24"/>
          <w:szCs w:val="24"/>
          <w:highlight w:val="none"/>
        </w:rPr>
        <w:t xml:space="preserve">、技术要求</w:t>
      </w:r>
      <w:r/>
    </w:p>
    <w:p>
      <w:pPr>
        <w:pStyle w:val="838"/>
        <w:jc w:val="cente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品目一</w:t>
      </w:r>
      <w:r>
        <w:rPr>
          <w:rFonts w:ascii="宋体" w:hAnsi="宋体" w:eastAsia="宋体"/>
          <w:b/>
          <w:sz w:val="24"/>
          <w:szCs w:val="24"/>
          <w:highlight w:val="none"/>
        </w:rPr>
        <w:t xml:space="preserve">：</w:t>
      </w:r>
      <w:r>
        <w:rPr>
          <w:rFonts w:hint="eastAsia" w:ascii="宋体" w:hAnsi="宋体" w:eastAsia="宋体"/>
          <w:b/>
          <w:sz w:val="24"/>
          <w:szCs w:val="24"/>
          <w:highlight w:val="none"/>
          <w:lang w:eastAsia="zh-CN"/>
        </w:rPr>
        <w:t xml:space="preserve">血透机</w:t>
      </w:r>
      <w:r/>
    </w:p>
    <w:p>
      <w:pPr>
        <w:ind w:firstLine="240"/>
        <w:jc w:val="left"/>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1、具有彩色液晶触摸显示屏。</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2、可作碳酸氢盐，醋酸盐常规透析、单纯超滤、原液配方全部开放。</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3、具有中文操作系统，方便护士操作。</w:t>
      </w:r>
      <w:r/>
    </w:p>
    <w:p>
      <w:pPr>
        <w:keepLines w:val="0"/>
        <w:keepNext w:val="0"/>
        <w:pageBreakBefore w:val="0"/>
        <w:spacing w:after="16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4、标配超滤曲线、钠离子曲线、碳酸盐曲线、肝素曲线、透析液流量曲线及透析液温度曲线，具备调节功能。</w:t>
      </w:r>
      <w:r>
        <w:rPr>
          <w:rFonts w:hint="eastAsia" w:ascii="宋体" w:hAnsi="宋体" w:eastAsia="宋体" w:cs="宋体"/>
          <w:bCs/>
          <w:sz w:val="24"/>
          <w:szCs w:val="24"/>
          <w:highlight w:val="none"/>
        </w:rPr>
        <w:t xml:space="preserve">(需提供设备使用说明书或设备检测报告作为证明材料)</w:t>
      </w:r>
      <w:r/>
    </w:p>
    <w:p>
      <w:pPr>
        <w:numPr>
          <w:ilvl w:val="0"/>
          <w:numId w:val="0"/>
        </w:numPr>
        <w:ind w:firstLine="240"/>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自动待机功能，待机模式时，透析液流量可自动降至0ml/min, 节省透析液。</w:t>
      </w:r>
      <w:r/>
    </w:p>
    <w:p>
      <w:pPr>
        <w:numPr>
          <w:ilvl w:val="0"/>
          <w:numId w:val="0"/>
        </w:numPr>
        <w:ind w:firstLine="240"/>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6、具有双重电导度反馈控制系统。</w:t>
      </w:r>
      <w:r/>
    </w:p>
    <w:p>
      <w:pPr>
        <w:keepLines w:val="0"/>
        <w:keepNext w:val="0"/>
        <w:pageBreakBefore w:val="0"/>
        <w:spacing w:after="16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7、配有透析液过滤器支架和同品牌透析滤过器，可过滤透析液。每支透析液过滤器可使用≥150人次或≥900小时。</w:t>
      </w:r>
      <w:r>
        <w:rPr>
          <w:rFonts w:hint="eastAsia" w:ascii="宋体" w:hAnsi="宋体" w:eastAsia="宋体" w:cs="宋体"/>
          <w:bCs/>
          <w:sz w:val="24"/>
          <w:szCs w:val="24"/>
          <w:highlight w:val="none"/>
        </w:rPr>
        <w:t xml:space="preserve">(需提供设备使用说明书或设备检测报告作为证明材料)</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8、具有治疗方案与治疗结果保存功能，自动保存至少20次病人治疗记录。</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9、具有后备电池，停电后可保证机器运转20分钟以上，并且不丢失数据；同</w:t>
      </w:r>
      <w:r>
        <w:rPr>
          <w:rFonts w:hint="eastAsia" w:ascii="宋体" w:hAnsi="宋体" w:eastAsia="宋体" w:cs="宋体"/>
          <w:sz w:val="24"/>
          <w:szCs w:val="24"/>
          <w:highlight w:val="none"/>
        </w:rPr>
        <w:t xml:space="preserve">时压力监测，漏血和气泡检测正常工作。</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10、标配透析充分性监测装置KT/V。</w:t>
      </w:r>
      <w:r/>
    </w:p>
    <w:p>
      <w:pPr>
        <w:keepLines w:val="0"/>
        <w:keepNext w:val="0"/>
        <w:pageBreakBefore w:val="0"/>
        <w:spacing w:after="16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11、具有透析过程中补液功能，能够自动累计计算总补液量。</w:t>
      </w:r>
      <w:r>
        <w:rPr>
          <w:rFonts w:hint="eastAsia" w:ascii="宋体" w:hAnsi="宋体" w:eastAsia="宋体" w:cs="宋体"/>
          <w:bCs/>
          <w:sz w:val="24"/>
          <w:szCs w:val="24"/>
          <w:highlight w:val="none"/>
        </w:rPr>
        <w:t xml:space="preserve">(需提供设备使用说明书或设备检测报告作为证明材料)</w:t>
      </w:r>
      <w:r/>
    </w:p>
    <w:p>
      <w:pPr>
        <w:keepLines w:val="0"/>
        <w:keepNext w:val="0"/>
        <w:pageBreakBefore w:val="0"/>
        <w:spacing w:after="16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12、具有化学消毒，热消毒，中央化学消毒或热消毒模式。</w:t>
      </w:r>
      <w:r>
        <w:rPr>
          <w:rFonts w:hint="eastAsia" w:ascii="宋体" w:hAnsi="宋体" w:eastAsia="宋体" w:cs="宋体"/>
          <w:bCs/>
          <w:sz w:val="24"/>
          <w:szCs w:val="24"/>
          <w:highlight w:val="none"/>
        </w:rPr>
        <w:t xml:space="preserve">(需提供设备使用说明书或设备检测报告作为证明材料)</w:t>
      </w:r>
      <w:r/>
    </w:p>
    <w:p>
      <w:pPr>
        <w:jc w:val="left"/>
        <w:keepLines w:val="0"/>
        <w:keepNext w:val="0"/>
        <w:pageBreakBefore w:val="0"/>
        <w:spacing w:after="16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（二）、设备参数要求</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1、血流量：50 ～ 600ml/min</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2、肝素泵流量: 0.1 ～ 10ml/h</w:t>
      </w:r>
      <w:r/>
    </w:p>
    <w:p>
      <w:pPr>
        <w:keepLines w:val="0"/>
        <w:keepNext w:val="0"/>
        <w:pageBreakBefore w:val="0"/>
        <w:spacing w:after="160"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3、动脉压:动脉压范围最大不超过+400mmHg。</w:t>
      </w:r>
      <w:r>
        <w:rPr>
          <w:rFonts w:hint="eastAsia" w:ascii="宋体" w:hAnsi="宋体" w:eastAsia="宋体" w:cs="宋体"/>
          <w:bCs/>
          <w:sz w:val="24"/>
          <w:szCs w:val="24"/>
          <w:highlight w:val="none"/>
        </w:rPr>
        <w:t xml:space="preserve">(需提供设备使用说明书或设备检测报告作为证明材料)</w:t>
      </w:r>
      <w:r/>
    </w:p>
    <w:p>
      <w:pPr>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4、静脉压:静脉压范围最低不低于-60mmHg。</w:t>
      </w:r>
      <w:r>
        <w:rPr>
          <w:rFonts w:hint="eastAsia" w:ascii="宋体" w:hAnsi="宋体" w:eastAsia="宋体" w:cs="宋体"/>
          <w:bCs/>
          <w:sz w:val="24"/>
          <w:szCs w:val="24"/>
          <w:highlight w:val="none"/>
        </w:rPr>
        <w:t xml:space="preserve">(需提供设备使用说明书或设备检测报告作为证明材料)</w:t>
      </w:r>
      <w:r/>
    </w:p>
    <w:p>
      <w:pPr>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5、跨膜压监测范围:跨膜压最小值不低于-150mmHg。</w:t>
      </w:r>
      <w:r>
        <w:rPr>
          <w:rFonts w:hint="eastAsia" w:ascii="宋体" w:hAnsi="宋体" w:eastAsia="宋体" w:cs="宋体"/>
          <w:bCs/>
          <w:sz w:val="24"/>
          <w:szCs w:val="24"/>
          <w:highlight w:val="none"/>
        </w:rPr>
        <w:t xml:space="preserve">(需提供设备使用说明书或设备检测报告作为证明材料)</w:t>
      </w:r>
      <w:r/>
    </w:p>
    <w:p>
      <w:pPr>
        <w:numPr>
          <w:ilvl w:val="0"/>
          <w:numId w:val="0"/>
        </w:numPr>
        <w:ind w:left="0"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透析液流量:300～800ml/min,梯度100ml。</w:t>
      </w:r>
      <w:r/>
    </w:p>
    <w:p>
      <w:pPr>
        <w:numPr>
          <w:ilvl w:val="0"/>
          <w:numId w:val="0"/>
        </w:numPr>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7、透析液温度范围：33.4℃ ～ 39.5℃</w:t>
      </w:r>
      <w:r/>
    </w:p>
    <w:p>
      <w:pPr>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8、电导度范围：透析液导电率监测范围最大不超过16ms/cm。</w:t>
      </w:r>
      <w:r>
        <w:rPr>
          <w:rFonts w:hint="eastAsia" w:ascii="宋体" w:hAnsi="宋体" w:eastAsia="宋体" w:cs="宋体"/>
          <w:bCs/>
          <w:sz w:val="24"/>
          <w:szCs w:val="24"/>
          <w:highlight w:val="none"/>
        </w:rPr>
        <w:t xml:space="preserve">(需提供设备使用说明书或设备检测报告作为证明材料)</w:t>
      </w:r>
      <w:r/>
    </w:p>
    <w:p>
      <w:pPr>
        <w:ind w:firstLine="240"/>
        <w:jc w:val="left"/>
        <w:keepLines w:val="0"/>
        <w:keepNext w:val="0"/>
        <w:pageBreakBefore w:val="0"/>
        <w:spacing w:after="16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9、超滤率: 0 ～ 4000ml/h</w:t>
      </w:r>
      <w:r/>
    </w:p>
    <w:p>
      <w:pPr>
        <w:ind w:firstLine="240"/>
        <w:jc w:val="left"/>
        <w:keepLines w:val="0"/>
        <w:keepNext w:val="0"/>
        <w:pageBreakBefore w:val="0"/>
        <w:spacing w:after="160"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10、供水压: 0.5 ～ 6bar。</w:t>
      </w:r>
      <w:r/>
    </w:p>
    <w:p>
      <w:pPr>
        <w:jc w:val="center"/>
        <w:spacing w:line="360" w:lineRule="auto"/>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rPr>
        <w:t xml:space="preserve">品目</w:t>
      </w:r>
      <w:r>
        <w:rPr>
          <w:rFonts w:asciiTheme="minorEastAsia" w:hAnsiTheme="minorEastAsia" w:eastAsiaTheme="minorEastAsia"/>
          <w:b/>
          <w:sz w:val="24"/>
          <w:szCs w:val="24"/>
          <w:highlight w:val="none"/>
        </w:rPr>
        <w:t xml:space="preserve">二：</w:t>
      </w:r>
      <w:r>
        <w:rPr>
          <w:rFonts w:hint="eastAsia" w:asciiTheme="minorEastAsia" w:hAnsiTheme="minorEastAsia" w:eastAsiaTheme="minorEastAsia"/>
          <w:b/>
          <w:sz w:val="24"/>
          <w:szCs w:val="24"/>
          <w:highlight w:val="none"/>
          <w:lang w:eastAsia="zh-CN"/>
        </w:rPr>
        <w:t xml:space="preserve">血滤机</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仿宋" w:hAnsi="仿宋" w:eastAsia="仿宋" w:cs="宋体"/>
          <w:b/>
          <w:bCs/>
          <w:sz w:val="28"/>
          <w:highlight w:val="none"/>
        </w:rPr>
        <w:t xml:space="preserve">（</w:t>
      </w:r>
      <w:r>
        <w:rPr>
          <w:rFonts w:hint="eastAsia" w:ascii="宋体" w:hAnsi="宋体" w:eastAsia="宋体" w:cs="宋体"/>
          <w:b/>
          <w:bCs/>
          <w:sz w:val="24"/>
          <w:szCs w:val="24"/>
          <w:highlight w:val="none"/>
        </w:rPr>
        <w:t xml:space="preserve">一）、设备技术要求</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1、具有彩色液晶触摸显示屏。</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2、可作碳酸氢盐，醋酸盐常规透析、单纯超滤、原液配方全部开放。</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3、具有中文操作系统，方便护士操作。</w:t>
      </w:r>
      <w:r/>
    </w:p>
    <w:p>
      <w:pPr>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4、标配超滤曲线、钠离子曲线、碳酸盐曲线、肝素曲线、透析液流量曲线及透析液温度曲线，具备调节功能。</w:t>
      </w:r>
      <w:r>
        <w:rPr>
          <w:rFonts w:hint="eastAsia" w:ascii="宋体" w:hAnsi="宋体" w:eastAsia="宋体" w:cs="宋体"/>
          <w:bCs/>
          <w:sz w:val="24"/>
          <w:szCs w:val="24"/>
          <w:highlight w:val="none"/>
        </w:rPr>
        <w:t xml:space="preserve">(需提供设备使用说明书或设备检测报告作为证明材料)</w:t>
      </w:r>
      <w:r/>
    </w:p>
    <w:p>
      <w:pPr>
        <w:ind w:firstLine="24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5、自动待机功能，待机模式时，透析液流量可自动降至0ml/min, 节省透析液。</w:t>
      </w:r>
      <w:r>
        <w:rPr>
          <w:rFonts w:hint="eastAsia" w:ascii="宋体" w:hAnsi="宋体" w:eastAsia="宋体" w:cs="宋体"/>
          <w:bCs/>
          <w:sz w:val="24"/>
          <w:szCs w:val="24"/>
          <w:highlight w:val="none"/>
        </w:rPr>
        <w:t xml:space="preserve">(需提供设备使用说明书或设备检测报告作为证明材料)</w:t>
      </w:r>
      <w:r/>
    </w:p>
    <w:p>
      <w:p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6、具有双重电导度反馈控制系统。</w:t>
      </w:r>
      <w:r/>
    </w:p>
    <w:p>
      <w:pPr>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7、配有透析液过滤器支架和同品牌透析滤过器，可过滤透析液。每支透析液过滤器可使用≥150人次或≥900小时。</w:t>
      </w:r>
      <w:r>
        <w:rPr>
          <w:rFonts w:hint="eastAsia" w:ascii="宋体" w:hAnsi="宋体" w:eastAsia="宋体" w:cs="宋体"/>
          <w:bCs/>
          <w:sz w:val="24"/>
          <w:szCs w:val="24"/>
          <w:highlight w:val="none"/>
        </w:rPr>
        <w:t xml:space="preserve">(需提供设备使用说明书或设备检测报告作为证明材料)</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8、具有治疗方案与治疗结果保存功能，自动保存至少20次病人治疗记录。</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9、具有后备电池，停电后可保证机器运转20分钟以上，并且不丢失数据；同时压力监测，漏血和气泡检测正常工作。</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10、标配透析充分性监测装置KT/V。</w:t>
      </w:r>
      <w:r/>
    </w:p>
    <w:p>
      <w:pPr>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11、具有透析过程中补液功能，能够自动累计计算总补液量。</w:t>
      </w:r>
      <w:r>
        <w:rPr>
          <w:rFonts w:hint="eastAsia" w:ascii="宋体" w:hAnsi="宋体" w:eastAsia="宋体" w:cs="宋体"/>
          <w:bCs/>
          <w:sz w:val="24"/>
          <w:szCs w:val="24"/>
          <w:highlight w:val="none"/>
        </w:rPr>
        <w:t xml:space="preserve">(需提供设备使用说明书或设备检测报告作为证明材料)</w:t>
      </w:r>
      <w:r/>
    </w:p>
    <w:p>
      <w:pPr>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12、具有化学消毒，热消毒，中央化学消毒或热消毒模式。</w:t>
      </w:r>
      <w:r>
        <w:rPr>
          <w:rFonts w:hint="eastAsia" w:ascii="宋体" w:hAnsi="宋体" w:eastAsia="宋体" w:cs="宋体"/>
          <w:bCs/>
          <w:sz w:val="24"/>
          <w:szCs w:val="24"/>
          <w:highlight w:val="none"/>
        </w:rPr>
        <w:t xml:space="preserve">(需提供设备使用说明书或设备检测报告作为证明材料)</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（二）、设备参数要求</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1、血流量：50 ～ 600ml/min</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2、肝素泵流量: 0.1 ～ 10ml/h</w:t>
      </w:r>
      <w:r/>
    </w:p>
    <w:p>
      <w:pPr>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3、动脉压:动脉压范围最大不超过+400mmHg。</w:t>
      </w:r>
      <w:r>
        <w:rPr>
          <w:rFonts w:hint="eastAsia" w:ascii="宋体" w:hAnsi="宋体" w:eastAsia="宋体" w:cs="宋体"/>
          <w:bCs/>
          <w:sz w:val="24"/>
          <w:szCs w:val="24"/>
          <w:highlight w:val="none"/>
        </w:rPr>
        <w:t xml:space="preserve">(需提供设备使用说明书或设备检测报告作为证明材料)</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4、静脉压:静脉压范围最低不低于-60mmHg。</w:t>
      </w:r>
      <w:r>
        <w:rPr>
          <w:rFonts w:hint="eastAsia" w:ascii="宋体" w:hAnsi="宋体" w:eastAsia="宋体" w:cs="宋体"/>
          <w:bCs/>
          <w:sz w:val="24"/>
          <w:szCs w:val="24"/>
          <w:highlight w:val="none"/>
        </w:rPr>
        <w:t xml:space="preserve">(需提供设备使用说明书或设备检测报告作为证明材料)</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5、跨膜压监测范围:跨膜压最小值不低于-150mmHg。</w:t>
      </w:r>
      <w:r>
        <w:rPr>
          <w:rFonts w:hint="eastAsia" w:ascii="宋体" w:hAnsi="宋体" w:eastAsia="宋体" w:cs="宋体"/>
          <w:bCs/>
          <w:sz w:val="24"/>
          <w:szCs w:val="24"/>
          <w:highlight w:val="none"/>
        </w:rPr>
        <w:t xml:space="preserve">(需提供设备使用说明书或设备检测报告作为证明材料)</w:t>
      </w:r>
      <w:r/>
    </w:p>
    <w:p>
      <w:pPr>
        <w:numPr>
          <w:ilvl w:val="0"/>
          <w:numId w:val="0"/>
        </w:numPr>
        <w:ind w:left="0"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透析液流量:300～800ml/min,梯度100ml。</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7、透析液温度范围：33.4℃ ～ 39.5℃</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8、电导度范围：透析液导电率监测范围最大不超过16ms/cm。</w:t>
      </w:r>
      <w:r>
        <w:rPr>
          <w:rFonts w:hint="eastAsia" w:ascii="宋体" w:hAnsi="宋体" w:eastAsia="宋体" w:cs="宋体"/>
          <w:bCs/>
          <w:sz w:val="24"/>
          <w:szCs w:val="24"/>
          <w:highlight w:val="none"/>
        </w:rPr>
        <w:t xml:space="preserve">(需提供设备使用说明书或设备检测报告作为证明材料)</w:t>
      </w:r>
      <w:r/>
    </w:p>
    <w:p>
      <w:p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9、超滤率: 0 ～ 4000ml/h</w:t>
      </w:r>
      <w:r/>
    </w:p>
    <w:p>
      <w:pPr>
        <w:ind w:firstLine="24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10、供水压: 0.5 ～ 6bar。</w:t>
      </w:r>
      <w:r/>
    </w:p>
    <w:p>
      <w:p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置换液流量范围：20</w:t>
      </w:r>
      <w:r>
        <w:rPr>
          <w:rFonts w:hint="eastAsia" w:ascii="宋体" w:hAnsi="宋体" w:eastAsia="宋体" w:cs="宋体"/>
          <w:sz w:val="24"/>
          <w:szCs w:val="24"/>
          <w:highlight w:val="none"/>
        </w:rPr>
        <w:t xml:space="preserve">～400ml/min</w:t>
      </w:r>
      <w:r/>
    </w:p>
    <w:p>
      <w:pPr>
        <w:jc w:val="left"/>
        <w:spacing w:line="360" w:lineRule="auto"/>
        <w:tabs>
          <w:tab w:val="left" w:pos="323"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ascii="宋体" w:hAnsi="宋体" w:eastAsia="宋体" w:cs="宋体"/>
          <w:b/>
          <w:bCs/>
          <w:color w:val="000000" w:themeColor="text1"/>
          <w:sz w:val="24"/>
          <w:szCs w:val="24"/>
          <w:highlight w:val="none"/>
          <w14:textFill>
            <w14:solidFill>
              <w14:schemeClr w14:val="tx1"/>
            </w14:solidFill>
          </w14:textFill>
        </w:rPr>
        <w:t xml:space="preserve">、商务需求</w:t>
      </w:r>
      <w:r/>
    </w:p>
    <w:tbl>
      <w:tblPr>
        <w:tblStyle w:val="834"/>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158"/>
        <w:gridCol w:w="5733"/>
      </w:tblGrid>
      <w:tr>
        <w:trPr>
          <w:jc w:val="center"/>
          <w:trHeight w:val="750"/>
        </w:trPr>
        <w:tc>
          <w:tcPr>
            <w:tcW w:w="475"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序号</w:t>
            </w:r>
            <w:r/>
          </w:p>
        </w:tc>
        <w:tc>
          <w:tcPr>
            <w:tcW w:w="123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商务和服务项目</w:t>
            </w:r>
            <w:r/>
          </w:p>
        </w:tc>
        <w:tc>
          <w:tcPr>
            <w:tcW w:w="328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商务和服务要求</w:t>
            </w:r>
            <w:r/>
          </w:p>
        </w:tc>
      </w:tr>
      <w:tr>
        <w:trPr>
          <w:jc w:val="center"/>
          <w:trHeight w:val="759"/>
        </w:trPr>
        <w:tc>
          <w:tcPr>
            <w:tcW w:w="475"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w:t>
            </w:r>
            <w:r/>
          </w:p>
        </w:tc>
        <w:tc>
          <w:tcPr>
            <w:tcW w:w="123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交货期</w:t>
            </w:r>
            <w:r/>
          </w:p>
        </w:tc>
        <w:tc>
          <w:tcPr>
            <w:tcW w:w="328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合同签订后7天内 </w:t>
            </w:r>
            <w:r/>
          </w:p>
        </w:tc>
      </w:tr>
      <w:tr>
        <w:trPr>
          <w:jc w:val="center"/>
          <w:trHeight w:val="867"/>
        </w:trPr>
        <w:tc>
          <w:tcPr>
            <w:tcW w:w="475"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123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★售后服务</w:t>
            </w:r>
            <w:r/>
          </w:p>
        </w:tc>
        <w:tc>
          <w:tcPr>
            <w:tcW w:w="3287" w:type="pct"/>
            <w:vAlign w:val="center"/>
            <w:textDirection w:val="lrTb"/>
            <w:noWrap w:val="false"/>
          </w:tcPr>
          <w:p>
            <w:pPr>
              <w:jc w:val="left"/>
              <w:spacing w:line="340" w:lineRule="exact"/>
              <w:widowControl/>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所有</w:t>
            </w:r>
            <w:r>
              <w:rPr>
                <w:rFonts w:ascii="宋体" w:hAnsi="宋体" w:eastAsia="宋体" w:cs="宋体"/>
                <w:bCs/>
                <w:color w:val="000000" w:themeColor="text1"/>
                <w:sz w:val="24"/>
                <w:szCs w:val="24"/>
                <w:highlight w:val="none"/>
                <w14:textFill>
                  <w14:solidFill>
                    <w14:schemeClr w14:val="tx1"/>
                  </w14:solidFill>
                </w14:textFill>
              </w:rPr>
              <w:t xml:space="preserve">投标产品均需</w:t>
            </w:r>
            <w:r>
              <w:rPr>
                <w:rFonts w:hint="eastAsia" w:ascii="宋体" w:hAnsi="宋体" w:eastAsia="宋体" w:cs="宋体"/>
                <w:bCs/>
                <w:color w:val="000000" w:themeColor="text1"/>
                <w:sz w:val="24"/>
                <w:szCs w:val="24"/>
                <w:highlight w:val="none"/>
                <w14:textFill>
                  <w14:solidFill>
                    <w14:schemeClr w14:val="tx1"/>
                  </w14:solidFill>
                </w14:textFill>
              </w:rPr>
              <w:t xml:space="preserve">提供不少于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ascii="宋体" w:hAnsi="宋体" w:eastAsia="宋体" w:cs="宋体"/>
                <w:bCs/>
                <w:color w:val="000000" w:themeColor="text1"/>
                <w:sz w:val="24"/>
                <w:szCs w:val="24"/>
                <w:highlight w:val="none"/>
                <w14:textFill>
                  <w14:solidFill>
                    <w14:schemeClr w14:val="tx1"/>
                  </w14:solidFill>
                </w14:textFill>
              </w:rPr>
              <w:t xml:space="preserve">免费</w:t>
            </w:r>
            <w:r>
              <w:rPr>
                <w:rFonts w:hint="eastAsia" w:ascii="宋体" w:hAnsi="宋体" w:eastAsia="宋体" w:cs="宋体"/>
                <w:bCs/>
                <w:color w:val="000000" w:themeColor="text1"/>
                <w:sz w:val="24"/>
                <w:szCs w:val="24"/>
                <w:highlight w:val="none"/>
                <w14:textFill>
                  <w14:solidFill>
                    <w14:schemeClr w14:val="tx1"/>
                  </w14:solidFill>
                </w14:textFill>
              </w:rPr>
              <w:t xml:space="preserve">质保期，</w:t>
            </w:r>
            <w:r>
              <w:rPr>
                <w:rFonts w:ascii="宋体" w:hAnsi="宋体" w:eastAsia="宋体" w:cs="宋体"/>
                <w:color w:val="000000" w:themeColor="text1"/>
                <w:spacing w:val="5"/>
                <w:sz w:val="24"/>
                <w:szCs w:val="24"/>
                <w:highlight w:val="none"/>
                <w14:textFill>
                  <w14:solidFill>
                    <w14:schemeClr w14:val="tx1"/>
                  </w14:solidFill>
                </w14:textFill>
              </w:rPr>
              <w:t xml:space="preserve">质保期自采购人验收合格之日起算。</w:t>
            </w:r>
            <w:r/>
          </w:p>
          <w:p>
            <w:pPr>
              <w:jc w:val="left"/>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投标人承诺如中标，在合同签订前能提供加盖制造厂商或厂家授权售后机构公章的质保承诺函（与投标文件响应的质保期一致，格式自拟）。</w:t>
            </w:r>
            <w:r/>
          </w:p>
        </w:tc>
      </w:tr>
      <w:tr>
        <w:trPr>
          <w:jc w:val="center"/>
          <w:trHeight w:val="810"/>
        </w:trPr>
        <w:tc>
          <w:tcPr>
            <w:tcW w:w="475"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123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交货地点</w:t>
            </w:r>
            <w:r/>
          </w:p>
        </w:tc>
        <w:tc>
          <w:tcPr>
            <w:tcW w:w="328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泰州市姜堰中医院指定地点</w:t>
            </w:r>
            <w:r/>
          </w:p>
        </w:tc>
      </w:tr>
      <w:tr>
        <w:trPr>
          <w:jc w:val="center"/>
          <w:trHeight w:val="837"/>
        </w:trPr>
        <w:tc>
          <w:tcPr>
            <w:tcW w:w="475"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123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包装运输</w:t>
            </w:r>
            <w:r/>
          </w:p>
        </w:tc>
        <w:tc>
          <w:tcPr>
            <w:tcW w:w="328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由供应商承担</w:t>
            </w:r>
            <w:r/>
          </w:p>
        </w:tc>
      </w:tr>
      <w:tr>
        <w:trPr>
          <w:jc w:val="center"/>
          <w:trHeight w:val="692"/>
        </w:trPr>
        <w:tc>
          <w:tcPr>
            <w:tcW w:w="475"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t xml:space="preserve">5</w:t>
            </w:r>
            <w:r/>
          </w:p>
        </w:tc>
        <w:tc>
          <w:tcPr>
            <w:shd w:val="clear" w:color="auto" w:fill="ffffff" w:themeFill="background1"/>
            <w:tcW w:w="1237" w:type="pct"/>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p>
        </w:tc>
        <w:tc>
          <w:tcPr>
            <w:shd w:val="clear" w:color="auto" w:fill="ffffff" w:themeFill="background1"/>
            <w:tcW w:w="3287" w:type="pct"/>
            <w:vAlign w:val="center"/>
            <w:textDirection w:val="lrTb"/>
            <w:noWrap w:val="false"/>
          </w:tcPr>
          <w:p>
            <w:pPr>
              <w:jc w:val="left"/>
              <w:spacing w:line="340" w:lineRule="exact"/>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验收合格并试运行一个月后支付90%货款，一年之后支付余款.如果中标人为中小企业，按&lt;&lt;保障中小企业款项支付条例&gt;&gt;(国令第802号)相关要求执行</w:t>
            </w:r>
            <w:r/>
          </w:p>
        </w:tc>
      </w:tr>
    </w:tbl>
    <w:p>
      <w:pP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w:t>
      </w:r>
      <w:r/>
    </w:p>
    <w:p>
      <w:pPr>
        <w:rPr>
          <w:rFonts w:hint="eastAsia" w:cs="仿宋" w:asciiTheme="minorEastAsia" w:hAnsiTheme="minorEastAsia" w:eastAsiaTheme="minorEastAsia"/>
          <w:color w:val="000000" w:themeColor="text1"/>
          <w:highlight w:val="none"/>
          <w14:textFill>
            <w14:solidFill>
              <w14:schemeClr w14:val="tx1"/>
            </w14:solidFill>
          </w14:textFill>
        </w:rPr>
      </w:pPr>
      <w:r>
        <w:rPr>
          <w:rFonts w:cs="仿宋" w:asciiTheme="minorEastAsia" w:hAnsiTheme="minorEastAsia" w:eastAsiaTheme="minorEastAsia"/>
          <w:color w:val="000000" w:themeColor="text1"/>
          <w:highlight w:val="none"/>
          <w14:textFill>
            <w14:solidFill>
              <w14:schemeClr w14:val="tx1"/>
            </w14:solidFill>
          </w14:textFill>
        </w:rPr>
        <w:br w:type="page" w:clear="all"/>
      </w:r>
      <w:r/>
    </w:p>
    <w:p>
      <w:pPr>
        <w:pStyle w:val="1058"/>
        <w:numPr>
          <w:ilvl w:val="0"/>
          <w:numId w:val="6"/>
        </w:numPr>
        <w:jc w:val="center"/>
        <w:spacing w:before="0" w:after="0" w:line="240" w:lineRule="auto"/>
        <w:rPr>
          <w:rFonts w:hint="eastAsia" w:cs="仿宋" w:asciiTheme="minorEastAsia" w:hAnsiTheme="minorEastAsia" w:eastAsiaTheme="minorEastAsia"/>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32"/>
          <w:szCs w:val="32"/>
          <w:highlight w:val="none"/>
          <w14:textFill>
            <w14:solidFill>
              <w14:schemeClr w14:val="tx1"/>
            </w14:solidFill>
          </w14:textFill>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一、资格性审查（通过/未通过）：</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r>
    </w:tbl>
    <w:p>
      <w:pPr>
        <w:jc w:val="left"/>
        <w:spacing w:after="200" w:line="360" w:lineRule="auto"/>
        <w:widowControl/>
        <w:rPr>
          <w:rFonts w:hint="eastAsia"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二、符合性审查（通过/未通过）：</w:t>
      </w:r>
      <w:r/>
    </w:p>
    <w:tbl>
      <w:tblPr>
        <w:tblStyle w:val="834"/>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三、评标办法：</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b/>
          <w:bCs/>
          <w:color w:val="000000" w:themeColor="text1"/>
          <w:highlight w:val="none"/>
          <w:shd w:val="clear" w:color="auto" w:fill="ffffff"/>
          <w14:textFill>
            <w14:solidFill>
              <w14:schemeClr w14:val="tx1"/>
            </w14:solidFill>
          </w14:textFill>
        </w:rPr>
        <w:t xml:space="preserve">政府采购政策功能落实</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1、小微型企业价格扣除</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（1）本项目对小型和微型企业产品给予10%的扣除价格，用扣除后的价格参与评审。</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（2）供应商需按照采购文件的要求提供相应的《中小企业声明函》。</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2、残疾人福利单位价格扣除</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（2）残疾人福利单位需按照采购文件的要求提供《残疾人福利性单位声明函》。</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（3）残疾人福利单位标准请参照《关于促进残疾人就业政府采购政策的通知》（财库〔2017〕141号）。</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3、监狱和戒毒企业价格扣除</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（3）监狱企业标准请参照《关于政府采购支持监狱企业发展有关问题的通知》（财库[2014]68号）。</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4、残疾人福利单位、监狱企业属于小型、微型企业的，不重复享受政策。</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86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7、专门面向中小企业采购的项目，小微企业不再享受价格扣除优惠政策。</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、采购本国产品的支持政策</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8.1</w:t>
      </w:r>
      <w:r>
        <w:rPr>
          <w:rFonts w:hint="eastAsia" w:ascii="宋体" w:hAnsi="宋体" w:eastAsia="宋体" w:cs="宋体"/>
          <w:bCs/>
          <w:color w:val="000000" w:themeColor="text1"/>
          <w:sz w:val="24"/>
          <w:szCs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eastAsia="宋体" w:cs="宋体"/>
          <w:bCs/>
          <w:color w:val="000000" w:themeColor="text1"/>
          <w:sz w:val="24"/>
          <w:szCs w:val="24"/>
          <w:highlight w:val="none"/>
          <w14:textFill>
            <w14:solidFill>
              <w14:schemeClr w14:val="tx1"/>
            </w14:solidFill>
          </w14:textFill>
        </w:rPr>
        <w:t xml:space="preserve">，无形资产。</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8.2</w:t>
      </w:r>
      <w:r>
        <w:rPr>
          <w:rFonts w:hint="eastAsia" w:ascii="宋体" w:hAnsi="宋体" w:eastAsia="宋体" w:cs="宋体"/>
          <w:bCs/>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color w:val="000000" w:themeColor="text1"/>
          <w:sz w:val="24"/>
          <w:szCs w:val="24"/>
          <w:highlight w:val="none"/>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供应商需在《声明函》中逐一、准确填写产品名称、厂名、生产厂址三项信息（《声明函》中用斜线划除的地方无需填写），三</w:t>
      </w:r>
      <w:r>
        <w:rPr>
          <w:rFonts w:hint="eastAsia" w:ascii="宋体" w:hAnsi="宋体" w:eastAsia="宋体" w:cs="宋体"/>
          <w:color w:val="000000" w:themeColor="text1"/>
          <w:sz w:val="24"/>
          <w:szCs w:val="24"/>
          <w:highlight w:val="none"/>
          <w14:textFill>
            <w14:solidFill>
              <w14:schemeClr w14:val="tx1"/>
            </w14:solidFill>
          </w14:textFill>
        </w:rPr>
        <w:t xml:space="preserve">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highlight w:val="none"/>
        </w:rPr>
      </w:pPr>
      <w:r>
        <w:rPr>
          <w:rFonts w:hint="eastAsia"/>
          <w:highlight w:val="none"/>
        </w:rPr>
      </w:r>
      <w:r/>
    </w:p>
    <w:p>
      <w:pPr>
        <w:numPr>
          <w:ilvl w:val="0"/>
          <w:numId w:val="7"/>
        </w:num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bookmarkStart w:id="41" w:name="_Hlk147842034"/>
      <w:r>
        <w:rPr>
          <w:rFonts w:hint="eastAsia" w:ascii="宋体" w:hAnsi="宋体" w:eastAsia="宋体"/>
          <w:b/>
          <w:color w:val="000000" w:themeColor="text1"/>
          <w:sz w:val="24"/>
          <w:szCs w:val="24"/>
          <w:highlight w:val="none"/>
          <w14:textFill>
            <w14:solidFill>
              <w14:schemeClr w14:val="tx1"/>
            </w14:solidFill>
          </w14:textFill>
        </w:rPr>
        <w:t xml:space="preserve">评标内容及标准</w:t>
      </w: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 </w:t>
      </w:r>
      <w:r/>
    </w:p>
    <w:tbl>
      <w:tblPr>
        <w:tblStyle w:val="86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1194"/>
        <w:gridCol w:w="5561"/>
        <w:gridCol w:w="656"/>
      </w:tblGrid>
      <w:tr>
        <w:trPr/>
        <w:tc>
          <w:tcPr>
            <w:tcBorders>
              <w:top w:val="single" w:color="000000" w:sz="8"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评标标准及细则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30</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left="24"/>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left="91"/>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技术、性能、配置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评委根据招标文件中《技术规格及商务要求》，结合投标文件提供的佐证材料等进行评审：</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1、全部满足标书基本要求得5</w:t>
            </w:r>
            <w:r>
              <w:rPr>
                <w:rFonts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分，正偏离不加分，有一项★号指标负偏离做废标处理；</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2、有一项▲号指标负偏离扣</w:t>
            </w:r>
            <w:r>
              <w:rPr>
                <w:rFonts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分；（★号、▲号指标须提供相关证明材料（包括制造商盖章的技术白皮书、Data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3、非★、▲号指标每负偏离一项扣</w:t>
            </w:r>
            <w:r>
              <w:rPr>
                <w:rFonts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分，扣完为止。</w:t>
            </w:r>
            <w:r/>
          </w:p>
          <w:p>
            <w:pPr>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4、产品交付验收时，招标人将对技术规格要求中的★号、▲号指标进行逐一核实验收，如发现虚假应标，或无法实现关键技术指标功能，有权向采购主管部门进行举报，由成交供应商承担一切法律责任。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ascii="宋体" w:hAnsi="宋体" w:eastAsia="宋体" w:cs="宋体"/>
                <w:bCs/>
                <w:color w:val="000000" w:themeColor="text1"/>
                <w:sz w:val="24"/>
                <w:szCs w:val="24"/>
                <w:highlight w:val="none"/>
                <w14:textFill>
                  <w14:solidFill>
                    <w14:schemeClr w14:val="tx1"/>
                  </w14:solidFill>
                </w14:textFill>
              </w:rPr>
              <w:t xml:space="preserve">6</w:t>
            </w:r>
            <w:r/>
          </w:p>
        </w:tc>
      </w:tr>
      <w:tr>
        <w:trPr>
          <w:trHeight w:val="585"/>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hanging="8"/>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技术培训方案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投标人提供对用户的操作培训、业务功能培训等相关培训计划方案，除正常操作培训外，针对甲方是教学培训单位的特点，提出其他技术培训保障方案；</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1、技术培训保障方案内容详实、科学、合理，考虑周全，培训计划针对性强、内容详实，培训人员配备齐全、技术水平高、分工明确、岗位设置科学合理，培训率承诺高，得</w:t>
            </w:r>
            <w:r>
              <w:rPr>
                <w:rFonts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2、技术培训保障方案内容详实、考虑较全，培训计划具体，培训人员齐全，培训率承诺较高，得</w:t>
            </w:r>
            <w:r>
              <w:rPr>
                <w:rFonts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3、技术培训保障方案表述简单，培训计划简单、培训人员较少，培训率承诺一般，得</w:t>
            </w:r>
            <w:r>
              <w:rPr>
                <w:rFonts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4、未提供方案或方案无可行性不得分。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szCs w:val="24"/>
                <w:highlight w:val="none"/>
                <w14:textFill>
                  <w14:solidFill>
                    <w14:schemeClr w14:val="tx1"/>
                  </w14:solidFill>
                </w14:textFill>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售后服务实施方案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1）售后方案内容详实、科学、合理，考虑周全，对产品质量管控措施要求全面到位，相关服务承诺内容详实，人员配备齐全，分工明确、岗位设置科学合理，人员配备齐全、设备配备齐全、先进者得</w:t>
            </w:r>
            <w:r>
              <w:rPr>
                <w:rFonts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2）售后方案内容详实、考虑较全，对产品质量管控措施要求到位，相关服务承诺内容具体，人员配备齐全、设备配备齐全者得</w:t>
            </w:r>
            <w:r>
              <w:rPr>
                <w:rFonts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3）技术培训保障方案表述简单，培训计划简单、培训人员较少，培训率承诺一般者得</w:t>
            </w:r>
            <w:r>
              <w:rPr>
                <w:rFonts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szCs w:val="24"/>
                <w:highlight w:val="none"/>
                <w14:textFill>
                  <w14:solidFill>
                    <w14:schemeClr w14:val="tx1"/>
                  </w14:solidFill>
                </w14:textFill>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pStyle w:val="838"/>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投标人提供的售后服务承诺书需响应招标文件要求的免费质保期，</w:t>
            </w:r>
            <w:r>
              <w:rPr>
                <w:rFonts w:ascii="宋体" w:hAnsi="宋体" w:eastAsia="宋体" w:cs="宋体"/>
                <w:bCs/>
                <w:color w:val="000000" w:themeColor="text1"/>
                <w:sz w:val="24"/>
                <w:szCs w:val="24"/>
                <w:highlight w:val="none"/>
                <w14:textFill>
                  <w14:solidFill>
                    <w14:schemeClr w14:val="tx1"/>
                  </w14:solidFill>
                </w14:textFill>
              </w:rPr>
              <w:t xml:space="preserve">质保</w:t>
            </w:r>
            <w:r>
              <w:rPr>
                <w:rFonts w:hint="eastAsia" w:ascii="宋体" w:hAnsi="宋体" w:eastAsia="宋体" w:cs="宋体"/>
                <w:bCs/>
                <w:color w:val="000000" w:themeColor="text1"/>
                <w:sz w:val="24"/>
                <w:szCs w:val="24"/>
                <w:highlight w:val="none"/>
                <w14:textFill>
                  <w14:solidFill>
                    <w14:schemeClr w14:val="tx1"/>
                  </w14:solidFill>
                </w14:textFill>
              </w:rPr>
              <w:t xml:space="preserve">满足招标文件要求得2分，超过1年加1分，最多得4分。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r>
      <w:tr>
        <w:trPr/>
        <w:tc>
          <w:tcPr>
            <w:gridSpan w:val="3"/>
            <w:tcBorders>
              <w:top w:val="none" w:color="000000" w:sz="4" w:space="0"/>
              <w:left w:val="single" w:color="000000" w:sz="8" w:space="0"/>
              <w:bottom w:val="single" w:color="000000" w:sz="8" w:space="0"/>
              <w:right w:val="single" w:color="000000" w:sz="8" w:space="0"/>
            </w:tcBorders>
            <w:tcW w:w="4615" w:type="pc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100</w:t>
            </w:r>
            <w:r/>
          </w:p>
        </w:tc>
      </w:tr>
    </w:tbl>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三、推荐中标候选人:</w:t>
      </w:r>
      <w:r/>
    </w:p>
    <w:p>
      <w:pPr>
        <w:ind w:firstLine="488"/>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汇总上述各项分值（保留两位小数,小数点后第三位四舍五入），按总得分由高到低的顺序排列,综合得分最高的为中标候选人。</w:t>
      </w:r>
      <w:bookmarkEnd w:id="41"/>
      <w:r/>
      <w:r/>
    </w:p>
    <w:p>
      <w:pPr>
        <w:rPr>
          <w:rFonts w:hint="eastAsia" w:asciiTheme="minorEastAsia" w:hAnsiTheme="minorEastAsia" w:eastAsiaTheme="minorEastAsia"/>
          <w:color w:val="000000" w:themeColor="text1"/>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asciiTheme="minorEastAsia" w:hAnsiTheme="minorEastAsia" w:eastAsiaTheme="minorEastAsia"/>
          <w:color w:val="000000" w:themeColor="text1"/>
          <w:highlight w:val="none"/>
          <w14:textFill>
            <w14:solidFill>
              <w14:schemeClr w14:val="tx1"/>
            </w14:solidFill>
          </w14:textFill>
        </w:rPr>
        <w:br w:type="page" w:clear="all"/>
      </w:r>
      <w:r/>
    </w:p>
    <w:p>
      <w:pPr>
        <w:jc w:val="cente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第五章 合同条款</w:t>
      </w:r>
      <w:r/>
    </w:p>
    <w:p>
      <w:pPr>
        <w:ind w:firstLine="567"/>
        <w:jc w:val="center"/>
        <w:rPr>
          <w:rFonts w:hint="eastAsia"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jc w:val="center"/>
        <w:spacing w:line="360" w:lineRule="auto"/>
        <w:rPr>
          <w:rStyle w:val="866"/>
          <w:rFonts w:hint="eastAsia" w:cs="Arial" w:asciiTheme="minorEastAsia" w:hAnsiTheme="minorEastAsia" w:eastAsiaTheme="minorEastAsia"/>
          <w:bCs/>
          <w:i w:val="0"/>
          <w:color w:val="000000" w:themeColor="text1"/>
          <w:sz w:val="24"/>
          <w:szCs w:val="24"/>
          <w:highlight w:val="none"/>
          <w14:textFill>
            <w14:solidFill>
              <w14:schemeClr w14:val="tx1"/>
            </w14:solidFill>
          </w14:textFill>
        </w:rPr>
      </w:pPr>
      <w:r>
        <w:rPr>
          <w:rStyle w:val="866"/>
          <w:rFonts w:hint="eastAsia" w:cs="Arial" w:asciiTheme="minorEastAsia" w:hAnsiTheme="minorEastAsia" w:eastAsiaTheme="minorEastAsia"/>
          <w:bCs/>
          <w:i w:val="0"/>
          <w:color w:val="000000" w:themeColor="text1"/>
          <w:sz w:val="24"/>
          <w:szCs w:val="24"/>
          <w:highlight w:val="none"/>
          <w14:textFill>
            <w14:solidFill>
              <w14:schemeClr w14:val="tx1"/>
            </w14:solidFill>
          </w14:textFill>
        </w:rPr>
        <w:t xml:space="preserve">医疗设备采购合同        </w:t>
      </w:r>
      <w:r/>
    </w:p>
    <w:p>
      <w:pPr>
        <w:jc w:val="left"/>
        <w:spacing w:line="360" w:lineRule="auto"/>
        <w:rPr>
          <w:rStyle w:val="866"/>
          <w:rFonts w:hint="eastAsia" w:cs="Arial" w:asciiTheme="minorEastAsia" w:hAnsiTheme="minorEastAsia" w:eastAsiaTheme="minorEastAsia"/>
          <w:b/>
          <w:bCs/>
          <w:i w:val="0"/>
          <w:color w:val="000000" w:themeColor="text1"/>
          <w:sz w:val="24"/>
          <w:szCs w:val="24"/>
          <w:highlight w:val="none"/>
          <w14:textFill>
            <w14:solidFill>
              <w14:schemeClr w14:val="tx1"/>
            </w14:solidFill>
          </w14:textFill>
        </w:rPr>
      </w:pPr>
      <w:r>
        <w:rPr>
          <w:rStyle w:val="866"/>
          <w:rFonts w:hint="eastAsia" w:cs="Arial" w:asciiTheme="minorEastAsia" w:hAnsiTheme="minorEastAsia" w:eastAsiaTheme="minorEastAsia"/>
          <w:i w:val="0"/>
          <w:color w:val="000000" w:themeColor="text1"/>
          <w:sz w:val="24"/>
          <w:szCs w:val="24"/>
          <w:highlight w:val="none"/>
          <w14:textFill>
            <w14:solidFill>
              <w14:schemeClr w14:val="tx1"/>
            </w14:solidFill>
          </w14:textFill>
        </w:rPr>
        <w:t xml:space="preserve">                                         合同编号：</w:t>
      </w:r>
      <w:r>
        <w:rPr>
          <w:rStyle w:val="866"/>
          <w:rFonts w:hint="eastAsia" w:cs="仿宋" w:asciiTheme="minorEastAsia" w:hAnsiTheme="minorEastAsia" w:eastAsiaTheme="minorEastAsia"/>
          <w:bCs/>
          <w:i w:val="0"/>
          <w:color w:val="000000" w:themeColor="text1"/>
          <w:sz w:val="24"/>
          <w:szCs w:val="24"/>
          <w:highlight w:val="none"/>
          <w14:textFill>
            <w14:solidFill>
              <w14:schemeClr w14:val="tx1"/>
            </w14:solidFill>
          </w14:textFill>
        </w:rPr>
        <w:t xml:space="preserve">SB202</w:t>
      </w:r>
      <w:r>
        <w:rPr>
          <w:rStyle w:val="866"/>
          <w:rFonts w:hint="eastAsia" w:cs="仿宋" w:asciiTheme="minorEastAsia" w:hAnsiTheme="minorEastAsia" w:eastAsiaTheme="minorEastAsia"/>
          <w:bCs/>
          <w:i w:val="0"/>
          <w:color w:val="000000" w:themeColor="text1"/>
          <w:sz w:val="24"/>
          <w:szCs w:val="24"/>
          <w:highlight w:val="none"/>
          <w:lang w:val="en-US" w:eastAsia="zh-CN"/>
          <w14:textFill>
            <w14:solidFill>
              <w14:schemeClr w14:val="tx1"/>
            </w14:solidFill>
          </w14:textFill>
        </w:rPr>
        <w:t xml:space="preserve">6</w:t>
      </w:r>
      <w:r>
        <w:rPr>
          <w:rStyle w:val="866"/>
          <w:rFonts w:hint="eastAsia" w:cs="仿宋" w:asciiTheme="minorEastAsia" w:hAnsiTheme="minorEastAsia" w:eastAsiaTheme="minorEastAsia"/>
          <w:bCs/>
          <w:i w:val="0"/>
          <w:color w:val="000000" w:themeColor="text1"/>
          <w:sz w:val="24"/>
          <w:szCs w:val="24"/>
          <w:highlight w:val="none"/>
          <w14:textFill>
            <w14:solidFill>
              <w14:schemeClr w14:val="tx1"/>
            </w14:solidFill>
          </w14:textFill>
        </w:rPr>
        <w:t xml:space="preserve">-     </w:t>
      </w:r>
      <w:r/>
    </w:p>
    <w:p>
      <w:pPr>
        <w:jc w:val="left"/>
        <w:spacing w:line="360" w:lineRule="auto"/>
        <w:rPr>
          <w:rStyle w:val="866"/>
          <w:rFonts w:hint="eastAsia" w:cs="Arial" w:asciiTheme="minorEastAsia" w:hAnsiTheme="minorEastAsia" w:eastAsiaTheme="minorEastAsia"/>
          <w:b/>
          <w:bCs/>
          <w:i w:val="0"/>
          <w:color w:val="000000" w:themeColor="text1"/>
          <w:sz w:val="24"/>
          <w:szCs w:val="24"/>
          <w:highlight w:val="none"/>
          <w14:textFill>
            <w14:solidFill>
              <w14:schemeClr w14:val="tx1"/>
            </w14:solidFill>
          </w14:textFill>
        </w:rPr>
      </w:pPr>
      <w:r>
        <w:rPr>
          <w:rStyle w:val="866"/>
          <w:rFonts w:hint="eastAsia" w:cs="Arial" w:asciiTheme="minorEastAsia" w:hAnsiTheme="minorEastAsia" w:eastAsiaTheme="minorEastAsia"/>
          <w:bCs/>
          <w:i w:val="0"/>
          <w:color w:val="000000" w:themeColor="text1"/>
          <w:sz w:val="24"/>
          <w:szCs w:val="24"/>
          <w:highlight w:val="none"/>
          <w14:textFill>
            <w14:solidFill>
              <w14:schemeClr w14:val="tx1"/>
            </w14:solidFill>
          </w14:textFill>
        </w:rPr>
        <w:t xml:space="preserve">甲方（买方）：泰州市姜堰中医院            乙方（卖方）：</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    公司          </w:t>
      </w:r>
      <w:r/>
    </w:p>
    <w:p>
      <w:pPr>
        <w:spacing w:line="360" w:lineRule="auto"/>
        <w:rPr>
          <w:rStyle w:val="866"/>
          <w:rFonts w:hint="eastAsia" w:cs="Arial" w:asciiTheme="minorEastAsia" w:hAnsiTheme="minorEastAsia" w:eastAsiaTheme="minorEastAsia"/>
          <w:b/>
          <w:bCs/>
          <w:i w:val="0"/>
          <w:color w:val="000000" w:themeColor="text1"/>
          <w:sz w:val="24"/>
          <w:szCs w:val="24"/>
          <w:highlight w:val="none"/>
          <w14:textFill>
            <w14:solidFill>
              <w14:schemeClr w14:val="tx1"/>
            </w14:solidFill>
          </w14:textFill>
        </w:rPr>
      </w:pPr>
      <w:r>
        <w:rPr>
          <w:rStyle w:val="866"/>
          <w:rFonts w:hint="eastAsia" w:cs="Arial" w:asciiTheme="minorEastAsia" w:hAnsiTheme="minorEastAsia" w:eastAsiaTheme="minorEastAsia"/>
          <w:bCs/>
          <w:i w:val="0"/>
          <w:color w:val="000000" w:themeColor="text1"/>
          <w:sz w:val="24"/>
          <w:szCs w:val="24"/>
          <w:highlight w:val="none"/>
          <w14:textFill>
            <w14:solidFill>
              <w14:schemeClr w14:val="tx1"/>
            </w14:solidFill>
          </w14:textFill>
        </w:rPr>
        <w:t xml:space="preserve">见证方（招标代理机构）：</w:t>
      </w:r>
      <w:r/>
    </w:p>
    <w:p>
      <w:pPr>
        <w:ind w:firstLine="480"/>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根据《民法典》及我国相关法律法规，甲、乙双方在平等、自愿的基础上，经充分友好协商，现就甲方购买乙方设备事项达成以下合同条款,以共同遵守： </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一、定购内容：</w:t>
      </w:r>
      <w:r/>
    </w:p>
    <w:tbl>
      <w:tblPr>
        <w:tblStyle w:val="834"/>
        <w:tblW w:w="835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1080"/>
        <w:gridCol w:w="1425"/>
        <w:gridCol w:w="1473"/>
        <w:gridCol w:w="1215"/>
        <w:gridCol w:w="1362"/>
      </w:tblGrid>
      <w:tr>
        <w:trPr>
          <w:trHeight w:val="656"/>
        </w:trPr>
        <w:tc>
          <w:tcPr>
            <w:tcW w:w="180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货物名称</w:t>
            </w:r>
            <w:r/>
          </w:p>
        </w:tc>
        <w:tc>
          <w:tcPr>
            <w:tcW w:w="1080"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品牌/型号</w:t>
            </w:r>
            <w:r/>
          </w:p>
        </w:tc>
        <w:tc>
          <w:tcPr>
            <w:tcW w:w="142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数量  （套、台）</w:t>
            </w:r>
            <w:r/>
          </w:p>
        </w:tc>
        <w:tc>
          <w:tcPr>
            <w:tcW w:w="147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单价   （人民币元）</w:t>
            </w:r>
            <w:r/>
          </w:p>
        </w:tc>
        <w:tc>
          <w:tcPr>
            <w:tcW w:w="121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总价  （人民币元）</w:t>
            </w:r>
            <w:r/>
          </w:p>
        </w:tc>
        <w:tc>
          <w:tcPr>
            <w:tcW w:w="1362"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备注(注册证号)</w:t>
            </w:r>
            <w:r/>
          </w:p>
        </w:tc>
      </w:tr>
      <w:tr>
        <w:trPr>
          <w:trHeight w:val="297"/>
        </w:trPr>
        <w:tc>
          <w:tcPr>
            <w:tcW w:w="180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142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1473"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1215"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1362" w:type="dxa"/>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488"/>
        </w:trPr>
        <w:tc>
          <w:tcPr>
            <w:tcW w:w="1803" w:type="dxa"/>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合计（大写）</w:t>
            </w:r>
            <w:r/>
          </w:p>
        </w:tc>
        <w:tc>
          <w:tcPr>
            <w:gridSpan w:val="5"/>
            <w:tcW w:w="6555" w:type="dxa"/>
            <w:textDirection w:val="lrTb"/>
            <w:noWrap w:val="false"/>
          </w:tcPr>
          <w:p>
            <w:pPr>
              <w:jc w:val="center"/>
              <w:spacing w:line="360" w:lineRule="auto"/>
              <w:tabs>
                <w:tab w:val="left" w:pos="3932" w:leader="none"/>
              </w:tabs>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（人民币）</w:t>
            </w:r>
            <w:r/>
          </w:p>
        </w:tc>
      </w:tr>
    </w:tbl>
    <w:p>
      <w:pPr>
        <w:ind w:firstLine="480"/>
        <w:spacing w:line="360" w:lineRule="auto"/>
        <w:rPr>
          <w:rStyle w:val="866"/>
          <w:rFonts w:hint="eastAsia" w:cs="Arial" w:asciiTheme="minorEastAsia" w:hAnsiTheme="minorEastAsia" w:eastAsiaTheme="minorEastAsia"/>
          <w:b/>
          <w:bCs/>
          <w:i w:val="0"/>
          <w:color w:val="000000" w:themeColor="text1"/>
          <w:sz w:val="24"/>
          <w:szCs w:val="24"/>
          <w:highlight w:val="none"/>
          <w14:textFill>
            <w14:solidFill>
              <w14:schemeClr w14:val="tx1"/>
            </w14:solidFill>
          </w14:textFill>
        </w:rPr>
      </w:pPr>
      <w:r>
        <w:rPr>
          <w:rStyle w:val="866"/>
          <w:rFonts w:hint="eastAsia" w:cs="Arial" w:asciiTheme="minorEastAsia" w:hAnsiTheme="minorEastAsia" w:eastAsiaTheme="minorEastAsia"/>
          <w:bCs/>
          <w:i w:val="0"/>
          <w:color w:val="000000" w:themeColor="text1"/>
          <w:sz w:val="24"/>
          <w:szCs w:val="24"/>
          <w:highlight w:val="none"/>
          <w14:textFill>
            <w14:solidFill>
              <w14:schemeClr w14:val="tx1"/>
            </w14:solidFill>
          </w14:textFill>
        </w:rPr>
        <w:t xml:space="preserve">该价款包括但不限于：货款、海关税款、外贸手续费、清关费用、港口杂费、内陆运保费、货到医院所在地的商检费用以及设备的国内外配套采购件的费用、安装、调试、检测、培训、验收合格交付使用之前及质保期内售后技术服务与零配件费用等所有其他各项的含税费用。本合同执行期间合同单价不变，甲方无须另向乙方支付本合同规定之外的其他任何费用。</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二、主体资格及知识产权承诺</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1.乙方应保证其对该设备拥有完全的所有权或已得到所有者充分的销售授权，并确保向甲方提供的所有资质文件真实有效。</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2.乙方应保证其拥有该设备涉及的包括但不限于软件在内的所有知识产权。</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三、所购设备配置</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该合同价款包括了附件1《设备配置清单》中所列所有部件，乙方承诺所有配件均为该设备原装全新配件。</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四、交货时间和地点</w:t>
      </w:r>
      <w:r/>
    </w:p>
    <w:p>
      <w:pPr>
        <w:pStyle w:val="839"/>
        <w:ind w:left="482"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自本合同签订生效之日起</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个日历日内，由</w:t>
      </w:r>
      <w:bookmarkStart w:id="51" w:name="_GoBack"/>
      <w:r/>
      <w:bookmarkEnd w:id="51"/>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乙方送货至甲方指定科室并安装完毕。最终验收合格前，设备的所有风险由乙方承担。</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五、设备初步验收</w:t>
      </w:r>
      <w:r/>
    </w:p>
    <w:p>
      <w:pPr>
        <w:ind w:firstLine="72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1、特别提醒条款：设备到货时间，请乙方至少提前三天通知甲方，以便甲方安排好相关收货工作。设备到达甲方医院时，乙方代表必须随机到达，由乙方负责卸货并搬运至甲方指定地点，待设备搬运完毕后，甲乙双方办理交接手续。如未按上述规定执行，造成的一切后果全部由乙方承担。</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2、初步验收需同时满足下列内容：</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（1）本合同及附表</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《设备配置清单》</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中约定的所有要求；</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2）特别提醒条款：所提供医疗器械产品注册证必须真实有效；所提供设备上的中文品名、型号及产品说明书所注适用范围必须与医疗器械产品注册证所标明的完全一致；医疗设备上的铭牌必须标注医疗器械注册证号；发票上所列品名与型号必须与合同所列品名与型号完全一致；其他未提及事项必须符合国家食品药品监督管理局的相关规定。以上条款必须满足，否则由此引起的一切责任由乙方负责。</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乙方提供设备的合法性文件、说明产品使用、证明产品质量的所有书面文件：包括但不限于装箱单、注册证、设备说明书（或用户手册）、保修卡、合格证（国产）、进口产品报关单复印件以及商检报告等相关资料。</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六、设备复验</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1、设备初验合格后 </w:t>
      </w:r>
      <w:r>
        <w:rPr>
          <w:rFonts w:hint="eastAsia" w:cs="楷体_GB2312" w:asciiTheme="minorEastAsia" w:hAnsiTheme="minorEastAsia" w:eastAsiaTheme="minorEastAsia"/>
          <w:bCs/>
          <w:color w:val="000000" w:themeColor="text1"/>
          <w:sz w:val="24"/>
          <w:szCs w:val="24"/>
          <w:highlight w:val="none"/>
          <w:u w:val="single"/>
          <w14:textFill>
            <w14:solidFill>
              <w14:schemeClr w14:val="tx1"/>
            </w14:solidFill>
          </w14:textFill>
        </w:rPr>
        <w:t xml:space="preserve">    </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个工作日内，乙方应对设备进行调试完毕。</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2、调试期满后，乙方通知甲方进行设备复验。若设备未通过复验，甲方有权要求乙方在</w:t>
      </w:r>
      <w:r>
        <w:rPr>
          <w:rFonts w:hint="eastAsia" w:cs="楷体_GB2312" w:asciiTheme="minorEastAsia" w:hAnsiTheme="minorEastAsia" w:eastAsiaTheme="minorEastAsia"/>
          <w:bCs/>
          <w:color w:val="000000" w:themeColor="text1"/>
          <w:sz w:val="24"/>
          <w:szCs w:val="24"/>
          <w:highlight w:val="none"/>
          <w:u w:val="single"/>
          <w14:textFill>
            <w14:solidFill>
              <w14:schemeClr w14:val="tx1"/>
            </w14:solidFill>
          </w14:textFill>
        </w:rPr>
        <w:t xml:space="preserve">7</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个工作日内对设备完成重新调试。若仍并未通过复验，甲方有权要求乙方在与本合同第四条约定的相同日期内更换设备，并承担费用。若复验收合格的，签署验收合格文件。</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3、复验收需同时满足下列内容：</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（1）《投标文件》中注明的所有技术参数。</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（2）《医疗器械开箱验收鉴定书》规定的其他各项要求。《医疗器械开箱验收鉴定书》作为本合同的附件。</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七、试运行</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1、复验收合格后，进入试运行。试运行期</w:t>
      </w:r>
      <w:r>
        <w:rPr>
          <w:rFonts w:hint="eastAsia" w:cs="楷体_GB2312" w:asciiTheme="minorEastAsia" w:hAnsiTheme="minorEastAsia" w:eastAsiaTheme="minorEastAsia"/>
          <w:bCs/>
          <w:color w:val="000000" w:themeColor="text1"/>
          <w:sz w:val="24"/>
          <w:szCs w:val="24"/>
          <w:highlight w:val="none"/>
          <w:u w:val="single"/>
          <w14:textFill>
            <w14:solidFill>
              <w14:schemeClr w14:val="tx1"/>
            </w14:solidFill>
          </w14:textFill>
        </w:rPr>
        <w:t xml:space="preserve">   30   </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日。</w:t>
      </w:r>
      <w:r/>
    </w:p>
    <w:p>
      <w:pPr>
        <w:ind w:firstLine="570"/>
        <w:spacing w:line="360" w:lineRule="auto"/>
        <w:rPr>
          <w:rFonts w:hint="eastAsia" w:cs="楷体_GB2312" w:asciiTheme="minorEastAsia" w:hAnsiTheme="minorEastAsia" w:eastAsiaTheme="minorEastAsia"/>
          <w:b/>
          <w:bCs/>
          <w:color w:val="000000" w:themeColor="text1"/>
          <w:sz w:val="24"/>
          <w:szCs w:val="24"/>
          <w:highlight w:val="none"/>
          <w:u w:val="singl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2、试运行期满，乙方通知甲方进行最终验收。</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验收不合格的，</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试运行期延长</w:t>
      </w:r>
      <w:r>
        <w:rPr>
          <w:rFonts w:hint="eastAsia" w:cs="楷体_GB2312" w:asciiTheme="minorEastAsia" w:hAnsiTheme="minorEastAsia" w:eastAsiaTheme="minorEastAsia"/>
          <w:bCs/>
          <w:color w:val="000000" w:themeColor="text1"/>
          <w:sz w:val="24"/>
          <w:szCs w:val="24"/>
          <w:highlight w:val="none"/>
          <w:u w:val="single"/>
          <w14:textFill>
            <w14:solidFill>
              <w14:schemeClr w14:val="tx1"/>
            </w14:solidFill>
          </w14:textFill>
        </w:rPr>
        <w:t xml:space="preserve">  30  </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日。若超过延长期仍未通过验收，甲方有权要求乙方在与本合同第四条约定的相同日期内更换设备，并承担费用。验收合格的，签署验收合格证明。</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该证明经使用科室负责人及设备科维修组工作人员签字生效。甲、乙类大型医用设备须取得合法的验收检测报告。</w:t>
      </w:r>
      <w:r/>
    </w:p>
    <w:p>
      <w:pPr>
        <w:pStyle w:val="839"/>
        <w:ind w:left="482"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3、验收标准：双方依据投标文件的技术响应承诺和本合同约定的条款对设备进行验收。遵从国家标准及相关行业标准按照就高不就低的原则执行，并且实际技术指标应与投标文件中所提供的技术指标一致。根据国家规定，如需要提供3C认证证书和标记的设备及有关配置，必须提供上述证书和标记。若有歧义，甲方有权委托中国有资格的单位对该设备进行质量检测，费用由乙方承担。</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八、人员培训</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乙方在制定完整的培训方案后（含计划、培训时间、次数、培训完成后的考核），交甲方审核。经甲方同意后，派专业技术人员到甲方指定的地点进行使用操作、设备维修、保养等技术的现场培训并提供快捷操作指南（塑料封好，挂在设备上）、培训课件PPT和考核试卷，必要时提供正规培训班培训，确保操作人员掌握日常工作所需的基本操作方法为止，工程技术人员掌握基本的维护保养操作技术为止。详见乙方的投标文件及承诺书。</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九、质量承诺</w:t>
      </w:r>
      <w:r/>
    </w:p>
    <w:p>
      <w:pPr>
        <w:ind w:firstLine="482"/>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1、乙方应保证该设备为</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年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 月以后原生产商生产的全新设备，是原装、整机，参数性能必须符合投标文件中的技术承诺和设备说明书（或用户手册）中规定的质量，并且应符合国家标准（在无国家标准时，符合行业标准），不得以假充真，以次充好。</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2、在质保期内乙方应保证甲方对该设备的使用达到正常使用时间每年不少于347天。</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3、如因设备质量瑕疵导致甲方无法正常使用或影响使用效果，由此与患者发生纠纷而导致甲方赔偿，乙方对此承担全部责任。</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十、设备保修及维修</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1、该套设备整机质保期限</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年（附厂方售后服务承诺书），终身原厂工程师维修。自设备最终验收合格且签字确认之日起计算（以书面验收报告为准）。手术器械不维修，六个月内出现质量问题，乙方免费更换合同约定的全新、原装配套器械。</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2、质保期内，若设备出现故障，乙方接到甲方报修电话后响应：如果不能电话指导解决故障的，乙方应派技术人员于</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4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小时内赶到设备所在地维修；涉及零配件更换的，乙方应在</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48</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小时内修复完毕；不涉及零配件更换的，乙方应在</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24</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小时内修复完毕。质保期外，故障待修复后只收配件费，免收人工费；耗材价格、易损件费用按厂方报价的80扣收取。若厂方耗材、易损件价格下调，按下调后价格的80扣执行。</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在故障发生后</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48</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小时（含节假日、运输时间）仍不能修复，则免费提供备用机，否则甲方自行采取必要的措施，由此产生的风险和费用由乙方承担。如有特殊情况，乙方将立即电话通知甲方不能响应的原因， 在获得甲方同意后，才可推迟响应时间。</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乙方应派技术人员于每</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3</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个月一次进行设备使用的巡检，保修期</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第一年</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内共</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4</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次（以经甲方确认的《泰州市姜堰中医院医学装备巡检报告》为准，并作为尾款的支付依据）。</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保修期第二年起，至少每6个月进行一次设备使用的巡检。</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3、如设备在质保期内，第一年维修次数超过</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3</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次（含），甲方有权要求乙方无条件免费更换合同约定的全新、原装的设备。乙方不得推诿拒绝。</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质保期满后，乙方应继续提供技术支持和维修服务。如乙方提供设备有维修密码，乙方保证无条件地为甲方永久免费打开。</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4、乙方免费提供全套技术资料（维修说明书包括详细电路图、操作说明书及光盘），如技术资料不全，甲方有权不支付货款。</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十一、设备软件升级特别约定</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按照医院要求必须开放设备所有软件，</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无论是否在质保期，当设备软件有升级版本时，乙方承诺及时为甲方提供免费升级服务。</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十二、付款及结算方式</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1、付款方式：货到安装调试最终验收合格后，且乙方提供全额有效发票，甲方支付</w:t>
      </w:r>
      <w:r>
        <w:rPr>
          <w:rFonts w:hint="eastAsia" w:asciiTheme="minorEastAsia" w:hAnsiTheme="minorEastAsia" w:eastAsiaTheme="minorEastAsia"/>
          <w:bCs/>
          <w:color w:val="000000" w:themeColor="text1"/>
          <w:spacing w:val="10"/>
          <w:sz w:val="24"/>
          <w:szCs w:val="24"/>
          <w:highlight w:val="none"/>
          <w14:textFill>
            <w14:solidFill>
              <w14:schemeClr w14:val="tx1"/>
            </w14:solidFill>
          </w14:textFill>
        </w:rPr>
        <w:t xml:space="preserve">总额的</w:t>
      </w:r>
      <w:r>
        <w:rPr>
          <w:rFonts w:hint="eastAsia" w:asciiTheme="minorEastAsia" w:hAnsiTheme="minorEastAsia" w:eastAsiaTheme="minorEastAsia"/>
          <w:bCs/>
          <w:color w:val="000000" w:themeColor="text1"/>
          <w:spacing w:val="10"/>
          <w:sz w:val="24"/>
          <w:szCs w:val="24"/>
          <w:highlight w:val="none"/>
          <w:u w:val="single"/>
          <w14:textFill>
            <w14:solidFill>
              <w14:schemeClr w14:val="tx1"/>
            </w14:solidFill>
          </w14:textFill>
        </w:rPr>
        <w:t xml:space="preserve">90</w:t>
      </w:r>
      <w:r>
        <w:rPr>
          <w:rFonts w:hint="eastAsia" w:asciiTheme="minorEastAsia" w:hAnsiTheme="minorEastAsia" w:eastAsiaTheme="minorEastAsia"/>
          <w:bCs/>
          <w:color w:val="000000" w:themeColor="text1"/>
          <w:spacing w:val="10"/>
          <w:sz w:val="24"/>
          <w:szCs w:val="24"/>
          <w:highlight w:val="none"/>
          <w14:textFill>
            <w14:solidFill>
              <w14:schemeClr w14:val="tx1"/>
            </w14:solidFill>
          </w14:textFill>
        </w:rPr>
        <w:t xml:space="preserve">%，即人民币</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（大写）：</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（小写¥      ）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元整；自最终验收合格之日起1年后，经甲方确认设备无质量问题且乙方按合同约定提供巡检服务后，甲方支付剩余的</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10</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%，即人民币（大写）：</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（小写¥      ）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元整。</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2、结算方式：甲方应通过银行转账，将货款直接汇入乙方的开户行。开户行信息由乙方提供，若合同执行期间，乙方变更该账户信息，应当及时书面通知甲方，否则造成的损失甲方不承担责任。</w:t>
      </w:r>
      <w:r/>
    </w:p>
    <w:p>
      <w:pPr>
        <w:ind w:firstLine="480"/>
        <w:jc w:val="left"/>
        <w:spacing w:line="360" w:lineRule="auto"/>
        <w:rPr>
          <w:rFonts w:hint="eastAsia" w:asciiTheme="minorEastAsia" w:hAnsiTheme="minorEastAsia" w:eastAsia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乙方账户信息：名称</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Theme="minorEastAsia" w:hAnsiTheme="minorEastAsia" w:eastAsia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开户行：                                   账号：                                   </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十三、违约责任</w:t>
      </w:r>
      <w:r/>
    </w:p>
    <w:p>
      <w:pPr>
        <w:ind w:firstLine="480"/>
        <w:jc w:val="left"/>
        <w:spacing w:line="360" w:lineRule="auto"/>
        <w:tabs>
          <w:tab w:val="left" w:pos="0" w:leader="none"/>
          <w:tab w:val="left" w:pos="540" w:leader="none"/>
        </w:tabs>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1、合同生效后，若乙方无法供货，甲方有权要求乙方支付该货款总值的5%违约金，</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并</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且将乙方直接列入甲方供应商黑名单，三年内不得参与甲方组织的采购活动。</w:t>
      </w:r>
      <w:r/>
    </w:p>
    <w:p>
      <w:pPr>
        <w:ind w:firstLine="480"/>
        <w:jc w:val="left"/>
        <w:spacing w:line="360" w:lineRule="auto"/>
        <w:tabs>
          <w:tab w:val="left" w:pos="0" w:leader="none"/>
          <w:tab w:val="left" w:pos="540" w:leader="none"/>
        </w:tabs>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w:t>
      </w: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如乙方所供设备不符合本合同第四条、第六条、第七条的要求，甲方有权要求乙方按照第四条约定的期限无条件更换或补齐。</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每逾期交付一天扣合同总价的5‰作为违约金支付给甲方。若逾期超过</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10个</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日历日，甲方有权解除合同，并要求乙方支付违约金，违约金总额不超过合同总价。</w:t>
      </w:r>
      <w:r/>
    </w:p>
    <w:p>
      <w:pPr>
        <w:ind w:firstLine="480"/>
        <w:jc w:val="left"/>
        <w:spacing w:line="360" w:lineRule="auto"/>
        <w:tabs>
          <w:tab w:val="left" w:pos="0" w:leader="none"/>
          <w:tab w:val="left" w:pos="540" w:leader="none"/>
        </w:tabs>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如甲方已支付货款的，乙方应当全额退还已支付的货款及按照银行同期贷款利率支付利息。</w:t>
      </w:r>
      <w:r/>
    </w:p>
    <w:p>
      <w:pPr>
        <w:ind w:firstLine="480"/>
        <w:jc w:val="left"/>
        <w:spacing w:line="360" w:lineRule="auto"/>
        <w:tabs>
          <w:tab w:val="left" w:pos="0" w:leader="none"/>
          <w:tab w:val="left" w:pos="540" w:leader="none"/>
        </w:tabs>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若乙方出现逾期交货或交货不符合合同约定等违约情形，甲方有权拒绝付款，并且不因此承担违约责任。</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3、如乙方在履约过程中违反合同第十条约定的维修义务，每停机延误1天，则质保期相应顺延5天。</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如违反合同第十条约定的巡检义务，每少巡检一次，甲方有权扣除尾款的</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 xml:space="preserve">25</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%作为违约金，如因此给甲方造成损失的，甲方有权要求乙方赔偿相应损失。</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20%向甲方支付违约金并赔偿因此给甲方造成的一切损失。</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5、若因乙方无所有权或销售资质，甲方有权解除合同，乙方应在甲方发出解除通知后3日内返还甲方已支付的全部费用，并应向甲方承担损失赔偿责任。</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6、乙方应保证所提供的设备完全符合中标文件要求。否则，甲方有权解除合同，并承担甲方因此遭受的损失（包括行政处罚等）。</w:t>
      </w:r>
      <w:r/>
    </w:p>
    <w:p>
      <w:pPr>
        <w:ind w:firstLine="480"/>
        <w:jc w:val="left"/>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7、乙方因上述违约行为支付的违约金不足以弥补甲方损失的，还应按甲方实际经济损失足额弥补。</w:t>
      </w:r>
      <w:r/>
    </w:p>
    <w:p>
      <w:pPr>
        <w:ind w:firstLine="480"/>
        <w:jc w:val="left"/>
        <w:spacing w:line="360" w:lineRule="auto"/>
        <w:rPr>
          <w:rFonts w:hint="eastAsia" w:cs="楷体_GB2312"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楷体_GB2312" w:asciiTheme="minorEastAsia" w:hAnsiTheme="minorEastAsia" w:eastAsiaTheme="minorEastAsia"/>
          <w:bCs/>
          <w:color w:val="000000" w:themeColor="text1"/>
          <w:sz w:val="24"/>
          <w:szCs w:val="24"/>
          <w:highlight w:val="none"/>
          <w14:textFill>
            <w14:solidFill>
              <w14:schemeClr w14:val="tx1"/>
            </w14:solidFill>
          </w14:textFill>
        </w:rPr>
        <w:t xml:space="preserve">8、乙方违反本合同其他约定，乙方应承担损失赔偿责任。</w:t>
      </w:r>
      <w:r/>
    </w:p>
    <w:p>
      <w:pPr>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    9、甲方有权在应支付给乙方的款项中，优先扣除乙方按照本合同应支付的违约金及损失赔偿费用。</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十四、争议解决</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因履行本协议导致的纠纷由双方本着诚信、友好之原则积极协商，如协商无果，双方均可向甲方所在地人民法院提起诉讼。</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十五、生效</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本协议一式肆份，甲方贰份，乙方壹份，见证方壹份。经双方法定代表人或授权委托代理人签字和单位盖章之日生效。双方签字盖章日期不一致的，以日期在后者为生效时间。</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十六、附件</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《设备配置清单》、《泰州市姜堰中医院医学装备巡检报告》、《泰州市姜堰中医院设备购销廉政合同》及《致供应商告知函》作为本合同附件，与合同条款具备相同法律效力。</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十七、合同及附件中中英文对照词汇，以中文内容为准。</w:t>
      </w:r>
      <w:r/>
    </w:p>
    <w:p>
      <w:pPr>
        <w:ind w:firstLine="480"/>
        <w:jc w:val="left"/>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十八、与招标文件、竞争性报价文件发生冲突的相关条款，以本合同为准。</w:t>
      </w:r>
      <w:r/>
    </w:p>
    <w:p>
      <w:pPr>
        <w:ind w:firstLine="470"/>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十九、其他（如有请填写，若无请填写“无”）：无</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合同签署地点：姜堰</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甲      方：（盖章）       乙      方：（盖章）           见证方：（盖章）</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泰州市姜堰中医院</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法定代表人：                法定代表人                    法定代表人：</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甲方代表：                  乙方代表：                    授权代表：</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日    期：                  日    期：                    日    期：</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asciiTheme="minorEastAsia" w:hAnsiTheme="minorEastAsia" w:eastAsiaTheme="minorEastAsia"/>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设备配置清单（单台）</w:t>
      </w:r>
      <w:r/>
    </w:p>
    <w:p>
      <w:pP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tbl>
      <w:tblPr>
        <w:tblStyle w:val="8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037"/>
        <w:gridCol w:w="1158"/>
        <w:gridCol w:w="1139"/>
        <w:gridCol w:w="1647"/>
        <w:gridCol w:w="886"/>
        <w:gridCol w:w="917"/>
      </w:tblGrid>
      <w:tr>
        <w:trPr>
          <w:trHeight w:val="615"/>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序</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号</w:t>
            </w:r>
            <w:r/>
          </w:p>
        </w:tc>
        <w:tc>
          <w:tcPr>
            <w:tcW w:w="1196"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配置部件名称</w:t>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品</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牌</w:t>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规</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格</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型</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号</w:t>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生</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产</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厂</w:t>
            </w:r>
            <w:r/>
          </w:p>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及</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产</w:t>
            </w:r>
            <w:r>
              <w:rPr>
                <w:rFonts w:asciiTheme="minorEastAsia" w:hAnsiTheme="minorEastAsia" w:eastAsia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地</w:t>
            </w:r>
            <w:r/>
          </w:p>
        </w:tc>
        <w:tc>
          <w:tcPr>
            <w:tcW w:w="52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数</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量</w:t>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备</w:t>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注</w:t>
            </w:r>
            <w:r/>
          </w:p>
        </w:tc>
      </w:tr>
      <w:tr>
        <w:trPr>
          <w:trHeight w:val="661"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2</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3</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9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4</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65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5</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79"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6</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7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7</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593"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8</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9</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6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10</w:t>
            </w:r>
            <w:r/>
          </w:p>
        </w:tc>
        <w:tc>
          <w:tcPr>
            <w:tcW w:w="1196"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ind w:firstLine="120"/>
              <w:jc w:val="center"/>
              <w:spacing w:line="360" w:lineRule="auto"/>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ind w:firstLine="120"/>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r>
        <w:trPr>
          <w:trHeight w:val="912" w:hRule="exact"/>
        </w:trPr>
        <w:tc>
          <w:tcPr>
            <w:tcW w:w="43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11</w:t>
            </w:r>
            <w:r/>
          </w:p>
        </w:tc>
        <w:tc>
          <w:tcPr>
            <w:tcW w:w="1196"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680"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66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967"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c>
          <w:tcPr>
            <w:tcW w:w="520" w:type="pct"/>
            <w:vAlign w:val="center"/>
            <w:textDirection w:val="lrTb"/>
            <w:noWrap w:val="false"/>
          </w:tcPr>
          <w:p>
            <w:pPr>
              <w:jc w:val="center"/>
              <w:spacing w:line="360" w:lineRule="auto"/>
              <w:widowControl/>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szCs w:val="24"/>
                <w:highlight w:val="none"/>
                <w14:textFill>
                  <w14:solidFill>
                    <w14:schemeClr w14:val="tx1"/>
                  </w14:solidFill>
                </w14:textFill>
              </w:rPr>
            </w:r>
            <w:r/>
          </w:p>
        </w:tc>
        <w:tc>
          <w:tcPr>
            <w:tcW w:w="539" w:type="pct"/>
            <w:vAlign w:val="center"/>
            <w:textDirection w:val="lrTb"/>
            <w:noWrap w:val="false"/>
          </w:tcPr>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tc>
      </w:tr>
    </w:tbl>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注：表格不够请自行添加！</w:t>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b/>
          <w:color w:val="000000" w:themeColor="text1"/>
          <w:sz w:val="24"/>
          <w:szCs w:val="24"/>
          <w:highlight w:val="none"/>
          <w14:textFill>
            <w14:solidFill>
              <w14:schemeClr w14:val="tx1"/>
            </w14:solidFill>
          </w14:textFill>
        </w:rPr>
      </w:pPr>
      <w:r>
        <w:rPr>
          <w:rFonts w:asciiTheme="minorEastAsia" w:hAnsiTheme="minorEastAsia" w:eastAsiaTheme="minorEastAsia"/>
          <w:bCs/>
          <w:color w:val="000000" w:themeColor="text1"/>
          <w:sz w:val="24"/>
          <w:szCs w:val="24"/>
          <w:highlight w:val="none"/>
          <w14:textFill>
            <w14:solidFill>
              <w14:schemeClr w14:val="tx1"/>
            </w14:solidFill>
          </w14:textFill>
        </w:rPr>
        <w:br w:type="page" w:clear="all"/>
      </w:r>
      <w:r/>
    </w:p>
    <w:p>
      <w:pPr>
        <w:pStyle w:val="863"/>
        <w:ind w:firstLine="0"/>
        <w:rPr>
          <w:rFonts w:hint="eastAsia" w:cs="仿宋" w:asciiTheme="minorEastAsia" w:hAnsiTheme="minorEastAsia" w:eastAsiaTheme="minorEastAsia"/>
          <w:b/>
          <w:color w:val="000000" w:themeColor="text1"/>
          <w:sz w:val="30"/>
          <w:szCs w:val="30"/>
          <w:highlight w:val="none"/>
          <w14:textFill>
            <w14:solidFill>
              <w14:schemeClr w14:val="tx1"/>
            </w14:solidFill>
          </w14:textFill>
        </w:rPr>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r>
      <w:r/>
    </w:p>
    <w:p>
      <w:pPr>
        <w:rPr>
          <w:rFonts w:hint="eastAsia" w:cs="仿宋" w:asciiTheme="minorEastAsia" w:hAnsiTheme="minorEastAsia" w:eastAsiaTheme="minorEastAsia"/>
          <w:b/>
          <w:color w:val="000000" w:themeColor="text1"/>
          <w:sz w:val="30"/>
          <w:szCs w:val="30"/>
          <w:highlight w:val="none"/>
          <w14:textFill>
            <w14:solidFill>
              <w14:schemeClr w14:val="tx1"/>
            </w14:solidFill>
          </w14:textFill>
        </w:rPr>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r>
      <w:r/>
    </w:p>
    <w:p>
      <w:pPr>
        <w:jc w:val="center"/>
        <w:rPr>
          <w:rFonts w:hint="eastAsia" w:cs="仿宋" w:asciiTheme="minorEastAsia" w:hAnsiTheme="minorEastAsia" w:eastAsiaTheme="minorEastAsia"/>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32"/>
          <w:szCs w:val="32"/>
          <w:highlight w:val="none"/>
          <w14:textFill>
            <w14:solidFill>
              <w14:schemeClr w14:val="tx1"/>
            </w14:solidFill>
          </w14:textFill>
        </w:rPr>
        <w:t xml:space="preserve">第六章 投标文件格式</w:t>
      </w:r>
      <w:r/>
    </w:p>
    <w:p>
      <w:pPr>
        <w:pStyle w:val="1055"/>
        <w:ind w:firstLine="240"/>
        <w:spacing w:line="360" w:lineRule="auto"/>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pStyle w:val="1055"/>
        <w:ind w:firstLine="240"/>
        <w:spacing w:line="360" w:lineRule="auto"/>
        <w:rPr>
          <w:rFonts w:hint="eastAsia" w:cs="仿宋" w:asciiTheme="minorEastAsia" w:hAnsiTheme="minorEastAsia" w:eastAsiaTheme="minorEastAsia"/>
          <w:color w:val="000000" w:themeColor="text1"/>
          <w:szCs w:val="24"/>
          <w:highlight w:val="none"/>
          <w14:textFill>
            <w14:solidFill>
              <w14:schemeClr w14:val="tx1"/>
            </w14:solidFill>
          </w14:textFill>
        </w:rPr>
      </w:pP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hint="eastAsia" w:cs="仿宋" w:asciiTheme="minorEastAsia" w:hAnsiTheme="minorEastAsia" w:eastAsiaTheme="minorEastAsia"/>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2、投标人应按标段准备投标文件并清楚注明标段名称,否则造成的一切后果由投标人自行承担。</w:t>
      </w:r>
      <w:r>
        <w:rPr>
          <w:rFonts w:hint="eastAsia" w:cs="仿宋" w:asciiTheme="minorEastAsia" w:hAnsiTheme="minorEastAsia" w:eastAsiaTheme="minorEastAsia"/>
          <w:color w:val="000000" w:themeColor="text1"/>
          <w:sz w:val="32"/>
          <w:szCs w:val="32"/>
          <w:highlight w:val="none"/>
          <w14:textFill>
            <w14:solidFill>
              <w14:schemeClr w14:val="tx1"/>
            </w14:solidFill>
          </w14:textFill>
        </w:rPr>
        <w:br w:type="page" w:clear="all"/>
      </w:r>
      <w:bookmarkStart w:id="42" w:name="_Toc263768864"/>
      <w:r/>
      <w:bookmarkStart w:id="43" w:name="_Toc297204985"/>
      <w:r/>
      <w:bookmarkStart w:id="44" w:name="_Toc217446085"/>
      <w:r/>
      <w:bookmarkStart w:id="45" w:name="_Toc256175382"/>
      <w:r/>
      <w:bookmarkStart w:id="46" w:name="_Toc250041691"/>
      <w:r/>
      <w:bookmarkStart w:id="47" w:name="_Toc237145385"/>
      <w:r/>
      <w:bookmarkStart w:id="48" w:name="_Toc263753600"/>
      <w:r/>
      <w:r/>
    </w:p>
    <w:p>
      <w:pPr>
        <w:pStyle w:val="1058"/>
        <w:jc w:val="center"/>
        <w:keepLines w:val="0"/>
        <w:keepNext w:val="0"/>
        <w:widowControl/>
        <w:rPr>
          <w:rFonts w:hint="eastAsia" w:cs="仿宋" w:asciiTheme="minorEastAsia" w:hAnsiTheme="minorEastAsia" w:eastAsiaTheme="minorEastAsia"/>
          <w:color w:val="000000" w:themeColor="text1"/>
          <w:highlight w:val="none"/>
          <w14:textFill>
            <w14:solidFill>
              <w14:schemeClr w14:val="tx1"/>
            </w14:solidFill>
          </w14:textFill>
        </w:rPr>
      </w:pPr>
      <w:r/>
      <w:bookmarkStart w:id="49" w:name="_Toc217446086"/>
      <w:r>
        <w:rPr>
          <w:rStyle w:val="1061"/>
          <w:rFonts w:hint="eastAsia" w:cs="仿宋" w:asciiTheme="minorEastAsia" w:hAnsiTheme="minorEastAsia" w:eastAsiaTheme="minorEastAsia"/>
          <w:b w:val="0"/>
          <w:color w:val="000000" w:themeColor="text1"/>
          <w:highlight w:val="none"/>
          <w14:textFill>
            <w14:solidFill>
              <w14:schemeClr w14:val="tx1"/>
            </w14:solidFill>
          </w14:textFill>
        </w:rPr>
        <w:t xml:space="preserve">开标一览表(以</w:t>
      </w:r>
      <w:r>
        <w:rPr>
          <w:rStyle w:val="1061"/>
          <w:rFonts w:cs="仿宋" w:asciiTheme="minorEastAsia" w:hAnsiTheme="minorEastAsia" w:eastAsiaTheme="minorEastAsia"/>
          <w:b w:val="0"/>
          <w:color w:val="000000" w:themeColor="text1"/>
          <w:highlight w:val="none"/>
          <w14:textFill>
            <w14:solidFill>
              <w14:schemeClr w14:val="tx1"/>
            </w14:solidFill>
          </w14:textFill>
        </w:rPr>
        <w:t xml:space="preserve">苏采云内填写的模板为准</w:t>
      </w:r>
      <w:r>
        <w:rPr>
          <w:rStyle w:val="1061"/>
          <w:rFonts w:hint="eastAsia" w:cs="仿宋" w:asciiTheme="minorEastAsia" w:hAnsiTheme="minorEastAsia" w:eastAsiaTheme="minorEastAsia"/>
          <w:b w:val="0"/>
          <w:color w:val="000000" w:themeColor="text1"/>
          <w:highlight w:val="none"/>
          <w14:textFill>
            <w14:solidFill>
              <w14:schemeClr w14:val="tx1"/>
            </w14:solidFill>
          </w14:textFill>
        </w:rPr>
        <w:t xml:space="preserve">)</w:t>
      </w:r>
      <w:r/>
    </w:p>
    <w:p>
      <w:pPr>
        <w:pStyle w:val="1062"/>
        <w:rPr>
          <w:rFonts w:hint="eastAsia" w:cs="仿宋" w:asciiTheme="minorEastAsia" w:hAnsiTheme="minorEastAsia" w:eastAsiaTheme="minorEastAsia"/>
          <w:color w:val="000000" w:themeColor="text1"/>
          <w:sz w:val="27"/>
          <w:szCs w:val="27"/>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项目名称：                           项目编号：</w:t>
      </w:r>
      <w:r/>
    </w:p>
    <w:p>
      <w:pPr>
        <w:pStyle w:val="1062"/>
        <w:rPr>
          <w:rFonts w:hint="eastAsia" w:cs="仿宋" w:asciiTheme="minorEastAsia" w:hAnsiTheme="minorEastAsia" w:eastAsiaTheme="minorEastAsia"/>
          <w:color w:val="000000" w:themeColor="text1"/>
          <w:sz w:val="27"/>
          <w:szCs w:val="27"/>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货币单位：人民币元</w:t>
      </w:r>
      <w:r/>
    </w:p>
    <w:tbl>
      <w:tblPr>
        <w:tblStyle w:val="834"/>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62"/>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项目名称</w:t>
            </w:r>
            <w:r/>
          </w:p>
        </w:tc>
        <w:tc>
          <w:tcPr>
            <w:tcW w:w="2551" w:type="dxa"/>
            <w:vAlign w:val="center"/>
            <w:textDirection w:val="lrTb"/>
            <w:noWrap w:val="false"/>
          </w:tcPr>
          <w:p>
            <w:pPr>
              <w:pStyle w:val="1062"/>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项目内容</w:t>
            </w:r>
            <w:r/>
          </w:p>
        </w:tc>
        <w:tc>
          <w:tcPr>
            <w:tcW w:w="3779" w:type="dxa"/>
            <w:vAlign w:val="center"/>
            <w:textDirection w:val="lrTb"/>
            <w:noWrap w:val="false"/>
          </w:tcPr>
          <w:p>
            <w:pPr>
              <w:pStyle w:val="1062"/>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7"/>
                <w:szCs w:val="27"/>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总价（小写）</w:t>
            </w:r>
            <w:r/>
          </w:p>
        </w:tc>
      </w:tr>
      <w:tr>
        <w:trPr>
          <w:trHeight w:val="1091"/>
        </w:trPr>
        <w:tc>
          <w:tcPr>
            <w:tcW w:w="2567" w:type="dxa"/>
            <w:vAlign w:val="center"/>
            <w:textDirection w:val="lrTb"/>
            <w:noWrap w:val="false"/>
          </w:tcPr>
          <w:p>
            <w:pPr>
              <w:spacing w:line="500" w:lineRule="exact"/>
              <w:rPr>
                <w:rFonts w:hint="eastAsia" w:cs="仿宋" w:asciiTheme="minorEastAsia" w:hAnsiTheme="minorEastAsia" w:eastAsiaTheme="minorEastAsia"/>
                <w:color w:val="000000" w:themeColor="text1"/>
                <w:sz w:val="22"/>
                <w:szCs w:val="22"/>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项目名称</w:t>
            </w:r>
            <w:r/>
          </w:p>
        </w:tc>
        <w:tc>
          <w:tcPr>
            <w:tcW w:w="2551" w:type="dxa"/>
            <w:vAlign w:val="center"/>
            <w:textDirection w:val="lrTb"/>
            <w:noWrap w:val="false"/>
          </w:tcPr>
          <w:p>
            <w:pPr>
              <w:pStyle w:val="1062"/>
              <w:rPr>
                <w:rFonts w:hint="eastAsia" w:cs="仿宋" w:asciiTheme="minorEastAsia" w:hAnsiTheme="minorEastAsia" w:eastAsiaTheme="minorEastAsia"/>
                <w:color w:val="000000" w:themeColor="text1"/>
                <w:sz w:val="22"/>
                <w:szCs w:val="22"/>
                <w:highlight w:val="none"/>
                <w14:textFill>
                  <w14:solidFill>
                    <w14:schemeClr w14:val="tx1"/>
                  </w14:solidFill>
                </w14:textFill>
              </w:rPr>
            </w:pPr>
            <w:r>
              <w:rPr>
                <w:rFonts w:hint="eastAsia" w:cs="仿宋" w:asciiTheme="minorEastAsia" w:hAnsiTheme="minorEastAsia" w:eastAsiaTheme="minorEastAsia"/>
                <w:color w:val="000000" w:themeColor="text1"/>
                <w:sz w:val="22"/>
                <w:szCs w:val="22"/>
                <w:highlight w:val="none"/>
                <w14:textFill>
                  <w14:solidFill>
                    <w14:schemeClr w14:val="tx1"/>
                  </w14:solidFill>
                </w14:textFill>
              </w:rPr>
              <w:t xml:space="preserve">详见投标文件</w:t>
            </w:r>
            <w:r/>
          </w:p>
        </w:tc>
        <w:tc>
          <w:tcPr>
            <w:tcW w:w="3779" w:type="dxa"/>
            <w:vAlign w:val="center"/>
            <w:textDirection w:val="lrTb"/>
            <w:noWrap w:val="false"/>
          </w:tcPr>
          <w:p>
            <w:pPr>
              <w:pStyle w:val="1062"/>
              <w:rPr>
                <w:rFonts w:hint="eastAsia" w:cs="仿宋" w:asciiTheme="minorEastAsia" w:hAnsiTheme="minorEastAsia" w:eastAsiaTheme="minorEastAsia"/>
                <w:color w:val="000000" w:themeColor="text1"/>
                <w:highlight w:val="none"/>
                <w14:textFill>
                  <w14:solidFill>
                    <w14:schemeClr w14:val="tx1"/>
                  </w14:solidFill>
                </w14:textFill>
              </w:rPr>
            </w:pPr>
            <w:r>
              <w:rPr>
                <w:rFonts w:cs="仿宋" w:asciiTheme="minorEastAsia" w:hAnsiTheme="minorEastAsia" w:eastAsiaTheme="minorEastAsia"/>
                <w:color w:val="000000" w:themeColor="text1"/>
                <w:sz w:val="27"/>
                <w:szCs w:val="27"/>
                <w:highlight w:val="none"/>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612775" cy="241300"/>
                      <wp:effectExtent l="0" t="0" r="15875" b="635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6"/>
                              <a:stretch/>
                            </pic:blipFill>
                            <pic:spPr bwMode="auto">
                              <a:xfrm>
                                <a:off x="0" y="0"/>
                                <a:ext cx="612775"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2pt;height:19.0pt;mso-wrap-distance-left:0.0pt;mso-wrap-distance-top:0.0pt;mso-wrap-distance-right:0.0pt;mso-wrap-distance-bottom:0.0pt;" stroked="f">
                      <v:path textboxrect="0,0,0,0"/>
                      <v:imagedata r:id="rId16" o:title=""/>
                    </v:shape>
                  </w:pict>
                </mc:Fallback>
              </mc:AlternateContent>
            </w:r>
            <w:r>
              <w:rPr>
                <w:rFonts w:hint="eastAsia" w:asciiTheme="minorEastAsia" w:hAnsiTheme="minorEastAsia" w:eastAsiaTheme="minorEastAsia"/>
                <w:color w:val="000000" w:themeColor="text1"/>
                <w:sz w:val="27"/>
                <w:szCs w:val="27"/>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元 </w:t>
            </w:r>
            <w:r/>
          </w:p>
        </w:tc>
      </w:tr>
      <w:tr>
        <w:trPr>
          <w:trHeight w:val="627"/>
        </w:trPr>
        <w:tc>
          <w:tcPr>
            <w:tcW w:w="2567" w:type="dxa"/>
            <w:vAlign w:val="center"/>
            <w:textDirection w:val="lrTb"/>
            <w:noWrap w:val="false"/>
          </w:tcPr>
          <w:p>
            <w:pPr>
              <w:pStyle w:val="1062"/>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总价（大写）：</w:t>
            </w:r>
            <w:r/>
          </w:p>
        </w:tc>
        <w:tc>
          <w:tcPr>
            <w:gridSpan w:val="2"/>
            <w:tcW w:w="6330" w:type="dxa"/>
            <w:vAlign w:val="center"/>
            <w:textDirection w:val="lrTb"/>
            <w:noWrap w:val="false"/>
          </w:tcPr>
          <w:p>
            <w:pPr>
              <w:pStyle w:val="1062"/>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金额大写</w:t>
            </w:r>
            <w:r>
              <w:rPr>
                <w:rFonts w:hint="eastAsia" w:asciiTheme="minorEastAsia" w:hAnsiTheme="minorEastAsia" w:eastAsiaTheme="minorEastAsia"/>
                <w:color w:val="000000" w:themeColor="text1"/>
                <w:sz w:val="27"/>
                <w:szCs w:val="27"/>
                <w:highlight w:val="none"/>
                <w14:textFill>
                  <w14:solidFill>
                    <w14:schemeClr w14:val="tx1"/>
                  </w14:solidFill>
                </w14:textFill>
              </w:rPr>
              <w:t xml:space="preserve"> </w:t>
            </w:r>
            <w:r/>
          </w:p>
        </w:tc>
      </w:tr>
    </w:tbl>
    <w:p>
      <w:pPr>
        <w:pStyle w:val="1062"/>
        <w:rPr>
          <w:rFonts w:hint="eastAsia" w:cs="仿宋" w:asciiTheme="minorEastAsia" w:hAnsiTheme="minorEastAsia" w:eastAsiaTheme="minorEastAsia"/>
          <w:color w:val="000000" w:themeColor="text1"/>
          <w:sz w:val="27"/>
          <w:szCs w:val="27"/>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r>
      <w:r/>
    </w:p>
    <w:p>
      <w:pPr>
        <w:pStyle w:val="1062"/>
        <w:rPr>
          <w:rFonts w:hint="eastAsia" w:cs="仿宋" w:asciiTheme="minorEastAsia" w:hAnsiTheme="minorEastAsia" w:eastAsiaTheme="minorEastAsia"/>
          <w:color w:val="000000" w:themeColor="text1"/>
          <w:sz w:val="27"/>
          <w:szCs w:val="27"/>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r>
      <w:r/>
    </w:p>
    <w:p>
      <w:pPr>
        <w:pStyle w:val="1062"/>
        <w:rPr>
          <w:rFonts w:hint="eastAsia" w:cs="仿宋" w:asciiTheme="minorEastAsia" w:hAnsiTheme="minorEastAsia" w:eastAsiaTheme="minorEastAsia"/>
          <w:color w:val="000000" w:themeColor="text1"/>
          <w:sz w:val="27"/>
          <w:szCs w:val="27"/>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r>
      <w:r/>
    </w:p>
    <w:p>
      <w:pPr>
        <w:ind w:firstLine="540"/>
        <w:jc w:val="left"/>
        <w:spacing w:line="40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7"/>
          <w:szCs w:val="27"/>
          <w:highlight w:val="none"/>
          <w14:textFill>
            <w14:solidFill>
              <w14:schemeClr w14:val="tx1"/>
            </w14:solidFill>
          </w14:textFill>
        </w:rPr>
        <w:t xml:space="preserve">投标人公章： （电子签章）</w:t>
      </w:r>
      <w:r/>
    </w:p>
    <w:p>
      <w:pPr>
        <w:jc w:val="lef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r>
      <w:r/>
    </w:p>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000000" w:themeColor="text1"/>
          <w:sz w:val="32"/>
          <w:szCs w:val="32"/>
          <w:highlight w:val="none"/>
          <w14:textFill>
            <w14:solidFill>
              <w14:schemeClr w14:val="tx1"/>
            </w14:solidFill>
          </w14:textFill>
        </w:rPr>
        <w:t xml:space="preserve">投标分项报价表</w:t>
      </w:r>
      <w:r/>
    </w:p>
    <w:tbl>
      <w:tblPr>
        <w:tblStyle w:val="834"/>
        <w:tblW w:w="0" w:type="auto"/>
        <w:tblCellSpacing w:w="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042"/>
        <w:gridCol w:w="890"/>
        <w:gridCol w:w="1259"/>
        <w:gridCol w:w="740"/>
        <w:gridCol w:w="902"/>
        <w:gridCol w:w="693"/>
        <w:gridCol w:w="1225"/>
        <w:gridCol w:w="1122"/>
      </w:tblGrid>
      <w:tr>
        <w:trPr>
          <w:tblCellSpacing w:w="0" w:type="dxa"/>
          <w:trHeight w:val="660"/>
        </w:trPr>
        <w:tc>
          <w:tcPr>
            <w:tcW w:w="60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序号</w:t>
            </w:r>
            <w:r/>
          </w:p>
        </w:tc>
        <w:tc>
          <w:tcPr>
            <w:tcW w:w="1042"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1</w:t>
            </w:r>
            <w:r/>
          </w:p>
        </w:tc>
        <w:tc>
          <w:tcPr>
            <w:tcW w:w="890"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2</w:t>
            </w:r>
            <w:r/>
          </w:p>
        </w:tc>
        <w:tc>
          <w:tcPr>
            <w:tcW w:w="1259"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3</w:t>
            </w:r>
            <w:r/>
          </w:p>
        </w:tc>
        <w:tc>
          <w:tcPr>
            <w:tcW w:w="740"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4</w:t>
            </w:r>
            <w:r/>
          </w:p>
        </w:tc>
        <w:tc>
          <w:tcPr>
            <w:tcW w:w="902"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5</w:t>
            </w:r>
            <w:r/>
          </w:p>
        </w:tc>
        <w:tc>
          <w:tcPr>
            <w:tcW w:w="69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6</w:t>
            </w:r>
            <w:r/>
          </w:p>
        </w:tc>
        <w:tc>
          <w:tcPr>
            <w:tcW w:w="1225"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7</w:t>
            </w:r>
            <w:r/>
          </w:p>
        </w:tc>
        <w:tc>
          <w:tcPr>
            <w:tcW w:w="1122"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8</w:t>
            </w:r>
            <w:r/>
          </w:p>
        </w:tc>
      </w:tr>
      <w:tr>
        <w:trPr>
          <w:tblCellSpacing w:w="0" w:type="dxa"/>
          <w:trHeight w:val="640"/>
        </w:trPr>
        <w:tc>
          <w:tcPr>
            <w:tcW w:w="60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1</w:t>
            </w:r>
            <w:r/>
          </w:p>
        </w:tc>
        <w:tc>
          <w:tcPr>
            <w:tcW w:w="1042"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产品</w:t>
            </w:r>
            <w:r/>
          </w:p>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名称</w:t>
            </w:r>
            <w:r/>
          </w:p>
        </w:tc>
        <w:tc>
          <w:tcPr>
            <w:tcW w:w="890"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品牌</w:t>
            </w:r>
            <w:r/>
          </w:p>
        </w:tc>
        <w:tc>
          <w:tcPr>
            <w:tcW w:w="1259"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规格</w:t>
            </w:r>
            <w:r/>
          </w:p>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型号</w:t>
            </w:r>
            <w:r/>
          </w:p>
        </w:tc>
        <w:tc>
          <w:tcPr>
            <w:tcW w:w="740"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产地</w:t>
            </w:r>
            <w:r/>
          </w:p>
        </w:tc>
        <w:tc>
          <w:tcPr>
            <w:tcW w:w="902"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交付期</w:t>
            </w:r>
            <w:r/>
          </w:p>
        </w:tc>
        <w:tc>
          <w:tcPr>
            <w:tcW w:w="69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数量</w:t>
            </w:r>
            <w:r/>
          </w:p>
        </w:tc>
        <w:tc>
          <w:tcPr>
            <w:tcW w:w="1225"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分项单价</w:t>
            </w:r>
            <w:r/>
          </w:p>
        </w:tc>
        <w:tc>
          <w:tcPr>
            <w:tcW w:w="1122"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分项总价</w:t>
            </w:r>
            <w:r/>
          </w:p>
        </w:tc>
      </w:tr>
      <w:tr>
        <w:trPr>
          <w:tblCellSpacing w:w="0" w:type="dxa"/>
          <w:trHeight w:val="714"/>
        </w:trPr>
        <w:tc>
          <w:tcPr>
            <w:tcW w:w="60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2</w:t>
            </w:r>
            <w:r/>
          </w:p>
        </w:tc>
        <w:tc>
          <w:tcPr>
            <w:tcW w:w="104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89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59"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74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90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693"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25"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12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r>
      <w:tr>
        <w:trPr>
          <w:tblCellSpacing w:w="0" w:type="dxa"/>
          <w:trHeight w:val="742"/>
        </w:trPr>
        <w:tc>
          <w:tcPr>
            <w:tcW w:w="60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3</w:t>
            </w:r>
            <w:r/>
          </w:p>
        </w:tc>
        <w:tc>
          <w:tcPr>
            <w:tcW w:w="104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89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59"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74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90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693"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25"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12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r>
      <w:tr>
        <w:trPr>
          <w:tblCellSpacing w:w="0" w:type="dxa"/>
          <w:trHeight w:val="658"/>
        </w:trPr>
        <w:tc>
          <w:tcPr>
            <w:tcW w:w="60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4</w:t>
            </w:r>
            <w:r/>
          </w:p>
        </w:tc>
        <w:tc>
          <w:tcPr>
            <w:tcW w:w="104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89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59"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74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90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693"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25"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12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r>
      <w:tr>
        <w:trPr>
          <w:tblCellSpacing w:w="0" w:type="dxa"/>
          <w:trHeight w:val="598"/>
        </w:trPr>
        <w:tc>
          <w:tcPr>
            <w:tcW w:w="603"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w:t>
            </w:r>
            <w:r/>
          </w:p>
        </w:tc>
        <w:tc>
          <w:tcPr>
            <w:tcW w:w="104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w:t>
            </w:r>
            <w:r/>
          </w:p>
        </w:tc>
        <w:tc>
          <w:tcPr>
            <w:tcW w:w="89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59"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740"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90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693"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225"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c>
          <w:tcPr>
            <w:tcW w:w="112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r>
      <w:tr>
        <w:trPr>
          <w:tblCellSpacing w:w="0" w:type="dxa"/>
          <w:trHeight w:val="1047"/>
        </w:trPr>
        <w:tc>
          <w:tcPr>
            <w:gridSpan w:val="8"/>
            <w:tcW w:w="7354" w:type="dxa"/>
            <w:vAlign w:val="center"/>
            <w:textDirection w:val="lrTb"/>
            <w:noWrap w:val="false"/>
          </w:tcPr>
          <w:p>
            <w:pPr>
              <w:pStyle w:val="860"/>
              <w:jc w:val="center"/>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投标总报价（人民币：元）</w:t>
            </w:r>
            <w:r/>
          </w:p>
        </w:tc>
        <w:tc>
          <w:tcPr>
            <w:tcW w:w="1122" w:type="dxa"/>
            <w:vAlign w:val="center"/>
            <w:textDirection w:val="lrTb"/>
            <w:noWrap w:val="false"/>
          </w:tcPr>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tc>
      </w:tr>
    </w:tbl>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s="宋体" w:asciiTheme="minorEastAsia" w:hAnsiTheme="minorEastAsia" w:eastAsiaTheme="minorEastAsia"/>
          <w:color w:val="000000" w:themeColor="text1"/>
          <w:sz w:val="22"/>
          <w:szCs w:val="22"/>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 w:val="22"/>
          <w:szCs w:val="22"/>
          <w:highlight w:val="none"/>
          <w14:textFill>
            <w14:solidFill>
              <w14:schemeClr w14:val="tx1"/>
            </w14:solidFill>
          </w14:textFill>
        </w:rPr>
        <w:t xml:space="preserve">“</w:t>
      </w:r>
      <w:r>
        <w:rPr>
          <w:rFonts w:hint="eastAsia" w:cs="仿宋" w:asciiTheme="minorEastAsia" w:hAnsiTheme="minorEastAsia" w:eastAsiaTheme="minorEastAsia"/>
          <w:color w:val="000000" w:themeColor="text1"/>
          <w:highlight w:val="none"/>
          <w14:textFill>
            <w14:solidFill>
              <w14:schemeClr w14:val="tx1"/>
            </w14:solidFill>
          </w14:textFill>
        </w:rPr>
        <w:t xml:space="preserve">投标分项报价表</w:t>
      </w:r>
      <w:r>
        <w:rPr>
          <w:rFonts w:hint="eastAsia" w:cs="仿宋" w:asciiTheme="minorEastAsia" w:hAnsiTheme="minorEastAsia" w:eastAsiaTheme="minorEastAsia"/>
          <w:color w:val="000000" w:themeColor="text1"/>
          <w:sz w:val="22"/>
          <w:szCs w:val="22"/>
          <w:highlight w:val="none"/>
          <w14:textFill>
            <w14:solidFill>
              <w14:schemeClr w14:val="tx1"/>
            </w14:solidFill>
          </w14:textFill>
        </w:rPr>
        <w:t xml:space="preserve">”</w:t>
      </w:r>
      <w:r>
        <w:rPr>
          <w:rFonts w:hint="eastAsia" w:cs="仿宋" w:asciiTheme="minorEastAsia" w:hAnsiTheme="minorEastAsia" w:eastAsiaTheme="minorEastAsia"/>
          <w:color w:val="000000" w:themeColor="text1"/>
          <w:highlight w:val="none"/>
          <w14:textFill>
            <w14:solidFill>
              <w14:schemeClr w14:val="tx1"/>
            </w14:solidFill>
          </w14:textFill>
        </w:rPr>
        <w:t xml:space="preserve">中“投标总报价”数额应当与“开标一览表”中“投标总报价”数额一致。</w:t>
      </w:r>
      <w:r/>
    </w:p>
    <w:p>
      <w:pPr>
        <w:pStyle w:val="862"/>
        <w:ind w:firstLine="280"/>
        <w:rPr>
          <w:rFonts w:hint="eastAsia"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r>
      <w:r/>
    </w:p>
    <w:p>
      <w:pPr>
        <w:pStyle w:val="863"/>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right"/>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投标人名称：（加盖CA电子公章）</w:t>
      </w:r>
      <w:bookmarkEnd w:id="49"/>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投 标 函</w:t>
      </w:r>
      <w:r/>
    </w:p>
    <w:p>
      <w:pPr>
        <w:ind w:left="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63"/>
        <w:ind w:left="0"/>
        <w:spacing w:after="0" w:line="360" w:lineRule="auto"/>
        <w:rPr>
          <w:rFonts w:hint="eastAsia" w:cs="仿宋" w:asciiTheme="minorEastAsia" w:hAnsiTheme="minorEastAsia" w:eastAsiaTheme="minorEastAsia"/>
          <w:bCs/>
          <w:i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iCs/>
          <w:color w:val="000000" w:themeColor="text1"/>
          <w:sz w:val="24"/>
          <w:szCs w:val="24"/>
          <w:highlight w:val="none"/>
          <w14:textFill>
            <w14:solidFill>
              <w14:schemeClr w14:val="tx1"/>
            </w14:solidFill>
          </w14:textFill>
        </w:rPr>
        <w:t xml:space="preserve">泰州市</w:t>
      </w:r>
      <w:r>
        <w:rPr>
          <w:rFonts w:cs="仿宋" w:asciiTheme="minorEastAsia" w:hAnsiTheme="minorEastAsia" w:eastAsiaTheme="minorEastAsia"/>
          <w:bCs/>
          <w:iCs/>
          <w:color w:val="000000" w:themeColor="text1"/>
          <w:sz w:val="24"/>
          <w:szCs w:val="24"/>
          <w:highlight w:val="none"/>
          <w14:textFill>
            <w14:solidFill>
              <w14:schemeClr w14:val="tx1"/>
            </w14:solidFill>
          </w14:textFill>
        </w:rPr>
        <w:t xml:space="preserve">姜堰中医院</w:t>
      </w:r>
      <w:r>
        <w:rPr>
          <w:rFonts w:hint="eastAsia" w:cs="仿宋" w:asciiTheme="minorEastAsia" w:hAnsiTheme="minorEastAsia" w:eastAsiaTheme="minorEastAsia"/>
          <w:bCs/>
          <w:iCs/>
          <w:color w:val="000000" w:themeColor="text1"/>
          <w:sz w:val="24"/>
          <w:szCs w:val="24"/>
          <w:highlight w:val="none"/>
          <w14:textFill>
            <w14:solidFill>
              <w14:schemeClr w14:val="tx1"/>
            </w14:solidFill>
          </w14:textFill>
        </w:rPr>
        <w:t xml:space="preserve">：</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iCs/>
          <w:color w:val="000000" w:themeColor="text1"/>
          <w:sz w:val="24"/>
          <w:szCs w:val="24"/>
          <w:highlight w:val="none"/>
          <w14:textFill>
            <w14:solidFill>
              <w14:schemeClr w14:val="tx1"/>
            </w14:solidFill>
          </w14:textFill>
        </w:rPr>
        <w:t xml:space="preserve">我方全面研究了</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项目招标文件，决定参加贵单位组织的本项目投标。</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1、我方自愿按照招标文件规定的各项要求向采购人提供所需货物及服务。</w:t>
      </w:r>
      <w:r/>
    </w:p>
    <w:p>
      <w:pPr>
        <w:pStyle w:val="1063"/>
        <w:ind w:left="0" w:firstLine="600"/>
        <w:spacing w:after="0"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2、一旦我方中标，</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我们将严格履行招标文件中规定的每一项要求，按期、按质、按量履行合同的义务。</w:t>
      </w:r>
      <w:r/>
    </w:p>
    <w:p>
      <w:pPr>
        <w:pStyle w:val="1064"/>
        <w:ind w:firstLine="60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3、我们已详细审查全部招标文件，包括更正文件(如有)，对招标文件及更正公告(如有)无任何异议。我们完全理解并同意放弃对这方面有不明及误解的权力。</w:t>
      </w:r>
      <w:r/>
    </w:p>
    <w:p>
      <w:pPr>
        <w:pStyle w:val="1064"/>
        <w:ind w:firstLine="60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4、我们同意按招标文件中的规定，本投标书的有效期限响应采购</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文件中要求的有效期</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p>
    <w:p>
      <w:pPr>
        <w:pStyle w:val="1064"/>
        <w:ind w:firstLine="60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5、我们愿意提供招标采购单位在招标文件中要求的所有资料。</w:t>
      </w:r>
      <w:r/>
    </w:p>
    <w:p>
      <w:pPr>
        <w:pStyle w:val="1064"/>
        <w:ind w:firstLine="60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6、我们愿意遵守招标文件中所列的收费标准。</w:t>
      </w:r>
      <w:r/>
    </w:p>
    <w:p>
      <w:pPr>
        <w:pStyle w:val="1064"/>
        <w:ind w:firstLine="60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7、我们承诺该项投标在开标后的全过程中保持有效，不作任何更改和变动。</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投标人名称：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加盖CA电子公章</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法定代表人或</w:t>
      </w:r>
      <w:r>
        <w:rPr>
          <w:rFonts w:hint="eastAsia" w:cs="仿宋" w:asciiTheme="minorEastAsia" w:hAnsiTheme="minorEastAsia" w:eastAsiaTheme="minorEastAsia"/>
          <w:color w:val="000000" w:themeColor="text1"/>
          <w:szCs w:val="24"/>
          <w:highlight w:val="none"/>
          <w14:textFill>
            <w14:solidFill>
              <w14:schemeClr w14:val="tx1"/>
            </w14:solidFill>
          </w14:textFill>
        </w:rPr>
        <w:t xml:space="preserve">委托</w:t>
      </w: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代理人（签字或盖章）：</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地址：</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邮政编码：</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联系电话：</w:t>
      </w:r>
      <w:r/>
    </w:p>
    <w:p>
      <w:pPr>
        <w:pStyle w:val="1063"/>
        <w:ind w:left="0" w:firstLine="600"/>
        <w:spacing w:after="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日    期：</w:t>
      </w:r>
      <w:r/>
    </w:p>
    <w:p>
      <w:pPr>
        <w:jc w:val="cente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outlineLvl w:val="0"/>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br w:type="page" w:clear="all"/>
      </w:r>
      <w:r/>
    </w:p>
    <w:p>
      <w:pPr>
        <w:jc w:val="center"/>
        <w:rPr>
          <w:rFonts w:hint="eastAsia" w:cs="仿宋" w:asciiTheme="minorEastAsia" w:hAnsiTheme="minorEastAsia" w:eastAsiaTheme="minorEastAsia"/>
          <w:b/>
          <w:color w:val="000000" w:themeColor="text1"/>
          <w:sz w:val="30"/>
          <w:szCs w:val="30"/>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z w:val="30"/>
          <w:szCs w:val="30"/>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0"/>
          <w:szCs w:val="30"/>
          <w:highlight w:val="none"/>
          <w14:textFill>
            <w14:solidFill>
              <w14:schemeClr w14:val="tx1"/>
            </w14:solidFill>
          </w14:textFill>
        </w:rPr>
        <w:t xml:space="preserve">关于参加政府采购活动前3年内在经营活动中没有重大违法记录的书面声明</w:t>
      </w:r>
      <w:r/>
    </w:p>
    <w:p>
      <w:pPr>
        <w:jc w:val="center"/>
        <w:rPr>
          <w:rFonts w:hint="eastAsia" w:cs="仿宋" w:asciiTheme="minorEastAsia" w:hAnsiTheme="minorEastAsia" w:eastAsiaTheme="minorEastAsia"/>
          <w:bCs/>
          <w:color w:val="000000" w:themeColor="text1"/>
          <w:sz w:val="32"/>
          <w:highlight w:val="none"/>
          <w14:textFill>
            <w14:solidFill>
              <w14:schemeClr w14:val="tx1"/>
            </w14:solidFill>
          </w14:textFill>
        </w:rPr>
      </w:pPr>
      <w:r>
        <w:rPr>
          <w:rFonts w:hint="eastAsia" w:cs="仿宋" w:asciiTheme="minorEastAsia" w:hAnsiTheme="minorEastAsia" w:eastAsiaTheme="minorEastAsia"/>
          <w:bCs/>
          <w:color w:val="000000" w:themeColor="text1"/>
          <w:sz w:val="32"/>
          <w:highlight w:val="none"/>
          <w14:textFill>
            <w14:solidFill>
              <w14:schemeClr w14:val="tx1"/>
            </w14:solidFill>
          </w14:textFill>
        </w:rPr>
      </w:r>
      <w:r/>
    </w:p>
    <w:p>
      <w:pPr>
        <w:pStyle w:val="1063"/>
        <w:ind w:left="0"/>
        <w:spacing w:after="0" w:line="360" w:lineRule="auto"/>
        <w:rPr>
          <w:rFonts w:hint="eastAsia" w:cs="仿宋" w:asciiTheme="minorEastAsia" w:hAnsiTheme="minorEastAsia" w:eastAsiaTheme="minorEastAsia"/>
          <w:bCs/>
          <w:iCs/>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bCs/>
          <w:iCs/>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公司（单位）</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愿意承担由此而产生的一切后果。</w:t>
      </w:r>
      <w:r/>
    </w:p>
    <w:p>
      <w:pPr>
        <w:spacing w:line="480" w:lineRule="auto"/>
        <w:rPr>
          <w:rFonts w:hint="eastAsia" w:cs="仿宋" w:asciiTheme="minorEastAsia" w:hAnsiTheme="minorEastAsia" w:eastAsiaTheme="minorEastAsia"/>
          <w:bCs/>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Cs/>
          <w:color w:val="000000" w:themeColor="text1"/>
          <w:sz w:val="28"/>
          <w:szCs w:val="28"/>
          <w:highlight w:val="none"/>
          <w14:textFill>
            <w14:solidFill>
              <w14:schemeClr w14:val="tx1"/>
            </w14:solidFill>
          </w14:textFill>
        </w:rPr>
      </w:r>
      <w:r/>
    </w:p>
    <w:p>
      <w:pPr>
        <w:ind w:firstLine="560"/>
        <w:spacing w:line="48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投标人（加盖CA电子公章）：</w:t>
      </w:r>
      <w:r/>
    </w:p>
    <w:p>
      <w:pPr>
        <w:ind w:firstLine="480"/>
        <w:spacing w:line="48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法定代表人或法定代表人授权代表（签字或盖章）：</w:t>
      </w:r>
      <w:r/>
    </w:p>
    <w:p>
      <w:pPr>
        <w:ind w:firstLine="480"/>
        <w:spacing w:line="48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日期：</w:t>
      </w:r>
      <w:r/>
    </w:p>
    <w:p>
      <w:pPr>
        <w:ind w:firstLine="480"/>
        <w:jc w:val="right"/>
        <w:spacing w:line="52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pStyle w:val="1050"/>
        <w:ind w:firstLine="480"/>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32"/>
          <w:szCs w:val="32"/>
          <w:highlight w:val="none"/>
          <w14:textFill>
            <w14:solidFill>
              <w14:schemeClr w14:val="tx1"/>
            </w14:solidFill>
          </w14:textFill>
        </w:rPr>
        <w:t xml:space="preserve">法人授权书</w:t>
      </w:r>
      <w:r/>
    </w:p>
    <w:p>
      <w:pPr>
        <w:ind w:firstLine="480"/>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w:t>
      </w:r>
      <w:r>
        <w:rPr>
          <w:rFonts w:eastAsia="宋体"/>
          <w:color w:val="000000" w:themeColor="text1"/>
          <w:sz w:val="24"/>
          <w:szCs w:val="24"/>
          <w:highlight w:val="none"/>
          <w14:textFill>
            <w14:solidFill>
              <w14:schemeClr w14:val="tx1"/>
            </w14:solidFill>
          </w14:textFill>
        </w:rPr>
        <w:t xml:space="preserve">____________</w:t>
      </w:r>
      <w:r>
        <w:rPr>
          <w:rFonts w:hint="eastAsia" w:ascii="宋体" w:hAnsi="宋体" w:eastAsia="宋体" w:cs="宋体"/>
          <w:color w:val="000000" w:themeColor="text1"/>
          <w:sz w:val="24"/>
          <w:szCs w:val="24"/>
          <w:highlight w:val="none"/>
          <w14:textFill>
            <w14:solidFill>
              <w14:schemeClr w14:val="tx1"/>
            </w14:solidFill>
          </w14:textFill>
        </w:rPr>
        <w:t xml:space="preserve">（投标人名称）授权</w:t>
      </w:r>
      <w:r>
        <w:rPr>
          <w:rFonts w:eastAsia="宋体"/>
          <w:color w:val="000000" w:themeColor="text1"/>
          <w:sz w:val="24"/>
          <w:szCs w:val="24"/>
          <w:highlight w:val="none"/>
          <w14:textFill>
            <w14:solidFill>
              <w14:schemeClr w14:val="tx1"/>
            </w14:solidFill>
          </w14:textFill>
        </w:rPr>
        <w:t xml:space="preserve">________________</w:t>
      </w:r>
      <w:r>
        <w:rPr>
          <w:rFonts w:hint="eastAsia" w:ascii="宋体" w:hAnsi="宋体" w:eastAsia="宋体" w:cs="宋体"/>
          <w:color w:val="000000" w:themeColor="text1"/>
          <w:sz w:val="24"/>
          <w:szCs w:val="24"/>
          <w:highlight w:val="none"/>
          <w14:textFill>
            <w14:solidFill>
              <w14:schemeClr w14:val="tx1"/>
            </w14:solidFill>
          </w14:textFill>
        </w:rPr>
        <w:t xml:space="preserve">（被授权人的姓名）为我方就</w:t>
      </w:r>
      <w:r>
        <w:rPr>
          <w:rFonts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w:t>
      </w:r>
      <w:r>
        <w:rPr>
          <w:rFonts w:eastAsia="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eastAsia="宋体"/>
          <w:color w:val="000000" w:themeColor="text1"/>
          <w:sz w:val="24"/>
          <w:szCs w:val="24"/>
          <w:highlight w:val="none"/>
          <w14:textFill>
            <w14:solidFill>
              <w14:schemeClr w14:val="tx1"/>
            </w14:solidFill>
          </w14:textFill>
        </w:rPr>
        <w:t xml:space="preserve">____</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eastAsia="宋体"/>
          <w:color w:val="000000" w:themeColor="text1"/>
          <w:sz w:val="24"/>
          <w:szCs w:val="24"/>
          <w:highlight w:val="none"/>
          <w14:textFill>
            <w14:solidFill>
              <w14:schemeClr w14:val="tx1"/>
            </w14:solidFill>
          </w14:textFill>
        </w:rPr>
        <w:t xml:space="preserve">____</w:t>
      </w:r>
      <w:r>
        <w:rPr>
          <w:rFonts w:hint="eastAsia" w:ascii="宋体" w:hAnsi="宋体" w:eastAsia="宋体" w:cs="宋体"/>
          <w:color w:val="000000" w:themeColor="text1"/>
          <w:sz w:val="24"/>
          <w:szCs w:val="24"/>
          <w:highlight w:val="none"/>
          <w14:textFill>
            <w14:solidFill>
              <w14:schemeClr w14:val="tx1"/>
            </w14:solidFill>
          </w14:textFill>
        </w:rPr>
        <w:t xml:space="preserve">日起生效，特此声明。</w:t>
      </w:r>
      <w:r/>
    </w:p>
    <w:p>
      <w:pPr>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被授权人身份证号码：</w:t>
      </w:r>
      <w:r>
        <w:rPr>
          <w:rFonts w:eastAsia="宋体"/>
          <w:color w:val="000000" w:themeColor="text1"/>
          <w:sz w:val="24"/>
          <w:szCs w:val="24"/>
          <w:highlight w:val="none"/>
          <w:u w:val="single"/>
          <w14:textFill>
            <w14:solidFill>
              <w14:schemeClr w14:val="tx1"/>
            </w14:solidFill>
          </w14:textFill>
        </w:rPr>
        <w:t xml:space="preserve">                              </w:t>
      </w:r>
      <w:r/>
    </w:p>
    <w:p>
      <w:pPr>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w:t>
      </w:r>
      <w:r>
        <w:rPr>
          <w:rFonts w:eastAsia="宋体"/>
          <w:color w:val="000000" w:themeColor="text1"/>
          <w:sz w:val="24"/>
          <w:szCs w:val="24"/>
          <w:highlight w:val="none"/>
          <w:u w:val="single"/>
          <w14:textFill>
            <w14:solidFill>
              <w14:schemeClr w14:val="tx1"/>
            </w14:solidFill>
          </w14:textFill>
        </w:rPr>
        <w:t xml:space="preserve">                          </w:t>
      </w:r>
      <w:r/>
    </w:p>
    <w:p>
      <w:pPr>
        <w:ind w:firstLine="1200"/>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（加盖</w:t>
      </w:r>
      <w:r>
        <w:rPr>
          <w:rFonts w:eastAsia="宋体"/>
          <w:color w:val="000000" w:themeColor="text1"/>
          <w:sz w:val="24"/>
          <w:szCs w:val="24"/>
          <w:highlight w:val="none"/>
          <w:u w:val="single"/>
          <w14:textFill>
            <w14:solidFill>
              <w14:schemeClr w14:val="tx1"/>
            </w14:solidFill>
          </w14:textFill>
        </w:rPr>
        <w:t xml:space="preserve">CA</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电子公章）</w:t>
      </w:r>
      <w:r/>
    </w:p>
    <w:p>
      <w:pPr>
        <w:ind w:firstLine="480"/>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rPr>
          <w:rFonts w:eastAsia="宋体"/>
          <w:color w:val="000000" w:themeColor="text1"/>
          <w:sz w:val="24"/>
          <w:szCs w:val="24"/>
          <w:highlight w:val="none"/>
          <w:u w:val="single"/>
          <w14:textFill>
            <w14:solidFill>
              <w14:schemeClr w14:val="tx1"/>
            </w14:solidFill>
          </w14:textFill>
        </w:rPr>
        <w:t xml:space="preserve">                                         </w:t>
      </w:r>
      <w:r/>
    </w:p>
    <w:p>
      <w:pPr>
        <w:ind w:firstLine="480"/>
        <w:widowControl/>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eastAsia="宋体"/>
          <w:color w:val="000000" w:themeColor="text1"/>
          <w:sz w:val="24"/>
          <w:szCs w:val="24"/>
          <w:highlight w:val="none"/>
          <w:u w:val="single"/>
          <w14:textFill>
            <w14:solidFill>
              <w14:schemeClr w14:val="tx1"/>
            </w14:solidFill>
          </w14:textFill>
        </w:rPr>
        <w:t xml:space="preserve">                                         </w:t>
      </w:r>
      <w:r/>
    </w:p>
    <w:p>
      <w:pPr>
        <w:ind w:firstLine="640"/>
        <w:spacing w:line="360" w:lineRule="auto"/>
        <w:rPr>
          <w:rFonts w:hint="eastAsia" w:cs="仿宋" w:asciiTheme="minorEastAsia" w:hAnsiTheme="minorEastAsia" w:eastAsiaTheme="minorEastAsia"/>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32"/>
          <w:szCs w:val="32"/>
          <w:highlight w:val="none"/>
          <w14:textFill>
            <w14:solidFill>
              <w14:schemeClr w14:val="tx1"/>
            </w14:solidFill>
          </w14:textFill>
        </w:rPr>
      </w:r>
      <w:r/>
    </w:p>
    <w:p>
      <w:pPr>
        <w:pStyle w:val="1055"/>
        <w:ind w:firstLine="560"/>
        <w:spacing w:line="360" w:lineRule="auto"/>
        <w:rPr>
          <w:rFonts w:hint="eastAsia" w:cs="仿宋" w:asciiTheme="minorEastAsia" w:hAnsiTheme="minorEastAsia" w:eastAsiaTheme="minorEastAsia"/>
          <w:color w:val="000000" w:themeColor="text1"/>
          <w:sz w:val="28"/>
          <w:szCs w:val="28"/>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8"/>
          <w:szCs w:val="28"/>
          <w:highlight w:val="none"/>
          <w:u w:val="single"/>
          <w14:textFill>
            <w14:solidFill>
              <w14:schemeClr w14:val="tx1"/>
            </w14:solidFill>
          </w14:textFill>
        </w:rPr>
      </w:r>
      <w:r/>
    </w:p>
    <w:p>
      <w:pPr>
        <w:jc w:val="center"/>
        <w:rPr>
          <w:rFonts w:hint="eastAsia" w:cs="仿宋" w:asciiTheme="minorEastAsia" w:hAnsiTheme="minorEastAsia" w:eastAsiaTheme="minorEastAsia"/>
          <w:color w:val="000000" w:themeColor="text1"/>
          <w:szCs w:val="21"/>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8"/>
          <w:highlight w:val="none"/>
          <w:u w:val="single"/>
          <w14:textFill>
            <w14:solidFill>
              <w14:schemeClr w14:val="tx1"/>
            </w14:solidFill>
          </w14:textFill>
        </w:rPr>
        <w:br w:type="page" w:clear="all"/>
      </w:r>
      <w:bookmarkEnd w:id="42"/>
      <w:r/>
      <w:bookmarkEnd w:id="43"/>
      <w:r/>
      <w:bookmarkEnd w:id="44"/>
      <w:r/>
      <w:bookmarkEnd w:id="45"/>
      <w:r/>
      <w:bookmarkEnd w:id="46"/>
      <w:r/>
      <w:bookmarkEnd w:id="47"/>
      <w:r/>
      <w:bookmarkEnd w:id="48"/>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 xml:space="preserve">商务要求响应及偏离表</w:t>
      </w:r>
      <w:r/>
    </w:p>
    <w:tbl>
      <w:tblPr>
        <w:tblStyle w:val="834"/>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证明</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 行数不够，可自行添加。</w:t>
      </w:r>
      <w:r/>
    </w:p>
    <w:p>
      <w:pPr>
        <w:spacing w:line="11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11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ascii="仿宋" w:hAnsi="仿宋" w:eastAsia="宋体" w:cs="宋体"/>
          <w:color w:val="000000" w:themeColor="text1"/>
          <w:sz w:val="30"/>
          <w:szCs w:val="30"/>
          <w:highlight w:val="none"/>
          <w14:textFill>
            <w14:solidFill>
              <w14:schemeClr w14:val="tx1"/>
            </w14:solidFill>
          </w14:textFill>
        </w:rPr>
        <w:t xml:space="preserve"> </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ascii="Calibri" w:hAnsi="Calibri" w:eastAsia="黑体" w:cs="Calibri"/>
          <w:b/>
          <w:bCs/>
          <w:color w:val="000000" w:themeColor="text1"/>
          <w:sz w:val="32"/>
          <w:szCs w:val="32"/>
          <w:highlight w:val="none"/>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ascii="Calibri" w:hAnsi="Calibri" w:eastAsia="黑体" w:cs="Calibri"/>
          <w:b/>
          <w:bCs/>
          <w:color w:val="000000" w:themeColor="text1"/>
          <w:sz w:val="32"/>
          <w:szCs w:val="32"/>
          <w:highlight w:val="none"/>
          <w14:textFill>
            <w14:solidFill>
              <w14:schemeClr w14:val="tx1"/>
            </w14:solidFill>
          </w14:textFill>
        </w:rPr>
        <w:t xml:space="preserve"> </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eastAsia="宋体"/>
          <w:color w:val="000000" w:themeColor="text1"/>
          <w:sz w:val="22"/>
          <w:szCs w:val="22"/>
          <w:highlight w:val="none"/>
          <w14:textFill>
            <w14:solidFill>
              <w14:schemeClr w14:val="tx1"/>
            </w14:solidFill>
          </w14:textFill>
        </w:rPr>
        <w:t xml:space="preserve">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ind w:firstLine="490"/>
        <w:jc w:val="cente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pStyle w:val="8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pacing w:val="20"/>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 xml:space="preserve">技术要求响应及偏离表</w:t>
      </w:r>
      <w:r/>
    </w:p>
    <w:tbl>
      <w:tblPr>
        <w:tblStyle w:val="834"/>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证明</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 行数不够，可自行添加。</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ascii="Calibri" w:hAnsi="Calibri" w:eastAsia="黑体" w:cs="Calibri"/>
          <w:b/>
          <w:bCs/>
          <w:color w:val="000000" w:themeColor="text1"/>
          <w:sz w:val="36"/>
          <w:szCs w:val="36"/>
          <w:highlight w:val="none"/>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ascii="Calibri" w:hAnsi="Calibri" w:eastAsia="黑体" w:cs="Calibri"/>
          <w:b/>
          <w:bCs/>
          <w:color w:val="000000" w:themeColor="text1"/>
          <w:sz w:val="36"/>
          <w:szCs w:val="36"/>
          <w:highlight w:val="none"/>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ascii="Calibri" w:hAnsi="Calibri" w:eastAsia="黑体" w:cs="Calibri"/>
          <w:b/>
          <w:bCs/>
          <w:color w:val="000000" w:themeColor="text1"/>
          <w:sz w:val="36"/>
          <w:szCs w:val="36"/>
          <w:highlight w:val="none"/>
          <w14:textFill>
            <w14:solidFill>
              <w14:schemeClr w14:val="tx1"/>
            </w14:solidFill>
          </w14:textFill>
        </w:rPr>
        <w:t xml:space="preserve"> </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ascii="Calibri" w:hAnsi="Calibri" w:eastAsia="黑体" w:cs="Calibri"/>
          <w:b/>
          <w:bCs/>
          <w:color w:val="000000" w:themeColor="text1"/>
          <w:sz w:val="36"/>
          <w:szCs w:val="36"/>
          <w:highlight w:val="none"/>
          <w14:textFill>
            <w14:solidFill>
              <w14:schemeClr w14:val="tx1"/>
            </w14:solidFill>
          </w14:textFill>
        </w:rPr>
        <w:t xml:space="preserve"> </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spacing w:line="520" w:lineRule="exact"/>
        <w:rPr>
          <w:rFonts w:hint="eastAsia" w:cs="仿宋" w:asciiTheme="minorEastAsia" w:hAnsiTheme="minorEastAsia" w:eastAsiaTheme="minorEastAsia"/>
          <w:b/>
          <w:color w:val="000000" w:themeColor="text1"/>
          <w:spacing w:val="-4"/>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pacing w:val="-4"/>
          <w:sz w:val="24"/>
          <w:szCs w:val="24"/>
          <w:highlight w:val="none"/>
          <w14:textFill>
            <w14:solidFill>
              <w14:schemeClr w14:val="tx1"/>
            </w14:solidFill>
          </w14:textFill>
        </w:rPr>
      </w:r>
      <w:r/>
    </w:p>
    <w:p>
      <w:pPr>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color w:val="000000" w:themeColor="text1"/>
          <w:szCs w:val="21"/>
          <w:highlight w:val="none"/>
          <w:u w:val="single"/>
          <w14:textFill>
            <w14:solidFill>
              <w14:schemeClr w14:val="tx1"/>
            </w14:solidFill>
          </w14:textFill>
        </w:rPr>
      </w:pP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1056"/>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1056"/>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具备履行合同所必需的设备和专业技术能力的声明</w:t>
      </w:r>
      <w:r/>
    </w:p>
    <w:p>
      <w:pPr>
        <w:jc w:val="center"/>
        <w:spacing w:line="36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u w:val="single"/>
          <w14:textFill>
            <w14:solidFill>
              <w14:schemeClr w14:val="tx1"/>
            </w14:solidFill>
          </w14:textFill>
        </w:rPr>
        <w:t xml:space="preserve">               （采购单位名称）：</w:t>
      </w:r>
      <w:r/>
    </w:p>
    <w:p>
      <w:pPr>
        <w:ind w:firstLine="420"/>
        <w:spacing w:line="46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主要设备有：                          。( 若有 )</w:t>
      </w:r>
      <w:r/>
    </w:p>
    <w:p>
      <w:pPr>
        <w:ind w:firstLine="420"/>
        <w:spacing w:line="46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主要专业技术能力有：                  。( 若有 )</w:t>
      </w:r>
      <w:r/>
    </w:p>
    <w:p>
      <w:pPr>
        <w:ind w:firstLine="42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ind w:firstLine="42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ind w:firstLine="42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                                           声明人：（加盖CA电子公章）</w:t>
      </w:r>
      <w:r/>
    </w:p>
    <w:p>
      <w:pPr>
        <w:ind w:firstLine="480"/>
        <w:spacing w:line="460" w:lineRule="exact"/>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日期：______年月日</w:t>
      </w:r>
      <w:r/>
    </w:p>
    <w:p>
      <w:pPr>
        <w:ind w:firstLine="420"/>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其他证明材料及文件：（如果投标人认为需要提供的话）</w:t>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pStyle w:val="863"/>
        <w:rPr>
          <w:rFonts w:hint="eastAsia" w:cs="仿宋" w:asciiTheme="minorEastAsia" w:hAnsiTheme="minorEastAsia" w:eastAsiaTheme="minorEastAsia"/>
          <w:b/>
          <w:color w:val="000000" w:themeColor="text1"/>
          <w:szCs w:val="32"/>
          <w:highlight w:val="none"/>
          <w14:textFill>
            <w14:solidFill>
              <w14:schemeClr w14:val="tx1"/>
            </w14:solidFill>
          </w14:textFill>
        </w:rPr>
      </w:pPr>
      <w:r>
        <w:rPr>
          <w:rFonts w:hint="eastAsia" w:cs="仿宋" w:asciiTheme="minorEastAsia" w:hAnsiTheme="minorEastAsia" w:eastAsiaTheme="minorEastAsia"/>
          <w:b/>
          <w:color w:val="000000" w:themeColor="text1"/>
          <w:szCs w:val="32"/>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jc w:val="center"/>
        <w:spacing w:line="50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中小企业声明函</w:t>
      </w:r>
      <w:r/>
    </w:p>
    <w:p>
      <w:pPr>
        <w:spacing w:line="500" w:lineRule="exact"/>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s="仿宋" w:asciiTheme="minorEastAsia" w:hAnsiTheme="minorEastAsia" w:eastAsiaTheme="minorEastAsia"/>
          <w:color w:val="000000" w:themeColor="text1"/>
          <w:highlight w:val="none"/>
          <w:u w:val="single"/>
          <w14:textFill>
            <w14:solidFill>
              <w14:schemeClr w14:val="tx1"/>
            </w14:solidFill>
          </w14:textFill>
        </w:rPr>
        <w:t xml:space="preserve">（采购单位名称）</w:t>
      </w:r>
      <w:r>
        <w:rPr>
          <w:rFonts w:hint="eastAsia" w:cs="仿宋" w:asciiTheme="minorEastAsia" w:hAnsiTheme="minorEastAsia" w:eastAsiaTheme="minorEastAsia"/>
          <w:color w:val="000000" w:themeColor="text1"/>
          <w:highlight w:val="none"/>
          <w14:textFill>
            <w14:solidFill>
              <w14:schemeClr w14:val="tx1"/>
            </w14:solidFill>
          </w14:textFill>
        </w:rPr>
        <w:t xml:space="preserve">的</w:t>
      </w:r>
      <w:r>
        <w:rPr>
          <w:rFonts w:hint="eastAsia" w:cs="仿宋" w:asciiTheme="minorEastAsia" w:hAnsiTheme="minorEastAsia" w:eastAsiaTheme="minorEastAsia"/>
          <w:color w:val="000000" w:themeColor="text1"/>
          <w:highlight w:val="none"/>
          <w:u w:val="single"/>
          <w14:textFill>
            <w14:solidFill>
              <w14:schemeClr w14:val="tx1"/>
            </w14:solidFill>
          </w14:textFill>
        </w:rPr>
        <w:t xml:space="preserve">（项目名称）</w:t>
      </w:r>
      <w:r>
        <w:rPr>
          <w:rFonts w:hint="eastAsia" w:cs="仿宋" w:asciiTheme="minorEastAsia" w:hAnsiTheme="minorEastAsia" w:eastAsiaTheme="minorEastAsia"/>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1. </w:t>
      </w:r>
      <w:r>
        <w:rPr>
          <w:rFonts w:hint="eastAsia" w:cs="仿宋" w:asciiTheme="minorEastAsia" w:hAnsiTheme="minorEastAsia" w:eastAsiaTheme="minorEastAsia"/>
          <w:color w:val="000000" w:themeColor="text1"/>
          <w:highlight w:val="none"/>
          <w:u w:val="single"/>
          <w14:textFill>
            <w14:solidFill>
              <w14:schemeClr w14:val="tx1"/>
            </w14:solidFill>
          </w14:textFill>
        </w:rPr>
        <w:t xml:space="preserve">（标的名称）</w:t>
      </w: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，属于</w:t>
      </w:r>
      <w:r>
        <w:rPr>
          <w:rFonts w:hint="eastAsia" w:cs="仿宋" w:asciiTheme="minorEastAsia" w:hAnsiTheme="minorEastAsia" w:eastAsiaTheme="minorEastAsia"/>
          <w:b/>
          <w:color w:val="000000" w:themeColor="text1"/>
          <w:highlight w:val="none"/>
          <w:u w:val="single"/>
          <w14:textFill>
            <w14:solidFill>
              <w14:schemeClr w14:val="tx1"/>
            </w14:solidFill>
          </w14:textFill>
        </w:rPr>
        <w:t xml:space="preserve">（工业）（不得对行业类别修改</w:t>
      </w:r>
      <w:r>
        <w:rPr>
          <w:rFonts w:hint="eastAsia" w:cs="仿宋" w:asciiTheme="minorEastAsia" w:hAnsiTheme="minorEastAsia" w:eastAsiaTheme="minorEastAsia"/>
          <w:color w:val="000000" w:themeColor="text1"/>
          <w:highlight w:val="none"/>
          <w:u w:val="single"/>
          <w14:textFill>
            <w14:solidFill>
              <w14:schemeClr w14:val="tx1"/>
            </w14:solidFill>
          </w14:textFill>
        </w:rPr>
        <w:t xml:space="preserve">）</w:t>
      </w:r>
      <w:r>
        <w:rPr>
          <w:rFonts w:hint="eastAsia" w:cs="仿宋" w:asciiTheme="minorEastAsia" w:hAnsiTheme="minorEastAsia" w:eastAsiaTheme="minorEastAsia"/>
          <w:color w:val="000000" w:themeColor="text1"/>
          <w:highlight w:val="none"/>
          <w14:textFill>
            <w14:solidFill>
              <w14:schemeClr w14:val="tx1"/>
            </w14:solidFill>
          </w14:textFill>
        </w:rPr>
        <w:t xml:space="preserve">行业；制造商为（企业名称），从业人员</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人，营业收入为</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万元，资产总额为</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万元，属于（</w:t>
      </w:r>
      <w:r>
        <w:rPr>
          <w:rFonts w:hint="eastAsia" w:cs="仿宋" w:asciiTheme="minorEastAsia" w:hAnsiTheme="minorEastAsia" w:eastAsiaTheme="minorEastAsia"/>
          <w:color w:val="000000" w:themeColor="text1"/>
          <w:highlight w:val="none"/>
          <w:u w:val="single"/>
          <w14:textFill>
            <w14:solidFill>
              <w14:schemeClr w14:val="tx1"/>
            </w14:solidFill>
          </w14:textFill>
        </w:rPr>
        <w:t xml:space="preserve">中型企业、小型企业、微型企业</w:t>
      </w:r>
      <w:r>
        <w:rPr>
          <w:rFonts w:hint="eastAsia" w:cs="仿宋" w:asciiTheme="minorEastAsia" w:hAnsiTheme="minorEastAsia" w:eastAsiaTheme="minorEastAsia"/>
          <w:color w:val="000000" w:themeColor="text1"/>
          <w:highlight w:val="none"/>
          <w14:textFill>
            <w14:solidFill>
              <w14:schemeClr w14:val="tx1"/>
            </w14:solidFill>
          </w14:textFill>
        </w:rPr>
        <w:t xml:space="preserve">）；</w:t>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2. （标的名称） ，属于</w:t>
      </w:r>
      <w:r>
        <w:rPr>
          <w:rFonts w:hint="eastAsia" w:cs="仿宋" w:asciiTheme="minorEastAsia" w:hAnsiTheme="minorEastAsia" w:eastAsiaTheme="minorEastAsia"/>
          <w:b/>
          <w:color w:val="000000" w:themeColor="text1"/>
          <w:highlight w:val="none"/>
          <w:u w:val="single"/>
          <w14:textFill>
            <w14:solidFill>
              <w14:schemeClr w14:val="tx1"/>
            </w14:solidFill>
          </w14:textFill>
        </w:rPr>
        <w:t xml:space="preserve">（工业）（不得对行业类别修改）</w:t>
      </w:r>
      <w:r>
        <w:rPr>
          <w:rFonts w:hint="eastAsia" w:cs="仿宋" w:asciiTheme="minorEastAsia" w:hAnsiTheme="minorEastAsia" w:eastAsiaTheme="minorEastAsia"/>
          <w:color w:val="000000" w:themeColor="text1"/>
          <w:highlight w:val="none"/>
          <w14:textFill>
            <w14:solidFill>
              <w14:schemeClr w14:val="tx1"/>
            </w14:solidFill>
          </w14:textFill>
        </w:rPr>
        <w:t xml:space="preserve">行业；制造商为（企业名称），从业人员</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人，营业收入为</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万元，资产总额为</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万元，属于（</w:t>
      </w:r>
      <w:r>
        <w:rPr>
          <w:rFonts w:hint="eastAsia" w:cs="仿宋" w:asciiTheme="minorEastAsia" w:hAnsiTheme="minorEastAsia" w:eastAsiaTheme="minorEastAsia"/>
          <w:color w:val="000000" w:themeColor="text1"/>
          <w:highlight w:val="none"/>
          <w:u w:val="single"/>
          <w14:textFill>
            <w14:solidFill>
              <w14:schemeClr w14:val="tx1"/>
            </w14:solidFill>
          </w14:textFill>
        </w:rPr>
        <w:t xml:space="preserve">中型企业、小型企业、微型企业</w:t>
      </w:r>
      <w:r>
        <w:rPr>
          <w:rFonts w:hint="eastAsia" w:cs="仿宋" w:asciiTheme="minorEastAsia" w:hAnsiTheme="minorEastAsia" w:eastAsiaTheme="minorEastAsia"/>
          <w:color w:val="000000" w:themeColor="text1"/>
          <w:highlight w:val="none"/>
          <w14:textFill>
            <w14:solidFill>
              <w14:schemeClr w14:val="tx1"/>
            </w14:solidFill>
          </w14:textFill>
        </w:rPr>
        <w:t xml:space="preserve">）；</w:t>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w:t>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860"/>
        <w:ind w:right="72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p>
      <w:pPr>
        <w:pStyle w:val="860"/>
        <w:ind w:right="180" w:firstLine="360"/>
        <w:jc w:val="right"/>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企业名称（加盖CA电子公章）：</w:t>
      </w:r>
      <w:r/>
    </w:p>
    <w:p>
      <w:pPr>
        <w:pStyle w:val="860"/>
        <w:ind w:right="480" w:firstLine="540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日期：</w:t>
      </w:r>
      <w:r/>
    </w:p>
    <w:p>
      <w:pPr>
        <w:pStyle w:val="860"/>
        <w:ind w:firstLine="360"/>
        <w:jc w:val="both"/>
        <w:spacing w:before="0" w:beforeAutospacing="0" w:after="0" w:afterAutospacing="0" w:line="559"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6"/>
          <w:szCs w:val="36"/>
          <w:highlight w:val="none"/>
          <w14:textFill>
            <w14:solidFill>
              <w14:schemeClr w14:val="tx1"/>
            </w14:solidFill>
          </w14:textFill>
        </w:rPr>
        <w:t xml:space="preserve"> </w:t>
      </w:r>
      <w:r/>
    </w:p>
    <w:p>
      <w:pPr>
        <w:pStyle w:val="860"/>
        <w:jc w:val="both"/>
        <w:spacing w:before="0" w:beforeAutospacing="0" w:after="0" w:afterAutospacing="0"/>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备注：从业人员、营业收入、资产总额填报上一年度数据，无上一年度数据的新成立企业可不填报。供应商如不提供此声明函，价格将不做相应扣除。</w:t>
      </w:r>
      <w:r>
        <w:rPr>
          <w:rFonts w:hint="eastAsia" w:cs="仿宋" w:asciiTheme="minorEastAsia" w:hAnsiTheme="minorEastAsia" w:eastAsiaTheme="minorEastAsia"/>
          <w:color w:val="000000" w:themeColor="text1"/>
          <w:highlight w:val="none"/>
          <w14:textFill>
            <w14:solidFill>
              <w14:schemeClr w14:val="tx1"/>
            </w14:solidFill>
          </w14:textFill>
        </w:rPr>
        <w:br w:type="page" w:clear="all"/>
      </w:r>
      <w:r/>
    </w:p>
    <w:p>
      <w:pPr>
        <w:pStyle w:val="1054"/>
        <w:rPr>
          <w:rFonts w:hint="eastAsia" w:cs="仿宋" w:asciiTheme="minorEastAsia" w:hAnsiTheme="minorEastAsia" w:eastAsiaTheme="minorEastAsia"/>
          <w:color w:val="000000" w:themeColor="text1"/>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highlight w:val="none"/>
          <w14:textFill>
            <w14:solidFill>
              <w14:schemeClr w14:val="tx1"/>
            </w14:solidFill>
          </w14:textFill>
        </w:rPr>
      </w:r>
      <w:r/>
    </w:p>
    <w:p>
      <w:pPr>
        <w:ind w:left="-60" w:right="-81"/>
        <w:jc w:val="center"/>
        <w:spacing w:line="240" w:lineRule="atLeast"/>
        <w:rPr>
          <w:rFonts w:hint="eastAsia" w:ascii="仿宋" w:hAnsi="仿宋" w:eastAsia="仿宋"/>
          <w:b/>
          <w:color w:val="000000" w:themeColor="text1"/>
          <w:position w:val="-10"/>
          <w:sz w:val="30"/>
          <w:szCs w:val="30"/>
          <w:highlight w:val="none"/>
          <w14:textFill>
            <w14:solidFill>
              <w14:schemeClr w14:val="tx1"/>
            </w14:solidFill>
          </w14:textFill>
        </w:rPr>
      </w:pPr>
      <w:r/>
      <w:bookmarkStart w:id="50" w:name="_Toc476153619"/>
      <w:r>
        <w:rPr>
          <w:rFonts w:hint="eastAsia" w:ascii="仿宋" w:hAnsi="仿宋" w:eastAsia="仿宋"/>
          <w:b/>
          <w:color w:val="000000" w:themeColor="text1"/>
          <w:position w:val="-10"/>
          <w:sz w:val="30"/>
          <w:szCs w:val="30"/>
          <w:highlight w:val="none"/>
          <w14:textFill>
            <w14:solidFill>
              <w14:schemeClr w14:val="tx1"/>
            </w14:solidFill>
          </w14:textFill>
        </w:rPr>
        <w:t xml:space="preserve">中小企业划型标准</w:t>
      </w:r>
      <w:bookmarkEnd w:id="50"/>
      <w:r/>
      <w:r/>
    </w:p>
    <w:tbl>
      <w:tblPr>
        <w:tblStyle w:val="83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60" w:right="-81"/>
              <w:jc w:val="left"/>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营业收入</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从业人员</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总资产</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营业收入</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从业人员</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总资产</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营业收入</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99" w:right="-81" w:hanging="159"/>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从业人员</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总资产</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营业收入</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从业人员</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总资产</w:t>
            </w:r>
            <w:r/>
          </w:p>
          <w:p>
            <w:pPr>
              <w:ind w:left="-60" w:right="-81"/>
              <w:jc w:val="center"/>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bCs/>
                <w:color w:val="000000" w:themeColor="text1"/>
                <w:position w:val="-10"/>
                <w:sz w:val="20"/>
                <w:highlight w:val="none"/>
                <w14:textFill>
                  <w14:solidFill>
                    <w14:schemeClr w14:val="tx1"/>
                  </w14:solidFill>
                </w14:textFill>
              </w:rPr>
            </w:pPr>
            <w:r>
              <w:rPr>
                <w:rFonts w:hint="eastAsia" w:ascii="宋体" w:hAnsi="宋体" w:eastAsia="宋体"/>
                <w:b/>
                <w:bCs/>
                <w:color w:val="000000" w:themeColor="text1"/>
                <w:position w:val="-10"/>
                <w:sz w:val="20"/>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4" w:right="-81"/>
              <w:jc w:val="left"/>
              <w:spacing w:line="240" w:lineRule="atLeast"/>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33" w:right="-133"/>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ascii="宋体" w:hAnsi="宋体" w:eastAsia="宋体"/>
                <w:b/>
                <w:color w:val="000000" w:themeColor="text1"/>
                <w:position w:val="-10"/>
                <w:sz w:val="20"/>
                <w:highlight w:val="none"/>
                <w14:textFill>
                  <w14:solidFill>
                    <w14:schemeClr w14:val="tx1"/>
                  </w14:solidFill>
                </w14:textFill>
              </w:rPr>
            </w:pPr>
            <w:r>
              <w:rPr>
                <w:rFonts w:hint="eastAsia" w:ascii="宋体" w:hAnsi="宋体" w:eastAsia="宋体"/>
                <w:b/>
                <w:color w:val="000000" w:themeColor="text1"/>
                <w:position w:val="-10"/>
                <w:sz w:val="20"/>
                <w:highlight w:val="none"/>
                <w14:textFill>
                  <w14:solidFill>
                    <w14:schemeClr w14:val="tx1"/>
                  </w14:solidFill>
                </w14:textFill>
              </w:rPr>
              <w:t xml:space="preserve">　</w:t>
            </w:r>
            <w:r/>
          </w:p>
        </w:tc>
      </w:tr>
    </w:tbl>
    <w:p>
      <w:pPr>
        <w:pStyle w:val="1054"/>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hAnsi="宋体" w:eastAsia="宋体" w:cs="仿宋"/>
          <w:b/>
          <w:color w:val="000000" w:themeColor="text1"/>
          <w:position w:val="-10"/>
          <w:sz w:val="20"/>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cs="仿宋" w:asciiTheme="minorEastAsia" w:hAnsiTheme="minorEastAsia" w:eastAsiaTheme="minorEastAsia"/>
          <w:color w:val="000000" w:themeColor="text1"/>
          <w:highlight w:val="none"/>
          <w14:textFill>
            <w14:solidFill>
              <w14:schemeClr w14:val="tx1"/>
            </w14:solidFill>
          </w14:textFill>
        </w:rPr>
        <w:br w:type="page" w:clear="all"/>
      </w:r>
      <w:r/>
    </w:p>
    <w:p>
      <w:pPr>
        <w:ind w:firstLine="643"/>
        <w:jc w:val="center"/>
        <w:spacing w:line="460" w:lineRule="exact"/>
        <w:rPr>
          <w:rFonts w:hint="eastAsia" w:cs="仿宋" w:asciiTheme="minorEastAsia" w:hAnsiTheme="minorEastAsia" w:eastAsiaTheme="minorEastAsia"/>
          <w:b/>
          <w:color w:val="000000" w:themeColor="text1"/>
          <w:sz w:val="32"/>
          <w:szCs w:val="32"/>
          <w:highlight w:val="none"/>
          <w14:textFill>
            <w14:solidFill>
              <w14:schemeClr w14:val="tx1"/>
            </w14:solidFill>
          </w14:textFill>
        </w:rPr>
        <w:sectPr>
          <w:footnotePr/>
          <w:endnotePr/>
          <w:type w:val="nextPage"/>
          <w:pgSz w:w="16838" w:h="11906" w:orient="landscape"/>
          <w:pgMar w:top="1803" w:right="1440" w:bottom="1418" w:left="1440" w:header="680" w:footer="737" w:gutter="0"/>
          <w:cols w:num="1" w:sep="0" w:space="1701" w:equalWidth="1"/>
          <w:docGrid w:linePitch="360"/>
          <w:titlePg/>
        </w:sect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p>
    <w:p>
      <w:pPr>
        <w:ind w:firstLine="643"/>
        <w:jc w:val="center"/>
        <w:spacing w:line="460" w:lineRule="exact"/>
        <w:rPr>
          <w:rFonts w:hint="eastAsia" w:cs="仿宋" w:asciiTheme="minorEastAsia" w:hAnsiTheme="minorEastAsia" w:eastAsiaTheme="minorEastAsia"/>
          <w:color w:val="000000" w:themeColor="text1"/>
          <w:spacing w:val="6"/>
          <w:sz w:val="32"/>
          <w:szCs w:val="32"/>
          <w:highlight w:val="none"/>
          <w14:textFill>
            <w14:solidFill>
              <w14:schemeClr w14:val="tx1"/>
            </w14:solidFill>
          </w14:textFill>
        </w:rPr>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hint="eastAsia" w:cs="仿宋" w:asciiTheme="minorEastAsia" w:hAnsiTheme="minorEastAsia" w:eastAsiaTheme="minorEastAsia"/>
          <w:color w:val="000000" w:themeColor="text1"/>
          <w:sz w:val="21"/>
          <w:szCs w:val="16"/>
          <w:highlight w:val="none"/>
          <w14:textFill>
            <w14:solidFill>
              <w14:schemeClr w14:val="tx1"/>
            </w14:solidFill>
          </w14:textFill>
        </w:rPr>
      </w:pPr>
      <w:r>
        <w:rPr>
          <w:rFonts w:hint="eastAsia" w:cs="仿宋" w:asciiTheme="minorEastAsia" w:hAnsiTheme="minorEastAsia" w:eastAsiaTheme="minorEastAsia"/>
          <w:color w:val="000000" w:themeColor="text1"/>
          <w:sz w:val="21"/>
          <w:szCs w:val="16"/>
          <w:highlight w:val="none"/>
          <w14:textFill>
            <w14:solidFill>
              <w14:schemeClr w14:val="tx1"/>
            </w14:solidFill>
          </w14:textFill>
        </w:rPr>
      </w:r>
      <w:r/>
    </w:p>
    <w:p>
      <w:pPr>
        <w:pStyle w:val="860"/>
        <w:ind w:firstLine="480"/>
        <w:jc w:val="both"/>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860"/>
        <w:ind w:firstLine="480"/>
        <w:jc w:val="both"/>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本单位对上述声明的真实性负责。如有虚假，将依法承担相应责任。</w:t>
      </w:r>
      <w:r/>
    </w:p>
    <w:p>
      <w:pPr>
        <w:pStyle w:val="860"/>
        <w:ind w:firstLine="480"/>
        <w:jc w:val="both"/>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p>
    <w:p>
      <w:pPr>
        <w:pStyle w:val="860"/>
        <w:ind w:firstLine="480"/>
        <w:jc w:val="both"/>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pStyle w:val="860"/>
        <w:ind w:firstLine="624"/>
        <w:jc w:val="both"/>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highlight w:val="none"/>
          <w14:textFill>
            <w14:solidFill>
              <w14:schemeClr w14:val="tx1"/>
            </w14:solidFill>
          </w14:textFill>
        </w:rPr>
        <w:t xml:space="preserve"> </w:t>
      </w:r>
      <w:r/>
    </w:p>
    <w:p>
      <w:pPr>
        <w:pStyle w:val="860"/>
        <w:ind w:right="1560" w:firstLine="624"/>
        <w:jc w:val="center"/>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highlight w:val="none"/>
          <w14:textFill>
            <w14:solidFill>
              <w14:schemeClr w14:val="tx1"/>
            </w14:solidFill>
          </w14:textFill>
        </w:rPr>
        <w:t xml:space="preserve">             </w:t>
      </w: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供应商全称（加盖CA电子公章）：</w:t>
      </w:r>
      <w:r/>
    </w:p>
    <w:p>
      <w:pPr>
        <w:pStyle w:val="860"/>
        <w:ind w:right="1560" w:firstLine="480"/>
        <w:jc w:val="center"/>
        <w:spacing w:before="0" w:beforeAutospacing="0" w:after="0" w:afterAutospacing="0" w:line="587" w:lineRule="atLeast"/>
        <w:rPr>
          <w:rFonts w:hint="eastAsia" w:cs="仿宋"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highlight w:val="none"/>
          <w14:textFill>
            <w14:solidFill>
              <w14:schemeClr w14:val="tx1"/>
            </w14:solidFill>
          </w14:textFill>
        </w:rPr>
        <w:t xml:space="preserve">  </w:t>
      </w:r>
      <w:r>
        <w:rPr>
          <w:rFonts w:hint="eastAsia" w:cs="仿宋" w:asciiTheme="minorEastAsia" w:hAnsiTheme="minorEastAsia" w:eastAsiaTheme="minorEastAsia"/>
          <w:color w:val="000000" w:themeColor="text1"/>
          <w:highlight w:val="none"/>
          <w14:textFill>
            <w14:solidFill>
              <w14:schemeClr w14:val="tx1"/>
            </w14:solidFill>
          </w14:textFill>
        </w:rPr>
        <w:t xml:space="preserve">日期：</w:t>
      </w:r>
      <w:r/>
    </w:p>
    <w:p>
      <w:pPr>
        <w:ind w:right="1560" w:firstLine="480"/>
        <w:jc w:val="center"/>
        <w:spacing w:line="588" w:lineRule="exact"/>
        <w:tabs>
          <w:tab w:val="left" w:pos="4860" w:leader="none"/>
        </w:tabs>
        <w:rPr>
          <w:rFonts w:hint="eastAsia" w:cs="仿宋" w:asciiTheme="minorEastAsia" w:hAnsiTheme="minorEastAsia" w:eastAsiaTheme="minorEastAsia"/>
          <w:color w:val="000000" w:themeColor="text1"/>
          <w:sz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14:textFill>
            <w14:solidFill>
              <w14:schemeClr w14:val="tx1"/>
            </w14:solidFill>
          </w14:textFill>
        </w:rPr>
      </w:r>
      <w:r/>
    </w:p>
    <w:p>
      <w:pPr>
        <w:ind w:firstLine="480"/>
        <w:spacing w:line="500" w:lineRule="exact"/>
        <w:rPr>
          <w:rFonts w:hint="eastAsia" w:cs="仿宋" w:asciiTheme="minorEastAsia" w:hAnsiTheme="minorEastAsia" w:eastAsiaTheme="minorEastAsia"/>
          <w:bCs/>
          <w:color w:val="000000" w:themeColor="text1"/>
          <w:sz w:val="24"/>
          <w:highlight w:val="none"/>
          <w14:textFill>
            <w14:solidFill>
              <w14:schemeClr w14:val="tx1"/>
            </w14:solidFill>
          </w14:textFill>
        </w:rPr>
        <w:outlineLvl w:val="0"/>
      </w:pPr>
      <w:r>
        <w:rPr>
          <w:rFonts w:hint="eastAsia" w:cs="仿宋" w:asciiTheme="minorEastAsia" w:hAnsiTheme="minorEastAsia" w:eastAsiaTheme="minorEastAsia"/>
          <w:bCs/>
          <w:color w:val="000000" w:themeColor="text1"/>
          <w:sz w:val="24"/>
          <w:highlight w:val="none"/>
          <w14:textFill>
            <w14:solidFill>
              <w14:schemeClr w14:val="tx1"/>
            </w14:solidFill>
          </w14:textFill>
        </w:rPr>
      </w:r>
      <w:r/>
    </w:p>
    <w:p>
      <w:pPr>
        <w:ind w:firstLine="420"/>
        <w:rPr>
          <w:rFonts w:hint="eastAsia" w:cs="仿宋" w:asciiTheme="minorEastAsia" w:hAnsiTheme="minorEastAsia" w:eastAsiaTheme="minorEastAsia"/>
          <w:bCs/>
          <w:color w:val="000000" w:themeColor="text1"/>
          <w:sz w:val="24"/>
          <w:szCs w:val="24"/>
          <w:highlight w:val="none"/>
          <w14:textFill>
            <w14:solidFill>
              <w14:schemeClr w14:val="tx1"/>
            </w14:solidFill>
          </w14:textFill>
        </w:rPr>
        <w:outlineLvl w:val="0"/>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r>
      <w:r/>
    </w:p>
    <w:p>
      <w:pPr>
        <w:ind w:firstLine="420"/>
        <w:rPr>
          <w:rFonts w:hint="eastAsia" w:cs="仿宋" w:asciiTheme="minorEastAsia" w:hAnsiTheme="minorEastAsia" w:eastAsiaTheme="minorEastAsia"/>
          <w:bCs/>
          <w:color w:val="000000" w:themeColor="text1"/>
          <w:sz w:val="24"/>
          <w:szCs w:val="24"/>
          <w:highlight w:val="none"/>
          <w14:textFill>
            <w14:solidFill>
              <w14:schemeClr w14:val="tx1"/>
            </w14:solidFill>
          </w14:textFill>
        </w:rPr>
        <w:outlineLvl w:val="0"/>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1056"/>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spacing w:line="360" w:lineRule="auto"/>
        <w:rPr>
          <w:rFonts w:hint="eastAsia" w:cs="仿宋" w:asciiTheme="minorEastAsia" w:hAnsiTheme="minorEastAsia" w:eastAsiaTheme="minorEastAsia"/>
          <w:b/>
          <w:bCs/>
          <w:color w:val="000000" w:themeColor="text1"/>
          <w:sz w:val="28"/>
          <w:highlight w:val="none"/>
          <w14:textFill>
            <w14:solidFill>
              <w14:schemeClr w14:val="tx1"/>
            </w14:solidFill>
          </w14:textFill>
        </w:rPr>
      </w:pPr>
      <w:r>
        <w:rPr>
          <w:rFonts w:hint="eastAsia" w:cs="仿宋" w:asciiTheme="minorEastAsia" w:hAnsiTheme="minorEastAsia" w:eastAsiaTheme="minorEastAsia"/>
          <w:b/>
          <w:bCs/>
          <w:color w:val="000000" w:themeColor="text1"/>
          <w:sz w:val="28"/>
          <w:highlight w:val="none"/>
          <w14:textFill>
            <w14:solidFill>
              <w14:schemeClr w14:val="tx1"/>
            </w14:solidFill>
          </w14:textFill>
        </w:rPr>
      </w:r>
      <w:r/>
    </w:p>
    <w:p>
      <w:pPr>
        <w:jc w:val="center"/>
        <w:rPr>
          <w:rFonts w:hint="eastAsia" w:ascii="方正魏碑_GBK" w:hAnsi="方正魏碑_GBK" w:eastAsia="方正魏碑_GBK" w:cs="方正魏碑_GBK"/>
          <w:color w:val="ff0000"/>
          <w:sz w:val="24"/>
          <w:szCs w:val="24"/>
          <w:highlight w:val="none"/>
        </w:rPr>
      </w:pPr>
      <w:r>
        <w:rPr>
          <w:rFonts w:hint="eastAsia" w:ascii="方正魏碑_GBK" w:hAnsi="方正魏碑_GBK" w:eastAsia="方正魏碑_GBK" w:cs="方正魏碑_GBK"/>
          <w:b/>
          <w:color w:val="ff0000"/>
          <w:sz w:val="24"/>
          <w:szCs w:val="24"/>
          <w:highlight w:val="none"/>
        </w:rPr>
        <w:t xml:space="preserve">关于符合本国产品标准的声明函（采购包号：**）</w:t>
      </w:r>
      <w:r/>
    </w:p>
    <w:p>
      <w:pPr>
        <w:pStyle w:val="86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0"/>
        <w:ind w:firstLine="420"/>
        <w:spacing w:before="0" w:beforeAutospacing="0" w:after="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shd w:val="clear" w:color="auto" w:fill="ffffff"/>
        </w:rPr>
        <w:t xml:space="preserve">1.</w:t>
      </w:r>
      <w:r>
        <w:rPr>
          <w:rStyle w:val="866"/>
          <w:rFonts w:hint="eastAsia" w:ascii="方正魏碑_GBK" w:hAnsi="方正魏碑_GBK" w:eastAsia="方正魏碑_GBK" w:cs="方正魏碑_GBK"/>
          <w:i w:val="0"/>
          <w:color w:val="ff0000"/>
          <w:highlight w:val="none"/>
          <w:u w:val="single"/>
          <w:shd w:val="clear" w:color="auto" w:fill="ffffff"/>
        </w:rPr>
        <w:t xml:space="preserve">（产品名称1）</w:t>
      </w:r>
      <w:r>
        <w:rPr>
          <w:rStyle w:val="866"/>
          <w:rFonts w:hint="eastAsia" w:ascii="方正魏碑_GBK" w:hAnsi="方正魏碑_GBK" w:eastAsia="方正魏碑_GBK" w:cs="方正魏碑_GBK"/>
          <w:i w:val="0"/>
          <w:color w:val="ff0000"/>
          <w:highlight w:val="none"/>
          <w:shd w:val="clear" w:color="auto" w:fill="ffffff"/>
          <w:vertAlign w:val="superscript"/>
        </w:rPr>
        <w:t xml:space="preserve">1</w:t>
      </w:r>
      <w:r>
        <w:rPr>
          <w:rFonts w:hint="eastAsia" w:ascii="方正魏碑_GBK" w:hAnsi="方正魏碑_GBK" w:eastAsia="方正魏碑_GBK" w:cs="方正魏碑_GBK"/>
          <w:color w:val="ff0000"/>
          <w:highlight w:val="none"/>
          <w:shd w:val="clear" w:color="auto" w:fill="ffffff"/>
        </w:rPr>
        <w:t xml:space="preserve">，生产厂为</w:t>
      </w:r>
      <w:r>
        <w:rPr>
          <w:rStyle w:val="866"/>
          <w:rFonts w:hint="eastAsia" w:ascii="方正魏碑_GBK" w:hAnsi="方正魏碑_GBK" w:eastAsia="方正魏碑_GBK" w:cs="方正魏碑_GBK"/>
          <w:i w:val="0"/>
          <w:color w:val="ff0000"/>
          <w:highlight w:val="none"/>
          <w:u w:val="single"/>
          <w:shd w:val="clear" w:color="auto" w:fill="ffffff"/>
        </w:rPr>
        <w:t xml:space="preserve">（厂名）</w:t>
      </w:r>
      <w:r>
        <w:rPr>
          <w:rStyle w:val="866"/>
          <w:rFonts w:hint="eastAsia" w:ascii="方正魏碑_GBK" w:hAnsi="方正魏碑_GBK" w:eastAsia="方正魏碑_GBK" w:cs="方正魏碑_GBK"/>
          <w:i w:val="0"/>
          <w:color w:val="ff0000"/>
          <w:highlight w:val="none"/>
          <w:shd w:val="clear" w:color="auto" w:fill="ffffff"/>
          <w:vertAlign w:val="superscript"/>
        </w:rPr>
        <w:t xml:space="preserve">2</w:t>
      </w:r>
      <w:r>
        <w:rPr>
          <w:rFonts w:hint="eastAsia" w:ascii="方正魏碑_GBK" w:hAnsi="方正魏碑_GBK" w:eastAsia="方正魏碑_GBK" w:cs="方正魏碑_GBK"/>
          <w:color w:val="ff0000"/>
          <w:highlight w:val="none"/>
          <w:shd w:val="clear" w:color="auto" w:fill="ffffff"/>
        </w:rPr>
        <w:t xml:space="preserve">，厂址为</w:t>
      </w:r>
      <w:r>
        <w:rPr>
          <w:rStyle w:val="866"/>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u w:val="single"/>
          <w:shd w:val="clear" w:color="auto" w:fill="ffffff"/>
        </w:rPr>
        <w:t xml:space="preserve"> </w:t>
      </w:r>
      <w:r>
        <w:rPr>
          <w:rStyle w:val="866"/>
          <w:rFonts w:hint="eastAsia" w:ascii="方正魏碑_GBK" w:hAnsi="方正魏碑_GBK" w:eastAsia="方正魏碑_GBK" w:cs="方正魏碑_GBK"/>
          <w:i w:val="0"/>
          <w:color w:val="ff0000"/>
          <w:highlight w:val="none"/>
          <w:u w:val="single"/>
          <w:shd w:val="clear" w:color="auto" w:fill="ffffff"/>
        </w:rPr>
        <w:t xml:space="preserve">（产品名称1） </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866"/>
          <w:rFonts w:hint="eastAsia" w:ascii="方正魏碑_GBK" w:hAnsi="方正魏碑_GBK" w:eastAsia="方正魏碑_GBK" w:cs="方正魏碑_GBK"/>
          <w:i w:val="0"/>
          <w:color w:val="ff0000"/>
          <w:highlight w:val="none"/>
          <w:u w:val="single"/>
          <w:shd w:val="clear" w:color="auto" w:fill="ffffff"/>
        </w:rPr>
        <w:t xml:space="preserve">（规定</w:t>
      </w:r>
      <w:r>
        <w:rPr>
          <w:rStyle w:val="866"/>
          <w:rFonts w:ascii="方正魏碑_GBK" w:hAnsi="方正魏碑_GBK" w:eastAsia="方正魏碑_GBK" w:cs="方正魏碑_GBK"/>
          <w:i w:val="0"/>
          <w:color w:val="ff0000"/>
          <w:highlight w:val="none"/>
          <w:u w:val="single"/>
          <w:shd w:val="clear" w:color="auto" w:fill="ffffff"/>
        </w:rPr>
        <w:t xml:space="preserve">比例</w:t>
      </w:r>
      <w:r>
        <w:rPr>
          <w:rStyle w:val="866"/>
          <w:rFonts w:hint="eastAsia" w:ascii="方正魏碑_GBK" w:hAnsi="方正魏碑_GBK" w:eastAsia="方正魏碑_GBK" w:cs="方正魏碑_GBK"/>
          <w:i w:val="0"/>
          <w:color w:val="ff0000"/>
          <w:highlight w:val="none"/>
          <w:u w:val="single"/>
          <w:shd w:val="clear" w:color="auto" w:fill="ffffff"/>
        </w:rPr>
        <w:t xml:space="preserve">）</w:t>
      </w:r>
      <w:r>
        <w:rPr>
          <w:rStyle w:val="866"/>
          <w:rFonts w:hint="eastAsia" w:ascii="方正魏碑_GBK" w:hAnsi="方正魏碑_GBK" w:eastAsia="方正魏碑_GBK" w:cs="方正魏碑_GBK"/>
          <w:i w:val="0"/>
          <w:color w:val="ff0000"/>
          <w:highlight w:val="none"/>
          <w:shd w:val="clear" w:color="auto" w:fill="ffffff"/>
          <w:vertAlign w:val="superscript"/>
        </w:rPr>
        <w:t xml:space="preserve">3</w:t>
      </w:r>
      <w:r>
        <w:rPr>
          <w:rFonts w:hint="eastAsia" w:ascii="方正魏碑_GBK" w:hAnsi="方正魏碑_GBK" w:eastAsia="方正魏碑_GBK" w:cs="方正魏碑_GBK"/>
          <w:color w:val="ff0000"/>
          <w:highlight w:val="none"/>
          <w:shd w:val="clear" w:color="auto" w:fill="ffffff"/>
        </w:rPr>
        <w:t xml:space="preserve">。</w:t>
      </w:r>
      <w:r>
        <w:rPr>
          <w:rStyle w:val="866"/>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866"/>
          <w:rFonts w:hint="eastAsia" w:ascii="方正魏碑_GBK" w:hAnsi="方正魏碑_GBK" w:eastAsia="方正魏碑_GBK" w:cs="方正魏碑_GBK"/>
          <w:i w:val="0"/>
          <w:color w:val="ff0000"/>
          <w:highlight w:val="none"/>
          <w:u w:val="single"/>
          <w:shd w:val="clear" w:color="auto" w:fill="ffffff"/>
        </w:rPr>
        <w:t xml:space="preserve">（关键</w:t>
      </w:r>
      <w:r>
        <w:rPr>
          <w:rStyle w:val="866"/>
          <w:rFonts w:ascii="方正魏碑_GBK" w:hAnsi="方正魏碑_GBK" w:eastAsia="方正魏碑_GBK" w:cs="方正魏碑_GBK"/>
          <w:i w:val="0"/>
          <w:color w:val="ff0000"/>
          <w:highlight w:val="none"/>
          <w:u w:val="single"/>
          <w:shd w:val="clear" w:color="auto" w:fill="ffffff"/>
        </w:rPr>
        <w:t xml:space="preserve">组件</w:t>
      </w:r>
      <w:r>
        <w:rPr>
          <w:rStyle w:val="866"/>
          <w:rFonts w:hint="eastAsia" w:ascii="方正魏碑_GBK" w:hAnsi="方正魏碑_GBK" w:eastAsia="方正魏碑_GBK" w:cs="方正魏碑_GBK"/>
          <w:i w:val="0"/>
          <w:color w:val="ff0000"/>
          <w:highlight w:val="none"/>
          <w:u w:val="single"/>
          <w:shd w:val="clear" w:color="auto" w:fill="ffffff"/>
        </w:rPr>
        <w:t xml:space="preserve">）</w:t>
      </w:r>
      <w:r>
        <w:rPr>
          <w:rStyle w:val="866"/>
          <w:rFonts w:hint="eastAsia" w:ascii="方正魏碑_GBK" w:hAnsi="方正魏碑_GBK" w:eastAsia="方正魏碑_GBK" w:cs="方正魏碑_GBK"/>
          <w:i w:val="0"/>
          <w:color w:val="ff0000"/>
          <w:highlight w:val="none"/>
          <w:shd w:val="clear" w:color="auto" w:fill="ffffff"/>
          <w:vertAlign w:val="superscript"/>
        </w:rPr>
        <w:t xml:space="preserve">4</w:t>
      </w:r>
      <w:r>
        <w:rPr>
          <w:rFonts w:hint="eastAsia" w:ascii="方正魏碑_GBK" w:hAnsi="方正魏碑_GBK" w:eastAsia="方正魏碑_GBK" w:cs="方正魏碑_GBK"/>
          <w:color w:val="ff0000"/>
          <w:highlight w:val="none"/>
          <w:shd w:val="clear" w:color="auto" w:fill="ffffff"/>
        </w:rPr>
        <w:t xml:space="preserve">在中国境内生产。</w:t>
      </w:r>
      <w:r>
        <w:rPr>
          <w:rStyle w:val="866"/>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866"/>
          <w:rFonts w:hint="eastAsia" w:ascii="方正魏碑_GBK" w:hAnsi="方正魏碑_GBK" w:eastAsia="方正魏碑_GBK" w:cs="方正魏碑_GBK"/>
          <w:i w:val="0"/>
          <w:color w:val="ff0000"/>
          <w:highlight w:val="none"/>
          <w:u w:val="single"/>
          <w:shd w:val="clear" w:color="auto" w:fill="ffffff"/>
        </w:rPr>
        <w:t xml:space="preserve">（关键工序）</w:t>
      </w:r>
      <w:r>
        <w:rPr>
          <w:rStyle w:val="866"/>
          <w:rFonts w:hint="eastAsia" w:ascii="方正魏碑_GBK" w:hAnsi="方正魏碑_GBK" w:eastAsia="方正魏碑_GBK" w:cs="方正魏碑_GBK"/>
          <w:i w:val="0"/>
          <w:color w:val="ff0000"/>
          <w:highlight w:val="none"/>
          <w:shd w:val="clear" w:color="auto" w:fill="ffffff"/>
          <w:vertAlign w:val="superscript"/>
        </w:rPr>
        <w:t xml:space="preserve">5</w:t>
      </w:r>
      <w:r>
        <w:rPr>
          <w:rFonts w:hint="eastAsia" w:ascii="方正魏碑_GBK" w:hAnsi="方正魏碑_GBK" w:eastAsia="方正魏碑_GBK" w:cs="方正魏碑_GBK"/>
          <w:color w:val="ff0000"/>
          <w:highlight w:val="none"/>
          <w:shd w:val="clear" w:color="auto" w:fill="ffffff"/>
        </w:rPr>
        <w:t xml:space="preserve">在中国境内完成。</w:t>
      </w:r>
      <w:r/>
    </w:p>
    <w:p>
      <w:pPr>
        <w:pStyle w:val="860"/>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20" name="直接箭头连接符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1" name="直接箭头连接符 2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highlight w:val="none"/>
          <w:shd w:val="clear" w:color="auto" w:fill="ffffff"/>
        </w:rPr>
        <w:t xml:space="preserve">2.</w:t>
      </w:r>
      <w:r>
        <w:rPr>
          <w:rStyle w:val="866"/>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，生产厂为</w:t>
      </w:r>
      <w:r>
        <w:rPr>
          <w:rStyle w:val="866"/>
          <w:rFonts w:hint="eastAsia" w:ascii="方正魏碑_GBK" w:hAnsi="方正魏碑_GBK" w:eastAsia="方正魏碑_GBK" w:cs="方正魏碑_GBK"/>
          <w:i w:val="0"/>
          <w:color w:val="ff0000"/>
          <w:highlight w:val="none"/>
          <w:u w:val="single"/>
          <w:shd w:val="clear" w:color="auto" w:fill="ffffff"/>
        </w:rPr>
        <w:t xml:space="preserve">（厂名）</w:t>
      </w:r>
      <w:r>
        <w:rPr>
          <w:rFonts w:hint="eastAsia" w:ascii="方正魏碑_GBK" w:hAnsi="方正魏碑_GBK" w:eastAsia="方正魏碑_GBK" w:cs="方正魏碑_GBK"/>
          <w:color w:val="ff0000"/>
          <w:highlight w:val="none"/>
          <w:shd w:val="clear" w:color="auto" w:fill="ffffff"/>
        </w:rPr>
        <w:t xml:space="preserve">，厂址为</w:t>
      </w:r>
      <w:r>
        <w:rPr>
          <w:rStyle w:val="866"/>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866"/>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866"/>
          <w:rFonts w:hint="eastAsia" w:ascii="方正魏碑_GBK" w:hAnsi="方正魏碑_GBK" w:eastAsia="方正魏碑_GBK" w:cs="方正魏碑_GBK"/>
          <w:i w:val="0"/>
          <w:color w:val="ff0000"/>
          <w:highlight w:val="none"/>
          <w:u w:val="single"/>
          <w:shd w:val="clear" w:color="auto" w:fill="ffffff"/>
        </w:rPr>
        <w:t xml:space="preserve">（规定</w:t>
      </w:r>
      <w:r>
        <w:rPr>
          <w:rStyle w:val="866"/>
          <w:rFonts w:ascii="方正魏碑_GBK" w:hAnsi="方正魏碑_GBK" w:eastAsia="方正魏碑_GBK" w:cs="方正魏碑_GBK"/>
          <w:i w:val="0"/>
          <w:color w:val="ff0000"/>
          <w:highlight w:val="none"/>
          <w:u w:val="single"/>
          <w:shd w:val="clear" w:color="auto" w:fill="ffffff"/>
        </w:rPr>
        <w:t xml:space="preserve">比例</w:t>
      </w:r>
      <w:r>
        <w:rPr>
          <w:rStyle w:val="866"/>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w:t>
      </w:r>
      <w:r>
        <w:rPr>
          <w:rStyle w:val="866"/>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866"/>
          <w:rFonts w:hint="eastAsia" w:ascii="方正魏碑_GBK" w:hAnsi="方正魏碑_GBK" w:eastAsia="方正魏碑_GBK" w:cs="方正魏碑_GBK"/>
          <w:i w:val="0"/>
          <w:color w:val="ff0000"/>
          <w:highlight w:val="none"/>
          <w:u w:val="single"/>
          <w:shd w:val="clear" w:color="auto" w:fill="ffffff"/>
        </w:rPr>
        <w:t xml:space="preserve">（关键</w:t>
      </w:r>
      <w:r>
        <w:rPr>
          <w:rStyle w:val="866"/>
          <w:rFonts w:ascii="方正魏碑_GBK" w:hAnsi="方正魏碑_GBK" w:eastAsia="方正魏碑_GBK" w:cs="方正魏碑_GBK"/>
          <w:i w:val="0"/>
          <w:color w:val="ff0000"/>
          <w:highlight w:val="none"/>
          <w:u w:val="single"/>
          <w:shd w:val="clear" w:color="auto" w:fill="ffffff"/>
        </w:rPr>
        <w:t xml:space="preserve">组件</w:t>
      </w:r>
      <w:r>
        <w:rPr>
          <w:rStyle w:val="866"/>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在中国境内生产。</w:t>
      </w:r>
      <w:r>
        <w:rPr>
          <w:rStyle w:val="866"/>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866"/>
          <w:rFonts w:hint="eastAsia" w:ascii="方正魏碑_GBK" w:hAnsi="方正魏碑_GBK" w:eastAsia="方正魏碑_GBK" w:cs="方正魏碑_GBK"/>
          <w:i w:val="0"/>
          <w:color w:val="ff0000"/>
          <w:highlight w:val="none"/>
          <w:u w:val="single"/>
          <w:shd w:val="clear" w:color="auto" w:fill="ffffff"/>
        </w:rPr>
        <w:t xml:space="preserve">（关键工序）</w:t>
      </w:r>
      <w:r>
        <w:rPr>
          <w:rFonts w:hint="eastAsia" w:ascii="方正魏碑_GBK" w:hAnsi="方正魏碑_GBK" w:eastAsia="方正魏碑_GBK" w:cs="方正魏碑_GBK"/>
          <w:color w:val="ff0000"/>
          <w:highlight w:val="none"/>
          <w:shd w:val="clear" w:color="auto" w:fill="ffffff"/>
        </w:rPr>
        <w:t xml:space="preserve">在中国境内完成。</w:t>
      </w:r>
      <w:r/>
    </w:p>
    <w:p>
      <w:pPr>
        <w:pStyle w:val="860"/>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w:t>
      </w:r>
      <w:r/>
    </w:p>
    <w:p>
      <w:pPr>
        <w:pStyle w:val="860"/>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本公司（单位）对上述声明内容的真实性负责。如有虚假，愿承担相应法律责任。</w:t>
      </w:r>
      <w:r/>
    </w:p>
    <w:p>
      <w:pPr>
        <w:pStyle w:val="86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860"/>
        <w:ind w:right="480" w:firstLine="37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公司（单位）名称（盖章）：　        </w:t>
      </w:r>
      <w:r/>
    </w:p>
    <w:p>
      <w:pPr>
        <w:pStyle w:val="860"/>
        <w:jc w:val="center"/>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                    </w:t>
      </w:r>
      <w:r>
        <w:rPr>
          <w:rFonts w:ascii="方正魏碑_GBK" w:hAnsi="方正魏碑_GBK" w:eastAsia="方正魏碑_GBK" w:cs="方正魏碑_GBK"/>
          <w:color w:val="ff0000"/>
          <w:highlight w:val="none"/>
          <w:shd w:val="clear" w:color="auto" w:fill="ffffff"/>
        </w:rPr>
        <w:t xml:space="preserve">            </w:t>
      </w:r>
      <w:r>
        <w:rPr>
          <w:rFonts w:hint="eastAsia" w:ascii="方正魏碑_GBK" w:hAnsi="方正魏碑_GBK" w:eastAsia="方正魏碑_GBK" w:cs="方正魏碑_GBK"/>
          <w:color w:val="ff0000"/>
          <w:highlight w:val="none"/>
          <w:shd w:val="clear" w:color="auto" w:fill="ffffff"/>
        </w:rPr>
        <w:t xml:space="preserve">日期：　   年　  月　  日         </w:t>
      </w:r>
      <w:r/>
    </w:p>
    <w:p>
      <w:pPr>
        <w:pStyle w:val="86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__________________</w:t>
      </w:r>
      <w:r/>
    </w:p>
    <w:p>
      <w:pPr>
        <w:pStyle w:val="860"/>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1.产品如有型号，请在“产品名称”栏一并填写。</w:t>
      </w:r>
      <w:r/>
    </w:p>
    <w:p>
      <w:pPr>
        <w:pStyle w:val="860"/>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2.生产厂名与厂址应与生产厂营业执照载明的相关信息保持一致。</w:t>
      </w:r>
      <w:r/>
    </w:p>
    <w:p>
      <w:pPr>
        <w:pStyle w:val="860"/>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3.该产品的中国境内生产的组件成本占比相关要求实施前，“规定比例”栏可不填，下同。</w:t>
      </w:r>
      <w:r/>
    </w:p>
    <w:p>
      <w:pPr>
        <w:pStyle w:val="860"/>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4.该产品的关键组件要求实施前，“关键组件”栏可不填，下同。</w:t>
      </w:r>
      <w:r/>
    </w:p>
    <w:p>
      <w:pPr>
        <w:pStyle w:val="860"/>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5.该产品的关键工序要求实施前，“关键工序”栏可不填，下同。</w:t>
      </w:r>
      <w:r/>
    </w:p>
    <w:p>
      <w:pPr>
        <w:pStyle w:val="860"/>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6.用斜线划除的地方无需填写。</w:t>
      </w:r>
      <w:r/>
    </w:p>
    <w:p>
      <w:pPr>
        <w:jc w:val="center"/>
        <w:spacing w:line="360" w:lineRule="auto"/>
        <w:rPr>
          <w:rFonts w:hint="eastAsia" w:cs="仿宋" w:asciiTheme="minorEastAsia" w:hAnsiTheme="minorEastAsia" w:eastAsiaTheme="minorEastAsia"/>
          <w:color w:val="000000" w:themeColor="text1"/>
          <w:sz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14:textFill>
            <w14:solidFill>
              <w14:schemeClr w14:val="tx1"/>
            </w14:solidFill>
          </w14:textFill>
        </w:rPr>
      </w:r>
      <w:r/>
    </w:p>
    <w:p>
      <w:pPr>
        <w:jc w:val="center"/>
        <w:spacing w:line="360" w:lineRule="auto"/>
        <w:rPr>
          <w:rFonts w:hint="eastAsia" w:cs="仿宋" w:asciiTheme="minorEastAsia" w:hAnsiTheme="minorEastAsia" w:eastAsiaTheme="minorEastAsia"/>
          <w:color w:val="000000" w:themeColor="text1"/>
          <w:sz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14:textFill>
            <w14:solidFill>
              <w14:schemeClr w14:val="tx1"/>
            </w14:solidFill>
          </w14:textFill>
        </w:rPr>
      </w:r>
      <w:r/>
    </w:p>
    <w:p>
      <w:pPr>
        <w:jc w:val="center"/>
        <w:spacing w:line="360" w:lineRule="auto"/>
        <w:rPr>
          <w:rFonts w:hint="eastAsia" w:cs="仿宋" w:asciiTheme="minorEastAsia" w:hAnsiTheme="minorEastAsia" w:eastAsiaTheme="minorEastAsia"/>
          <w:color w:val="000000" w:themeColor="text1"/>
          <w:sz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63"/>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1059"/>
        <w:rPr>
          <w:rFonts w:hint="eastAsia" w:cs="仿宋" w:asciiTheme="minorEastAsia" w:hAnsiTheme="minorEastAsia" w:eastAsiaTheme="minorEastAsia"/>
          <w:b/>
          <w:color w:val="000000" w:themeColor="text1"/>
          <w:spacing w:val="20"/>
          <w:sz w:val="24"/>
          <w:szCs w:val="22"/>
          <w:highlight w:val="none"/>
          <w14:textFill>
            <w14:solidFill>
              <w14:schemeClr w14:val="tx1"/>
            </w14:solidFill>
          </w14:textFill>
        </w:rPr>
      </w:pPr>
      <w:r>
        <w:rPr>
          <w:rFonts w:hint="eastAsia" w:cs="仿宋" w:asciiTheme="minorEastAsia" w:hAnsiTheme="minorEastAsia" w:eastAsiaTheme="minorEastAsia"/>
          <w:b/>
          <w:color w:val="000000" w:themeColor="text1"/>
          <w:spacing w:val="20"/>
          <w:sz w:val="24"/>
          <w:szCs w:val="22"/>
          <w:highlight w:val="none"/>
          <w14:textFill>
            <w14:solidFill>
              <w14:schemeClr w14:val="tx1"/>
            </w14:solidFill>
          </w14:textFill>
        </w:rPr>
      </w:r>
      <w:r/>
    </w:p>
    <w:p>
      <w:pPr>
        <w:pStyle w:val="1059"/>
        <w:rPr>
          <w:rFonts w:hint="eastAsia" w:cs="仿宋" w:asciiTheme="minorEastAsia" w:hAnsiTheme="minorEastAsia" w:eastAsiaTheme="minorEastAsia"/>
          <w:b/>
          <w:color w:val="000000" w:themeColor="text1"/>
          <w:spacing w:val="20"/>
          <w:sz w:val="24"/>
          <w:szCs w:val="22"/>
          <w:highlight w:val="none"/>
          <w14:textFill>
            <w14:solidFill>
              <w14:schemeClr w14:val="tx1"/>
            </w14:solidFill>
          </w14:textFill>
        </w:rPr>
      </w:pPr>
      <w:r>
        <w:rPr>
          <w:rFonts w:hint="eastAsia" w:cs="仿宋" w:asciiTheme="minorEastAsia" w:hAnsiTheme="minorEastAsia" w:eastAsiaTheme="minorEastAsia"/>
          <w:b/>
          <w:color w:val="000000" w:themeColor="text1"/>
          <w:spacing w:val="20"/>
          <w:sz w:val="24"/>
          <w:szCs w:val="22"/>
          <w:highlight w:val="none"/>
          <w14:textFill>
            <w14:solidFill>
              <w14:schemeClr w14:val="tx1"/>
            </w14:solidFill>
          </w14:textFill>
        </w:rPr>
      </w:r>
      <w:r/>
    </w:p>
    <w:p>
      <w:pPr>
        <w:jc w:val="center"/>
        <w:rPr>
          <w:rFonts w:hint="eastAsia" w:cs="仿宋"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bCs/>
          <w:color w:val="000000" w:themeColor="text1"/>
          <w:sz w:val="32"/>
          <w:szCs w:val="32"/>
          <w:highlight w:val="none"/>
          <w14:textFill>
            <w14:solidFill>
              <w14:schemeClr w14:val="tx1"/>
            </w14:solidFill>
          </w14:textFill>
        </w:rPr>
        <w:t xml:space="preserve">质疑函范本</w:t>
      </w:r>
      <w:r/>
    </w:p>
    <w:p>
      <w:pPr>
        <w:spacing w:before="240"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质疑供应商：</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地址：邮编：</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联系人：联系电话：</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授权代表：</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联系电话：</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地址： 邮编：</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质疑项目的名称：</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质疑项目的编号：包号：</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采购人名称：</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采购文件获取日期：</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质疑事项1：</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事实依据：</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法律依据：</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质疑事项2</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p>
    <w:p>
      <w:pPr>
        <w:spacing w:line="360" w:lineRule="auto"/>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请求：</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签字(签章)：                   公章：                      </w:t>
      </w:r>
      <w:r/>
    </w:p>
    <w:p>
      <w:pPr>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日期：    </w:t>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r>
      <w:r/>
    </w:p>
    <w:p>
      <w:pP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r>
      <w:r/>
    </w:p>
    <w:p>
      <w:pPr>
        <w:spacing w:line="360" w:lineRule="auto"/>
        <w:rPr>
          <w:rFonts w:hint="eastAsia" w:cs="仿宋" w:asciiTheme="minorEastAsia" w:hAnsiTheme="minorEastAsia" w:eastAsiaTheme="minorEastAsia"/>
          <w:b/>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
          <w:color w:val="000000" w:themeColor="text1"/>
          <w:sz w:val="24"/>
          <w:szCs w:val="24"/>
          <w:highlight w:val="none"/>
          <w14:textFill>
            <w14:solidFill>
              <w14:schemeClr w14:val="tx1"/>
            </w14:solidFill>
          </w14:textFill>
        </w:rPr>
        <w:t xml:space="preserve">质疑函制作说明：</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s="仿宋" w:asciiTheme="minorEastAsia" w:hAnsiTheme="minorEastAsia" w:eastAsiaTheme="minorEastAsia"/>
          <w:color w:val="000000" w:themeColor="text1"/>
          <w:highlight w:val="none"/>
          <w14:textFill>
            <w14:solidFill>
              <w14:schemeClr w14:val="tx1"/>
            </w14:solidFill>
          </w14:textFill>
        </w:rPr>
      </w:pPr>
      <w:r>
        <w:rPr>
          <w:rFonts w:hint="eastAsia" w:cs="仿宋" w:asciiTheme="minorEastAsia" w:hAnsiTheme="minorEastAsia" w:eastAsiaTheme="minorEastAsia"/>
          <w:color w:val="000000" w:themeColor="text1"/>
          <w:highlight w:val="none"/>
          <w14:textFill>
            <w14:solidFill>
              <w14:schemeClr w14:val="tx1"/>
            </w14:solidFill>
          </w14:textFill>
        </w:rPr>
      </w:r>
      <w:r/>
    </w:p>
    <w:p>
      <w:pPr>
        <w:jc w:val="center"/>
        <w:rPr>
          <w:rFonts w:hint="eastAsia" w:cs="仿宋" w:asciiTheme="minorEastAsia" w:hAnsiTheme="minorEastAsia" w:eastAsiaTheme="minorEastAsia"/>
          <w:b/>
          <w:color w:val="000000" w:themeColor="text1"/>
          <w:spacing w:val="20"/>
          <w:sz w:val="24"/>
          <w:szCs w:val="22"/>
          <w:highlight w:val="none"/>
          <w14:textFill>
            <w14:solidFill>
              <w14:schemeClr w14:val="tx1"/>
            </w14:solidFill>
          </w14:textFill>
        </w:rPr>
      </w:pPr>
      <w:r>
        <w:rPr>
          <w:rFonts w:hint="eastAsia" w:cs="仿宋" w:asciiTheme="minorEastAsia" w:hAnsiTheme="minorEastAsia" w:eastAsiaTheme="minorEastAsia"/>
          <w:b/>
          <w:color w:val="000000" w:themeColor="text1"/>
          <w:spacing w:val="20"/>
          <w:sz w:val="24"/>
          <w:szCs w:val="22"/>
          <w:highlight w:val="none"/>
          <w14:textFill>
            <w14:solidFill>
              <w14:schemeClr w14:val="tx1"/>
            </w14:solidFill>
          </w14:textFill>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51054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p>
                          <w:r/>
                          <w:r/>
                        </w:p>
                      </w:txbxContent>
                    </wps:txbx>
                    <wps:bodyPr lIns="0" tIns="0" rIns="0" bIns="0" anchor="t" anchorCtr="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text-anchor:top;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51054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text-anchor:top;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300" cy="510540"/>
              <wp:effectExtent l="0" t="0" r="0" b="0"/>
              <wp:wrapNone/>
              <wp:docPr id="3" name="shape 2"/>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p>
                          <w:r/>
                          <w:r/>
                        </w:p>
                      </w:txbxContent>
                    </wps:txbx>
                    <wps:bodyPr lIns="0" tIns="0" rIns="0" bIns="0" anchor="t" anchorCtr="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text-anchor:top;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833"/>
    <w:link w:val="824"/>
    <w:uiPriority w:val="9"/>
    <w:rPr>
      <w:rFonts w:ascii="Arial" w:hAnsi="Arial" w:eastAsia="Arial" w:cs="Arial"/>
      <w:sz w:val="40"/>
      <w:szCs w:val="40"/>
    </w:rPr>
  </w:style>
  <w:style w:type="character" w:styleId="795">
    <w:name w:val="Heading 2 Char"/>
    <w:basedOn w:val="833"/>
    <w:link w:val="825"/>
    <w:uiPriority w:val="9"/>
    <w:rPr>
      <w:rFonts w:ascii="Arial" w:hAnsi="Arial" w:eastAsia="Arial" w:cs="Arial"/>
      <w:sz w:val="34"/>
    </w:rPr>
  </w:style>
  <w:style w:type="character" w:styleId="796">
    <w:name w:val="Heading 3 Char"/>
    <w:basedOn w:val="833"/>
    <w:link w:val="826"/>
    <w:uiPriority w:val="9"/>
    <w:rPr>
      <w:rFonts w:ascii="Arial" w:hAnsi="Arial" w:eastAsia="Arial" w:cs="Arial"/>
      <w:sz w:val="30"/>
      <w:szCs w:val="30"/>
    </w:rPr>
  </w:style>
  <w:style w:type="character" w:styleId="797">
    <w:name w:val="Heading 4 Char"/>
    <w:basedOn w:val="833"/>
    <w:link w:val="827"/>
    <w:uiPriority w:val="9"/>
    <w:rPr>
      <w:rFonts w:ascii="Arial" w:hAnsi="Arial" w:eastAsia="Arial" w:cs="Arial"/>
      <w:b/>
      <w:bCs/>
      <w:sz w:val="26"/>
      <w:szCs w:val="26"/>
    </w:rPr>
  </w:style>
  <w:style w:type="character" w:styleId="798">
    <w:name w:val="Heading 5 Char"/>
    <w:basedOn w:val="833"/>
    <w:link w:val="828"/>
    <w:uiPriority w:val="9"/>
    <w:rPr>
      <w:rFonts w:ascii="Arial" w:hAnsi="Arial" w:eastAsia="Arial" w:cs="Arial"/>
      <w:b/>
      <w:bCs/>
      <w:sz w:val="24"/>
      <w:szCs w:val="24"/>
    </w:rPr>
  </w:style>
  <w:style w:type="character" w:styleId="799">
    <w:name w:val="Heading 6 Char"/>
    <w:basedOn w:val="833"/>
    <w:link w:val="829"/>
    <w:uiPriority w:val="9"/>
    <w:rPr>
      <w:rFonts w:ascii="Arial" w:hAnsi="Arial" w:eastAsia="Arial" w:cs="Arial"/>
      <w:b/>
      <w:bCs/>
      <w:sz w:val="22"/>
      <w:szCs w:val="22"/>
    </w:rPr>
  </w:style>
  <w:style w:type="character" w:styleId="800">
    <w:name w:val="Heading 7 Char"/>
    <w:basedOn w:val="833"/>
    <w:link w:val="830"/>
    <w:uiPriority w:val="9"/>
    <w:rPr>
      <w:rFonts w:ascii="Arial" w:hAnsi="Arial" w:eastAsia="Arial" w:cs="Arial"/>
      <w:b/>
      <w:bCs/>
      <w:i/>
      <w:iCs/>
      <w:sz w:val="22"/>
      <w:szCs w:val="22"/>
    </w:rPr>
  </w:style>
  <w:style w:type="character" w:styleId="801">
    <w:name w:val="Heading 8 Char"/>
    <w:basedOn w:val="833"/>
    <w:link w:val="831"/>
    <w:uiPriority w:val="9"/>
    <w:rPr>
      <w:rFonts w:ascii="Arial" w:hAnsi="Arial" w:eastAsia="Arial" w:cs="Arial"/>
      <w:i/>
      <w:iCs/>
      <w:sz w:val="22"/>
      <w:szCs w:val="22"/>
    </w:rPr>
  </w:style>
  <w:style w:type="character" w:styleId="802">
    <w:name w:val="Heading 9 Char"/>
    <w:basedOn w:val="833"/>
    <w:link w:val="832"/>
    <w:uiPriority w:val="9"/>
    <w:rPr>
      <w:rFonts w:ascii="Arial" w:hAnsi="Arial" w:eastAsia="Arial" w:cs="Arial"/>
      <w:i/>
      <w:iCs/>
      <w:sz w:val="21"/>
      <w:szCs w:val="21"/>
    </w:rPr>
  </w:style>
  <w:style w:type="table" w:styleId="803">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2">
    <w:name w:val="TOC Heading"/>
    <w:uiPriority w:val="39"/>
    <w:unhideWhenUsed/>
  </w:style>
  <w:style w:type="paragraph" w:styleId="82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24">
    <w:name w:val="Heading 1"/>
    <w:basedOn w:val="823"/>
    <w:next w:val="823"/>
    <w:link w:val="889"/>
    <w:uiPriority w:val="9"/>
    <w:qFormat/>
    <w:pPr>
      <w:keepLines/>
      <w:keepNext/>
      <w:spacing w:before="480" w:after="200"/>
      <w:outlineLvl w:val="0"/>
    </w:pPr>
    <w:rPr>
      <w:rFonts w:ascii="Arial" w:hAnsi="Arial" w:eastAsia="Arial" w:cs="Arial"/>
      <w:sz w:val="40"/>
      <w:szCs w:val="40"/>
    </w:rPr>
  </w:style>
  <w:style w:type="paragraph" w:styleId="825">
    <w:name w:val="Heading 2"/>
    <w:basedOn w:val="823"/>
    <w:next w:val="823"/>
    <w:link w:val="890"/>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891"/>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892"/>
    <w:uiPriority w:val="9"/>
    <w:unhideWhenUsed/>
    <w:qFormat/>
    <w:pPr>
      <w:keepLines/>
      <w:keepNext/>
      <w:spacing w:before="320" w:after="200"/>
      <w:outlineLvl w:val="3"/>
    </w:pPr>
    <w:rPr>
      <w:rFonts w:ascii="Arial" w:hAnsi="Arial" w:eastAsia="Arial" w:cs="Arial"/>
      <w:b/>
      <w:bCs/>
      <w:szCs w:val="26"/>
    </w:rPr>
  </w:style>
  <w:style w:type="paragraph" w:styleId="828">
    <w:name w:val="Heading 5"/>
    <w:basedOn w:val="823"/>
    <w:next w:val="823"/>
    <w:link w:val="893"/>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94"/>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896"/>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897"/>
    <w:uiPriority w:val="9"/>
    <w:unhideWhenUsed/>
    <w:qFormat/>
    <w:pPr>
      <w:keepLines/>
      <w:keepNext/>
      <w:spacing w:before="320" w:after="200"/>
      <w:outlineLvl w:val="8"/>
    </w:pPr>
    <w:rPr>
      <w:rFonts w:ascii="Arial" w:hAnsi="Arial" w:eastAsia="Arial" w:cs="Arial"/>
      <w:i/>
      <w:iCs/>
      <w:sz w:val="21"/>
      <w:szCs w:val="21"/>
    </w:rPr>
  </w:style>
  <w:style w:type="character" w:styleId="833" w:default="1">
    <w:name w:val="Default Paragraph Font"/>
    <w:uiPriority w:val="1"/>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spacing w:after="57"/>
    </w:pPr>
  </w:style>
  <w:style w:type="paragraph" w:styleId="836">
    <w:name w:val="Normal Indent"/>
    <w:basedOn w:val="823"/>
    <w:next w:val="823"/>
    <w:uiPriority w:val="0"/>
    <w:qFormat/>
    <w:pPr>
      <w:ind w:firstLine="200"/>
    </w:pPr>
  </w:style>
  <w:style w:type="paragraph" w:styleId="837">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Body Text"/>
    <w:basedOn w:val="823"/>
    <w:next w:val="823"/>
    <w:uiPriority w:val="0"/>
    <w:qFormat/>
    <w:rPr>
      <w:rFonts w:ascii="楷体_GB2312" w:hAnsi="Arial"/>
      <w:sz w:val="28"/>
    </w:rPr>
  </w:style>
  <w:style w:type="paragraph" w:styleId="839">
    <w:name w:val="Body Text Indent"/>
    <w:basedOn w:val="823"/>
    <w:uiPriority w:val="0"/>
    <w:qFormat/>
    <w:pPr>
      <w:ind w:firstLine="645"/>
    </w:pPr>
    <w:rPr>
      <w:rFonts w:ascii="楷体_GB2312" w:hAnsi="Calibri"/>
      <w:sz w:val="32"/>
      <w:szCs w:val="22"/>
    </w:rPr>
  </w:style>
  <w:style w:type="paragraph" w:styleId="840">
    <w:name w:val="Block Text"/>
    <w:basedOn w:val="823"/>
    <w:uiPriority w:val="0"/>
    <w:qFormat/>
    <w:pPr>
      <w:ind w:left="525" w:right="-1" w:firstLine="525"/>
      <w:spacing w:line="312" w:lineRule="atLeast"/>
    </w:pPr>
    <w:rPr>
      <w:sz w:val="28"/>
      <w:szCs w:val="28"/>
    </w:rPr>
  </w:style>
  <w:style w:type="paragraph" w:styleId="841">
    <w:name w:val="toc 5"/>
    <w:basedOn w:val="823"/>
    <w:next w:val="823"/>
    <w:uiPriority w:val="39"/>
    <w:unhideWhenUsed/>
    <w:qFormat/>
    <w:pPr>
      <w:ind w:left="1134"/>
      <w:spacing w:after="57"/>
    </w:pPr>
  </w:style>
  <w:style w:type="paragraph" w:styleId="842">
    <w:name w:val="toc 3"/>
    <w:basedOn w:val="823"/>
    <w:next w:val="823"/>
    <w:uiPriority w:val="39"/>
    <w:unhideWhenUsed/>
    <w:qFormat/>
    <w:pPr>
      <w:ind w:left="567"/>
      <w:spacing w:after="57"/>
    </w:pPr>
  </w:style>
  <w:style w:type="paragraph" w:styleId="843">
    <w:name w:val="Plain Text"/>
    <w:basedOn w:val="823"/>
    <w:next w:val="836"/>
    <w:uiPriority w:val="0"/>
    <w:qFormat/>
    <w:rPr>
      <w:rFonts w:ascii="宋体"/>
    </w:rPr>
  </w:style>
  <w:style w:type="paragraph" w:styleId="844">
    <w:name w:val="toc 8"/>
    <w:basedOn w:val="823"/>
    <w:next w:val="823"/>
    <w:uiPriority w:val="39"/>
    <w:unhideWhenUsed/>
    <w:qFormat/>
    <w:pPr>
      <w:ind w:left="1984"/>
      <w:spacing w:after="57"/>
    </w:pPr>
  </w:style>
  <w:style w:type="paragraph" w:styleId="845">
    <w:name w:val="endnote text"/>
    <w:basedOn w:val="823"/>
    <w:link w:val="1046"/>
    <w:uiPriority w:val="99"/>
    <w:semiHidden/>
    <w:unhideWhenUsed/>
    <w:qFormat/>
    <w:rPr>
      <w:sz w:val="20"/>
    </w:rPr>
  </w:style>
  <w:style w:type="paragraph" w:styleId="846">
    <w:name w:val="Balloon Text"/>
    <w:basedOn w:val="823"/>
    <w:link w:val="1078"/>
    <w:uiPriority w:val="99"/>
    <w:semiHidden/>
    <w:unhideWhenUsed/>
    <w:qFormat/>
    <w:rPr>
      <w:sz w:val="18"/>
      <w:szCs w:val="18"/>
    </w:rPr>
  </w:style>
  <w:style w:type="paragraph" w:styleId="847">
    <w:name w:val="Footer"/>
    <w:basedOn w:val="823"/>
    <w:link w:val="1083"/>
    <w:uiPriority w:val="99"/>
    <w:unhideWhenUsed/>
    <w:qFormat/>
    <w:pPr>
      <w:jc w:val="left"/>
      <w:tabs>
        <w:tab w:val="center" w:pos="4153" w:leader="none"/>
        <w:tab w:val="right" w:pos="8306" w:leader="none"/>
      </w:tabs>
    </w:pPr>
    <w:rPr>
      <w:sz w:val="18"/>
      <w:szCs w:val="18"/>
    </w:rPr>
  </w:style>
  <w:style w:type="paragraph" w:styleId="848">
    <w:name w:val="envelope return"/>
    <w:basedOn w:val="849"/>
    <w:uiPriority w:val="99"/>
    <w:unhideWhenUsed/>
    <w:qFormat/>
    <w:rPr>
      <w:rFonts w:ascii="Arial" w:hAnsi="Arial"/>
    </w:rPr>
  </w:style>
  <w:style w:type="paragraph" w:styleId="849" w:customStyle="1">
    <w:name w:val="Normal_19"/>
    <w:next w:val="850"/>
    <w:uiPriority w:val="0"/>
    <w:qFormat/>
    <w:pPr>
      <w:jc w:val="both"/>
      <w:widowControl w:val="off"/>
    </w:pPr>
    <w:rPr>
      <w:rFonts w:ascii="Times New Roman" w:hAnsi="Times New Roman" w:eastAsia="宋体" w:cs="Times New Roman"/>
      <w:sz w:val="21"/>
      <w:szCs w:val="24"/>
      <w:lang w:val="en-US" w:eastAsia="zh-CN" w:bidi="ar-SA"/>
    </w:rPr>
  </w:style>
  <w:style w:type="paragraph" w:styleId="850" w:customStyle="1">
    <w:name w:val="正文文本缩进1"/>
    <w:basedOn w:val="823"/>
    <w:next w:val="848"/>
    <w:uiPriority w:val="0"/>
    <w:unhideWhenUsed/>
    <w:qFormat/>
    <w:pPr>
      <w:ind w:firstLine="570"/>
    </w:pPr>
    <w:rPr>
      <w:rFonts w:ascii="宋体" w:eastAsia="宋体"/>
      <w:sz w:val="28"/>
    </w:rPr>
  </w:style>
  <w:style w:type="paragraph" w:styleId="851">
    <w:name w:val="Header"/>
    <w:basedOn w:val="823"/>
    <w:link w:val="10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23"/>
    <w:next w:val="823"/>
    <w:uiPriority w:val="39"/>
    <w:unhideWhenUsed/>
    <w:qFormat/>
    <w:pPr>
      <w:spacing w:after="57"/>
    </w:pPr>
  </w:style>
  <w:style w:type="paragraph" w:styleId="853">
    <w:name w:val="toc 4"/>
    <w:basedOn w:val="823"/>
    <w:next w:val="823"/>
    <w:uiPriority w:val="39"/>
    <w:unhideWhenUsed/>
    <w:qFormat/>
    <w:pPr>
      <w:ind w:left="850"/>
      <w:spacing w:after="57"/>
    </w:pPr>
  </w:style>
  <w:style w:type="paragraph" w:styleId="854">
    <w:name w:val="Subtitle"/>
    <w:basedOn w:val="823"/>
    <w:next w:val="823"/>
    <w:link w:val="931"/>
    <w:uiPriority w:val="11"/>
    <w:qFormat/>
    <w:pPr>
      <w:spacing w:before="200" w:after="200"/>
    </w:pPr>
    <w:rPr>
      <w:sz w:val="24"/>
      <w:szCs w:val="24"/>
    </w:rPr>
  </w:style>
  <w:style w:type="paragraph" w:styleId="855">
    <w:name w:val="footnote text"/>
    <w:basedOn w:val="823"/>
    <w:link w:val="1045"/>
    <w:uiPriority w:val="99"/>
    <w:semiHidden/>
    <w:unhideWhenUsed/>
    <w:qFormat/>
    <w:pPr>
      <w:spacing w:after="40"/>
    </w:pPr>
    <w:rPr>
      <w:sz w:val="18"/>
    </w:rPr>
  </w:style>
  <w:style w:type="paragraph" w:styleId="856">
    <w:name w:val="toc 6"/>
    <w:basedOn w:val="823"/>
    <w:next w:val="823"/>
    <w:uiPriority w:val="39"/>
    <w:unhideWhenUsed/>
    <w:qFormat/>
    <w:pPr>
      <w:ind w:left="1417"/>
      <w:spacing w:after="57"/>
    </w:pPr>
  </w:style>
  <w:style w:type="paragraph" w:styleId="857">
    <w:name w:val="table of figures"/>
    <w:basedOn w:val="823"/>
    <w:next w:val="823"/>
    <w:uiPriority w:val="99"/>
    <w:unhideWhenUsed/>
    <w:qFormat/>
  </w:style>
  <w:style w:type="paragraph" w:styleId="858">
    <w:name w:val="toc 2"/>
    <w:basedOn w:val="823"/>
    <w:next w:val="823"/>
    <w:uiPriority w:val="39"/>
    <w:unhideWhenUsed/>
    <w:qFormat/>
    <w:pPr>
      <w:ind w:left="283"/>
      <w:spacing w:after="57"/>
    </w:pPr>
  </w:style>
  <w:style w:type="paragraph" w:styleId="859">
    <w:name w:val="toc 9"/>
    <w:basedOn w:val="823"/>
    <w:next w:val="823"/>
    <w:uiPriority w:val="39"/>
    <w:unhideWhenUsed/>
    <w:qFormat/>
    <w:pPr>
      <w:ind w:left="2268"/>
      <w:spacing w:after="57"/>
    </w:pPr>
  </w:style>
  <w:style w:type="paragraph" w:styleId="860">
    <w:name w:val="Normal (Web)"/>
    <w:basedOn w:val="823"/>
    <w:uiPriority w:val="99"/>
    <w:qFormat/>
    <w:pPr>
      <w:jc w:val="left"/>
      <w:spacing w:before="100" w:beforeAutospacing="1" w:after="100" w:afterAutospacing="1"/>
      <w:widowControl/>
    </w:pPr>
    <w:rPr>
      <w:rFonts w:ascii="宋体" w:hAnsi="宋体"/>
      <w:color w:val="000000"/>
      <w:sz w:val="24"/>
      <w:szCs w:val="24"/>
    </w:rPr>
  </w:style>
  <w:style w:type="paragraph" w:styleId="861">
    <w:name w:val="Title"/>
    <w:basedOn w:val="823"/>
    <w:next w:val="823"/>
    <w:link w:val="930"/>
    <w:uiPriority w:val="10"/>
    <w:qFormat/>
    <w:pPr>
      <w:contextualSpacing/>
      <w:spacing w:before="300" w:after="200"/>
    </w:pPr>
    <w:rPr>
      <w:sz w:val="48"/>
      <w:szCs w:val="48"/>
    </w:rPr>
  </w:style>
  <w:style w:type="paragraph" w:styleId="862">
    <w:name w:val="Body Text First Indent"/>
    <w:basedOn w:val="838"/>
    <w:next w:val="863"/>
    <w:uiPriority w:val="0"/>
    <w:qFormat/>
    <w:pPr>
      <w:ind w:firstLine="420"/>
    </w:pPr>
  </w:style>
  <w:style w:type="paragraph" w:styleId="863">
    <w:name w:val="Body Text First Indent 2"/>
    <w:basedOn w:val="839"/>
    <w:uiPriority w:val="99"/>
    <w:unhideWhenUsed/>
    <w:qFormat/>
    <w:pPr>
      <w:ind w:firstLine="200"/>
    </w:pPr>
  </w:style>
  <w:style w:type="table" w:styleId="864">
    <w:name w:val="Table Grid"/>
    <w:basedOn w:val="8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endnote reference"/>
    <w:uiPriority w:val="99"/>
    <w:semiHidden/>
    <w:unhideWhenUsed/>
    <w:qFormat/>
    <w:rPr>
      <w:vertAlign w:val="superscript"/>
    </w:rPr>
  </w:style>
  <w:style w:type="character" w:styleId="866">
    <w:name w:val="Emphasis"/>
    <w:uiPriority w:val="0"/>
    <w:qFormat/>
    <w:rPr>
      <w:rFonts w:ascii="Times New Roman" w:hAnsi="Times New Roman" w:eastAsia="宋体" w:cs="Times New Roman"/>
      <w:i/>
    </w:rPr>
  </w:style>
  <w:style w:type="character" w:styleId="867">
    <w:name w:val="Hyperlink"/>
    <w:uiPriority w:val="99"/>
    <w:unhideWhenUsed/>
    <w:qFormat/>
    <w:rPr>
      <w:color w:val="0563c1"/>
      <w:u w:val="single"/>
    </w:rPr>
  </w:style>
  <w:style w:type="character" w:styleId="868">
    <w:name w:val="footnote reference"/>
    <w:uiPriority w:val="99"/>
    <w:unhideWhenUsed/>
    <w:qFormat/>
    <w:rPr>
      <w:vertAlign w:val="superscript"/>
    </w:rPr>
  </w:style>
  <w:style w:type="table" w:styleId="869" w:customStyle="1">
    <w:name w:val="无格式表格 11"/>
    <w:basedOn w:val="83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83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3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83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83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83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83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83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83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8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83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83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83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83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83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83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83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83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834"/>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rPr>
      <w:rFonts w:ascii="Times New Roman" w:hAnsi="Times New Roman" w:eastAsia="宋体" w:cs="Times New Roman"/>
      <w:lang w:val="en-US" w:eastAsia="zh-CN" w:bidi="ar-SA"/>
    </w:rPr>
  </w:style>
  <w:style w:type="character" w:styleId="889" w:customStyle="1">
    <w:name w:val="标题 1 字符1"/>
    <w:basedOn w:val="833"/>
    <w:link w:val="824"/>
    <w:uiPriority w:val="9"/>
    <w:qFormat/>
    <w:rPr>
      <w:rFonts w:ascii="Arial" w:hAnsi="Arial" w:eastAsia="Arial" w:cs="Arial"/>
      <w:sz w:val="40"/>
      <w:szCs w:val="40"/>
    </w:rPr>
  </w:style>
  <w:style w:type="character" w:styleId="890" w:customStyle="1">
    <w:name w:val="标题 2 字符1"/>
    <w:basedOn w:val="833"/>
    <w:link w:val="825"/>
    <w:uiPriority w:val="9"/>
    <w:qFormat/>
    <w:rPr>
      <w:rFonts w:ascii="Arial" w:hAnsi="Arial" w:eastAsia="Arial" w:cs="Arial"/>
      <w:sz w:val="34"/>
    </w:rPr>
  </w:style>
  <w:style w:type="character" w:styleId="891" w:customStyle="1">
    <w:name w:val="标题 3 字符1"/>
    <w:basedOn w:val="833"/>
    <w:link w:val="826"/>
    <w:uiPriority w:val="9"/>
    <w:qFormat/>
    <w:rPr>
      <w:rFonts w:ascii="Arial" w:hAnsi="Arial" w:eastAsia="Arial" w:cs="Arial"/>
      <w:sz w:val="30"/>
      <w:szCs w:val="30"/>
    </w:rPr>
  </w:style>
  <w:style w:type="character" w:styleId="892" w:customStyle="1">
    <w:name w:val="标题 4 字符1"/>
    <w:basedOn w:val="833"/>
    <w:link w:val="827"/>
    <w:uiPriority w:val="9"/>
    <w:qFormat/>
    <w:rPr>
      <w:rFonts w:ascii="Arial" w:hAnsi="Arial" w:eastAsia="Arial" w:cs="Arial"/>
      <w:b/>
      <w:bCs/>
      <w:sz w:val="26"/>
      <w:szCs w:val="26"/>
    </w:rPr>
  </w:style>
  <w:style w:type="character" w:styleId="893" w:customStyle="1">
    <w:name w:val="标题 5 字符1"/>
    <w:basedOn w:val="833"/>
    <w:link w:val="828"/>
    <w:uiPriority w:val="9"/>
    <w:qFormat/>
    <w:rPr>
      <w:rFonts w:ascii="Arial" w:hAnsi="Arial" w:eastAsia="Arial" w:cs="Arial"/>
      <w:b/>
      <w:bCs/>
      <w:sz w:val="24"/>
      <w:szCs w:val="24"/>
    </w:rPr>
  </w:style>
  <w:style w:type="character" w:styleId="894" w:customStyle="1">
    <w:name w:val="标题 6 字符1"/>
    <w:basedOn w:val="833"/>
    <w:link w:val="829"/>
    <w:uiPriority w:val="9"/>
    <w:qFormat/>
    <w:rPr>
      <w:rFonts w:ascii="Arial" w:hAnsi="Arial" w:eastAsia="Arial" w:cs="Arial"/>
      <w:b/>
      <w:bCs/>
      <w:sz w:val="22"/>
      <w:szCs w:val="22"/>
    </w:rPr>
  </w:style>
  <w:style w:type="character" w:styleId="895" w:customStyle="1">
    <w:name w:val="标题 7 字符1"/>
    <w:basedOn w:val="833"/>
    <w:link w:val="830"/>
    <w:uiPriority w:val="9"/>
    <w:qFormat/>
    <w:rPr>
      <w:rFonts w:ascii="Arial" w:hAnsi="Arial" w:eastAsia="Arial" w:cs="Arial"/>
      <w:b/>
      <w:bCs/>
      <w:i/>
      <w:iCs/>
      <w:sz w:val="22"/>
      <w:szCs w:val="22"/>
    </w:rPr>
  </w:style>
  <w:style w:type="character" w:styleId="896" w:customStyle="1">
    <w:name w:val="标题 8 字符1"/>
    <w:basedOn w:val="833"/>
    <w:link w:val="831"/>
    <w:uiPriority w:val="9"/>
    <w:qFormat/>
    <w:rPr>
      <w:rFonts w:ascii="Arial" w:hAnsi="Arial" w:eastAsia="Arial" w:cs="Arial"/>
      <w:i/>
      <w:iCs/>
      <w:sz w:val="22"/>
      <w:szCs w:val="22"/>
    </w:rPr>
  </w:style>
  <w:style w:type="character" w:styleId="897" w:customStyle="1">
    <w:name w:val="标题 9 字符1"/>
    <w:basedOn w:val="833"/>
    <w:link w:val="832"/>
    <w:uiPriority w:val="9"/>
    <w:qFormat/>
    <w:rPr>
      <w:rFonts w:ascii="Arial" w:hAnsi="Arial" w:eastAsia="Arial" w:cs="Arial"/>
      <w:i/>
      <w:iCs/>
      <w:sz w:val="21"/>
      <w:szCs w:val="21"/>
    </w:rPr>
  </w:style>
  <w:style w:type="character" w:styleId="898" w:customStyle="1">
    <w:name w:val="Title Char"/>
    <w:basedOn w:val="833"/>
    <w:uiPriority w:val="10"/>
    <w:qFormat/>
    <w:rPr>
      <w:sz w:val="48"/>
      <w:szCs w:val="48"/>
    </w:rPr>
  </w:style>
  <w:style w:type="character" w:styleId="899" w:customStyle="1">
    <w:name w:val="Subtitle Char"/>
    <w:basedOn w:val="833"/>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Caption Char"/>
    <w:uiPriority w:val="99"/>
    <w:qFormat/>
  </w:style>
  <w:style w:type="character" w:styleId="903" w:customStyle="1">
    <w:name w:val="Footnote Text Char"/>
    <w:uiPriority w:val="99"/>
    <w:qFormat/>
    <w:rPr>
      <w:sz w:val="18"/>
    </w:rPr>
  </w:style>
  <w:style w:type="character" w:styleId="904" w:customStyle="1">
    <w:name w:val="Endnote Text Char"/>
    <w:uiPriority w:val="99"/>
    <w:qFormat/>
    <w:rPr>
      <w:sz w:val="20"/>
    </w:rPr>
  </w:style>
  <w:style w:type="paragraph" w:styleId="905" w:customStyle="1">
    <w:name w:val="TOC 标题111"/>
    <w:uiPriority w:val="39"/>
    <w:unhideWhenUsed/>
    <w:qFormat/>
    <w:rPr>
      <w:rFonts w:ascii="Times New Roman" w:hAnsi="Times New Roman" w:eastAsia="宋体" w:cs="Times New Roman"/>
      <w:lang w:val="en-US" w:eastAsia="zh-CN" w:bidi="ar-SA"/>
    </w:rPr>
  </w:style>
  <w:style w:type="paragraph" w:styleId="906" w:customStyle="1">
    <w:name w:val="标题 11"/>
    <w:basedOn w:val="823"/>
    <w:next w:val="823"/>
    <w:link w:val="919"/>
    <w:uiPriority w:val="0"/>
    <w:qFormat/>
    <w:pPr>
      <w:jc w:val="center"/>
      <w:keepLines/>
      <w:keepNext/>
      <w:spacing w:line="360" w:lineRule="auto"/>
      <w:outlineLvl w:val="0"/>
    </w:pPr>
    <w:rPr>
      <w:rFonts w:eastAsia="宋体"/>
      <w:b/>
      <w:sz w:val="32"/>
    </w:rPr>
  </w:style>
  <w:style w:type="paragraph" w:styleId="907" w:customStyle="1">
    <w:name w:val="标题 21"/>
    <w:basedOn w:val="823"/>
    <w:next w:val="823"/>
    <w:link w:val="920"/>
    <w:uiPriority w:val="9"/>
    <w:unhideWhenUsed/>
    <w:qFormat/>
    <w:pPr>
      <w:keepLines/>
      <w:keepNext/>
      <w:spacing w:before="360" w:after="200"/>
      <w:outlineLvl w:val="1"/>
    </w:pPr>
    <w:rPr>
      <w:rFonts w:ascii="Arial" w:hAnsi="Arial" w:eastAsia="Arial" w:cs="Arial"/>
      <w:sz w:val="34"/>
    </w:rPr>
  </w:style>
  <w:style w:type="paragraph" w:styleId="908" w:customStyle="1">
    <w:name w:val="标题 31"/>
    <w:basedOn w:val="823"/>
    <w:next w:val="823"/>
    <w:link w:val="921"/>
    <w:uiPriority w:val="9"/>
    <w:unhideWhenUsed/>
    <w:qFormat/>
    <w:pPr>
      <w:keepLines/>
      <w:keepNext/>
      <w:spacing w:before="320" w:after="200"/>
      <w:outlineLvl w:val="2"/>
    </w:pPr>
    <w:rPr>
      <w:rFonts w:ascii="Arial" w:hAnsi="Arial" w:eastAsia="Arial" w:cs="Arial"/>
      <w:sz w:val="30"/>
      <w:szCs w:val="30"/>
    </w:rPr>
  </w:style>
  <w:style w:type="paragraph" w:styleId="909" w:customStyle="1">
    <w:name w:val="标题 41"/>
    <w:basedOn w:val="823"/>
    <w:next w:val="823"/>
    <w:link w:val="922"/>
    <w:uiPriority w:val="9"/>
    <w:unhideWhenUsed/>
    <w:qFormat/>
    <w:pPr>
      <w:keepLines/>
      <w:keepNext/>
      <w:spacing w:before="320" w:after="200"/>
      <w:outlineLvl w:val="3"/>
    </w:pPr>
    <w:rPr>
      <w:rFonts w:ascii="Arial" w:hAnsi="Arial" w:eastAsia="Arial" w:cs="Arial"/>
      <w:b/>
      <w:bCs/>
      <w:szCs w:val="26"/>
    </w:rPr>
  </w:style>
  <w:style w:type="paragraph" w:styleId="910" w:customStyle="1">
    <w:name w:val="标题 51"/>
    <w:basedOn w:val="823"/>
    <w:next w:val="823"/>
    <w:link w:val="923"/>
    <w:uiPriority w:val="9"/>
    <w:unhideWhenUsed/>
    <w:qFormat/>
    <w:pPr>
      <w:keepLines/>
      <w:keepNext/>
      <w:spacing w:before="320" w:after="200"/>
      <w:outlineLvl w:val="4"/>
    </w:pPr>
    <w:rPr>
      <w:rFonts w:ascii="Arial" w:hAnsi="Arial" w:eastAsia="Arial" w:cs="Arial"/>
      <w:b/>
      <w:bCs/>
      <w:sz w:val="24"/>
      <w:szCs w:val="24"/>
    </w:rPr>
  </w:style>
  <w:style w:type="paragraph" w:styleId="911" w:customStyle="1">
    <w:name w:val="标题 61"/>
    <w:basedOn w:val="823"/>
    <w:next w:val="823"/>
    <w:link w:val="924"/>
    <w:uiPriority w:val="9"/>
    <w:unhideWhenUsed/>
    <w:qFormat/>
    <w:pPr>
      <w:keepLines/>
      <w:keepNext/>
      <w:spacing w:before="320" w:after="200"/>
      <w:outlineLvl w:val="5"/>
    </w:pPr>
    <w:rPr>
      <w:rFonts w:ascii="Arial" w:hAnsi="Arial" w:eastAsia="Arial" w:cs="Arial"/>
      <w:b/>
      <w:bCs/>
      <w:sz w:val="22"/>
      <w:szCs w:val="22"/>
    </w:rPr>
  </w:style>
  <w:style w:type="paragraph" w:styleId="912" w:customStyle="1">
    <w:name w:val="标题 71"/>
    <w:basedOn w:val="823"/>
    <w:next w:val="823"/>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913" w:customStyle="1">
    <w:name w:val="标题 81"/>
    <w:basedOn w:val="823"/>
    <w:next w:val="823"/>
    <w:link w:val="926"/>
    <w:uiPriority w:val="9"/>
    <w:unhideWhenUsed/>
    <w:qFormat/>
    <w:pPr>
      <w:keepLines/>
      <w:keepNext/>
      <w:spacing w:before="320" w:after="200"/>
      <w:outlineLvl w:val="7"/>
    </w:pPr>
    <w:rPr>
      <w:rFonts w:ascii="Arial" w:hAnsi="Arial" w:eastAsia="Arial" w:cs="Arial"/>
      <w:i/>
      <w:iCs/>
      <w:sz w:val="22"/>
      <w:szCs w:val="22"/>
    </w:rPr>
  </w:style>
  <w:style w:type="paragraph" w:styleId="914" w:customStyle="1">
    <w:name w:val="标题 91"/>
    <w:basedOn w:val="823"/>
    <w:next w:val="823"/>
    <w:link w:val="927"/>
    <w:uiPriority w:val="9"/>
    <w:unhideWhenUsed/>
    <w:qFormat/>
    <w:pPr>
      <w:keepLines/>
      <w:keepNext/>
      <w:spacing w:before="320" w:after="200"/>
      <w:outlineLvl w:val="8"/>
    </w:pPr>
    <w:rPr>
      <w:rFonts w:ascii="Arial" w:hAnsi="Arial" w:eastAsia="Arial" w:cs="Arial"/>
      <w:i/>
      <w:iCs/>
      <w:sz w:val="21"/>
      <w:szCs w:val="21"/>
    </w:rPr>
  </w:style>
  <w:style w:type="paragraph" w:styleId="915" w:customStyle="1">
    <w:name w:val="题注1"/>
    <w:basedOn w:val="823"/>
    <w:next w:val="823"/>
    <w:uiPriority w:val="35"/>
    <w:semiHidden/>
    <w:unhideWhenUsed/>
    <w:qFormat/>
    <w:pPr>
      <w:spacing w:line="276" w:lineRule="auto"/>
    </w:pPr>
    <w:rPr>
      <w:b/>
      <w:bCs/>
      <w:color w:val="4f81bd"/>
      <w:sz w:val="18"/>
      <w:szCs w:val="18"/>
    </w:rPr>
  </w:style>
  <w:style w:type="paragraph" w:styleId="916" w:customStyle="1">
    <w:name w:val="页脚1"/>
    <w:basedOn w:val="823"/>
    <w:link w:val="938"/>
    <w:uiPriority w:val="99"/>
    <w:unhideWhenUsed/>
    <w:qFormat/>
    <w:pPr>
      <w:tabs>
        <w:tab w:val="center" w:pos="7143" w:leader="none"/>
        <w:tab w:val="right" w:pos="14287" w:leader="none"/>
      </w:tabs>
    </w:pPr>
  </w:style>
  <w:style w:type="paragraph" w:styleId="917" w:customStyle="1">
    <w:name w:val="页眉1"/>
    <w:basedOn w:val="823"/>
    <w:link w:val="1048"/>
    <w:uiPriority w:val="0"/>
    <w:qFormat/>
    <w:pPr>
      <w:jc w:val="center"/>
      <w:tabs>
        <w:tab w:val="center" w:pos="4153" w:leader="none"/>
        <w:tab w:val="right" w:pos="8306" w:leader="none"/>
      </w:tabs>
    </w:pPr>
    <w:rPr>
      <w:sz w:val="18"/>
      <w:szCs w:val="18"/>
    </w:rPr>
  </w:style>
  <w:style w:type="paragraph" w:styleId="918" w:customStyle="1">
    <w:name w:val="标题 311"/>
    <w:basedOn w:val="823"/>
    <w:next w:val="823"/>
    <w:uiPriority w:val="0"/>
    <w:qFormat/>
    <w:pPr>
      <w:keepLines/>
      <w:keepNext/>
      <w:spacing w:before="260" w:after="260" w:line="416" w:lineRule="auto"/>
      <w:outlineLvl w:val="2"/>
    </w:pPr>
    <w:rPr>
      <w:b/>
      <w:bCs/>
      <w:sz w:val="32"/>
      <w:szCs w:val="32"/>
    </w:rPr>
  </w:style>
  <w:style w:type="character" w:styleId="919" w:customStyle="1">
    <w:name w:val="标题 1 字符"/>
    <w:link w:val="906"/>
    <w:uiPriority w:val="0"/>
    <w:qFormat/>
    <w:rPr>
      <w:rFonts w:ascii="Arial" w:hAnsi="Arial" w:eastAsia="Arial" w:cs="Arial"/>
      <w:sz w:val="40"/>
      <w:szCs w:val="40"/>
    </w:rPr>
  </w:style>
  <w:style w:type="character" w:styleId="920" w:customStyle="1">
    <w:name w:val="标题 2 字符"/>
    <w:link w:val="907"/>
    <w:uiPriority w:val="9"/>
    <w:qFormat/>
    <w:rPr>
      <w:rFonts w:ascii="Arial" w:hAnsi="Arial" w:eastAsia="Arial" w:cs="Arial"/>
      <w:sz w:val="34"/>
    </w:rPr>
  </w:style>
  <w:style w:type="character" w:styleId="921" w:customStyle="1">
    <w:name w:val="标题 3 字符"/>
    <w:link w:val="908"/>
    <w:uiPriority w:val="9"/>
    <w:qFormat/>
    <w:rPr>
      <w:rFonts w:ascii="Arial" w:hAnsi="Arial" w:eastAsia="Arial" w:cs="Arial"/>
      <w:sz w:val="30"/>
      <w:szCs w:val="30"/>
    </w:rPr>
  </w:style>
  <w:style w:type="character" w:styleId="922" w:customStyle="1">
    <w:name w:val="标题 4 字符"/>
    <w:link w:val="909"/>
    <w:uiPriority w:val="9"/>
    <w:qFormat/>
    <w:rPr>
      <w:rFonts w:ascii="Arial" w:hAnsi="Arial" w:eastAsia="Arial" w:cs="Arial"/>
      <w:b/>
      <w:bCs/>
      <w:sz w:val="26"/>
      <w:szCs w:val="26"/>
    </w:rPr>
  </w:style>
  <w:style w:type="character" w:styleId="923" w:customStyle="1">
    <w:name w:val="标题 5 字符"/>
    <w:link w:val="910"/>
    <w:uiPriority w:val="9"/>
    <w:qFormat/>
    <w:rPr>
      <w:rFonts w:ascii="Arial" w:hAnsi="Arial" w:eastAsia="Arial" w:cs="Arial"/>
      <w:b/>
      <w:bCs/>
      <w:sz w:val="24"/>
      <w:szCs w:val="24"/>
    </w:rPr>
  </w:style>
  <w:style w:type="character" w:styleId="924" w:customStyle="1">
    <w:name w:val="标题 6 字符"/>
    <w:link w:val="911"/>
    <w:uiPriority w:val="9"/>
    <w:qFormat/>
    <w:rPr>
      <w:rFonts w:ascii="Arial" w:hAnsi="Arial" w:eastAsia="Arial" w:cs="Arial"/>
      <w:b/>
      <w:bCs/>
      <w:sz w:val="22"/>
      <w:szCs w:val="22"/>
    </w:rPr>
  </w:style>
  <w:style w:type="character" w:styleId="925" w:customStyle="1">
    <w:name w:val="标题 7 字符"/>
    <w:link w:val="912"/>
    <w:uiPriority w:val="9"/>
    <w:qFormat/>
    <w:rPr>
      <w:rFonts w:ascii="Arial" w:hAnsi="Arial" w:eastAsia="Arial" w:cs="Arial"/>
      <w:b/>
      <w:bCs/>
      <w:i/>
      <w:iCs/>
      <w:sz w:val="22"/>
      <w:szCs w:val="22"/>
    </w:rPr>
  </w:style>
  <w:style w:type="character" w:styleId="926" w:customStyle="1">
    <w:name w:val="标题 8 字符"/>
    <w:link w:val="913"/>
    <w:uiPriority w:val="9"/>
    <w:qFormat/>
    <w:rPr>
      <w:rFonts w:ascii="Arial" w:hAnsi="Arial" w:eastAsia="Arial" w:cs="Arial"/>
      <w:i/>
      <w:iCs/>
      <w:sz w:val="22"/>
      <w:szCs w:val="22"/>
    </w:rPr>
  </w:style>
  <w:style w:type="character" w:styleId="927" w:customStyle="1">
    <w:name w:val="标题 9 字符"/>
    <w:link w:val="914"/>
    <w:uiPriority w:val="9"/>
    <w:qFormat/>
    <w:rPr>
      <w:rFonts w:ascii="Arial" w:hAnsi="Arial" w:eastAsia="Arial" w:cs="Arial"/>
      <w:i/>
      <w:iCs/>
      <w:sz w:val="21"/>
      <w:szCs w:val="21"/>
    </w:rPr>
  </w:style>
  <w:style w:type="paragraph" w:styleId="928">
    <w:name w:val="List Paragraph"/>
    <w:basedOn w:val="823"/>
    <w:uiPriority w:val="34"/>
    <w:qFormat/>
    <w:pPr>
      <w:ind w:firstLine="420"/>
    </w:pPr>
  </w:style>
  <w:style w:type="paragraph" w:styleId="929">
    <w:name w:val="No Spacing"/>
    <w:uiPriority w:val="1"/>
    <w:qFormat/>
    <w:rPr>
      <w:rFonts w:ascii="Times New Roman" w:hAnsi="Times New Roman" w:eastAsia="宋体" w:cs="Times New Roman"/>
      <w:lang w:val="en-US" w:eastAsia="zh-CN" w:bidi="ar-SA"/>
    </w:rPr>
  </w:style>
  <w:style w:type="character" w:styleId="930" w:customStyle="1">
    <w:name w:val="标题 字符"/>
    <w:link w:val="861"/>
    <w:uiPriority w:val="10"/>
    <w:qFormat/>
    <w:rPr>
      <w:sz w:val="48"/>
      <w:szCs w:val="48"/>
    </w:rPr>
  </w:style>
  <w:style w:type="character" w:styleId="931" w:customStyle="1">
    <w:name w:val="副标题 字符"/>
    <w:link w:val="854"/>
    <w:uiPriority w:val="11"/>
    <w:qFormat/>
    <w:rPr>
      <w:sz w:val="24"/>
      <w:szCs w:val="24"/>
    </w:rPr>
  </w:style>
  <w:style w:type="paragraph" w:styleId="932">
    <w:name w:val="Quote"/>
    <w:basedOn w:val="823"/>
    <w:next w:val="823"/>
    <w:link w:val="933"/>
    <w:uiPriority w:val="29"/>
    <w:qFormat/>
    <w:pPr>
      <w:ind w:left="720" w:right="720"/>
    </w:pPr>
    <w:rPr>
      <w:i/>
    </w:rPr>
  </w:style>
  <w:style w:type="character" w:styleId="933" w:customStyle="1">
    <w:name w:val="引用 字符"/>
    <w:link w:val="932"/>
    <w:uiPriority w:val="29"/>
    <w:qFormat/>
    <w:rPr>
      <w:i/>
    </w:rPr>
  </w:style>
  <w:style w:type="paragraph" w:styleId="934">
    <w:name w:val="Intense Quote"/>
    <w:basedOn w:val="823"/>
    <w:next w:val="823"/>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明显引用 字符"/>
    <w:link w:val="934"/>
    <w:uiPriority w:val="30"/>
    <w:qFormat/>
    <w:rPr>
      <w:i/>
    </w:rPr>
  </w:style>
  <w:style w:type="character" w:styleId="936" w:customStyle="1">
    <w:name w:val="Header Char"/>
    <w:uiPriority w:val="99"/>
    <w:qFormat/>
  </w:style>
  <w:style w:type="character" w:styleId="937" w:customStyle="1">
    <w:name w:val="Footer Char"/>
    <w:uiPriority w:val="99"/>
    <w:qFormat/>
  </w:style>
  <w:style w:type="character" w:styleId="938" w:customStyle="1">
    <w:name w:val="页脚 字符"/>
    <w:link w:val="916"/>
    <w:uiPriority w:val="99"/>
    <w:qFormat/>
  </w:style>
  <w:style w:type="table" w:styleId="9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List Table 1 Light - Accent 1"/>
    <w:uiPriority w:val="99"/>
    <w:qFormat/>
    <w:tblPr>
      <w:tblCellMar>
        <w:left w:w="0" w:type="dxa"/>
        <w:top w:w="0" w:type="dxa"/>
        <w:right w:w="0" w:type="dxa"/>
        <w:bottom w:w="0" w:type="dxa"/>
      </w:tblCellMar>
    </w:tblPr>
  </w:style>
  <w:style w:type="table" w:styleId="983" w:customStyle="1">
    <w:name w:val="List Table 1 Light - Accent 2"/>
    <w:uiPriority w:val="99"/>
    <w:qFormat/>
    <w:tblPr>
      <w:tblCellMar>
        <w:left w:w="0" w:type="dxa"/>
        <w:top w:w="0" w:type="dxa"/>
        <w:right w:w="0" w:type="dxa"/>
        <w:bottom w:w="0" w:type="dxa"/>
      </w:tblCellMar>
    </w:tblPr>
  </w:style>
  <w:style w:type="table" w:styleId="984" w:customStyle="1">
    <w:name w:val="List Table 1 Light - Accent 3"/>
    <w:uiPriority w:val="99"/>
    <w:qFormat/>
    <w:tblPr>
      <w:tblCellMar>
        <w:left w:w="0" w:type="dxa"/>
        <w:top w:w="0" w:type="dxa"/>
        <w:right w:w="0" w:type="dxa"/>
        <w:bottom w:w="0" w:type="dxa"/>
      </w:tblCellMar>
    </w:tblPr>
  </w:style>
  <w:style w:type="table" w:styleId="985" w:customStyle="1">
    <w:name w:val="List Table 1 Light - Accent 4"/>
    <w:uiPriority w:val="99"/>
    <w:qFormat/>
    <w:tblPr>
      <w:tblCellMar>
        <w:left w:w="0" w:type="dxa"/>
        <w:top w:w="0" w:type="dxa"/>
        <w:right w:w="0" w:type="dxa"/>
        <w:bottom w:w="0" w:type="dxa"/>
      </w:tblCellMar>
    </w:tblPr>
  </w:style>
  <w:style w:type="table" w:styleId="986" w:customStyle="1">
    <w:name w:val="List Table 1 Light - Accent 5"/>
    <w:uiPriority w:val="99"/>
    <w:qFormat/>
    <w:tblPr>
      <w:tblCellMar>
        <w:left w:w="0" w:type="dxa"/>
        <w:top w:w="0" w:type="dxa"/>
        <w:right w:w="0" w:type="dxa"/>
        <w:bottom w:w="0" w:type="dxa"/>
      </w:tblCellMar>
    </w:tblPr>
  </w:style>
  <w:style w:type="table" w:styleId="987" w:customStyle="1">
    <w:name w:val="List Table 1 Light - Accent 6"/>
    <w:uiPriority w:val="99"/>
    <w:qFormat/>
    <w:tblPr>
      <w:tblCellMar>
        <w:left w:w="0" w:type="dxa"/>
        <w:top w:w="0" w:type="dxa"/>
        <w:right w:w="0" w:type="dxa"/>
        <w:bottom w:w="0" w:type="dxa"/>
      </w:tblCellMar>
    </w:tblPr>
  </w:style>
  <w:style w:type="table" w:styleId="9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4" w:customStyle="1">
    <w:name w:val="Lined - Accent"/>
    <w:uiPriority w:val="99"/>
    <w:qFormat/>
    <w:rPr>
      <w:color w:val="404040"/>
    </w:rPr>
    <w:tblPr>
      <w:tblCellMar>
        <w:left w:w="0" w:type="dxa"/>
        <w:top w:w="0" w:type="dxa"/>
        <w:right w:w="0" w:type="dxa"/>
        <w:bottom w:w="0" w:type="dxa"/>
      </w:tblCellMar>
    </w:tblPr>
  </w:style>
  <w:style w:type="table" w:styleId="1025" w:customStyle="1">
    <w:name w:val="Lined - Accent 1"/>
    <w:uiPriority w:val="99"/>
    <w:qFormat/>
    <w:rPr>
      <w:color w:val="404040"/>
    </w:rPr>
    <w:tblPr>
      <w:tblCellMar>
        <w:left w:w="0" w:type="dxa"/>
        <w:top w:w="0" w:type="dxa"/>
        <w:right w:w="0" w:type="dxa"/>
        <w:bottom w:w="0" w:type="dxa"/>
      </w:tblCellMar>
    </w:tblPr>
  </w:style>
  <w:style w:type="table" w:styleId="1026" w:customStyle="1">
    <w:name w:val="Lined - Accent 2"/>
    <w:uiPriority w:val="99"/>
    <w:qFormat/>
    <w:rPr>
      <w:color w:val="404040"/>
    </w:rPr>
    <w:tblPr>
      <w:tblCellMar>
        <w:left w:w="0" w:type="dxa"/>
        <w:top w:w="0" w:type="dxa"/>
        <w:right w:w="0" w:type="dxa"/>
        <w:bottom w:w="0" w:type="dxa"/>
      </w:tblCellMar>
    </w:tblPr>
  </w:style>
  <w:style w:type="table" w:styleId="1027" w:customStyle="1">
    <w:name w:val="Lined - Accent 3"/>
    <w:uiPriority w:val="99"/>
    <w:qFormat/>
    <w:rPr>
      <w:color w:val="404040"/>
    </w:rPr>
    <w:tblPr>
      <w:tblCellMar>
        <w:left w:w="0" w:type="dxa"/>
        <w:top w:w="0" w:type="dxa"/>
        <w:right w:w="0" w:type="dxa"/>
        <w:bottom w:w="0" w:type="dxa"/>
      </w:tblCellMar>
    </w:tblPr>
  </w:style>
  <w:style w:type="table" w:styleId="1028" w:customStyle="1">
    <w:name w:val="Lined - Accent 4"/>
    <w:uiPriority w:val="99"/>
    <w:qFormat/>
    <w:rPr>
      <w:color w:val="404040"/>
    </w:rPr>
    <w:tblPr>
      <w:tblCellMar>
        <w:left w:w="0" w:type="dxa"/>
        <w:top w:w="0" w:type="dxa"/>
        <w:right w:w="0" w:type="dxa"/>
        <w:bottom w:w="0" w:type="dxa"/>
      </w:tblCellMar>
    </w:tblPr>
  </w:style>
  <w:style w:type="table" w:styleId="1029" w:customStyle="1">
    <w:name w:val="Lined - Accent 5"/>
    <w:uiPriority w:val="99"/>
    <w:qFormat/>
    <w:rPr>
      <w:color w:val="404040"/>
    </w:rPr>
    <w:tblPr>
      <w:tblCellMar>
        <w:left w:w="0" w:type="dxa"/>
        <w:top w:w="0" w:type="dxa"/>
        <w:right w:w="0" w:type="dxa"/>
        <w:bottom w:w="0" w:type="dxa"/>
      </w:tblCellMar>
    </w:tblPr>
  </w:style>
  <w:style w:type="table" w:styleId="1030" w:customStyle="1">
    <w:name w:val="Lined - Accent 6"/>
    <w:uiPriority w:val="99"/>
    <w:qFormat/>
    <w:rPr>
      <w:color w:val="404040"/>
    </w:rPr>
    <w:tblPr>
      <w:tblCellMar>
        <w:left w:w="0" w:type="dxa"/>
        <w:top w:w="0" w:type="dxa"/>
        <w:right w:w="0" w:type="dxa"/>
        <w:bottom w:w="0" w:type="dxa"/>
      </w:tblCellMar>
    </w:tblPr>
  </w:style>
  <w:style w:type="table" w:styleId="10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5" w:customStyle="1">
    <w:name w:val="脚注文本 字符"/>
    <w:link w:val="855"/>
    <w:uiPriority w:val="99"/>
    <w:qFormat/>
    <w:rPr>
      <w:sz w:val="18"/>
    </w:rPr>
  </w:style>
  <w:style w:type="character" w:styleId="1046" w:customStyle="1">
    <w:name w:val="尾注文本 字符"/>
    <w:link w:val="845"/>
    <w:uiPriority w:val="99"/>
    <w:qFormat/>
    <w:rPr>
      <w:sz w:val="20"/>
    </w:rPr>
  </w:style>
  <w:style w:type="paragraph" w:styleId="1047" w:customStyle="1">
    <w:name w:val="TOC 标题11"/>
    <w:uiPriority w:val="39"/>
    <w:unhideWhenUsed/>
    <w:qFormat/>
    <w:rPr>
      <w:rFonts w:ascii="Times New Roman" w:hAnsi="Times New Roman" w:eastAsia="宋体" w:cs="Times New Roman"/>
      <w:lang w:val="en-US" w:eastAsia="zh-CN" w:bidi="ar-SA"/>
    </w:rPr>
  </w:style>
  <w:style w:type="character" w:styleId="1048" w:customStyle="1">
    <w:name w:val="页眉 字符"/>
    <w:link w:val="917"/>
    <w:uiPriority w:val="0"/>
    <w:qFormat/>
    <w:rPr>
      <w:rFonts w:ascii="Times New Roman" w:hAnsi="Times New Roman" w:eastAsia="楷体_GB2312"/>
      <w:sz w:val="18"/>
      <w:szCs w:val="18"/>
    </w:rPr>
  </w:style>
  <w:style w:type="paragraph" w:styleId="1049" w:customStyle="1">
    <w:name w:val="索引 41"/>
    <w:basedOn w:val="823"/>
    <w:next w:val="823"/>
    <w:uiPriority w:val="0"/>
    <w:qFormat/>
    <w:pPr>
      <w:ind w:left="600"/>
    </w:pPr>
    <w:rPr>
      <w:szCs w:val="21"/>
    </w:rPr>
  </w:style>
  <w:style w:type="paragraph" w:styleId="1050" w:customStyle="1">
    <w:name w:val="正文首行缩进 21"/>
    <w:basedOn w:val="850"/>
    <w:uiPriority w:val="99"/>
    <w:unhideWhenUsed/>
    <w:qFormat/>
    <w:pPr>
      <w:ind w:firstLine="420"/>
    </w:pPr>
  </w:style>
  <w:style w:type="paragraph" w:styleId="1051" w:customStyle="1">
    <w:name w:val="目录 11"/>
    <w:basedOn w:val="823"/>
    <w:next w:val="823"/>
    <w:uiPriority w:val="0"/>
    <w:unhideWhenUsed/>
    <w:qFormat/>
    <w:pPr>
      <w:jc w:val="left"/>
    </w:pPr>
    <w:rPr>
      <w:sz w:val="24"/>
    </w:rPr>
  </w:style>
  <w:style w:type="paragraph" w:styleId="1052" w:customStyle="1">
    <w:name w:val="标题 211"/>
    <w:basedOn w:val="823"/>
    <w:next w:val="823"/>
    <w:uiPriority w:val="0"/>
    <w:qFormat/>
    <w:pPr>
      <w:keepLines/>
      <w:keepNext/>
      <w:spacing w:before="260" w:after="260" w:line="416" w:lineRule="auto"/>
      <w:outlineLvl w:val="1"/>
    </w:pPr>
    <w:rPr>
      <w:rFonts w:ascii="Cambria" w:hAnsi="Cambria" w:eastAsia="宋体"/>
      <w:b/>
      <w:bCs/>
      <w:sz w:val="32"/>
      <w:szCs w:val="32"/>
    </w:rPr>
  </w:style>
  <w:style w:type="paragraph" w:styleId="105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54" w:customStyle="1">
    <w:name w:val="纯文本1111"/>
    <w:basedOn w:val="823"/>
    <w:next w:val="1055"/>
    <w:uiPriority w:val="0"/>
    <w:unhideWhenUsed/>
    <w:qFormat/>
    <w:rPr>
      <w:rFonts w:ascii="宋体" w:hAnsi="Courier New"/>
    </w:rPr>
  </w:style>
  <w:style w:type="paragraph" w:styleId="1055" w:customStyle="1">
    <w:name w:val="正文缩进1"/>
    <w:basedOn w:val="823"/>
    <w:uiPriority w:val="0"/>
    <w:unhideWhenUsed/>
    <w:qFormat/>
    <w:pPr>
      <w:ind w:firstLine="420"/>
      <w:jc w:val="left"/>
    </w:pPr>
    <w:rPr>
      <w:sz w:val="24"/>
    </w:rPr>
  </w:style>
  <w:style w:type="paragraph" w:styleId="1056" w:customStyle="1">
    <w:name w:val="首行缩进"/>
    <w:basedOn w:val="823"/>
    <w:uiPriority w:val="0"/>
    <w:qFormat/>
    <w:pPr>
      <w:ind w:firstLine="480"/>
      <w:spacing w:line="360" w:lineRule="auto"/>
    </w:pPr>
    <w:rPr>
      <w:rFonts w:hAnsi="宋体" w:eastAsia="宋体" w:cs="宋体"/>
      <w:sz w:val="24"/>
      <w:szCs w:val="24"/>
    </w:rPr>
  </w:style>
  <w:style w:type="paragraph" w:styleId="1057" w:customStyle="1">
    <w:name w:val="Char"/>
    <w:basedOn w:val="823"/>
    <w:uiPriority w:val="0"/>
    <w:qFormat/>
  </w:style>
  <w:style w:type="paragraph" w:styleId="1058" w:customStyle="1">
    <w:name w:val="标题 111"/>
    <w:basedOn w:val="823"/>
    <w:next w:val="823"/>
    <w:uiPriority w:val="0"/>
    <w:qFormat/>
    <w:pPr>
      <w:keepLines/>
      <w:keepNext/>
      <w:spacing w:before="340" w:after="330" w:line="578" w:lineRule="auto"/>
      <w:outlineLvl w:val="0"/>
    </w:pPr>
    <w:rPr>
      <w:b/>
      <w:sz w:val="44"/>
    </w:rPr>
  </w:style>
  <w:style w:type="paragraph" w:styleId="1059" w:customStyle="1">
    <w:name w:val="纯文本1"/>
    <w:basedOn w:val="823"/>
    <w:uiPriority w:val="0"/>
    <w:qFormat/>
    <w:rPr>
      <w:rFonts w:ascii="宋体" w:hAnsi="Courier New"/>
    </w:rPr>
  </w:style>
  <w:style w:type="paragraph" w:styleId="1060" w:customStyle="1">
    <w:name w:val="正文2"/>
    <w:basedOn w:val="823"/>
    <w:uiPriority w:val="0"/>
    <w:qFormat/>
    <w:pPr>
      <w:ind w:firstLine="510"/>
      <w:spacing w:before="156" w:line="360" w:lineRule="auto"/>
    </w:pPr>
    <w:rPr>
      <w:sz w:val="24"/>
    </w:rPr>
  </w:style>
  <w:style w:type="character" w:styleId="1061" w:customStyle="1">
    <w:name w:val="要点1"/>
    <w:uiPriority w:val="0"/>
    <w:qFormat/>
    <w:rPr>
      <w:b/>
      <w:bCs/>
    </w:rPr>
  </w:style>
  <w:style w:type="paragraph" w:styleId="1062" w:customStyle="1">
    <w:name w:val="普通(网站)1"/>
    <w:basedOn w:val="823"/>
    <w:uiPriority w:val="0"/>
    <w:unhideWhenUsed/>
    <w:qFormat/>
    <w:pPr>
      <w:jc w:val="left"/>
      <w:spacing w:before="100" w:beforeAutospacing="1" w:after="100" w:afterAutospacing="1"/>
      <w:widowControl/>
    </w:pPr>
    <w:rPr>
      <w:rFonts w:ascii="宋体" w:hAnsi="宋体" w:cs="宋体"/>
      <w:sz w:val="24"/>
    </w:rPr>
  </w:style>
  <w:style w:type="paragraph" w:styleId="1063" w:customStyle="1">
    <w:name w:val="正文文本缩进 21"/>
    <w:basedOn w:val="823"/>
    <w:uiPriority w:val="0"/>
    <w:unhideWhenUsed/>
    <w:qFormat/>
    <w:pPr>
      <w:ind w:left="420"/>
      <w:spacing w:after="120" w:line="480" w:lineRule="auto"/>
    </w:pPr>
  </w:style>
  <w:style w:type="paragraph" w:styleId="1064" w:customStyle="1">
    <w:name w:val="纯文本11"/>
    <w:basedOn w:val="823"/>
    <w:uiPriority w:val="99"/>
    <w:qFormat/>
    <w:rPr>
      <w:rFonts w:ascii="宋体" w:hAnsi="Courier New"/>
    </w:rPr>
  </w:style>
  <w:style w:type="paragraph" w:styleId="1065" w:customStyle="1">
    <w:name w:val="索引 11"/>
    <w:basedOn w:val="823"/>
    <w:next w:val="823"/>
    <w:uiPriority w:val="0"/>
    <w:unhideWhenUsed/>
    <w:qFormat/>
    <w:pPr>
      <w:jc w:val="center"/>
      <w:spacing w:line="220" w:lineRule="exact"/>
    </w:pPr>
    <w:rPr>
      <w:rFonts w:ascii="仿宋_GB2312" w:eastAsia="仿宋_GB2312"/>
      <w:szCs w:val="21"/>
    </w:rPr>
  </w:style>
  <w:style w:type="paragraph" w:styleId="1066" w:customStyle="1">
    <w:name w:val="正文文本1"/>
    <w:basedOn w:val="823"/>
    <w:uiPriority w:val="0"/>
    <w:unhideWhenUsed/>
    <w:qFormat/>
    <w:rPr>
      <w:rFonts w:ascii="楷体_GB2312"/>
      <w:b/>
      <w:bCs/>
      <w:sz w:val="28"/>
    </w:rPr>
  </w:style>
  <w:style w:type="paragraph" w:styleId="1067" w:customStyle="1">
    <w:name w:val="页眉11"/>
    <w:basedOn w:val="823"/>
    <w:uiPriority w:val="0"/>
    <w:unhideWhenUsed/>
    <w:qFormat/>
    <w:pPr>
      <w:jc w:val="center"/>
      <w:tabs>
        <w:tab w:val="center" w:pos="4153" w:leader="none"/>
        <w:tab w:val="right" w:pos="8306" w:leader="none"/>
      </w:tabs>
      <w:pBdr>
        <w:bottom w:val="single" w:color="000000" w:sz="6" w:space="1"/>
      </w:pBdr>
    </w:pPr>
    <w:rPr>
      <w:sz w:val="18"/>
    </w:rPr>
  </w:style>
  <w:style w:type="paragraph" w:styleId="1068" w:customStyle="1">
    <w:name w:val="页脚11"/>
    <w:basedOn w:val="823"/>
    <w:uiPriority w:val="0"/>
    <w:unhideWhenUsed/>
    <w:qFormat/>
    <w:pPr>
      <w:jc w:val="left"/>
      <w:tabs>
        <w:tab w:val="center" w:pos="4153" w:leader="none"/>
        <w:tab w:val="right" w:pos="8306" w:leader="none"/>
      </w:tabs>
    </w:pPr>
    <w:rPr>
      <w:sz w:val="18"/>
    </w:rPr>
  </w:style>
  <w:style w:type="character" w:styleId="1069" w:customStyle="1">
    <w:name w:val="font81"/>
    <w:uiPriority w:val="0"/>
    <w:qFormat/>
    <w:rPr>
      <w:rFonts w:ascii="Times New Roman" w:hAnsi="Times New Roman" w:cs="Times New Roman"/>
      <w:color w:val="000000"/>
      <w:sz w:val="22"/>
      <w:szCs w:val="22"/>
      <w:u w:val="none"/>
    </w:rPr>
  </w:style>
  <w:style w:type="character" w:styleId="1070" w:customStyle="1">
    <w:name w:val="font11"/>
    <w:uiPriority w:val="0"/>
    <w:qFormat/>
    <w:rPr>
      <w:rFonts w:hint="eastAsia" w:ascii="仿宋" w:hAnsi="仿宋" w:eastAsia="仿宋" w:cs="仿宋"/>
      <w:color w:val="000000"/>
      <w:sz w:val="22"/>
      <w:szCs w:val="22"/>
      <w:u w:val="none"/>
    </w:rPr>
  </w:style>
  <w:style w:type="character" w:styleId="1071" w:customStyle="1">
    <w:name w:val="font101"/>
    <w:uiPriority w:val="0"/>
    <w:qFormat/>
    <w:rPr>
      <w:rFonts w:ascii="Arial" w:hAnsi="Arial" w:cs="Arial"/>
      <w:color w:val="000000"/>
      <w:sz w:val="22"/>
      <w:szCs w:val="22"/>
      <w:u w:val="none"/>
    </w:rPr>
  </w:style>
  <w:style w:type="paragraph" w:styleId="1072" w:customStyle="1">
    <w:name w:val="List Paragraph_f0420307-4c65-4cf4-ac34-e8950b7bacb1"/>
    <w:basedOn w:val="823"/>
    <w:uiPriority w:val="0"/>
    <w:qFormat/>
    <w:pPr>
      <w:ind w:firstLine="420"/>
    </w:pPr>
    <w:rPr>
      <w:rFonts w:eastAsia="宋体"/>
      <w:sz w:val="21"/>
      <w:szCs w:val="21"/>
    </w:rPr>
  </w:style>
  <w:style w:type="character" w:styleId="1073" w:customStyle="1">
    <w:name w:val="font51"/>
    <w:basedOn w:val="833"/>
    <w:uiPriority w:val="0"/>
    <w:qFormat/>
    <w:rPr>
      <w:rFonts w:hint="default" w:ascii="Times New Roman" w:hAnsi="Times New Roman" w:cs="Times New Roman"/>
      <w:color w:val="000000"/>
      <w:sz w:val="21"/>
      <w:szCs w:val="21"/>
      <w:u w:val="none"/>
    </w:rPr>
  </w:style>
  <w:style w:type="character" w:styleId="1074" w:customStyle="1">
    <w:name w:val="font31"/>
    <w:basedOn w:val="833"/>
    <w:uiPriority w:val="0"/>
    <w:qFormat/>
    <w:rPr>
      <w:rFonts w:hint="eastAsia" w:ascii="宋体" w:hAnsi="宋体" w:eastAsia="宋体" w:cs="宋体"/>
      <w:color w:val="000000"/>
      <w:sz w:val="21"/>
      <w:szCs w:val="21"/>
      <w:u w:val="none"/>
    </w:rPr>
  </w:style>
  <w:style w:type="character" w:styleId="1075" w:customStyle="1">
    <w:name w:val="font21"/>
    <w:basedOn w:val="833"/>
    <w:uiPriority w:val="0"/>
    <w:qFormat/>
    <w:rPr>
      <w:rFonts w:hint="default" w:ascii="Times New Roman" w:hAnsi="Times New Roman" w:cs="Times New Roman"/>
      <w:color w:val="000000"/>
      <w:sz w:val="21"/>
      <w:szCs w:val="21"/>
      <w:u w:val="none"/>
    </w:rPr>
  </w:style>
  <w:style w:type="character" w:styleId="1076" w:customStyle="1">
    <w:name w:val="font61"/>
    <w:basedOn w:val="833"/>
    <w:uiPriority w:val="0"/>
    <w:qFormat/>
    <w:rPr>
      <w:rFonts w:hint="eastAsia" w:ascii="宋体" w:hAnsi="宋体" w:eastAsia="宋体" w:cs="宋体"/>
      <w:color w:val="000000"/>
      <w:sz w:val="21"/>
      <w:szCs w:val="21"/>
      <w:u w:val="none"/>
    </w:rPr>
  </w:style>
  <w:style w:type="character" w:styleId="1077" w:customStyle="1">
    <w:name w:val="font41"/>
    <w:basedOn w:val="833"/>
    <w:uiPriority w:val="0"/>
    <w:qFormat/>
    <w:rPr>
      <w:rFonts w:hint="default" w:ascii="Times New Roman" w:hAnsi="Times New Roman" w:cs="Times New Roman"/>
      <w:color w:val="000000"/>
      <w:sz w:val="20"/>
      <w:szCs w:val="20"/>
      <w:u w:val="none"/>
    </w:rPr>
  </w:style>
  <w:style w:type="character" w:styleId="1078" w:customStyle="1">
    <w:name w:val="批注框文本 字符"/>
    <w:basedOn w:val="833"/>
    <w:link w:val="846"/>
    <w:uiPriority w:val="99"/>
    <w:semiHidden/>
    <w:qFormat/>
    <w:rPr>
      <w:rFonts w:eastAsia="楷体_GB2312"/>
      <w:sz w:val="18"/>
      <w:szCs w:val="18"/>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样式 首行缩进:  2 字符"/>
    <w:basedOn w:val="823"/>
    <w:link w:val="1081"/>
    <w:uiPriority w:val="0"/>
    <w:qFormat/>
    <w:pPr>
      <w:ind w:firstLine="480"/>
      <w:spacing w:line="360" w:lineRule="auto"/>
    </w:pPr>
    <w:rPr>
      <w:rFonts w:eastAsia="宋体"/>
      <w:sz w:val="24"/>
    </w:rPr>
  </w:style>
  <w:style w:type="character" w:styleId="1081" w:customStyle="1">
    <w:name w:val="样式 首行缩进:  2 字符 Char Char"/>
    <w:link w:val="1080"/>
    <w:uiPriority w:val="0"/>
    <w:qFormat/>
    <w:rPr>
      <w:sz w:val="24"/>
    </w:rPr>
  </w:style>
  <w:style w:type="character" w:styleId="1082" w:customStyle="1">
    <w:name w:val="页眉 字符1"/>
    <w:basedOn w:val="833"/>
    <w:link w:val="851"/>
    <w:uiPriority w:val="99"/>
    <w:qFormat/>
    <w:rPr>
      <w:rFonts w:eastAsia="楷体_GB2312"/>
      <w:sz w:val="18"/>
      <w:szCs w:val="18"/>
    </w:rPr>
  </w:style>
  <w:style w:type="character" w:styleId="1083" w:customStyle="1">
    <w:name w:val="页脚 字符1"/>
    <w:basedOn w:val="833"/>
    <w:link w:val="847"/>
    <w:uiPriority w:val="99"/>
    <w:qFormat/>
    <w:rPr>
      <w:rFonts w:eastAsia="楷体_GB2312"/>
      <w:sz w:val="18"/>
      <w:szCs w:val="18"/>
    </w:rPr>
  </w:style>
  <w:style w:type="paragraph" w:styleId="1084" w:customStyle="1">
    <w:name w:val="Table Text"/>
    <w:basedOn w:val="823"/>
    <w:uiPriority w:val="0"/>
    <w:semiHidden/>
    <w:qFormat/>
    <w:pPr>
      <w:jc w:val="left"/>
      <w:widowControl/>
    </w:pPr>
    <w:rPr>
      <w:rFonts w:ascii="宋体" w:hAnsi="宋体" w:eastAsia="宋体" w:cs="宋体"/>
      <w:color w:val="000000"/>
      <w:sz w:val="24"/>
      <w:szCs w:val="24"/>
      <w:lang w:eastAsia="en-US"/>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43</cp:revision>
  <dcterms:created xsi:type="dcterms:W3CDTF">2024-11-12T10:22:00Z</dcterms:created>
  <dcterms:modified xsi:type="dcterms:W3CDTF">2026-02-04T03:56:57Z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B3BA42DC8484435382306F185002577D_13</vt:lpwstr>
  </property>
  <property fmtid="{D5CDD505-2E9C-101B-9397-08002B2CF9AE}" pid="4" name="KSOTemplateDocerSaveRecord">
    <vt:lpwstr>eyJoZGlkIjoiOGIzYWQ0NGI5ODZhMmQ2NjdiNzEwMGIwMWZiZDFiNzgiLCJ1c2VySWQiOiI1MzgyNjc5MTEifQ==</vt:lpwstr>
  </property>
</Properties>
</file>