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项目名称：扬州市水利局扬州市城区智慧水利综合调度系统水资源管理模块</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项目编号：JSZC-321000-JZCG-G2026-0011</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01</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w:t>
      </w:r>
      <w:r>
        <w:rPr>
          <w:rFonts w:hint="eastAsia" w:ascii="黑体" w:hAnsi="黑体" w:eastAsia="黑体" w:cs="黑体"/>
          <w:color w:val="000000"/>
          <w:sz w:val="36"/>
          <w:lang w:val="en-US" w:eastAsia="zh-CN"/>
        </w:rPr>
        <w:t xml:space="preserve">9</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44"/>
      </w:pPr>
      <w:r>
        <w:rPr>
          <w:rStyle w:val="980"/>
          <w:rFonts w:ascii="黑体" w:hAnsi="黑体" w:eastAsia="黑体" w:cs="黑体"/>
        </w:rPr>
        <w:t xml:space="preserve">第一章 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受[扬州市水利局]的委托，扬州市公共资源交易中心就[扬州市水利局扬州市城区智慧水利综合调度系统水资源管理模块](JSZC-321000-JZCG-G2026-0011)项目进行公开招标采购，欢迎符合条件的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（扬州市水利局扬州市城区智慧水利综合调度系统水资源管理模块）</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02</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10</w:t>
      </w:r>
      <w:r>
        <w:rPr>
          <w:rFonts w:ascii="宋体" w:hAnsi="宋体" w:eastAsia="宋体" w:cs="宋体"/>
          <w:color w:val="ff0000"/>
          <w:sz w:val="24"/>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1.项目编号：JSZC-321000-JZCG-G2026-0011</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2.项目名称：扬州市水利局扬州市城区智慧水利综合调度系统水资源管理模块</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p>
        </w:tc>
      </w:tr>
    </w:tbl>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p>
        </w:tc>
      </w:tr>
    </w:tbl>
    <w:p>
      <w:pPr>
        <w:numPr>
          <w:ilvl w:val="0"/>
          <w:numId w:val="6"/>
        </w:numPr>
        <w:ind w:lef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采购需求（简介）：</w:t>
      </w:r>
      <w:r>
        <w:rPr>
          <w:rFonts w:hint="eastAsia" w:ascii="宋体" w:hAnsi="宋体" w:cs="宋体"/>
          <w:sz w:val="24"/>
          <w:szCs w:val="24"/>
          <w:lang w:val="en-US" w:eastAsia="zh-CN"/>
        </w:rPr>
        <w:t xml:space="preserve">包1：</w:t>
      </w:r>
      <w:r>
        <w:rPr>
          <w:rFonts w:hint="eastAsia" w:ascii="宋体" w:hAnsi="宋体"/>
          <w:sz w:val="24"/>
          <w:szCs w:val="24"/>
        </w:rPr>
        <w:t xml:space="preserve">开展取用水管理、节约用水管理、水资源保护、政务服务等四个业务功能建设，构建统一的水资源管理和节约用水数据底板</w:t>
      </w:r>
      <w:r>
        <w:rPr>
          <w:rFonts w:hint="eastAsia" w:ascii="宋体" w:hAnsi="宋体" w:cs="宋体"/>
          <w:sz w:val="24"/>
          <w:szCs w:val="24"/>
        </w:rPr>
        <w:t xml:space="preserve">；</w:t>
      </w:r>
      <w:r>
        <w:rPr>
          <w:rFonts w:hint="eastAsia" w:ascii="宋体" w:hAnsi="宋体" w:cs="宋体"/>
          <w:sz w:val="24"/>
          <w:szCs w:val="24"/>
          <w:lang w:val="en-US" w:eastAsia="zh-CN"/>
        </w:rPr>
        <w:t xml:space="preserve">包2：</w:t>
      </w:r>
      <w:r>
        <w:rPr>
          <w:rFonts w:hint="eastAsia" w:ascii="宋体" w:hAnsi="宋体" w:cs="宋体"/>
          <w:sz w:val="24"/>
          <w:szCs w:val="24"/>
        </w:rPr>
        <w:t xml:space="preserve">依据国家有关质量检测标准开展</w:t>
      </w:r>
      <w:r>
        <w:rPr>
          <w:rFonts w:hint="eastAsia" w:ascii="宋体" w:hAnsi="宋体"/>
          <w:sz w:val="24"/>
          <w:szCs w:val="24"/>
        </w:rPr>
        <w:t xml:space="preserve">扬州市城区智慧水利综合调度系统水资源管理模块项目</w:t>
      </w:r>
      <w:r>
        <w:rPr>
          <w:rFonts w:hint="eastAsia" w:ascii="宋体" w:hAnsi="宋体" w:cs="宋体"/>
          <w:sz w:val="24"/>
          <w:szCs w:val="24"/>
        </w:rPr>
        <w:t xml:space="preserve">检测服务工作，对项目实现的功能、性能等进行符合性验证，出具</w:t>
      </w:r>
      <w:r>
        <w:rPr>
          <w:rFonts w:hint="eastAsia" w:asciiTheme="minorEastAsia" w:hAnsiTheme="minorEastAsia" w:eastAsiaTheme="minorEastAsia" w:cstheme="minorEastAsia"/>
          <w:sz w:val="24"/>
          <w:szCs w:val="24"/>
        </w:rPr>
        <w:t xml:space="preserve">软件测试评估报告</w:t>
      </w:r>
      <w:r>
        <w:rPr>
          <w:rFonts w:hint="eastAsia" w:ascii="宋体" w:hAnsi="宋体" w:cs="宋体"/>
          <w:sz w:val="24"/>
          <w:szCs w:val="24"/>
        </w:rPr>
        <w:t xml:space="preserve">。</w:t>
      </w:r>
      <w:r>
        <w:rPr>
          <w:rFonts w:ascii="宋体" w:hAnsi="宋体" w:eastAsia="宋体" w:cs="宋体"/>
          <w:color w:val="000000"/>
          <w:sz w:val="24"/>
        </w:rPr>
        <w:t xml:space="preserve">（详细内容见本招标文件第四章）</w:t>
      </w:r>
      <w:r/>
    </w:p>
    <w:p>
      <w:pPr>
        <w:numPr>
          <w:ilvl w:val="0"/>
          <w:numId w:val="0"/>
        </w:numPr>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本项目</w:t>
      </w:r>
      <w:r>
        <w:rPr>
          <w:rFonts w:hint="eastAsia" w:ascii="宋体" w:hAnsi="宋体" w:cs="宋体"/>
          <w:b/>
          <w:bCs/>
          <w:color w:val="000000"/>
          <w:sz w:val="24"/>
          <w:lang w:val="en-US" w:eastAsia="zh-CN"/>
        </w:rPr>
        <w:t xml:space="preserve">不</w:t>
      </w:r>
      <w:r>
        <w:rPr>
          <w:rFonts w:hint="eastAsia" w:ascii="宋体" w:hAnsi="宋体" w:eastAsia="宋体" w:cs="宋体"/>
          <w:b/>
          <w:bCs/>
          <w:color w:val="000000"/>
          <w:sz w:val="24"/>
          <w:lang w:val="en-US" w:eastAsia="zh-CN"/>
        </w:rPr>
        <w:t xml:space="preserve">可兼中，评标顺序包1至包2。</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6.合同履行期限：详细内容见本招标文件第四章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2</w:t>
      </w:r>
      <w:r>
        <w:rPr>
          <w:rFonts w:hint="eastAsia" w:ascii="宋体" w:hAnsi="宋体" w:cs="宋体"/>
          <w:color w:val="000000"/>
          <w:sz w:val="24"/>
          <w:lang w:val="en-US" w:eastAsia="zh-CN"/>
        </w:rPr>
        <w:t xml:space="preserve">024年度</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包一：</w:t>
      </w:r>
      <w:r>
        <w:rPr>
          <w:rFonts w:ascii="宋体" w:hAnsi="宋体" w:eastAsia="宋体" w:cs="宋体"/>
          <w:color w:val="000000"/>
          <w:sz w:val="24"/>
        </w:rPr>
        <w:t xml:space="preserve">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包二：</w:t>
      </w:r>
      <w:r>
        <w:rPr>
          <w:rFonts w:ascii="宋体" w:hAnsi="宋体" w:eastAsia="宋体" w:cs="宋体"/>
          <w:color w:val="000000"/>
          <w:sz w:val="24"/>
        </w:rPr>
        <w:t xml:space="preserve">专门面向中小企业采购。残疾人福利性单位、监狱和戒毒企业（简称监狱企业）视同小型、微型企业。（</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6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8"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8"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5" w:type="dxa"/>
            <w:vAlign w:val="top"/>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bCs/>
                <w:sz w:val="24"/>
                <w:szCs w:val="24"/>
                <w:lang w:val="en-US" w:eastAsia="zh-CN"/>
              </w:rPr>
              <w:t xml:space="preserve">提供202</w:t>
            </w:r>
            <w:r>
              <w:rPr>
                <w:rFonts w:hint="eastAsia" w:asciiTheme="minorEastAsia" w:hAnsiTheme="minorEastAsia" w:cstheme="minorEastAsia"/>
                <w:bCs/>
                <w:sz w:val="24"/>
                <w:szCs w:val="24"/>
                <w:lang w:val="en-US" w:eastAsia="zh-CN"/>
              </w:rPr>
              <w:t xml:space="preserve">3</w:t>
            </w:r>
            <w:r>
              <w:rPr>
                <w:rFonts w:hint="eastAsia" w:eastAsia="宋体" w:asciiTheme="minorEastAsia" w:hAnsiTheme="minorEastAsia" w:cstheme="minorEastAsia"/>
                <w:bCs/>
                <w:sz w:val="24"/>
                <w:szCs w:val="24"/>
                <w:lang w:val="en-US" w:eastAsia="zh-CN"/>
              </w:rPr>
              <w:t xml:space="preserve">年1月1日</w:t>
            </w:r>
            <w:r>
              <w:rPr>
                <w:rFonts w:hint="eastAsia" w:asciiTheme="minorEastAsia" w:hAnsiTheme="minorEastAsia" w:cstheme="minorEastAsia"/>
                <w:bCs/>
                <w:sz w:val="24"/>
                <w:szCs w:val="24"/>
                <w:lang w:val="en-US" w:eastAsia="zh-CN"/>
              </w:rPr>
              <w:t xml:space="preserve">至今</w:t>
            </w:r>
            <w:r>
              <w:rPr>
                <w:rFonts w:hint="eastAsia" w:eastAsia="宋体" w:asciiTheme="minorEastAsia" w:hAnsiTheme="minorEastAsia" w:cstheme="minorEastAsia"/>
                <w:bCs/>
                <w:sz w:val="24"/>
                <w:szCs w:val="24"/>
                <w:lang w:val="en-US" w:eastAsia="zh-CN"/>
              </w:rPr>
              <w:t xml:space="preserve">2个类似业绩。（以合同签订时间为准，须提供合同，原件扫描上传）</w:t>
            </w:r>
            <w:r/>
          </w:p>
        </w:tc>
      </w:tr>
    </w:tbl>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2025年</w:t>
      </w:r>
      <w:r>
        <w:rPr>
          <w:rFonts w:hint="eastAsia" w:ascii="宋体" w:hAnsi="宋体" w:cs="宋体"/>
          <w:color w:val="ff0000"/>
          <w:sz w:val="24"/>
          <w:u w:val="single"/>
          <w:lang w:val="en-US" w:eastAsia="zh-CN"/>
        </w:rPr>
        <w:t xml:space="preserve">02</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10</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rPr>
        <w:t xml:space="preserve">扬州市水利局</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rPr>
        <w:t xml:space="preserve">扬州市广陵区文昌中路460号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u w:val="single"/>
        </w:rPr>
        <w:t xml:space="preserve">陈主任</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single"/>
        </w:rPr>
        <w:t xml:space="preserve">0514</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87322940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2.扬州市公共资源交易中心信息</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ascii="宋体" w:hAnsi="宋体" w:eastAsia="宋体" w:cs="宋体"/>
          <w:color w:val="000000"/>
          <w:sz w:val="24"/>
          <w:u w:val="single"/>
        </w:rPr>
        <w:t xml:space="preserve">扬州市文昌东路9号广陵新城市民中心1号楼5楼1529室</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u w:val="single"/>
        </w:rPr>
        <w:t xml:space="preserve">姜涛</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ascii="宋体" w:hAnsi="宋体" w:eastAsia="宋体" w:cs="宋体"/>
          <w:color w:val="000000"/>
          <w:sz w:val="24"/>
          <w:u w:val="single"/>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6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w:t>
      </w:r>
      <w:r>
        <w:rPr>
          <w:rFonts w:hint="eastAsia" w:ascii="宋体" w:hAnsi="宋体" w:cs="宋体"/>
          <w:color w:val="000000"/>
          <w:sz w:val="24"/>
          <w:szCs w:val="24"/>
          <w:lang w:eastAsia="zh-CN"/>
        </w:rPr>
        <w:t xml:space="preserve">投标人</w:t>
      </w:r>
      <w:r>
        <w:rPr>
          <w:rFonts w:ascii="宋体" w:hAnsi="宋体" w:eastAsia="宋体" w:cs="宋体"/>
          <w:color w:val="000000"/>
          <w:sz w:val="24"/>
          <w:szCs w:val="24"/>
        </w:rPr>
        <w:t xml:space="preserve">进行澄清、说明和补正的，评委会将通过苏采云系统向</w:t>
      </w:r>
      <w:r>
        <w:rPr>
          <w:rFonts w:hint="eastAsia" w:ascii="宋体" w:hAnsi="宋体" w:cs="宋体"/>
          <w:color w:val="000000"/>
          <w:sz w:val="24"/>
          <w:szCs w:val="24"/>
          <w:lang w:eastAsia="zh-CN"/>
        </w:rPr>
        <w:t xml:space="preserve">投标人</w:t>
      </w:r>
      <w:r>
        <w:rPr>
          <w:rFonts w:ascii="宋体" w:hAnsi="宋体" w:eastAsia="宋体" w:cs="宋体"/>
          <w:color w:val="000000"/>
          <w:sz w:val="24"/>
          <w:szCs w:val="24"/>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 异常低价投标（响应）</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25.1.10.1</w:t>
      </w:r>
      <w:r>
        <w:rPr>
          <w:rFonts w:ascii="SimSun" w:hAnsi="SimSun" w:eastAsia="SimSun" w:cs="SimSun"/>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25.1.10.2</w:t>
      </w:r>
      <w:r>
        <w:rPr>
          <w:rFonts w:ascii="SimSun" w:hAnsi="SimSun" w:eastAsia="SimSun" w:cs="SimSun"/>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25.1.10.3投标（响应）报价低于采购项目最高限价 45% 的，即投标（响应）报价&lt;采购项目最高限价×45%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25.1.10.5</w:t>
      </w:r>
      <w:r>
        <w:rPr>
          <w:rFonts w:ascii="SimSun" w:hAnsi="SimSun" w:eastAsia="SimSun" w:cs="SimSun"/>
          <w:color w:val="383838"/>
          <w:sz w:val="24"/>
          <w:highlight w:val="white"/>
        </w:rPr>
        <w:t xml:space="preserve">评审委员会启动异常低价投标（响应）审查后，属于前述第1项至第4项情形的，应当要求相关供应商在评审现场合理的时间内</w:t>
      </w:r>
      <w:r>
        <w:rPr>
          <w:rFonts w:ascii="SimSun" w:hAnsi="SimSun" w:eastAsia="SimSun" w:cs="SimSun"/>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SimSun" w:hAnsi="SimSun" w:eastAsia="SimSun" w:cs="SimSun"/>
          <w:color w:val="383838"/>
          <w:sz w:val="24"/>
          <w:highlight w:val="white"/>
        </w:rPr>
        <w:t xml:space="preserve">给予相关供应商的合理时间一般</w:t>
      </w:r>
      <w:r>
        <w:rPr>
          <w:rFonts w:ascii="SimSun" w:hAnsi="SimSun" w:eastAsia="SimSun" w:cs="SimSun"/>
          <w:color w:val="ff0000"/>
          <w:sz w:val="24"/>
          <w:highlight w:val="white"/>
        </w:rPr>
        <w:t xml:space="preserve">不少于30分钟</w:t>
      </w:r>
      <w:r>
        <w:rPr>
          <w:rFonts w:ascii="SimSun" w:hAnsi="SimSun" w:eastAsia="SimSun" w:cs="SimSun"/>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SimSun" w:hAnsi="SimSun" w:eastAsia="SimSun" w:cs="SimSun"/>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
        <w:rPr>
          <w:rFonts w:ascii="宋体" w:hAnsi="宋体" w:eastAsia="宋体" w:cs="宋体"/>
          <w:color w:val="ff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或者对招标文件作实质响应的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或者在评标期间对招标文件做出实质响应的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应当是参与所质疑项目采购活动的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。潜在</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投标人</w:t>
      </w:r>
      <w:r>
        <w:rPr>
          <w:rFonts w:ascii="宋体" w:hAnsi="宋体" w:eastAsia="宋体" w:cs="宋体"/>
          <w:color w:val="000000"/>
          <w:sz w:val="24"/>
        </w:rPr>
        <w:t xml:space="preserve">应当在法定质疑期内一次性提出针对同一采购程序环节的质疑。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如在法定期限内对同一采购程序环节提出多次质疑的，交易中心、采购人将只对</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（含潜在</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）对采购方式、招标文件中采购需求、</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资格条件、评标方法与评标标准、合同文本及资格审查结果的询问、质疑请向采购人提出，由采购人负责答复。</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或在投标活动中自身权益未受到损害的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提出书面质疑必须有理、有据，不得捏造事实、提供虚假材料进行恶意质疑。否则，一经查实，交易中心有权依据政府采购的有关规定，报请政府采购监管部门对该</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进行相应的行政处罚和记录该</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发出中标通知书。请中标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均具有法律效力。中标通知书发出后，采购人改变中标结果的，或者中标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不得将合同标的进行转包。未经采购人同意，中标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也不得采用分包的形式履行合同，否则采购人有权终止合同。转包或分包造成采购人损失的，中标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6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right="0" w:firstLine="48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26" w:right="0" w:firstLine="249"/>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4.2乙方为履行本合同所专门创造、开发并交付给甲方的所有工作成果（包括但不限于软件源代码、目标代码、技术文档、设计图纸等，以下简称“交付成果”）的知识产权（包括但不限于著作权、专利权、专利申请权及技术秘密），自该成果产生之日起即全部归甲方所有。乙方应提供一切必要协助，配合甲方办理相关权利的登记或备案手续。</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482"/>
        <w:spacing w:before="120" w:after="120"/>
        <w:rPr>
          <w:rFonts w:hint="eastAsia" w:ascii="宋体" w:hAnsi="宋体" w:eastAsia="宋体" w:cs="宋体"/>
          <w:b/>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lang w:val="en-US" w:eastAsia="zh-CN"/>
        </w:rPr>
        <w:t xml:space="preserve">包一：</w:t>
      </w:r>
      <w:r>
        <w:rPr>
          <w:rFonts w:hint="eastAsia" w:ascii="宋体" w:hAnsi="宋体" w:eastAsia="宋体" w:cs="宋体"/>
          <w:b/>
          <w:bCs/>
          <w:color w:val="ff0000"/>
          <w:sz w:val="24"/>
        </w:rPr>
        <w:t xml:space="preserve">合同签订后，甲方自收到乙方出具的发票之日起10个工作日内支付合同总价</w:t>
      </w:r>
      <w:r>
        <w:rPr>
          <w:rFonts w:hint="eastAsia" w:ascii="宋体" w:hAnsi="宋体" w:eastAsia="宋体" w:cs="宋体"/>
          <w:b/>
          <w:bCs/>
          <w:color w:val="ff0000"/>
          <w:sz w:val="24"/>
          <w:lang w:val="en-US" w:eastAsia="zh-CN"/>
        </w:rPr>
        <w:t xml:space="preserve">30</w:t>
      </w:r>
      <w:r>
        <w:rPr>
          <w:rFonts w:hint="eastAsia" w:ascii="宋体" w:hAnsi="宋体" w:eastAsia="宋体" w:cs="宋体"/>
          <w:b/>
          <w:bCs/>
          <w:color w:val="ff0000"/>
          <w:sz w:val="24"/>
        </w:rPr>
        <w:t xml:space="preserve">%的预付款；2026年</w:t>
      </w:r>
      <w:r>
        <w:rPr>
          <w:rFonts w:hint="eastAsia" w:ascii="宋体" w:hAnsi="宋体" w:eastAsia="宋体" w:cs="宋体"/>
          <w:b/>
          <w:bCs/>
          <w:color w:val="ff0000"/>
          <w:sz w:val="24"/>
          <w:lang w:val="en-US" w:eastAsia="zh-CN"/>
        </w:rPr>
        <w:t xml:space="preserve">7</w:t>
      </w:r>
      <w:r>
        <w:rPr>
          <w:rFonts w:hint="eastAsia" w:ascii="宋体" w:hAnsi="宋体" w:eastAsia="宋体" w:cs="宋体"/>
          <w:b/>
          <w:bCs/>
          <w:color w:val="ff0000"/>
          <w:sz w:val="24"/>
        </w:rPr>
        <w:t xml:space="preserve">月底前完成全部开发任务，通过第三方测评合格并申请试运行后，甲方自收到乙方出具的发票之日起10个工作日内支付合同总价的</w:t>
      </w:r>
      <w:r>
        <w:rPr>
          <w:rFonts w:hint="eastAsia" w:ascii="宋体" w:hAnsi="宋体" w:eastAsia="宋体" w:cs="宋体"/>
          <w:b/>
          <w:bCs/>
          <w:color w:val="ff0000"/>
          <w:sz w:val="24"/>
          <w:lang w:val="en-US" w:eastAsia="zh-CN"/>
        </w:rPr>
        <w:t xml:space="preserve">40</w:t>
      </w:r>
      <w:r>
        <w:rPr>
          <w:rFonts w:hint="eastAsia" w:ascii="宋体" w:hAnsi="宋体" w:eastAsia="宋体" w:cs="宋体"/>
          <w:b/>
          <w:bCs/>
          <w:color w:val="ff0000"/>
          <w:sz w:val="24"/>
        </w:rPr>
        <w:t xml:space="preserve">%；项目通过甲方组织的验收后，甲方自收到乙方出具的发票之日起10个工作日内付清余款。</w:t>
      </w:r>
      <w:r/>
    </w:p>
    <w:p>
      <w:pPr>
        <w:ind w:left="0" w:right="0" w:firstLine="482"/>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lang w:val="en-US" w:eastAsia="zh-CN"/>
        </w:rPr>
        <w:t xml:space="preserve">包二：</w:t>
      </w:r>
      <w:r>
        <w:rPr>
          <w:rFonts w:hint="eastAsia" w:ascii="宋体" w:hAnsi="宋体" w:eastAsia="宋体" w:cs="宋体"/>
          <w:b/>
          <w:bCs/>
          <w:color w:val="ff0000"/>
          <w:sz w:val="24"/>
        </w:rPr>
        <w:t xml:space="preserve">合同签订后，甲方自收到乙方出具的发票之日起10个工作日内支付合同总价</w:t>
      </w:r>
      <w:r>
        <w:rPr>
          <w:rFonts w:hint="eastAsia" w:ascii="宋体" w:hAnsi="宋体" w:eastAsia="宋体" w:cs="宋体"/>
          <w:b/>
          <w:bCs/>
          <w:color w:val="ff0000"/>
          <w:sz w:val="24"/>
          <w:lang w:val="en-US" w:eastAsia="zh-CN"/>
        </w:rPr>
        <w:t xml:space="preserve">30</w:t>
      </w:r>
      <w:r>
        <w:rPr>
          <w:rFonts w:hint="eastAsia" w:ascii="宋体" w:hAnsi="宋体" w:eastAsia="宋体" w:cs="宋体"/>
          <w:b/>
          <w:bCs/>
          <w:color w:val="ff0000"/>
          <w:sz w:val="24"/>
        </w:rPr>
        <w:t xml:space="preserve">%的预付款；完成测试任务并提交符合要求的软件测试评估报告</w:t>
      </w:r>
      <w:r>
        <w:rPr>
          <w:rFonts w:hint="eastAsia" w:ascii="宋体" w:hAnsi="宋体" w:eastAsia="宋体" w:cs="宋体"/>
          <w:b/>
          <w:bCs/>
          <w:color w:val="ff0000"/>
          <w:sz w:val="24"/>
          <w:lang w:eastAsia="zh-CN"/>
        </w:rPr>
        <w:t xml:space="preserve">，</w:t>
      </w:r>
      <w:r>
        <w:rPr>
          <w:rFonts w:hint="eastAsia" w:ascii="宋体" w:hAnsi="宋体" w:eastAsia="宋体" w:cs="宋体"/>
          <w:b/>
          <w:bCs/>
          <w:color w:val="ff0000"/>
          <w:sz w:val="24"/>
        </w:rPr>
        <w:t xml:space="preserve">甲方自收到乙方出具的发票之日起10个工作日内付清余款。</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lef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日</w:t>
      </w:r>
      <w:r>
        <w:rPr>
          <w:rFonts w:ascii="宋体" w:hAnsi="宋体" w:eastAsia="宋体" w:cs="宋体"/>
          <w:color w:val="000000"/>
          <w:sz w:val="24"/>
        </w:rPr>
        <w:br w:type="page" w:clear="all"/>
      </w:r>
      <w:r/>
    </w:p>
    <w:p>
      <w:pPr>
        <w:pStyle w:val="76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187"/>
        <w:gridCol w:w="36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智慧水利综合调度系统水资源管理模块项目软件开发</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软件和信息技术服务业</w:t>
            </w:r>
            <w:r>
              <w:rPr>
                <w:rFonts w:ascii="宋体" w:hAnsi="宋体" w:eastAsia="宋体" w:cs="宋体"/>
                <w:color w:val="000000"/>
                <w:sz w:val="24"/>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智慧水利综合调度系统水资源管理模块项目测评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7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软件和信息技术服务业</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pStyle w:val="762"/>
        <w:rPr>
          <w:rFonts w:eastAsia="宋体"/>
          <w:b/>
          <w:bCs/>
          <w:sz w:val="24"/>
          <w:szCs w:val="24"/>
        </w:rPr>
      </w:pPr>
      <w:r>
        <w:rPr>
          <w:rFonts w:hint="eastAsia" w:eastAsia="宋体"/>
          <w:b/>
          <w:bCs/>
          <w:sz w:val="24"/>
          <w:szCs w:val="24"/>
          <w:lang w:val="en-US" w:eastAsia="zh-CN"/>
        </w:rPr>
        <w:t xml:space="preserve">包1</w:t>
      </w:r>
      <w:r>
        <w:rPr>
          <w:rFonts w:eastAsia="宋体"/>
          <w:b/>
          <w:bCs/>
          <w:sz w:val="24"/>
          <w:szCs w:val="24"/>
        </w:rPr>
        <w:t xml:space="preserve">：</w:t>
      </w:r>
      <w:r>
        <w:rPr>
          <w:rFonts w:hint="eastAsia" w:ascii="宋体" w:hAnsi="宋体"/>
          <w:b/>
          <w:bCs/>
          <w:sz w:val="24"/>
          <w:szCs w:val="24"/>
        </w:rPr>
        <w:t xml:space="preserve">扬州市城区智慧水利综合调度系统水资源管理模块项目软件开发</w:t>
      </w:r>
      <w:r/>
    </w:p>
    <w:p>
      <w:pPr>
        <w:pStyle w:val="774"/>
        <w:rPr>
          <w:b/>
        </w:rPr>
      </w:pPr>
      <w:r>
        <w:rPr>
          <w:b/>
        </w:rPr>
      </w:r>
      <w:r/>
    </w:p>
    <w:p>
      <w:pPr>
        <w:pStyle w:val="774"/>
        <w:numPr>
          <w:ilvl w:val="0"/>
          <w:numId w:val="7"/>
        </w:numPr>
        <w:rPr>
          <w:rFonts w:hint="eastAsia" w:asciiTheme="minorEastAsia" w:hAnsiTheme="minorEastAsia" w:eastAsiaTheme="minorEastAsia"/>
          <w:b/>
          <w:bCs/>
          <w:sz w:val="24"/>
          <w:szCs w:val="24"/>
        </w:rPr>
      </w:pPr>
      <w:r/>
      <w:bookmarkStart w:id="0" w:name="_Toc101395701"/>
      <w:r>
        <w:rPr>
          <w:rFonts w:hint="eastAsia" w:asciiTheme="minorEastAsia" w:hAnsiTheme="minorEastAsia" w:eastAsiaTheme="minorEastAsia"/>
          <w:b/>
          <w:bCs/>
          <w:sz w:val="24"/>
          <w:szCs w:val="24"/>
        </w:rPr>
        <w:t xml:space="preserve">项目背景</w:t>
      </w:r>
      <w:bookmarkEnd w:id="0"/>
      <w:r/>
      <w:r/>
    </w:p>
    <w:p>
      <w:pPr>
        <w:pStyle w:val="1046"/>
        <w:jc w:val="both"/>
        <w:spacing w:before="0" w:after="0"/>
        <w:rPr>
          <w:rFonts w:cs="Arial"/>
        </w:rPr>
      </w:pPr>
      <w:r>
        <w:rPr>
          <w:rFonts w:cs="Arial"/>
        </w:rPr>
        <w:t xml:space="preserve">随着国家对水资源管理</w:t>
      </w:r>
      <w:r>
        <w:rPr>
          <w:rFonts w:hint="eastAsia" w:cs="Arial"/>
        </w:rPr>
        <w:t xml:space="preserve">与节约保护</w:t>
      </w:r>
      <w:r>
        <w:rPr>
          <w:rFonts w:cs="Arial"/>
        </w:rPr>
        <w:t xml:space="preserve">的重视程度不断提高以及扬州市积极推进新型智慧城市建设步伐的加快，对水资源管理的数字化、智能化、精细化要求愈发迫切。构建一个统一、高效的水资源综合管理平台已成为扬州市水利事业发展的必然需求。这一平台将整合现有资源、打破信息壁垒、实现数据共享与互通，为扬州市水资源管理</w:t>
      </w:r>
      <w:r>
        <w:rPr>
          <w:rFonts w:hint="eastAsia" w:cs="Arial"/>
        </w:rPr>
        <w:t xml:space="preserve">与节约保护</w:t>
      </w:r>
      <w:r>
        <w:rPr>
          <w:rFonts w:cs="Arial"/>
        </w:rPr>
        <w:t xml:space="preserve">提供全方位、智能化的支持与服务。通过这一平台的建设与应用，扬州将进一步提升水资源管理</w:t>
      </w:r>
      <w:r>
        <w:rPr>
          <w:rFonts w:hint="eastAsia" w:cs="Arial"/>
        </w:rPr>
        <w:t xml:space="preserve">与节约保护</w:t>
      </w:r>
      <w:r>
        <w:rPr>
          <w:rFonts w:cs="Arial"/>
        </w:rPr>
        <w:t xml:space="preserve">的效率和水平，推动城市可持续</w:t>
      </w:r>
      <w:r>
        <w:rPr>
          <w:rFonts w:hint="eastAsia" w:cs="Arial"/>
        </w:rPr>
        <w:t xml:space="preserve">和高质量</w:t>
      </w:r>
      <w:r>
        <w:rPr>
          <w:rFonts w:cs="Arial"/>
        </w:rPr>
        <w:t xml:space="preserve">发展迈上新台阶。</w:t>
      </w:r>
      <w:r/>
    </w:p>
    <w:p>
      <w:pPr>
        <w:pStyle w:val="774"/>
        <w:rPr>
          <w:rFonts w:hint="eastAsia" w:asciiTheme="minorEastAsia" w:hAnsiTheme="minorEastAsia" w:eastAsiaTheme="minorEastAsia"/>
          <w:b/>
          <w:bCs/>
          <w:sz w:val="24"/>
          <w:szCs w:val="24"/>
        </w:rPr>
      </w:pPr>
      <w:r/>
      <w:bookmarkStart w:id="1" w:name="_Toc36826227"/>
      <w:r/>
      <w:bookmarkStart w:id="2" w:name="_Toc101395702"/>
      <w:r>
        <w:rPr>
          <w:rFonts w:hint="eastAsia" w:asciiTheme="minorEastAsia" w:hAnsiTheme="minorEastAsia" w:eastAsiaTheme="minorEastAsia"/>
          <w:b/>
          <w:bCs/>
          <w:sz w:val="24"/>
          <w:szCs w:val="24"/>
        </w:rPr>
        <w:t xml:space="preserve">二、建设依据</w:t>
      </w:r>
      <w:bookmarkEnd w:id="1"/>
      <w:r/>
      <w:bookmarkEnd w:id="2"/>
      <w:r/>
      <w:r/>
    </w:p>
    <w:p>
      <w:pPr>
        <w:pStyle w:val="1046"/>
        <w:ind w:firstLine="437"/>
        <w:jc w:val="both"/>
        <w:spacing w:before="0" w:after="0"/>
        <w:rPr>
          <w:rFonts w:hint="eastAsia" w:ascii="宋体" w:hAnsi="宋体" w:cs="Arial"/>
        </w:rPr>
      </w:pPr>
      <w:r>
        <w:rPr>
          <w:rFonts w:hint="eastAsia" w:ascii="宋体" w:hAnsi="宋体" w:cs="Arial"/>
        </w:rPr>
        <w:t xml:space="preserve">(1) 《中华人民共和国水法》（2016年修订）</w:t>
      </w:r>
      <w:r/>
    </w:p>
    <w:p>
      <w:pPr>
        <w:pStyle w:val="1046"/>
        <w:ind w:firstLine="437"/>
        <w:jc w:val="both"/>
        <w:spacing w:before="0" w:after="0"/>
        <w:rPr>
          <w:rFonts w:hint="eastAsia" w:ascii="宋体" w:hAnsi="宋体" w:cs="Arial"/>
        </w:rPr>
      </w:pPr>
      <w:r>
        <w:rPr>
          <w:rFonts w:hint="eastAsia" w:ascii="宋体" w:hAnsi="宋体" w:cs="Arial"/>
        </w:rPr>
        <w:t xml:space="preserve">(2) 《中华人民共和国计量法》（1986年）</w:t>
      </w:r>
      <w:r/>
    </w:p>
    <w:p>
      <w:pPr>
        <w:pStyle w:val="1046"/>
        <w:ind w:firstLine="437"/>
        <w:jc w:val="both"/>
        <w:spacing w:before="0" w:after="0"/>
        <w:rPr>
          <w:rFonts w:hint="eastAsia" w:ascii="宋体" w:hAnsi="宋体" w:cs="Arial"/>
        </w:rPr>
      </w:pPr>
      <w:r>
        <w:rPr>
          <w:rFonts w:hint="eastAsia" w:ascii="宋体" w:hAnsi="宋体" w:cs="Arial"/>
        </w:rPr>
        <w:t xml:space="preserve">（3）《中华人民共和国节约用水条例》（2024年）</w:t>
      </w:r>
      <w:r/>
    </w:p>
    <w:p>
      <w:pPr>
        <w:pStyle w:val="1046"/>
        <w:ind w:firstLine="437"/>
        <w:jc w:val="both"/>
        <w:spacing w:before="0" w:after="0"/>
        <w:rPr>
          <w:rFonts w:hint="eastAsia" w:ascii="宋体" w:hAnsi="宋体" w:cs="Arial"/>
        </w:rPr>
      </w:pPr>
      <w:r>
        <w:rPr>
          <w:rFonts w:hint="eastAsia" w:ascii="宋体" w:hAnsi="宋体" w:cs="Arial"/>
        </w:rPr>
        <w:t xml:space="preserve">(4) 《中华人民共和国水文条例》（国务院令第496号）</w:t>
      </w:r>
      <w:r/>
    </w:p>
    <w:p>
      <w:pPr>
        <w:pStyle w:val="1046"/>
        <w:ind w:firstLine="437"/>
        <w:jc w:val="both"/>
        <w:spacing w:before="0" w:after="0"/>
        <w:rPr>
          <w:rFonts w:hint="eastAsia" w:ascii="宋体" w:hAnsi="宋体" w:cs="Arial"/>
        </w:rPr>
      </w:pPr>
      <w:r>
        <w:rPr>
          <w:rFonts w:hint="eastAsia" w:ascii="宋体" w:hAnsi="宋体" w:cs="Arial"/>
        </w:rPr>
        <w:t xml:space="preserve">(5) 《取水许可管理办法》（2017年12月22日水利部令第49号）</w:t>
      </w:r>
      <w:r/>
    </w:p>
    <w:p>
      <w:pPr>
        <w:pStyle w:val="1046"/>
        <w:ind w:firstLine="437"/>
        <w:jc w:val="both"/>
        <w:spacing w:before="0" w:after="0"/>
        <w:rPr>
          <w:rFonts w:hint="eastAsia" w:ascii="宋体" w:hAnsi="宋体" w:cs="Arial"/>
        </w:rPr>
      </w:pPr>
      <w:r>
        <w:rPr>
          <w:rFonts w:hint="eastAsia" w:ascii="宋体" w:hAnsi="宋体" w:cs="Arial"/>
        </w:rPr>
        <w:t xml:space="preserve">(6) 《取水计量技术导则》（GBT28714）</w:t>
      </w:r>
      <w:r/>
    </w:p>
    <w:p>
      <w:pPr>
        <w:pStyle w:val="1046"/>
        <w:ind w:firstLine="437"/>
        <w:jc w:val="both"/>
        <w:spacing w:before="0" w:after="0"/>
        <w:rPr>
          <w:rFonts w:hint="eastAsia" w:ascii="宋体" w:hAnsi="宋体" w:cs="Arial"/>
        </w:rPr>
      </w:pPr>
      <w:r>
        <w:rPr>
          <w:rFonts w:hint="eastAsia" w:ascii="宋体" w:hAnsi="宋体" w:cs="Arial"/>
        </w:rPr>
        <w:t xml:space="preserve">(7) 《水资源监控设备基本技术条件》(SL426)</w:t>
      </w:r>
      <w:r/>
    </w:p>
    <w:p>
      <w:pPr>
        <w:pStyle w:val="1046"/>
        <w:ind w:firstLine="437"/>
        <w:jc w:val="both"/>
        <w:spacing w:before="0" w:after="0"/>
        <w:rPr>
          <w:rFonts w:hint="eastAsia" w:ascii="宋体" w:hAnsi="宋体" w:cs="Arial"/>
        </w:rPr>
      </w:pPr>
      <w:r>
        <w:rPr>
          <w:rFonts w:hint="eastAsia" w:ascii="宋体" w:hAnsi="宋体" w:cs="Arial"/>
        </w:rPr>
        <w:t xml:space="preserve">(8) 《水资源水量监测技术导则》（SL365）</w:t>
      </w:r>
      <w:r/>
    </w:p>
    <w:p>
      <w:pPr>
        <w:pStyle w:val="1046"/>
        <w:ind w:firstLine="437"/>
        <w:jc w:val="both"/>
        <w:spacing w:before="0" w:after="0"/>
        <w:rPr>
          <w:rFonts w:hint="eastAsia" w:ascii="宋体" w:hAnsi="宋体" w:cs="Arial"/>
        </w:rPr>
      </w:pPr>
      <w:r>
        <w:rPr>
          <w:rFonts w:hint="eastAsia" w:ascii="宋体" w:hAnsi="宋体" w:cs="Arial"/>
        </w:rPr>
        <w:t xml:space="preserve">(9) 《水利信息处理平台；术规定》（SL538）</w:t>
      </w:r>
      <w:r/>
    </w:p>
    <w:p>
      <w:pPr>
        <w:pStyle w:val="1046"/>
        <w:ind w:firstLine="437"/>
        <w:jc w:val="both"/>
        <w:spacing w:before="0" w:after="0"/>
        <w:rPr>
          <w:rFonts w:hint="eastAsia" w:ascii="宋体" w:hAnsi="宋体" w:cs="Arial"/>
        </w:rPr>
      </w:pPr>
      <w:r>
        <w:rPr>
          <w:rFonts w:hint="eastAsia" w:ascii="宋体" w:hAnsi="宋体" w:cs="Arial"/>
        </w:rPr>
        <w:t xml:space="preserve">(10) 《江苏省水资源管理条例》(202</w:t>
      </w:r>
      <w:r>
        <w:rPr>
          <w:rFonts w:hint="eastAsia" w:ascii="宋体" w:hAnsi="宋体" w:cs="Arial"/>
          <w:lang w:val="en-US" w:eastAsia="zh-CN"/>
        </w:rPr>
        <w:t xml:space="preserve">5年</w:t>
      </w:r>
      <w:r>
        <w:rPr>
          <w:rFonts w:hint="eastAsia" w:ascii="宋体" w:hAnsi="宋体" w:cs="Arial"/>
        </w:rPr>
        <w:t xml:space="preserve">修</w:t>
      </w:r>
      <w:r>
        <w:rPr>
          <w:rFonts w:hint="eastAsia" w:ascii="宋体" w:hAnsi="宋体" w:cs="Arial"/>
          <w:lang w:val="en-US" w:eastAsia="zh-CN"/>
        </w:rPr>
        <w:t xml:space="preserve">订</w:t>
      </w:r>
      <w:r>
        <w:rPr>
          <w:rFonts w:hint="eastAsia" w:ascii="宋体" w:hAnsi="宋体" w:cs="Arial"/>
        </w:rPr>
        <w:t xml:space="preserve">)</w:t>
      </w:r>
      <w:r/>
    </w:p>
    <w:p>
      <w:pPr>
        <w:pStyle w:val="1046"/>
        <w:ind w:firstLine="480"/>
        <w:jc w:val="both"/>
        <w:spacing w:before="0" w:after="0"/>
        <w:rPr>
          <w:rFonts w:hint="eastAsia" w:ascii="宋体" w:hAnsi="宋体" w:cs="Arial"/>
        </w:rPr>
      </w:pPr>
      <w:r>
        <w:rPr>
          <w:rFonts w:hint="eastAsia" w:ascii="宋体" w:hAnsi="宋体" w:cs="Arial"/>
        </w:rPr>
        <w:t xml:space="preserve">（11）《江苏省节约用水条例》（20</w:t>
      </w:r>
      <w:r>
        <w:rPr>
          <w:rFonts w:hint="eastAsia" w:ascii="宋体" w:hAnsi="宋体" w:cs="Arial"/>
          <w:lang w:val="en-US" w:eastAsia="zh-CN"/>
        </w:rPr>
        <w:t xml:space="preserve">16</w:t>
      </w:r>
      <w:r>
        <w:rPr>
          <w:rFonts w:hint="eastAsia" w:ascii="宋体" w:hAnsi="宋体" w:cs="Arial"/>
        </w:rPr>
        <w:t xml:space="preserve">年）</w:t>
      </w:r>
      <w:r/>
    </w:p>
    <w:p>
      <w:pPr>
        <w:pStyle w:val="1046"/>
        <w:ind w:firstLine="437"/>
        <w:jc w:val="both"/>
        <w:spacing w:before="0" w:after="0"/>
        <w:rPr>
          <w:rFonts w:hint="eastAsia" w:ascii="宋体" w:hAnsi="宋体" w:cs="Arial"/>
        </w:rPr>
      </w:pPr>
      <w:r>
        <w:rPr>
          <w:rFonts w:hint="eastAsia" w:ascii="宋体" w:hAnsi="宋体" w:cs="Arial"/>
        </w:rPr>
        <w:t xml:space="preserve">(12) 《江苏省“十四五”水利发展规划》</w:t>
      </w:r>
      <w:r/>
    </w:p>
    <w:p>
      <w:pPr>
        <w:pStyle w:val="1046"/>
        <w:ind w:firstLine="437"/>
        <w:jc w:val="both"/>
        <w:spacing w:before="0" w:after="0"/>
        <w:rPr>
          <w:rFonts w:hint="eastAsia" w:ascii="宋体" w:hAnsi="宋体" w:cs="Arial"/>
        </w:rPr>
      </w:pPr>
      <w:r>
        <w:rPr>
          <w:rFonts w:hint="eastAsia" w:ascii="宋体" w:hAnsi="宋体" w:cs="Arial"/>
        </w:rPr>
        <w:t xml:space="preserve">(13) 《江苏省水利信息化发展“十四五”规划》</w:t>
      </w:r>
      <w:r/>
    </w:p>
    <w:p>
      <w:pPr>
        <w:pStyle w:val="1046"/>
        <w:ind w:firstLine="437"/>
        <w:jc w:val="both"/>
        <w:spacing w:before="0" w:after="0"/>
        <w:rPr>
          <w:rFonts w:hint="eastAsia" w:ascii="宋体" w:hAnsi="宋体" w:cs="Arial"/>
        </w:rPr>
      </w:pPr>
      <w:r>
        <w:rPr>
          <w:rFonts w:hint="eastAsia" w:ascii="宋体" w:hAnsi="宋体" w:cs="Arial"/>
        </w:rPr>
        <w:t xml:space="preserve">(14) 《云上扬州项目建设方案编制指南(2018)》</w:t>
      </w:r>
      <w:r/>
    </w:p>
    <w:p>
      <w:pPr>
        <w:pStyle w:val="1046"/>
        <w:ind w:firstLine="437"/>
        <w:jc w:val="both"/>
        <w:spacing w:before="0" w:after="0"/>
        <w:rPr>
          <w:rFonts w:hint="eastAsia" w:ascii="宋体" w:hAnsi="宋体" w:cs="Arial"/>
        </w:rPr>
      </w:pPr>
      <w:r>
        <w:rPr>
          <w:rFonts w:hint="eastAsia" w:ascii="宋体" w:hAnsi="宋体" w:cs="Arial"/>
        </w:rPr>
        <w:t xml:space="preserve">(15) 《江苏省取用水领域信用评价办法》</w:t>
      </w:r>
      <w:r/>
    </w:p>
    <w:p>
      <w:pPr>
        <w:pStyle w:val="1046"/>
        <w:ind w:firstLine="437"/>
        <w:jc w:val="both"/>
        <w:spacing w:before="0" w:after="0"/>
        <w:rPr>
          <w:rFonts w:hint="eastAsia" w:ascii="宋体" w:hAnsi="宋体" w:cs="Arial"/>
        </w:rPr>
      </w:pPr>
      <w:r>
        <w:rPr>
          <w:rFonts w:hint="eastAsia" w:ascii="宋体" w:hAnsi="宋体" w:cs="Arial"/>
        </w:rPr>
        <w:t xml:space="preserve">(16) 《扬州市计划用水实施细则（试行）》</w:t>
      </w:r>
      <w:r/>
    </w:p>
    <w:p>
      <w:pPr>
        <w:pStyle w:val="1046"/>
        <w:ind w:firstLine="437"/>
        <w:jc w:val="both"/>
        <w:spacing w:before="0" w:after="0"/>
        <w:rPr>
          <w:rFonts w:hint="eastAsia" w:ascii="宋体" w:hAnsi="宋体" w:cs="Arial"/>
        </w:rPr>
      </w:pPr>
      <w:r>
        <w:rPr>
          <w:rFonts w:hint="eastAsia" w:ascii="宋体" w:hAnsi="宋体" w:cs="Arial"/>
        </w:rPr>
        <w:t xml:space="preserve">(17) 《中华人民共和国预算法》</w:t>
      </w:r>
      <w:r/>
    </w:p>
    <w:p>
      <w:pPr>
        <w:pStyle w:val="1046"/>
        <w:ind w:firstLine="437"/>
        <w:jc w:val="both"/>
        <w:spacing w:before="0" w:after="0"/>
        <w:rPr>
          <w:rFonts w:hint="eastAsia" w:ascii="宋体" w:hAnsi="宋体" w:cs="Arial"/>
        </w:rPr>
      </w:pPr>
      <w:r>
        <w:rPr>
          <w:rFonts w:hint="eastAsia" w:ascii="宋体" w:hAnsi="宋体" w:cs="Arial"/>
        </w:rPr>
        <w:t xml:space="preserve">(18) 《中华人民共和国预算法实施条例》</w:t>
      </w:r>
      <w:r/>
    </w:p>
    <w:p>
      <w:pPr>
        <w:pStyle w:val="1046"/>
        <w:ind w:firstLine="437"/>
        <w:jc w:val="both"/>
        <w:spacing w:before="0" w:after="0"/>
        <w:rPr>
          <w:rFonts w:hint="eastAsia" w:ascii="宋体" w:hAnsi="宋体" w:cs="Arial"/>
        </w:rPr>
      </w:pPr>
      <w:r>
        <w:rPr>
          <w:rFonts w:hint="eastAsia" w:ascii="宋体" w:hAnsi="宋体" w:cs="Arial"/>
        </w:rPr>
        <w:t xml:space="preserve">(19) 《政府投资条例》</w:t>
      </w:r>
      <w:r/>
    </w:p>
    <w:p>
      <w:pPr>
        <w:pStyle w:val="1046"/>
        <w:ind w:firstLine="437"/>
        <w:jc w:val="both"/>
        <w:spacing w:before="0" w:after="0"/>
        <w:rPr>
          <w:rFonts w:hint="eastAsia" w:ascii="宋体" w:hAnsi="宋体" w:cs="Arial"/>
        </w:rPr>
      </w:pPr>
      <w:r>
        <w:rPr>
          <w:rFonts w:hint="eastAsia" w:ascii="宋体" w:hAnsi="宋体" w:cs="Arial"/>
        </w:rPr>
        <w:t xml:space="preserve">(20) 《中共中央国务院关于全面实施预算绩效管理的意见》</w:t>
      </w:r>
      <w:r/>
    </w:p>
    <w:p>
      <w:pPr>
        <w:pStyle w:val="1046"/>
        <w:ind w:firstLine="437"/>
        <w:jc w:val="both"/>
        <w:spacing w:before="0" w:after="0"/>
        <w:rPr>
          <w:rFonts w:hint="eastAsia" w:ascii="宋体" w:hAnsi="宋体" w:cs="Arial"/>
        </w:rPr>
      </w:pPr>
      <w:r>
        <w:rPr>
          <w:rFonts w:hint="eastAsia" w:ascii="宋体" w:hAnsi="宋体" w:cs="Arial"/>
        </w:rPr>
        <w:t xml:space="preserve">(21) 《财政投资评审管理规定》</w:t>
      </w:r>
      <w:r/>
    </w:p>
    <w:p>
      <w:pPr>
        <w:pStyle w:val="1046"/>
        <w:ind w:firstLine="437"/>
        <w:jc w:val="both"/>
        <w:spacing w:before="0" w:after="0"/>
        <w:rPr>
          <w:rFonts w:hint="eastAsia" w:ascii="宋体" w:hAnsi="宋体" w:cs="Arial"/>
        </w:rPr>
      </w:pPr>
      <w:r>
        <w:rPr>
          <w:rFonts w:hint="eastAsia" w:ascii="宋体" w:hAnsi="宋体" w:cs="Arial"/>
        </w:rPr>
        <w:t xml:space="preserve">(22) 《江苏省水利工程设计概（估）算编制规定》</w:t>
      </w:r>
      <w:r/>
    </w:p>
    <w:p>
      <w:pPr>
        <w:pStyle w:val="1046"/>
        <w:ind w:firstLine="437"/>
        <w:jc w:val="both"/>
        <w:spacing w:before="0" w:after="0"/>
        <w:rPr>
          <w:rFonts w:hint="eastAsia" w:ascii="宋体" w:hAnsi="宋体" w:cs="Arial"/>
        </w:rPr>
      </w:pPr>
      <w:r>
        <w:rPr>
          <w:rFonts w:hint="eastAsia" w:ascii="宋体" w:hAnsi="宋体" w:cs="Arial"/>
        </w:rPr>
        <w:t xml:space="preserve">(23) 《扬州市市级政府投资管理办法》</w:t>
      </w:r>
      <w:r/>
    </w:p>
    <w:p>
      <w:pPr>
        <w:pStyle w:val="1046"/>
        <w:ind w:firstLine="437"/>
        <w:jc w:val="both"/>
        <w:spacing w:before="0" w:after="0"/>
        <w:rPr>
          <w:rFonts w:hint="eastAsia" w:ascii="宋体" w:hAnsi="宋体" w:cs="Arial"/>
        </w:rPr>
      </w:pPr>
      <w:r>
        <w:rPr>
          <w:rFonts w:hint="eastAsia" w:ascii="宋体" w:hAnsi="宋体" w:cs="Arial"/>
        </w:rPr>
        <w:t xml:space="preserve">(24) 《扬州市市级水利发展资金管理办法》</w:t>
      </w:r>
      <w:r/>
    </w:p>
    <w:p>
      <w:pPr>
        <w:pStyle w:val="1046"/>
        <w:ind w:firstLine="437"/>
        <w:jc w:val="both"/>
        <w:spacing w:before="0" w:after="0"/>
        <w:rPr>
          <w:rFonts w:hint="eastAsia" w:ascii="宋体" w:hAnsi="宋体" w:cs="Arial"/>
        </w:rPr>
      </w:pPr>
      <w:r>
        <w:rPr>
          <w:rFonts w:hint="eastAsia" w:ascii="宋体" w:hAnsi="宋体" w:cs="Arial"/>
        </w:rPr>
        <w:t xml:space="preserve">(25) 《扬州市市级财政支出项目事前绩效评估管理办法》</w:t>
      </w:r>
      <w:r/>
    </w:p>
    <w:p>
      <w:pPr>
        <w:pStyle w:val="1046"/>
        <w:ind w:firstLine="437"/>
        <w:jc w:val="both"/>
        <w:spacing w:before="0" w:after="0"/>
        <w:rPr>
          <w:rFonts w:hint="eastAsia" w:ascii="宋体" w:hAnsi="宋体" w:cs="Arial"/>
        </w:rPr>
      </w:pPr>
      <w:r>
        <w:rPr>
          <w:rFonts w:hint="eastAsia" w:ascii="宋体" w:hAnsi="宋体" w:cs="Arial"/>
        </w:rPr>
        <w:t xml:space="preserve">(26) 《扬州市人民政府办公室关于全面推进市级政府投资预算绩效管理工作的通知》</w:t>
      </w:r>
      <w:r/>
    </w:p>
    <w:p>
      <w:pPr>
        <w:pStyle w:val="1046"/>
        <w:ind w:firstLine="437"/>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（27）《江苏省智慧水利—水资源与节约用水管理信息化建设总体实施方案》</w:t>
      </w:r>
      <w:r/>
    </w:p>
    <w:p>
      <w:pPr>
        <w:pStyle w:val="774"/>
        <w:spacing w:after="0" w:line="360" w:lineRule="auto"/>
        <w:rPr>
          <w:rFonts w:hint="eastAsia" w:asciiTheme="minorEastAsia" w:hAnsiTheme="minorEastAsia" w:eastAsiaTheme="minorEastAsia"/>
          <w:b/>
          <w:bCs/>
          <w:sz w:val="24"/>
          <w:szCs w:val="24"/>
        </w:rPr>
      </w:pPr>
      <w:r/>
      <w:bookmarkStart w:id="3" w:name="_Toc101395703"/>
      <w:r>
        <w:rPr>
          <w:rFonts w:hint="eastAsia" w:asciiTheme="minorEastAsia" w:hAnsiTheme="minorEastAsia" w:eastAsiaTheme="minorEastAsia"/>
          <w:b/>
          <w:bCs/>
          <w:sz w:val="24"/>
          <w:szCs w:val="24"/>
        </w:rPr>
        <w:t xml:space="preserve">三、建设目标</w:t>
      </w:r>
      <w:bookmarkEnd w:id="3"/>
      <w:r/>
      <w:r/>
    </w:p>
    <w:p>
      <w:pPr>
        <w:pStyle w:val="1046"/>
        <w:ind w:firstLine="437"/>
        <w:jc w:val="both"/>
        <w:spacing w:before="0" w:after="0"/>
        <w:rPr>
          <w:rFonts w:hint="eastAsia" w:cs="Arial"/>
          <w:color w:val="ff0000"/>
        </w:rPr>
      </w:pPr>
      <w:r/>
      <w:bookmarkStart w:id="4" w:name="_Hlk102059177"/>
      <w:r>
        <w:rPr>
          <w:rFonts w:hint="eastAsia" w:cs="Arial"/>
        </w:rPr>
        <w:t xml:space="preserve">本项目旨在打造一个全面、智能、高效的扬州市城区智慧水利综合调度系统水资源管理模块，实现水资源管理的数字化转型和精细化管理。在业务功能方面，平台致力于实现取用水管理各类业务事项的“一网通办”“一网统管”；在数据管理方面，平台整合全市水资源相关数据，建立统一的数据标准和数据共</w:t>
      </w:r>
      <w:r>
        <w:rPr>
          <w:rFonts w:hint="eastAsia" w:cs="Arial"/>
          <w:highlight w:val="none"/>
        </w:rPr>
        <w:t xml:space="preserve">享交换体系；在服务效能方面，平台着力提升水资源管理与</w:t>
      </w:r>
      <w:r>
        <w:rPr>
          <w:rFonts w:hint="eastAsia" w:ascii="宋体" w:hAnsi="宋体" w:cs="Arial"/>
          <w:highlight w:val="none"/>
        </w:rPr>
        <w:t xml:space="preserve">节约保护</w:t>
      </w:r>
      <w:r>
        <w:rPr>
          <w:rFonts w:hint="eastAsia" w:cs="Arial"/>
          <w:highlight w:val="none"/>
        </w:rPr>
        <w:t xml:space="preserve">的服务水平和用户体验。通过本平台的建设，强化扬州市水资源的刚性约束，提高水资源利用效率和管理效能。</w:t>
      </w:r>
      <w:bookmarkEnd w:id="4"/>
      <w:r/>
      <w:r/>
    </w:p>
    <w:p>
      <w:pPr>
        <w:pStyle w:val="774"/>
        <w:numPr>
          <w:ilvl w:val="-1"/>
          <w:numId w:val="0"/>
        </w:numPr>
        <w:keepLines w:val="0"/>
        <w:keepNext w:val="0"/>
        <w:pageBreakBefore w:val="0"/>
        <w:spacing w:after="0" w:line="240" w:lineRule="auto"/>
        <w:widowControl/>
        <w:rPr>
          <w:rFonts w:hint="eastAsia" w:asciiTheme="minorEastAsia" w:hAnsiTheme="minorEastAsia" w:eastAsiaTheme="minorEastAsia"/>
          <w:b/>
          <w:bCs/>
          <w:sz w:val="24"/>
          <w:szCs w:val="24"/>
          <w:lang w:val="en-US" w:eastAsia="zh-CN"/>
        </w:rPr>
      </w:pPr>
      <w:r/>
      <w:bookmarkStart w:id="5" w:name="_Toc101395705"/>
      <w:r>
        <w:rPr>
          <w:rFonts w:hint="eastAsia" w:asciiTheme="minorEastAsia" w:hAnsiTheme="minorEastAsia" w:eastAsiaTheme="minorEastAsia"/>
          <w:b/>
          <w:bCs/>
          <w:sz w:val="24"/>
          <w:szCs w:val="24"/>
          <w:lang w:val="en-US" w:eastAsia="zh-CN"/>
        </w:rPr>
        <w:t xml:space="preserve">四、项目建设需求</w:t>
      </w:r>
      <w:r/>
    </w:p>
    <w:p>
      <w:pPr>
        <w:pStyle w:val="1061"/>
        <w:numPr>
          <w:ilvl w:val="3"/>
          <w:numId w:val="0"/>
        </w:numPr>
        <w:ind w:firstLine="480"/>
        <w:keepLines w:val="0"/>
        <w:keepNext w:val="0"/>
        <w:pageBreakBefore w:val="0"/>
        <w:spacing w:line="360" w:lineRule="auto"/>
        <w:widowControl w:val="off"/>
        <w:rPr>
          <w:rFonts w:hint="eastAsia" w:ascii="Arial" w:hAnsi="Arial" w:eastAsia="宋体" w:cs="Arial"/>
          <w:b w:val="0"/>
          <w:bCs w:val="0"/>
          <w:i w:val="0"/>
          <w:iCs w:val="0"/>
          <w:sz w:val="24"/>
          <w:szCs w:val="24"/>
          <w:lang w:val="en-US" w:eastAsia="zh-CN" w:bidi="ar-SA"/>
        </w:rPr>
      </w:pPr>
      <w:r/>
      <w:bookmarkStart w:id="6" w:name="_Toc1949"/>
      <w:r>
        <w:rPr>
          <w:rFonts w:hint="eastAsia" w:ascii="Arial" w:hAnsi="Arial" w:eastAsia="宋体" w:cs="Arial"/>
          <w:b w:val="0"/>
          <w:bCs w:val="0"/>
          <w:i w:val="0"/>
          <w:iCs w:val="0"/>
          <w:sz w:val="24"/>
          <w:szCs w:val="24"/>
          <w:lang w:val="en-US" w:eastAsia="zh-CN" w:bidi="ar-SA"/>
        </w:rPr>
        <w:t xml:space="preserve">本项目要求符合《关于扬州市城区智慧水利综合调度系统水资源管理模块项目可行性研究报告(代项目建议书)的批复》（扬数据投资﹝2025﹞103号）及其《扬州市城区智慧水利综合调度系统水资源管理模块项目建设方案》建设要求。</w:t>
      </w:r>
      <w:r/>
    </w:p>
    <w:p>
      <w:pPr>
        <w:pStyle w:val="1061"/>
        <w:numPr>
          <w:ilvl w:val="3"/>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（一）水行政主管部门用户需求</w:t>
      </w:r>
      <w:bookmarkEnd w:id="6"/>
      <w:r>
        <w:rPr>
          <w:rFonts w:hint="eastAsia" w:ascii="宋体" w:hAnsi="宋体" w:eastAsia="宋体" w:cs="宋体"/>
          <w:b/>
          <w:bCs/>
          <w:color w:val="auto"/>
          <w:sz w:val="24"/>
          <w:szCs w:val="24"/>
          <w:highlight w:val="none"/>
          <w:lang w:val="en-US" w:eastAsia="zh-CN" w:bidi="ar-SA"/>
        </w:rPr>
        <w:t xml:space="preserve">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1、业务管理需求</w:t>
      </w:r>
      <w:r/>
    </w:p>
    <w:p>
      <w:pPr>
        <w:pStyle w:val="1061"/>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1）全流程线上化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实现取水许可审批、用水计划审核、水量核定、水资源税征收等业务的100%线上办理，消除纸质材料流转。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支持电子签章、电子证照自动签发与归档，审批结果实时同步至企业端。  </w:t>
      </w:r>
      <w:r/>
    </w:p>
    <w:p>
      <w:pPr>
        <w:pStyle w:val="1061"/>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2）精准监管需求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实时监控企业取水量、计划执行率、计量设施在线率，自动标记异常数据（如超计划取水、数据中断）。  </w:t>
      </w:r>
      <w:r/>
    </w:p>
    <w:p>
      <w:pPr>
        <w:pStyle w:val="1061"/>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3）信用奖惩联动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自动获取企业信用评分（取水合规性、缴费（税）及时性、节水改造等），红黑名单动态更新。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2、数据分析需求</w:t>
      </w:r>
      <w:r/>
    </w:p>
    <w:p>
      <w:pPr>
        <w:pStyle w:val="1061"/>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1）多维度统计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按行业、区域、水源类型生成用水总量、节水潜力、超计划率等报表，支持自定义时间范围和数据维度。  </w:t>
      </w:r>
      <w:r/>
    </w:p>
    <w:p>
      <w:pPr>
        <w:pStyle w:val="1061"/>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2）可视化决策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驾驶舱展示关键指标（如许可合规率、取用水计划执行率、生态流量达标率等），支持钻取查看明细数据。异常预警（如生态水位下降、用水达到预警值）通过弹窗、短信推送至责任人。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3、协同办公需求</w:t>
      </w:r>
      <w:r/>
    </w:p>
    <w:p>
      <w:pPr>
        <w:pStyle w:val="1061"/>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1）跨部门协作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可与环保、住建等部门共享取水口、生态水位等数据，协同开展水生态治理。支持多级审核（如区县初审、市级复审），审批意见留痕可追溯。  </w:t>
      </w:r>
      <w:r/>
    </w:p>
    <w:p>
      <w:pPr>
        <w:pStyle w:val="1061"/>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2）公众服务 </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提供企业取用水情况、企业取用水信用、水资源管理和节水政策查询，取用水户用水总结与计划申报，提升公众参与度。  </w:t>
      </w:r>
      <w:r/>
    </w:p>
    <w:p>
      <w:pPr>
        <w:pStyle w:val="1061"/>
        <w:numPr>
          <w:ilvl w:val="3"/>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7" w:name="_Toc12471"/>
      <w:r>
        <w:rPr>
          <w:rFonts w:hint="eastAsia" w:ascii="宋体" w:hAnsi="宋体" w:eastAsia="宋体" w:cs="宋体"/>
          <w:b/>
          <w:bCs/>
          <w:color w:val="auto"/>
          <w:sz w:val="24"/>
          <w:szCs w:val="24"/>
          <w:highlight w:val="none"/>
          <w:lang w:val="en-US" w:eastAsia="zh-CN" w:bidi="ar-SA"/>
        </w:rPr>
        <w:t xml:space="preserve">（二）取用水企业用户需求</w:t>
      </w:r>
      <w:bookmarkEnd w:id="7"/>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1、办事便捷性需求</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1）一站式申报</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在线提交取水许可申请、用水计划调整、水量异议申诉，进度实时可查。自动关联历史数据（如许可水量、监测数据），减少重复填报。  </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2）智能提醒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取水许可临期、用水计划到期、用水临近计划、信用降级等关键节点通过平台或者短信进行提醒。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2、数据透明化需求</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1）实时数据查看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企业可随时查看自身的取水许可、取水量、取用水信用评分、取用水计划等与取用水相关联信息，支持数据导出（word/Excel/PDF）。提供水量异常分析工具，辅助排查计量设备故障或管网漏损。  </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2）政策获取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汇总国家及地方节水政策、技术规范，支持全文检索和条款定位。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8" w:name="_Toc17966"/>
      <w:r>
        <w:rPr>
          <w:rFonts w:hint="eastAsia" w:ascii="宋体" w:hAnsi="宋体" w:eastAsia="宋体" w:cs="宋体"/>
          <w:color w:val="auto"/>
          <w:sz w:val="24"/>
          <w:szCs w:val="24"/>
          <w:highlight w:val="none"/>
          <w:lang w:val="en-US" w:eastAsia="zh-CN" w:bidi="ar-SA"/>
        </w:rPr>
        <w:t xml:space="preserve">（三）系统运维用户需求</w:t>
      </w:r>
      <w:bookmarkEnd w:id="8"/>
      <w:r>
        <w:rPr>
          <w:rFonts w:hint="eastAsia" w:ascii="宋体" w:hAnsi="宋体" w:eastAsia="宋体" w:cs="宋体"/>
          <w:color w:val="auto"/>
          <w:sz w:val="24"/>
          <w:szCs w:val="24"/>
          <w:highlight w:val="none"/>
          <w:lang w:val="en-US" w:eastAsia="zh-CN" w:bidi="ar-SA"/>
        </w:rPr>
        <w:t xml:space="preserve">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1、技术保障需求 </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1）高可用性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支持7×24小时运行，数据备份频率≥1次/小时，故障恢复时间&lt;30分钟。提供API接口文档，便于与省级平台、第三方系统对接。  </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2）安全防护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数据加密存储（国密SM4算法）、操作日志全记录、高危操作两次验证。定期渗透测试，漏洞修复时效&lt;48小时。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2、运维管理需求</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1）权限分级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运维人员按角色分配权限（如数据库管理员、网络管理员），禁止越权操作。敏感操作（如数据导出）需审批留痕。  </w:t>
      </w:r>
      <w:r/>
    </w:p>
    <w:p>
      <w:pPr>
        <w:pStyle w:val="1061"/>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2）性能监控  </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实时监控CPU/内存使用率、接口响应时间，异常自动告警。</w:t>
      </w:r>
      <w:r/>
    </w:p>
    <w:p>
      <w:pPr>
        <w:pStyle w:val="763"/>
        <w:numPr>
          <w:ilvl w:val="1"/>
          <w:numId w:val="0"/>
        </w:numPr>
        <w:ind w:firstLine="482"/>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bookmarkStart w:id="9" w:name="_Toc3682"/>
      <w:r/>
      <w:bookmarkStart w:id="10" w:name="_Toc7632"/>
      <w:r>
        <w:rPr>
          <w:rFonts w:hint="eastAsia" w:ascii="宋体" w:hAnsi="宋体" w:eastAsia="宋体" w:cs="宋体"/>
          <w:b/>
          <w:bCs/>
          <w:color w:val="auto"/>
          <w:sz w:val="24"/>
          <w:szCs w:val="24"/>
          <w:highlight w:val="none"/>
          <w:lang w:val="en-US" w:eastAsia="zh-CN" w:bidi="ar-SA"/>
        </w:rPr>
        <w:t xml:space="preserve">（三）功能需求</w:t>
      </w:r>
      <w:bookmarkEnd w:id="9"/>
      <w:r/>
      <w:bookmarkEnd w:id="10"/>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面向市、县水行政主管部门水资源和节约用水管理人员，以及全市所有取用水户（约1700户左右）按照各自管理或使用权限进行开放。本项目主要是收集、复核全市范围取用水与节水相关信息数据，将省级及以上水资源与节水管理、市级水利平台基础信息进行数据交换与集成，并与全市实时水资源和节水动态信息按照市、县管理要求进行对比分析，以及水行政主管部门供水资源节水管理决策，方便取用水户办事。本项目分数据底板、核心功能、运行环境与硬件设备四大板块，其中核心功能包括取用水管理、节约用水管理、水资源保护等方面。</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1、数据底板</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构建数据库：着力构建综合数据库，汇聚基础数据、监测数据、业务数据、空间数据、多媒体数据等多种类型数据，将分散在不同系统、不同部门的数据进行整合，形成涵盖多领域、多维度信息的综合数据库，为省级与市级的数据管理和分析提供全面的数据支撑。</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数据共享交换：将各类与水资源相关的数据进行集中整合与存储，确保数据的完整性与系统性。积极搭建数据共享交换平台，打破部门之间的数据壁垒，让不同业务系统间的数据能够流畅交互，实现数据的高效流通与共享利用，为后续的水资源管理各项工作提供坚实的数据基础。</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2、核心应用</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取用水管理：对接涵盖审批、发证、验收、延续及变更等环节政务服务的审批数据，管理取水许可证、取水计划、用水计量、水量核定、监控水量、取水口（含地下水工程）、水权收储（含水权交易）等全流程日常取用水数据，进行综合展示以及预警异常，并与行政区域和河湖管控目标比对分析，构建取用水户、取水口一张图以及一企一档建档，可查询政策管理文件等。</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节约用水管理：自备水户、公共供水户、双水源户取用水计划的申报、核定、下达与调整，实时跟踪执行情况，预警异常，构建用水定额库，用水审计、水平衡测试、节水技改、合同节水、节水评价、节水三同时、节水贷、节水技术推广、节水统计等核心业务管理与展示，可查询政策管理文件等。</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3）水资源保护：包括生态流量水位监测、地下水保护、饮用水水源地和其他水资源监测，为管理决策提供数据依据。</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取用水户政务服务：实现相关业务的“一网通办”，将取水许可申请、用水申报等业务一站式集成各类数据，方便用户操作。平台提供信息查询功能，用户可随时获取自身用水相关信息；设有消息通知与预警提醒功能，及时告知用户业务办理进度以及各类用水异常情况，提升用户办事体验与用水管理效率。同时取用水户能查看个人的信息，包括密码、用户名等信息。</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5）系统管理：负责平台日常运行维护，合理分配用户权限，保障数据安全和平台稳定运行。</w:t>
      </w:r>
      <w:r/>
    </w:p>
    <w:p>
      <w:pPr>
        <w:pStyle w:val="763"/>
        <w:numPr>
          <w:ilvl w:val="1"/>
          <w:numId w:val="0"/>
        </w:numPr>
        <w:ind w:firstLine="482"/>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bookmarkStart w:id="11" w:name="_Toc26457"/>
      <w:r/>
      <w:bookmarkStart w:id="12" w:name="_Toc30145"/>
      <w:r>
        <w:rPr>
          <w:rFonts w:hint="eastAsia" w:ascii="宋体" w:hAnsi="宋体" w:eastAsia="宋体" w:cs="宋体"/>
          <w:b/>
          <w:bCs/>
          <w:color w:val="auto"/>
          <w:sz w:val="24"/>
          <w:szCs w:val="24"/>
          <w:highlight w:val="none"/>
          <w:lang w:val="en-US" w:eastAsia="zh-CN" w:bidi="ar-SA"/>
        </w:rPr>
        <w:t xml:space="preserve">（四）运行环境需求</w:t>
      </w:r>
      <w:bookmarkEnd w:id="11"/>
      <w:r/>
      <w:bookmarkEnd w:id="12"/>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扬州市城区智慧水利综合调度系统水资源管理模块涉及到政务外网和互联网。（</w:t>
      </w:r>
      <w:r>
        <w:rPr>
          <w:rFonts w:hint="eastAsia" w:ascii="宋体" w:hAnsi="宋体" w:eastAsia="宋体" w:cs="宋体"/>
          <w:b/>
          <w:bCs/>
          <w:i/>
          <w:iCs/>
          <w:color w:val="auto"/>
          <w:sz w:val="24"/>
          <w:szCs w:val="24"/>
          <w:highlight w:val="none"/>
          <w:lang w:val="en-US" w:eastAsia="zh-CN" w:bidi="ar-SA"/>
        </w:rPr>
        <w:t xml:space="preserve">应用软件：需要满足国产化适配要求</w:t>
      </w:r>
      <w:r>
        <w:rPr>
          <w:rFonts w:hint="eastAsia" w:ascii="宋体" w:hAnsi="宋体" w:eastAsia="宋体" w:cs="宋体"/>
          <w:color w:val="auto"/>
          <w:sz w:val="24"/>
          <w:szCs w:val="24"/>
          <w:highlight w:val="none"/>
          <w:lang w:val="en-US" w:eastAsia="zh-CN" w:bidi="ar-SA"/>
        </w:rPr>
        <w:t xml:space="preserve">）</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1、政务外网部署水资源和节约用水综合数据库、数据共享软件和业务应用系统。</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2、通过政务外网与省水资源与节约用水系统进行数据共享交换。</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3、取用水户政务服务系统部署于互联网，通过安全隔离设备访问位于政务外网的水资源和节约用水数据库。</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系统总体部署图如下：</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5939790" cy="3622675"/>
                <wp:effectExtent l="0" t="0" r="3810" b="158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51863" name="图片 1"/>
                        <pic:cNvPicPr>
                          <a:picLocks noChangeAspect="1"/>
                        </pic:cNvPicPr>
                        <pic:nvPr/>
                      </pic:nvPicPr>
                      <pic:blipFill>
                        <a:blip r:embed="rId14"/>
                        <a:stretch/>
                      </pic:blipFill>
                      <pic:spPr bwMode="auto">
                        <a:xfrm>
                          <a:off x="0" y="0"/>
                          <a:ext cx="5947111" cy="36271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7.7pt;height:285.2pt;mso-wrap-distance-left:0.0pt;mso-wrap-distance-top:0.0pt;mso-wrap-distance-right:0.0pt;mso-wrap-distance-bottom:0.0pt;" stroked="false">
                <v:path textboxrect="0,0,0,0"/>
                <v:imagedata r:id="rId14" o:title=""/>
              </v:shape>
            </w:pict>
          </mc:Fallback>
        </mc:AlternateContent>
      </w:r>
      <w:r/>
    </w:p>
    <w:p>
      <w:pPr>
        <w:pStyle w:val="1061"/>
        <w:numPr>
          <w:ilvl w:val="3"/>
          <w:numId w:val="0"/>
        </w:numPr>
        <w:jc w:val="center"/>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图</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 系统总体部署图</w:t>
      </w:r>
      <w:r/>
    </w:p>
    <w:p>
      <w:pPr>
        <w:pStyle w:val="763"/>
        <w:numPr>
          <w:ilvl w:val="1"/>
          <w:numId w:val="0"/>
        </w:numPr>
        <w:ind w:firstLine="482"/>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（五）性能要求</w:t>
      </w:r>
      <w:r/>
    </w:p>
    <w:p>
      <w:pPr>
        <w:pStyle w:val="775"/>
        <w:numPr>
          <w:ilvl w:val="0"/>
          <w:numId w:val="0"/>
        </w:numPr>
        <w:ind w:firstLine="72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bidi="ar-SA"/>
        </w:rPr>
        <w:t xml:space="preserve">系统响应时间≤10秒，TPS指标＞50。</w:t>
      </w:r>
      <w:r/>
    </w:p>
    <w:p>
      <w:pPr>
        <w:pStyle w:val="774"/>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建设</w:t>
      </w:r>
      <w:bookmarkEnd w:id="5"/>
      <w:r>
        <w:rPr>
          <w:rFonts w:hint="eastAsia" w:ascii="宋体" w:hAnsi="宋体" w:eastAsia="宋体" w:cs="宋体"/>
          <w:b/>
          <w:bCs/>
          <w:color w:val="auto"/>
          <w:sz w:val="24"/>
          <w:szCs w:val="24"/>
        </w:rPr>
        <w:t xml:space="preserve">任务</w:t>
      </w:r>
      <w:r/>
    </w:p>
    <w:p>
      <w:pPr>
        <w:pStyle w:val="763"/>
        <w:numPr>
          <w:ilvl w:val="1"/>
          <w:numId w:val="0"/>
        </w:numPr>
        <w:ind w:firstLine="482"/>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（一）总体架构</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扬州市城区智慧水利综合调度系统水资源管理模块项目建设以智能感知为前哨，以基础设施为底座，以数据底板为支撑，以水利网络安全防护体系和水利运维保障体系为保障，从取用水管理、节约用水管理、水资源保护、政务服务四个方面建设业务应用。系统总体架构图如下图所示：</w:t>
      </w:r>
      <w:r/>
    </w:p>
    <w:p>
      <w:pPr>
        <w:jc w:val="cente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5939790" cy="3726180"/>
                <wp:effectExtent l="0" t="0" r="3810"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92921" name="图片 1"/>
                        <pic:cNvPicPr>
                          <a:picLocks noChangeAspect="1"/>
                        </pic:cNvPicPr>
                        <pic:nvPr/>
                      </pic:nvPicPr>
                      <pic:blipFill>
                        <a:blip r:embed="rId15"/>
                        <a:stretch/>
                      </pic:blipFill>
                      <pic:spPr bwMode="auto">
                        <a:xfrm>
                          <a:off x="0" y="0"/>
                          <a:ext cx="5939790" cy="3726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7pt;height:293.4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图2 系统总体架构图</w:t>
      </w:r>
      <w:r/>
    </w:p>
    <w:p>
      <w:pPr>
        <w:pStyle w:val="1061"/>
        <w:numPr>
          <w:ilvl w:val="3"/>
          <w:numId w:val="0"/>
        </w:numPr>
        <w:ind w:firstLine="482"/>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智能感知</w:t>
      </w:r>
      <w:r>
        <w:rPr>
          <w:rFonts w:hint="eastAsia" w:ascii="宋体" w:hAnsi="宋体" w:eastAsia="宋体" w:cs="宋体"/>
          <w:color w:val="auto"/>
          <w:sz w:val="24"/>
          <w:szCs w:val="24"/>
        </w:rPr>
        <w:t xml:space="preserve">包含自备水取水监测、公共供水用水监测、地下水水位监测、生态水位（流量）监测、水源地水质监测等，本次项目通过数据共享交换的方式获取以上数据，不直接从采集终端获取数据。</w:t>
      </w:r>
      <w:r/>
    </w:p>
    <w:p>
      <w:pPr>
        <w:pStyle w:val="1061"/>
        <w:numPr>
          <w:ilvl w:val="3"/>
          <w:numId w:val="0"/>
        </w:numPr>
        <w:ind w:firstLine="482"/>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运行环境</w:t>
      </w:r>
      <w:r>
        <w:rPr>
          <w:rFonts w:hint="eastAsia" w:ascii="宋体" w:hAnsi="宋体" w:eastAsia="宋体" w:cs="宋体"/>
          <w:color w:val="auto"/>
          <w:sz w:val="24"/>
          <w:szCs w:val="24"/>
        </w:rPr>
        <w:t xml:space="preserve">包含计算资源、存储资源和网络资源，网络资源涉及政务外网和互联网。面向水行政管理人员的“一网统管”业务应用系统部署在政务外网；面向取用水户的“一网通办”政务服务系统部署在互联网。</w:t>
      </w:r>
      <w:r/>
    </w:p>
    <w:p>
      <w:pPr>
        <w:pStyle w:val="1061"/>
        <w:numPr>
          <w:ilvl w:val="3"/>
          <w:numId w:val="0"/>
        </w:numPr>
        <w:ind w:firstLine="482"/>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数据底板</w:t>
      </w:r>
      <w:r>
        <w:rPr>
          <w:rFonts w:hint="eastAsia" w:ascii="宋体" w:hAnsi="宋体" w:eastAsia="宋体" w:cs="宋体"/>
          <w:color w:val="auto"/>
          <w:sz w:val="24"/>
          <w:szCs w:val="24"/>
        </w:rPr>
        <w:t xml:space="preserve">构建水资源与节约用水综合数据库，实现基础信息、监测数据、业务管理信息、地理空间数据、多媒体数据和跨行业共享数据等的统一汇聚、统一存储和数据治理。实现市系统与省水资源系统、省水文系统的信息交换。</w:t>
      </w:r>
      <w:r/>
    </w:p>
    <w:p>
      <w:pPr>
        <w:pStyle w:val="1061"/>
        <w:numPr>
          <w:ilvl w:val="3"/>
          <w:numId w:val="0"/>
        </w:numPr>
        <w:ind w:firstLine="482"/>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业务应用</w:t>
      </w:r>
      <w:r>
        <w:rPr>
          <w:rFonts w:hint="eastAsia" w:ascii="宋体" w:hAnsi="宋体" w:eastAsia="宋体" w:cs="宋体"/>
          <w:color w:val="auto"/>
          <w:sz w:val="24"/>
          <w:szCs w:val="24"/>
        </w:rPr>
        <w:t xml:space="preserve">包括取用水管理、节约用水管理、水资源保护、政务服务四个方面。取用水管理、节约用水管理、水资源保护主要面向水行政主管部门；政务</w:t>
      </w:r>
      <w:r>
        <w:rPr>
          <w:rFonts w:hint="eastAsia" w:ascii="宋体" w:hAnsi="宋体" w:eastAsia="宋体" w:cs="宋体"/>
          <w:color w:val="auto"/>
          <w:sz w:val="24"/>
          <w:szCs w:val="24"/>
        </w:rPr>
        <w:t xml:space="preserve">服务面向取用水户。取用水管理包括取水口一张图、监控水量、取水许可、水量核定、监管预警、水权收储、信用评价等功能；节约用水管理包括计划用水户、重点监控用水单位、用水计划管理、公共供水用水量、水平衡测试、用水审计、非常规用水、节水技改管理、合同节水管理、节水评价管理、节水三同时、节水贷、节水技术推广、节水统计报表管理、一企一档等功能；水资源保护包括水源地监管、地下水双控和生态水位（流量）；政务服务针对取用水户提供一站式信息查询和业务办理服务，包括与政务服务系统对接、信息查询、待办任务、消息通知、预警提醒等功能。</w:t>
      </w:r>
      <w:r/>
    </w:p>
    <w:p>
      <w:pPr>
        <w:pStyle w:val="763"/>
        <w:numPr>
          <w:ilvl w:val="1"/>
          <w:numId w:val="0"/>
        </w:numPr>
        <w:ind w:firstLine="482"/>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bookmarkStart w:id="13" w:name="_Toc6084"/>
      <w:r/>
      <w:bookmarkStart w:id="14" w:name="_Toc343"/>
      <w:r>
        <w:rPr>
          <w:rFonts w:hint="eastAsia" w:ascii="宋体" w:hAnsi="宋体" w:eastAsia="宋体" w:cs="宋体"/>
          <w:b/>
          <w:bCs/>
          <w:color w:val="auto"/>
          <w:sz w:val="24"/>
          <w:szCs w:val="24"/>
          <w:highlight w:val="none"/>
          <w:lang w:val="en-US" w:eastAsia="zh-CN" w:bidi="ar-SA"/>
        </w:rPr>
        <w:t xml:space="preserve">（二）网络部署架构</w:t>
      </w:r>
      <w:bookmarkEnd w:id="13"/>
      <w:r/>
      <w:bookmarkEnd w:id="14"/>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扬州市城区智慧水利综合调度系统水资源管理模块</w:t>
      </w:r>
      <w:r>
        <w:rPr>
          <w:rFonts w:hint="eastAsia" w:ascii="宋体" w:hAnsi="宋体" w:eastAsia="宋体" w:cs="宋体"/>
          <w:color w:val="auto"/>
          <w:sz w:val="24"/>
          <w:szCs w:val="24"/>
        </w:rPr>
        <w:t xml:space="preserve">涉及到政务外网和互联网。</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1、政务外网部署水资源和节约用水综合数据库、数据共享软件和业务应用系统。</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2、通过政务外网与省水资源与节约用水系统进行数据共享交换。</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3、取用水户政务服务系统部署于政务云互联网区，通过安全隔离设备访问位于政务云政务外网的水资源和节约用水数据库。</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系统总体部署图如下：</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5939790" cy="3622675"/>
                <wp:effectExtent l="0" t="0" r="3810" b="158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61816" name="图片 1"/>
                        <pic:cNvPicPr>
                          <a:picLocks noChangeAspect="1"/>
                        </pic:cNvPicPr>
                        <pic:nvPr/>
                      </pic:nvPicPr>
                      <pic:blipFill>
                        <a:blip r:embed="rId14"/>
                        <a:stretch/>
                      </pic:blipFill>
                      <pic:spPr bwMode="auto">
                        <a:xfrm>
                          <a:off x="0" y="0"/>
                          <a:ext cx="5947111" cy="36271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7.7pt;height:285.2pt;mso-wrap-distance-left:0.0pt;mso-wrap-distance-top:0.0pt;mso-wrap-distance-right:0.0pt;mso-wrap-distance-bottom:0.0pt;" stroked="false">
                <v:path textboxrect="0,0,0,0"/>
                <v:imagedata r:id="rId14" o:title=""/>
              </v:shape>
            </w:pict>
          </mc:Fallback>
        </mc:AlternateContent>
      </w:r>
      <w:r/>
    </w:p>
    <w:p>
      <w:pPr>
        <w:jc w:val="center"/>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图</w:t>
      </w:r>
      <w:r>
        <w:rPr>
          <w:rFonts w:hint="eastAsia" w:ascii="宋体" w:hAnsi="宋体" w:eastAsia="宋体" w:cs="宋体"/>
          <w:b/>
          <w:bCs/>
          <w:color w:val="auto"/>
          <w:sz w:val="24"/>
          <w:szCs w:val="24"/>
          <w:lang w:val="en-US" w:eastAsia="zh-CN"/>
        </w:rPr>
        <w:t xml:space="preserve">3 </w:t>
      </w:r>
      <w:r>
        <w:rPr>
          <w:rFonts w:hint="eastAsia" w:ascii="宋体" w:hAnsi="宋体" w:eastAsia="宋体" w:cs="宋体"/>
          <w:b/>
          <w:bCs/>
          <w:color w:val="auto"/>
          <w:sz w:val="24"/>
          <w:szCs w:val="24"/>
        </w:rPr>
        <w:t xml:space="preserve">系统总体部署图</w:t>
      </w:r>
      <w:r/>
    </w:p>
    <w:p>
      <w:pPr>
        <w:pStyle w:val="763"/>
        <w:numPr>
          <w:ilvl w:val="1"/>
          <w:numId w:val="0"/>
        </w:numPr>
        <w:ind w:firstLine="482"/>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bookmarkStart w:id="15" w:name="_Toc21899"/>
      <w:r/>
      <w:bookmarkStart w:id="16" w:name="_Toc16794"/>
      <w:r>
        <w:rPr>
          <w:rFonts w:hint="eastAsia" w:ascii="宋体" w:hAnsi="宋体" w:eastAsia="宋体" w:cs="宋体"/>
          <w:b/>
          <w:bCs/>
          <w:color w:val="auto"/>
          <w:sz w:val="24"/>
          <w:szCs w:val="24"/>
          <w:highlight w:val="none"/>
          <w:lang w:val="en-US" w:eastAsia="zh-CN" w:bidi="ar-SA"/>
        </w:rPr>
        <w:t xml:space="preserve">（三）数据资源架构</w:t>
      </w:r>
      <w:bookmarkEnd w:id="15"/>
      <w:r/>
      <w:bookmarkEnd w:id="16"/>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纵向上，实现市水资源与节约用水管理模块与省水资源系统、省水文系统之间的信息上传下达；横向上，实现市水资源与节约用水管理模块与市政务办等部门之间的信息共享。</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与省水资源系统数据共享交换的内容包括：取用水相关：从省水资源系统获取取水户、取水许可电子证照、点证关系、自备水取水监测、用水统计直报水量、取水口、计量设施、取水河湖、取水口与河湖关联关系、取水口与计量设施关联关系、地下水工程登记造册等数据；节约用水相关：从省水资源系统获取国民经济行业、产品、用水定额指标等数据，向省水资源系统上报用水计划、用水定额等数据。水资源保护相关：从省水资源系统获取水源地相关基础信息、空间信息、管理信息和风险信息。</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2、与省水文系统数据共享交换的内容包括：地下水水位监测数据、生态水位（流量）监测数据、水源地水质监测数据。</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3、与市政务办数据共享的容包括：取水许可申请审批数据。</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5843270" cy="2798445"/>
                <wp:effectExtent l="0" t="0" r="508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453604" name="图片 1"/>
                        <pic:cNvPicPr>
                          <a:picLocks noChangeAspect="1"/>
                        </pic:cNvPicPr>
                        <pic:nvPr/>
                      </pic:nvPicPr>
                      <pic:blipFill>
                        <a:blip r:embed="rId16"/>
                        <a:stretch/>
                      </pic:blipFill>
                      <pic:spPr bwMode="auto">
                        <a:xfrm>
                          <a:off x="0" y="0"/>
                          <a:ext cx="5858857" cy="28060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0.1pt;height:220.3pt;mso-wrap-distance-left:0.0pt;mso-wrap-distance-top:0.0pt;mso-wrap-distance-right:0.0pt;mso-wrap-distance-bottom:0.0pt;" stroked="false">
                <v:path textboxrect="0,0,0,0"/>
                <v:imagedata r:id="rId16" o:title=""/>
              </v:shape>
            </w:pict>
          </mc:Fallback>
        </mc:AlternateContent>
      </w:r>
      <w:r/>
    </w:p>
    <w:p>
      <w:pPr>
        <w:jc w:val="center"/>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图</w:t>
      </w:r>
      <w:r>
        <w:rPr>
          <w:rFonts w:hint="eastAsia" w:ascii="宋体" w:hAnsi="宋体" w:eastAsia="宋体" w:cs="宋体"/>
          <w:b/>
          <w:bCs/>
          <w:color w:val="auto"/>
          <w:sz w:val="24"/>
          <w:szCs w:val="24"/>
          <w:lang w:val="en-US" w:eastAsia="zh-CN"/>
        </w:rPr>
        <w:t xml:space="preserve">4 </w:t>
      </w:r>
      <w:r>
        <w:rPr>
          <w:rFonts w:hint="eastAsia" w:ascii="宋体" w:hAnsi="宋体" w:eastAsia="宋体" w:cs="宋体"/>
          <w:b/>
          <w:bCs/>
          <w:color w:val="auto"/>
          <w:sz w:val="24"/>
          <w:szCs w:val="24"/>
        </w:rPr>
        <w:t xml:space="preserve">数据交换逻辑图</w:t>
      </w:r>
      <w:r/>
    </w:p>
    <w:p>
      <w:pPr>
        <w:pStyle w:val="763"/>
        <w:numPr>
          <w:ilvl w:val="1"/>
          <w:numId w:val="0"/>
        </w:numPr>
        <w:ind w:firstLine="482"/>
        <w:keepLines/>
        <w:keepNext/>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bookmarkStart w:id="17" w:name="_Toc750"/>
      <w:r/>
      <w:bookmarkStart w:id="18" w:name="_Toc10971"/>
      <w:r>
        <w:rPr>
          <w:rFonts w:hint="eastAsia" w:ascii="宋体" w:hAnsi="宋体" w:eastAsia="宋体" w:cs="宋体"/>
          <w:b/>
          <w:bCs/>
          <w:color w:val="auto"/>
          <w:sz w:val="24"/>
          <w:szCs w:val="24"/>
          <w:highlight w:val="none"/>
          <w:lang w:val="en-US" w:eastAsia="zh-CN" w:bidi="ar-SA"/>
        </w:rPr>
        <w:t xml:space="preserve">（四）关联系统架构</w:t>
      </w:r>
      <w:bookmarkEnd w:id="17"/>
      <w:r/>
      <w:bookmarkEnd w:id="18"/>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取用水户和水行政管理人员能够分别通过取用水户端和管理端一站式地管理涉水信息。</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1、管理端包括取用水管理模块和节约用水管理模块。</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1）取用水管理模块</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整合取水电子证照系统里的许</w:t>
      </w:r>
      <w:r>
        <w:rPr>
          <w:rFonts w:hint="eastAsia" w:ascii="宋体" w:hAnsi="宋体" w:eastAsia="宋体" w:cs="宋体"/>
          <w:color w:val="auto"/>
          <w:sz w:val="24"/>
          <w:szCs w:val="24"/>
        </w:rPr>
        <w:t xml:space="preserve">可证详细信息、取用水监测运维系统的取水量监测数据，通过严谨的数据治理流程，深入挖掘并建立户、证、点等管理对象彼此之间的关联关系。凭借这一关联体系，系统能够敏锐捕捉到超许可取水、超计划用水、许可证到期等违规取水情况，并及时发出预警。该管理板块主要涵盖一张图功能，以直观可视化的形式展示取用水相关信息分布；具备监控水量功能；支持取水许可申请审批流程查看，能够管理取水许可证；提供水量核定服务，保障数据准确；拥有监管预警机制，防范违规行为；设有水权存储模块，便于水权交易与管理；开展信用评价功能，激励取用水户规范用水。</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2）节约用水管理模块</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建设计划用水户档案，详细记录用水计划与实际用水情况对比。针对重点监控户实施重点关注，精准把控用水大户的用水动态。设置用水计划功能，合理规划用水指标。统计公共供水用水量，分析用水趋势。开展水平衡测试以及用水审计工作，深入挖掘节水潜力。重视非常规水的利用，开拓新的水资源渠道。为每一家企业建立“一企一档”，全面记录企业用水相关信息，从而全方位提升节约用水强监管支撑和辅助决策支持水平，助力水资源的高效利用。</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2、取用水户端建设取用水户政务服务模块</w:t>
      </w:r>
      <w:r/>
    </w:p>
    <w:p>
      <w:pPr>
        <w:pStyle w:val="1061"/>
        <w:numPr>
          <w:ilvl w:val="3"/>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大力推进“互联网+”水资源管理模式，在政务服务平台上实现取用水户统一认证，用户凭借一次认证即可畅行平台各项业务。实现相关业务的“一网通办”，将水量核定、用水计划申报等业务一站式集成，方便用户操作。平台提供信息查询功能，用户可随时获取自身用水相关信息；具备任务待办服务，减轻用户办事负担；设有消息通知与预警提醒功能，及时告知用户业务办理进度以及各类用水异常情况，提升用户办事体验与用水管理效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4798060" cy="4347845"/>
                <wp:effectExtent l="0" t="0" r="2540" b="14604"/>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4798060" cy="434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7.8pt;height:342.3pt;mso-wrap-distance-left:0.0pt;mso-wrap-distance-top:0.0pt;mso-wrap-distance-right:0.0pt;mso-wrap-distance-bottom:0.0pt;" stroked="f">
                <v:path textboxrect="0,0,0,0"/>
                <v:imagedata r:id="rId17" o:title=""/>
              </v:shape>
            </w:pict>
          </mc:Fallback>
        </mc:AlternateContent>
      </w:r>
      <w:r/>
    </w:p>
    <w:p>
      <w:pPr>
        <w:pStyle w:val="1061"/>
        <w:numPr>
          <w:ilvl w:val="3"/>
          <w:numId w:val="0"/>
        </w:numPr>
        <w:jc w:val="center"/>
        <w:spacing w:line="58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图</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 系统关联关系图</w:t>
      </w:r>
      <w:r/>
    </w:p>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2"/>
        <w:numPr>
          <w:ilvl w:val="1"/>
          <w:numId w:val="0"/>
        </w:numPr>
        <w:ind w:firstLine="482"/>
        <w:spacing w:before="0" w:after="0" w:line="58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（五）应用系统业务协同设计</w:t>
      </w:r>
      <w:r/>
    </w:p>
    <w:p>
      <w:pPr>
        <w:pStyle w:val="1061"/>
        <w:numPr>
          <w:ilvl w:val="3"/>
          <w:numId w:val="0"/>
        </w:numPr>
        <w:ind w:firstLine="480"/>
        <w:pageBreakBefore w:val="0"/>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在“数字扬州”建设总体架构下，本项目与其他信息系统的关联设计，包括但不限于信息共享、业务协同等方面。</w:t>
      </w:r>
      <w:r/>
    </w:p>
    <w:p>
      <w:pPr>
        <w:pStyle w:val="763"/>
        <w:numPr>
          <w:ilvl w:val="1"/>
          <w:numId w:val="0"/>
        </w:numPr>
        <w:ind w:firstLine="480"/>
        <w:pageBreakBefore w:val="0"/>
        <w:spacing w:before="0" w:after="0" w:line="360" w:lineRule="auto"/>
        <w:widowControl w:val="off"/>
        <w:rPr>
          <w:rFonts w:hint="eastAsia" w:ascii="宋体" w:hAnsi="宋体" w:eastAsia="宋体" w:cs="宋体"/>
          <w:color w:val="auto"/>
          <w:sz w:val="24"/>
          <w:szCs w:val="24"/>
        </w:rPr>
      </w:pPr>
      <w:r/>
      <w:bookmarkStart w:id="19" w:name="_Toc20043"/>
      <w:r/>
      <w:bookmarkStart w:id="20" w:name="_Toc18582"/>
      <w:r/>
      <w:bookmarkStart w:id="21" w:name="_Toc9276"/>
      <w:r>
        <w:rPr>
          <w:rFonts w:hint="eastAsia" w:ascii="宋体" w:hAnsi="宋体" w:eastAsia="宋体" w:cs="宋体"/>
          <w:color w:val="auto"/>
          <w:sz w:val="24"/>
          <w:szCs w:val="24"/>
          <w:lang w:val="en-US" w:eastAsia="zh-CN" w:bidi="ar-SA"/>
        </w:rPr>
        <w:t xml:space="preserve">1、水资源管理模块与智慧水利的关系</w:t>
      </w:r>
      <w:bookmarkEnd w:id="19"/>
      <w:r/>
      <w:bookmarkEnd w:id="20"/>
      <w:r/>
      <w:bookmarkEnd w:id="21"/>
      <w:r/>
      <w:r/>
    </w:p>
    <w:p>
      <w:pPr>
        <w:pStyle w:val="1061"/>
        <w:numPr>
          <w:ilvl w:val="3"/>
          <w:numId w:val="0"/>
        </w:numPr>
        <w:ind w:firstLine="480"/>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建设的水资源管理模块基于智慧水利总体架构，在智能感知、运行环境、数据底板、应用支撑、业务应用各方面进行扩充，智能感知方面补充取水量、水位、流量、水质等监测数据，运行环境方面增加云计算资源租用，数据底板方面扩充水资源综合数据库，应用支撑方面购置应用中间件等，业务应用方面增加水资源管理模块。</w:t>
      </w:r>
      <w:r/>
    </w:p>
    <w:p>
      <w:pPr>
        <w:pStyle w:val="1061"/>
        <w:numPr>
          <w:ilvl w:val="3"/>
          <w:numId w:val="0"/>
        </w:num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水资源模块与智慧水利系统关系图如下图所示：</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5861050" cy="3702050"/>
                <wp:effectExtent l="0" t="0" r="6350" b="1270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65850" name="图片 1"/>
                        <pic:cNvPicPr>
                          <a:picLocks noChangeAspect="1"/>
                        </pic:cNvPicPr>
                        <pic:nvPr/>
                      </pic:nvPicPr>
                      <pic:blipFill>
                        <a:blip r:embed="rId18"/>
                        <a:stretch/>
                      </pic:blipFill>
                      <pic:spPr bwMode="auto">
                        <a:xfrm>
                          <a:off x="0" y="0"/>
                          <a:ext cx="5861351" cy="3702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1.5pt;height:291.5pt;mso-wrap-distance-left:0.0pt;mso-wrap-distance-top:0.0pt;mso-wrap-distance-right:0.0pt;mso-wrap-distance-bottom:0.0pt;" stroked="false">
                <v:path textboxrect="0,0,0,0"/>
                <v:imagedata r:id="rId18" o:title=""/>
              </v:shape>
            </w:pict>
          </mc:Fallback>
        </mc:AlternateContent>
      </w:r>
      <w:r/>
    </w:p>
    <w:p>
      <w:pPr>
        <w:jc w:val="center"/>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图6 水资源模块与智慧水利系统关系图</w:t>
      </w:r>
      <w:r/>
    </w:p>
    <w:p>
      <w:pPr>
        <w:pStyle w:val="763"/>
        <w:numPr>
          <w:ilvl w:val="1"/>
          <w:numId w:val="0"/>
        </w:numPr>
        <w:ind w:firstLine="480"/>
        <w:pageBreakBefore w:val="0"/>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2、水资源管理模块与省水资源系统的关系</w:t>
      </w:r>
      <w:r/>
    </w:p>
    <w:p>
      <w:pPr>
        <w:pStyle w:val="1061"/>
        <w:numPr>
          <w:ilvl w:val="3"/>
          <w:numId w:val="0"/>
        </w:numPr>
        <w:ind w:firstLine="480"/>
        <w:pageBreakBefore w:val="0"/>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实现扬州市水资源管理模块与省水资源系统之间的数据上传下达。与省水资源系统数据共享交换的内容包括：取用水相关：从省水资源系统获取取水户、取水许可电子证照、点证关系、自备水取水监测、用水统计直报水量、取水口、计量设施、取水河湖、取水口与河湖关联关系、取水口与计量设施关联关系、地下水工程登记造册等数据；节约用水相关：从省水资源系统获取国民经济行业、产品、用水定额指标等数据，向省水资源系统上报用水计划、用水定额等数据。水资源保护相关：从省水资源系统获取水源地相关基础信息、空间信息、管理信息和风险信息。</w:t>
      </w:r>
      <w:r/>
    </w:p>
    <w:p>
      <w:pPr>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5051425" cy="2419350"/>
                <wp:effectExtent l="0" t="0" r="15875"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285740" name="图片 1"/>
                        <pic:cNvPicPr>
                          <a:picLocks noChangeAspect="1"/>
                        </pic:cNvPicPr>
                        <pic:nvPr/>
                      </pic:nvPicPr>
                      <pic:blipFill>
                        <a:blip r:embed="rId16"/>
                        <a:stretch/>
                      </pic:blipFill>
                      <pic:spPr bwMode="auto">
                        <a:xfrm>
                          <a:off x="0" y="0"/>
                          <a:ext cx="5051424" cy="2419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97.8pt;height:190.5pt;mso-wrap-distance-left:0.0pt;mso-wrap-distance-top:0.0pt;mso-wrap-distance-right:0.0pt;mso-wrap-distance-bottom:0.0pt;" stroked="false">
                <v:path textboxrect="0,0,0,0"/>
                <v:imagedata r:id="rId16" o:title=""/>
              </v:shape>
            </w:pict>
          </mc:Fallback>
        </mc:AlternateContent>
      </w:r>
      <w:r/>
    </w:p>
    <w:p>
      <w:pPr>
        <w:jc w:val="center"/>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图7 数据交换逻辑图</w:t>
      </w:r>
      <w:r/>
    </w:p>
    <w:p>
      <w:pPr>
        <w:pStyle w:val="763"/>
        <w:numPr>
          <w:ilvl w:val="1"/>
          <w:numId w:val="0"/>
        </w:numPr>
        <w:ind w:firstLine="480"/>
        <w:pageBreakBefore w:val="0"/>
        <w:spacing w:before="0" w:after="0" w:line="360" w:lineRule="auto"/>
        <w:widowControl w:val="off"/>
        <w:rPr>
          <w:rFonts w:hint="eastAsia" w:ascii="宋体" w:hAnsi="宋体" w:eastAsia="宋体" w:cs="宋体"/>
          <w:color w:val="auto"/>
          <w:sz w:val="24"/>
          <w:szCs w:val="24"/>
          <w:lang w:val="en-US" w:eastAsia="zh-CN" w:bidi="ar-SA"/>
        </w:rPr>
      </w:pPr>
      <w:r/>
      <w:bookmarkStart w:id="22" w:name="_Hlk211160522"/>
      <w:r/>
      <w:bookmarkStart w:id="23" w:name="_Toc10742"/>
      <w:r>
        <w:rPr>
          <w:rFonts w:hint="eastAsia" w:ascii="宋体" w:hAnsi="宋体" w:eastAsia="宋体" w:cs="宋体"/>
          <w:color w:val="auto"/>
          <w:sz w:val="24"/>
          <w:szCs w:val="24"/>
          <w:lang w:val="en-US" w:eastAsia="zh-CN" w:bidi="ar-SA"/>
        </w:rPr>
        <w:t xml:space="preserve">3、水资源管理模块与市域社会治理现代化指挥中心的关系</w:t>
      </w:r>
      <w:bookmarkEnd w:id="22"/>
      <w:r/>
      <w:bookmarkEnd w:id="23"/>
      <w:r/>
      <w:r/>
    </w:p>
    <w:p>
      <w:pPr>
        <w:pStyle w:val="1061"/>
        <w:numPr>
          <w:ilvl w:val="3"/>
          <w:numId w:val="0"/>
        </w:numPr>
        <w:ind w:firstLine="480"/>
        <w:pageBreakBefore w:val="0"/>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本项目中建设的“一张图”等展示页面及数据应全部被集成整合至市域社会治理管理平台，展示页面风格应与市域社会治理管理平台保持一致，助力实现城市治理“一网统管”。</w:t>
      </w:r>
      <w:r/>
    </w:p>
    <w:p>
      <w:pPr>
        <w:pStyle w:val="1061"/>
        <w:numPr>
          <w:ilvl w:val="3"/>
          <w:numId w:val="0"/>
        </w:numPr>
        <w:ind w:firstLine="480"/>
        <w:pageBreakBefore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本项目是我市城市治理的重要组成部分，为保障本项目成果能及时为市领导决策提供参考，在项目试运行后为社会治理现代化指挥中心分配专用账号，并按需做好业务指导、技术支撑等工作。</w:t>
      </w:r>
      <w:r/>
    </w:p>
    <w:p>
      <w:pPr>
        <w:pStyle w:val="763"/>
        <w:numPr>
          <w:ilvl w:val="0"/>
          <w:numId w:val="8"/>
        </w:numPr>
        <w:jc w:val="both"/>
        <w:keepLines/>
        <w:keepNext/>
        <w:pageBreakBefore w:val="0"/>
        <w:spacing w:before="0"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建设要求</w:t>
      </w:r>
      <w:r/>
    </w:p>
    <w:p>
      <w:pPr>
        <w:pStyle w:val="763"/>
        <w:numPr>
          <w:ilvl w:val="0"/>
          <w:numId w:val="0"/>
        </w:numPr>
        <w:jc w:val="both"/>
        <w:keepLines/>
        <w:keepNext/>
        <w:pageBreakBefore w:val="0"/>
        <w:spacing w:before="0"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建设清单</w:t>
      </w:r>
      <w:r>
        <w:rPr>
          <w:rFonts w:hint="eastAsia" w:ascii="宋体" w:hAnsi="宋体" w:eastAsia="宋体" w:cs="宋体"/>
          <w:b/>
          <w:bCs/>
          <w:color w:val="auto"/>
          <w:sz w:val="24"/>
          <w:szCs w:val="24"/>
          <w:lang w:val="en-US" w:eastAsia="zh-CN"/>
        </w:rPr>
        <w:t xml:space="preserve">主要分以下5个板块。</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4846"/>
        <w:gridCol w:w="1773"/>
        <w:gridCol w:w="1510"/>
      </w:tblGrid>
      <w:tr>
        <w:trPr/>
        <w:tc>
          <w:tcPr>
            <w:tcW w:w="567" w:type="pct"/>
            <w:vAlign w:val="center"/>
            <w:textDirection w:val="lrTb"/>
            <w:noWrap w:val="false"/>
          </w:tcPr>
          <w:p>
            <w:pPr>
              <w:numPr>
                <w:ilvl w:val="255"/>
                <w:numId w:val="0"/>
              </w:num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2641" w:type="pct"/>
            <w:vAlign w:val="center"/>
            <w:textDirection w:val="lrTb"/>
            <w:noWrap w:val="false"/>
          </w:tcPr>
          <w:p>
            <w:pPr>
              <w:numPr>
                <w:ilvl w:val="255"/>
                <w:numId w:val="0"/>
              </w:num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内容</w:t>
            </w:r>
            <w:r/>
          </w:p>
        </w:tc>
        <w:tc>
          <w:tcPr>
            <w:tcW w:w="966" w:type="pct"/>
            <w:vAlign w:val="center"/>
            <w:textDirection w:val="lrTb"/>
            <w:noWrap w:val="false"/>
          </w:tcPr>
          <w:p>
            <w:pPr>
              <w:numPr>
                <w:ilvl w:val="255"/>
                <w:numId w:val="0"/>
              </w:num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W w:w="823" w:type="pct"/>
            <w:vAlign w:val="center"/>
            <w:textDirection w:val="lrTb"/>
            <w:noWrap w:val="false"/>
          </w:tcPr>
          <w:p>
            <w:pPr>
              <w:numPr>
                <w:ilvl w:val="255"/>
                <w:numId w:val="0"/>
              </w:num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r>
      <w:tr>
        <w:trPr>
          <w:trHeight w:val="187"/>
        </w:trPr>
        <w:tc>
          <w:tcPr>
            <w:tcW w:w="567"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641"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数据底板</w:t>
            </w:r>
            <w:r/>
          </w:p>
        </w:tc>
        <w:tc>
          <w:tcPr>
            <w:tcW w:w="966"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p>
        </w:tc>
        <w:tc>
          <w:tcPr>
            <w:tcW w:w="823"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r>
      <w:tr>
        <w:trPr/>
        <w:tc>
          <w:tcPr>
            <w:tcW w:w="567"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641"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取用水管理</w:t>
            </w:r>
            <w:r/>
          </w:p>
        </w:tc>
        <w:tc>
          <w:tcPr>
            <w:tcW w:w="966"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p>
        </w:tc>
        <w:tc>
          <w:tcPr>
            <w:tcW w:w="823"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r>
      <w:tr>
        <w:trPr/>
        <w:tc>
          <w:tcPr>
            <w:tcW w:w="567"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641"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节约用水管理</w:t>
            </w:r>
            <w:r/>
          </w:p>
        </w:tc>
        <w:tc>
          <w:tcPr>
            <w:tcW w:w="966"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p>
        </w:tc>
        <w:tc>
          <w:tcPr>
            <w:tcW w:w="823"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r>
      <w:tr>
        <w:trPr/>
        <w:tc>
          <w:tcPr>
            <w:tcW w:w="567"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641"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水资源保护</w:t>
            </w:r>
            <w:r/>
          </w:p>
        </w:tc>
        <w:tc>
          <w:tcPr>
            <w:tcW w:w="966"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p>
        </w:tc>
        <w:tc>
          <w:tcPr>
            <w:tcW w:w="823"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r>
      <w:tr>
        <w:trPr/>
        <w:tc>
          <w:tcPr>
            <w:tcW w:w="567"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641"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取用水户政务服务</w:t>
            </w:r>
            <w:r/>
          </w:p>
        </w:tc>
        <w:tc>
          <w:tcPr>
            <w:tcW w:w="966"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w:t>
            </w:r>
            <w:r/>
          </w:p>
        </w:tc>
        <w:tc>
          <w:tcPr>
            <w:tcW w:w="823" w:type="pct"/>
            <w:vAlign w:val="center"/>
            <w:textDirection w:val="lrTb"/>
            <w:noWrap w:val="false"/>
          </w:tcPr>
          <w:p>
            <w:pPr>
              <w:numPr>
                <w:ilvl w:val="255"/>
                <w:numId w:val="0"/>
              </w:num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r>
    </w:tbl>
    <w:p>
      <w:pPr>
        <w:pStyle w:val="1046"/>
        <w:ind w:firstLine="437"/>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63"/>
        <w:spacing w:before="0" w:after="0" w:line="360" w:lineRule="auto"/>
        <w:rPr>
          <w:rFonts w:hint="eastAsia" w:ascii="宋体" w:hAnsi="宋体" w:eastAsia="宋体" w:cs="宋体"/>
          <w:b/>
          <w:bCs/>
          <w:color w:val="auto"/>
          <w:sz w:val="24"/>
          <w:szCs w:val="24"/>
          <w:lang w:val="en-US" w:eastAsia="zh-CN"/>
        </w:rPr>
      </w:pPr>
      <w:r/>
      <w:bookmarkStart w:id="24" w:name="_Toc8515"/>
      <w:r/>
      <w:bookmarkStart w:id="25" w:name="_Toc6121"/>
      <w:r/>
      <w:bookmarkStart w:id="26" w:name="_Toc11851"/>
      <w:r>
        <w:rPr>
          <w:rFonts w:hint="eastAsia" w:ascii="宋体" w:hAnsi="宋体" w:eastAsia="宋体" w:cs="宋体"/>
          <w:b/>
          <w:bCs/>
          <w:color w:val="auto"/>
          <w:sz w:val="24"/>
          <w:szCs w:val="24"/>
        </w:rPr>
        <w:t xml:space="preserve">1、数据底板</w:t>
      </w:r>
      <w:bookmarkEnd w:id="24"/>
      <w:r/>
      <w:bookmarkEnd w:id="25"/>
      <w:r/>
      <w:bookmarkEnd w:id="26"/>
      <w:r>
        <w:rPr>
          <w:rFonts w:hint="eastAsia" w:ascii="宋体" w:hAnsi="宋体" w:eastAsia="宋体" w:cs="宋体"/>
          <w:b/>
          <w:bCs/>
          <w:color w:val="auto"/>
          <w:sz w:val="24"/>
          <w:szCs w:val="24"/>
          <w:lang w:val="en-US" w:eastAsia="zh-CN"/>
        </w:rPr>
        <w:t xml:space="preserve">建设要求（技术方案1）</w:t>
      </w:r>
      <w:r/>
    </w:p>
    <w:p>
      <w:pPr>
        <w:pStyle w:val="1046"/>
        <w:ind w:firstLine="437"/>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数据底板实现水资源与节约用水相关基础信息、监测数据、业务管理信息、地理空间数据、多媒体数据和跨行业共享数据等的统一汇聚、统一存储和数据治理。</w:t>
      </w:r>
      <w:r/>
    </w:p>
    <w:p>
      <w:pPr>
        <w:pStyle w:val="764"/>
        <w:spacing w:before="0" w:after="0" w:line="360" w:lineRule="auto"/>
        <w:rPr>
          <w:rFonts w:hint="eastAsia" w:ascii="宋体" w:hAnsi="宋体" w:eastAsia="宋体" w:cs="宋体"/>
          <w:color w:val="auto"/>
          <w:sz w:val="24"/>
          <w:szCs w:val="24"/>
        </w:rPr>
      </w:pPr>
      <w:r/>
      <w:bookmarkStart w:id="27" w:name="_Toc192956683"/>
      <w:r/>
      <w:bookmarkStart w:id="28" w:name="_Toc193110608"/>
      <w:r/>
      <w:bookmarkStart w:id="29" w:name="_Toc192956260"/>
      <w:r/>
      <w:bookmarkStart w:id="30" w:name="_Toc193110758"/>
      <w:r>
        <w:rPr>
          <w:rFonts w:hint="eastAsia" w:ascii="宋体" w:hAnsi="宋体" w:eastAsia="宋体" w:cs="宋体"/>
          <w:color w:val="auto"/>
          <w:sz w:val="24"/>
          <w:szCs w:val="24"/>
        </w:rPr>
        <w:t xml:space="preserve">1）构建</w:t>
      </w:r>
      <w:bookmarkEnd w:id="27"/>
      <w:r/>
      <w:bookmarkEnd w:id="28"/>
      <w:r/>
      <w:bookmarkEnd w:id="29"/>
      <w:r/>
      <w:bookmarkEnd w:id="30"/>
      <w:r>
        <w:rPr>
          <w:rFonts w:hint="eastAsia" w:ascii="宋体" w:hAnsi="宋体" w:eastAsia="宋体" w:cs="宋体"/>
          <w:color w:val="auto"/>
          <w:sz w:val="24"/>
          <w:szCs w:val="24"/>
        </w:rPr>
        <w:t xml:space="preserve">综合数据库</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按照国标和省标，建立扬州市水资源与节约用水综合数据库，实现基础数据、监测数据、空间数据、业务数据、多媒体数据的存储管理，在此基础上进行数据治理。</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基础数据库：行政区划、水资源分区、流域水系、河流湖泊、取用水基础信息（取水权人、取水口、计量设施）、地下水工程登记造册数据、节约用水基础信息（计划用水户名录、国民经济行业、产品、定额指标）、污水处理厂基础信息（设计处理能力、处理水质标准、管道管径、服务范围、所属街镇、是否具备再生水生产能力）、水源地基础信息（水源地、水功能区、保护区、水质监测站）、地下水基础信息等。</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监测数据库：取水监测信息、公共供水水量信息、水质监测评价信息、地下水水位监测信息、视频监控信息。</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数据库：取用水业务（区域用水总量控制指标、取水许可电子证照、取水许可申请审批、水量核定、水权收储、用水统计直报等）；节约用水业务（用水计划、公共供水用水量、非常规水、用水定额、水平衡测试、用水审计、节水技改管理、合同节水管理、节水评价管理、节水三同时、节水贷、节水技术推广、节水统计报表管理、一企一档等）；水资源保护业务（水源地管理单位信息、取水许可信息、水源地保护区信息、水源地达标建设信息、水源地保护区范围内的码头泊位、危化品运输船舶的信息、地下水水位控制指标、水量控制指标等）。</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空间数据库：基础地形图数据、取用水专题、节约用水专题和水资源保护数据，基础地形图数据分为数字线划图和影像图。基础地形图包括：行政区划，河流水系，道路交通，建筑物，全要素图等；取用水专题数据包括：取水户、取水监测站、取水口等；节约用水专题数据包括：用水户、污水处理厂、节水产业企业排水提升泵站等；水资源保护专题数据包括：水源地、保护区、水功能区、码头、航道、水质监测站、地下水位监测站等。</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多媒体数据库：多媒体文件基本信息、文档多媒体文件扩展信息、图片多媒体文件扩展信息、视音多媒体文件扩展信息。</w:t>
      </w:r>
      <w:r/>
    </w:p>
    <w:p>
      <w:pPr>
        <w:pStyle w:val="764"/>
        <w:spacing w:before="0" w:after="0" w:line="360" w:lineRule="auto"/>
        <w:rPr>
          <w:rFonts w:hint="eastAsia" w:ascii="宋体" w:hAnsi="宋体" w:eastAsia="宋体" w:cs="宋体"/>
          <w:color w:val="auto"/>
          <w:sz w:val="24"/>
          <w:szCs w:val="24"/>
        </w:rPr>
      </w:pPr>
      <w:r/>
      <w:bookmarkStart w:id="31" w:name="_Toc192956261"/>
      <w:r/>
      <w:bookmarkStart w:id="32" w:name="_Toc193110609"/>
      <w:r/>
      <w:bookmarkStart w:id="33" w:name="_Toc193110759"/>
      <w:r/>
      <w:bookmarkStart w:id="34" w:name="_Toc192956684"/>
      <w:r>
        <w:rPr>
          <w:rFonts w:hint="eastAsia" w:ascii="宋体" w:hAnsi="宋体" w:eastAsia="宋体" w:cs="宋体"/>
          <w:color w:val="auto"/>
          <w:sz w:val="24"/>
          <w:szCs w:val="24"/>
        </w:rPr>
        <w:t xml:space="preserve">2）数据共享交换</w:t>
      </w:r>
      <w:bookmarkEnd w:id="31"/>
      <w:r/>
      <w:bookmarkEnd w:id="32"/>
      <w:r/>
      <w:bookmarkEnd w:id="33"/>
      <w:r/>
      <w:bookmarkEnd w:id="34"/>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（1）数据交换内容</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纵向上，实现市水资源与节约用水管理模块与省水资源系统、省水文系统之间的信息上传下达；横向上，实现市水资源与节约用水管理模块与市政务办等部门之间的信息共享。</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与省水资源系统数据共享交换的内容包括：取用水相关：从省水资源系统获取取水户、取水许可电子证照、点证关系、自备水取水监测、用水统计直报水量、取水口、计量设施、取水河湖、取水口与河湖关联关系、取水口与计量设施关联关系、地下水工程登记造册等数据；节约用水相关：从省水资源系统获取国民经济行业、产品、用水定额指标等数据，向省水资源系统上报用水计划、用水定额等数据。（预留与自来水公司业务系统公共供水水量数据交换）。水资源保护相关：从省水资源系统获取水源地相关基础信息、空间信息、管理信息和风险信息。</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与省水文系统数据共享交换的内容包括：地下水水位监测数据、生态水位（流量）监测数据、水源地水质监测数据。</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与市政务办数据共享交换的内容包括：取水许可申请审批数据。</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（2）数据交换方式</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根据《省市水资源管理与节约用水信息系统整合共享数据服务接口》提供的数据服务接口说明，基于Web服务调用（RESTful API）技术开发数据接收程序，部署在政务外网，通过HTTP协议每日定时从省厅的数据共享服务接口获取数据，将数据保存到扬州市水资源与节水综合数据库。</w:t>
      </w:r>
      <w:r/>
    </w:p>
    <w:p>
      <w:pPr>
        <w:pStyle w:val="1046"/>
        <w:jc w:val="both"/>
        <w:spacing w:before="0" w:after="0"/>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从政务办获取取水许可申请审批数据：从政务服务系统数据导出、再导入到本模块。</w:t>
      </w:r>
      <w:r/>
    </w:p>
    <w:p>
      <w:pPr>
        <w:pStyle w:val="763"/>
        <w:spacing w:before="0" w:after="0" w:line="360" w:lineRule="auto"/>
        <w:rPr>
          <w:rFonts w:hint="eastAsia" w:ascii="宋体" w:hAnsi="宋体" w:eastAsia="宋体" w:cs="宋体"/>
          <w:b/>
          <w:bCs/>
          <w:color w:val="auto"/>
          <w:sz w:val="24"/>
          <w:szCs w:val="24"/>
        </w:rPr>
      </w:pPr>
      <w:r/>
      <w:bookmarkStart w:id="35" w:name="_Toc7408"/>
      <w:r/>
      <w:bookmarkStart w:id="36" w:name="_Toc1879"/>
      <w:r/>
      <w:bookmarkStart w:id="37" w:name="_Toc15128"/>
      <w:r>
        <w:rPr>
          <w:rFonts w:hint="eastAsia" w:ascii="宋体" w:hAnsi="宋体" w:eastAsia="宋体" w:cs="宋体"/>
          <w:b/>
          <w:bCs/>
          <w:color w:val="auto"/>
          <w:sz w:val="24"/>
          <w:szCs w:val="24"/>
        </w:rPr>
        <w:t xml:space="preserve">2、</w:t>
      </w:r>
      <w:bookmarkEnd w:id="35"/>
      <w:r/>
      <w:bookmarkEnd w:id="36"/>
      <w:r/>
      <w:bookmarkEnd w:id="37"/>
      <w:r>
        <w:rPr>
          <w:rFonts w:hint="eastAsia" w:ascii="宋体" w:hAnsi="宋体" w:eastAsia="宋体" w:cs="宋体"/>
          <w:b/>
          <w:bCs/>
          <w:color w:val="auto"/>
          <w:sz w:val="24"/>
          <w:szCs w:val="24"/>
          <w:lang w:val="en-US" w:eastAsia="zh-CN" w:bidi="ar-SA"/>
        </w:rPr>
        <w:t xml:space="preserve">取用水管理功能建设要求（技术方案2）</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整合政务办取水许可审批系统的申请审批信息、江苏省电子证照系统的许可证信息、江苏省取用水监测运维系统的取水量监测信息、水利部用水统计调查系统的用水直报信息，对实际取水量进行核定，对超许可取水等违规取水问题及时预警。</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1）一张图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（1）取水户一张图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在一张图上集中展现取水户的基本信息、空间信息、监测信息、业务信息和多媒体信息，主要功能包括：</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统计分析：统计区域可用水量、取水监测总体情况，包括监控许可水量、颁证许可水量、监控取水总量与总取水量占比，各月取水量走势图，监控户个数、当年监控水量、监测点上线情况。</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取水户名录：以取水户为单元，以列表形式展示取水户基本信息（可按关键词搜索和筛选），包括行政区域、取水户名称、取水水源、取水用途、</w:t>
      </w:r>
      <w:r>
        <w:rPr>
          <w:rFonts w:ascii="PingFang SC" w:hAnsi="PingFang SC" w:eastAsia="PingFang SC" w:cs="PingFang SC"/>
          <w:i w:val="0"/>
          <w:iCs w:val="0"/>
          <w:caps w:val="0"/>
          <w:color w:val="202329"/>
          <w:spacing w:val="0"/>
          <w:sz w:val="24"/>
          <w:szCs w:val="24"/>
          <w:shd w:val="clear" w:color="auto" w:fill="ffffff"/>
        </w:rPr>
        <w:t xml:space="preserve">统一社会信用代码</w:t>
      </w:r>
      <w:r>
        <w:rPr>
          <w:rFonts w:hint="eastAsia" w:ascii="宋体" w:hAnsi="宋体" w:eastAsia="宋体" w:cs="宋体"/>
          <w:color w:val="auto"/>
          <w:sz w:val="24"/>
          <w:szCs w:val="24"/>
        </w:rPr>
        <w:t xml:space="preserve">、电子证照、许可水量、当年用水计划、当前监控水量等，并可实现取水许可、用水计划、一企一档等版块链接跳转。管理人员可对取水户名录进行动态维护（新增、注销等），例如在取水许可证系统发证或者注销后，该板块会提示新增或者注销取水户相关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地图分布：在地图上显示取水户位置分布情况。</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许可信息：查看取水户的许可证及证照的取水用途、水源类型、取水地点、有效期、发证单位等相关信息。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监控水量：查看取水户的监测站点、点证关联情况及监控水量。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用水计划：查看取水户的年度用水计划和执行情况。</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用水直报：查看取水户的用水统计调查直报水量。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取水台账：管理维护自备水取水户的取水台账信息，包括取水许可审批管理台账、取水日常管理台账和取水工程（设施）运维台账。管理人员可以对各类台账信息进行编辑维护。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（2）取水口一张图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巩固提升行动的基础上，开发基于重点河湖和取水口的水资源管控地图服务，以河湖汇集取水口、计量设施、取水许可、用水计划、监控水量、取水直报等数据，以地下水井为单位汇集取水井、监测井、勘探井等基础数据，其中取水井应与电子证照管理同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实现河湖维度的取水量统计分析，基于河湖分配水量、河湖取水量计算河湖可用水量。</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2）监控水量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系统从省水资源系统动态获取取水监测数据，提供监控水量查询和数据质量检查功能。</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（1）监控水量查询：管理人员可以通过时间范围、行政区划、取水权人、许可证号、监测站点等条件查询自备水的监控水量，并可以查看每个站点的逐日监控水量、实时监控水表读数。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（2）数据质量检查：基于自动监测取水监控数据中的异常情况，如识别到异常波动数据、不合理数据，及时排查原因，生成数据质量检查报告以及监测站点运维考核数据，为管理人员提供详细参考。</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3）取水许可申请审批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梳理行政许可审批的业务流程和申报表单，明确各流程节点对应的用户角色和操作内容，取用水户通过扬州市政务服务系统进行事项申请，水行政主管部门在扬州市政务服务系统完成事项的受理、审查和决定。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扬州市政务服务系统产生的取水许可申请审批信息（市、县层级）与本模块数据共享，本模块对表单和流程同步展示，并带有新增、调整、查询等功能，展示内容包括取水户名称、</w:t>
      </w:r>
      <w:r>
        <w:rPr>
          <w:rFonts w:ascii="PingFang SC" w:hAnsi="PingFang SC" w:eastAsia="PingFang SC" w:cs="PingFang SC"/>
          <w:i w:val="0"/>
          <w:iCs w:val="0"/>
          <w:caps w:val="0"/>
          <w:color w:val="202329"/>
          <w:spacing w:val="0"/>
          <w:sz w:val="24"/>
          <w:szCs w:val="24"/>
          <w:shd w:val="clear" w:color="auto" w:fill="ffffff"/>
        </w:rPr>
        <w:t xml:space="preserve">统一社会信用代码</w:t>
      </w:r>
      <w:bookmarkStart w:id="49" w:name="_GoBack"/>
      <w:r/>
      <w:bookmarkEnd w:id="49"/>
      <w:r>
        <w:rPr>
          <w:rFonts w:hint="eastAsia" w:ascii="宋体" w:hAnsi="宋体" w:eastAsia="宋体" w:cs="宋体"/>
          <w:color w:val="auto"/>
          <w:sz w:val="24"/>
          <w:szCs w:val="24"/>
        </w:rPr>
        <w:t xml:space="preserve">、审批时间、批文及文号、审批单位等，并将审批内容同步至一企一档板块。如果扬州市政务服务系统可交换省级、流域机构批准的我市范围企业的取水许可，也对省级、流域机构的审批情况进行同步。如果扬州市政务服务系统的取水许可流程参照水利部的取水许可流程进行了变更，相关审批数据（申请、核发、延续、注销）也应同步至本系统进行展示。</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4）取水许可证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实时从省水资源系统获取取水许可电子证照及其关联的取水口和计量设施信息进行展示并进行分析，在此基础上可维护许可证相关配置信息、取水口和计量设施相关档案信息等，主要功能包括：</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许可证统计：按行政区划、取水类型、水源类型多种维度对许可证进行统计分析，实现取水许可证的当前情况以及在一定周期内的变动状况，并且可查询取水许可证的发证日期、注销日期、变更日期等。例如“可以选择一定时间周期（比如半年周期或者一年的周期），系统自动生成市、县取水证的保留情况、变动情况（新增、注销、变更证数、名录情况、变动的许可水量情况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（2）许可证名录：以列表形式展示许可证信息，可以根据行政区划、取水类型、水源类型等多种条件进行查询。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（3）许可证配置：提供许可证配置信息维护功能，用于管理维护许可证对应的收费标准信息，配置内容包括收费标准类型、是否减税免税企业（按照年度进行维护，需保留每年的认定结果）、是否直流火电等。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（4）取水口：显示取水许可电子证照中维护的取水口信息、所在河湖信息，并进行汇总分析。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（5）计量设施：显示在省水资源系统中维护的计量设施档案信息，并根据实际要求，保留计量设施档案信息添加调整功能，并可显示检定周期、校准时间、校准提醒等。</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5）水量核定</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该板块主要用于取用水户的水量认定工作。原则上，每月系统自动从监控系统调取监控水量，推送至具有日常监管责任的水行政主管部门的管理平台和取用水户。有监控水量的，系统自动推送；无监控水量的，则由水行政主管部门填写水量后再由水行政主管部门进行推送。取水户应在一定时间内对系统推送的水量与自身计量设施的计量水量进行比对，确认无误后，应在系统进行水量确认。取水户确认后，该水量为取水户的核定水量作为纳税水量依据。如果取水户对水量有异议，可在系统进行修</w:t>
      </w:r>
      <w:r>
        <w:rPr>
          <w:rFonts w:hint="eastAsia" w:ascii="宋体" w:hAnsi="宋体" w:eastAsia="宋体" w:cs="宋体"/>
          <w:color w:val="auto"/>
          <w:sz w:val="24"/>
          <w:szCs w:val="24"/>
        </w:rPr>
        <w:t xml:space="preserve">改并提供相关佐证材料，由水行政主管部门认定后，作为核定水量。如果取水户不在系统规定的时间内进行水量确认，则系统默认推送水量为核定水量。如果水行政主管部门对初始推送的水量或者取水户认定的水量存疑，可根据抄表及现场检查等情况，可直接在系统对水量数据进行修正或者反馈省水资源系统修正监控水量，在市系统重新获取正确的监控水量，并反馈至取水户。系统根据月度审核水量自动计算生成取水户的季度和年度取水量。根据管理需求，对于水量较小的取水户可适当放宽水量核定周期。水量核定完成后系统保存审核水量数据并更新任务状态为水量已审核。</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6）监管预警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系统在动态掌握取水许可、监测数据的基础上，对超许可取水、许可证到期过期、有监测点无证、有效证无监测点、直报水量与监控水量偏差等进行预警告警，主要功能包括：</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（1）取水超许可：分取水户和许可证两个维度分别展示即将出现超许可取水的情况，用户可以通过行政区划、年份、取水类型、监控级别、取用水户类型、取用水户名称等条件进行筛选。</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（2）许可证即将到期：展示即将到期的取水许可证名录，用户可以通过行政区划、水源类型、取水类型、取水权人名称等条件进行筛选。（演示内容</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（3）许可证过期：展示已经过期的取水许可证名录，用户可以通过行政区划、水源类型、取水类型、取水权人名称等条件进行筛选。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（4）有效点无证：根据点证关系，动态列出未绑定到许可证的监测点清单。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（5）有效证无点：根据点证关系，动态列出未关联监测点的许可证清单。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（6）用水超计划：系统针对自备水用水计划，根据许可证对应的监控水量，对水量超过计划水量的进行预警提醒。</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 xml:space="preserve">（7）直报水量与监控水量偏差：系统针对直报水量与监控水量偏差大于5%的情况进行预警。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（8）计量设施检定预警：开发检定超期预警功能，根据不同类型取水计量设施校准周期和实际校准记录，对超过校准周期未检定的计量器具进行预警。</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7）水权收储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为了优化水资源配置，推动水权合理流转，建立水权收储模块。</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可收储水权分析：提供区域用水总量控制指标、取水许可、自备水取水监控数据给智能分析模型，基于模型计算各取水户的年度取水量与许可水量的占比、每本许可证的水权余量，生成分析成果和可收储水权量建议给水行政管理人员，内容包括取水权人、许可证编号、取水类型、取水用途、许可水量、近三年最大用水量、建议收储水权量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收储管理：水行政管理人员根据实际开展的水权收储和水权交易工作，记录收储或交易的水权信息，包括取水权人（转让方和受让方）、许可证号、收储（交易）水量、收储（交易）金额、水源类型、取水用途、时间范围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（3）统计分析：分析记录收储和交易的水权信息，按照水源类型、取水用途等维度统计本区域收储的水权余量；按照时间范围、水源类型、取水用途等维度统计累计收储水权量和交易水权量。</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8）信用评价</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信用评价方式提供三种方式，分别为评分认定、直接认定和结合其他领域评价结果。评分认定方式为针对取用水户的每个证进行评分，最终形成取用水户的评价等级，分别是信用优秀或良好（A级或B级）、信用一般（C级）、信用较差（D级）。直接认定、结合其他领域评价结果方式可参考《水利部国家发展改革委关于实施取用水领域信用评价的指导意见》相关规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收集信用评价成果信息，按年度显示评价年度内所有评价对象的评价情况，显示每个取用水户的认定类型、信用等级、得分、关联证照信息、关联信用评价指标信息、评价状态等。信用评价结果显示最终的信用评价结果，详情可查看取用水户每个证照的评分以及所涉及的评价指标等。信用评价支持表格导出和查询。</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9）取用水政策文件管理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（1）政策收集与展示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政策收集与展示模块构建了覆盖国家－省－市－县四级的水资源管理政策知识库。实时收录并结构化存储国家层面发布的《取水许可和水资源费征收管理条例》《地下水管理条例》等核心法规，以及水利部《取水许可管理办法》《水资源调度管理办法》等配套规章；同时整合各省市制定的差异化实施细则，形成包含法律、法规、规章、规范性文件、技术导则等5大类别的完整政策体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（2）政策查询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政策查询模块通过多维度精准检索引擎支持用户按政策文件类型（法律/行政法规/部门规章/地方性法规/规范性文件/技术导则）、发布层级（国家/省/市/县）、适用领域（取水许可/水资源费（税）/节水管理/水权交易）、效力状态（现行有效/已废止/拟修订）、发布日期区间、实施日期区间等6大基础维度进行组合筛选，同时提供高级检索模式支持按关键词进行深度查询。</w:t>
      </w:r>
      <w:r/>
    </w:p>
    <w:p>
      <w:pPr>
        <w:pStyle w:val="763"/>
        <w:spacing w:before="0" w:after="0" w:line="360" w:lineRule="auto"/>
        <w:rPr>
          <w:rFonts w:hint="eastAsia" w:ascii="宋体" w:hAnsi="宋体" w:eastAsia="宋体" w:cs="宋体"/>
          <w:b/>
          <w:bCs/>
          <w:color w:val="auto"/>
          <w:sz w:val="24"/>
          <w:szCs w:val="24"/>
          <w:lang w:eastAsia="zh-CN"/>
        </w:rPr>
      </w:pPr>
      <w:r/>
      <w:bookmarkStart w:id="38" w:name="_Toc27036"/>
      <w:r/>
      <w:bookmarkStart w:id="39" w:name="_Toc6213"/>
      <w:r/>
      <w:bookmarkStart w:id="40" w:name="_Toc21422"/>
      <w:r>
        <w:rPr>
          <w:rFonts w:hint="eastAsia" w:ascii="宋体" w:hAnsi="宋体" w:eastAsia="宋体" w:cs="宋体"/>
          <w:b/>
          <w:bCs/>
          <w:color w:val="auto"/>
          <w:sz w:val="24"/>
          <w:szCs w:val="24"/>
        </w:rPr>
        <w:t xml:space="preserve">3、</w:t>
      </w:r>
      <w:bookmarkEnd w:id="38"/>
      <w:r/>
      <w:bookmarkEnd w:id="39"/>
      <w:r/>
      <w:bookmarkEnd w:id="40"/>
      <w:r>
        <w:rPr>
          <w:rFonts w:hint="eastAsia" w:ascii="宋体" w:hAnsi="宋体" w:eastAsia="宋体" w:cs="宋体"/>
          <w:b/>
          <w:bCs/>
          <w:color w:val="auto"/>
          <w:sz w:val="24"/>
          <w:szCs w:val="24"/>
        </w:rPr>
        <w:t xml:space="preserve">节约用水管理功能建设</w:t>
      </w:r>
      <w:r>
        <w:rPr>
          <w:rFonts w:hint="eastAsia" w:ascii="宋体" w:hAnsi="宋体" w:eastAsia="宋体" w:cs="宋体"/>
          <w:b/>
          <w:bCs/>
          <w:color w:val="auto"/>
          <w:sz w:val="24"/>
          <w:szCs w:val="24"/>
          <w:lang w:val="en-US" w:eastAsia="zh-CN"/>
        </w:rPr>
        <w:t xml:space="preserve">要求</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技术方案3</w:t>
      </w:r>
      <w:r>
        <w:rPr>
          <w:rFonts w:hint="eastAsia" w:ascii="宋体" w:hAnsi="宋体" w:eastAsia="宋体" w:cs="宋体"/>
          <w:b/>
          <w:bCs/>
          <w:color w:val="auto"/>
          <w:sz w:val="24"/>
          <w:szCs w:val="24"/>
          <w:lang w:eastAsia="zh-CN"/>
        </w:rPr>
        <w:t xml:space="preserve">）</w:t>
      </w:r>
      <w:r/>
    </w:p>
    <w:p>
      <w:pPr>
        <w:pStyle w:val="1046"/>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汇集计划用水户的名录、用水计划、取水许可、监测水量、用水定额、用水审计等数据，提供计划用水户综合信息一站式查看功能。以下所有业务功能模块均要按采购人要求实现统计、分析、汇总、导入、导出。</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1）计划户一张图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开发基于计划户管控地图服务，以计划户为单位，按照自备水、公共供水、双水源三种类型，汇集地理坐标基础数据。</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2）用水计划管理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区县水行政主管部门基于取用水户填报的用水计划申请数据在内网系统进行审核、反馈和备案，并基于单个取用水户用水计划做地区用水计划分析。用水计划管理主要包括用水计划审批下达、用水计划执行情况、用水计划调整审核、超计划加价和地区用水计划统计分析等功能。</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（1）用水计划审批下达：区县水行政主管部门审批所辖的取用水户用水计划申请，审批完成后用水计划流转到取用水户政务服务系统下达给取用水户，系统可统计汇总审批情况。（演示内容</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用水计划执行情况统计分析：根据取用水户用水计划和实际水量，系统实时监控用水计划执行进度，统计汇总用水计划执行情况，对超过（季度/半年/年度）预警阈值的用水计划进行预警，并向取用水户发送预警提醒。</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（3）用水计划调整审核：每年年底，系统自动筛选全年实际用水量超年初用水计划的记录推送给对应的区县水行政主管部门和取用水户</w:t>
      </w:r>
      <w:r>
        <w:rPr>
          <w:rFonts w:hint="eastAsia" w:ascii="宋体" w:hAnsi="宋体" w:eastAsia="宋体" w:cs="宋体"/>
          <w:b/>
          <w:bCs/>
          <w:color w:val="auto"/>
          <w:sz w:val="24"/>
          <w:szCs w:val="24"/>
        </w:rPr>
        <w:t xml:space="preserve">，</w:t>
      </w:r>
      <w:r>
        <w:rPr>
          <w:rFonts w:hint="eastAsia" w:ascii="宋体" w:hAnsi="宋体" w:eastAsia="宋体" w:cs="宋体"/>
          <w:b w:val="0"/>
          <w:bCs w:val="0"/>
          <w:color w:val="auto"/>
          <w:sz w:val="24"/>
          <w:szCs w:val="24"/>
        </w:rPr>
        <w:t xml:space="preserve">待取用水户提交上年度生产情况证明材料后，由属地水行政主管部门进行审核，确认是否符合用水计划增加条件，对不符合条件的转入超计划加价收费。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超计划加价：系统生成超计划加价收费（税）名录，具备导出、查询、添加等功能。超计划的自备水用户，可方便共享至税务部门；超计划的公共供水用户，可方便共享至自来水公司。系统通过短信提醒和平台推送的方式告知取用水户加价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（5）地区用水计划统计分析：汇总地区所辖的取用水户用水计划执行情况，对比地区计划用水总量，进行地区用水计划统计分析和指标考核。</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3）水平衡测试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行政管理部门根据水平衡测试工作的开展情况，填报已经完成的水平衡测试工作成果，和下一年度的水平衡测试工作计划。系统根据各地上报的水平衡测试工作成果和计划，与计划用水户、重点监控用水单位等数据建立关联关系，进行统计分析，为业务工作提供辅助支撑。包含以下功能：水平衡测试工作计划填报、水平衡测试成果填报、水平衡测试统计分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（1）水平衡测试工作计划填报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提供计划用水户、用水计划、重点监控用水单位名录等信息作为填报参考，水行政管理部门用户结合本地区范围内的重点监控用水单位名录，制定水平衡测试的工作计划，在系统中填报。水平衡测试工作计划填报的信息包括计划进行水平衡测试的计划用水户名录、计划开展水平衡测试的时间，计划测试内容、评价指标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（2）水平衡测试成果填报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提供计划用水户、重点监控用水单位名录等信息作为填报参考，水行政管理部门用户按照参考信息补充水平衡测试的工作具体情况信息，然后在系统中填报。水平衡测试成果填报的信息包括进行水平衡测试的计划用水户名录、各计划用水户的水平衡测试内容、评价指标、测试成果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（3）水平衡测试成果统计分析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各地上报的水平衡测试成果和工作计划，结合已有的计划用水户和重点监控用水单位名录，关联生成重点监控用水单位历年的水平衡测试工作进展统计成果。汇总统计重点监控用水单位已完成水平衡测试情况、计划进行水平衡情况和未开展水平衡测试情况等信息，并对应该开展未开展水平衡测试工作的重点监控用水单位进行预警提醒。</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4）用水审计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建立用水审计功能，充分利用已有的计划用水户、重点监控用水单位、用水计划等数据成果，为各级水行政管理部门提供用水审计计划安排、信息更新维护、情况统计等支撑服务。系统包含以下功能：用水审计计划制定、用水审计跟踪维护、用水审计情况统计分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（1）用水审计计划制定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各级水行政主管部门的管理范围，提供相应范围内的计划用水户名录和重点监控用水单位名录。业务人员根据系统提供的名录，选择需要在本年度开展用水审计的单位，建立生成本年度用水审计计划。对于重点监控用水单位，系统会根据每五年开展一次用水审计的规则，自动挑选符合条件的重点监控用水单位，并将其纳入用水审计计划中。对超过五年没有用水审计过的企业预警提醒。</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（2）用水审计跟踪维护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提供用水审计信息跟踪维护功能，实时监管用水审计工作进度，根据水行政主管部门和用水审计机构开展的用水审计成果，向用水户推送用水审计结论通知书和整改要求通知，对取用水户根据整改要求提交的整改情况反馈进行审核，实现用水审计的闭环处置。</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（3）用水审计统计分析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从时间维度和区域维度统计生成各地区历年开展用水审计的单位数量、重点监控用水单位审计数量和占比，以及多年未进行用水审计的重点监控用水单位数量等内容。</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5）非常规水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系统集成污水处理厂的污水处理成果信息，为水行政管理人员提供非常规水的利用情况管理维护功能，包括基础信息维护和非常规水利用情况查询统计。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（1）再生水利用：对城市再生水利用率、再生水分类利用指数（工业生产、市政杂用、生态补水、农业灌溉等）进行分析。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（2）雨水回收利用：整合用水户在节水三同时填报的雨水蓄水能力信息，集成信息中心已经监测的雨水利用量监测数据，展示用水户的雨水回收利用情况。</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查询统计：集成污水处理厂的污水处理成果信息和雨水回收利用信息，开发非常规水利用情况的查询功能。可以根据时间范围、街镇、类型等条件统计分析非常规水的开发利用情况，内容包括不同类型的污水处理单位数量、污水处理能力、雨水蓄水能力、雨水蓄水利用量、污水处理总量、再生水利用总量、不同用途的再生水利用量和再生水利用率等信息。</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6）节水技改管理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统计分析节水技改年度、技改基本信息、水效提升情况（项目投资、年节水量、项目实施后的定额水平）。</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7）合同节水管理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查询统计合同节水项目，对节水服务企业、建设内容、签约时间、投资总额、节水率以及产生的经济效益等。</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8）节水评价管理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统计分析规划和建设项目及其涉及区域的供用水水平、节水潜力，评价其取用水的必要性、可行性，分析节水指标的先进性，评估节水措施的实效性，以及评价结论及建议。</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9）节水三同时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按照设计节水三同时的建设项目分类进行查询统计，采集节水措施方案的编制评估、节水施设的设计、节水施设的施工和验收等信息。</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10）节水贷</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查询统计节水贷主要支持范围、支持项目、服务内容、合作金融机构以及发放的额度等。</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11）节水技术推广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询统计节水产业相关企业基本信息：企业名称、统一社会信用代码、地址、成立时间、注册类型、生产规模、从业人员数量、是否为高新技术企业等；业务类型主要了解企业主要产品/服务类型、节水产品主要销售市场情况等。统计企业知识产权布局情况，包括发明专利、实用新型专利、外观设计专利及软件著作权等创新成果。</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12）节水统计报表管理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对所有县级以上计划用水户，分4个季度，固定时间通知，（显示是否已上报状态）、按季报审核。</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13）一企一档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维护取用水户的一企一档信息，包括营业执照、取水台账、取水审批资料、用水计划申请审批材料，用水计划调整申请审批材料、用水总结、用水审计、节水贷、水权贷、节水技改、节水技术、合同节水等，水行政主管部门可以对各类档案信息进行编辑维护。</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14）节约用水政策文件管理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（1）政策收集与展示</w:t>
      </w:r>
      <w:r>
        <w:rPr>
          <w:rFonts w:hint="eastAsia" w:ascii="宋体" w:hAnsi="宋体" w:eastAsia="宋体" w:cs="宋体"/>
          <w:color w:val="auto"/>
          <w:sz w:val="24"/>
          <w:szCs w:val="24"/>
        </w:rPr>
        <w:tab/>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政策收集与展示模块通过多源文件整合引擎系统性地收录三类核心资源。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有文件支持一键导出为标准化数据包，包含原始PDF、条款摘录、配套解读三部分内容。模块与节水改造项目申报、水效标识管理等业务系统建立数据接口，当企业申报节水技术改造项目时自动推送相关技术标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（2）政策查询</w:t>
      </w:r>
      <w:r>
        <w:rPr>
          <w:rFonts w:hint="eastAsia" w:ascii="宋体" w:hAnsi="宋体" w:eastAsia="宋体" w:cs="宋体"/>
          <w:color w:val="auto"/>
          <w:sz w:val="24"/>
          <w:szCs w:val="24"/>
        </w:rPr>
        <w:tab/>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模块采用智能分类标签体系，支持按政策层级（国家/省/市）、适用领域（工业/农业/生活）、技术类型（定额标准/工艺规范/设备标准）等12个维度进行交叉筛选，搜索结果以结构化列表呈现。</w:t>
      </w:r>
      <w:r/>
    </w:p>
    <w:p>
      <w:pPr>
        <w:pStyle w:val="763"/>
        <w:spacing w:before="0" w:after="0" w:line="360" w:lineRule="auto"/>
        <w:rPr>
          <w:rFonts w:hint="eastAsia" w:ascii="宋体" w:hAnsi="宋体" w:eastAsia="宋体" w:cs="宋体"/>
          <w:b/>
          <w:bCs/>
          <w:color w:val="auto"/>
          <w:sz w:val="24"/>
          <w:szCs w:val="24"/>
          <w:lang w:eastAsia="zh-CN"/>
        </w:rPr>
      </w:pPr>
      <w:r/>
      <w:bookmarkStart w:id="41" w:name="_Toc1999"/>
      <w:r/>
      <w:bookmarkStart w:id="42" w:name="_Toc30288"/>
      <w:r/>
      <w:bookmarkStart w:id="43" w:name="_Toc29237"/>
      <w:r>
        <w:rPr>
          <w:rFonts w:hint="eastAsia" w:ascii="宋体" w:hAnsi="宋体" w:eastAsia="宋体" w:cs="宋体"/>
          <w:b/>
          <w:bCs/>
          <w:color w:val="auto"/>
          <w:sz w:val="24"/>
          <w:szCs w:val="24"/>
        </w:rPr>
        <w:t xml:space="preserve">4、</w:t>
      </w:r>
      <w:bookmarkEnd w:id="41"/>
      <w:r/>
      <w:bookmarkEnd w:id="42"/>
      <w:r/>
      <w:bookmarkEnd w:id="43"/>
      <w:r>
        <w:rPr>
          <w:rFonts w:hint="eastAsia" w:ascii="宋体" w:hAnsi="宋体" w:eastAsia="宋体" w:cs="宋体"/>
          <w:b/>
          <w:bCs/>
          <w:color w:val="auto"/>
          <w:sz w:val="24"/>
          <w:szCs w:val="24"/>
        </w:rPr>
        <w:t xml:space="preserve">水资源保护功能建设</w:t>
      </w:r>
      <w:r>
        <w:rPr>
          <w:rFonts w:hint="eastAsia" w:ascii="宋体" w:hAnsi="宋体" w:eastAsia="宋体" w:cs="宋体"/>
          <w:b/>
          <w:bCs/>
          <w:color w:val="auto"/>
          <w:sz w:val="24"/>
          <w:szCs w:val="24"/>
          <w:lang w:val="en-US" w:eastAsia="zh-CN"/>
        </w:rPr>
        <w:t xml:space="preserve">要求</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技术方案4</w:t>
      </w:r>
      <w:r>
        <w:rPr>
          <w:rFonts w:hint="eastAsia" w:ascii="宋体" w:hAnsi="宋体" w:eastAsia="宋体" w:cs="宋体"/>
          <w:b/>
          <w:bCs/>
          <w:color w:val="auto"/>
          <w:sz w:val="24"/>
          <w:szCs w:val="24"/>
          <w:lang w:eastAsia="zh-CN"/>
        </w:rPr>
        <w:t xml:space="preserve">）</w:t>
      </w:r>
      <w:r/>
    </w:p>
    <w:p>
      <w:pPr>
        <w:pStyle w:val="1046"/>
        <w:jc w:val="both"/>
        <w:spacing w:before="0" w:after="0"/>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资源保护包括水源地监管、地下水“双控”、生态水位（流量）管控三项功能。整合水源地基础信息、监测信息、空间信息、管理信息和风险信息，实现水源地智能监管；围绕地下水“双控”刚性约束，在水位、水量方面集成地下水监控工程水位监测数据、水资源水量监测数据，对照监管预警指标实现地下水“双控”；基于重点河湖生态水位流量监测信息，开展河湖生态水位（流量）保障方案的入库工作，实现生态水位（流量）的自动评价和自动预警。以下所有业务功能模块均要按采购人要求实现统计、分析、汇总、导入、导出。</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1）水源地监管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整合省水资源系统的水源地基础信息、空间信息、管理信息和风险信息，省水文系统的水源地监测信息以及市系统的水源地视频监控、相关职能部门关于水源地的监测数据，在“一张图”上提供水源地信息服务和综合监管功能，主要功能包括：</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1）基础信息：展示水源地的类型、状态、级别、所在流域水系、供水水厂和所在水功能区等信息。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空间信息：基于水利地理信息服务，在地图上定位水源地并显示其详细信息，包括水源地名称、类型、水质目标、当前评价以及供水范围，还可在地图上查看水源地关联图层，如保护区、航道、码头、取水口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3）监测信息：展示水源地水质监测数据和水质评价结果。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4）管理信息：包括水源地的保护区信息、取水许可信息、达标建设信息、管理单位信息和应急管理信息。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5）安全风险信息：包括水源地保护区范围内的码头航运信息、经过水源地保护区的危化品运输船舶的信息以及水源地巡检上报信息。</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2）地下水“双控”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围绕地下水“双控”刚性约束，在水位、水量方面集成省水文系统水位监测数据、省水资源系统取水量监测数据，市、县地下水监测信息，以地图、图表等方式实时展示监测数据和评价信息，对照制定的“双控”指标及时预警。如我市有地下水超采区，应显示超采区范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（1）水量管控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一张图上展示全市范围的地下水取水监测站点的分布情况，提供取水监测站点的实时监测水量、年度/月度累计取水量和历史取水变化趋势等信息查询功能，统计区域地下水监测水量，判断是否超地下水取水总量控制指标。具体包含以下功能：</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地图分布展示：以地图形式展示地下水取水监测站点的分布情况，并显示每个站点的当年的累计取水量。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站点监测数据查看：用户可以根据行政区、年份、站点名称等条件查询对应的地下水取水监测站点，查看站点的实时和历史监测数据，系统根据用户选定的年份展示逐月取水变化走势等信息。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水量统计分析：汇总年度/月度地下水取水量，并进行环比、同比计算分析，展示地下水取水变化趋势。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地下水取水量超指标预警：系统根据年度地下水取水量统计成果和水量控制指标进行分析对比，将地下水取水量超水量控制指标进行预警。</w:t>
      </w:r>
      <w:r/>
    </w:p>
    <w:p>
      <w:pPr>
        <w:numPr>
          <w:ilvl w:val="0"/>
          <w:numId w:val="9"/>
        </w:num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水位管控</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梳理建立超采区、工作单元和地下水水位监测站的关联关系，以地图形式展示地下水水位监测站点的分布情况，计算生成地下水站点的特征值成果，对超水位控制指标的站点进行预警。具体包含以下功能：</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地图分布展示：以地图形式展示地下水水位监测站点的分布情况，并显示每个站点的最新监测埋深。（演示内容</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最大、最小和平均埋深计算：根据需要计算的时间范围（年度/月度），对水位站点监测数据中存在远超平均值的异常跳变数据进行筛选过滤，然后计算本时间段范围内的最大埋深值、最大埋深发生日期、最小埋深值、最小埋深发生日期和平均埋深。（演示内容</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w:t>
      </w:r>
      <w:r/>
    </w:p>
    <w:p>
      <w:pPr>
        <w:ind w:firstLine="482"/>
        <w:spacing w:line="360" w:lineRule="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 xml:space="preserve">站点监测数据查看：用户可以根据行政区、超采区、非超采区、地下水管控工作单元等条件查询对应的地下水监测站点，查看站点的实时和历史监测数据，系统根据用户选定的时间范围展示地下水埋深变化趋势等信息。（演示内容5）</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地下水埋深超指标预警：系统结合站点的地下水埋深监测数据和水位控制指标进行分析对比，将监测埋深超水位控制指标的站点进行高亮提示预警。（演示内容</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3）生态水位（流量）管控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重点河湖生态水位流量监测信息，开展河湖生态水位（流量）保障方案的入库工作，实现生态水位（流量）的自动评价和自动预警。基于“一张图”建立重点河湖生态水位监测信息、预警信息、评价成果和保障措施的集中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1）实时生态水位监测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基于水文提供的水情实时监测信息，每日8时自动计算日均水位，与水位/流量预警阈值比对后产生一条预警信息或者正常信息，并保存为预警信息记录。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实时生态水位监测信息展示基于预警信息记录表，显示日均水位和预警状态，同时读取实时雨水情数据库显示当前水位。</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2）历史监测预警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历史监测预警展示基于预警信息记录表，过滤掉正常信息，只显示蓝色、红色预警信息；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系统显示生态水位站基础信息和历史预警信息，基础信息包括控制断面名称、所在河段、所在河流；历史预警信息包括时间、日均水位、预警状态。</w:t>
      </w:r>
      <w:bookmarkStart w:id="44" w:name="_Toc99014331"/>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bookmarkEnd w:id="44"/>
      <w:r>
        <w:rPr>
          <w:rFonts w:hint="eastAsia" w:ascii="宋体" w:hAnsi="宋体" w:eastAsia="宋体" w:cs="宋体"/>
          <w:color w:val="auto"/>
          <w:sz w:val="24"/>
          <w:szCs w:val="24"/>
        </w:rPr>
        <w:t xml:space="preserve">）生态水位评估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生态水位评估结果展示基于水文局生态水位评估成果，可实现按月（季）导入到评价成果数据库中，也可以基于预警信息记录表蓝色预警和红色预警出现的次数自动计算评估结果。</w:t>
      </w:r>
      <w:r/>
    </w:p>
    <w:p>
      <w:pPr>
        <w:pStyle w:val="763"/>
        <w:spacing w:before="0" w:after="0" w:line="360" w:lineRule="auto"/>
        <w:rPr>
          <w:rFonts w:hint="eastAsia" w:ascii="宋体" w:hAnsi="宋体" w:eastAsia="宋体" w:cs="宋体"/>
          <w:b/>
          <w:bCs/>
          <w:color w:val="auto"/>
          <w:sz w:val="24"/>
          <w:szCs w:val="24"/>
          <w:lang w:eastAsia="zh-CN"/>
        </w:rPr>
      </w:pPr>
      <w:r/>
      <w:bookmarkStart w:id="45" w:name="_Toc836"/>
      <w:r/>
      <w:bookmarkStart w:id="46" w:name="_Toc17263"/>
      <w:r/>
      <w:bookmarkStart w:id="47" w:name="_Toc27114"/>
      <w:r>
        <w:rPr>
          <w:rFonts w:hint="eastAsia" w:ascii="宋体" w:hAnsi="宋体" w:eastAsia="宋体" w:cs="宋体"/>
          <w:b/>
          <w:bCs/>
          <w:color w:val="auto"/>
          <w:sz w:val="24"/>
          <w:szCs w:val="24"/>
        </w:rPr>
        <w:t xml:space="preserve">5、</w:t>
      </w:r>
      <w:bookmarkEnd w:id="45"/>
      <w:r/>
      <w:bookmarkEnd w:id="46"/>
      <w:r/>
      <w:bookmarkEnd w:id="47"/>
      <w:r>
        <w:rPr>
          <w:rFonts w:hint="eastAsia" w:ascii="宋体" w:hAnsi="宋体" w:eastAsia="宋体" w:cs="宋体"/>
          <w:b/>
          <w:bCs/>
          <w:color w:val="auto"/>
          <w:sz w:val="24"/>
          <w:szCs w:val="24"/>
        </w:rPr>
        <w:t xml:space="preserve">取用水户政务服务功能建设</w:t>
      </w:r>
      <w:r>
        <w:rPr>
          <w:rFonts w:hint="eastAsia" w:ascii="宋体" w:hAnsi="宋体" w:eastAsia="宋体" w:cs="宋体"/>
          <w:b/>
          <w:bCs/>
          <w:color w:val="auto"/>
          <w:sz w:val="24"/>
          <w:szCs w:val="24"/>
          <w:lang w:val="en-US" w:eastAsia="zh-CN"/>
        </w:rPr>
        <w:t xml:space="preserve">要求</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技术方案5</w:t>
      </w:r>
      <w:r>
        <w:rPr>
          <w:rFonts w:hint="eastAsia" w:ascii="宋体" w:hAnsi="宋体" w:eastAsia="宋体" w:cs="宋体"/>
          <w:b/>
          <w:bCs/>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推进“互联网+”水资源管理，体现水利政务服务“放管服”，在政务服务平台上实现取用水户统一认证和相关业务的“一网通办”，一站式集成各类数据，提供信息查询、任务待办、消息通知、预警提醒等功能。</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1）统一身份认证</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调用政务服务系统提供的统一身份认证服务，企业法人用户可凭借统一社会信用代码，经过政务服务系统的授权认证，单点登录到本次建设的取用水户政务服务系统。（演示内容</w:t>
      </w: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2）信息查询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提供取水许可证、在线监控、取水直报、公共供水用水量、水量核定、用水计划、用水审计、水平衡测试、一企一档等信息的查询入口，用户可以快速的查看自身的各类信息。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（1）取水许可证：自备水用水户可以按照年份查看本单位每年保有的有效取水许可证，包括许可证号，有效期，许可水量，取水用途、取水地点、是否有在线监控等信息。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（2）在线监测：自备水用水户可以按照年份查看在线监测的取水量和月度取水走势，系统根据点证关系对监测水量进行汇总，展示每本取水许可证对应的监测水量。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（3）取水直报：系统集成用水统计调查直报水量信息，按照年份展示用水户每季度上报的直报用水量。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（4）公共供水用水量：系统集成自来水公司共享的公共供水用水量信息，按照月份展示用水户的公共供水用水量。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（5）水量核定：自备水用水户可以按月查询核定后取水量报表。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（6）用水计划：系统集成审核后的用水计划成果信息，按照年份展示用水户每月的计划水量。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（7）用水审计：系统集成用水审计的成果信息，用水户可以按照年份查看用水审计结果。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（8）水平衡测试：系统集成水平衡测试的成果信息，用水户可以按照年份查看水平衡测试结果。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（9）一企一档：显示取用水户的一企一档信息，包括营业执照、取水台账、用水计划申请审批材料，用水计划调整申请审批材料、用水总结、用水审计等。</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3）任务待办</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通过网页提醒、短信等多种方式提醒取用水户尽快完成待办任务，任务内容包括水量核定、用水计划、用水审计反馈、水平衡测试反馈、基础信息维护、一企一档维护等。</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（1）许可水量核定（自备水）</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取用水户政务服务系统基于自备水监控水量和取水户基本信息每月初自动按取水许可证生成上个月的水量核定任务，通过短信和平台推送的方式向取水户发送提醒。取水户登录取用水政务服务系统后可以查看每本许可证对应的测点水量，选择是否确认水量然后提交水行政主管部门审核。如果取水户一直未操作，系统自动将任务状态更新为取水户水量已确认。</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（2）用水计划（自备水、公共供水、双水源）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通过取用水户政务服务系统实现取用水户用水计划的“外网填报、内网审核”流程，系统提供用水计划申请、用水计划调整申请、用水计划证明、超计划加价等功能。</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用水计划申请：取用水户政务服务系统向用户提供多种来源的取用水数据作为填报用水计划的参考依据，包括自备水在线监控水量数据、取用水直报水量数据、取水许可数据、公共供水取用水信息（与供水公司共享数据，若不能实现，需提供水量批量导入功能）（演示内容</w:t>
      </w: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取用水户按照产品分别填报当年计划产量和总计划水量，系统自动计算计划的用水定额，对标产品定额指标（当前系统具有定额目录，新系统应当也有），系统对用水定额超通用值的进行提醒。对自备水用水计划，如果填报了多个产品，系统根据许可证自动汇总判断计划水量是否超许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超计划预警：系统每月更新用水户用水数据后，对存在超计划风险的用户推送超计划预警，并于系统管理者主页面推送当月所有预警用户列表，通过列表可直接跳转至对应用户用水界面。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水计划调整申请：用水户通过政务服务系统填报用水计划调整申请表以及相关证明附件，完成后提交水行政管理部门审核，审核完成后系统将审核结果反馈给取用水户，系统自动将调整后计划量同步至用户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用水计划证明提交：对年度实际用水量超过年初计划量的用水户，需要整理上年度生产情况证明材料，请区镇主管部门盖章确认后通过政务服务系统提交给水行政管理部门审核。</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超计划加价：对需要执行超计划加价的取用水户，系统将审核后的超计划加价通知和缴款通知推送给用水户。用水户完成缴费并在政务服务系统上传缴款证明，待管理站和节水办进行审核后下载电子发票。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（3）用水审计反馈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系统根据水行政主管部门和用水审计机构开展的用水审计成果，向用水户推送用水审计结论通知书和整改要求通知，取用水户根据整改要求提交整改情况反馈。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（4）水平衡测试反馈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系统根据水行政主管部门的审核意见向用水户推送水平衡测试存在问题和整改要求通知，用水户根据整改要求提交整改情况反馈。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（5）基本信息维护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取用水户可以自行维护本单位的基本信息，维护的内容包括行政区划、行政区划代码、单位名称、信用代码、行业类别、国民经济类型、负责人、联系人、联系方式、地址、计划户类型（公共水、自备水、双水源）、重点监控级别、自来水表信息、自备水表信息、网址、邮箱等信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（6）一企一档维护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维护取用水户的一企一档信息，包括营业执照、取水台账、用水计划申请审批材料，用水计划调整申请审批材料、用水总结、用水审计、用水凭证、用水定额说明、水平衡测试报告等，用户可以对各类档案信息进行编辑维护。</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4）消息通知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按照“外网申请，内网审核”的业务流程，实时跟踪水行政管理人员的审批进度，提供各项业务的审批任务状态信息给智能提醒模型，开发消息通知功能，通过网页提醒、短信等多种方式提醒取用水户查看审核处理结果，消息通知的内容包括水量核定成果查看、用水计划审批下达、超计划加价缴费、缴费发票下载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（1）自备水许可水量核定成果查看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水行政主管部门完成水量核定后，系统自动生成水量核定通知并提醒取水户可在取用水政务服务系统查看核定后取水量报表。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（2）用水计划审批下达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水行政主管部门完成所辖的取用水户用水计划申请/调整审批后，系统自动将用水计划审核结果流转到取用水户政务服务系统下达给取用水户，并通知提醒取用水户查看用水计划审批结果。</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5）预警提醒</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取用水户疑似涉及违规取水的情况进行预警提醒，提醒内容包括取水即将超许可、取水超许可、许可证即将到期、许可证过期、用水即将超计划和用水超计划、核定水量与直报水量有误差等。系统通过网页提醒、短信等多种方式提醒取用水户及时处理预警情况。</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（1）取水即将超许可：系统自动分析比对取用水户的每本取水许可证的许可水量与对应的监测水量，当监测用水量即将超过对应的许可水量时，就会自动预警。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（2）取水超许可：系统针对监测用水量超过对应的许可水量时，进行预警提醒。</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（3）许可证即将到期：系统自动分析许可证的有效期限，对许可证即将到期的情况进行预警提醒。</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（4）许可证过期：系统针对已经过期但是尚未办理延续、变更或者注销的取水许可证进行预警提醒。</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（5）用水即将超计划：系统自动分析比对取用水户的计划水量与对应的自备水监测水量和公共供水用水量数据，当用水量即将超过计划水量时，就会自动预警。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（6）用水超计划：系统针对用水量超过计划水量用水户进行预警提醒。</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（7）核定水量与直报水量有误差：系统自动分析比对取用水户的核定水量和直报水量，针对两者存在误差的情况进行预警提醒。</w:t>
      </w:r>
      <w:r/>
    </w:p>
    <w:p>
      <w:pPr>
        <w:pStyle w:val="764"/>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6）个人中心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个人中心模块展示当前账号的完整信息档案。在保障数据安全的前提下，为用户提供便捷、直观的个人信息管理体验，有效提升系统的用户自主管理能力和信息安全水平。</w:t>
      </w:r>
      <w:r/>
    </w:p>
    <w:p>
      <w:pPr>
        <w:ind w:firstLine="48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6、系统安全措施</w:t>
      </w:r>
      <w:r>
        <w:rPr>
          <w:rFonts w:hint="eastAsia" w:ascii="宋体" w:hAnsi="宋体" w:eastAsia="宋体" w:cs="宋体"/>
          <w:b/>
          <w:bCs/>
          <w:color w:val="auto"/>
          <w:sz w:val="24"/>
          <w:szCs w:val="24"/>
          <w:lang w:val="en-US" w:eastAsia="zh-CN"/>
        </w:rPr>
        <w:t xml:space="preserve">要求</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技术方案6</w:t>
      </w:r>
      <w:r>
        <w:rPr>
          <w:rFonts w:hint="eastAsia" w:ascii="宋体" w:hAnsi="宋体" w:eastAsia="宋体" w:cs="宋体"/>
          <w:b/>
          <w:bCs/>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提供的安全措施科学、合理。根据信息安全等级保护的要求进行等级保护建设和完善，继续落实《信息系统安全等级保护基本要求》和《水利网络与信息安全体系建设基本技术要求》的要求。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扬州市城区智慧水利综合调度系统水资源管理模块项目建设在信息安全领域有着极为强烈且迫切的需求。鉴于平台具备数据种类繁多、涉及业务广泛、与政务系统关联紧密等自身特点，构建一个“可信、可控、可管”的全方位安全保障体系显得尤为重要。这一体系的构建目标在于确保系统能够严格按照预期稳定运行，有效抵御各类信息安全攻击和破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本次建设内容</w:t>
      </w:r>
      <w:r>
        <w:rPr>
          <w:rFonts w:hint="eastAsia" w:ascii="宋体" w:hAnsi="宋体" w:eastAsia="宋体" w:cs="宋体"/>
          <w:color w:val="auto"/>
          <w:sz w:val="24"/>
          <w:szCs w:val="24"/>
        </w:rPr>
        <w:t xml:space="preserve">作为智慧水利的子模块，同主平台</w:t>
      </w:r>
      <w:r>
        <w:rPr>
          <w:rFonts w:hint="eastAsia" w:ascii="宋体" w:hAnsi="宋体" w:eastAsia="宋体" w:cs="宋体"/>
          <w:color w:val="auto"/>
          <w:sz w:val="24"/>
          <w:szCs w:val="24"/>
          <w:lang w:val="en-US" w:eastAsia="zh-CN"/>
        </w:rPr>
        <w:t xml:space="preserve">一样需符合等保（三级）及密评要求</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安全保障体系包括应用安全、数据安全、系统安全。</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应用安全是指在软件的整个生命周期（从设计、开发、部署到运营维护）中，通过一系列技术、流程和实践，来保护应用程序本身及其数据免受外部攻击和内部漏洞威胁的综合性措施</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数据安全是确保资料在采集、存取、处理、使用和传输中的机密性、完整性、可用性、不可否认性以及用户的可控性，防止数据的丢失、破坏、失密。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系统安全</w:t>
      </w:r>
      <w:r>
        <w:rPr>
          <w:rFonts w:hint="eastAsia" w:ascii="宋体" w:hAnsi="宋体" w:eastAsia="宋体" w:cs="宋体"/>
          <w:color w:val="auto"/>
          <w:sz w:val="24"/>
          <w:szCs w:val="24"/>
          <w:lang w:eastAsia="zh-CN"/>
        </w:rPr>
        <w:t xml:space="preserve">是</w:t>
      </w:r>
      <w:r>
        <w:rPr>
          <w:rFonts w:hint="eastAsia" w:ascii="宋体" w:hAnsi="宋体" w:eastAsia="宋体" w:cs="宋体"/>
          <w:color w:val="auto"/>
          <w:sz w:val="24"/>
          <w:szCs w:val="24"/>
          <w:lang w:val="en-US"/>
        </w:rPr>
        <w:t xml:space="preserve">保障操作系统、网络通信系统和应用软件的安全，防止非法入侵、恶意攻击、IP地址欺骗、病毒传播等行为。</w:t>
      </w:r>
      <w:r>
        <w:rPr>
          <w:rFonts w:hint="eastAsia" w:ascii="宋体" w:hAnsi="宋体" w:eastAsia="宋体" w:cs="宋体"/>
          <w:color w:val="auto"/>
          <w:sz w:val="24"/>
          <w:szCs w:val="24"/>
          <w:lang w:val="en-US" w:eastAsia="zh-CN"/>
        </w:rPr>
        <w:t xml:space="preserve">主要包括</w:t>
      </w:r>
      <w:r>
        <w:rPr>
          <w:rFonts w:hint="eastAsia" w:ascii="宋体" w:hAnsi="宋体" w:eastAsia="宋体" w:cs="宋体"/>
          <w:color w:val="auto"/>
          <w:sz w:val="24"/>
          <w:szCs w:val="24"/>
        </w:rPr>
        <w:t xml:space="preserve">用户身份鉴别、强制访问控制、用户数据完整性保护、用户数据保密性保护、恶意代码防范等。</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进度要求（技术方案7）</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合同生效后7个日历天内提交设计文档；2026年</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月底前完成开发任务，以及与已有系统的集成联调工作，测评合格后，申请并部署试运行，试运行期3个月；2026年1</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月底前通过竣工验收 。</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lang w:val="en-US" w:eastAsia="zh-CN"/>
        </w:rPr>
        <w:t xml:space="preserve">需</w:t>
      </w: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切实可行的进度方案（含进度计划表）。</w:t>
      </w:r>
      <w:r/>
    </w:p>
    <w:p>
      <w:pPr>
        <w:pStyle w:val="763"/>
        <w:spacing w:before="0"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、项目组成员配备要求</w:t>
      </w:r>
      <w:r/>
    </w:p>
    <w:p>
      <w:pPr>
        <w:pStyle w:val="805"/>
        <w:ind w:left="0" w:firstLine="480"/>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投标人</w:t>
      </w:r>
      <w:r>
        <w:rPr>
          <w:rFonts w:hint="eastAsia" w:ascii="宋体" w:hAnsi="宋体" w:eastAsia="宋体" w:cs="宋体"/>
          <w:color w:val="auto"/>
          <w:sz w:val="24"/>
          <w:szCs w:val="24"/>
          <w:lang w:val="en-US" w:eastAsia="zh-CN" w:bidi="ar-SA"/>
        </w:rPr>
        <w:t xml:space="preserve">需为本项目组建专业实施团队，项目团队成员不少于5人，且专业分配合理，包括项目经理、设计、开发、实施、安全保障等。</w:t>
      </w:r>
      <w:r/>
    </w:p>
    <w:p>
      <w:pPr>
        <w:pStyle w:val="805"/>
        <w:ind w:left="0" w:firstLine="480"/>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投标人</w:t>
      </w:r>
      <w:r>
        <w:rPr>
          <w:rFonts w:hint="eastAsia" w:ascii="宋体" w:hAnsi="宋体" w:eastAsia="宋体" w:cs="宋体"/>
          <w:color w:val="auto"/>
          <w:sz w:val="24"/>
          <w:szCs w:val="24"/>
          <w:lang w:val="en-US" w:eastAsia="zh-CN" w:bidi="ar-SA"/>
        </w:rPr>
        <w:t xml:space="preserve">拟派项目经理（1人）须具备丰富的项目管理经验，同时具备较强的沟通协调和管理能力，能依据采购人要求提供合理的、高效的服务。具有系统规划与管理师、CISAW信息安全保障人员</w:t>
      </w:r>
      <w:r>
        <w:rPr>
          <w:rFonts w:hint="eastAsia" w:ascii="宋体" w:hAnsi="宋体" w:eastAsia="宋体" w:cs="宋体"/>
          <w:color w:val="auto"/>
          <w:sz w:val="24"/>
          <w:szCs w:val="24"/>
          <w:highlight w:val="none"/>
          <w:lang w:val="en-US" w:eastAsia="zh-CN" w:bidi="ar-SA"/>
        </w:rPr>
        <w:t xml:space="preserve">(应急服务)</w:t>
      </w:r>
      <w:r>
        <w:rPr>
          <w:rFonts w:hint="eastAsia" w:ascii="宋体" w:hAnsi="宋体" w:eastAsia="宋体" w:cs="宋体"/>
          <w:color w:val="auto"/>
          <w:sz w:val="24"/>
          <w:szCs w:val="24"/>
          <w:lang w:val="en-US" w:eastAsia="zh-CN" w:bidi="ar-SA"/>
        </w:rPr>
        <w:t xml:space="preserve">、信息系统项目管理师等证书。</w:t>
      </w:r>
      <w:r/>
    </w:p>
    <w:p>
      <w:pPr>
        <w:ind w:firstLine="480"/>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投标人</w:t>
      </w:r>
      <w:r>
        <w:rPr>
          <w:rFonts w:hint="eastAsia" w:ascii="宋体" w:hAnsi="宋体" w:eastAsia="宋体" w:cs="宋体"/>
          <w:color w:val="auto"/>
          <w:sz w:val="24"/>
          <w:szCs w:val="24"/>
          <w:lang w:val="en-US" w:eastAsia="zh-CN" w:bidi="ar-SA"/>
        </w:rPr>
        <w:t xml:space="preserve">拟投入本项目的团队成员具有数据库系统工程师、系统架构设计师、软件设计师、信息安全专业人员(CISP)等证书。</w:t>
      </w:r>
      <w:r/>
    </w:p>
    <w:p>
      <w:pPr>
        <w:pStyle w:val="763"/>
        <w:spacing w:before="0" w:after="0" w:line="360" w:lineRule="auto"/>
        <w:rPr>
          <w:rFonts w:hint="eastAsia" w:ascii="宋体" w:hAnsi="宋体" w:eastAsia="宋体" w:cs="宋体"/>
          <w:b/>
          <w:bCs/>
          <w:color w:val="auto"/>
          <w:sz w:val="24"/>
          <w:szCs w:val="24"/>
        </w:rPr>
      </w:pPr>
      <w:r/>
      <w:bookmarkStart w:id="48" w:name="_Toc75244544"/>
      <w:r>
        <w:rPr>
          <w:rFonts w:hint="eastAsia" w:ascii="宋体" w:hAnsi="宋体" w:eastAsia="宋体" w:cs="宋体"/>
          <w:b/>
          <w:bCs/>
          <w:color w:val="auto"/>
          <w:sz w:val="24"/>
          <w:szCs w:val="24"/>
          <w:lang w:val="en-US" w:eastAsia="zh-CN"/>
        </w:rPr>
        <w:t xml:space="preserve">9</w:t>
      </w:r>
      <w:r>
        <w:rPr>
          <w:rFonts w:hint="eastAsia" w:ascii="宋体" w:hAnsi="宋体" w:eastAsia="宋体" w:cs="宋体"/>
          <w:b/>
          <w:bCs/>
          <w:color w:val="auto"/>
          <w:sz w:val="24"/>
          <w:szCs w:val="24"/>
        </w:rPr>
        <w:t xml:space="preserve">、人员培训方案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应对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rPr>
        <w:t xml:space="preserve">委派的人员和系统操作人员进行技术培训，保证系统投入试运行后，系统各岗位操作人员能够胜任本岗位的运行、操作，管理员能够掌握系统的维护、设置、故障分析处理等工作。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应提交详细的培训方案，要求叙述详尽、内容全面、计划合理、形式多样、措施得当，针对性强，且配备的师资力量雄厚，有一定的培训经验。</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培训方案需要包括：</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①培训次数：至少开展1次。</w:t>
      </w:r>
      <w:r/>
    </w:p>
    <w:p>
      <w:pPr>
        <w:ind w:firstLine="480"/>
        <w:spacing w:line="360" w:lineRule="auto"/>
        <w:rPr>
          <w:rFonts w:hint="eastAsia" w:ascii="宋体" w:hAnsi="宋体" w:cs="宋体"/>
          <w:sz w:val="24"/>
          <w:lang w:eastAsia="zh-CN"/>
        </w:rPr>
      </w:pPr>
      <w:r>
        <w:rPr>
          <w:rFonts w:hint="eastAsia" w:ascii="宋体" w:hAnsi="宋体" w:cs="宋体"/>
          <w:sz w:val="24"/>
        </w:rPr>
        <w:t xml:space="preserve">②</w:t>
      </w:r>
      <w:r>
        <w:rPr>
          <w:rFonts w:ascii="Segoe UI" w:hAnsi="Segoe UI" w:eastAsia="Segoe UI" w:cs="Segoe UI"/>
          <w:i w:val="0"/>
          <w:iCs w:val="0"/>
          <w:caps w:val="0"/>
          <w:color w:val="0f1115"/>
          <w:spacing w:val="0"/>
          <w:sz w:val="22"/>
          <w:szCs w:val="22"/>
          <w:shd w:val="clear" w:color="auto" w:fill="ffffff"/>
        </w:rPr>
        <w:t xml:space="preserve">培训计划表</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hint="eastAsia" w:ascii="Segoe UI" w:hAnsi="Segoe UI" w:eastAsia="宋体" w:cs="Segoe UI"/>
          <w:i w:val="0"/>
          <w:iCs w:val="0"/>
          <w:caps w:val="0"/>
          <w:color w:val="0f1115"/>
          <w:spacing w:val="0"/>
          <w:sz w:val="22"/>
          <w:szCs w:val="22"/>
          <w:shd w:val="clear" w:color="auto" w:fill="ffffff"/>
          <w:lang w:val="en-US" w:eastAsia="zh-CN"/>
        </w:rPr>
        <w:t xml:space="preserve">包</w:t>
      </w:r>
      <w:r>
        <w:rPr>
          <w:rFonts w:ascii="Segoe UI" w:hAnsi="Segoe UI" w:eastAsia="Segoe UI" w:cs="Segoe UI"/>
          <w:i w:val="0"/>
          <w:iCs w:val="0"/>
          <w:caps w:val="0"/>
          <w:color w:val="0f1115"/>
          <w:spacing w:val="0"/>
          <w:sz w:val="22"/>
          <w:szCs w:val="22"/>
          <w:shd w:val="clear" w:color="auto" w:fill="ffffff"/>
        </w:rPr>
        <w:t xml:space="preserve">含时间、地点、</w:t>
      </w:r>
      <w:r>
        <w:rPr>
          <w:rFonts w:hint="eastAsia" w:ascii="Segoe UI" w:hAnsi="Segoe UI" w:cs="Segoe UI"/>
          <w:i w:val="0"/>
          <w:iCs w:val="0"/>
          <w:caps w:val="0"/>
          <w:color w:val="0f1115"/>
          <w:spacing w:val="0"/>
          <w:sz w:val="22"/>
          <w:szCs w:val="22"/>
          <w:shd w:val="clear" w:color="auto" w:fill="ffffff"/>
          <w:lang w:val="en-US" w:eastAsia="zh-CN"/>
        </w:rPr>
        <w:t xml:space="preserve">授课内容、</w:t>
      </w:r>
      <w:r>
        <w:rPr>
          <w:rFonts w:hint="eastAsia" w:ascii="Segoe UI" w:hAnsi="Segoe UI" w:eastAsia="宋体" w:cs="Segoe UI"/>
          <w:i w:val="0"/>
          <w:iCs w:val="0"/>
          <w:caps w:val="0"/>
          <w:color w:val="0f1115"/>
          <w:spacing w:val="0"/>
          <w:sz w:val="22"/>
          <w:szCs w:val="22"/>
          <w:shd w:val="clear" w:color="auto" w:fill="ffffff"/>
          <w:lang w:val="en-US" w:eastAsia="zh-CN"/>
        </w:rPr>
        <w:t xml:space="preserve">讲师</w:t>
      </w:r>
      <w:r>
        <w:rPr>
          <w:rFonts w:hint="eastAsia" w:ascii="Segoe UI" w:hAnsi="Segoe UI" w:cs="Segoe UI"/>
          <w:i w:val="0"/>
          <w:iCs w:val="0"/>
          <w:caps w:val="0"/>
          <w:color w:val="0f1115"/>
          <w:spacing w:val="0"/>
          <w:sz w:val="22"/>
          <w:szCs w:val="22"/>
          <w:shd w:val="clear" w:color="auto" w:fill="ffffff"/>
          <w:lang w:val="en-US" w:eastAsia="zh-CN"/>
        </w:rPr>
        <w:t xml:space="preserve">名单</w:t>
      </w:r>
      <w:r>
        <w:rPr>
          <w:rFonts w:hint="eastAsia" w:ascii="Segoe UI" w:hAnsi="Segoe UI" w:eastAsia="宋体" w:cs="Segoe UI"/>
          <w:i w:val="0"/>
          <w:iCs w:val="0"/>
          <w:caps w:val="0"/>
          <w:color w:val="0f1115"/>
          <w:spacing w:val="0"/>
          <w:sz w:val="22"/>
          <w:szCs w:val="22"/>
          <w:shd w:val="clear" w:color="auto" w:fill="ffffff"/>
          <w:lang w:val="en-US" w:eastAsia="zh-CN"/>
        </w:rPr>
        <w:t xml:space="preserve">简介等</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hint="eastAsia" w:ascii="Segoe UI" w:hAnsi="Segoe UI" w:eastAsia="宋体" w:cs="Segoe UI"/>
          <w:i w:val="0"/>
          <w:iCs w:val="0"/>
          <w:caps w:val="0"/>
          <w:color w:val="0f1115"/>
          <w:spacing w:val="0"/>
          <w:sz w:val="22"/>
          <w:szCs w:val="22"/>
          <w:shd w:val="clear" w:color="auto" w:fill="ffffff"/>
          <w:lang w:val="en-US" w:eastAsia="zh-CN"/>
        </w:rPr>
        <w:t xml:space="preserve">时间要求至少2课时，讲师要求</w:t>
      </w:r>
      <w:r>
        <w:rPr>
          <w:rFonts w:hint="eastAsia" w:ascii="宋体" w:hAnsi="宋体" w:eastAsia="宋体" w:cs="宋体"/>
          <w:color w:val="auto"/>
          <w:sz w:val="24"/>
          <w:szCs w:val="24"/>
        </w:rPr>
        <w:t xml:space="preserve">熟悉本系统及有教学经验</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地点可采取线上或者线下或者两者结合，授课内容要包括系统所有涉及的功能操作等</w:t>
      </w:r>
      <w:r>
        <w:rPr>
          <w:rFonts w:hint="eastAsia" w:ascii="宋体" w:hAnsi="宋体" w:cs="宋体"/>
          <w:sz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cs="宋体"/>
          <w:sz w:val="24"/>
        </w:rPr>
        <w:t xml:space="preserve">③</w:t>
      </w:r>
      <w:r>
        <w:rPr>
          <w:rFonts w:hint="eastAsia" w:ascii="宋体" w:hAnsi="宋体" w:cs="宋体"/>
          <w:sz w:val="24"/>
          <w:lang w:val="en-US" w:eastAsia="zh-CN"/>
        </w:rPr>
        <w:t xml:space="preserve">培训材料：</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应提供详细的培训教材，提供的教师熟悉本系统及有教学经验</w:t>
      </w:r>
      <w:r>
        <w:rPr>
          <w:rFonts w:hint="eastAsia" w:ascii="宋体" w:hAnsi="宋体" w:cs="宋体"/>
          <w:color w:val="auto"/>
          <w:sz w:val="24"/>
          <w:szCs w:val="24"/>
          <w:lang w:eastAsia="zh-CN"/>
        </w:rPr>
        <w:t xml:space="preserve">，</w:t>
      </w:r>
      <w:r>
        <w:rPr>
          <w:rFonts w:hint="eastAsia" w:ascii="宋体" w:hAnsi="宋体" w:cs="宋体"/>
          <w:sz w:val="24"/>
          <w:lang w:val="en-US" w:eastAsia="zh-CN"/>
        </w:rPr>
        <w:t xml:space="preserve">分别要针对取用水户和管理人员分别出具培训资料，资料形式包括但不限于电子资料</w:t>
      </w:r>
      <w:bookmarkEnd w:id="48"/>
      <w:r/>
      <w:r/>
    </w:p>
    <w:p>
      <w:pPr>
        <w:pStyle w:val="763"/>
        <w:spacing w:before="0"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val="en-US" w:eastAsia="zh-CN"/>
        </w:rPr>
        <w:t xml:space="preserve">0</w:t>
      </w:r>
      <w:r>
        <w:rPr>
          <w:rFonts w:hint="eastAsia" w:ascii="宋体" w:hAnsi="宋体" w:eastAsia="宋体" w:cs="宋体"/>
          <w:b/>
          <w:bCs/>
          <w:color w:val="auto"/>
          <w:sz w:val="24"/>
          <w:szCs w:val="24"/>
        </w:rPr>
        <w:t xml:space="preserve">、售后服务和技术资料</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（1）售后服务</w:t>
      </w:r>
      <w:r/>
    </w:p>
    <w:p>
      <w:pPr>
        <w:pStyle w:val="805"/>
        <w:numPr>
          <w:ilvl w:val="0"/>
          <w:numId w:val="10"/>
        </w:numPr>
        <w:ind w:left="780"/>
        <w:spacing w:line="360" w:lineRule="auto"/>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质保服务：</w:t>
      </w:r>
      <w:r>
        <w:rPr>
          <w:rFonts w:hint="eastAsia" w:ascii="宋体" w:hAnsi="宋体" w:eastAsia="宋体" w:cs="宋体"/>
          <w:b/>
          <w:bCs/>
          <w:color w:val="auto"/>
          <w:sz w:val="24"/>
          <w:szCs w:val="24"/>
        </w:rPr>
        <w:t xml:space="preserve">要求成交</w:t>
      </w:r>
      <w:r>
        <w:rPr>
          <w:rFonts w:hint="eastAsia" w:ascii="宋体" w:hAnsi="宋体" w:cs="宋体"/>
          <w:b/>
          <w:bCs/>
          <w:color w:val="auto"/>
          <w:sz w:val="24"/>
          <w:szCs w:val="24"/>
          <w:lang w:eastAsia="zh-CN"/>
        </w:rPr>
        <w:t xml:space="preserve">投标人</w:t>
      </w:r>
      <w:r>
        <w:rPr>
          <w:rFonts w:hint="eastAsia" w:ascii="宋体" w:hAnsi="宋体" w:eastAsia="宋体" w:cs="宋体"/>
          <w:b/>
          <w:bCs/>
          <w:color w:val="auto"/>
          <w:sz w:val="24"/>
          <w:szCs w:val="24"/>
        </w:rPr>
        <w:t xml:space="preserve">提供自竣工验收合格后三年的免费质保服务。</w:t>
      </w:r>
      <w:r/>
    </w:p>
    <w:p>
      <w:pPr>
        <w:pStyle w:val="805"/>
        <w:numPr>
          <w:ilvl w:val="0"/>
          <w:numId w:val="10"/>
        </w:numPr>
        <w:ind w:left="7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缺陷责任期</w:t>
      </w:r>
      <w:r>
        <w:rPr>
          <w:rFonts w:hint="eastAsia" w:ascii="宋体" w:hAnsi="宋体" w:cs="宋体"/>
          <w:b/>
          <w:bCs/>
          <w:color w:val="auto"/>
          <w:sz w:val="24"/>
          <w:szCs w:val="24"/>
          <w:lang w:val="en-US" w:eastAsia="zh-CN"/>
        </w:rPr>
        <w:t xml:space="preserve">人员</w:t>
      </w:r>
      <w:r>
        <w:rPr>
          <w:rFonts w:hint="eastAsia" w:ascii="宋体" w:hAnsi="宋体" w:eastAsia="宋体" w:cs="宋体"/>
          <w:b/>
          <w:bCs/>
          <w:color w:val="auto"/>
          <w:sz w:val="24"/>
          <w:szCs w:val="24"/>
        </w:rPr>
        <w:t xml:space="preserve">服务</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系统自验收之日起三年内提供1人为采购人服务。运行中一旦出现故障时，成交</w:t>
      </w:r>
      <w:r>
        <w:rPr>
          <w:rFonts w:hint="eastAsia" w:ascii="宋体" w:hAnsi="宋体" w:cs="宋体"/>
          <w:b/>
          <w:bCs/>
          <w:color w:val="auto"/>
          <w:sz w:val="24"/>
          <w:szCs w:val="24"/>
          <w:lang w:eastAsia="zh-CN"/>
        </w:rPr>
        <w:t xml:space="preserve">投标人</w:t>
      </w:r>
      <w:r>
        <w:rPr>
          <w:rFonts w:hint="eastAsia" w:ascii="宋体" w:hAnsi="宋体" w:eastAsia="宋体" w:cs="宋体"/>
          <w:b/>
          <w:bCs/>
          <w:color w:val="auto"/>
          <w:sz w:val="24"/>
          <w:szCs w:val="24"/>
        </w:rPr>
        <w:t xml:space="preserve">专职人员应1天内到现场检查处理。</w:t>
      </w:r>
      <w:r/>
    </w:p>
    <w:p>
      <w:pPr>
        <w:pStyle w:val="805"/>
        <w:numPr>
          <w:ilvl w:val="0"/>
          <w:numId w:val="10"/>
        </w:numPr>
        <w:ind w:left="7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系统升级服务</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成交</w:t>
      </w:r>
      <w:r>
        <w:rPr>
          <w:rFonts w:hint="eastAsia" w:ascii="宋体" w:hAnsi="宋体" w:cs="宋体"/>
          <w:b/>
          <w:bCs/>
          <w:color w:val="auto"/>
          <w:sz w:val="24"/>
          <w:szCs w:val="24"/>
          <w:lang w:eastAsia="zh-CN"/>
        </w:rPr>
        <w:t xml:space="preserve">投标人</w:t>
      </w:r>
      <w:r>
        <w:rPr>
          <w:rFonts w:hint="eastAsia" w:ascii="宋体" w:hAnsi="宋体" w:eastAsia="宋体" w:cs="宋体"/>
          <w:b/>
          <w:bCs/>
          <w:color w:val="auto"/>
          <w:sz w:val="24"/>
          <w:szCs w:val="24"/>
        </w:rPr>
        <w:t xml:space="preserve">提供的商业软件产品需提供三年免费升级服务，自行开发的软件产品需提供三年免费升级服务。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（2）技术资料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必须为本系统提供下列正式文件：</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rPr>
        <w:t xml:space="preserve">设计文档</w:t>
      </w:r>
      <w:r>
        <w:rPr>
          <w:rFonts w:hint="eastAsia" w:ascii="宋体" w:hAnsi="宋体" w:eastAsia="宋体" w:cs="宋体"/>
          <w:color w:val="auto"/>
          <w:sz w:val="24"/>
          <w:szCs w:val="24"/>
          <w:lang w:val="en-US" w:eastAsia="zh-CN"/>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lang w:val="en-US" w:eastAsia="zh-CN"/>
        </w:rPr>
        <w:t xml:space="preserve">用户手册；</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③</w:t>
      </w:r>
      <w:r>
        <w:rPr>
          <w:rFonts w:hint="eastAsia" w:ascii="宋体" w:hAnsi="宋体" w:eastAsia="宋体" w:cs="宋体"/>
          <w:color w:val="auto"/>
          <w:sz w:val="24"/>
          <w:szCs w:val="24"/>
        </w:rPr>
        <w:t xml:space="preserve">项目总结报告；</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④</w:t>
      </w:r>
      <w:r>
        <w:rPr>
          <w:rFonts w:hint="eastAsia" w:ascii="宋体" w:hAnsi="宋体" w:eastAsia="宋体" w:cs="宋体"/>
          <w:color w:val="auto"/>
          <w:sz w:val="24"/>
          <w:szCs w:val="24"/>
        </w:rPr>
        <w:t xml:space="preserve">安装源代码。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上述文件需符合国家标准，提供电子文档。</w:t>
      </w:r>
      <w:r/>
    </w:p>
    <w:p>
      <w:pPr>
        <w:pStyle w:val="762"/>
        <w:numPr>
          <w:ilvl w:val="0"/>
          <w:numId w:val="11"/>
        </w:numPr>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其他要求</w:t>
      </w:r>
      <w:r/>
    </w:p>
    <w:p>
      <w:pPr>
        <w:pStyle w:val="762"/>
        <w:numPr>
          <w:ilvl w:val="255"/>
          <w:numId w:val="0"/>
        </w:num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知识产权</w:t>
      </w:r>
      <w:r>
        <w:rPr>
          <w:rFonts w:hint="eastAsia" w:ascii="宋体" w:hAnsi="宋体" w:eastAsia="宋体" w:cs="宋体"/>
          <w:b/>
          <w:bCs/>
          <w:color w:val="auto"/>
          <w:sz w:val="24"/>
          <w:szCs w:val="24"/>
          <w:lang w:val="en-US" w:eastAsia="zh-CN"/>
        </w:rPr>
        <w:t xml:space="preserve">归属于</w:t>
      </w:r>
      <w:r>
        <w:rPr>
          <w:rFonts w:hint="eastAsia" w:ascii="宋体" w:hAnsi="宋体" w:eastAsia="宋体" w:cs="宋体"/>
          <w:b/>
          <w:bCs/>
          <w:color w:val="auto"/>
          <w:sz w:val="24"/>
          <w:szCs w:val="24"/>
        </w:rPr>
        <w:t xml:space="preserve">采购人，</w:t>
      </w:r>
      <w:r>
        <w:rPr>
          <w:rFonts w:hint="eastAsia" w:ascii="宋体" w:hAnsi="宋体" w:eastAsia="宋体" w:cs="宋体"/>
          <w:b/>
          <w:bCs/>
          <w:color w:val="auto"/>
          <w:sz w:val="24"/>
          <w:szCs w:val="24"/>
          <w:lang w:eastAsia="zh-CN"/>
        </w:rPr>
        <w:t xml:space="preserve">投标人</w:t>
      </w:r>
      <w:r>
        <w:rPr>
          <w:rFonts w:hint="eastAsia" w:ascii="宋体" w:hAnsi="宋体" w:eastAsia="宋体" w:cs="宋体"/>
          <w:b/>
          <w:bCs/>
          <w:color w:val="auto"/>
          <w:sz w:val="24"/>
          <w:szCs w:val="24"/>
        </w:rPr>
        <w:t xml:space="preserve">必须提供完整的程序源代码。</w:t>
      </w:r>
      <w:r/>
    </w:p>
    <w:p>
      <w:pPr>
        <w:pStyle w:val="762"/>
        <w:numPr>
          <w:ilvl w:val="255"/>
          <w:numId w:val="0"/>
        </w:num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pStyle w:val="762"/>
        <w:numPr>
          <w:ilvl w:val="255"/>
          <w:numId w:val="0"/>
        </w:numP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包1</w:t>
      </w:r>
      <w:r>
        <w:rPr>
          <w:rFonts w:hint="eastAsia" w:ascii="宋体" w:hAnsi="宋体" w:eastAsia="宋体" w:cs="宋体"/>
          <w:b/>
          <w:bCs/>
          <w:color w:val="auto"/>
          <w:sz w:val="24"/>
          <w:szCs w:val="24"/>
        </w:rPr>
        <w:t xml:space="preserve">演示方式 </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上传视频演示</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eastAsia="zh-CN"/>
        </w:rPr>
        <w:t xml:space="preserve">投标人</w:t>
      </w:r>
      <w:r>
        <w:rPr>
          <w:rFonts w:hint="eastAsia" w:ascii="宋体" w:hAnsi="宋体" w:eastAsia="宋体" w:cs="宋体"/>
          <w:b/>
          <w:bCs/>
          <w:color w:val="auto"/>
          <w:sz w:val="24"/>
          <w:szCs w:val="24"/>
        </w:rPr>
        <w:t xml:space="preserve">需按照磋商文件规定的演示内容制作演示视频文件，视频文件的格式为*.mp4或*.avi，</w:t>
      </w:r>
      <w:r>
        <w:rPr>
          <w:rFonts w:hint="eastAsia" w:ascii="宋体" w:hAnsi="宋体" w:cs="宋体"/>
          <w:b/>
          <w:bCs/>
          <w:color w:val="auto"/>
          <w:sz w:val="24"/>
          <w:szCs w:val="24"/>
          <w:lang w:eastAsia="zh-CN"/>
        </w:rPr>
        <w:t xml:space="preserve">投标人</w:t>
      </w:r>
      <w:r>
        <w:rPr>
          <w:rFonts w:hint="eastAsia" w:ascii="宋体" w:hAnsi="宋体" w:eastAsia="宋体" w:cs="宋体"/>
          <w:b/>
          <w:bCs/>
          <w:color w:val="auto"/>
          <w:sz w:val="24"/>
          <w:szCs w:val="24"/>
        </w:rPr>
        <w:t xml:space="preserve">须将视频文件分段压缩为*.zip文件上传（单个文件不得大于50M，所有文件总共不得大于300M）。文件上传方式见《操作手册》规定，上传的演示视频将作为响应文件的组成部分，视频时长总计不超过</w:t>
      </w:r>
      <w:r>
        <w:rPr>
          <w:rFonts w:hint="eastAsia" w:ascii="宋体" w:hAnsi="宋体" w:eastAsia="宋体" w:cs="宋体"/>
          <w:b/>
          <w:bCs/>
          <w:color w:val="auto"/>
          <w:sz w:val="24"/>
          <w:szCs w:val="24"/>
          <w:lang w:val="en-US" w:eastAsia="zh-CN"/>
        </w:rPr>
        <w:t xml:space="preserve">20</w:t>
      </w:r>
      <w:r>
        <w:rPr>
          <w:rFonts w:hint="eastAsia" w:ascii="宋体" w:hAnsi="宋体" w:eastAsia="宋体" w:cs="宋体"/>
          <w:b/>
          <w:bCs/>
          <w:color w:val="auto"/>
          <w:sz w:val="24"/>
          <w:szCs w:val="24"/>
        </w:rPr>
        <w:t xml:space="preserve">分钟</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演示内容详见第五章评分标准“系统演示”。</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ascii="Times New Roman" w:hAnsi="Times New Roman" w:eastAsia="Times New Roman"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r>
      <w:r/>
    </w:p>
    <w:p>
      <w:pPr>
        <w:ind w:left="0" w:right="0" w:firstLine="0"/>
        <w:jc w:val="both"/>
        <w:spacing w:before="0" w:after="0"/>
        <w:rPr>
          <w:rFonts w:hint="eastAsia" w:ascii="宋体" w:hAnsi="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br w:type="page" w:clear="all"/>
      </w:r>
      <w:r/>
    </w:p>
    <w:p>
      <w:pPr>
        <w:ind w:left="0" w:right="0" w:firstLine="0"/>
        <w:jc w:val="both"/>
        <w:spacing w:before="0" w:after="0"/>
        <w:rPr>
          <w:rFonts w:hint="eastAsia" w:ascii="宋体" w:hAnsi="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4"/>
          <w:lang w:val="en-US" w:eastAsia="zh-CN"/>
        </w:rPr>
        <w:t xml:space="preserve">包2</w:t>
      </w:r>
      <w:r>
        <w:rPr>
          <w:rFonts w:hint="eastAsia" w:ascii="宋体" w:hAnsi="宋体"/>
          <w:b/>
          <w:bCs/>
          <w:sz w:val="24"/>
          <w:szCs w:val="24"/>
        </w:rPr>
        <w:t xml:space="preserve">：扬州市城区智慧水利综合调度系统水资源管理模块项目测评</w:t>
      </w:r>
      <w:r/>
    </w:p>
    <w:p>
      <w:pPr>
        <w:ind w:left="0" w:right="0" w:firstLine="0"/>
        <w:jc w:val="both"/>
        <w:spacing w:before="0" w:after="0"/>
        <w:rPr>
          <w:rFonts w:hint="eastAsia" w:ascii="宋体" w:hAnsi="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4"/>
        </w:rPr>
      </w:r>
      <w:r/>
    </w:p>
    <w:p>
      <w:pPr>
        <w:ind w:left="0" w:right="0" w:firstLine="0"/>
        <w:jc w:val="both"/>
        <w:spacing w:before="0" w:after="0"/>
        <w:rPr>
          <w:rFonts w:hint="eastAsia" w:ascii="宋体" w:hAnsi="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4"/>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90"/>
        <w:ind w:firstLine="480"/>
        <w:spacing w:line="360" w:lineRule="auto"/>
        <w:rPr>
          <w:rFonts w:hint="eastAsia" w:asciiTheme="minorEastAsia" w:hAnsiTheme="minorEastAsia" w:eastAsiaTheme="minorEastAsia" w:cstheme="minorEastAsia"/>
          <w:b/>
          <w:bCs/>
          <w:sz w:val="24"/>
          <w:szCs w:val="24"/>
        </w:rPr>
      </w:pPr>
      <w:r>
        <w:rPr>
          <w:rFonts w:ascii="宋体" w:hAnsi="宋体" w:eastAsia="宋体" w:cs="宋体"/>
          <w:color w:val="000000"/>
          <w:sz w:val="24"/>
        </w:rPr>
        <w:t xml:space="preserve"> </w:t>
      </w:r>
      <w:r>
        <w:rPr>
          <w:rFonts w:hint="eastAsia" w:asciiTheme="minorEastAsia" w:hAnsiTheme="minorEastAsia" w:eastAsiaTheme="minorEastAsia" w:cstheme="minorEastAsia"/>
          <w:b/>
          <w:bCs/>
          <w:sz w:val="24"/>
          <w:szCs w:val="24"/>
        </w:rPr>
        <w:t xml:space="preserve">一、项目目标 </w:t>
      </w:r>
      <w:r/>
    </w:p>
    <w:p>
      <w:pPr>
        <w:pStyle w:val="790"/>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为保障本项目所建设内容的系统功能稳定运行，参照质量检测相关国家标准，对扬州市城区智慧水利综合调度系统水资源管理模块项目开展检测技术服务工作，确保项目整体质量水平得到显著提升。</w:t>
      </w:r>
      <w:r/>
    </w:p>
    <w:p>
      <w:pPr>
        <w:pStyle w:val="790"/>
        <w:numPr>
          <w:ilvl w:val="0"/>
          <w:numId w:val="12"/>
        </w:num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服务内容 </w:t>
      </w:r>
      <w:r/>
    </w:p>
    <w:p>
      <w:pPr>
        <w:pStyle w:val="790"/>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体要求：依据扬州市城区智慧水利综合调度系统水资源管理模块项目招投标文件、建设方案、商务合同及项目开发过程文档资料，设计完善项目检测方案，并依据软件检测方案及国家有关质量检测标准开展工程检测服务工作，对项目实现的功能、性能等进行符合性验证，出具软件测试评估报告。 </w:t>
      </w:r>
      <w:r/>
    </w:p>
    <w:p>
      <w:pPr>
        <w:pStyle w:val="790"/>
        <w:ind w:firstLine="480"/>
        <w:spacing w:line="360" w:lineRule="auto"/>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被测对象：扬州市城区智慧水利综合调度系统水资源管理模块项目</w:t>
      </w:r>
      <w:r/>
    </w:p>
    <w:p>
      <w:pPr>
        <w:rPr>
          <w:rFonts w:hint="eastAsia"/>
        </w:rPr>
      </w:pPr>
      <w:r>
        <w:rPr>
          <w:rFonts w:hint="eastAsia"/>
        </w:rPr>
      </w:r>
      <w:r/>
    </w:p>
    <w:p>
      <w:pPr>
        <w:pStyle w:val="790"/>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三</w:t>
      </w:r>
      <w:r>
        <w:rPr>
          <w:rFonts w:hint="eastAsia" w:asciiTheme="minorEastAsia" w:hAnsiTheme="minorEastAsia" w:eastAsiaTheme="minorEastAsia" w:cstheme="minorEastAsia"/>
          <w:b/>
          <w:bCs/>
          <w:sz w:val="24"/>
          <w:szCs w:val="24"/>
        </w:rPr>
        <w:t xml:space="preserve">、检测服务要求</w:t>
      </w:r>
      <w:r/>
    </w:p>
    <w:p>
      <w:pPr>
        <w:ind w:firstLine="480"/>
        <w:spacing w:line="360" w:lineRule="auto"/>
        <w:rPr>
          <w:rFonts w:hint="default" w:eastAsia="宋体" w:asciiTheme="minorEastAsia" w:hAnsiTheme="minorEastAsia" w:cstheme="minorEastAsia"/>
          <w:sz w:val="24"/>
          <w:szCs w:val="24"/>
          <w:lang w:val="en-US" w:eastAsia="zh-CN"/>
        </w:rPr>
      </w:pPr>
      <w:r>
        <w:rPr>
          <w:rFonts w:hint="eastAsia" w:asciiTheme="minorEastAsia" w:hAnsiTheme="minorEastAsia" w:eastAsiaTheme="minorEastAsia" w:cstheme="minorEastAsia"/>
          <w:b/>
          <w:i/>
          <w:iCs/>
          <w:sz w:val="24"/>
          <w:szCs w:val="24"/>
          <w:u w:val="single"/>
          <w:lang w:val="en-US" w:eastAsia="zh-CN"/>
        </w:rPr>
        <w:t xml:space="preserve">投标人需</w:t>
      </w:r>
      <w:r>
        <w:rPr>
          <w:rFonts w:hint="eastAsia" w:asciiTheme="minorEastAsia" w:hAnsiTheme="minorEastAsia" w:eastAsiaTheme="minorEastAsia" w:cstheme="minorEastAsia"/>
          <w:b/>
          <w:i/>
          <w:iCs/>
          <w:sz w:val="24"/>
          <w:szCs w:val="24"/>
          <w:u w:val="single"/>
          <w:lang w:eastAsia="zh-CN"/>
        </w:rPr>
        <w:t xml:space="preserve">具有</w:t>
      </w:r>
      <w:r>
        <w:rPr>
          <w:rFonts w:hint="eastAsia" w:asciiTheme="minorEastAsia" w:hAnsiTheme="minorEastAsia" w:eastAsiaTheme="minorEastAsia" w:cstheme="minorEastAsia"/>
          <w:b/>
          <w:i/>
          <w:iCs/>
          <w:sz w:val="24"/>
          <w:szCs w:val="24"/>
          <w:u w:val="single"/>
          <w:lang w:val="en-US" w:eastAsia="zh-CN"/>
        </w:rPr>
        <w:t xml:space="preserve">有效的检验检测机构资质认定CMA证书、信息安全服务资质认证证书（风险评估）。</w:t>
      </w:r>
      <w:r>
        <w:rPr>
          <w:rFonts w:hint="eastAsia" w:asciiTheme="minorEastAsia" w:hAnsiTheme="minorEastAsia" w:eastAsiaTheme="minorEastAsia" w:cstheme="minorEastAsia"/>
          <w:sz w:val="24"/>
          <w:szCs w:val="24"/>
        </w:rPr>
        <w:t xml:space="preserve">针对本次建设的软件平台系统按照用户文档集、功能性、性能效率、信息安全性、可靠性、兼容性、易用性、维护性、可移植性等方面进行全面测试。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（1）用户文档集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文档审查内容应包括文档的完整性、完备性、正确性、一致性、易理解性、易学性、可操作性的检查和验证，尤其是软件文档与软件程序之间的一致性验证。</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（2）功能测试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功能测试应按照业务需求严格对功能模块、业务流程、界面等进行全方位的测试，对本项目所有业务软件功能准确性、互操作性进行验证，确保业务功能符合实际业务运行需要，满足采购方要求。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①检查软件不应自相矛盾，并且不与产品说明和用户文档集矛盾。</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②根据功能测试用例逐项测试，对用户文档集中所陈述的所有功能进行测试。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③检查业务流转、业务数据的正确性、完整性等。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（3）性能测试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性能测试应对应用软件的并发用户、响应时间、负载量、吞吐量、资源利用率、事务通过率等是否与用户文档集中的相应描述一致进行测试。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（4）信息安全性测试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检测产品或系统保护信息和数据的程度。主要考虑保密性、完整性、抗抵赖性、可核查性、真实性以及信息安全性的依从性。</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验证软件能否防止对程序和数据的未授权访问；验证软件是否能识别对结构数据库或文件完整性产生损害的事件，且能阻止该事件，并通报给授权；软件能否按照信息安全要求，对访问权限进行管理；软件能否对保密数据进行保护，只允许授权用户访问。</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（5）可靠性测试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测试各业务系统在各种条件下使用时，系统各功能操作应具有一定的可靠性。可靠性测试主要检测系统、产品或组件在指定条件下、指定时间内执行功能的程度。应包含成熟性、可用性、容错性、易恢复性、可靠性的依从性。</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（6）兼容性测试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主要是检查软件在不同的软\硬件平台上是否可以正常的运行，共享相同的软硬件条件下，被测软件系统是否能够与其它软件系统正确交换信息，或执行其所需的功能，主要包括共存性和互操作性的测试。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（7）易用性测试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（8）维护性测试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（9）可移植性测试</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移植性检测，验证系统移植到特定的运行环境中的难易程度，包括第一次建立或从现有环境上移植到另一个环境。在整个项目的开发周期内已经考虑可移植性，在不同的设计阶段采用的接口符合业界标准，也大大的提高项目自身的可移植性。从检验检测层面而言，可移植性测试重点关注不同的接口是否标准化定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iCs/>
          <w:sz w:val="24"/>
          <w:szCs w:val="24"/>
          <w:u w:val="single"/>
          <w:lang w:val="en-US" w:eastAsia="zh-CN"/>
        </w:rPr>
        <w:t xml:space="preserve">项目团队具备并提供软件评测师（软考中级及以上）证书、信息安全工程师（软考中级及以上）证书、数据库系统工程师（软考中级及以上）证书，且需提供项目所有团队成员</w:t>
      </w:r>
      <w:r>
        <w:rPr>
          <w:rFonts w:hint="default" w:asciiTheme="minorEastAsia" w:hAnsiTheme="minorEastAsia" w:eastAsiaTheme="minorEastAsia" w:cstheme="minorEastAsia"/>
          <w:b/>
          <w:i/>
          <w:iCs/>
          <w:sz w:val="24"/>
          <w:szCs w:val="24"/>
          <w:u w:val="single"/>
          <w:lang w:eastAsia="zh-CN"/>
        </w:rPr>
        <w:t xml:space="preserve">近3个月内任意1个月社保缴纳的证明</w:t>
      </w:r>
      <w:r>
        <w:rPr>
          <w:rFonts w:hint="eastAsia" w:asciiTheme="minorEastAsia" w:hAnsiTheme="minorEastAsia" w:eastAsiaTheme="minorEastAsia" w:cstheme="minorEastAsia"/>
          <w:b/>
          <w:i/>
          <w:iCs/>
          <w:sz w:val="24"/>
          <w:szCs w:val="24"/>
          <w:u w:val="single"/>
          <w:lang w:eastAsia="zh-CN"/>
        </w:rPr>
        <w:t xml:space="preserve">。</w:t>
      </w:r>
      <w:r/>
    </w:p>
    <w:p>
      <w:pPr>
        <w:numPr>
          <w:ilvl w:val="0"/>
          <w:numId w:val="0"/>
        </w:num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质量要求</w:t>
      </w:r>
      <w:r/>
    </w:p>
    <w:p>
      <w:pPr>
        <w:numPr>
          <w:ilvl w:val="255"/>
          <w:numId w:val="0"/>
        </w:numPr>
        <w:ind w:firstLine="480"/>
        <w:spacing w:line="360" w:lineRule="auto"/>
        <w:rPr>
          <w:rFonts w:hint="eastAsia" w:asciiTheme="minorEastAsia" w:hAnsiTheme="minorEastAsia" w:eastAsiaTheme="minorEastAsia" w:cstheme="minorEastAsia"/>
          <w:bCs/>
          <w:sz w:val="24"/>
          <w:szCs w:val="24"/>
        </w:rPr>
      </w:pPr>
      <w:r>
        <w:rPr>
          <w:rFonts w:hint="eastAsia" w:eastAsia="宋体" w:asciiTheme="minorEastAsia" w:hAnsiTheme="minorEastAsia" w:cstheme="minorEastAsia"/>
          <w:bCs/>
          <w:sz w:val="24"/>
          <w:szCs w:val="24"/>
          <w:lang w:val="en-US" w:eastAsia="zh-CN"/>
        </w:rPr>
        <w:t xml:space="preserve">1.</w:t>
      </w:r>
      <w:r>
        <w:rPr>
          <w:rFonts w:hint="eastAsia" w:eastAsia="宋体" w:asciiTheme="minorEastAsia" w:hAnsi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需投入必要的资源进行系统测评，直至所有功能与性能指标均满足</w:t>
      </w:r>
      <w:r>
        <w:rPr>
          <w:rFonts w:hint="eastAsia" w:asciiTheme="minorEastAsia" w:hAnsiTheme="minorEastAsia" w:eastAsiaTheme="minorEastAsia" w:cstheme="minorEastAsia"/>
          <w:bCs/>
          <w:sz w:val="24"/>
          <w:szCs w:val="24"/>
          <w:lang w:val="en-US" w:eastAsia="zh-CN"/>
        </w:rPr>
        <w:t xml:space="preserve">包1</w:t>
      </w:r>
      <w:r>
        <w:rPr>
          <w:rFonts w:hint="eastAsia" w:asciiTheme="minorEastAsia" w:hAnsiTheme="minorEastAsia" w:eastAsiaTheme="minorEastAsia" w:cstheme="minorEastAsia"/>
          <w:bCs/>
          <w:sz w:val="24"/>
          <w:szCs w:val="24"/>
        </w:rPr>
        <w:t xml:space="preserve">要求且测评合格为止。</w:t>
      </w:r>
      <w:r/>
    </w:p>
    <w:p>
      <w:pPr>
        <w:numPr>
          <w:ilvl w:val="255"/>
          <w:numId w:val="0"/>
        </w:numPr>
        <w:ind w:firstLine="482"/>
        <w:spacing w:line="360" w:lineRule="auto"/>
        <w:rPr>
          <w:rFonts w:hint="default" w:eastAsia="宋体" w:asciiTheme="minorEastAsia" w:hAnsiTheme="minorEastAsia" w:cstheme="minorEastAsia"/>
          <w:bCs/>
          <w:sz w:val="24"/>
          <w:szCs w:val="24"/>
          <w:lang w:val="en-US" w:eastAsia="zh-CN"/>
        </w:rPr>
      </w:pPr>
      <w:r>
        <w:rPr>
          <w:rFonts w:hint="eastAsia" w:eastAsia="宋体" w:asciiTheme="minorEastAsia" w:hAnsiTheme="minorEastAsia" w:cstheme="minorEastAsia"/>
          <w:b/>
          <w:bCs w:val="0"/>
          <w:i/>
          <w:iCs/>
          <w:sz w:val="24"/>
          <w:szCs w:val="24"/>
          <w:lang w:val="en-US" w:eastAsia="zh-CN"/>
        </w:rPr>
        <w:t xml:space="preserve">2.投标人需具备并提供</w:t>
      </w:r>
      <w:r>
        <w:rPr>
          <w:rFonts w:hint="eastAsia" w:asciiTheme="minorEastAsia" w:hAnsiTheme="minorEastAsia" w:eastAsiaTheme="minorEastAsia" w:cstheme="minorEastAsia"/>
          <w:b/>
          <w:i/>
          <w:iCs/>
          <w:sz w:val="24"/>
          <w:szCs w:val="24"/>
          <w:u w:val="single"/>
          <w:lang w:val="en-US" w:eastAsia="zh-CN"/>
        </w:rPr>
        <w:t xml:space="preserve">项目实施中所运用的检测工具的证明文件（包括但不限于发票或者合同等），检测工具包括①软件产品自动化测试工具、②性能测试工具（并发500及以上）、③代码安全审计工具、④系统漏洞检查工具、⑤数据库安全检查工具。</w:t>
      </w:r>
      <w:r/>
    </w:p>
    <w:p>
      <w:pPr>
        <w:numPr>
          <w:ilvl w:val="0"/>
          <w:numId w:val="13"/>
        </w:numPr>
        <w:ind w:firstLine="482"/>
        <w:spacing w:line="360" w:lineRule="auto"/>
        <w:rPr>
          <w:rFonts w:hint="eastAsia" w:asciiTheme="minorEastAsia" w:hAnsiTheme="minorEastAsia" w:eastAsiaTheme="minorEastAsia" w:cstheme="minorEastAsia"/>
          <w:b/>
          <w:bCs/>
          <w:sz w:val="24"/>
          <w:szCs w:val="24"/>
        </w:rPr>
      </w:pPr>
      <w:r>
        <w:rPr>
          <w:rFonts w:hint="eastAsia" w:eastAsia="宋体" w:asciiTheme="minorEastAsia" w:hAnsiTheme="minorEastAsia" w:cstheme="minorEastAsia"/>
          <w:b/>
          <w:bCs/>
          <w:sz w:val="24"/>
          <w:szCs w:val="24"/>
          <w:lang w:val="en-US" w:eastAsia="zh-CN"/>
        </w:rPr>
        <w:t xml:space="preserve">工期进度要求</w:t>
      </w:r>
      <w:r/>
    </w:p>
    <w:p>
      <w:pPr>
        <w:ind w:firstLine="480"/>
        <w:spacing w:line="360" w:lineRule="auto"/>
        <w:rPr>
          <w:rFonts w:hint="eastAsia" w:asciiTheme="minorEastAsia" w:hAnsiTheme="minorEastAsia" w:eastAsiaTheme="minorEastAsia" w:cstheme="minorEastAsia"/>
          <w:b/>
          <w:bCs/>
          <w:sz w:val="24"/>
          <w:szCs w:val="24"/>
        </w:rPr>
      </w:pPr>
      <w:r>
        <w:rPr>
          <w:rFonts w:hint="eastAsia" w:eastAsia="宋体" w:asciiTheme="minorEastAsia" w:hAnsiTheme="minorEastAsia" w:cstheme="minorEastAsia"/>
          <w:b/>
          <w:i/>
          <w:iCs/>
          <w:sz w:val="24"/>
          <w:szCs w:val="24"/>
          <w:u w:val="single"/>
          <w:lang w:eastAsia="zh-CN"/>
        </w:rPr>
        <w:t xml:space="preserve">投标人</w:t>
      </w:r>
      <w:r>
        <w:rPr>
          <w:rFonts w:hint="eastAsia" w:asciiTheme="minorEastAsia" w:hAnsiTheme="minorEastAsia" w:eastAsiaTheme="minorEastAsia" w:cstheme="minorEastAsia"/>
          <w:b/>
          <w:i/>
          <w:iCs/>
          <w:sz w:val="24"/>
          <w:szCs w:val="24"/>
          <w:u w:val="single"/>
          <w:lang w:val="en-US" w:eastAsia="zh-CN"/>
        </w:rPr>
        <w:t xml:space="preserve">须</w:t>
      </w:r>
      <w:r>
        <w:rPr>
          <w:rFonts w:hint="eastAsia" w:asciiTheme="minorEastAsia" w:hAnsiTheme="minorEastAsia" w:eastAsiaTheme="minorEastAsia" w:cstheme="minorEastAsia"/>
          <w:b/>
          <w:i/>
          <w:iCs/>
          <w:sz w:val="24"/>
          <w:szCs w:val="24"/>
          <w:u w:val="single"/>
        </w:rPr>
        <w:t xml:space="preserve">承诺测评阶段预计工期</w:t>
      </w:r>
      <w:r>
        <w:rPr>
          <w:rFonts w:hint="eastAsia" w:asciiTheme="minorEastAsia" w:hAnsiTheme="minorEastAsia" w:eastAsiaTheme="minorEastAsia" w:cstheme="minorEastAsia"/>
          <w:b/>
          <w:i/>
          <w:iCs/>
          <w:sz w:val="24"/>
          <w:szCs w:val="24"/>
          <w:u w:val="single"/>
          <w:lang w:val="en-US" w:eastAsia="zh-CN"/>
        </w:rPr>
        <w:t xml:space="preserve">30</w:t>
      </w:r>
      <w:r>
        <w:rPr>
          <w:rFonts w:hint="eastAsia" w:asciiTheme="minorEastAsia" w:hAnsiTheme="minorEastAsia" w:eastAsiaTheme="minorEastAsia" w:cstheme="minorEastAsia"/>
          <w:b/>
          <w:i/>
          <w:iCs/>
          <w:sz w:val="24"/>
          <w:szCs w:val="24"/>
          <w:u w:val="single"/>
        </w:rPr>
        <w:t xml:space="preserve">个日历天，最终的项目交付时间以</w:t>
      </w:r>
      <w:r>
        <w:rPr>
          <w:rFonts w:hint="eastAsia" w:asciiTheme="minorEastAsia" w:hAnsiTheme="minorEastAsia" w:eastAsiaTheme="minorEastAsia" w:cstheme="minorEastAsia"/>
          <w:b/>
          <w:i/>
          <w:iCs/>
          <w:sz w:val="24"/>
          <w:szCs w:val="24"/>
          <w:u w:val="single"/>
          <w:lang w:val="en-US" w:eastAsia="zh-CN"/>
        </w:rPr>
        <w:t xml:space="preserve">包1</w:t>
      </w:r>
      <w:r>
        <w:rPr>
          <w:rFonts w:hint="eastAsia" w:asciiTheme="minorEastAsia" w:hAnsiTheme="minorEastAsia" w:eastAsiaTheme="minorEastAsia" w:cstheme="minorEastAsia"/>
          <w:b/>
          <w:i/>
          <w:iCs/>
          <w:sz w:val="24"/>
          <w:szCs w:val="24"/>
          <w:u w:val="single"/>
        </w:rPr>
        <w:t xml:space="preserve">的竣工验收为准，测评期间的所有投入已包含在项目总报价内。</w:t>
      </w:r>
      <w:r>
        <w:rPr>
          <w:rFonts w:hint="eastAsia"/>
          <w:b/>
          <w:bCs/>
          <w:i/>
          <w:iCs/>
          <w:sz w:val="24"/>
          <w:u w:val="single"/>
        </w:rPr>
        <w:t xml:space="preserve">（</w:t>
      </w:r>
      <w:r>
        <w:rPr>
          <w:rFonts w:hint="eastAsia"/>
          <w:b/>
          <w:bCs/>
          <w:i/>
          <w:iCs/>
          <w:sz w:val="24"/>
          <w:u w:val="single"/>
          <w:lang w:val="en-US" w:eastAsia="zh-CN"/>
        </w:rPr>
        <w:t xml:space="preserve">须</w:t>
      </w:r>
      <w:r>
        <w:rPr>
          <w:rFonts w:hint="eastAsia"/>
          <w:b/>
          <w:bCs/>
          <w:i/>
          <w:iCs/>
          <w:sz w:val="24"/>
          <w:u w:val="single"/>
        </w:rPr>
        <w:t xml:space="preserve">提供承诺函，扫描上传）</w:t>
      </w:r>
      <w:r/>
    </w:p>
    <w:p>
      <w:pPr>
        <w:numPr>
          <w:ilvl w:val="0"/>
          <w:numId w:val="13"/>
        </w:numPr>
        <w:ind w:firstLine="48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预期成果</w:t>
      </w:r>
      <w:r/>
    </w:p>
    <w:p>
      <w:pPr>
        <w:numPr>
          <w:ilvl w:val="255"/>
          <w:numId w:val="0"/>
        </w:num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提交符合要求的软件测试评估报告（电子版及2份盖章纸质件）</w:t>
      </w:r>
      <w:r/>
    </w:p>
    <w:p>
      <w:pPr>
        <w:numPr>
          <w:ilvl w:val="0"/>
          <w:numId w:val="13"/>
        </w:numPr>
        <w:ind w:firstLine="480"/>
        <w:spacing w:line="360" w:lineRule="auto"/>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保密管理</w:t>
      </w:r>
      <w:r/>
    </w:p>
    <w:p>
      <w:pPr>
        <w:numPr>
          <w:ilvl w:val="255"/>
          <w:numId w:val="0"/>
        </w:numPr>
        <w:ind w:firstLine="480"/>
        <w:spacing w:line="360" w:lineRule="auto"/>
        <w:rPr>
          <w:rFonts w:hint="eastAsia" w:ascii="宋体" w:hAnsi="宋体" w:cs="宋体"/>
          <w:sz w:val="24"/>
          <w:lang w:val="en-US" w:eastAsia="zh-CN"/>
        </w:rPr>
      </w:pPr>
      <w:r>
        <w:rPr>
          <w:rFonts w:hint="eastAsia" w:asciiTheme="minorEastAsia" w:hAnsiTheme="minorEastAsia" w:eastAsiaTheme="minorEastAsia" w:cstheme="minorEastAsia"/>
          <w:bCs/>
          <w:sz w:val="24"/>
          <w:szCs w:val="24"/>
        </w:rPr>
        <w:t xml:space="preserve">没有</w:t>
      </w:r>
      <w:r>
        <w:rPr>
          <w:rFonts w:hint="eastAsia" w:eastAsia="宋体" w:asciiTheme="minorEastAsia" w:hAnsiTheme="minorEastAsia" w:cstheme="minorEastAsia"/>
          <w:bCs/>
          <w:sz w:val="24"/>
          <w:szCs w:val="24"/>
          <w:lang w:eastAsia="zh-CN"/>
        </w:rPr>
        <w:t xml:space="preserve">招标人</w:t>
      </w:r>
      <w:r>
        <w:rPr>
          <w:rFonts w:hint="eastAsia" w:asciiTheme="minorEastAsia" w:hAnsiTheme="minorEastAsia" w:eastAsiaTheme="minorEastAsia" w:cstheme="minorEastAsia"/>
          <w:bCs/>
          <w:sz w:val="24"/>
          <w:szCs w:val="24"/>
        </w:rPr>
        <w:t xml:space="preserve">事先书面同意，</w:t>
      </w:r>
      <w:r>
        <w:rPr>
          <w:rFonts w:hint="eastAsia" w:eastAsia="宋体" w:asciiTheme="minorEastAsia" w:hAnsi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不得将由</w:t>
      </w:r>
      <w:r>
        <w:rPr>
          <w:rFonts w:hint="eastAsia" w:eastAsia="宋体" w:asciiTheme="minorEastAsia" w:hAnsiTheme="minorEastAsia" w:cstheme="minorEastAsia"/>
          <w:bCs/>
          <w:sz w:val="24"/>
          <w:szCs w:val="24"/>
          <w:lang w:eastAsia="zh-CN"/>
        </w:rPr>
        <w:t xml:space="preserve">招标人</w:t>
      </w:r>
      <w:r>
        <w:rPr>
          <w:rFonts w:hint="eastAsia" w:asciiTheme="minorEastAsia" w:hAnsiTheme="minorEastAsia" w:eastAsiaTheme="minorEastAsia" w:cstheme="minorEastAsia"/>
          <w:bCs/>
          <w:sz w:val="24"/>
          <w:szCs w:val="24"/>
        </w:rPr>
        <w:t xml:space="preserve">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944"/>
        <w:rPr>
          <w:rFonts w:ascii="黑体" w:hAnsi="黑体" w:eastAsia="黑体" w:cs="黑体"/>
          <w:color w:val="000000"/>
          <w:sz w:val="44"/>
        </w:rPr>
      </w:pPr>
      <w:r>
        <w:rPr>
          <w:rFonts w:ascii="Times New Roman" w:hAnsi="Times New Roman" w:eastAsia="Times New Roman" w:cs="Times New Roman"/>
          <w:color w:val="000000"/>
          <w:sz w:val="21"/>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pStyle w:val="944"/>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包一</w:t>
      </w: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p>
      <w:pPr>
        <w:ind w:left="0" w:right="0" w:firstLine="439"/>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包二</w:t>
      </w:r>
      <w:r>
        <w:rPr>
          <w:rFonts w:ascii="宋体" w:hAnsi="宋体" w:eastAsia="宋体" w:cs="宋体"/>
          <w:color w:val="000000"/>
          <w:sz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采用最低评标价法评标时，除了算术修正和落实政府采购政策需进行的价格扣除外，不能对投标人的投标价格进行任何调整。</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5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top"/>
            <w:textDirection w:val="lrTb"/>
            <w:noWrap w:val="false"/>
          </w:tcPr>
          <w:p>
            <w:pPr>
              <w:ind w:left="0" w:right="0" w:firstLine="0"/>
              <w:jc w:val="center"/>
              <w:spacing w:before="0" w:after="0" w:line="240"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b/>
                <w:bCs/>
                <w:color w:val="0070c0"/>
              </w:rPr>
              <w:pBdr>
                <w:top w:val="none" w:color="000000" w:sz="0" w:space="0"/>
                <w:left w:val="none" w:color="000000" w:sz="0" w:space="0"/>
                <w:bottom w:val="none" w:color="000000" w:sz="0" w:space="0"/>
                <w:right w:val="none" w:color="000000" w:sz="0" w:space="0"/>
              </w:pBdr>
            </w:pPr>
            <w:r>
              <w:rPr>
                <w:b/>
                <w:bCs/>
                <w:color w:val="0070c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5" w:type="dxa"/>
            <w:vAlign w:val="top"/>
            <w:textDirection w:val="lrTb"/>
            <w:noWrap w:val="false"/>
          </w:tcPr>
          <w:p>
            <w:pPr>
              <w:ind w:left="0" w:right="0" w:firstLine="0"/>
              <w:jc w:val="center"/>
              <w:spacing w:before="0" w:after="0" w:line="24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满足招标文件全部实质性要求，且投标报价最低的投标人为中标候选人</w:t>
            </w:r>
            <w:r/>
          </w:p>
        </w:tc>
      </w:tr>
    </w:tbl>
    <w:p>
      <w:pPr>
        <w:ind w:right="0"/>
        <w:jc w:val="both"/>
        <w:spacing w:before="120" w:after="120"/>
        <w:pBdr>
          <w:top w:val="none" w:color="000000" w:sz="0" w:space="0"/>
          <w:left w:val="none" w:color="000000" w:sz="0" w:space="0"/>
          <w:bottom w:val="none" w:color="000000" w:sz="0" w:space="0"/>
          <w:right w:val="none" w:color="000000" w:sz="0" w:space="0"/>
        </w:pBdr>
      </w:pPr>
      <w:r/>
      <w:r/>
    </w:p>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w:t>
      </w:r>
      <w:r>
        <w:rPr>
          <w:rFonts w:hint="eastAsia" w:ascii="宋体" w:hAnsi="宋体" w:cs="宋体"/>
          <w:b/>
          <w:color w:val="ff0000"/>
          <w:sz w:val="24"/>
          <w:lang w:val="en-US" w:eastAsia="zh-CN"/>
        </w:rPr>
        <w:t xml:space="preserve">包一不</w:t>
      </w:r>
      <w:r>
        <w:rPr>
          <w:rFonts w:ascii="宋体" w:hAnsi="宋体" w:eastAsia="宋体" w:cs="宋体"/>
          <w:b/>
          <w:color w:val="ff0000"/>
          <w:sz w:val="24"/>
        </w:rPr>
        <w:t xml:space="preserve">专门面向中小企业</w:t>
      </w:r>
      <w:r>
        <w:rPr>
          <w:rFonts w:hint="eastAsia" w:ascii="宋体" w:hAnsi="宋体" w:cs="宋体"/>
          <w:b/>
          <w:color w:val="ff0000"/>
          <w:sz w:val="24"/>
          <w:lang w:eastAsia="zh-CN"/>
        </w:rPr>
        <w:t xml:space="preserve">，</w:t>
      </w:r>
      <w:r>
        <w:rPr>
          <w:rFonts w:hint="eastAsia" w:ascii="宋体" w:hAnsi="宋体" w:cs="宋体"/>
          <w:b/>
          <w:color w:val="ff0000"/>
          <w:sz w:val="24"/>
          <w:lang w:val="en-US" w:eastAsia="zh-CN"/>
        </w:rPr>
        <w:t xml:space="preserve">包二</w:t>
      </w:r>
      <w:r>
        <w:rPr>
          <w:rFonts w:ascii="宋体" w:hAnsi="宋体" w:eastAsia="宋体" w:cs="宋体"/>
          <w:b/>
          <w:color w:val="ff0000"/>
          <w:sz w:val="24"/>
        </w:rPr>
        <w:t xml:space="preserve">专门面向中小企业</w:t>
      </w:r>
      <w:r>
        <w:rPr>
          <w:rFonts w:hint="eastAsia" w:ascii="宋体" w:hAnsi="宋体" w:eastAsia="宋体" w:cs="宋体"/>
          <w:b/>
          <w:color w:val="ff0000"/>
          <w:sz w:val="24"/>
          <w:lang w:eastAsia="zh-CN"/>
        </w:rPr>
        <w:t xml:space="preserve">。</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2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4" w:type="dxa"/>
            <w:vAlign w:val="top"/>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是</w:t>
            </w:r>
            <w:r/>
          </w:p>
        </w:tc>
      </w:tr>
    </w:tbl>
    <w:p>
      <w:pPr>
        <w:ind w:left="0" w:right="0" w:firstLine="441"/>
        <w:jc w:val="both"/>
        <w:spacing w:before="240" w:after="240"/>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包一：</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的扣除价格，用扣除后的价格参与评审。</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需按照采购文件的要求提供相应的《中小企业声明函》。</w:t>
      </w:r>
      <w:r/>
    </w:p>
    <w:p>
      <w:pPr>
        <w:ind w:left="0" w:right="0" w:firstLine="36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的价格扣除，用扣除后的价格参与评审。</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的价格扣除，用扣除后的价格参与评审。</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如不提供上述证明文件，价格将不做相应扣除。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yellow"/>
          <w:u w:val="single"/>
        </w:rPr>
        <w:t xml:space="preserve">6%</w:t>
      </w:r>
      <w:r>
        <w:rPr>
          <w:rFonts w:ascii="宋体" w:hAnsi="宋体" w:eastAsia="宋体" w:cs="宋体"/>
          <w:color w:val="000000"/>
          <w:sz w:val="24"/>
        </w:rPr>
        <w:t xml:space="preserve">的价格扣除，用扣除后的价格参与评审。</w:t>
      </w:r>
      <w:r/>
    </w:p>
    <w:p>
      <w:pPr>
        <w:ind w:left="0" w:right="0"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yellow"/>
          <w:u w:val="single"/>
        </w:rPr>
        <w:t xml:space="preserve">20%</w:t>
      </w:r>
      <w:r>
        <w:rPr>
          <w:rFonts w:ascii="宋体" w:hAnsi="宋体" w:eastAsia="宋体" w:cs="宋体"/>
          <w:color w:val="000000"/>
          <w:sz w:val="24"/>
        </w:rPr>
        <w:t xml:space="preserve">价格扣除，用扣除后的价格参与评审。</w:t>
      </w:r>
      <w:r/>
    </w:p>
    <w:p>
      <w:pPr>
        <w:ind w:left="0" w:right="0" w:firstLine="480"/>
        <w:jc w:val="both"/>
        <w:spacing w:before="120" w:after="120"/>
        <w:rPr>
          <w:rFonts w:hint="eastAsia"/>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r>
      <w:r/>
    </w:p>
    <w:p>
      <w:pPr>
        <w:ind w:left="0" w:right="0" w:firstLine="441"/>
        <w:jc w:val="both"/>
        <w:spacing w:before="240" w:after="240"/>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包二：</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2"/>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p>
      <w:pPr>
        <w:pStyle w:val="774"/>
      </w:pPr>
      <w:r>
        <w:rPr>
          <w:rFonts w:ascii="宋体" w:hAnsi="宋体" w:eastAsia="宋体" w:cs="宋体"/>
          <w:color w:val="000000"/>
          <w:sz w:val="24"/>
        </w:rPr>
        <w:t xml:space="preserve"> </w:t>
      </w:r>
      <w:r>
        <w:rPr>
          <w:rFonts w:hint="eastAsia" w:ascii="宋体" w:hAnsi="宋体"/>
          <w:b/>
          <w:bCs/>
          <w:sz w:val="24"/>
          <w:szCs w:val="24"/>
          <w:lang w:val="en-US" w:eastAsia="zh-CN"/>
        </w:rPr>
        <w:t xml:space="preserve">包1</w:t>
      </w:r>
      <w:r/>
    </w:p>
    <w:tbl>
      <w:tblPr>
        <w:tblStyle w:val="771"/>
        <w:tblW w:w="5729" w:type="pct"/>
        <w:tblInd w:w="-272" w:type="dxa"/>
        <w:tblLayout w:type="autofit"/>
        <w:tblCellMar>
          <w:left w:w="108" w:type="dxa"/>
          <w:top w:w="0" w:type="dxa"/>
          <w:right w:w="108" w:type="dxa"/>
          <w:bottom w:w="0" w:type="dxa"/>
        </w:tblCellMar>
        <w:tblLook w:val="04A0" w:firstRow="1" w:lastRow="0" w:firstColumn="1" w:lastColumn="0" w:noHBand="0" w:noVBand="1"/>
      </w:tblPr>
      <w:tblGrid>
        <w:gridCol w:w="1482"/>
        <w:gridCol w:w="9024"/>
      </w:tblGrid>
      <w:tr>
        <w:trPr>
          <w:trHeight w:val="285"/>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评分标准</w:t>
            </w:r>
            <w:r/>
          </w:p>
        </w:tc>
      </w:tr>
      <w:tr>
        <w:trPr>
          <w:trHeight w:val="5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价格</w:t>
            </w:r>
            <w:r>
              <w:rPr>
                <w:rFonts w:hint="eastAsia" w:ascii="宋体" w:hAnsi="宋体" w:eastAsia="宋体" w:cs="宋体"/>
                <w:sz w:val="24"/>
              </w:rPr>
              <w:br/>
            </w:r>
            <w:r>
              <w:rPr>
                <w:rFonts w:hint="eastAsia" w:ascii="宋体" w:hAnsi="宋体" w:eastAsia="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以满足招标文件要求的最低投标报价为评标基准价，得满分10分，其他投标报价得分＝（评标基准价/其他投标报价）×10×100％。</w:t>
            </w:r>
            <w:r/>
          </w:p>
        </w:tc>
      </w:tr>
      <w:tr>
        <w:trPr>
          <w:trHeight w:val="76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技术方案</w:t>
            </w:r>
            <w:r>
              <w:rPr>
                <w:rFonts w:hint="eastAsia" w:ascii="宋体" w:hAnsi="宋体" w:eastAsia="宋体" w:cs="宋体"/>
                <w:sz w:val="24"/>
              </w:rPr>
              <w:br/>
            </w:r>
            <w:r>
              <w:rPr>
                <w:rFonts w:hint="eastAsia" w:ascii="宋体" w:hAnsi="宋体" w:eastAsia="宋体" w:cs="宋体"/>
                <w:sz w:val="24"/>
              </w:rPr>
              <w:t xml:space="preserve">（</w:t>
            </w:r>
            <w:r>
              <w:rPr>
                <w:rFonts w:hint="eastAsia" w:ascii="宋体" w:hAnsi="宋体" w:cs="宋体"/>
                <w:sz w:val="24"/>
                <w:lang w:val="en-US" w:eastAsia="zh-CN"/>
              </w:rPr>
              <w:t xml:space="preserve">35</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需提供数据底板建设方案（</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w:t>
            </w:r>
            <w:r/>
          </w:p>
          <w:p>
            <w:pPr>
              <w:jc w:val="left"/>
              <w:spacing w:before="120" w:after="12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优于招标文件项目需求的得</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分，符合招标文件项目需求的得3分，不符合招标文件项目需求的得0分；</w:t>
            </w:r>
            <w:r>
              <w:rPr>
                <w:rFonts w:hint="eastAsia" w:ascii="宋体" w:hAnsi="宋体" w:eastAsia="宋体" w:cs="宋体"/>
                <w:color w:val="auto"/>
                <w:sz w:val="24"/>
              </w:rPr>
              <w:br/>
            </w:r>
            <w:r>
              <w:rPr>
                <w:rFonts w:hint="eastAsia" w:ascii="宋体" w:hAnsi="宋体" w:eastAsia="宋体" w:cs="宋体"/>
                <w:color w:val="auto"/>
                <w:sz w:val="24"/>
              </w:rPr>
              <w:t xml:space="preserve">2、</w:t>
            </w: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需提供取用水管理功能建设方案（</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w:t>
            </w:r>
            <w:r>
              <w:rPr>
                <w:rFonts w:hint="eastAsia" w:ascii="宋体" w:hAnsi="宋体" w:eastAsia="宋体" w:cs="宋体"/>
                <w:color w:val="auto"/>
                <w:sz w:val="24"/>
              </w:rPr>
              <w:br/>
            </w:r>
            <w:r>
              <w:rPr>
                <w:rFonts w:hint="eastAsia" w:ascii="宋体" w:hAnsi="宋体" w:eastAsia="宋体" w:cs="宋体"/>
                <w:color w:val="auto"/>
                <w:sz w:val="24"/>
              </w:rPr>
              <w:t xml:space="preserve">优于招标文件项目需求的得</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分，符合招标文件项目需求的得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分，不符合招标文件项目需求的得0分；</w:t>
            </w:r>
            <w:r>
              <w:rPr>
                <w:rFonts w:hint="eastAsia" w:ascii="宋体" w:hAnsi="宋体" w:eastAsia="宋体" w:cs="宋体"/>
                <w:color w:val="auto"/>
                <w:sz w:val="24"/>
              </w:rPr>
              <w:br/>
            </w:r>
            <w:r>
              <w:rPr>
                <w:rFonts w:hint="eastAsia" w:ascii="宋体" w:hAnsi="宋体" w:eastAsia="宋体" w:cs="宋体"/>
                <w:color w:val="auto"/>
                <w:sz w:val="24"/>
              </w:rPr>
              <w:t xml:space="preserve">3、</w:t>
            </w: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需提供节约用水管理功能建设方案（</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w:t>
            </w:r>
            <w:r>
              <w:rPr>
                <w:rFonts w:hint="eastAsia" w:ascii="宋体" w:hAnsi="宋体" w:eastAsia="宋体" w:cs="宋体"/>
                <w:color w:val="auto"/>
                <w:sz w:val="24"/>
              </w:rPr>
              <w:br/>
            </w:r>
            <w:r>
              <w:rPr>
                <w:rFonts w:hint="eastAsia" w:ascii="宋体" w:hAnsi="宋体" w:eastAsia="宋体" w:cs="宋体"/>
                <w:color w:val="auto"/>
                <w:sz w:val="24"/>
              </w:rPr>
              <w:t xml:space="preserve">优于招标文件项目需求的得</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分，符合招标文件项目需求的得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分，不符合招标文件项目需求的得0分；</w:t>
            </w:r>
            <w:r>
              <w:rPr>
                <w:rFonts w:hint="eastAsia" w:ascii="宋体" w:hAnsi="宋体" w:eastAsia="宋体" w:cs="宋体"/>
                <w:color w:val="auto"/>
                <w:sz w:val="24"/>
              </w:rPr>
              <w:br/>
            </w:r>
            <w:r>
              <w:rPr>
                <w:rFonts w:hint="eastAsia" w:ascii="宋体" w:hAnsi="宋体" w:eastAsia="宋体" w:cs="宋体"/>
                <w:color w:val="auto"/>
                <w:sz w:val="24"/>
              </w:rPr>
              <w:t xml:space="preserve">4、</w:t>
            </w: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需提供水资源保护功能建设方案（</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w:t>
            </w:r>
            <w:r>
              <w:rPr>
                <w:rFonts w:hint="eastAsia" w:ascii="宋体" w:hAnsi="宋体" w:eastAsia="宋体" w:cs="宋体"/>
                <w:color w:val="auto"/>
                <w:sz w:val="24"/>
              </w:rPr>
              <w:br/>
            </w:r>
            <w:r>
              <w:rPr>
                <w:rFonts w:hint="eastAsia" w:ascii="宋体" w:hAnsi="宋体" w:eastAsia="宋体" w:cs="宋体"/>
                <w:color w:val="auto"/>
                <w:sz w:val="24"/>
              </w:rPr>
              <w:t xml:space="preserve">优于招标文件项目需求的得</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分，符合招标文件项目需求的得3分，不符合招标文件项目需求的得0分；</w:t>
            </w:r>
            <w:r>
              <w:rPr>
                <w:rFonts w:hint="eastAsia" w:ascii="宋体" w:hAnsi="宋体" w:eastAsia="宋体" w:cs="宋体"/>
                <w:color w:val="auto"/>
                <w:sz w:val="24"/>
              </w:rPr>
              <w:br/>
            </w:r>
            <w:r>
              <w:rPr>
                <w:rFonts w:hint="eastAsia" w:ascii="宋体" w:hAnsi="宋体" w:eastAsia="宋体" w:cs="宋体"/>
                <w:color w:val="auto"/>
                <w:sz w:val="24"/>
              </w:rPr>
              <w:t xml:space="preserve">5、</w:t>
            </w: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需提供取用水户政务服务功能建设方案（</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w:t>
            </w:r>
            <w:r>
              <w:rPr>
                <w:rFonts w:hint="eastAsia" w:ascii="宋体" w:hAnsi="宋体" w:eastAsia="宋体" w:cs="宋体"/>
                <w:color w:val="auto"/>
                <w:sz w:val="24"/>
              </w:rPr>
              <w:br/>
            </w:r>
            <w:r>
              <w:rPr>
                <w:rFonts w:hint="eastAsia" w:ascii="宋体" w:hAnsi="宋体" w:eastAsia="宋体" w:cs="宋体"/>
                <w:color w:val="auto"/>
                <w:sz w:val="24"/>
              </w:rPr>
              <w:t xml:space="preserve">优于招标文件项目需求的得</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分，符合招标文件项目需求的得3分，不符合招标文件项目需求的得0分；</w:t>
            </w:r>
            <w:r>
              <w:rPr>
                <w:rFonts w:hint="eastAsia" w:ascii="宋体" w:hAnsi="宋体" w:eastAsia="宋体" w:cs="宋体"/>
                <w:color w:val="auto"/>
                <w:sz w:val="24"/>
              </w:rPr>
              <w:br/>
            </w:r>
            <w:r>
              <w:rPr>
                <w:rFonts w:hint="eastAsia" w:ascii="宋体" w:hAnsi="宋体" w:eastAsia="宋体" w:cs="宋体"/>
                <w:color w:val="auto"/>
                <w:sz w:val="24"/>
              </w:rPr>
              <w:t xml:space="preserve">6、</w:t>
            </w: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需提供系统安全措施方案（</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w:t>
            </w:r>
            <w:r>
              <w:rPr>
                <w:rFonts w:hint="eastAsia" w:ascii="宋体" w:hAnsi="宋体" w:eastAsia="宋体" w:cs="宋体"/>
                <w:color w:val="auto"/>
                <w:sz w:val="24"/>
              </w:rPr>
              <w:br/>
            </w:r>
            <w:r>
              <w:rPr>
                <w:rFonts w:hint="eastAsia" w:ascii="宋体" w:hAnsi="宋体" w:eastAsia="宋体" w:cs="宋体"/>
                <w:color w:val="auto"/>
                <w:sz w:val="24"/>
              </w:rPr>
              <w:t xml:space="preserve">优于招标文件项目需求的得</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分，符合招标文件项目需求的得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分，不符合招标文件项目需求的得0分；</w:t>
            </w:r>
            <w:r>
              <w:rPr>
                <w:rFonts w:hint="eastAsia" w:ascii="宋体" w:hAnsi="宋体" w:eastAsia="宋体" w:cs="宋体"/>
                <w:color w:val="auto"/>
                <w:sz w:val="24"/>
              </w:rPr>
              <w:br/>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w:t>
            </w:r>
            <w:r>
              <w:rPr>
                <w:rFonts w:hint="eastAsia" w:ascii="宋体" w:hAnsi="宋体" w:cs="宋体"/>
                <w:color w:val="auto"/>
                <w:sz w:val="24"/>
                <w:lang w:val="en-US" w:eastAsia="zh-CN"/>
              </w:rPr>
              <w:t xml:space="preserve">进度</w:t>
            </w:r>
            <w:r>
              <w:rPr>
                <w:rFonts w:hint="eastAsia" w:ascii="宋体" w:hAnsi="宋体" w:eastAsia="宋体" w:cs="宋体"/>
                <w:color w:val="auto"/>
                <w:sz w:val="24"/>
              </w:rPr>
              <w:t xml:space="preserve">计划方案（</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投标人</w:t>
            </w:r>
            <w:r>
              <w:rPr>
                <w:rFonts w:hint="eastAsia" w:ascii="宋体" w:hAnsi="宋体" w:cs="宋体"/>
                <w:color w:val="auto"/>
                <w:sz w:val="24"/>
                <w:lang w:val="en-US" w:eastAsia="zh-CN"/>
              </w:rPr>
              <w:t xml:space="preserve">提供进度计划方案，</w:t>
            </w:r>
            <w:r>
              <w:rPr>
                <w:rFonts w:hint="eastAsia" w:ascii="宋体" w:hAnsi="宋体" w:eastAsia="宋体" w:cs="宋体"/>
                <w:color w:val="auto"/>
                <w:sz w:val="24"/>
              </w:rPr>
              <w:t xml:space="preserve">优于招标文件项目</w:t>
            </w:r>
            <w:r>
              <w:rPr>
                <w:rFonts w:hint="eastAsia" w:ascii="宋体" w:hAnsi="宋体" w:cs="宋体"/>
                <w:color w:val="auto"/>
                <w:sz w:val="24"/>
                <w:lang w:val="en-US" w:eastAsia="zh-CN"/>
              </w:rPr>
              <w:t xml:space="preserve">进度要求</w:t>
            </w:r>
            <w:r>
              <w:rPr>
                <w:rFonts w:hint="eastAsia" w:ascii="宋体" w:hAnsi="宋体" w:eastAsia="宋体" w:cs="宋体"/>
                <w:color w:val="auto"/>
                <w:sz w:val="24"/>
              </w:rPr>
              <w:t xml:space="preserve">的得</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分，符合招标文件</w:t>
            </w:r>
            <w:r>
              <w:rPr>
                <w:rFonts w:hint="eastAsia" w:ascii="宋体" w:hAnsi="宋体" w:cs="宋体"/>
                <w:color w:val="auto"/>
                <w:sz w:val="24"/>
                <w:lang w:val="en-US" w:eastAsia="zh-CN"/>
              </w:rPr>
              <w:t xml:space="preserve">进度要求</w:t>
            </w:r>
            <w:r>
              <w:rPr>
                <w:rFonts w:hint="eastAsia" w:ascii="宋体" w:hAnsi="宋体" w:eastAsia="宋体" w:cs="宋体"/>
                <w:color w:val="auto"/>
                <w:sz w:val="24"/>
              </w:rPr>
              <w:t xml:space="preserve">的得</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分，不符合招标文件</w:t>
            </w:r>
            <w:r>
              <w:rPr>
                <w:rFonts w:hint="eastAsia" w:ascii="宋体" w:hAnsi="宋体" w:cs="宋体"/>
                <w:color w:val="auto"/>
                <w:sz w:val="24"/>
                <w:lang w:val="en-US" w:eastAsia="zh-CN"/>
              </w:rPr>
              <w:t xml:space="preserve">进度要求</w:t>
            </w:r>
            <w:r>
              <w:rPr>
                <w:rFonts w:hint="eastAsia" w:ascii="宋体" w:hAnsi="宋体" w:eastAsia="宋体" w:cs="宋体"/>
                <w:color w:val="auto"/>
                <w:sz w:val="24"/>
              </w:rPr>
              <w:t xml:space="preserve">的得0分</w:t>
            </w:r>
            <w:r>
              <w:rPr>
                <w:rFonts w:hint="eastAsia" w:ascii="宋体" w:hAnsi="宋体" w:cs="宋体"/>
                <w:color w:val="auto"/>
                <w:sz w:val="24"/>
                <w:lang w:eastAsia="zh-CN"/>
              </w:rPr>
              <w:t xml:space="preserve">。</w:t>
            </w:r>
            <w:r/>
          </w:p>
        </w:tc>
      </w:tr>
      <w:tr>
        <w:trPr>
          <w:trHeight w:val="855"/>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人员培训方案</w:t>
            </w:r>
            <w:r>
              <w:rPr>
                <w:rFonts w:hint="eastAsia" w:ascii="宋体" w:hAnsi="宋体" w:eastAsia="宋体" w:cs="宋体"/>
                <w:sz w:val="24"/>
              </w:rPr>
              <w:br/>
            </w:r>
            <w:r>
              <w:rPr>
                <w:rFonts w:hint="eastAsia" w:ascii="宋体" w:hAnsi="宋体" w:eastAsia="宋体" w:cs="宋体"/>
                <w:sz w:val="24"/>
              </w:rPr>
              <w:t xml:space="preserve">（</w:t>
            </w:r>
            <w:r>
              <w:rPr>
                <w:rFonts w:hint="eastAsia" w:ascii="宋体" w:hAnsi="宋体" w:cs="宋体"/>
                <w:sz w:val="24"/>
                <w:lang w:val="en-US" w:eastAsia="zh-CN"/>
              </w:rPr>
              <w:t xml:space="preserve">6</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投标人</w:t>
            </w:r>
            <w:r>
              <w:rPr>
                <w:rFonts w:hint="eastAsia" w:ascii="宋体" w:hAnsi="宋体" w:eastAsia="宋体" w:cs="宋体"/>
                <w:color w:val="auto"/>
                <w:sz w:val="24"/>
              </w:rPr>
              <w:t xml:space="preserve">需提供满足本项目的培训方案，方案内容</w:t>
            </w:r>
            <w:r>
              <w:rPr>
                <w:rFonts w:hint="eastAsia" w:ascii="宋体" w:hAnsi="宋体" w:cs="宋体"/>
                <w:color w:val="auto"/>
                <w:sz w:val="24"/>
                <w:lang w:val="en-US" w:eastAsia="zh-CN"/>
              </w:rPr>
              <w:t xml:space="preserve">需包括：</w:t>
            </w:r>
            <w:r>
              <w:rPr>
                <w:rFonts w:hint="eastAsia" w:ascii="宋体" w:hAnsi="宋体" w:cs="宋体"/>
                <w:sz w:val="24"/>
              </w:rPr>
              <w:t xml:space="preserve">①</w:t>
            </w:r>
            <w:r>
              <w:rPr>
                <w:rFonts w:hint="eastAsia" w:ascii="宋体" w:hAnsi="宋体" w:cs="宋体"/>
                <w:sz w:val="24"/>
                <w:lang w:val="en-US" w:eastAsia="zh-CN"/>
              </w:rPr>
              <w:t xml:space="preserve">培训次数、</w:t>
            </w:r>
            <w:r>
              <w:rPr>
                <w:rFonts w:hint="eastAsia" w:ascii="宋体" w:hAnsi="宋体" w:cs="宋体"/>
                <w:sz w:val="24"/>
              </w:rPr>
              <w:t xml:space="preserve">②</w:t>
            </w:r>
            <w:r>
              <w:rPr>
                <w:rFonts w:ascii="Segoe UI" w:hAnsi="Segoe UI" w:eastAsia="Segoe UI" w:cs="Segoe UI"/>
                <w:i w:val="0"/>
                <w:iCs w:val="0"/>
                <w:caps w:val="0"/>
                <w:color w:val="0f1115"/>
                <w:spacing w:val="0"/>
                <w:sz w:val="22"/>
                <w:szCs w:val="22"/>
                <w:shd w:val="clear" w:color="auto" w:fill="ffffff"/>
              </w:rPr>
              <w:t xml:space="preserve">培训计划表</w:t>
            </w:r>
            <w:r>
              <w:rPr>
                <w:rFonts w:hint="eastAsia" w:ascii="宋体" w:hAnsi="宋体" w:cs="宋体"/>
                <w:sz w:val="24"/>
              </w:rPr>
              <w:t xml:space="preserve">③</w:t>
            </w:r>
            <w:r>
              <w:rPr>
                <w:rFonts w:hint="eastAsia" w:ascii="宋体" w:hAnsi="宋体" w:cs="宋体"/>
                <w:sz w:val="24"/>
                <w:lang w:val="en-US" w:eastAsia="zh-CN"/>
              </w:rPr>
              <w:t xml:space="preserve">培训材料。满分6分。</w:t>
            </w:r>
            <w:r/>
          </w:p>
          <w:p>
            <w:pPr>
              <w:jc w:val="left"/>
              <w:spacing w:before="120" w:after="120" w:line="400"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每个点方案优于招标文件要求的得</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分</w:t>
            </w:r>
            <w:r>
              <w:rPr>
                <w:rFonts w:hint="eastAsia" w:ascii="宋体" w:hAnsi="宋体" w:cs="宋体"/>
                <w:color w:val="auto"/>
                <w:sz w:val="24"/>
                <w:lang w:eastAsia="zh-CN"/>
              </w:rPr>
              <w:t xml:space="preserve">。</w:t>
            </w:r>
            <w:r/>
          </w:p>
          <w:p>
            <w:pPr>
              <w:jc w:val="left"/>
              <w:spacing w:before="120" w:after="120" w:line="400" w:lineRule="atLeast"/>
              <w:rPr>
                <w:rFonts w:hint="eastAsia" w:ascii="宋体" w:hAnsi="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每个点方案符合招标文件要求的得1分</w:t>
            </w:r>
            <w:r>
              <w:rPr>
                <w:rFonts w:hint="eastAsia" w:ascii="宋体" w:hAnsi="宋体" w:cs="宋体"/>
                <w:color w:val="auto"/>
                <w:sz w:val="24"/>
                <w:lang w:eastAsia="zh-CN"/>
              </w:rPr>
              <w:t xml:space="preserve">。</w:t>
            </w:r>
            <w:r/>
          </w:p>
          <w:p>
            <w:pPr>
              <w:jc w:val="left"/>
              <w:spacing w:before="120" w:after="120" w:line="400"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每个点方案不符合招标文件要求或未提供的不得分。</w:t>
            </w:r>
            <w:r/>
          </w:p>
        </w:tc>
      </w:tr>
      <w:tr>
        <w:trPr>
          <w:trHeight w:val="855"/>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售后服务（</w:t>
            </w:r>
            <w:r>
              <w:rPr>
                <w:rFonts w:hint="eastAsia" w:ascii="宋体" w:hAnsi="宋体" w:cs="宋体"/>
                <w:sz w:val="24"/>
                <w:lang w:val="en-US" w:eastAsia="zh-CN"/>
              </w:rPr>
              <w:t xml:space="preserve">6</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投标人</w:t>
            </w:r>
            <w:r>
              <w:rPr>
                <w:rFonts w:hint="eastAsia" w:ascii="宋体" w:hAnsi="宋体" w:eastAsia="宋体" w:cs="宋体"/>
                <w:sz w:val="24"/>
              </w:rPr>
              <w:t xml:space="preserve">需提供满足本项目的售后服务方案</w:t>
            </w:r>
            <w:r>
              <w:rPr>
                <w:rFonts w:hint="eastAsia" w:ascii="宋体" w:hAnsi="宋体" w:cs="宋体"/>
                <w:sz w:val="24"/>
                <w:lang w:eastAsia="zh-CN"/>
              </w:rPr>
              <w:t xml:space="preserve">，</w:t>
            </w:r>
            <w:r>
              <w:rPr>
                <w:rFonts w:hint="eastAsia" w:ascii="宋体" w:hAnsi="宋体" w:cs="宋体"/>
                <w:sz w:val="24"/>
                <w:lang w:val="en-US" w:eastAsia="zh-CN"/>
              </w:rPr>
              <w:t xml:space="preserve">内容需包括：</w:t>
            </w:r>
            <w:r>
              <w:rPr>
                <w:rFonts w:hint="eastAsia" w:ascii="宋体" w:hAnsi="宋体" w:cs="宋体"/>
                <w:sz w:val="24"/>
              </w:rPr>
              <w:t xml:space="preserve">①质保服务</w:t>
            </w:r>
            <w:r>
              <w:rPr>
                <w:rFonts w:hint="eastAsia" w:ascii="宋体" w:hAnsi="宋体" w:cs="宋体"/>
                <w:sz w:val="24"/>
                <w:lang w:eastAsia="zh-CN"/>
              </w:rPr>
              <w:t xml:space="preserve">、</w:t>
            </w:r>
            <w:r>
              <w:rPr>
                <w:rFonts w:hint="eastAsia" w:ascii="宋体" w:hAnsi="宋体" w:cs="宋体"/>
                <w:sz w:val="24"/>
              </w:rPr>
              <w:t xml:space="preserve">②缺陷责任期人员服务</w:t>
            </w:r>
            <w:r>
              <w:rPr>
                <w:rFonts w:hint="eastAsia" w:ascii="宋体" w:hAnsi="宋体" w:cs="宋体"/>
                <w:sz w:val="24"/>
                <w:lang w:eastAsia="zh-CN"/>
              </w:rPr>
              <w:t xml:space="preserve">、</w:t>
            </w:r>
            <w:r>
              <w:rPr>
                <w:rFonts w:hint="eastAsia" w:ascii="宋体" w:hAnsi="宋体" w:cs="宋体"/>
                <w:sz w:val="24"/>
              </w:rPr>
              <w:t xml:space="preserve">③系统升级服务</w:t>
            </w:r>
            <w:r>
              <w:rPr>
                <w:rFonts w:hint="eastAsia" w:ascii="宋体" w:hAnsi="宋体" w:cs="宋体"/>
                <w:sz w:val="24"/>
                <w:lang w:eastAsia="zh-CN"/>
              </w:rPr>
              <w:t xml:space="preserve">。</w:t>
            </w:r>
            <w:r>
              <w:rPr>
                <w:rFonts w:hint="eastAsia" w:ascii="宋体" w:hAnsi="宋体" w:cs="宋体"/>
                <w:sz w:val="24"/>
                <w:lang w:val="en-US" w:eastAsia="zh-CN"/>
              </w:rPr>
              <w:t xml:space="preserve">满分6分</w:t>
            </w:r>
            <w:r/>
          </w:p>
          <w:p>
            <w:pPr>
              <w:numPr>
                <w:ilvl w:val="0"/>
                <w:numId w:val="14"/>
              </w:numPr>
              <w:jc w:val="left"/>
              <w:spacing w:before="120" w:after="120" w:line="400" w:lineRule="atLeas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每个点方案优于招标文件要求的得2分。</w:t>
            </w:r>
            <w:r/>
          </w:p>
          <w:p>
            <w:pPr>
              <w:numPr>
                <w:ilvl w:val="0"/>
                <w:numId w:val="14"/>
              </w:numPr>
              <w:jc w:val="left"/>
              <w:spacing w:before="120" w:after="120" w:line="400" w:lineRule="atLeas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每个点方案符合招标文件要求</w:t>
            </w:r>
            <w:r>
              <w:rPr>
                <w:rFonts w:hint="eastAsia" w:ascii="宋体" w:hAnsi="宋体" w:eastAsia="宋体" w:cs="宋体"/>
                <w:color w:val="auto"/>
                <w:sz w:val="24"/>
              </w:rPr>
              <w:t xml:space="preserve">的得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rPr>
                <w:rFonts w:hint="eastAsia" w:ascii="宋体" w:hAnsi="宋体" w:cs="宋体"/>
                <w:color w:val="auto"/>
                <w:sz w:val="24"/>
                <w:lang w:val="en-US" w:eastAsia="zh-CN"/>
              </w:rPr>
              <w:t xml:space="preserve">。</w:t>
            </w:r>
            <w:r/>
          </w:p>
          <w:p>
            <w:pPr>
              <w:numPr>
                <w:ilvl w:val="0"/>
                <w:numId w:val="14"/>
              </w:numPr>
              <w:jc w:val="left"/>
              <w:spacing w:before="120" w:after="120" w:line="400" w:lineRule="atLeas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每个点方案不符合招标文件要求或未提供</w:t>
            </w:r>
            <w:r>
              <w:rPr>
                <w:rFonts w:hint="eastAsia" w:ascii="宋体" w:hAnsi="宋体" w:eastAsia="宋体" w:cs="宋体"/>
                <w:color w:val="auto"/>
                <w:sz w:val="24"/>
              </w:rPr>
              <w:t xml:space="preserve">的</w:t>
            </w:r>
            <w:r>
              <w:rPr>
                <w:rFonts w:hint="eastAsia" w:ascii="宋体" w:hAnsi="宋体" w:cs="宋体"/>
                <w:color w:val="auto"/>
                <w:sz w:val="24"/>
                <w:lang w:val="en-US" w:eastAsia="zh-CN"/>
              </w:rPr>
              <w:t xml:space="preserve">不得分</w:t>
            </w:r>
            <w:r>
              <w:rPr>
                <w:rFonts w:hint="eastAsia" w:ascii="宋体" w:hAnsi="宋体" w:cs="宋体"/>
                <w:color w:val="auto"/>
                <w:sz w:val="24"/>
                <w:lang w:eastAsia="zh-CN"/>
              </w:rPr>
              <w:t xml:space="preserve">。</w:t>
            </w:r>
            <w:r/>
          </w:p>
        </w:tc>
      </w:tr>
      <w:tr>
        <w:trPr>
          <w:trHeight w:val="841"/>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系统演示</w:t>
            </w:r>
            <w:r>
              <w:rPr>
                <w:rFonts w:hint="eastAsia" w:ascii="宋体" w:hAnsi="宋体" w:eastAsia="宋体" w:cs="宋体"/>
                <w:sz w:val="24"/>
              </w:rPr>
              <w:br/>
            </w:r>
            <w:r>
              <w:rPr>
                <w:rFonts w:hint="eastAsia" w:ascii="宋体" w:hAnsi="宋体" w:eastAsia="宋体" w:cs="宋体"/>
                <w:sz w:val="24"/>
              </w:rPr>
              <w:t xml:space="preserve">（16分）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20分钟。每演示1个功能得2分，满分16分。</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（1）许可证即将到期：展示即将到期的取水许可证名录，用户可以通过行政区划、水源类型、取水类型、取水权人名称等条件进行筛选。</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（2）用水计划审批下达：区县水行政主管部门审批所辖的取用水户用水计划申请，审批完成后用水计划流转到取用水户政务服务系统下达给取用水户，系统可统计汇总审批情况。</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rPr>
                <w:rFonts w:hint="eastAsia" w:ascii="宋体" w:hAnsi="宋体" w:cs="宋体"/>
                <w:sz w:val="24"/>
                <w:lang w:val="en-US" w:eastAsia="zh-CN"/>
              </w:rPr>
              <w:t xml:space="preserve">3</w:t>
            </w:r>
            <w:r>
              <w:rPr>
                <w:rFonts w:hint="eastAsia" w:ascii="宋体" w:hAnsi="宋体" w:eastAsia="宋体" w:cs="宋体"/>
                <w:sz w:val="24"/>
              </w:rPr>
              <w:t xml:space="preserve">）地图分布展示：以地图形式展示地下水水位监测站点的分布情况，并显示每个站点的最新监测埋深。</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eastAsia="宋体" w:cs="宋体"/>
                <w:sz w:val="24"/>
              </w:rPr>
              <w:t xml:space="preserve">最大、最小和平均埋深计算：根据需要计算的时间范围（年度/月度），对水位站点监测数据中存在远超平均值的异常跳变数据进行筛选过滤，然后计算本时间段范围内的最大埋深值、最大埋深发生日期、最小埋深值、最小埋深发生日期和平均埋深。</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eastAsia="宋体" w:cs="宋体"/>
                <w:sz w:val="24"/>
              </w:rPr>
              <w:t xml:space="preserve">站点监测数据查看：用户可以根据行政区、超采区、非超采区、地地下水管控工作单元等条件查询对应的地下水监测站点，查看站点的实时和历史监测数据，系统根据用户选定的时间范围展示地下水埋深变化趋势等信息。</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6</w:t>
            </w:r>
            <w:r>
              <w:rPr>
                <w:rFonts w:hint="eastAsia" w:ascii="宋体" w:hAnsi="宋体" w:cs="宋体"/>
                <w:sz w:val="24"/>
                <w:lang w:eastAsia="zh-CN"/>
              </w:rPr>
              <w:t xml:space="preserve">）</w:t>
            </w:r>
            <w:r>
              <w:rPr>
                <w:rFonts w:hint="eastAsia" w:ascii="宋体" w:hAnsi="宋体" w:eastAsia="宋体" w:cs="宋体"/>
                <w:sz w:val="24"/>
              </w:rPr>
              <w:t xml:space="preserve">地下水埋深超指标预警：系统结合站点的地下水埋深监测数据和水位控制指标进行分析对比，将监测埋深超水位控制指标的站点进行高亮提示预警。</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rPr>
                <w:rFonts w:hint="eastAsia" w:ascii="宋体" w:hAnsi="宋体" w:cs="宋体"/>
                <w:sz w:val="24"/>
                <w:lang w:val="en-US" w:eastAsia="zh-CN"/>
              </w:rPr>
              <w:t xml:space="preserve">7</w:t>
            </w:r>
            <w:r>
              <w:rPr>
                <w:rFonts w:hint="eastAsia" w:ascii="宋体" w:hAnsi="宋体" w:eastAsia="宋体" w:cs="宋体"/>
                <w:sz w:val="24"/>
              </w:rPr>
              <w:t xml:space="preserve">）统一身份认证</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调用政务服务系统提供的统一身份认证服务，企业法人用户可凭借统一社会信用代码，经过政务服务系统的授权认证，单点登录到本次建设的取用水户政务服务系统。</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（8）用水计划（自备水、公共供水、双水源）</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用水计划申请：取用水户政务服务系统向用户提供多种来源的取用水数据作为填报用水计划的参考依据，包括自备水在线监控水量数据、取用水直报水量数据、取水许可数据、公共供水取用水信息（与供水公司共享数据，若不能实现，需提供水量批量导入功能）等。</w:t>
            </w:r>
            <w:r/>
          </w:p>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以上内容每个演示点，基于真实系统演示系数为1；采用系统原型（DEMO）演示系数为0.5；采用PPT等方式演示系数为0.25。</w:t>
            </w:r>
            <w:r/>
          </w:p>
        </w:tc>
      </w:tr>
      <w:tr>
        <w:trPr>
          <w:trHeight w:val="388"/>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企业能力</w:t>
            </w:r>
            <w:r>
              <w:rPr>
                <w:rFonts w:hint="eastAsia" w:ascii="宋体" w:hAnsi="宋体" w:eastAsia="宋体" w:cs="宋体"/>
                <w:sz w:val="24"/>
              </w:rPr>
              <w:br/>
            </w:r>
            <w:r>
              <w:rPr>
                <w:rFonts w:hint="eastAsia" w:ascii="宋体" w:hAnsi="宋体" w:eastAsia="宋体" w:cs="宋体"/>
                <w:sz w:val="24"/>
              </w:rPr>
              <w:t xml:space="preserve">（</w:t>
            </w:r>
            <w:r>
              <w:rPr>
                <w:rFonts w:hint="eastAsia" w:ascii="宋体" w:hAnsi="宋体" w:cs="宋体"/>
                <w:sz w:val="24"/>
                <w:lang w:val="en-US" w:eastAsia="zh-CN"/>
              </w:rPr>
              <w:t xml:space="preserve">8</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宋体" w:hAnsi="宋体" w:cs="宋体"/>
                <w:sz w:val="24"/>
                <w:lang w:eastAsia="zh-CN"/>
              </w:rPr>
              <w:t xml:space="preserve">投标人</w:t>
            </w:r>
            <w:r>
              <w:rPr>
                <w:rFonts w:hint="eastAsia" w:ascii="宋体" w:hAnsi="宋体" w:eastAsia="宋体" w:cs="宋体"/>
                <w:sz w:val="24"/>
              </w:rPr>
              <w:t xml:space="preserve">具有有效的信息系统建设和服务能力证书，CS5得3分，CS4得</w:t>
            </w:r>
            <w:r>
              <w:rPr>
                <w:rFonts w:hint="eastAsia" w:ascii="宋体" w:hAnsi="宋体" w:cs="宋体"/>
                <w:sz w:val="24"/>
                <w:lang w:val="en-US" w:eastAsia="zh-CN"/>
              </w:rPr>
              <w:t xml:space="preserve">2</w:t>
            </w:r>
            <w:r>
              <w:rPr>
                <w:rFonts w:hint="eastAsia" w:ascii="宋体" w:hAnsi="宋体" w:eastAsia="宋体" w:cs="宋体"/>
                <w:sz w:val="24"/>
              </w:rPr>
              <w:t xml:space="preserve">分，</w:t>
            </w:r>
            <w:r>
              <w:rPr>
                <w:rFonts w:hint="eastAsia" w:ascii="宋体" w:hAnsi="宋体" w:cs="宋体"/>
                <w:sz w:val="24"/>
                <w:lang w:val="en-US" w:eastAsia="zh-CN"/>
              </w:rPr>
              <w:t xml:space="preserve">CS3</w:t>
            </w:r>
            <w:r>
              <w:rPr>
                <w:rFonts w:hint="eastAsia" w:ascii="宋体" w:hAnsi="宋体" w:eastAsia="宋体" w:cs="宋体"/>
                <w:sz w:val="24"/>
              </w:rPr>
              <w:t xml:space="preserve">及以下</w:t>
            </w:r>
            <w:r>
              <w:rPr>
                <w:rFonts w:hint="eastAsia" w:ascii="宋体" w:hAnsi="宋体" w:cs="宋体"/>
                <w:sz w:val="24"/>
                <w:lang w:val="en-US" w:eastAsia="zh-CN"/>
              </w:rPr>
              <w:t xml:space="preserve">得1分，不</w:t>
            </w:r>
            <w:r>
              <w:rPr>
                <w:rFonts w:hint="eastAsia" w:ascii="宋体" w:hAnsi="宋体" w:eastAsia="宋体" w:cs="宋体"/>
                <w:sz w:val="24"/>
              </w:rPr>
              <w:t xml:space="preserve">具备不得分</w:t>
            </w:r>
            <w:r>
              <w:rPr>
                <w:rFonts w:hint="eastAsia" w:ascii="宋体" w:hAnsi="宋体" w:cs="宋体"/>
                <w:sz w:val="24"/>
                <w:lang w:eastAsia="zh-CN"/>
              </w:rPr>
              <w:t xml:space="preserve">，</w:t>
            </w:r>
            <w:r>
              <w:rPr>
                <w:rFonts w:hint="eastAsia" w:ascii="宋体" w:hAnsi="宋体" w:eastAsia="宋体" w:cs="宋体"/>
                <w:sz w:val="24"/>
              </w:rPr>
              <w:t xml:space="preserve">满分</w:t>
            </w:r>
            <w:r>
              <w:rPr>
                <w:rFonts w:hint="eastAsia" w:ascii="宋体" w:hAnsi="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rPr>
              <w:t xml:space="preserve">2、</w:t>
            </w:r>
            <w:r>
              <w:rPr>
                <w:rFonts w:hint="eastAsia" w:ascii="宋体" w:hAnsi="宋体" w:cs="宋体"/>
                <w:sz w:val="24"/>
                <w:lang w:eastAsia="zh-CN"/>
              </w:rPr>
              <w:t xml:space="preserve">投标人</w:t>
            </w:r>
            <w:r>
              <w:rPr>
                <w:rFonts w:hint="eastAsia" w:ascii="宋体" w:hAnsi="宋体" w:eastAsia="宋体" w:cs="宋体"/>
                <w:sz w:val="24"/>
              </w:rPr>
              <w:t xml:space="preserve">具有</w:t>
            </w:r>
            <w:r>
              <w:rPr>
                <w:rFonts w:hint="eastAsia" w:ascii="宋体" w:hAnsi="宋体" w:eastAsia="宋体" w:cs="宋体"/>
                <w:sz w:val="24"/>
                <w:lang w:val="en-US" w:eastAsia="zh-CN"/>
              </w:rPr>
              <w:t xml:space="preserve">ITSS信息技术服务运行维护标准符合性成熟度认证证书，一级得</w:t>
            </w:r>
            <w:r>
              <w:rPr>
                <w:rFonts w:hint="eastAsia" w:ascii="宋体" w:hAnsi="宋体" w:cs="宋体"/>
                <w:sz w:val="24"/>
                <w:lang w:val="en-US" w:eastAsia="zh-CN"/>
              </w:rPr>
              <w:t xml:space="preserve">3</w:t>
            </w:r>
            <w:r>
              <w:rPr>
                <w:rFonts w:hint="eastAsia" w:ascii="宋体" w:hAnsi="宋体" w:eastAsia="宋体" w:cs="宋体"/>
                <w:sz w:val="24"/>
                <w:lang w:val="en-US" w:eastAsia="zh-CN"/>
              </w:rPr>
              <w:t xml:space="preserve">分，二级得</w:t>
            </w: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分，</w:t>
            </w:r>
            <w:r>
              <w:rPr>
                <w:rFonts w:hint="eastAsia" w:ascii="宋体" w:hAnsi="宋体" w:cs="宋体"/>
                <w:sz w:val="24"/>
                <w:lang w:val="en-US" w:eastAsia="zh-CN"/>
              </w:rPr>
              <w:t xml:space="preserve">二级</w:t>
            </w:r>
            <w:r>
              <w:rPr>
                <w:rFonts w:hint="eastAsia" w:ascii="宋体" w:hAnsi="宋体" w:eastAsia="宋体" w:cs="宋体"/>
                <w:sz w:val="24"/>
                <w:lang w:val="en-US" w:eastAsia="zh-CN"/>
              </w:rPr>
              <w:t xml:space="preserve">以下的</w:t>
            </w:r>
            <w:r>
              <w:rPr>
                <w:rFonts w:hint="eastAsia" w:ascii="宋体" w:hAnsi="宋体" w:cs="宋体"/>
                <w:sz w:val="24"/>
                <w:lang w:val="en-US" w:eastAsia="zh-CN"/>
              </w:rPr>
              <w:t xml:space="preserve">得1分，</w:t>
            </w:r>
            <w:r>
              <w:rPr>
                <w:rFonts w:hint="eastAsia" w:ascii="宋体" w:hAnsi="宋体" w:eastAsia="宋体" w:cs="宋体"/>
                <w:sz w:val="24"/>
                <w:lang w:val="en-US" w:eastAsia="zh-CN"/>
              </w:rPr>
              <w:t xml:space="preserve">不具备不得分。</w:t>
            </w:r>
            <w:r>
              <w:rPr>
                <w:rFonts w:hint="eastAsia" w:ascii="宋体" w:hAnsi="宋体" w:eastAsia="宋体" w:cs="宋体"/>
                <w:sz w:val="24"/>
              </w:rPr>
              <w:t xml:space="preserve">满分</w:t>
            </w:r>
            <w:r>
              <w:rPr>
                <w:rFonts w:hint="eastAsia" w:ascii="宋体" w:hAnsi="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br/>
            </w:r>
            <w:r>
              <w:rPr>
                <w:rFonts w:hint="eastAsia" w:ascii="宋体" w:hAnsi="宋体" w:eastAsia="宋体" w:cs="宋体"/>
                <w:sz w:val="24"/>
              </w:rPr>
              <w:t xml:space="preserve">3、</w:t>
            </w:r>
            <w:r>
              <w:rPr>
                <w:rFonts w:hint="eastAsia" w:ascii="宋体" w:hAnsi="宋体" w:cs="宋体"/>
                <w:sz w:val="24"/>
                <w:lang w:eastAsia="zh-CN"/>
              </w:rPr>
              <w:t xml:space="preserve">投标人</w:t>
            </w:r>
            <w:r>
              <w:rPr>
                <w:rFonts w:hint="eastAsia" w:ascii="宋体" w:hAnsi="宋体" w:eastAsia="宋体" w:cs="宋体"/>
                <w:sz w:val="24"/>
              </w:rPr>
              <w:t xml:space="preserve">具有CNIT-SEC信息安全服务资质(安全工程）一级及以上的得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分，没有不得分。满分2分</w:t>
            </w:r>
            <w:r>
              <w:rPr>
                <w:rFonts w:hint="eastAsia" w:ascii="宋体" w:hAnsi="宋体" w:eastAsia="宋体" w:cs="宋体"/>
                <w:sz w:val="24"/>
                <w:lang w:eastAsia="zh-CN"/>
              </w:rPr>
              <w:t xml:space="preserve">。</w:t>
            </w:r>
            <w:r>
              <w:rPr>
                <w:rFonts w:hint="eastAsia" w:ascii="宋体" w:hAnsi="宋体" w:eastAsia="宋体" w:cs="宋体"/>
                <w:sz w:val="24"/>
              </w:rPr>
              <w:br/>
            </w:r>
            <w:r>
              <w:rPr>
                <w:rFonts w:hint="default" w:ascii="宋体" w:hAnsi="宋体" w:eastAsia="宋体" w:cs="宋体"/>
                <w:sz w:val="24"/>
              </w:rPr>
              <w:t xml:space="preserve">（以上证书需提供有效证书扫描件系统上传，未提供不得分）</w:t>
            </w:r>
            <w:r/>
          </w:p>
        </w:tc>
      </w:tr>
      <w:tr>
        <w:trPr>
          <w:trHeight w:val="171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团队能力</w:t>
            </w:r>
            <w:r>
              <w:rPr>
                <w:rFonts w:hint="eastAsia" w:ascii="宋体" w:hAnsi="宋体" w:eastAsia="宋体" w:cs="宋体"/>
                <w:sz w:val="24"/>
              </w:rPr>
              <w:br/>
            </w:r>
            <w:r>
              <w:rPr>
                <w:rFonts w:hint="eastAsia" w:ascii="宋体" w:hAnsi="宋体" w:eastAsia="宋体" w:cs="宋体"/>
                <w:sz w:val="24"/>
              </w:rPr>
              <w:t xml:space="preserve">（1</w:t>
            </w:r>
            <w:r>
              <w:rPr>
                <w:rFonts w:hint="eastAsia" w:ascii="宋体" w:hAnsi="宋体" w:cs="宋体"/>
                <w:sz w:val="24"/>
                <w:lang w:val="en-US" w:eastAsia="zh-CN"/>
              </w:rPr>
              <w:t xml:space="preserve">0</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1、项目经理具有系统规划与管理师（软考）证书、CISAW信息安全保障人员（应急服务）证书、信息系统项目管理师证书的，每提供一个证书得2分，满分6分；</w:t>
            </w:r>
            <w:r>
              <w:rPr>
                <w:rFonts w:hint="eastAsia" w:ascii="宋体" w:hAnsi="宋体" w:eastAsia="宋体" w:cs="宋体"/>
                <w:sz w:val="24"/>
              </w:rPr>
              <w:br/>
            </w:r>
            <w:r>
              <w:rPr>
                <w:rFonts w:hint="eastAsia" w:ascii="宋体" w:hAnsi="宋体" w:eastAsia="宋体" w:cs="宋体"/>
                <w:sz w:val="24"/>
              </w:rPr>
              <w:t xml:space="preserve">2、团队成员（除项目经理外）具有数据库系统工程师（软考）证书、系统架构设计师（软考）证书、软件设计师（软考）证书、信息安全专业人员（CISP）证书的，每提供一个证书得1分，若1人多证，不重复计分，满分</w:t>
            </w:r>
            <w:r>
              <w:rPr>
                <w:rFonts w:hint="eastAsia" w:ascii="宋体" w:hAnsi="宋体" w:cs="宋体"/>
                <w:sz w:val="24"/>
                <w:lang w:val="en-US" w:eastAsia="zh-CN"/>
              </w:rPr>
              <w:t xml:space="preserve">4</w:t>
            </w:r>
            <w:r>
              <w:rPr>
                <w:rFonts w:hint="eastAsia" w:ascii="宋体" w:hAnsi="宋体" w:eastAsia="宋体" w:cs="宋体"/>
                <w:sz w:val="24"/>
              </w:rPr>
              <w:t xml:space="preserve">分；</w:t>
            </w:r>
            <w:r>
              <w:rPr>
                <w:rFonts w:hint="default" w:ascii="宋体" w:hAnsi="宋体" w:eastAsia="宋体" w:cs="宋体"/>
                <w:sz w:val="24"/>
              </w:rPr>
              <w:t xml:space="preserve">（以上须提供证书及投标人近3个月内任意1个月为其缴纳社保的证明，原件扫描上传）。</w:t>
            </w:r>
            <w:r/>
          </w:p>
        </w:tc>
      </w:tr>
      <w:tr>
        <w:trPr>
          <w:trHeight w:val="5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业绩</w:t>
            </w:r>
            <w:r/>
          </w:p>
          <w:p>
            <w:pPr>
              <w:jc w:val="center"/>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rPr>
                <w:rFonts w:hint="eastAsia" w:ascii="宋体" w:hAnsi="宋体" w:cs="宋体"/>
                <w:sz w:val="24"/>
                <w:lang w:val="en-US" w:eastAsia="zh-CN"/>
              </w:rPr>
              <w:t xml:space="preserve">9</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4294" w:type="pct"/>
            <w:vAlign w:val="center"/>
            <w:textDirection w:val="lrTb"/>
            <w:noWrap w:val="false"/>
          </w:tcPr>
          <w:p>
            <w:pPr>
              <w:jc w:val="left"/>
              <w:spacing w:before="120" w:after="120" w:line="40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投标人</w:t>
            </w:r>
            <w:r>
              <w:rPr>
                <w:rFonts w:hint="eastAsia" w:ascii="宋体" w:hAnsi="宋体" w:eastAsia="宋体" w:cs="宋体"/>
                <w:sz w:val="24"/>
              </w:rPr>
              <w:t xml:space="preserve">202</w:t>
            </w:r>
            <w:r>
              <w:rPr>
                <w:rFonts w:hint="eastAsia" w:ascii="宋体" w:hAnsi="宋体" w:cs="宋体"/>
                <w:sz w:val="24"/>
                <w:lang w:val="en-US" w:eastAsia="zh-CN"/>
              </w:rPr>
              <w:t xml:space="preserve">3</w:t>
            </w:r>
            <w:r>
              <w:rPr>
                <w:rFonts w:hint="eastAsia" w:ascii="宋体" w:hAnsi="宋体" w:eastAsia="宋体" w:cs="宋体"/>
                <w:sz w:val="24"/>
              </w:rPr>
              <w:t xml:space="preserve">年1月1日以来与本项目类似项目业绩，每提供一个得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分，满分</w:t>
            </w:r>
            <w:r>
              <w:rPr>
                <w:rFonts w:hint="eastAsia" w:ascii="宋体" w:hAnsi="宋体" w:cs="宋体"/>
                <w:sz w:val="24"/>
                <w:lang w:val="en-US" w:eastAsia="zh-CN"/>
              </w:rPr>
              <w:t xml:space="preserve">9</w:t>
            </w:r>
            <w:r>
              <w:rPr>
                <w:rFonts w:hint="eastAsia" w:ascii="宋体" w:hAnsi="宋体" w:eastAsia="宋体" w:cs="宋体"/>
                <w:sz w:val="24"/>
              </w:rPr>
              <w:t xml:space="preserve">分。</w:t>
            </w:r>
            <w:r>
              <w:rPr>
                <w:rFonts w:hint="default" w:ascii="宋体" w:hAnsi="宋体" w:eastAsia="宋体" w:cs="宋体"/>
                <w:sz w:val="24"/>
              </w:rPr>
              <w:t xml:space="preserve">（须提供合同原件扫描上传）</w:t>
            </w:r>
            <w:r/>
          </w:p>
        </w:tc>
      </w:tr>
    </w:tbl>
    <w:p>
      <w:pPr>
        <w:rPr>
          <w:rFonts w:ascii="宋体" w:hAnsi="宋体" w:eastAsia="宋体" w:cs="宋体"/>
          <w:color w:val="000000"/>
          <w:sz w:val="24"/>
          <w:szCs w:val="24"/>
          <w14:ligatures w14:val="none"/>
        </w:rP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rPr>
          <w:rStyle w:val="980"/>
          <w:rFonts w:ascii="黑体" w:hAnsi="黑体" w:eastAsia="黑体" w:cs="黑体"/>
        </w:rPr>
      </w:pPr>
      <w:r>
        <w:rPr>
          <w:rStyle w:val="980"/>
          <w:rFonts w:ascii="黑体" w:hAnsi="黑体" w:eastAsia="黑体" w:cs="黑体"/>
        </w:rPr>
        <w:br w:type="page" w:clear="all"/>
      </w:r>
      <w:r/>
    </w:p>
    <w:p>
      <w:pPr>
        <w:pStyle w:val="944"/>
        <w:jc w:val="center"/>
        <w:rPr>
          <w:rFonts w:ascii="黑体" w:hAnsi="黑体" w:eastAsia="黑体" w:cs="黑体"/>
          <w:color w:val="000000"/>
          <w:sz w:val="44"/>
          <w:szCs w:val="44"/>
          <w:highlight w:val="none"/>
        </w:rPr>
      </w:pPr>
      <w:r>
        <w:rPr>
          <w:rStyle w:val="980"/>
          <w:rFonts w:ascii="黑体" w:hAnsi="黑体" w:eastAsia="黑体" w:cs="黑体"/>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w:t>
      </w:r>
      <w:r>
        <w:rPr>
          <w:rFonts w:hint="eastAsia" w:ascii="宋体" w:hAnsi="宋体" w:cs="宋体"/>
          <w:color w:val="ff0000"/>
          <w:sz w:val="24"/>
          <w:lang w:eastAsia="zh-CN"/>
        </w:rPr>
        <w:t xml:space="preserve">投标人</w:t>
      </w:r>
      <w:r>
        <w:rPr>
          <w:rFonts w:ascii="宋体" w:hAnsi="宋体" w:eastAsia="宋体" w:cs="宋体"/>
          <w:color w:val="ff0000"/>
          <w:sz w:val="24"/>
        </w:rPr>
        <w:t xml:space="preserve">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9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9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9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9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w:t>
      </w:r>
      <w:r>
        <w:rPr>
          <w:rFonts w:hint="eastAsia" w:ascii="宋体" w:hAnsi="宋体" w:cs="宋体"/>
          <w:b/>
          <w:color w:val="000000"/>
          <w:sz w:val="24"/>
          <w:lang w:eastAsia="zh-CN"/>
        </w:rPr>
        <w:t xml:space="preserve">投标人</w:t>
      </w:r>
      <w:r>
        <w:rPr>
          <w:rFonts w:ascii="宋体" w:hAnsi="宋体" w:eastAsia="宋体" w:cs="宋体"/>
          <w:b/>
          <w:color w:val="000000"/>
          <w:sz w:val="24"/>
        </w:rPr>
        <w:t xml:space="preserve">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包一</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ff0000"/>
          <w:sz w:val="24"/>
          <w:u w:val="single"/>
        </w:rPr>
        <w:t xml:space="preserve">（软件和信息技术服务业）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包二</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ff0000"/>
          <w:sz w:val="24"/>
          <w:u w:val="single"/>
        </w:rPr>
        <w:t xml:space="preserve">（软件和信息技术服务业）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如不提供此声明函，则不能通过资格审查；非专门面向中小微型企业采购的项目，</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w:t>
      </w:r>
      <w:r>
        <w:rPr>
          <w:rFonts w:hint="eastAsia" w:ascii="宋体" w:hAnsi="宋体" w:cs="宋体"/>
          <w:color w:val="ff0000"/>
          <w:sz w:val="24"/>
          <w:lang w:eastAsia="zh-CN"/>
        </w:rPr>
        <w:t xml:space="preserve">投标人</w:t>
      </w:r>
      <w:r>
        <w:rPr>
          <w:rFonts w:ascii="宋体" w:hAnsi="宋体" w:eastAsia="宋体" w:cs="宋体"/>
          <w:color w:val="ff0000"/>
          <w:sz w:val="24"/>
        </w:rPr>
        <w:t xml:space="preserve">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投标人</w:t>
      </w:r>
      <w:r>
        <w:rPr>
          <w:rFonts w:ascii="宋体" w:hAnsi="宋体" w:eastAsia="宋体" w:cs="宋体"/>
          <w:color w:val="000000"/>
          <w:sz w:val="24"/>
          <w:u w:val="single"/>
        </w:rPr>
        <w:t xml:space="preserve">1），（</w:t>
      </w:r>
      <w:r>
        <w:rPr>
          <w:rFonts w:hint="eastAsia" w:ascii="宋体" w:hAnsi="宋体" w:cs="宋体"/>
          <w:color w:val="000000"/>
          <w:sz w:val="24"/>
          <w:u w:val="single"/>
          <w:lang w:eastAsia="zh-CN"/>
        </w:rPr>
        <w:t xml:space="preserve">投标人</w:t>
      </w:r>
      <w:r>
        <w:rPr>
          <w:rFonts w:ascii="宋体" w:hAnsi="宋体" w:eastAsia="宋体" w:cs="宋体"/>
          <w:color w:val="000000"/>
          <w:sz w:val="24"/>
          <w:u w:val="single"/>
        </w:rPr>
        <w:t xml:space="preserve">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投标人</w:t>
      </w:r>
      <w:r>
        <w:rPr>
          <w:rFonts w:ascii="宋体" w:hAnsi="宋体" w:eastAsia="宋体" w:cs="宋体"/>
          <w:color w:val="000000"/>
          <w:sz w:val="24"/>
          <w:u w:val="single"/>
        </w:rPr>
        <w:t xml:space="preserve">*）</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单位1全称）实施项目中（工作内容）部分工作，并承担相应的责任。（</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单位2全称）实施项目中（工作内容）部分工作，并承担相应的责任……。（注：联合体中各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若委托代理人进行质疑的，质疑函应按要求列明“授权代表”的有关内容，并在附件中提交由质疑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为自然人的，质疑函应由本人签字；质疑</w:t>
      </w:r>
      <w:r>
        <w:rPr>
          <w:rFonts w:hint="eastAsia" w:ascii="宋体" w:hAnsi="宋体" w:cs="宋体"/>
          <w:color w:val="000000"/>
          <w:sz w:val="24"/>
          <w:lang w:eastAsia="zh-CN"/>
        </w:rPr>
        <w:t xml:space="preserve">投标人</w:t>
      </w:r>
      <w:r>
        <w:rPr>
          <w:rFonts w:ascii="宋体" w:hAnsi="宋体" w:eastAsia="宋体" w:cs="宋体"/>
          <w:color w:val="000000"/>
          <w:sz w:val="24"/>
        </w:rPr>
        <w:t xml:space="preserve">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0"/>
      <w:isLgl w:val="false"/>
      <w:suff w:val="nothing"/>
      <w:lvlText w:val=""/>
      <w:lvlJc w:val="left"/>
      <w:pPr>
        <w:ind w:left="0" w:firstLine="0"/>
      </w:pPr>
      <w:rPr>
        <w:rFonts w:hint="eastAsia"/>
      </w:rPr>
    </w:lvl>
    <w:lvl w:ilvl="6">
      <w:start w:val="1"/>
      <w:numFmt w:val="decimal"/>
      <w:pStyle w:val="951"/>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3"/>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none"/>
      <w:isLgl w:val="false"/>
      <w:suff w:val="nothing"/>
      <w:lvlText w:val="%1"/>
      <w:lvlJc w:val="left"/>
      <w:pPr>
        <w:ind w:left="0" w:firstLine="0"/>
      </w:pPr>
      <w:rPr>
        <w:rFonts w:hint="eastAsia"/>
      </w:rPr>
    </w:lvl>
    <w:lvl w:ilvl="1">
      <w:start w:val="1"/>
      <w:numFmt w:val="decimal"/>
      <w:isLgl w:val="false"/>
      <w:suff w:val="nothing"/>
      <w:lvlText w:val="%1%2　"/>
      <w:lvlJc w:val="left"/>
      <w:pPr>
        <w:ind w:left="0" w:firstLine="0"/>
      </w:pPr>
      <w:rPr>
        <w:rFonts w:hint="eastAsia" w:ascii="黑体" w:eastAsia="黑体"/>
        <w:b w:val="0"/>
        <w:i w:val="0"/>
        <w:sz w:val="21"/>
      </w:rPr>
    </w:lvl>
    <w:lvl w:ilvl="2">
      <w:start w:val="1"/>
      <w:numFmt w:val="decimal"/>
      <w:isLgl w:val="false"/>
      <w:suff w:val="nothing"/>
      <w:lvlText w:val="%1%2.%3　"/>
      <w:lvlJc w:val="left"/>
      <w:pPr>
        <w:ind w:left="850"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14:ligatures w14:val="none"/>
      </w:rPr>
    </w:lvl>
    <w:lvl w:ilvl="3">
      <w:start w:val="1"/>
      <w:numFmt w:val="decimal"/>
      <w:pStyle w:val="1062"/>
      <w:isLgl w:val="false"/>
      <w:suff w:val="nothing"/>
      <w:lvlText w:val="%1%2.%3.%4　"/>
      <w:lvlJc w:val="left"/>
      <w:pPr>
        <w:ind w:left="1418" w:firstLine="0"/>
      </w:pPr>
      <w:rPr>
        <w:rFonts w:hint="eastAsia" w:ascii="黑体" w:eastAsia="黑体"/>
        <w:b w:val="0"/>
        <w:i w:val="0"/>
        <w:sz w:val="21"/>
      </w:rPr>
    </w:lvl>
    <w:lvl w:ilvl="4">
      <w:start w:val="1"/>
      <w:numFmt w:val="decimal"/>
      <w:isLgl w:val="false"/>
      <w:suff w:val="nothing"/>
      <w:lvlText w:val="%1%2.%3.%4.%5　"/>
      <w:lvlJc w:val="left"/>
      <w:pPr>
        <w:ind w:left="0" w:firstLine="0"/>
      </w:pPr>
      <w:rPr>
        <w:rFonts w:hint="eastAsia" w:ascii="黑体" w:eastAsia="黑体"/>
        <w:b w:val="0"/>
        <w:i w:val="0"/>
        <w:sz w:val="21"/>
      </w:rPr>
    </w:lvl>
    <w:lvl w:ilvl="5">
      <w:start w:val="1"/>
      <w:numFmt w:val="decimal"/>
      <w:isLgl w:val="false"/>
      <w:suff w:val="nothing"/>
      <w:lvlText w:val="%1%2.%3.%4.%5.%6　"/>
      <w:lvlJc w:val="left"/>
      <w:pPr>
        <w:ind w:left="0" w:firstLine="0"/>
      </w:pPr>
      <w:rPr>
        <w:rFonts w:hint="eastAsia" w:ascii="黑体" w:eastAsia="黑体"/>
        <w:b w:val="0"/>
        <w:i w:val="0"/>
        <w:sz w:val="21"/>
      </w:rPr>
    </w:lvl>
    <w:lvl w:ilvl="6">
      <w:start w:val="1"/>
      <w:numFmt w:val="decimal"/>
      <w:isLgl w:val="false"/>
      <w:suff w:val="nothing"/>
      <w:lvlText w:val="%1%2.%3.%4.%5.%6.%7　"/>
      <w:lvlJc w:val="left"/>
      <w:pPr>
        <w:ind w:left="0" w:firstLine="0"/>
      </w:pPr>
      <w:rPr>
        <w:rFonts w:hint="eastAsia" w:asci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5"/>
  </w:num>
  <w:num w:numId="2">
    <w:abstractNumId w:val="3"/>
  </w:num>
  <w:num w:numId="3">
    <w:abstractNumId w:val="10"/>
  </w:num>
  <w:num w:numId="4">
    <w:abstractNumId w:val="13"/>
  </w:num>
  <w:num w:numId="5">
    <w:abstractNumId w:val="2"/>
  </w:num>
  <w:num w:numId="6">
    <w:abstractNumId w:val="1"/>
  </w:num>
  <w:num w:numId="7">
    <w:abstractNumId w:val="12"/>
  </w:num>
  <w:num w:numId="8">
    <w:abstractNumId w:val="7"/>
  </w:num>
  <w:num w:numId="9">
    <w:abstractNumId w:val="8"/>
  </w:num>
  <w:num w:numId="10">
    <w:abstractNumId w:val="11"/>
  </w:num>
  <w:num w:numId="11">
    <w:abstractNumId w:val="9"/>
  </w:num>
  <w:num w:numId="12">
    <w:abstractNumId w:val="4"/>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00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1">
    <w:name w:val="Heading 1"/>
    <w:basedOn w:val="760"/>
    <w:next w:val="760"/>
    <w:link w:val="796"/>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7"/>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798"/>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799"/>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1"/>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4"/>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Body Text"/>
    <w:basedOn w:val="760"/>
    <w:next w:val="775"/>
    <w:uiPriority w:val="99"/>
    <w:unhideWhenUsed/>
    <w:qFormat/>
    <w:pPr>
      <w:spacing w:after="120"/>
    </w:pPr>
  </w:style>
  <w:style w:type="paragraph" w:styleId="775">
    <w:name w:val="Body Text First Indent"/>
    <w:basedOn w:val="774"/>
    <w:next w:val="776"/>
    <w:uiPriority w:val="99"/>
    <w:semiHidden/>
    <w:unhideWhenUsed/>
    <w:qFormat/>
    <w:pPr>
      <w:ind w:firstLine="420"/>
    </w:pPr>
  </w:style>
  <w:style w:type="paragraph" w:styleId="776">
    <w:name w:val="toc 6"/>
    <w:basedOn w:val="760"/>
    <w:next w:val="760"/>
    <w:uiPriority w:val="39"/>
    <w:unhideWhenUsed/>
    <w:qFormat/>
    <w:pPr>
      <w:ind w:left="1417" w:right="0" w:firstLine="0"/>
      <w:spacing w:after="57"/>
    </w:pPr>
  </w:style>
  <w:style w:type="paragraph" w:styleId="777">
    <w:name w:val="toc 5"/>
    <w:basedOn w:val="760"/>
    <w:next w:val="760"/>
    <w:uiPriority w:val="39"/>
    <w:unhideWhenUsed/>
    <w:qFormat/>
    <w:pPr>
      <w:ind w:left="1134" w:right="0" w:firstLine="0"/>
      <w:spacing w:after="57"/>
    </w:pPr>
  </w:style>
  <w:style w:type="paragraph" w:styleId="778">
    <w:name w:val="toc 3"/>
    <w:basedOn w:val="760"/>
    <w:next w:val="760"/>
    <w:uiPriority w:val="39"/>
    <w:unhideWhenUsed/>
    <w:qFormat/>
    <w:pPr>
      <w:ind w:left="567" w:right="0" w:firstLine="0"/>
      <w:spacing w:after="57"/>
    </w:pPr>
  </w:style>
  <w:style w:type="paragraph" w:styleId="779">
    <w:name w:val="toc 8"/>
    <w:basedOn w:val="760"/>
    <w:next w:val="760"/>
    <w:uiPriority w:val="39"/>
    <w:unhideWhenUsed/>
    <w:qFormat/>
    <w:pPr>
      <w:ind w:left="1984" w:right="0" w:firstLine="0"/>
      <w:spacing w:after="57"/>
    </w:pPr>
  </w:style>
  <w:style w:type="paragraph" w:styleId="780">
    <w:name w:val="endnote text"/>
    <w:basedOn w:val="760"/>
    <w:link w:val="942"/>
    <w:uiPriority w:val="99"/>
    <w:semiHidden/>
    <w:unhideWhenUsed/>
    <w:qFormat/>
    <w:pPr>
      <w:spacing w:after="0" w:line="240" w:lineRule="auto"/>
    </w:pPr>
    <w:rPr>
      <w:sz w:val="20"/>
    </w:rPr>
  </w:style>
  <w:style w:type="paragraph" w:styleId="781">
    <w:name w:val="Footer"/>
    <w:basedOn w:val="760"/>
    <w:link w:val="815"/>
    <w:uiPriority w:val="99"/>
    <w:unhideWhenUsed/>
    <w:qFormat/>
    <w:pPr>
      <w:spacing w:after="0" w:line="240" w:lineRule="auto"/>
      <w:tabs>
        <w:tab w:val="center" w:pos="7143" w:leader="none"/>
        <w:tab w:val="right" w:pos="14287" w:leader="none"/>
      </w:tabs>
    </w:pPr>
  </w:style>
  <w:style w:type="paragraph" w:styleId="782">
    <w:name w:val="Header"/>
    <w:basedOn w:val="760"/>
    <w:link w:val="813"/>
    <w:uiPriority w:val="99"/>
    <w:unhideWhenUsed/>
    <w:qFormat/>
    <w:pPr>
      <w:spacing w:after="0" w:line="240" w:lineRule="auto"/>
      <w:tabs>
        <w:tab w:val="center" w:pos="7143" w:leader="none"/>
        <w:tab w:val="right" w:pos="14287" w:leader="none"/>
      </w:tabs>
    </w:pPr>
  </w:style>
  <w:style w:type="paragraph" w:styleId="783">
    <w:name w:val="toc 1"/>
    <w:basedOn w:val="760"/>
    <w:next w:val="760"/>
    <w:uiPriority w:val="39"/>
    <w:unhideWhenUsed/>
    <w:qFormat/>
    <w:pPr>
      <w:ind w:left="0" w:right="0" w:firstLine="0"/>
      <w:spacing w:after="57"/>
    </w:pPr>
  </w:style>
  <w:style w:type="paragraph" w:styleId="784">
    <w:name w:val="toc 4"/>
    <w:basedOn w:val="760"/>
    <w:next w:val="760"/>
    <w:uiPriority w:val="39"/>
    <w:unhideWhenUsed/>
    <w:qFormat/>
    <w:pPr>
      <w:ind w:left="850" w:right="0" w:firstLine="0"/>
      <w:spacing w:after="57"/>
    </w:pPr>
  </w:style>
  <w:style w:type="paragraph" w:styleId="785">
    <w:name w:val="Subtitle"/>
    <w:basedOn w:val="760"/>
    <w:next w:val="760"/>
    <w:link w:val="808"/>
    <w:uiPriority w:val="11"/>
    <w:qFormat/>
    <w:pPr>
      <w:spacing w:before="200" w:after="200"/>
    </w:pPr>
    <w:rPr>
      <w:sz w:val="24"/>
      <w:szCs w:val="24"/>
    </w:rPr>
  </w:style>
  <w:style w:type="paragraph" w:styleId="786">
    <w:name w:val="footnote text"/>
    <w:basedOn w:val="760"/>
    <w:link w:val="941"/>
    <w:uiPriority w:val="99"/>
    <w:semiHidden/>
    <w:unhideWhenUsed/>
    <w:qFormat/>
    <w:pPr>
      <w:spacing w:after="40" w:line="240" w:lineRule="auto"/>
    </w:pPr>
    <w:rPr>
      <w:sz w:val="18"/>
    </w:rPr>
  </w:style>
  <w:style w:type="paragraph" w:styleId="787">
    <w:name w:val="table of figures"/>
    <w:basedOn w:val="760"/>
    <w:next w:val="760"/>
    <w:uiPriority w:val="99"/>
    <w:unhideWhenUsed/>
    <w:qFormat/>
    <w:pPr>
      <w:spacing w:after="0" w:afterAutospacing="0"/>
    </w:pPr>
  </w:style>
  <w:style w:type="paragraph" w:styleId="788">
    <w:name w:val="toc 2"/>
    <w:basedOn w:val="760"/>
    <w:next w:val="760"/>
    <w:uiPriority w:val="39"/>
    <w:unhideWhenUsed/>
    <w:qFormat/>
    <w:pPr>
      <w:ind w:left="283" w:right="0" w:firstLine="0"/>
      <w:spacing w:after="57"/>
    </w:pPr>
  </w:style>
  <w:style w:type="paragraph" w:styleId="789">
    <w:name w:val="toc 9"/>
    <w:basedOn w:val="760"/>
    <w:next w:val="760"/>
    <w:uiPriority w:val="39"/>
    <w:unhideWhenUsed/>
    <w:qFormat/>
    <w:pPr>
      <w:ind w:left="2268" w:right="0" w:firstLine="0"/>
      <w:spacing w:after="57"/>
    </w:pPr>
  </w:style>
  <w:style w:type="paragraph" w:styleId="790">
    <w:name w:val="Body Text 2"/>
    <w:basedOn w:val="760"/>
    <w:next w:val="760"/>
    <w:uiPriority w:val="0"/>
    <w:qFormat/>
    <w:pPr>
      <w:spacing w:line="480" w:lineRule="atLeast"/>
    </w:pPr>
    <w:rPr>
      <w:sz w:val="28"/>
    </w:rPr>
  </w:style>
  <w:style w:type="paragraph" w:styleId="791">
    <w:name w:val="Title"/>
    <w:basedOn w:val="760"/>
    <w:next w:val="760"/>
    <w:link w:val="807"/>
    <w:uiPriority w:val="10"/>
    <w:qFormat/>
    <w:pPr>
      <w:contextualSpacing/>
      <w:spacing w:before="300" w:after="200"/>
    </w:pPr>
    <w:rPr>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character" w:styleId="796" w:customStyle="1">
    <w:name w:val="Heading 1 Char"/>
    <w:link w:val="761"/>
    <w:uiPriority w:val="9"/>
    <w:qFormat/>
    <w:rPr>
      <w:rFonts w:ascii="Arial" w:hAnsi="Arial" w:eastAsia="Arial" w:cs="Arial"/>
      <w:sz w:val="40"/>
      <w:szCs w:val="40"/>
    </w:rPr>
  </w:style>
  <w:style w:type="character" w:styleId="797" w:customStyle="1">
    <w:name w:val="Heading 2 Char"/>
    <w:link w:val="762"/>
    <w:uiPriority w:val="9"/>
    <w:qFormat/>
    <w:rPr>
      <w:rFonts w:ascii="Arial" w:hAnsi="Arial" w:eastAsia="Arial" w:cs="Arial"/>
      <w:sz w:val="34"/>
    </w:rPr>
  </w:style>
  <w:style w:type="character" w:styleId="798" w:customStyle="1">
    <w:name w:val="Heading 3 Char"/>
    <w:link w:val="763"/>
    <w:uiPriority w:val="9"/>
    <w:qFormat/>
    <w:rPr>
      <w:rFonts w:ascii="Arial" w:hAnsi="Arial" w:eastAsia="Arial" w:cs="Arial"/>
      <w:sz w:val="30"/>
      <w:szCs w:val="30"/>
    </w:rPr>
  </w:style>
  <w:style w:type="character" w:styleId="799" w:customStyle="1">
    <w:name w:val="Heading 4 Char"/>
    <w:link w:val="764"/>
    <w:uiPriority w:val="9"/>
    <w:qFormat/>
    <w:rPr>
      <w:rFonts w:ascii="Arial" w:hAnsi="Arial" w:eastAsia="Arial" w:cs="Arial"/>
      <w:b/>
      <w:bCs/>
      <w:sz w:val="26"/>
      <w:szCs w:val="26"/>
    </w:rPr>
  </w:style>
  <w:style w:type="character" w:styleId="800" w:customStyle="1">
    <w:name w:val="Heading 5 Char"/>
    <w:link w:val="765"/>
    <w:uiPriority w:val="9"/>
    <w:qFormat/>
    <w:rPr>
      <w:rFonts w:ascii="Arial" w:hAnsi="Arial" w:eastAsia="Arial" w:cs="Arial"/>
      <w:b/>
      <w:bCs/>
      <w:sz w:val="24"/>
      <w:szCs w:val="24"/>
    </w:rPr>
  </w:style>
  <w:style w:type="character" w:styleId="801" w:customStyle="1">
    <w:name w:val="Heading 6 Char"/>
    <w:link w:val="766"/>
    <w:uiPriority w:val="9"/>
    <w:qFormat/>
    <w:rPr>
      <w:rFonts w:ascii="Arial" w:hAnsi="Arial" w:eastAsia="Arial" w:cs="Arial"/>
      <w:b/>
      <w:bCs/>
      <w:sz w:val="22"/>
      <w:szCs w:val="22"/>
    </w:rPr>
  </w:style>
  <w:style w:type="character" w:styleId="802" w:customStyle="1">
    <w:name w:val="Heading 7 Char"/>
    <w:link w:val="767"/>
    <w:uiPriority w:val="9"/>
    <w:qFormat/>
    <w:rPr>
      <w:rFonts w:ascii="Arial" w:hAnsi="Arial" w:eastAsia="Arial" w:cs="Arial"/>
      <w:b/>
      <w:bCs/>
      <w:i/>
      <w:iCs/>
      <w:sz w:val="22"/>
      <w:szCs w:val="22"/>
    </w:rPr>
  </w:style>
  <w:style w:type="character" w:styleId="803" w:customStyle="1">
    <w:name w:val="Heading 8 Char"/>
    <w:link w:val="768"/>
    <w:uiPriority w:val="9"/>
    <w:qFormat/>
    <w:rPr>
      <w:rFonts w:ascii="Arial" w:hAnsi="Arial" w:eastAsia="Arial" w:cs="Arial"/>
      <w:i/>
      <w:iCs/>
      <w:sz w:val="22"/>
      <w:szCs w:val="22"/>
    </w:rPr>
  </w:style>
  <w:style w:type="character" w:styleId="804" w:customStyle="1">
    <w:name w:val="Heading 9 Char"/>
    <w:link w:val="769"/>
    <w:uiPriority w:val="9"/>
    <w:qFormat/>
    <w:rPr>
      <w:rFonts w:ascii="Arial" w:hAnsi="Arial" w:eastAsia="Arial" w:cs="Arial"/>
      <w:i/>
      <w:iCs/>
      <w:sz w:val="21"/>
      <w:szCs w:val="21"/>
    </w:rPr>
  </w:style>
  <w:style w:type="paragraph" w:styleId="805">
    <w:name w:val="List Paragraph"/>
    <w:basedOn w:val="760"/>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91"/>
    <w:uiPriority w:val="10"/>
    <w:qFormat/>
    <w:rPr>
      <w:sz w:val="48"/>
      <w:szCs w:val="48"/>
    </w:rPr>
  </w:style>
  <w:style w:type="character" w:styleId="808" w:customStyle="1">
    <w:name w:val="Subtitle Char"/>
    <w:link w:val="785"/>
    <w:uiPriority w:val="11"/>
    <w:qFormat/>
    <w:rPr>
      <w:sz w:val="24"/>
      <w:szCs w:val="24"/>
    </w:rPr>
  </w:style>
  <w:style w:type="paragraph" w:styleId="809">
    <w:name w:val="Quote"/>
    <w:basedOn w:val="760"/>
    <w:next w:val="760"/>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60"/>
    <w:next w:val="760"/>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82"/>
    <w:uiPriority w:val="99"/>
    <w:qFormat/>
  </w:style>
  <w:style w:type="character" w:styleId="814" w:customStyle="1">
    <w:name w:val="Footer Char"/>
    <w:link w:val="781"/>
    <w:uiPriority w:val="99"/>
    <w:qFormat/>
  </w:style>
  <w:style w:type="character" w:styleId="815" w:customStyle="1">
    <w:name w:val="Caption Char"/>
    <w:link w:val="781"/>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6"/>
    <w:uiPriority w:val="99"/>
    <w:qFormat/>
    <w:rPr>
      <w:sz w:val="18"/>
    </w:rPr>
  </w:style>
  <w:style w:type="character" w:styleId="942" w:customStyle="1">
    <w:name w:val="Endnote Text Char"/>
    <w:link w:val="780"/>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11"/>
    <w:basedOn w:val="760"/>
    <w:next w:val="760"/>
    <w:link w:val="980"/>
    <w:uiPriority w:val="0"/>
    <w:qFormat/>
    <w:pPr>
      <w:jc w:val="center"/>
      <w:keepNext/>
      <w:outlineLvl w:val="0"/>
    </w:pPr>
    <w:rPr>
      <w:rFonts w:ascii="楷体_GB2312" w:hAnsi="楷体_GB2312" w:eastAsia="黑体"/>
      <w:sz w:val="44"/>
      <w:szCs w:val="28"/>
    </w:rPr>
  </w:style>
  <w:style w:type="paragraph" w:styleId="945" w:customStyle="1">
    <w:name w:val="标题 21"/>
    <w:basedOn w:val="760"/>
    <w:next w:val="946"/>
    <w:link w:val="9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6" w:customStyle="1">
    <w:name w:val="正文缩进1"/>
    <w:basedOn w:val="760"/>
    <w:link w:val="986"/>
    <w:uiPriority w:val="0"/>
    <w:qFormat/>
    <w:pPr>
      <w:ind w:firstLine="420"/>
    </w:pPr>
  </w:style>
  <w:style w:type="paragraph" w:styleId="947" w:customStyle="1">
    <w:name w:val="标题 31"/>
    <w:basedOn w:val="760"/>
    <w:next w:val="946"/>
    <w:link w:val="956"/>
    <w:uiPriority w:val="0"/>
    <w:qFormat/>
    <w:pPr>
      <w:keepLines/>
      <w:keepNext/>
      <w:spacing w:before="260" w:after="260" w:line="416" w:lineRule="auto"/>
      <w:outlineLvl w:val="2"/>
    </w:pPr>
    <w:rPr>
      <w:b/>
      <w:bCs/>
      <w:sz w:val="32"/>
      <w:szCs w:val="32"/>
    </w:rPr>
  </w:style>
  <w:style w:type="paragraph" w:styleId="948" w:customStyle="1">
    <w:name w:val="标题 41"/>
    <w:basedOn w:val="760"/>
    <w:next w:val="946"/>
    <w:link w:val="1000"/>
    <w:uiPriority w:val="0"/>
    <w:qFormat/>
    <w:pPr>
      <w:keepLines/>
      <w:keepNext/>
      <w:spacing w:before="280" w:after="290" w:line="376" w:lineRule="auto"/>
      <w:outlineLvl w:val="3"/>
    </w:pPr>
    <w:rPr>
      <w:rFonts w:ascii="Arial" w:hAnsi="Arial" w:eastAsia="黑体" w:cs="Arial"/>
      <w:b/>
      <w:bCs/>
      <w:sz w:val="28"/>
      <w:szCs w:val="28"/>
    </w:rPr>
  </w:style>
  <w:style w:type="paragraph" w:styleId="949" w:customStyle="1">
    <w:name w:val="标题 51"/>
    <w:basedOn w:val="760"/>
    <w:next w:val="946"/>
    <w:link w:val="992"/>
    <w:uiPriority w:val="0"/>
    <w:qFormat/>
    <w:pPr>
      <w:keepNext/>
      <w:outlineLvl w:val="4"/>
    </w:pPr>
    <w:rPr>
      <w:rFonts w:ascii="宋体"/>
      <w:color w:val="000000"/>
      <w:sz w:val="28"/>
      <w:szCs w:val="28"/>
    </w:rPr>
  </w:style>
  <w:style w:type="paragraph" w:styleId="950" w:customStyle="1">
    <w:name w:val="标题 61"/>
    <w:basedOn w:val="760"/>
    <w:next w:val="760"/>
    <w:link w:val="96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1" w:customStyle="1">
    <w:name w:val="标题 71"/>
    <w:basedOn w:val="760"/>
    <w:next w:val="760"/>
    <w:link w:val="988"/>
    <w:uiPriority w:val="0"/>
    <w:qFormat/>
    <w:pPr>
      <w:numPr>
        <w:ilvl w:val="6"/>
        <w:numId w:val="1"/>
      </w:numPr>
      <w:keepLines/>
      <w:keepNext/>
      <w:spacing w:before="240" w:after="64" w:line="320" w:lineRule="auto"/>
      <w:outlineLvl w:val="6"/>
    </w:pPr>
    <w:rPr>
      <w:b/>
      <w:bCs/>
      <w:sz w:val="24"/>
      <w:szCs w:val="24"/>
    </w:rPr>
  </w:style>
  <w:style w:type="paragraph" w:styleId="952" w:customStyle="1">
    <w:name w:val="标题 81"/>
    <w:basedOn w:val="760"/>
    <w:next w:val="760"/>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3" w:customStyle="1">
    <w:name w:val="标题 91"/>
    <w:basedOn w:val="760"/>
    <w:next w:val="760"/>
    <w:link w:val="990"/>
    <w:uiPriority w:val="0"/>
    <w:qFormat/>
    <w:pPr>
      <w:numPr>
        <w:ilvl w:val="8"/>
        <w:numId w:val="1"/>
      </w:numPr>
      <w:keepLines/>
      <w:keepNext/>
      <w:spacing w:before="240" w:after="64" w:line="320" w:lineRule="auto"/>
      <w:outlineLvl w:val="8"/>
    </w:pPr>
    <w:rPr>
      <w:rFonts w:ascii="Arial" w:hAnsi="Arial" w:eastAsia="黑体"/>
    </w:rPr>
  </w:style>
  <w:style w:type="character" w:styleId="954" w:customStyle="1">
    <w:name w:val="默认段落字体1"/>
    <w:link w:val="760"/>
    <w:uiPriority w:val="1"/>
    <w:unhideWhenUsed/>
    <w:qFormat/>
  </w:style>
  <w:style w:type="table" w:styleId="955" w:customStyle="1">
    <w:name w:val="普通表格1"/>
    <w:uiPriority w:val="99"/>
    <w:unhideWhenUsed/>
    <w:qFormat/>
    <w:tblPr/>
  </w:style>
  <w:style w:type="character" w:styleId="956" w:customStyle="1">
    <w:name w:val="标题 3 Char"/>
    <w:link w:val="947"/>
    <w:uiPriority w:val="0"/>
    <w:qFormat/>
    <w:rPr>
      <w:rFonts w:ascii="Times New Roman" w:hAnsi="Times New Roman" w:eastAsia="宋体" w:cs="Times New Roman"/>
      <w:b/>
      <w:bCs/>
      <w:sz w:val="32"/>
      <w:szCs w:val="32"/>
    </w:rPr>
  </w:style>
  <w:style w:type="character" w:styleId="957" w:customStyle="1">
    <w:name w:val="标题 2 Char"/>
    <w:link w:val="945"/>
    <w:uiPriority w:val="0"/>
    <w:qFormat/>
    <w:rPr>
      <w:rFonts w:ascii="Arial" w:hAnsi="Arial" w:eastAsia="幼圆" w:cs="Arial"/>
      <w:b/>
      <w:bCs/>
      <w:sz w:val="44"/>
      <w:szCs w:val="44"/>
    </w:rPr>
  </w:style>
  <w:style w:type="character" w:styleId="958" w:customStyle="1">
    <w:name w:val="批注引用1"/>
    <w:link w:val="760"/>
    <w:uiPriority w:val="0"/>
    <w:semiHidden/>
    <w:qFormat/>
    <w:rPr>
      <w:sz w:val="21"/>
      <w:szCs w:val="21"/>
    </w:rPr>
  </w:style>
  <w:style w:type="character" w:styleId="959" w:customStyle="1">
    <w:name w:val="纯文本 Char"/>
    <w:link w:val="960"/>
    <w:uiPriority w:val="0"/>
    <w:qFormat/>
    <w:rPr>
      <w:rFonts w:ascii="宋体" w:hAnsi="Courier New" w:eastAsia="宋体" w:cs="Courier New"/>
      <w:szCs w:val="21"/>
    </w:rPr>
  </w:style>
  <w:style w:type="paragraph" w:styleId="960" w:customStyle="1">
    <w:name w:val="纯文本1"/>
    <w:basedOn w:val="760"/>
    <w:link w:val="959"/>
    <w:uiPriority w:val="0"/>
    <w:qFormat/>
    <w:rPr>
      <w:rFonts w:ascii="宋体" w:hAnsi="Courier New" w:cs="Courier New"/>
    </w:rPr>
  </w:style>
  <w:style w:type="character" w:styleId="961"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2" w:customStyle="1">
    <w:name w:val="文档结构图1"/>
    <w:basedOn w:val="760"/>
    <w:link w:val="961"/>
    <w:uiPriority w:val="0"/>
    <w:semiHidden/>
    <w:qFormat/>
    <w:pPr>
      <w:shd w:val="clear" w:color="auto" w:fill="000080"/>
    </w:pPr>
  </w:style>
  <w:style w:type="character" w:styleId="963" w:customStyle="1">
    <w:name w:val="要点1"/>
    <w:link w:val="760"/>
    <w:uiPriority w:val="0"/>
    <w:qFormat/>
    <w:rPr>
      <w:b/>
      <w:bCs/>
    </w:rPr>
  </w:style>
  <w:style w:type="character" w:styleId="964" w:customStyle="1">
    <w:name w:val="页脚 Char"/>
    <w:link w:val="965"/>
    <w:uiPriority w:val="0"/>
    <w:qFormat/>
    <w:rPr>
      <w:rFonts w:ascii="Times New Roman" w:hAnsi="Times New Roman" w:eastAsia="宋体" w:cs="Times New Roman"/>
      <w:sz w:val="18"/>
      <w:szCs w:val="18"/>
    </w:rPr>
  </w:style>
  <w:style w:type="paragraph" w:styleId="965" w:customStyle="1">
    <w:name w:val="页脚1"/>
    <w:basedOn w:val="760"/>
    <w:link w:val="964"/>
    <w:uiPriority w:val="0"/>
    <w:qFormat/>
    <w:pPr>
      <w:jc w:val="left"/>
      <w:tabs>
        <w:tab w:val="center" w:pos="4153" w:leader="none"/>
        <w:tab w:val="right" w:pos="8306" w:leader="none"/>
      </w:tabs>
    </w:pPr>
    <w:rPr>
      <w:sz w:val="18"/>
      <w:szCs w:val="18"/>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760"/>
    <w:link w:val="966"/>
    <w:uiPriority w:val="0"/>
    <w:qFormat/>
    <w:pPr>
      <w:contextualSpacing/>
      <w:ind w:left="720"/>
      <w:jc w:val="left"/>
      <w:widowControl/>
    </w:pPr>
    <w:rPr>
      <w:rFonts w:ascii="Calibri" w:hAnsi="Calibri" w:eastAsia="宋体" w:cs="Times New Roman"/>
      <w:sz w:val="24"/>
      <w:szCs w:val="24"/>
      <w:lang w:eastAsia="en-US" w:bidi="en-US"/>
    </w:rPr>
  </w:style>
  <w:style w:type="character" w:styleId="968" w:customStyle="1">
    <w:name w:val="标题 6 Char"/>
    <w:link w:val="950"/>
    <w:uiPriority w:val="0"/>
    <w:qFormat/>
    <w:rPr>
      <w:rFonts w:ascii="Arial" w:hAnsi="Arial" w:eastAsia="黑体" w:cs="Times New Roman"/>
      <w:b/>
      <w:bCs/>
      <w:sz w:val="24"/>
      <w:szCs w:val="24"/>
    </w:rPr>
  </w:style>
  <w:style w:type="character" w:styleId="969" w:customStyle="1">
    <w:name w:val="批注主题 Char"/>
    <w:link w:val="970"/>
    <w:uiPriority w:val="0"/>
    <w:semiHidden/>
    <w:qFormat/>
    <w:rPr>
      <w:rFonts w:ascii="Times New Roman" w:hAnsi="Times New Roman" w:eastAsia="宋体" w:cs="Times New Roman"/>
      <w:b/>
      <w:bCs/>
      <w:szCs w:val="21"/>
    </w:rPr>
  </w:style>
  <w:style w:type="paragraph" w:styleId="970" w:customStyle="1">
    <w:name w:val="批注主题1"/>
    <w:basedOn w:val="971"/>
    <w:next w:val="971"/>
    <w:link w:val="969"/>
    <w:uiPriority w:val="0"/>
    <w:semiHidden/>
    <w:qFormat/>
    <w:rPr>
      <w:b/>
      <w:bCs/>
    </w:rPr>
  </w:style>
  <w:style w:type="paragraph" w:styleId="971" w:customStyle="1">
    <w:name w:val="批注文字1"/>
    <w:basedOn w:val="760"/>
    <w:link w:val="991"/>
    <w:uiPriority w:val="0"/>
    <w:semiHidden/>
    <w:qFormat/>
    <w:pPr>
      <w:jc w:val="left"/>
    </w:pPr>
  </w:style>
  <w:style w:type="character" w:styleId="972" w:customStyle="1">
    <w:name w:val="正文文本 2 Char"/>
    <w:link w:val="973"/>
    <w:uiPriority w:val="0"/>
    <w:qFormat/>
    <w:rPr>
      <w:rFonts w:ascii="楷体_GB2312" w:hAnsi="Times New Roman" w:eastAsia="楷体_GB2312" w:cs="Times New Roman"/>
      <w:sz w:val="28"/>
      <w:szCs w:val="28"/>
    </w:rPr>
  </w:style>
  <w:style w:type="paragraph" w:styleId="973" w:customStyle="1">
    <w:name w:val="正文文本 21"/>
    <w:basedOn w:val="760"/>
    <w:link w:val="972"/>
    <w:uiPriority w:val="0"/>
    <w:qFormat/>
    <w:pPr>
      <w:jc w:val="center"/>
      <w:widowControl/>
    </w:pPr>
    <w:rPr>
      <w:rFonts w:ascii="楷体_GB2312" w:eastAsia="楷体_GB2312"/>
      <w:sz w:val="28"/>
      <w:szCs w:val="28"/>
    </w:rPr>
  </w:style>
  <w:style w:type="character" w:styleId="974" w:customStyle="1">
    <w:name w:val="正文首行缩进 Char"/>
    <w:link w:val="975"/>
    <w:uiPriority w:val="0"/>
    <w:qFormat/>
    <w:rPr>
      <w:rFonts w:ascii="仿宋_GB2312" w:hAnsi="Times New Roman" w:eastAsia="仿宋_GB2312" w:cs="Times New Roman"/>
      <w:sz w:val="30"/>
      <w:szCs w:val="30"/>
    </w:rPr>
  </w:style>
  <w:style w:type="paragraph" w:styleId="975" w:customStyle="1">
    <w:name w:val="正文首行缩进1"/>
    <w:basedOn w:val="760"/>
    <w:link w:val="974"/>
    <w:uiPriority w:val="0"/>
    <w:qFormat/>
    <w:pPr>
      <w:ind w:firstLine="200"/>
      <w:spacing w:line="360" w:lineRule="auto"/>
    </w:pPr>
    <w:rPr>
      <w:rFonts w:ascii="仿宋_GB2312" w:eastAsia="仿宋_GB2312"/>
      <w:sz w:val="30"/>
      <w:szCs w:val="30"/>
    </w:rPr>
  </w:style>
  <w:style w:type="character" w:styleId="976" w:customStyle="1">
    <w:name w:val="正文首行缩进 2 Char"/>
    <w:link w:val="977"/>
    <w:uiPriority w:val="0"/>
    <w:qFormat/>
    <w:rPr>
      <w:rFonts w:ascii="宋体" w:hAnsi="宋体" w:eastAsia="宋体" w:cs="Times New Roman"/>
      <w:sz w:val="32"/>
      <w:szCs w:val="20"/>
    </w:rPr>
  </w:style>
  <w:style w:type="paragraph" w:styleId="977" w:customStyle="1">
    <w:name w:val="正文首行缩进 21"/>
    <w:basedOn w:val="978"/>
    <w:next w:val="760"/>
    <w:link w:val="976"/>
    <w:uiPriority w:val="0"/>
    <w:qFormat/>
    <w:pPr>
      <w:ind w:firstLine="420"/>
      <w:spacing w:line="360" w:lineRule="auto"/>
    </w:pPr>
    <w:rPr>
      <w:rFonts w:ascii="宋体" w:hAnsi="宋体" w:eastAsia="宋体"/>
      <w:sz w:val="21"/>
      <w:szCs w:val="20"/>
    </w:rPr>
  </w:style>
  <w:style w:type="paragraph" w:styleId="978" w:customStyle="1">
    <w:name w:val="正文文本缩进1"/>
    <w:basedOn w:val="760"/>
    <w:next w:val="979"/>
    <w:link w:val="989"/>
    <w:uiPriority w:val="0"/>
    <w:qFormat/>
    <w:pPr>
      <w:ind w:firstLine="645"/>
    </w:pPr>
    <w:rPr>
      <w:rFonts w:ascii="楷体_GB2312" w:eastAsia="楷体_GB2312"/>
      <w:sz w:val="32"/>
      <w:szCs w:val="32"/>
    </w:rPr>
  </w:style>
  <w:style w:type="paragraph" w:styleId="979" w:customStyle="1">
    <w:name w:val="寄信人地址1"/>
    <w:basedOn w:val="760"/>
    <w:uiPriority w:val="0"/>
    <w:qFormat/>
    <w:rPr>
      <w:rFonts w:ascii="Arial" w:hAnsi="Arial"/>
    </w:rPr>
  </w:style>
  <w:style w:type="character" w:styleId="980" w:customStyle="1">
    <w:name w:val="标题 1 Char"/>
    <w:link w:val="944"/>
    <w:uiPriority w:val="0"/>
    <w:qFormat/>
    <w:rPr>
      <w:rFonts w:ascii="楷体_GB2312" w:hAnsi="楷体_GB2312" w:eastAsia="黑体" w:cs="Times New Roman"/>
      <w:sz w:val="44"/>
      <w:szCs w:val="28"/>
    </w:rPr>
  </w:style>
  <w:style w:type="character" w:styleId="981" w:customStyle="1">
    <w:name w:val="已访问的超链接1"/>
    <w:link w:val="760"/>
    <w:uiPriority w:val="0"/>
    <w:qFormat/>
    <w:rPr>
      <w:color w:val="800080"/>
      <w:u w:val="single"/>
    </w:rPr>
  </w:style>
  <w:style w:type="character" w:styleId="982" w:customStyle="1">
    <w:name w:val="正文文本 3 Char"/>
    <w:link w:val="983"/>
    <w:uiPriority w:val="0"/>
    <w:qFormat/>
    <w:rPr>
      <w:rFonts w:ascii="仿宋_GB2312" w:hAnsi="Arial" w:eastAsia="仿宋_GB2312" w:cs="Times New Roman"/>
      <w:sz w:val="32"/>
      <w:szCs w:val="32"/>
    </w:rPr>
  </w:style>
  <w:style w:type="paragraph" w:styleId="983" w:customStyle="1">
    <w:name w:val="正文文本 31"/>
    <w:basedOn w:val="760"/>
    <w:link w:val="982"/>
    <w:uiPriority w:val="0"/>
    <w:qFormat/>
    <w:rPr>
      <w:rFonts w:ascii="仿宋_GB2312" w:hAnsi="Arial" w:eastAsia="仿宋_GB2312"/>
      <w:sz w:val="32"/>
      <w:szCs w:val="32"/>
    </w:rPr>
  </w:style>
  <w:style w:type="character" w:styleId="984" w:customStyle="1">
    <w:name w:val="二级目录 Char"/>
    <w:link w:val="985"/>
    <w:uiPriority w:val="0"/>
    <w:qFormat/>
    <w:rPr>
      <w:b/>
      <w:sz w:val="30"/>
      <w:szCs w:val="28"/>
    </w:rPr>
  </w:style>
  <w:style w:type="paragraph" w:styleId="985" w:customStyle="1">
    <w:name w:val="二级目录"/>
    <w:next w:val="760"/>
    <w:link w:val="98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6" w:customStyle="1">
    <w:name w:val="正文缩进 Char"/>
    <w:link w:val="946"/>
    <w:uiPriority w:val="0"/>
    <w:qFormat/>
    <w:rPr>
      <w:rFonts w:ascii="Times New Roman" w:hAnsi="Times New Roman" w:eastAsia="宋体" w:cs="Times New Roman"/>
      <w:szCs w:val="21"/>
    </w:rPr>
  </w:style>
  <w:style w:type="character" w:styleId="987" w:customStyle="1">
    <w:name w:val="页码1"/>
    <w:link w:val="760"/>
    <w:uiPriority w:val="0"/>
    <w:qFormat/>
  </w:style>
  <w:style w:type="character" w:styleId="988" w:customStyle="1">
    <w:name w:val="标题 7 Char"/>
    <w:link w:val="951"/>
    <w:uiPriority w:val="0"/>
    <w:qFormat/>
    <w:rPr>
      <w:rFonts w:ascii="Times New Roman" w:hAnsi="Times New Roman" w:eastAsia="宋体" w:cs="Times New Roman"/>
      <w:b/>
      <w:bCs/>
      <w:sz w:val="24"/>
      <w:szCs w:val="24"/>
    </w:rPr>
  </w:style>
  <w:style w:type="character" w:styleId="989" w:customStyle="1">
    <w:name w:val="正文文本缩进 Char"/>
    <w:link w:val="978"/>
    <w:uiPriority w:val="0"/>
    <w:qFormat/>
    <w:rPr>
      <w:rFonts w:ascii="楷体_GB2312" w:hAnsi="Times New Roman" w:eastAsia="楷体_GB2312" w:cs="Times New Roman"/>
      <w:sz w:val="32"/>
      <w:szCs w:val="32"/>
    </w:rPr>
  </w:style>
  <w:style w:type="character" w:styleId="990" w:customStyle="1">
    <w:name w:val="标题 9 Char"/>
    <w:link w:val="953"/>
    <w:uiPriority w:val="0"/>
    <w:qFormat/>
    <w:rPr>
      <w:rFonts w:ascii="Arial" w:hAnsi="Arial" w:eastAsia="黑体" w:cs="Times New Roman"/>
      <w:szCs w:val="21"/>
    </w:rPr>
  </w:style>
  <w:style w:type="character" w:styleId="991" w:customStyle="1">
    <w:name w:val="批注文字 Char"/>
    <w:link w:val="971"/>
    <w:uiPriority w:val="0"/>
    <w:semiHidden/>
    <w:qFormat/>
    <w:rPr>
      <w:rFonts w:ascii="Times New Roman" w:hAnsi="Times New Roman" w:eastAsia="宋体" w:cs="Times New Roman"/>
      <w:szCs w:val="21"/>
    </w:rPr>
  </w:style>
  <w:style w:type="character" w:styleId="992" w:customStyle="1">
    <w:name w:val="标题 5 Char"/>
    <w:link w:val="949"/>
    <w:uiPriority w:val="0"/>
    <w:qFormat/>
    <w:rPr>
      <w:rFonts w:ascii="宋体" w:hAnsi="Times New Roman" w:eastAsia="宋体" w:cs="Times New Roman"/>
      <w:color w:val="000000"/>
      <w:sz w:val="28"/>
      <w:szCs w:val="28"/>
    </w:rPr>
  </w:style>
  <w:style w:type="character" w:styleId="993" w:customStyle="1">
    <w:name w:val="正文文本缩进 2 Char"/>
    <w:link w:val="994"/>
    <w:uiPriority w:val="0"/>
    <w:qFormat/>
    <w:rPr>
      <w:rFonts w:ascii="Arial" w:hAnsi="Arial" w:eastAsia="仿宋_GB2312" w:cs="Arial"/>
      <w:sz w:val="32"/>
      <w:szCs w:val="32"/>
    </w:rPr>
  </w:style>
  <w:style w:type="paragraph" w:styleId="994" w:customStyle="1">
    <w:name w:val="正文文本缩进 21"/>
    <w:basedOn w:val="760"/>
    <w:link w:val="993"/>
    <w:uiPriority w:val="0"/>
    <w:qFormat/>
    <w:pPr>
      <w:ind w:left="630" w:firstLine="645"/>
    </w:pPr>
    <w:rPr>
      <w:rFonts w:ascii="Arial" w:hAnsi="Arial" w:eastAsia="仿宋_GB2312" w:cs="Arial"/>
      <w:sz w:val="32"/>
      <w:szCs w:val="32"/>
    </w:rPr>
  </w:style>
  <w:style w:type="character" w:styleId="995" w:customStyle="1">
    <w:name w:val="日期 Char"/>
    <w:link w:val="996"/>
    <w:uiPriority w:val="0"/>
    <w:qFormat/>
    <w:rPr>
      <w:rFonts w:ascii="Times New Roman" w:hAnsi="Times New Roman" w:eastAsia="宋体" w:cs="Times New Roman"/>
      <w:sz w:val="24"/>
      <w:szCs w:val="24"/>
    </w:rPr>
  </w:style>
  <w:style w:type="paragraph" w:styleId="996" w:customStyle="1">
    <w:name w:val="日期1"/>
    <w:basedOn w:val="760"/>
    <w:next w:val="760"/>
    <w:link w:val="995"/>
    <w:uiPriority w:val="0"/>
    <w:qFormat/>
    <w:rPr>
      <w:sz w:val="24"/>
      <w:szCs w:val="24"/>
    </w:rPr>
  </w:style>
  <w:style w:type="character" w:styleId="997" w:customStyle="1">
    <w:name w:val="超链接1"/>
    <w:link w:val="760"/>
    <w:uiPriority w:val="0"/>
    <w:qFormat/>
    <w:rPr>
      <w:color w:val="0000ff"/>
      <w:u w:val="single"/>
    </w:rPr>
  </w:style>
  <w:style w:type="character" w:styleId="998" w:customStyle="1">
    <w:name w:val="批注框文本 Char"/>
    <w:link w:val="999"/>
    <w:uiPriority w:val="0"/>
    <w:semiHidden/>
    <w:qFormat/>
    <w:rPr>
      <w:rFonts w:ascii="Times New Roman" w:hAnsi="Times New Roman" w:eastAsia="宋体" w:cs="Times New Roman"/>
      <w:sz w:val="18"/>
      <w:szCs w:val="18"/>
    </w:rPr>
  </w:style>
  <w:style w:type="paragraph" w:styleId="999" w:customStyle="1">
    <w:name w:val="批注框文本1"/>
    <w:basedOn w:val="760"/>
    <w:link w:val="998"/>
    <w:uiPriority w:val="0"/>
    <w:semiHidden/>
    <w:qFormat/>
    <w:rPr>
      <w:sz w:val="18"/>
      <w:szCs w:val="18"/>
    </w:rPr>
  </w:style>
  <w:style w:type="character" w:styleId="1000" w:customStyle="1">
    <w:name w:val="标题 4 Char"/>
    <w:link w:val="948"/>
    <w:uiPriority w:val="0"/>
    <w:qFormat/>
    <w:rPr>
      <w:rFonts w:ascii="Arial" w:hAnsi="Arial" w:eastAsia="黑体" w:cs="Arial"/>
      <w:b/>
      <w:bCs/>
      <w:sz w:val="28"/>
      <w:szCs w:val="28"/>
    </w:rPr>
  </w:style>
  <w:style w:type="character" w:styleId="1001" w:customStyle="1">
    <w:name w:val="font5 Char"/>
    <w:link w:val="760"/>
    <w:uiPriority w:val="0"/>
    <w:qFormat/>
    <w:rPr>
      <w:rFonts w:ascii="宋体" w:hAnsi="宋体" w:eastAsia="宋体"/>
      <w:sz w:val="28"/>
      <w:szCs w:val="28"/>
      <w:lang w:val="en-US" w:eastAsia="zh-CN" w:bidi="ar-SA"/>
    </w:rPr>
  </w:style>
  <w:style w:type="character" w:styleId="1002" w:customStyle="1">
    <w:name w:val="页眉 Char"/>
    <w:link w:val="1003"/>
    <w:uiPriority w:val="0"/>
    <w:qFormat/>
    <w:rPr>
      <w:rFonts w:ascii="Times New Roman" w:hAnsi="Times New Roman" w:eastAsia="宋体" w:cs="Times New Roman"/>
      <w:sz w:val="18"/>
      <w:szCs w:val="18"/>
    </w:rPr>
  </w:style>
  <w:style w:type="paragraph" w:styleId="1003" w:customStyle="1">
    <w:name w:val="页眉1"/>
    <w:basedOn w:val="760"/>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4" w:customStyle="1">
    <w:name w:val="正文文本 Char"/>
    <w:link w:val="1005"/>
    <w:uiPriority w:val="0"/>
    <w:qFormat/>
    <w:rPr>
      <w:rFonts w:ascii="楷体_GB2312" w:hAnsi="Arial" w:eastAsia="楷体_GB2312" w:cs="Times New Roman"/>
      <w:sz w:val="28"/>
      <w:szCs w:val="28"/>
    </w:rPr>
  </w:style>
  <w:style w:type="paragraph" w:styleId="1005" w:customStyle="1">
    <w:name w:val="正文文本1"/>
    <w:basedOn w:val="760"/>
    <w:next w:val="1006"/>
    <w:link w:val="1004"/>
    <w:uiPriority w:val="0"/>
    <w:qFormat/>
    <w:rPr>
      <w:rFonts w:ascii="楷体_GB2312" w:hAnsi="Arial" w:eastAsia="楷体_GB2312"/>
      <w:sz w:val="28"/>
      <w:szCs w:val="28"/>
    </w:rPr>
  </w:style>
  <w:style w:type="paragraph" w:styleId="1006" w:customStyle="1">
    <w:name w:val="一级条标题"/>
    <w:basedOn w:val="1007"/>
    <w:next w:val="10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7" w:customStyle="1">
    <w:name w:val="章标题"/>
    <w:next w:val="76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08" w:customStyle="1">
    <w:name w:val="段"/>
    <w:next w:val="760"/>
    <w:uiPriority w:val="0"/>
    <w:qFormat/>
    <w:pPr>
      <w:ind w:firstLine="200"/>
      <w:jc w:val="both"/>
    </w:pPr>
    <w:rPr>
      <w:rFonts w:ascii="宋体" w:hAnsi="Times New Roman" w:eastAsia="Times New Roman" w:cs="Times New Roman"/>
      <w:sz w:val="21"/>
      <w:lang w:val="en-US" w:eastAsia="zh-CN" w:bidi="ar-SA"/>
    </w:rPr>
  </w:style>
  <w:style w:type="character" w:styleId="1009" w:customStyle="1">
    <w:name w:val="正文文本缩进 3 Char"/>
    <w:link w:val="1010"/>
    <w:uiPriority w:val="0"/>
    <w:qFormat/>
    <w:rPr>
      <w:rFonts w:ascii="Arial" w:hAnsi="Arial" w:eastAsia="仿宋_GB2312" w:cs="Arial"/>
      <w:color w:val="ffff00"/>
      <w:sz w:val="32"/>
      <w:szCs w:val="32"/>
    </w:rPr>
  </w:style>
  <w:style w:type="paragraph" w:styleId="1010" w:customStyle="1">
    <w:name w:val="正文文本缩进 31"/>
    <w:basedOn w:val="760"/>
    <w:link w:val="1009"/>
    <w:uiPriority w:val="0"/>
    <w:qFormat/>
    <w:pPr>
      <w:ind w:left="645" w:firstLine="645"/>
    </w:pPr>
    <w:rPr>
      <w:rFonts w:ascii="Arial" w:hAnsi="Arial" w:eastAsia="仿宋_GB2312" w:cs="Arial"/>
      <w:color w:val="ffff00"/>
      <w:sz w:val="32"/>
      <w:szCs w:val="32"/>
    </w:rPr>
  </w:style>
  <w:style w:type="character" w:styleId="1011" w:customStyle="1">
    <w:name w:val="标题 8 Char"/>
    <w:link w:val="952"/>
    <w:uiPriority w:val="0"/>
    <w:qFormat/>
    <w:rPr>
      <w:rFonts w:ascii="Arial" w:hAnsi="Arial" w:eastAsia="黑体" w:cs="Times New Roman"/>
      <w:sz w:val="24"/>
      <w:szCs w:val="24"/>
    </w:rPr>
  </w:style>
  <w:style w:type="paragraph" w:styleId="1012" w:customStyle="1">
    <w:name w:val="xl25"/>
    <w:basedOn w:val="7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xl27"/>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目录 31"/>
    <w:basedOn w:val="760"/>
    <w:next w:val="760"/>
    <w:uiPriority w:val="0"/>
    <w:semiHidden/>
    <w:qFormat/>
    <w:pPr>
      <w:ind w:left="420"/>
      <w:jc w:val="left"/>
    </w:pPr>
    <w:rPr>
      <w:i/>
      <w:iCs/>
      <w:szCs w:val="24"/>
    </w:rPr>
  </w:style>
  <w:style w:type="paragraph" w:styleId="1016" w:customStyle="1">
    <w:name w:val="font6"/>
    <w:basedOn w:val="760"/>
    <w:uiPriority w:val="0"/>
    <w:qFormat/>
    <w:pPr>
      <w:jc w:val="left"/>
      <w:spacing w:before="100" w:beforeAutospacing="1" w:after="100" w:afterAutospacing="1"/>
      <w:widowControl/>
    </w:pPr>
    <w:rPr>
      <w:rFonts w:hint="eastAsia" w:ascii="宋体" w:hAnsi="宋体"/>
      <w:sz w:val="28"/>
      <w:szCs w:val="28"/>
      <w:u w:val="single"/>
    </w:rPr>
  </w:style>
  <w:style w:type="paragraph" w:styleId="1017" w:customStyle="1">
    <w:name w:val="xl30"/>
    <w:basedOn w:val="760"/>
    <w:uiPriority w:val="0"/>
    <w:qFormat/>
    <w:pPr>
      <w:jc w:val="center"/>
      <w:spacing w:before="100" w:beforeAutospacing="1" w:after="100" w:afterAutospacing="1"/>
      <w:widowControl/>
    </w:pPr>
    <w:rPr>
      <w:rFonts w:ascii="宋体" w:hAnsi="宋体"/>
      <w:b/>
      <w:bCs/>
      <w:sz w:val="36"/>
      <w:szCs w:val="36"/>
    </w:rPr>
  </w:style>
  <w:style w:type="paragraph" w:styleId="1018" w:customStyle="1">
    <w:name w:val="font5"/>
    <w:basedOn w:val="760"/>
    <w:uiPriority w:val="0"/>
    <w:qFormat/>
    <w:pPr>
      <w:jc w:val="left"/>
      <w:spacing w:before="100" w:beforeAutospacing="1" w:after="100" w:afterAutospacing="1"/>
      <w:widowControl/>
    </w:pPr>
    <w:rPr>
      <w:rFonts w:hint="eastAsia" w:ascii="宋体" w:hAnsi="宋体"/>
      <w:sz w:val="28"/>
      <w:szCs w:val="28"/>
    </w:rPr>
  </w:style>
  <w:style w:type="paragraph" w:styleId="1019"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customStyle="1">
    <w:name w:val="列表 31"/>
    <w:basedOn w:val="760"/>
    <w:uiPriority w:val="0"/>
    <w:qFormat/>
    <w:pPr>
      <w:ind w:left="100" w:hanging="200"/>
    </w:pPr>
  </w:style>
  <w:style w:type="paragraph" w:styleId="1021" w:customStyle="1">
    <w:name w:val="列表1"/>
    <w:basedOn w:val="760"/>
    <w:uiPriority w:val="0"/>
    <w:qFormat/>
    <w:pPr>
      <w:ind w:left="200" w:hanging="200"/>
    </w:pPr>
  </w:style>
  <w:style w:type="paragraph" w:styleId="1022" w:customStyle="1">
    <w:name w:val=" Char Char Char Char"/>
    <w:basedOn w:val="962"/>
    <w:uiPriority w:val="0"/>
    <w:qFormat/>
    <w:pPr>
      <w:spacing w:line="360" w:lineRule="auto"/>
    </w:pPr>
    <w:rPr>
      <w:rFonts w:ascii="Tahoma" w:hAnsi="Tahoma"/>
      <w:sz w:val="24"/>
      <w:szCs w:val="24"/>
    </w:rPr>
  </w:style>
  <w:style w:type="paragraph" w:styleId="1023" w:customStyle="1">
    <w:name w:val="目录 81"/>
    <w:basedOn w:val="760"/>
    <w:next w:val="760"/>
    <w:uiPriority w:val="0"/>
    <w:semiHidden/>
    <w:qFormat/>
    <w:pPr>
      <w:ind w:left="1470"/>
      <w:jc w:val="left"/>
    </w:pPr>
  </w:style>
  <w:style w:type="paragraph" w:styleId="10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5" w:customStyle="1">
    <w:name w:val="列表 21"/>
    <w:basedOn w:val="760"/>
    <w:uiPriority w:val="0"/>
    <w:qFormat/>
    <w:pPr>
      <w:ind w:left="100" w:hanging="200"/>
    </w:pPr>
  </w:style>
  <w:style w:type="paragraph" w:styleId="1026" w:customStyle="1">
    <w:name w:val="xl24"/>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customStyle="1">
    <w:name w:val="目录 51"/>
    <w:basedOn w:val="760"/>
    <w:next w:val="760"/>
    <w:uiPriority w:val="0"/>
    <w:semiHidden/>
    <w:qFormat/>
    <w:pPr>
      <w:ind w:left="840"/>
      <w:jc w:val="left"/>
    </w:pPr>
  </w:style>
  <w:style w:type="paragraph" w:styleId="1028" w:customStyle="1">
    <w:name w:val="普通(网站)1"/>
    <w:basedOn w:val="760"/>
    <w:uiPriority w:val="99"/>
    <w:qFormat/>
    <w:pPr>
      <w:jc w:val="left"/>
      <w:spacing w:before="100" w:beforeAutospacing="1" w:after="100" w:afterAutospacing="1"/>
      <w:widowControl/>
    </w:pPr>
    <w:rPr>
      <w:rFonts w:ascii="宋体" w:hAnsi="宋体" w:cs="宋体"/>
      <w:sz w:val="24"/>
      <w:szCs w:val="24"/>
    </w:rPr>
  </w:style>
  <w:style w:type="paragraph" w:styleId="1029" w:customStyle="1">
    <w:name w:val="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030" w:customStyle="1">
    <w:name w:val="font7"/>
    <w:basedOn w:val="760"/>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索引 11"/>
    <w:basedOn w:val="760"/>
    <w:next w:val="760"/>
    <w:uiPriority w:val="0"/>
    <w:semiHidden/>
    <w:qFormat/>
    <w:pPr>
      <w:spacing w:line="240" w:lineRule="atLeast"/>
    </w:pPr>
    <w:rPr>
      <w:b/>
      <w:bCs/>
    </w:rPr>
  </w:style>
  <w:style w:type="paragraph" w:styleId="1032" w:customStyle="1">
    <w:name w:val="目录 61"/>
    <w:basedOn w:val="760"/>
    <w:next w:val="760"/>
    <w:uiPriority w:val="0"/>
    <w:semiHidden/>
    <w:qFormat/>
    <w:pPr>
      <w:ind w:left="1050"/>
      <w:jc w:val="left"/>
    </w:pPr>
  </w:style>
  <w:style w:type="paragraph" w:styleId="1033" w:customStyle="1">
    <w:name w:val="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034" w:customStyle="1">
    <w:name w:val="table_lines"/>
    <w:basedOn w:val="760"/>
    <w:uiPriority w:val="0"/>
    <w:qFormat/>
    <w:pPr>
      <w:jc w:val="left"/>
      <w:widowControl/>
    </w:pPr>
    <w:rPr>
      <w:sz w:val="20"/>
      <w:szCs w:val="20"/>
      <w:lang w:val="de-DE" w:eastAsia="de-DE"/>
    </w:rPr>
  </w:style>
  <w:style w:type="paragraph" w:styleId="1035" w:customStyle="1">
    <w:name w:val=" Char"/>
    <w:basedOn w:val="962"/>
    <w:uiPriority w:val="0"/>
    <w:qFormat/>
    <w:rPr>
      <w:rFonts w:ascii="Tahoma" w:hAnsi="Tahoma"/>
      <w:sz w:val="24"/>
      <w:szCs w:val="24"/>
    </w:rPr>
  </w:style>
  <w:style w:type="paragraph" w:styleId="10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8" w:customStyle="1">
    <w:name w:val="图表目录1"/>
    <w:basedOn w:val="760"/>
    <w:next w:val="760"/>
    <w:uiPriority w:val="0"/>
    <w:semiHidden/>
    <w:qFormat/>
    <w:pPr>
      <w:ind w:left="840" w:hanging="420"/>
    </w:pPr>
  </w:style>
  <w:style w:type="paragraph" w:styleId="1039" w:customStyle="1">
    <w:name w:val="Body Text(ch)"/>
    <w:basedOn w:val="760"/>
    <w:next w:val="1005"/>
    <w:uiPriority w:val="0"/>
    <w:qFormat/>
    <w:pPr>
      <w:spacing w:after="120"/>
    </w:pPr>
    <w:rPr>
      <w:rFonts w:ascii="宋体" w:hAnsi="Arial"/>
      <w:bCs/>
      <w:iCs/>
      <w:szCs w:val="24"/>
    </w:rPr>
  </w:style>
  <w:style w:type="paragraph" w:styleId="1040" w:customStyle="1">
    <w:name w:val="目录 91"/>
    <w:basedOn w:val="760"/>
    <w:next w:val="760"/>
    <w:uiPriority w:val="0"/>
    <w:semiHidden/>
    <w:qFormat/>
    <w:pPr>
      <w:ind w:left="1680"/>
      <w:jc w:val="left"/>
    </w:pPr>
  </w:style>
  <w:style w:type="paragraph" w:styleId="1041" w:customStyle="1">
    <w:name w:val="目录 11"/>
    <w:basedOn w:val="760"/>
    <w:next w:val="760"/>
    <w:uiPriority w:val="0"/>
    <w:semiHidden/>
    <w:qFormat/>
    <w:pPr>
      <w:jc w:val="left"/>
      <w:spacing w:before="120" w:after="120" w:line="400" w:lineRule="exact"/>
      <w:tabs>
        <w:tab w:val="right" w:pos="8720" w:leader="dot"/>
      </w:tabs>
    </w:pPr>
    <w:rPr>
      <w:rFonts w:ascii="宋体" w:hAnsi="宋体"/>
      <w:caps/>
      <w:sz w:val="24"/>
      <w:szCs w:val="24"/>
    </w:rPr>
  </w:style>
  <w:style w:type="paragraph" w:styleId="1042" w:customStyle="1">
    <w:name w:val="xl2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customStyle="1">
    <w:name w:val="目录 21"/>
    <w:basedOn w:val="760"/>
    <w:next w:val="760"/>
    <w:uiPriority w:val="0"/>
    <w:semiHidden/>
    <w:qFormat/>
    <w:pPr>
      <w:ind w:left="210"/>
      <w:jc w:val="left"/>
    </w:pPr>
    <w:rPr>
      <w:smallCaps/>
      <w:szCs w:val="24"/>
    </w:rPr>
  </w:style>
  <w:style w:type="paragraph" w:styleId="1044" w:customStyle="1">
    <w:name w:val="普通 (Web)"/>
    <w:basedOn w:val="760"/>
    <w:uiPriority w:val="0"/>
    <w:qFormat/>
    <w:pPr>
      <w:jc w:val="left"/>
      <w:spacing w:before="100" w:beforeAutospacing="1" w:after="100" w:afterAutospacing="1"/>
      <w:widowControl/>
    </w:pPr>
    <w:rPr>
      <w:rFonts w:ascii="宋体" w:hAnsi="宋体"/>
      <w:sz w:val="24"/>
      <w:szCs w:val="24"/>
    </w:rPr>
  </w:style>
  <w:style w:type="paragraph" w:styleId="1045" w:customStyle="1">
    <w:name w:val="列出段落"/>
    <w:basedOn w:val="760"/>
    <w:uiPriority w:val="0"/>
    <w:qFormat/>
    <w:pPr>
      <w:contextualSpacing/>
      <w:ind w:left="720"/>
      <w:jc w:val="left"/>
      <w:widowControl/>
    </w:pPr>
    <w:rPr>
      <w:rFonts w:ascii="Calibri" w:hAnsi="Calibri"/>
      <w:sz w:val="24"/>
      <w:szCs w:val="24"/>
      <w:lang w:eastAsia="en-US" w:bidi="en-US"/>
    </w:rPr>
  </w:style>
  <w:style w:type="paragraph" w:styleId="1046" w:customStyle="1">
    <w:name w:val="普通正文"/>
    <w:basedOn w:val="1047"/>
    <w:uiPriority w:val="0"/>
    <w:qFormat/>
    <w:pPr>
      <w:ind w:firstLine="480"/>
      <w:jc w:val="left"/>
      <w:spacing w:before="120" w:after="120" w:line="360" w:lineRule="auto"/>
    </w:pPr>
    <w:rPr>
      <w:rFonts w:ascii="Arial" w:hAnsi="Arial"/>
      <w:sz w:val="24"/>
      <w:szCs w:val="24"/>
    </w:rPr>
  </w:style>
  <w:style w:type="paragraph" w:styleId="1047" w:customStyle="1">
    <w:name w:val="正文1"/>
    <w:basedOn w:val="1048"/>
    <w:next w:val="1005"/>
    <w:uiPriority w:val="0"/>
    <w:qFormat/>
    <w:pPr>
      <w:jc w:val="left"/>
      <w:spacing w:line="360" w:lineRule="atLeast"/>
    </w:pPr>
    <w:rPr>
      <w:rFonts w:ascii="宋体" w:hAnsi="Calibri"/>
      <w:sz w:val="24"/>
      <w:szCs w:val="20"/>
    </w:rPr>
  </w:style>
  <w:style w:type="paragraph" w:styleId="1048" w:customStyle="1">
    <w:name w:val="正文11"/>
    <w:next w:val="977"/>
    <w:uiPriority w:val="0"/>
    <w:qFormat/>
    <w:pPr>
      <w:jc w:val="both"/>
      <w:widowControl w:val="off"/>
    </w:pPr>
    <w:rPr>
      <w:rFonts w:ascii="Times New Roman" w:hAnsi="Times New Roman" w:eastAsia="宋体" w:cs="Times New Roman"/>
      <w:sz w:val="21"/>
      <w:szCs w:val="22"/>
      <w:lang w:val="en-US" w:eastAsia="zh-CN" w:bidi="ar-SA"/>
    </w:rPr>
  </w:style>
  <w:style w:type="paragraph" w:styleId="1049" w:customStyle="1">
    <w:name w:val="目录 71"/>
    <w:basedOn w:val="760"/>
    <w:next w:val="760"/>
    <w:uiPriority w:val="0"/>
    <w:semiHidden/>
    <w:qFormat/>
    <w:pPr>
      <w:ind w:left="1260"/>
      <w:jc w:val="left"/>
    </w:pPr>
  </w:style>
  <w:style w:type="paragraph" w:styleId="1050" w:customStyle="1">
    <w:name w:val="目录 41"/>
    <w:basedOn w:val="760"/>
    <w:next w:val="760"/>
    <w:uiPriority w:val="0"/>
    <w:semiHidden/>
    <w:qFormat/>
    <w:pPr>
      <w:ind w:left="630"/>
      <w:jc w:val="left"/>
    </w:pPr>
  </w:style>
  <w:style w:type="paragraph" w:styleId="1051" w:customStyle="1">
    <w:name w:val="xl2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9"/>
    <w:basedOn w:val="7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customStyle="1">
    <w:name w:val="Char"/>
    <w:basedOn w:val="760"/>
    <w:uiPriority w:val="0"/>
    <w:qFormat/>
    <w:pPr>
      <w:ind w:firstLine="200"/>
      <w:tabs>
        <w:tab w:val="left" w:pos="360" w:leader="none"/>
      </w:tabs>
    </w:pPr>
    <w:rPr>
      <w:sz w:val="28"/>
      <w:szCs w:val="30"/>
    </w:rPr>
  </w:style>
  <w:style w:type="paragraph" w:styleId="1054" w:customStyle="1">
    <w:name w:val="4"/>
    <w:basedOn w:val="760"/>
    <w:next w:val="1010"/>
    <w:uiPriority w:val="0"/>
    <w:qFormat/>
    <w:pPr>
      <w:ind w:firstLine="420"/>
      <w:spacing w:line="360" w:lineRule="auto"/>
    </w:pPr>
    <w:rPr>
      <w:color w:val="ff0000"/>
      <w:sz w:val="24"/>
      <w:szCs w:val="24"/>
    </w:rPr>
  </w:style>
  <w:style w:type="paragraph" w:styleId="1055" w:customStyle="1">
    <w:name w:val=" Char Char Char Char Char Char Char Char Char Char"/>
    <w:basedOn w:val="760"/>
    <w:uiPriority w:val="0"/>
    <w:qFormat/>
    <w:pPr>
      <w:spacing w:line="360" w:lineRule="auto"/>
    </w:pPr>
    <w:rPr>
      <w:sz w:val="24"/>
      <w:szCs w:val="20"/>
    </w:rPr>
  </w:style>
  <w:style w:type="paragraph" w:styleId="1056" w:customStyle="1">
    <w:name w:val="样式1"/>
    <w:basedOn w:val="760"/>
    <w:uiPriority w:val="0"/>
    <w:qFormat/>
    <w:pPr>
      <w:numPr>
        <w:ilvl w:val="0"/>
        <w:numId w:val="3"/>
      </w:numPr>
    </w:pPr>
    <w:rPr>
      <w:rFonts w:ascii="宋体" w:hAnsi="宋体"/>
    </w:rPr>
  </w:style>
  <w:style w:type="paragraph" w:styleId="1057" w:customStyle="1">
    <w:name w:val="标题3"/>
    <w:basedOn w:val="760"/>
    <w:next w:val="760"/>
    <w:uiPriority w:val="0"/>
    <w:qFormat/>
    <w:pPr>
      <w:ind w:firstLine="624"/>
      <w:spacing w:line="590" w:lineRule="atLeast"/>
    </w:pPr>
    <w:rPr>
      <w:rFonts w:ascii="方正黑体_GBK" w:eastAsia="方正黑体_GBK"/>
      <w:sz w:val="32"/>
      <w:szCs w:val="32"/>
    </w:rPr>
  </w:style>
  <w:style w:type="paragraph" w:styleId="1058" w:customStyle="1">
    <w:name w:val="Char Char Char Char"/>
    <w:basedOn w:val="962"/>
    <w:uiPriority w:val="0"/>
    <w:qFormat/>
    <w:pPr>
      <w:spacing w:line="360" w:lineRule="auto"/>
    </w:pPr>
    <w:rPr>
      <w:rFonts w:ascii="Tahoma" w:hAnsi="Tahoma"/>
      <w:sz w:val="24"/>
      <w:szCs w:val="24"/>
    </w:rPr>
  </w:style>
  <w:style w:type="paragraph" w:styleId="1059" w:customStyle="1">
    <w:name w:val="table_1stline"/>
    <w:basedOn w:val="760"/>
    <w:uiPriority w:val="0"/>
    <w:qFormat/>
    <w:pPr>
      <w:jc w:val="left"/>
      <w:spacing w:before="120"/>
      <w:widowControl/>
    </w:pPr>
    <w:rPr>
      <w:bCs/>
      <w:sz w:val="20"/>
      <w:szCs w:val="20"/>
      <w:lang w:val="de-DE" w:eastAsia="de-DE"/>
    </w:rPr>
  </w:style>
  <w:style w:type="table" w:styleId="1060" w:customStyle="1">
    <w:name w:val="网格型1"/>
    <w:basedOn w:val="955"/>
    <w:uiPriority w:val="0"/>
    <w:qFormat/>
    <w:pPr>
      <w:jc w:val="both"/>
      <w:widowControl w:val="off"/>
    </w:pPr>
    <w:rPr>
      <w:rFonts w:ascii="Times New Roman" w:hAnsi="Times New Roman" w:eastAsia="宋体" w:cs="Times New Roman"/>
      <w:sz w:val="20"/>
      <w:szCs w:val="20"/>
    </w:rPr>
    <w:tblPr/>
  </w:style>
  <w:style w:type="paragraph" w:styleId="1061" w:customStyle="1">
    <w:name w:val="标准文件_二级无标题"/>
    <w:basedOn w:val="1062"/>
    <w:uiPriority w:val="0"/>
    <w:qFormat/>
    <w:pPr>
      <w:ind w:left="1418"/>
      <w:spacing w:before="0" w:after="0"/>
      <w:outlineLvl w:val="9"/>
    </w:pPr>
    <w:rPr>
      <w:rFonts w:ascii="宋体" w:eastAsia="宋体"/>
    </w:rPr>
  </w:style>
  <w:style w:type="paragraph" w:styleId="1062" w:customStyle="1">
    <w:name w:val="标准文件_二级条标题"/>
    <w:next w:val="1063"/>
    <w:uiPriority w:val="0"/>
    <w:qFormat/>
    <w:pPr>
      <w:numPr>
        <w:ilvl w:val="3"/>
        <w:numId w:val="4"/>
      </w:numPr>
      <w:ind w:left="0"/>
      <w:jc w:val="both"/>
      <w:spacing w:before="50" w:after="50"/>
      <w:widowControl w:val="off"/>
      <w:outlineLvl w:val="2"/>
    </w:pPr>
    <w:rPr>
      <w:rFonts w:ascii="黑体" w:hAnsi="Times New Roman" w:eastAsia="黑体" w:cs="Times New Roman"/>
      <w:sz w:val="21"/>
      <w:lang w:val="en-US" w:eastAsia="zh-CN" w:bidi="ar-SA"/>
    </w:rPr>
  </w:style>
  <w:style w:type="paragraph" w:styleId="1063" w:customStyle="1">
    <w:name w:val="标准文件_段"/>
    <w:uiPriority w:val="0"/>
    <w:qFormat/>
    <w:pPr>
      <w:ind w:firstLine="200"/>
      <w:jc w:val="both"/>
    </w:pPr>
    <w:rPr>
      <w:rFonts w:ascii="宋体" w:hAnsi="Times New Roman" w:eastAsia="宋体" w:cs="Times New Roman"/>
      <w:sz w:val="21"/>
      <w:lang w:val="en-US" w:eastAsia="zh-CN" w:bidi="ar-SA"/>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emf"/><Relationship Id="rId18"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50</cp:revision>
  <dcterms:created xsi:type="dcterms:W3CDTF">2023-03-16T02:16:00Z</dcterms:created>
  <dcterms:modified xsi:type="dcterms:W3CDTF">2026-01-28T06:34:22Z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eyJoZGlkIjoiZDZjN2Q0N2ViOWQ0ZGIwMTY3YjdmODQ1ZWIyZThmYjMiLCJ1c2VySWQiOiIxMzU0NDA5MjkzIn0=</vt:lpwstr>
  </property>
  <property fmtid="{D5CDD505-2E9C-101B-9397-08002B2CF9AE}" pid="3" name="KSOProductBuildVer">
    <vt:lpwstr>2052-12.1.0.24657</vt:lpwstr>
  </property>
  <property fmtid="{D5CDD505-2E9C-101B-9397-08002B2CF9AE}" pid="4" name="ICV">
    <vt:lpwstr>5CA344CDC6234F28BD344DC7FFB0B8D0_13</vt:lpwstr>
  </property>
</Properties>
</file>