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苏州</w:t>
      </w:r>
      <w:r>
        <w:rPr>
          <w:rFonts w:hint="eastAsia" w:ascii="宋体" w:hAnsi="宋体" w:cs="宋体"/>
          <w:b/>
          <w:color w:val="auto"/>
          <w:sz w:val="72"/>
          <w:szCs w:val="72"/>
          <w:highlight w:val="none"/>
          <w:lang w:val="en-US" w:eastAsia="zh-CN"/>
        </w:rPr>
        <w:t xml:space="preserve">市吴中</w:t>
      </w:r>
      <w:r>
        <w:rPr>
          <w:rFonts w:hint="eastAsia" w:ascii="宋体" w:hAnsi="宋体" w:cs="宋体"/>
          <w:b/>
          <w:color w:val="auto"/>
          <w:sz w:val="72"/>
          <w:szCs w:val="72"/>
          <w:highlight w:val="none"/>
        </w:rPr>
        <w:t xml:space="preserve">区政府采购</w:t>
      </w:r>
      <w:r/>
    </w:p>
    <w:p>
      <w:pPr>
        <w:ind w:left="0"/>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480" w:lineRule="auto"/>
        <w:rPr>
          <w:rFonts w:ascii="Times New Roman" w:hAnsi="Times New Roman"/>
          <w:b/>
          <w:color w:val="auto"/>
          <w:sz w:val="32"/>
          <w:highlight w:val="none"/>
        </w:rPr>
      </w:pPr>
      <w:r>
        <w:rPr>
          <w:rFonts w:ascii="Times New Roman" w:hAnsi="Times New Roman"/>
          <w:b/>
          <w:color w:val="auto"/>
          <w:sz w:val="32"/>
          <w:highlight w:val="none"/>
        </w:rPr>
      </w:r>
      <w:r/>
    </w:p>
    <w:p>
      <w:pPr>
        <w:ind w:firstLine="1285"/>
        <w:jc w:val="left"/>
        <w:spacing w:line="480" w:lineRule="auto"/>
        <w:rPr>
          <w:rFonts w:hint="eastAsia" w:ascii="Times New Roman" w:hAnsi="Times New Roman" w:eastAsia="宋体"/>
          <w:b/>
          <w:color w:val="auto"/>
          <w:sz w:val="32"/>
          <w:highlight w:val="none"/>
        </w:rPr>
      </w:pPr>
      <w:r>
        <w:rPr>
          <w:rFonts w:ascii="Times New Roman" w:hAnsi="Times New Roman"/>
          <w:b/>
          <w:color w:val="auto"/>
          <w:sz w:val="32"/>
          <w:highlight w:val="none"/>
        </w:rPr>
        <w:t xml:space="preserve">项目编号：</w:t>
      </w:r>
      <w:r>
        <w:rPr>
          <w:rFonts w:hint="eastAsia" w:ascii="Times New Roman" w:hAnsi="Times New Roman"/>
          <w:b/>
          <w:color w:val="auto"/>
          <w:sz w:val="32"/>
          <w:highlight w:val="none"/>
          <w:lang w:eastAsia="zh-CN"/>
        </w:rPr>
        <w:t xml:space="preserve">JSZC-320506-ZZZB-C2026-0002</w:t>
      </w:r>
      <w:r/>
    </w:p>
    <w:p>
      <w:pPr>
        <w:ind w:firstLine="1285"/>
        <w:jc w:val="left"/>
        <w:spacing w:line="480" w:lineRule="auto"/>
        <w:rPr>
          <w:rFonts w:hint="eastAsia" w:ascii="Times New Roman" w:hAnsi="Times New Roman" w:eastAsia="宋体"/>
          <w:b/>
          <w:color w:val="auto"/>
          <w:sz w:val="32"/>
          <w:highlight w:val="none"/>
        </w:rPr>
      </w:pPr>
      <w:r>
        <w:rPr>
          <w:rFonts w:ascii="Times New Roman" w:hAnsi="Times New Roman"/>
          <w:b/>
          <w:color w:val="auto"/>
          <w:sz w:val="32"/>
          <w:highlight w:val="none"/>
        </w:rPr>
        <w:t xml:space="preserve">采购单位</w:t>
      </w:r>
      <w:r>
        <w:rPr>
          <w:rFonts w:hint="eastAsia" w:ascii="Times New Roman" w:hAnsi="Times New Roman"/>
          <w:b/>
          <w:color w:val="auto"/>
          <w:sz w:val="32"/>
          <w:highlight w:val="none"/>
        </w:rPr>
        <w:t xml:space="preserve">：</w:t>
      </w:r>
      <w:r>
        <w:rPr>
          <w:rFonts w:hint="eastAsia" w:ascii="Times New Roman" w:hAnsi="Times New Roman"/>
          <w:b/>
          <w:color w:val="auto"/>
          <w:sz w:val="32"/>
          <w:highlight w:val="none"/>
          <w:lang w:eastAsia="zh-CN"/>
        </w:rPr>
        <w:t xml:space="preserve">东吴国家森林公园管理中心（机关）</w:t>
      </w:r>
      <w:r/>
    </w:p>
    <w:p>
      <w:pPr>
        <w:ind w:firstLine="1285"/>
        <w:spacing w:line="480" w:lineRule="auto"/>
        <w:rPr>
          <w:rFonts w:hint="eastAsia" w:ascii="Times New Roman" w:hAnsi="Times New Roman" w:eastAsia="宋体"/>
          <w:b/>
          <w:color w:val="auto"/>
          <w:sz w:val="32"/>
          <w:highlight w:val="none"/>
        </w:rPr>
      </w:pPr>
      <w:r>
        <w:rPr>
          <w:rFonts w:ascii="Times New Roman" w:hAnsi="Times New Roman"/>
          <w:b/>
          <w:color w:val="auto"/>
          <w:sz w:val="32"/>
          <w:highlight w:val="none"/>
        </w:rPr>
        <w:t xml:space="preserve">项目名称：</w:t>
      </w:r>
      <w:r>
        <w:rPr>
          <w:rFonts w:hint="eastAsia" w:ascii="Times New Roman" w:hAnsi="Times New Roman"/>
          <w:b/>
          <w:color w:val="auto"/>
          <w:sz w:val="32"/>
          <w:highlight w:val="none"/>
          <w:lang w:eastAsia="zh-CN"/>
        </w:rPr>
        <w:t xml:space="preserve">生态公益林管护服务项目（2026年度）</w:t>
      </w:r>
      <w:r/>
    </w:p>
    <w:p>
      <w:pPr>
        <w:ind w:firstLine="1285"/>
        <w:jc w:val="left"/>
        <w:spacing w:line="480" w:lineRule="auto"/>
        <w:rPr>
          <w:rFonts w:ascii="Times New Roman" w:hAnsi="Times New Roman"/>
          <w:b/>
          <w:color w:val="auto"/>
          <w:spacing w:val="20"/>
          <w:sz w:val="32"/>
          <w:highlight w:val="none"/>
        </w:rPr>
      </w:pPr>
      <w:r>
        <w:rPr>
          <w:rFonts w:ascii="Times New Roman" w:hAnsi="Times New Roman"/>
          <w:b/>
          <w:color w:val="auto"/>
          <w:sz w:val="32"/>
          <w:highlight w:val="none"/>
        </w:rPr>
        <w:t xml:space="preserve">项目类别：</w:t>
      </w:r>
      <w:r>
        <w:rPr>
          <w:rFonts w:hint="eastAsia" w:ascii="Times New Roman" w:hAnsi="Times New Roman"/>
          <w:b/>
          <w:color w:val="auto"/>
          <w:spacing w:val="20"/>
          <w:sz w:val="32"/>
          <w:highlight w:val="none"/>
        </w:rPr>
        <w:t xml:space="preserve">服务类</w:t>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center"/>
        <w:rPr>
          <w:rFonts w:ascii="Times New Roman" w:hAnsi="Times New Roman"/>
          <w:b/>
          <w:color w:val="auto"/>
          <w:sz w:val="32"/>
          <w:highlight w:val="none"/>
        </w:rPr>
      </w:pPr>
      <w:r>
        <w:rPr>
          <w:rFonts w:ascii="Times New Roman" w:hAnsi="Times New Roman"/>
          <w:b/>
          <w:color w:val="auto"/>
          <w:sz w:val="32"/>
          <w:highlight w:val="none"/>
        </w:rPr>
      </w:r>
      <w:r/>
    </w:p>
    <w:p>
      <w:pPr>
        <w:ind w:left="0"/>
        <w:jc w:val="center"/>
        <w:rPr>
          <w:rFonts w:ascii="宋体" w:hAnsi="宋体" w:cs="宋体"/>
          <w:b/>
          <w:color w:val="auto"/>
          <w:sz w:val="32"/>
          <w:highlight w:val="none"/>
        </w:rPr>
      </w:pPr>
      <w:r>
        <w:rPr>
          <w:rFonts w:ascii="宋体" w:hAnsi="宋体" w:cs="宋体"/>
          <w:b/>
          <w:color w:val="auto"/>
          <w:sz w:val="32"/>
          <w:highlight w:val="none"/>
        </w:rPr>
      </w:r>
      <w:r/>
    </w:p>
    <w:p>
      <w:pPr>
        <w:ind w:left="0"/>
        <w:rPr>
          <w:rFonts w:ascii="Times New Roman" w:hAnsi="Times New Roman"/>
          <w:color w:val="auto"/>
          <w:sz w:val="48"/>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851" w:right="1021" w:bottom="851" w:left="1021" w:header="567" w:footer="567" w:gutter="0"/>
          <w:pgNumType w:start="1"/>
          <w:cols w:num="1" w:sep="0" w:space="1701" w:equalWidth="1"/>
          <w:docGrid w:linePitch="360"/>
        </w:sectPr>
      </w:pPr>
      <w:r>
        <w:rPr>
          <w:rFonts w:ascii="Times New Roman" w:hAnsi="Times New Roman"/>
          <w:color w:val="auto"/>
          <w:sz w:val="48"/>
          <w:highlight w:val="none"/>
        </w:rPr>
      </w:r>
      <w:r/>
    </w:p>
    <w:p>
      <w:pPr>
        <w:ind w:left="0"/>
        <w:jc w:val="center"/>
        <w:tabs>
          <w:tab w:val="center" w:pos="5444" w:leader="none"/>
          <w:tab w:val="left" w:pos="8076" w:leader="none"/>
        </w:tabs>
        <w:rPr>
          <w:rFonts w:ascii="宋体" w:hAnsi="宋体" w:cs="宋体"/>
          <w:color w:val="auto"/>
          <w:sz w:val="48"/>
          <w:szCs w:val="48"/>
          <w:highlight w:val="none"/>
        </w:rPr>
      </w:pPr>
      <w:r>
        <w:rPr>
          <w:rFonts w:hint="eastAsia" w:ascii="宋体" w:hAnsi="宋体" w:cs="宋体"/>
          <w:color w:val="auto"/>
          <w:sz w:val="48"/>
          <w:szCs w:val="48"/>
          <w:highlight w:val="none"/>
        </w:rPr>
        <w:t xml:space="preserve">总目录</w:t>
      </w:r>
      <w:r/>
    </w:p>
    <w:p>
      <w:pPr>
        <w:pStyle w:val="954"/>
        <w:tabs>
          <w:tab w:val="right" w:pos="9856" w:leader="dot"/>
        </w:tabs>
        <w:rPr>
          <w:rFonts w:ascii="宋体" w:hAnsi="宋体" w:cs="Times New Roman"/>
          <w:b w:val="0"/>
          <w:bCs w:val="0"/>
          <w:caps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w:instrText>
      </w:r>
      <w:r>
        <w:rPr>
          <w:rFonts w:hint="eastAsia"/>
          <w:color w:val="auto"/>
          <w:sz w:val="32"/>
          <w:szCs w:val="32"/>
          <w:highlight w:val="none"/>
        </w:rPr>
        <w:instrText xml:space="preserve">TOC \o "1-2" \h \z \u</w:instrText>
      </w:r>
      <w:r>
        <w:rPr>
          <w:color w:val="auto"/>
          <w:sz w:val="32"/>
          <w:szCs w:val="32"/>
          <w:highlight w:val="none"/>
        </w:rPr>
        <w:instrText xml:space="preserve"> </w:instrText>
      </w:r>
      <w:r>
        <w:rPr>
          <w:color w:val="auto"/>
          <w:sz w:val="32"/>
          <w:szCs w:val="32"/>
          <w:highlight w:val="none"/>
        </w:rPr>
        <w:fldChar w:fldCharType="separate"/>
      </w:r>
      <w:r>
        <w:rPr>
          <w:color w:val="auto"/>
          <w:highlight w:val="none"/>
        </w:rPr>
        <w:fldChar w:fldCharType="begin"/>
      </w:r>
      <w:r>
        <w:rPr>
          <w:color w:val="auto"/>
          <w:highlight w:val="none"/>
        </w:rPr>
        <w:instrText xml:space="preserve"> HYPERLINK \l "_Toc103258848" </w:instrText>
      </w:r>
      <w:r>
        <w:rPr>
          <w:color w:val="auto"/>
          <w:highlight w:val="none"/>
        </w:rPr>
        <w:fldChar w:fldCharType="separate"/>
      </w:r>
      <w:r>
        <w:rPr>
          <w:rStyle w:val="911"/>
          <w:rFonts w:ascii="宋体" w:hAnsi="宋体"/>
          <w:b w:val="0"/>
          <w:color w:val="auto"/>
          <w:sz w:val="32"/>
          <w:szCs w:val="32"/>
          <w:highlight w:val="none"/>
        </w:rPr>
        <w:t xml:space="preserve">第一章 磋商邀请函</w:t>
      </w:r>
      <w:r>
        <w:rPr>
          <w:rFonts w:ascii="宋体" w:hAnsi="宋体"/>
          <w:b w:val="0"/>
          <w:color w:val="auto"/>
          <w:sz w:val="32"/>
          <w:szCs w:val="32"/>
          <w:highlight w:val="none"/>
        </w:rPr>
        <w:fldChar w:fldCharType="end"/>
      </w:r>
      <w:r/>
    </w:p>
    <w:p>
      <w:pPr>
        <w:pStyle w:val="954"/>
        <w:tabs>
          <w:tab w:val="right" w:pos="9856" w:leader="dot"/>
        </w:tabs>
        <w:rPr>
          <w:rFonts w:ascii="宋体" w:hAnsi="宋体" w:cs="Times New Roman"/>
          <w:b w:val="0"/>
          <w:bCs w:val="0"/>
          <w:caps w:val="0"/>
          <w:color w:val="auto"/>
          <w:sz w:val="32"/>
          <w:szCs w:val="32"/>
          <w:highlight w:val="none"/>
        </w:rPr>
      </w:pPr>
      <w:r>
        <w:rPr>
          <w:color w:val="auto"/>
          <w:highlight w:val="none"/>
        </w:rPr>
        <w:fldChar w:fldCharType="begin"/>
      </w:r>
      <w:r>
        <w:rPr>
          <w:color w:val="auto"/>
          <w:highlight w:val="none"/>
        </w:rPr>
        <w:instrText xml:space="preserve"> HYPERLINK \l "_Toc103258849" </w:instrText>
      </w:r>
      <w:r>
        <w:rPr>
          <w:color w:val="auto"/>
          <w:highlight w:val="none"/>
        </w:rPr>
        <w:fldChar w:fldCharType="separate"/>
      </w:r>
      <w:r>
        <w:rPr>
          <w:rStyle w:val="911"/>
          <w:rFonts w:ascii="宋体" w:hAnsi="宋体"/>
          <w:b w:val="0"/>
          <w:color w:val="auto"/>
          <w:sz w:val="32"/>
          <w:szCs w:val="32"/>
          <w:highlight w:val="none"/>
        </w:rPr>
        <w:t xml:space="preserve">第二章 磋商须知</w:t>
      </w:r>
      <w:r>
        <w:rPr>
          <w:rFonts w:ascii="宋体" w:hAnsi="宋体"/>
          <w:b w:val="0"/>
          <w:color w:val="auto"/>
          <w:sz w:val="32"/>
          <w:szCs w:val="32"/>
          <w:highlight w:val="none"/>
        </w:rPr>
        <w:fldChar w:fldCharType="end"/>
      </w:r>
      <w:r/>
    </w:p>
    <w:p>
      <w:pPr>
        <w:pStyle w:val="954"/>
        <w:tabs>
          <w:tab w:val="right" w:pos="9856" w:leader="dot"/>
        </w:tabs>
        <w:rPr>
          <w:rFonts w:ascii="宋体" w:hAnsi="宋体" w:cs="Times New Roman"/>
          <w:b w:val="0"/>
          <w:bCs w:val="0"/>
          <w:caps w:val="0"/>
          <w:color w:val="auto"/>
          <w:sz w:val="32"/>
          <w:szCs w:val="32"/>
          <w:highlight w:val="none"/>
        </w:rPr>
      </w:pPr>
      <w:r>
        <w:rPr>
          <w:color w:val="auto"/>
          <w:highlight w:val="none"/>
        </w:rPr>
        <w:fldChar w:fldCharType="begin"/>
      </w:r>
      <w:r>
        <w:rPr>
          <w:color w:val="auto"/>
          <w:highlight w:val="none"/>
        </w:rPr>
        <w:instrText xml:space="preserve"> HYPERLINK \l "_Toc103258850" </w:instrText>
      </w:r>
      <w:r>
        <w:rPr>
          <w:color w:val="auto"/>
          <w:highlight w:val="none"/>
        </w:rPr>
        <w:fldChar w:fldCharType="separate"/>
      </w:r>
      <w:r>
        <w:rPr>
          <w:rStyle w:val="911"/>
          <w:rFonts w:ascii="宋体" w:hAnsi="宋体"/>
          <w:b w:val="0"/>
          <w:color w:val="auto"/>
          <w:sz w:val="32"/>
          <w:szCs w:val="32"/>
          <w:highlight w:val="none"/>
        </w:rPr>
        <w:t xml:space="preserve">第三章 响应文件格式</w:t>
      </w:r>
      <w:r>
        <w:rPr>
          <w:rFonts w:ascii="宋体" w:hAnsi="宋体"/>
          <w:b w:val="0"/>
          <w:color w:val="auto"/>
          <w:sz w:val="32"/>
          <w:szCs w:val="32"/>
          <w:highlight w:val="none"/>
        </w:rPr>
        <w:fldChar w:fldCharType="end"/>
      </w:r>
      <w:r/>
    </w:p>
    <w:p>
      <w:pPr>
        <w:pStyle w:val="954"/>
        <w:tabs>
          <w:tab w:val="right" w:pos="9856" w:leader="dot"/>
        </w:tabs>
        <w:rPr>
          <w:rFonts w:ascii="宋体" w:hAnsi="宋体" w:cs="Times New Roman"/>
          <w:b w:val="0"/>
          <w:bCs w:val="0"/>
          <w:caps w:val="0"/>
          <w:color w:val="auto"/>
          <w:sz w:val="32"/>
          <w:szCs w:val="32"/>
          <w:highlight w:val="none"/>
        </w:rPr>
      </w:pPr>
      <w:r>
        <w:rPr>
          <w:color w:val="auto"/>
          <w:highlight w:val="none"/>
        </w:rPr>
        <w:fldChar w:fldCharType="begin"/>
      </w:r>
      <w:r>
        <w:rPr>
          <w:color w:val="auto"/>
          <w:highlight w:val="none"/>
        </w:rPr>
        <w:instrText xml:space="preserve"> HYPERLINK \l "_Toc103258865" </w:instrText>
      </w:r>
      <w:r>
        <w:rPr>
          <w:color w:val="auto"/>
          <w:highlight w:val="none"/>
        </w:rPr>
        <w:fldChar w:fldCharType="separate"/>
      </w:r>
      <w:r>
        <w:rPr>
          <w:rStyle w:val="911"/>
          <w:rFonts w:ascii="宋体" w:hAnsi="宋体"/>
          <w:b w:val="0"/>
          <w:color w:val="auto"/>
          <w:sz w:val="32"/>
          <w:szCs w:val="32"/>
          <w:highlight w:val="none"/>
        </w:rPr>
        <w:t xml:space="preserve">第四章 采购内容</w:t>
      </w:r>
      <w:r>
        <w:rPr>
          <w:rFonts w:ascii="宋体" w:hAnsi="宋体"/>
          <w:b w:val="0"/>
          <w:color w:val="auto"/>
          <w:sz w:val="32"/>
          <w:szCs w:val="32"/>
          <w:highlight w:val="none"/>
        </w:rPr>
        <w:fldChar w:fldCharType="end"/>
      </w:r>
      <w:r/>
    </w:p>
    <w:p>
      <w:pPr>
        <w:pStyle w:val="954"/>
        <w:tabs>
          <w:tab w:val="right" w:pos="9856" w:leader="dot"/>
        </w:tabs>
        <w:rPr>
          <w:rFonts w:ascii="宋体" w:hAnsi="宋体" w:cs="Times New Roman"/>
          <w:b w:val="0"/>
          <w:bCs w:val="0"/>
          <w:caps w:val="0"/>
          <w:color w:val="auto"/>
          <w:sz w:val="32"/>
          <w:szCs w:val="32"/>
          <w:highlight w:val="none"/>
        </w:rPr>
      </w:pPr>
      <w:r>
        <w:rPr>
          <w:color w:val="auto"/>
          <w:highlight w:val="none"/>
        </w:rPr>
        <w:fldChar w:fldCharType="begin"/>
      </w:r>
      <w:r>
        <w:rPr>
          <w:color w:val="auto"/>
          <w:highlight w:val="none"/>
        </w:rPr>
        <w:instrText xml:space="preserve"> HYPERLINK \l "_Toc103258866" </w:instrText>
      </w:r>
      <w:r>
        <w:rPr>
          <w:color w:val="auto"/>
          <w:highlight w:val="none"/>
        </w:rPr>
        <w:fldChar w:fldCharType="separate"/>
      </w:r>
      <w:r>
        <w:rPr>
          <w:rStyle w:val="911"/>
          <w:rFonts w:ascii="宋体" w:hAnsi="宋体"/>
          <w:b w:val="0"/>
          <w:color w:val="auto"/>
          <w:sz w:val="32"/>
          <w:szCs w:val="32"/>
          <w:highlight w:val="none"/>
        </w:rPr>
        <w:t xml:space="preserve">第五章 合同及主要条款</w:t>
      </w:r>
      <w:r>
        <w:rPr>
          <w:rFonts w:ascii="宋体" w:hAnsi="宋体"/>
          <w:b w:val="0"/>
          <w:color w:val="auto"/>
          <w:sz w:val="32"/>
          <w:szCs w:val="32"/>
          <w:highlight w:val="none"/>
        </w:rPr>
        <w:fldChar w:fldCharType="end"/>
      </w:r>
      <w:r/>
    </w:p>
    <w:p>
      <w:pPr>
        <w:pStyle w:val="954"/>
        <w:tabs>
          <w:tab w:val="right" w:pos="9856" w:leader="dot"/>
        </w:tabs>
        <w:rPr>
          <w:rFonts w:ascii="宋体" w:hAnsi="宋体" w:cs="Times New Roman"/>
          <w:b w:val="0"/>
          <w:bCs w:val="0"/>
          <w:caps w:val="0"/>
          <w:color w:val="auto"/>
          <w:sz w:val="32"/>
          <w:szCs w:val="32"/>
          <w:highlight w:val="none"/>
        </w:rPr>
      </w:pPr>
      <w:r>
        <w:rPr>
          <w:color w:val="auto"/>
          <w:highlight w:val="none"/>
        </w:rPr>
        <w:fldChar w:fldCharType="begin"/>
      </w:r>
      <w:r>
        <w:rPr>
          <w:color w:val="auto"/>
          <w:highlight w:val="none"/>
        </w:rPr>
        <w:instrText xml:space="preserve"> HYPERLINK \l "_Toc103258867" </w:instrText>
      </w:r>
      <w:r>
        <w:rPr>
          <w:color w:val="auto"/>
          <w:highlight w:val="none"/>
        </w:rPr>
        <w:fldChar w:fldCharType="separate"/>
      </w:r>
      <w:r>
        <w:rPr>
          <w:rStyle w:val="911"/>
          <w:rFonts w:ascii="宋体" w:hAnsi="宋体"/>
          <w:b w:val="0"/>
          <w:color w:val="auto"/>
          <w:sz w:val="32"/>
          <w:szCs w:val="32"/>
          <w:highlight w:val="none"/>
        </w:rPr>
        <w:t xml:space="preserve">第六章 评审办法和评分标准</w:t>
      </w:r>
      <w:r>
        <w:rPr>
          <w:rFonts w:ascii="宋体" w:hAnsi="宋体"/>
          <w:b w:val="0"/>
          <w:color w:val="auto"/>
          <w:sz w:val="32"/>
          <w:szCs w:val="32"/>
          <w:highlight w:val="none"/>
        </w:rPr>
        <w:fldChar w:fldCharType="end"/>
      </w:r>
      <w:r/>
    </w:p>
    <w:p>
      <w:pPr>
        <w:pStyle w:val="954"/>
        <w:tabs>
          <w:tab w:val="right" w:pos="9854" w:leader="dot"/>
        </w:tabs>
        <w:rPr>
          <w:rFonts w:cs="Times New Roman"/>
          <w:b w:val="0"/>
          <w:bCs w:val="0"/>
          <w:caps w:val="0"/>
          <w:color w:val="auto"/>
          <w:sz w:val="32"/>
          <w:szCs w:val="32"/>
          <w:highlight w:val="none"/>
        </w:rPr>
      </w:pPr>
      <w:r>
        <w:rPr>
          <w:color w:val="auto"/>
          <w:sz w:val="32"/>
          <w:szCs w:val="32"/>
          <w:highlight w:val="none"/>
        </w:rPr>
        <w:fldChar w:fldCharType="end"/>
      </w:r>
      <w:r/>
    </w:p>
    <w:p>
      <w:pPr>
        <w:ind w:left="0"/>
        <w:jc w:val="center"/>
        <w:rPr>
          <w:color w:val="auto"/>
          <w:highlight w:val="none"/>
        </w:rPr>
      </w:pPr>
      <w:r>
        <w:rPr>
          <w:color w:val="auto"/>
          <w:highlight w:val="none"/>
        </w:rPr>
        <w:br w:type="page" w:clear="all"/>
      </w:r>
      <w:bookmarkStart w:id="0" w:name="_Toc12642"/>
      <w:r/>
      <w:bookmarkStart w:id="1" w:name="_Toc15681"/>
      <w:r/>
      <w:bookmarkStart w:id="2" w:name="_Toc17003"/>
      <w:r/>
      <w:bookmarkStart w:id="3" w:name="_Toc16121"/>
      <w:r>
        <w:rPr>
          <w:rFonts w:ascii="Arial" w:hAnsi="Arial"/>
          <w:b/>
          <w:color w:val="auto"/>
          <w:spacing w:val="20"/>
          <w:sz w:val="30"/>
          <w:highlight w:val="none"/>
        </w:rPr>
        <w:t xml:space="preserve">前 附 表</w:t>
      </w:r>
      <w:bookmarkEnd w:id="0"/>
      <w:r/>
      <w:bookmarkEnd w:id="1"/>
      <w:r/>
      <w:bookmarkEnd w:id="2"/>
      <w:r/>
      <w:bookmarkEnd w:id="3"/>
      <w:r/>
      <w:r/>
    </w:p>
    <w:tbl>
      <w:tblPr>
        <w:tblStyle w:val="876"/>
        <w:tblW w:w="9760"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bidi="ar-SA"/>
              </w:rPr>
              <w:t xml:space="preserve">JSZC-320506-ZZZB-C2026-0002</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both"/>
              <w:spacing w:line="312" w:lineRule="auto"/>
              <w:rPr>
                <w:rFonts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bidi="ar-SA"/>
              </w:rPr>
              <w:t xml:space="preserve">生态公益林管护服务项目（2026年度）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采购代理机构</w:t>
            </w:r>
            <w:r/>
          </w:p>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名称：苏州至贞招投标咨询服务有限公司</w:t>
            </w:r>
            <w:r/>
          </w:p>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地址：苏州市南湖路71号918室</w:t>
            </w:r>
            <w:r/>
          </w:p>
          <w:p>
            <w:pPr>
              <w:ind w:left="0"/>
              <w:jc w:val="left"/>
              <w:spacing w:line="312" w:lineRule="auto"/>
              <w:rPr>
                <w:rFonts w:hint="default"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eastAsia="zh-CN" w:bidi="ar-SA"/>
              </w:rPr>
              <w:t xml:space="preserve">联系人: </w:t>
            </w:r>
            <w:r>
              <w:rPr>
                <w:rFonts w:hint="eastAsia" w:ascii="宋体" w:hAnsi="宋体" w:cs="Times New Roman"/>
                <w:color w:val="auto"/>
                <w:sz w:val="21"/>
                <w:szCs w:val="21"/>
                <w:highlight w:val="none"/>
                <w:lang w:val="en-US" w:eastAsia="zh-CN" w:bidi="ar-SA"/>
              </w:rPr>
              <w:t xml:space="preserve">张欣雨</w:t>
            </w:r>
            <w:r/>
          </w:p>
          <w:p>
            <w:pPr>
              <w:ind w:left="0"/>
              <w:jc w:val="left"/>
              <w:spacing w:line="312" w:lineRule="auto"/>
              <w:rPr>
                <w:rFonts w:ascii="Calibri" w:hAnsi="Calibri" w:eastAsia="宋体" w:cs="Times New Roman"/>
                <w:color w:val="auto"/>
                <w:highlight w:val="none"/>
              </w:rPr>
            </w:pPr>
            <w:r>
              <w:rPr>
                <w:rFonts w:hint="eastAsia" w:ascii="宋体" w:hAnsi="宋体" w:eastAsia="宋体" w:cs="Times New Roman"/>
                <w:color w:val="auto"/>
                <w:sz w:val="21"/>
                <w:szCs w:val="21"/>
                <w:highlight w:val="none"/>
                <w:lang w:val="en-US" w:eastAsia="zh-CN" w:bidi="ar-SA"/>
              </w:rPr>
              <w:t xml:space="preserve">联系电话：（0512）66263318</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名称：</w:t>
            </w:r>
            <w:r>
              <w:rPr>
                <w:rFonts w:hint="eastAsia" w:ascii="宋体" w:hAnsi="宋体" w:cs="Times New Roman"/>
                <w:color w:val="auto"/>
                <w:sz w:val="21"/>
                <w:szCs w:val="21"/>
                <w:highlight w:val="none"/>
                <w:lang w:val="en-US" w:eastAsia="zh-CN" w:bidi="ar-SA"/>
              </w:rPr>
              <w:t xml:space="preserve">东吴国家森林公园管理中心（机关）</w:t>
            </w:r>
            <w:r/>
          </w:p>
          <w:p>
            <w:pPr>
              <w:ind w:left="0"/>
              <w:jc w:val="left"/>
              <w:spacing w:line="312" w:lineRule="auto"/>
              <w:rPr>
                <w:rFonts w:ascii="宋体" w:hAnsi="宋体" w:eastAsia="宋体" w:cs="Times New Roman"/>
                <w:color w:val="auto"/>
                <w:sz w:val="21"/>
                <w:szCs w:val="21"/>
                <w:highlight w:val="none"/>
              </w:rPr>
            </w:pPr>
            <w:r/>
            <w:bookmarkStart w:id="4" w:name="OLE_LINK1"/>
            <w:r>
              <w:rPr>
                <w:rFonts w:hint="eastAsia" w:ascii="宋体" w:hAnsi="宋体" w:eastAsia="宋体" w:cs="Times New Roman"/>
                <w:color w:val="auto"/>
                <w:sz w:val="21"/>
                <w:szCs w:val="21"/>
                <w:highlight w:val="none"/>
                <w:lang w:val="en-US" w:eastAsia="zh-CN" w:bidi="ar-SA"/>
              </w:rPr>
              <w:t xml:space="preserve">地</w:t>
            </w:r>
            <w:r>
              <w:rPr>
                <w:rFonts w:hint="eastAsia" w:ascii="宋体" w:hAnsi="宋体" w:cs="Times New Roman"/>
                <w:color w:val="auto"/>
                <w:sz w:val="21"/>
                <w:szCs w:val="21"/>
                <w:highlight w:val="none"/>
                <w:lang w:val="en-US" w:eastAsia="zh-CN" w:bidi="ar-SA"/>
              </w:rPr>
              <w:t xml:space="preserve">址：苏州市吴中区木渎镇穹灵路308号</w:t>
            </w:r>
            <w:r/>
          </w:p>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联系人：</w:t>
            </w:r>
            <w:r>
              <w:rPr>
                <w:rFonts w:hint="eastAsia" w:ascii="宋体" w:hAnsi="宋体" w:cs="Times New Roman"/>
                <w:color w:val="auto"/>
                <w:sz w:val="21"/>
                <w:szCs w:val="21"/>
                <w:highlight w:val="none"/>
                <w:lang w:val="en-US" w:eastAsia="zh-CN" w:bidi="ar-SA"/>
              </w:rPr>
              <w:t xml:space="preserve">甘敏洁</w:t>
            </w:r>
            <w:r/>
          </w:p>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联系电话：</w:t>
            </w:r>
            <w:r>
              <w:rPr>
                <w:rFonts w:hint="eastAsia" w:ascii="宋体" w:hAnsi="宋体" w:cs="Times New Roman"/>
                <w:color w:val="auto"/>
                <w:sz w:val="21"/>
                <w:szCs w:val="21"/>
                <w:highlight w:val="none"/>
                <w:lang w:val="en-US" w:eastAsia="zh-CN" w:bidi="ar-SA"/>
              </w:rPr>
              <w:t xml:space="preserve">（0512）66240869</w:t>
            </w:r>
            <w:r>
              <w:rPr>
                <w:rFonts w:hint="eastAsia" w:ascii="宋体" w:hAnsi="宋体" w:eastAsia="宋体" w:cs="Times New Roman"/>
                <w:color w:val="auto"/>
                <w:sz w:val="21"/>
                <w:szCs w:val="21"/>
                <w:highlight w:val="none"/>
                <w:lang w:val="en-US" w:eastAsia="zh-CN" w:bidi="ar-SA"/>
              </w:rPr>
              <w:t xml:space="preserve"> </w:t>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网上报名</w:t>
            </w:r>
            <w:r/>
          </w:p>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color w:val="auto"/>
                <w:sz w:val="21"/>
                <w:szCs w:val="21"/>
                <w:highlight w:val="none"/>
              </w:rPr>
            </w:pPr>
            <w:r>
              <w:rPr>
                <w:rFonts w:hint="eastAsia" w:ascii="宋体" w:hAnsi="宋体" w:cs="Times New Roman"/>
                <w:color w:val="auto"/>
                <w:sz w:val="21"/>
                <w:szCs w:val="21"/>
                <w:highlight w:val="none"/>
                <w:lang w:val="en-US" w:eastAsia="zh-CN" w:bidi="ar-SA"/>
              </w:rPr>
              <w:t xml:space="preserve">2026年2月6日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bookmarkStart w:id="5" w:name="_Toc57376405"/>
            <w:r/>
            <w:bookmarkStart w:id="6" w:name="_Toc58248879"/>
            <w:r/>
            <w:bookmarkStart w:id="7" w:name="_Toc19808"/>
            <w:r/>
            <w:bookmarkStart w:id="8" w:name="_Toc28592"/>
            <w:r/>
            <w:bookmarkStart w:id="9" w:name="_Toc68611034"/>
            <w:r/>
            <w:bookmarkStart w:id="10" w:name="_Toc7166"/>
            <w:r>
              <w:rPr>
                <w:rFonts w:ascii="宋体" w:hAnsi="宋体" w:eastAsia="宋体" w:cs="Times New Roman"/>
                <w:color w:val="auto"/>
                <w:sz w:val="21"/>
                <w:szCs w:val="21"/>
                <w:highlight w:val="none"/>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响应文件网上</w:t>
            </w:r>
            <w:r/>
          </w:p>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Times New Roman"/>
                <w:color w:val="auto"/>
                <w:sz w:val="21"/>
                <w:szCs w:val="21"/>
                <w:highlight w:val="none"/>
              </w:rPr>
            </w:pPr>
            <w:r>
              <w:rPr>
                <w:rFonts w:hint="eastAsia" w:ascii="宋体" w:hAnsi="宋体" w:cs="宋体"/>
                <w:color w:val="auto"/>
                <w:sz w:val="21"/>
                <w:szCs w:val="21"/>
                <w:highlight w:val="none"/>
                <w:lang w:val="en-US" w:eastAsia="zh-CN" w:bidi="ar-SA"/>
              </w:rPr>
              <w:t xml:space="preserve">2026年2月10日</w:t>
            </w:r>
            <w:r>
              <w:rPr>
                <w:rFonts w:hint="eastAsia" w:ascii="宋体" w:hAnsi="宋体" w:cs="Times New Roman"/>
                <w:color w:val="auto"/>
                <w:sz w:val="21"/>
                <w:szCs w:val="21"/>
                <w:highlight w:val="none"/>
                <w:lang w:val="en-US" w:eastAsia="zh-CN" w:bidi="ar-SA"/>
              </w:rPr>
              <w:t xml:space="preserve">14:00</w:t>
            </w:r>
            <w:r>
              <w:rPr>
                <w:rFonts w:hint="eastAsia" w:ascii="宋体" w:hAnsi="宋体" w:eastAsia="宋体" w:cs="Times New Roman"/>
                <w:color w:val="auto"/>
                <w:sz w:val="21"/>
                <w:szCs w:val="21"/>
                <w:highlight w:val="none"/>
                <w:lang w:val="en-US" w:eastAsia="zh-CN" w:bidi="ar-SA"/>
              </w:rPr>
              <w:t xml:space="preserve">（北京时间）</w:t>
            </w:r>
            <w:r/>
          </w:p>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响应文件网上</w:t>
            </w:r>
            <w:r/>
          </w:p>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接收截止时间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bidi="ar-SA"/>
              </w:rPr>
              <w:t xml:space="preserve">2026年2月10日14:00</w:t>
            </w:r>
            <w:r>
              <w:rPr>
                <w:rFonts w:hint="eastAsia" w:ascii="宋体" w:hAnsi="宋体" w:eastAsia="宋体" w:cs="Times New Roman"/>
                <w:color w:val="auto"/>
                <w:sz w:val="21"/>
                <w:szCs w:val="21"/>
                <w:highlight w:val="none"/>
                <w:lang w:val="en-US" w:eastAsia="zh-CN" w:bidi="ar-SA"/>
              </w:rPr>
              <w:t xml:space="preserve">（北京时间） </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firstLine="42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both"/>
              <w:spacing w:line="360" w:lineRule="auto"/>
              <w:rPr>
                <w:rFonts w:ascii="宋体" w:hAnsi="宋体" w:eastAsia="宋体" w:cs="Times New Roman"/>
                <w:b/>
                <w:bCs/>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“苏采云”政府采购交易系统网上开标大厅。</w:t>
            </w:r>
            <w:r/>
          </w:p>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b/>
                <w:bCs/>
                <w:color w:val="auto"/>
                <w:sz w:val="21"/>
                <w:szCs w:val="21"/>
                <w:highlight w:val="none"/>
                <w:lang w:val="en-US" w:eastAsia="zh-CN" w:bidi="ar-SA"/>
              </w:rPr>
              <w:t xml:space="preserve">本项目为不见面磋商项目，开启阶段供应商在【供应商解密】环节必须使用 CA证书解密电子响应文件，如在系统规定的解密时间内未能完成解密的视为放弃参与本项目。“苏采云”系统（网址：http://jszfcg.jsczt.cn/）</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lang w:val="zh-CN" w:eastAsia="zh-CN" w:bidi="ar-SA"/>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975"/>
              <w:ind w:left="0" w:firstLine="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eastAsia="zh-CN" w:bidi="ar-SA"/>
              </w:rPr>
              <w:t xml:space="preserve">成交服务费：根据2023年苏州市级政府采购代理服务收费公告信息表（第五批）的规定收取成交服务费。领取成交通知书时成交供应商向招标代理机构一次性付清，由成交单位支付。</w:t>
            </w:r>
            <w:r>
              <w:rPr>
                <w:rFonts w:hint="eastAsia" w:ascii="宋体" w:hAnsi="宋体" w:eastAsia="宋体" w:cs="Times New Roman"/>
                <w:color w:val="auto"/>
                <w:sz w:val="21"/>
                <w:szCs w:val="21"/>
                <w:highlight w:val="none"/>
                <w:lang w:val="en-US" w:eastAsia="zh-CN" w:bidi="ar-SA"/>
              </w:rPr>
              <w:t xml:space="preserve">按</w:t>
            </w:r>
            <w:r>
              <w:rPr>
                <w:rFonts w:hint="eastAsia" w:ascii="宋体" w:hAnsi="宋体" w:eastAsia="宋体" w:cs="Times New Roman"/>
                <w:color w:val="auto"/>
                <w:sz w:val="21"/>
                <w:szCs w:val="21"/>
                <w:highlight w:val="none"/>
                <w:lang w:val="zh-CN" w:eastAsia="zh-CN" w:bidi="ar-SA"/>
              </w:rPr>
              <w:t xml:space="preserve">差额定率累进法计算并支付成交服务费。</w:t>
            </w:r>
            <w:r>
              <w:rPr>
                <w:rFonts w:hint="eastAsia" w:ascii="宋体" w:hAnsi="宋体" w:eastAsia="宋体" w:cs="Times New Roman"/>
                <w:color w:val="auto"/>
                <w:sz w:val="21"/>
                <w:szCs w:val="21"/>
                <w:highlight w:val="none"/>
                <w:lang w:val="en-US" w:eastAsia="zh-CN" w:bidi="ar-SA"/>
              </w:rPr>
              <w:t xml:space="preserve">本项目代理服务费：</w:t>
            </w:r>
            <w:r>
              <w:rPr>
                <w:rFonts w:hint="eastAsia" w:ascii="宋体" w:hAnsi="宋体" w:cs="Times New Roman"/>
                <w:color w:val="auto"/>
                <w:sz w:val="21"/>
                <w:szCs w:val="21"/>
                <w:highlight w:val="none"/>
                <w:lang w:val="en-US" w:eastAsia="zh-CN" w:bidi="ar-SA"/>
              </w:rPr>
              <w:t xml:space="preserve">18343.45</w:t>
            </w:r>
            <w:r>
              <w:rPr>
                <w:rFonts w:hint="eastAsia" w:ascii="宋体" w:hAnsi="宋体" w:eastAsia="宋体" w:cs="Times New Roman"/>
                <w:color w:val="auto"/>
                <w:sz w:val="21"/>
                <w:szCs w:val="21"/>
                <w:highlight w:val="none"/>
                <w:lang w:val="en-US" w:eastAsia="zh-CN" w:bidi="ar-SA"/>
              </w:rPr>
              <w:t xml:space="preserve">。</w:t>
            </w:r>
            <w:r/>
          </w:p>
          <w:p>
            <w:pPr>
              <w:pStyle w:val="975"/>
              <w:ind w:left="0" w:firstLine="0"/>
              <w:jc w:val="both"/>
              <w:spacing w:line="312" w:lineRule="auto"/>
              <w:tabs>
                <w:tab w:val="center" w:pos="3552" w:leader="none"/>
              </w:tabs>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收费标准：</w:t>
            </w:r>
            <w:r>
              <w:rPr>
                <w:rFonts w:hint="eastAsia" w:ascii="宋体" w:hAnsi="宋体" w:cs="Times New Roman"/>
                <w:color w:val="auto"/>
                <w:sz w:val="21"/>
                <w:szCs w:val="21"/>
                <w:highlight w:val="none"/>
                <w:lang w:val="en-US" w:eastAsia="zh-CN" w:bidi="ar-SA"/>
              </w:rPr>
              <w:tab/>
            </w:r>
            <w:r/>
          </w:p>
          <w:p>
            <w:pPr>
              <w:pStyle w:val="975"/>
              <w:ind w:left="0" w:firstLine="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预算金额100万元以下部分费率为1.5%；</w:t>
            </w:r>
            <w:r/>
          </w:p>
          <w:p>
            <w:pPr>
              <w:pStyle w:val="975"/>
              <w:ind w:left="0" w:firstLine="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预算金额100万元（含）－500万元部分费率为1.1%；</w:t>
            </w:r>
            <w:r/>
          </w:p>
          <w:p>
            <w:pPr>
              <w:pStyle w:val="975"/>
              <w:ind w:left="0" w:firstLine="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预算金额500万元（含）－1000万元部分费率为0.8%；</w:t>
            </w:r>
            <w:r/>
          </w:p>
          <w:p>
            <w:pPr>
              <w:pStyle w:val="975"/>
              <w:ind w:left="0" w:firstLine="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预算金额1000万元（含）－5000万元部分费率为0.5%；</w:t>
            </w:r>
            <w:r/>
          </w:p>
          <w:p>
            <w:pPr>
              <w:pStyle w:val="975"/>
              <w:ind w:left="0" w:firstLine="0"/>
              <w:jc w:val="both"/>
              <w:spacing w:line="312"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预算金额5000万元以上部分部分费率为0.</w:t>
            </w:r>
            <w:r>
              <w:rPr>
                <w:rFonts w:hint="eastAsia" w:ascii="宋体" w:hAnsi="宋体" w:eastAsia="宋体" w:cs="Times New Roman"/>
                <w:color w:val="auto"/>
                <w:sz w:val="21"/>
                <w:szCs w:val="21"/>
                <w:highlight w:val="none"/>
                <w:lang w:val="en-US" w:eastAsia="zh-CN" w:bidi="ar-SA"/>
              </w:rPr>
              <w:t xml:space="preserve">25</w:t>
            </w: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w:t>
            </w:r>
            <w:r/>
          </w:p>
          <w:p>
            <w:pPr>
              <w:pStyle w:val="975"/>
              <w:ind w:left="0" w:firstLine="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eastAsia="zh-CN" w:bidi="ar-SA"/>
              </w:rPr>
              <w:t xml:space="preserve">如按上述方法计算的金额低于人民币3000元整的，则项目代理服务费按人民币3000元整计收。</w:t>
            </w:r>
            <w:r/>
          </w:p>
          <w:p>
            <w:pPr>
              <w:pStyle w:val="975"/>
              <w:ind w:left="0" w:firstLine="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eastAsia="zh-CN" w:bidi="ar-SA"/>
              </w:rPr>
              <w:t xml:space="preserve">账户名：</w:t>
            </w:r>
            <w:r>
              <w:rPr>
                <w:rFonts w:hint="eastAsia" w:ascii="宋体" w:hAnsi="宋体" w:eastAsia="宋体" w:cs="Times New Roman"/>
                <w:color w:val="auto"/>
                <w:sz w:val="21"/>
                <w:szCs w:val="21"/>
                <w:highlight w:val="none"/>
                <w:lang w:val="en-US" w:eastAsia="zh-CN" w:bidi="ar-SA"/>
              </w:rPr>
              <w:t xml:space="preserve">苏州至贞招投标咨询服务有限公司</w:t>
            </w:r>
            <w:r/>
          </w:p>
          <w:p>
            <w:pPr>
              <w:pStyle w:val="975"/>
              <w:ind w:left="0" w:firstLine="0"/>
              <w:jc w:val="both"/>
              <w:spacing w:line="312"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eastAsia="zh-CN" w:bidi="ar-SA"/>
              </w:rPr>
              <w:t xml:space="preserve">账  号：</w:t>
            </w:r>
            <w:r>
              <w:rPr>
                <w:rFonts w:hint="eastAsia" w:ascii="宋体" w:hAnsi="宋体" w:eastAsia="宋体" w:cs="Times New Roman"/>
                <w:color w:val="auto"/>
                <w:sz w:val="21"/>
                <w:szCs w:val="21"/>
                <w:highlight w:val="none"/>
                <w:lang w:val="en-US" w:eastAsia="zh-CN" w:bidi="ar-SA"/>
              </w:rPr>
              <w:t xml:space="preserve">32250110073000003905</w:t>
            </w:r>
            <w:r/>
          </w:p>
          <w:p>
            <w:pPr>
              <w:pStyle w:val="975"/>
              <w:ind w:left="0" w:firstLine="0"/>
              <w:jc w:val="both"/>
              <w:spacing w:line="312" w:lineRule="auto"/>
              <w:rPr>
                <w:rFonts w:ascii="宋体" w:hAnsi="宋体" w:eastAsia="宋体" w:cs="Times New Roman"/>
                <w:b/>
                <w:color w:val="auto"/>
                <w:sz w:val="21"/>
                <w:szCs w:val="21"/>
                <w:highlight w:val="none"/>
              </w:rPr>
            </w:pPr>
            <w:r>
              <w:rPr>
                <w:rFonts w:hint="eastAsia" w:ascii="宋体" w:hAnsi="宋体" w:eastAsia="宋体" w:cs="Times New Roman"/>
                <w:color w:val="auto"/>
                <w:sz w:val="21"/>
                <w:szCs w:val="21"/>
                <w:highlight w:val="none"/>
                <w:lang w:val="zh-CN" w:eastAsia="zh-CN" w:bidi="ar-SA"/>
              </w:rPr>
              <w:t xml:space="preserve">开户行：中国建设银行股份有限公司苏州滨湖支行</w:t>
            </w:r>
            <w:r/>
          </w:p>
        </w:tc>
      </w:tr>
    </w:tbl>
    <w:p>
      <w:pPr>
        <w:pStyle w:val="866"/>
        <w:ind w:left="0" w:firstLine="0"/>
        <w:jc w:val="center"/>
        <w:keepLines w:val="0"/>
        <w:keepNext w:val="0"/>
        <w:pageBreakBefore w:val="0"/>
        <w:spacing w:before="0" w:after="0" w:line="360" w:lineRule="auto"/>
        <w:widowControl/>
        <w:rPr>
          <w:rFonts w:hint="eastAsia"/>
          <w:b/>
          <w:color w:val="auto"/>
          <w:sz w:val="44"/>
          <w:szCs w:val="44"/>
          <w:highlight w:val="none"/>
        </w:rPr>
        <w:outlineLvl w:val="0"/>
      </w:pPr>
      <w:r>
        <w:rPr>
          <w:rFonts w:hint="eastAsia"/>
          <w:b/>
          <w:color w:val="auto"/>
          <w:sz w:val="44"/>
          <w:szCs w:val="44"/>
          <w:highlight w:val="none"/>
        </w:rPr>
        <w:br w:type="page" w:clear="all"/>
      </w:r>
      <w:bookmarkStart w:id="11" w:name="_Toc103258848"/>
      <w:r>
        <w:rPr>
          <w:rFonts w:hint="eastAsia"/>
          <w:b/>
          <w:color w:val="auto"/>
          <w:sz w:val="44"/>
          <w:szCs w:val="44"/>
          <w:highlight w:val="none"/>
        </w:rPr>
        <w:t xml:space="preserve">第一章 磋商邀请函</w:t>
      </w:r>
      <w:bookmarkEnd w:id="5"/>
      <w:r/>
      <w:bookmarkEnd w:id="6"/>
      <w:r/>
      <w:bookmarkEnd w:id="7"/>
      <w:r/>
      <w:bookmarkEnd w:id="8"/>
      <w:r/>
      <w:bookmarkEnd w:id="9"/>
      <w:r/>
      <w:bookmarkEnd w:id="10"/>
      <w:r/>
      <w:bookmarkEnd w:id="11"/>
      <w:r/>
      <w:r/>
    </w:p>
    <w:p>
      <w:pPr>
        <w:ind w:left="0" w:firstLine="420"/>
        <w:spacing w:line="360" w:lineRule="auto"/>
        <w:rPr>
          <w:rFonts w:ascii="Arial" w:hAnsi="Arial" w:eastAsia="Arial" w:cs="Arial"/>
          <w:color w:val="auto"/>
          <w:sz w:val="21"/>
          <w:szCs w:val="21"/>
          <w:highlight w:val="none"/>
        </w:rPr>
        <w:pBdr>
          <w:top w:val="single" w:color="000000" w:sz="4" w:space="1"/>
          <w:left w:val="single" w:color="000000" w:sz="4" w:space="4"/>
          <w:bottom w:val="single" w:color="000000" w:sz="4" w:space="1"/>
          <w:right w:val="single" w:color="000000" w:sz="4" w:space="4"/>
        </w:pBdr>
      </w:pPr>
      <w:r/>
      <w:bookmarkStart w:id="12" w:name="_Toc58248880"/>
      <w:r/>
      <w:bookmarkStart w:id="13" w:name="_Toc57376406"/>
      <w:r/>
      <w:bookmarkStart w:id="14" w:name="_Toc2412"/>
      <w:r/>
      <w:bookmarkStart w:id="15" w:name="_Toc6217"/>
      <w:r>
        <w:rPr>
          <w:rFonts w:hint="eastAsia" w:ascii="Arial" w:hAnsi="Arial" w:eastAsia="Arial" w:cs="Arial"/>
          <w:color w:val="auto"/>
          <w:sz w:val="21"/>
          <w:szCs w:val="21"/>
          <w:highlight w:val="none"/>
        </w:rPr>
        <w:t xml:space="preserve">项目概况</w:t>
      </w:r>
      <w:r/>
    </w:p>
    <w:p>
      <w:pPr>
        <w:ind w:left="0" w:firstLine="420"/>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生态公益林管护服务项目（2026年度）</w:t>
      </w:r>
      <w:r>
        <w:rPr>
          <w:rFonts w:hint="eastAsia" w:ascii="宋体" w:hAnsi="宋体" w:eastAsia="宋体" w:cs="宋体"/>
          <w:color w:val="auto"/>
          <w:sz w:val="21"/>
          <w:szCs w:val="21"/>
          <w:highlight w:val="none"/>
        </w:rPr>
        <w:t xml:space="preserve">采购项目的潜在供应商应在</w:t>
      </w:r>
      <w:r>
        <w:rPr>
          <w:rFonts w:hint="eastAsia" w:ascii="宋体" w:hAnsi="宋体" w:eastAsia="宋体" w:cs="宋体"/>
          <w:color w:val="auto"/>
          <w:sz w:val="21"/>
          <w:szCs w:val="21"/>
          <w:highlight w:val="none"/>
          <w:u w:val="single"/>
          <w:lang w:val="en-US" w:eastAsia="zh-CN"/>
        </w:rPr>
        <w:t xml:space="preserve">“苏采云”系统</w:t>
      </w:r>
      <w:r>
        <w:rPr>
          <w:rFonts w:hint="eastAsia" w:ascii="宋体" w:hAnsi="宋体" w:eastAsia="宋体" w:cs="宋体"/>
          <w:color w:val="auto"/>
          <w:sz w:val="21"/>
          <w:szCs w:val="21"/>
          <w:highlight w:val="none"/>
        </w:rPr>
        <w:t xml:space="preserve">获取文件，并于</w:t>
      </w:r>
      <w:r>
        <w:rPr>
          <w:rFonts w:hint="eastAsia" w:ascii="宋体" w:hAnsi="宋体" w:cs="宋体"/>
          <w:color w:val="auto"/>
          <w:sz w:val="21"/>
          <w:szCs w:val="21"/>
          <w:highlight w:val="none"/>
          <w:u w:val="single"/>
          <w:lang w:eastAsia="zh-CN"/>
        </w:rPr>
        <w:t xml:space="preserve">2026年2月10日</w:t>
      </w:r>
      <w:r>
        <w:rPr>
          <w:rFonts w:hint="eastAsia" w:ascii="宋体" w:hAnsi="宋体" w:cs="宋体"/>
          <w:color w:val="auto"/>
          <w:sz w:val="21"/>
          <w:szCs w:val="21"/>
          <w:highlight w:val="none"/>
          <w:u w:val="single"/>
          <w:lang w:val="en-US" w:eastAsia="zh-CN"/>
        </w:rPr>
        <w:t xml:space="preserve">14</w:t>
      </w:r>
      <w:r>
        <w:rPr>
          <w:rFonts w:hint="eastAsia" w:ascii="宋体" w:hAnsi="宋体" w:eastAsia="宋体" w:cs="宋体"/>
          <w:color w:val="auto"/>
          <w:sz w:val="21"/>
          <w:szCs w:val="21"/>
          <w:highlight w:val="none"/>
          <w:u w:val="single"/>
        </w:rPr>
        <w:t xml:space="preserve">:00</w:t>
      </w:r>
      <w:r>
        <w:rPr>
          <w:rFonts w:hint="eastAsia" w:ascii="宋体" w:hAnsi="宋体" w:eastAsia="宋体" w:cs="宋体"/>
          <w:bCs/>
          <w:color w:val="auto"/>
          <w:sz w:val="21"/>
          <w:szCs w:val="21"/>
          <w:highlight w:val="none"/>
        </w:rPr>
        <w:t xml:space="preserve">（北京时间）前提交响应文件</w:t>
      </w:r>
      <w:r>
        <w:rPr>
          <w:rFonts w:hint="eastAsia" w:ascii="宋体" w:hAnsi="宋体" w:eastAsia="宋体" w:cs="宋体"/>
          <w:color w:val="auto"/>
          <w:sz w:val="21"/>
          <w:szCs w:val="21"/>
          <w:highlight w:val="none"/>
        </w:rPr>
        <w:t xml:space="preserve">。</w:t>
      </w:r>
      <w:r/>
    </w:p>
    <w:p>
      <w:pPr>
        <w:pStyle w:val="955"/>
        <w:ind w:left="0"/>
        <w:spacing w:line="360" w:lineRule="auto"/>
        <w:rPr>
          <w:rFonts w:ascii="Arial" w:hAnsi="Arial" w:eastAsia="Arial" w:cs="Arial"/>
          <w:b/>
          <w:color w:val="auto"/>
          <w:sz w:val="21"/>
          <w:szCs w:val="21"/>
          <w:highlight w:val="none"/>
        </w:rPr>
      </w:pPr>
      <w:r/>
      <w:bookmarkStart w:id="16" w:name="_Toc28359089"/>
      <w:r/>
      <w:bookmarkStart w:id="17" w:name="_Toc35393798"/>
      <w:r/>
      <w:bookmarkStart w:id="18" w:name="_Toc35393629"/>
      <w:r/>
      <w:bookmarkStart w:id="19" w:name="_Toc28359012"/>
      <w:r>
        <w:rPr>
          <w:rFonts w:hint="eastAsia" w:ascii="Arial" w:hAnsi="Arial" w:eastAsia="Arial" w:cs="Arial"/>
          <w:b/>
          <w:color w:val="auto"/>
          <w:sz w:val="21"/>
          <w:szCs w:val="21"/>
          <w:highlight w:val="none"/>
        </w:rPr>
        <w:t xml:space="preserve">一、项目基本情况</w:t>
      </w:r>
      <w:bookmarkEnd w:id="16"/>
      <w:r/>
      <w:bookmarkEnd w:id="17"/>
      <w:r/>
      <w:bookmarkEnd w:id="18"/>
      <w:r/>
      <w:bookmarkEnd w:id="19"/>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JSZC-320506-ZZZB-C2026-0002</w:t>
      </w:r>
      <w:r/>
    </w:p>
    <w:p>
      <w:pPr>
        <w:ind w:left="0"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生态公益林管护服务项目（2026年度）</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采购方式：竞争性磋商</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壹佰叁拾万零叁仟玖佰伍拾元整</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1303950.00</w:t>
      </w:r>
      <w:r>
        <w:rPr>
          <w:rFonts w:hint="eastAsia" w:ascii="宋体" w:hAnsi="宋体" w:cs="宋体"/>
          <w:color w:val="auto"/>
          <w:sz w:val="21"/>
          <w:szCs w:val="21"/>
          <w:highlight w:val="none"/>
          <w:lang w:eastAsia="zh-CN"/>
        </w:rPr>
        <w:t xml:space="preserve">）</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最高限价：</w:t>
      </w:r>
      <w:r>
        <w:rPr>
          <w:rFonts w:hint="eastAsia" w:ascii="宋体" w:hAnsi="宋体" w:cs="宋体"/>
          <w:bCs/>
          <w:color w:val="auto"/>
          <w:sz w:val="21"/>
          <w:szCs w:val="21"/>
          <w:highlight w:val="none"/>
        </w:rPr>
        <w:t xml:space="preserve">/</w:t>
      </w:r>
      <w:r/>
    </w:p>
    <w:p>
      <w:pPr>
        <w:ind w:left="0" w:firstLine="420"/>
        <w:spacing w:line="360" w:lineRule="auto"/>
        <w:rPr>
          <w:rFonts w:ascii="宋体" w:hAnsi="宋体" w:eastAsia="宋体" w:cs="宋体"/>
          <w:color w:val="auto"/>
          <w:sz w:val="21"/>
          <w:szCs w:val="21"/>
          <w:highlight w:val="none"/>
        </w:rPr>
      </w:pPr>
      <w:r>
        <w:rPr>
          <w:rFonts w:hint="eastAsia" w:ascii="宋体" w:hAnsi="宋体" w:cs="宋体"/>
          <w:color w:val="auto"/>
          <w:sz w:val="21"/>
          <w:szCs w:val="21"/>
          <w:highlight w:val="none"/>
        </w:rPr>
        <w:t xml:space="preserve">采购需求：</w:t>
      </w:r>
      <w:r>
        <w:rPr>
          <w:rFonts w:hint="eastAsia" w:ascii="宋体" w:hAnsi="宋体" w:cs="宋体"/>
          <w:color w:val="auto"/>
          <w:sz w:val="21"/>
          <w:szCs w:val="21"/>
          <w:highlight w:val="none"/>
          <w:lang w:val="en-US" w:eastAsia="zh-CN"/>
        </w:rPr>
        <w:t xml:space="preserve">详见采购文件第四章</w:t>
      </w:r>
      <w:r/>
    </w:p>
    <w:p>
      <w:pPr>
        <w:ind w:left="0" w:firstLine="420"/>
        <w:jc w:val="left"/>
        <w:spacing w:line="360" w:lineRule="auto"/>
        <w:widowControl w:val="off"/>
        <w:rPr>
          <w:rFonts w:ascii="宋体" w:hAnsi="宋体" w:cs="宋体"/>
          <w:color w:val="auto"/>
          <w:sz w:val="21"/>
          <w:szCs w:val="21"/>
          <w:highlight w:val="none"/>
        </w:rPr>
        <w:outlineLvl w:val="1"/>
      </w:pPr>
      <w:r>
        <w:rPr>
          <w:rFonts w:hint="eastAsia" w:ascii="宋体" w:hAnsi="宋体" w:cs="宋体"/>
          <w:color w:val="auto"/>
          <w:sz w:val="21"/>
          <w:szCs w:val="21"/>
          <w:highlight w:val="none"/>
        </w:rPr>
        <w:t xml:space="preserve">合同履行期限：</w:t>
      </w:r>
      <w:r>
        <w:rPr>
          <w:rFonts w:hint="eastAsia" w:ascii="宋体" w:hAnsi="宋体" w:cs="宋体"/>
          <w:color w:val="auto"/>
          <w:sz w:val="21"/>
          <w:szCs w:val="21"/>
          <w:highlight w:val="none"/>
          <w:lang w:val="en-US" w:eastAsia="zh-CN" w:bidi="ar"/>
        </w:rPr>
        <w:t xml:space="preserve">合同签订之日起至2026年12月31日或服务期限按实结算后合同总金额上限达到成交总价，以金额上限及合同期限先到者为准。</w:t>
      </w:r>
      <w:r>
        <w:rPr>
          <w:rFonts w:hint="eastAsia" w:ascii="宋体" w:hAnsi="宋体" w:cs="宋体"/>
          <w:color w:val="auto"/>
          <w:sz w:val="21"/>
          <w:szCs w:val="21"/>
          <w:highlight w:val="none"/>
          <w:lang w:eastAsia="zh-CN" w:bidi="ar"/>
        </w:rPr>
        <w:t xml:space="preserve">（具体起始时间以</w:t>
      </w:r>
      <w:r>
        <w:rPr>
          <w:rFonts w:hint="eastAsia" w:ascii="宋体" w:hAnsi="宋体" w:cs="宋体"/>
          <w:color w:val="auto"/>
          <w:sz w:val="21"/>
          <w:szCs w:val="21"/>
          <w:highlight w:val="none"/>
          <w:lang w:val="en-US" w:eastAsia="zh-CN" w:bidi="ar"/>
        </w:rPr>
        <w:t xml:space="preserve">采购方通知</w:t>
      </w:r>
      <w:r>
        <w:rPr>
          <w:rFonts w:hint="eastAsia" w:ascii="宋体" w:hAnsi="宋体" w:cs="宋体"/>
          <w:color w:val="auto"/>
          <w:sz w:val="21"/>
          <w:szCs w:val="21"/>
          <w:highlight w:val="none"/>
          <w:lang w:eastAsia="zh-CN" w:bidi="ar"/>
        </w:rPr>
        <w:t xml:space="preserve">为准）</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本项目不接受联合体。</w:t>
      </w:r>
      <w:r/>
    </w:p>
    <w:p>
      <w:pPr>
        <w:pStyle w:val="955"/>
        <w:ind w:left="0"/>
        <w:spacing w:line="360" w:lineRule="auto"/>
        <w:rPr>
          <w:rFonts w:ascii="宋体" w:hAnsi="宋体" w:eastAsia="宋体" w:cs="宋体"/>
          <w:b/>
          <w:color w:val="auto"/>
          <w:sz w:val="21"/>
          <w:szCs w:val="21"/>
          <w:highlight w:val="none"/>
        </w:rPr>
      </w:pPr>
      <w:r/>
      <w:bookmarkStart w:id="20" w:name="_Toc28359013"/>
      <w:r/>
      <w:bookmarkStart w:id="21" w:name="_Toc35393630"/>
      <w:r/>
      <w:bookmarkStart w:id="22" w:name="_Toc28359090"/>
      <w:r/>
      <w:bookmarkStart w:id="23" w:name="_Toc35393799"/>
      <w:r>
        <w:rPr>
          <w:rFonts w:hint="eastAsia" w:ascii="宋体" w:hAnsi="宋体" w:eastAsia="宋体" w:cs="宋体"/>
          <w:b/>
          <w:color w:val="auto"/>
          <w:sz w:val="21"/>
          <w:szCs w:val="21"/>
          <w:highlight w:val="none"/>
        </w:rPr>
        <w:t xml:space="preserve">二、申请人的资格要求：</w:t>
      </w:r>
      <w:bookmarkEnd w:id="20"/>
      <w:r/>
      <w:bookmarkEnd w:id="21"/>
      <w:r/>
      <w:bookmarkEnd w:id="22"/>
      <w:r/>
      <w:bookmarkEnd w:id="23"/>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（5）参加采购活动前三年内，在经营活动中没有重大违法记录；</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left="0" w:firstLine="420"/>
        <w:spacing w:line="360" w:lineRule="auto"/>
        <w:rPr>
          <w:rFonts w:hint="eastAsia" w:ascii="宋体" w:hAnsi="宋体" w:cs="宋体"/>
          <w:color w:val="auto"/>
          <w:sz w:val="21"/>
          <w:szCs w:val="21"/>
          <w:highlight w:val="none"/>
        </w:rPr>
      </w:pPr>
      <w:r/>
      <w:bookmarkStart w:id="24" w:name="_Toc28359014"/>
      <w:r/>
      <w:bookmarkStart w:id="25" w:name="_Toc28359091"/>
      <w:r>
        <w:rPr>
          <w:rFonts w:hint="eastAsia" w:ascii="宋体" w:hAnsi="宋体" w:cs="宋体"/>
          <w:color w:val="auto"/>
          <w:sz w:val="21"/>
          <w:szCs w:val="21"/>
          <w:highlight w:val="none"/>
        </w:rPr>
        <w:t xml:space="preserve">2.本项目落实政府采购政策需满足的资格要求：根据《政府采购促进中小企业发展管理办法》的相关规定，本项目专门面向中小企业采购。所属行业为其他未列明行业，供应商应为中小微企业或监狱企业或残疾人福利性单位。</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3.本项目的特定资格要求：</w:t>
      </w:r>
      <w:r>
        <w:rPr>
          <w:rFonts w:hint="eastAsia" w:ascii="宋体" w:hAnsi="宋体" w:cs="宋体"/>
          <w:color w:val="auto"/>
          <w:sz w:val="21"/>
          <w:szCs w:val="21"/>
          <w:highlight w:val="none"/>
          <w:lang w:eastAsia="zh-CN"/>
        </w:rPr>
        <w:t xml:space="preserve">无</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4.单位负责人为同一人或者存在直接控股、管理关系的不同供应商（包含法定代表人为同一个人的两个及两个以上法人，母公司、全资子公司及其控股公司），不得参加同一合同项下的采购活动。</w:t>
      </w:r>
      <w:bookmarkStart w:id="26" w:name="_Hlk107405898"/>
      <w:r>
        <w:rPr>
          <w:rFonts w:hint="eastAsia" w:ascii="宋体" w:hAnsi="宋体" w:cs="宋体"/>
          <w:color w:val="auto"/>
          <w:sz w:val="21"/>
          <w:szCs w:val="21"/>
          <w:highlight w:val="none"/>
        </w:rPr>
        <w:t xml:space="preserve">（除银行、保险、石油石化、电力、电信等行业特殊情况外）。</w:t>
      </w:r>
      <w:bookmarkEnd w:id="26"/>
      <w:r/>
      <w:r/>
    </w:p>
    <w:p>
      <w:pPr>
        <w:pStyle w:val="955"/>
        <w:ind w:left="0"/>
        <w:spacing w:line="360" w:lineRule="auto"/>
        <w:rPr>
          <w:rFonts w:ascii="宋体" w:hAnsi="宋体" w:eastAsia="宋体" w:cs="宋体"/>
          <w:b/>
          <w:color w:val="auto"/>
          <w:sz w:val="21"/>
          <w:szCs w:val="21"/>
          <w:highlight w:val="none"/>
        </w:rPr>
      </w:pPr>
      <w:r/>
      <w:bookmarkStart w:id="27" w:name="_Toc35393631"/>
      <w:r/>
      <w:bookmarkStart w:id="28" w:name="_Toc35393800"/>
      <w:r>
        <w:rPr>
          <w:rFonts w:hint="eastAsia" w:ascii="宋体" w:hAnsi="宋体" w:eastAsia="宋体" w:cs="宋体"/>
          <w:b/>
          <w:color w:val="auto"/>
          <w:sz w:val="21"/>
          <w:szCs w:val="21"/>
          <w:highlight w:val="none"/>
        </w:rPr>
        <w:t xml:space="preserve">三、获取采购文件</w:t>
      </w:r>
      <w:bookmarkEnd w:id="24"/>
      <w:r/>
      <w:bookmarkEnd w:id="25"/>
      <w:r/>
      <w:bookmarkEnd w:id="27"/>
      <w:r/>
      <w:bookmarkEnd w:id="28"/>
      <w:r/>
      <w:r/>
    </w:p>
    <w:p>
      <w:pPr>
        <w:ind w:left="0" w:firstLine="420"/>
        <w:spacing w:line="360" w:lineRule="auto"/>
        <w:rPr>
          <w:rFonts w:ascii="宋体" w:hAnsi="宋体" w:cs="宋体"/>
          <w:color w:val="auto"/>
          <w:sz w:val="21"/>
          <w:szCs w:val="21"/>
          <w:highlight w:val="none"/>
        </w:rPr>
      </w:pPr>
      <w:r/>
      <w:bookmarkStart w:id="29" w:name="_Toc28359015"/>
      <w:r/>
      <w:bookmarkStart w:id="30" w:name="_Toc28359092"/>
      <w:r/>
      <w:bookmarkStart w:id="31" w:name="_Toc35393632"/>
      <w:r/>
      <w:bookmarkStart w:id="32" w:name="_Toc35393801"/>
      <w:r>
        <w:rPr>
          <w:rFonts w:hint="eastAsia" w:ascii="宋体" w:hAnsi="宋体" w:cs="宋体"/>
          <w:color w:val="auto"/>
          <w:sz w:val="21"/>
          <w:szCs w:val="21"/>
          <w:highlight w:val="none"/>
        </w:rPr>
        <w:t xml:space="preserve">1.报名截止时间：</w:t>
      </w:r>
      <w:r>
        <w:rPr>
          <w:rFonts w:hint="eastAsia" w:ascii="宋体" w:hAnsi="宋体" w:cs="宋体"/>
          <w:color w:val="auto"/>
          <w:sz w:val="21"/>
          <w:szCs w:val="21"/>
          <w:highlight w:val="none"/>
          <w:lang w:eastAsia="zh-CN"/>
        </w:rPr>
        <w:t xml:space="preserve">2026年2月6日</w:t>
      </w:r>
      <w:r>
        <w:rPr>
          <w:rFonts w:hint="eastAsia" w:ascii="宋体" w:hAnsi="宋体" w:cs="宋体"/>
          <w:color w:val="auto"/>
          <w:sz w:val="21"/>
          <w:szCs w:val="21"/>
          <w:highlight w:val="none"/>
        </w:rPr>
        <w:t xml:space="preserve">。</w:t>
      </w:r>
      <w:r/>
    </w:p>
    <w:p>
      <w:pPr>
        <w:pStyle w:val="958"/>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地点：</w:t>
      </w:r>
      <w:r>
        <w:rPr>
          <w:rFonts w:hint="eastAsia" w:ascii="宋体" w:hAnsi="宋体" w:eastAsia="宋体" w:cs="宋体"/>
          <w:bCs/>
          <w:color w:val="auto"/>
          <w:sz w:val="21"/>
          <w:szCs w:val="21"/>
          <w:highlight w:val="none"/>
          <w:lang w:val="en-US" w:eastAsia="zh-CN"/>
        </w:rPr>
        <w:t xml:space="preserve">“苏采云”系统自行下载采购文件</w:t>
      </w:r>
      <w:r/>
    </w:p>
    <w:p>
      <w:pPr>
        <w:pStyle w:val="958"/>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方式：</w:t>
      </w:r>
      <w:r/>
    </w:p>
    <w:p>
      <w:pPr>
        <w:pStyle w:val="958"/>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（1）CA证书办理</w:t>
      </w:r>
      <w:r/>
    </w:p>
    <w:p>
      <w:pPr>
        <w:pStyle w:val="958"/>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1"/>
          <w:szCs w:val="21"/>
          <w:highlight w:val="none"/>
        </w:rPr>
        <w:t xml:space="preserve">苏州现场办理地址：苏州市高新区邓尉路105号狮山科技馆</w:t>
      </w:r>
      <w:r>
        <w:rPr>
          <w:rFonts w:hint="eastAsia" w:ascii="宋体" w:hAnsi="宋体" w:cs="宋体"/>
          <w:b/>
          <w:bCs/>
          <w:color w:val="auto"/>
          <w:sz w:val="21"/>
          <w:szCs w:val="21"/>
          <w:highlight w:val="none"/>
          <w:lang w:eastAsia="zh-CN"/>
        </w:rPr>
        <w:t xml:space="preserve">。</w:t>
      </w:r>
      <w:r/>
    </w:p>
    <w:p>
      <w:pPr>
        <w:pStyle w:val="958"/>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（2）参与采购活动</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（3）电子投标准备</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color w:val="auto"/>
          <w:sz w:val="21"/>
          <w:szCs w:val="21"/>
          <w:highlight w:val="none"/>
        </w:rPr>
        <w:t xml:space="preserve">（具体详见《苏采云系统供应商操作手册》，网址链接https://czju.suzhou.gov.cn/zfcg/html/content/20231220161910031.shtml）</w:t>
      </w:r>
      <w:r>
        <w:rPr>
          <w:rFonts w:hint="eastAsia" w:ascii="宋体" w:hAnsi="宋体" w:cs="宋体"/>
          <w:color w:val="auto"/>
          <w:sz w:val="21"/>
          <w:szCs w:val="21"/>
          <w:highlight w:val="none"/>
        </w:rPr>
        <w:t xml:space="preserve">。</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在系统操作过程中如有疑问，请按以下方式联系：</w:t>
      </w:r>
      <w:r/>
    </w:p>
    <w:p>
      <w:pPr>
        <w:pStyle w:val="958"/>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注册咨询：0512-69820854；</w:t>
      </w:r>
      <w:r/>
    </w:p>
    <w:p>
      <w:pPr>
        <w:pStyle w:val="958"/>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CA技术咨询电话：400-608-6099；</w:t>
      </w:r>
      <w:r/>
    </w:p>
    <w:p>
      <w:pPr>
        <w:pStyle w:val="958"/>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签章使用问题：025-83633811、025-83633812、15380932027、15371015030；</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系统使用指导与咨询：联系电话：0512-69820854；智能客服：登录苏采云系统后，联系系统右下方智能客服图标进行咨询。</w:t>
      </w:r>
      <w:r/>
    </w:p>
    <w:p>
      <w:pPr>
        <w:pStyle w:val="958"/>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售价：免费</w:t>
      </w:r>
      <w:r/>
    </w:p>
    <w:p>
      <w:pPr>
        <w:pStyle w:val="955"/>
        <w:ind w:left="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四、响应文件提交</w:t>
      </w:r>
      <w:bookmarkEnd w:id="29"/>
      <w:r/>
      <w:bookmarkEnd w:id="30"/>
      <w:r/>
      <w:bookmarkEnd w:id="31"/>
      <w:r/>
      <w:bookmarkEnd w:id="32"/>
      <w:r/>
      <w:r/>
    </w:p>
    <w:p>
      <w:pPr>
        <w:ind w:left="0" w:firstLine="420"/>
        <w:spacing w:line="360" w:lineRule="auto"/>
        <w:rPr>
          <w:rFonts w:ascii="宋体" w:hAnsi="宋体" w:cs="宋体"/>
          <w:bCs/>
          <w:color w:val="auto"/>
          <w:sz w:val="21"/>
          <w:szCs w:val="21"/>
          <w:highlight w:val="none"/>
          <w:u w:val="single"/>
        </w:rPr>
      </w:pPr>
      <w:r>
        <w:rPr>
          <w:rFonts w:hint="eastAsia" w:ascii="宋体" w:hAnsi="宋体" w:cs="宋体"/>
          <w:color w:val="auto"/>
          <w:sz w:val="21"/>
          <w:szCs w:val="21"/>
          <w:highlight w:val="none"/>
        </w:rPr>
        <w:t xml:space="preserve">1.截止时间：</w:t>
      </w:r>
      <w:r>
        <w:rPr>
          <w:rFonts w:hint="eastAsia" w:ascii="宋体" w:hAnsi="宋体" w:cs="宋体"/>
          <w:color w:val="auto"/>
          <w:sz w:val="21"/>
          <w:szCs w:val="21"/>
          <w:highlight w:val="none"/>
          <w:lang w:eastAsia="zh-CN"/>
        </w:rPr>
        <w:t xml:space="preserve">2026年2月10日</w:t>
      </w:r>
      <w:r>
        <w:rPr>
          <w:rFonts w:hint="eastAsia" w:ascii="宋体" w:hAnsi="宋体" w:cs="宋体"/>
          <w:color w:val="auto"/>
          <w:sz w:val="21"/>
          <w:szCs w:val="21"/>
          <w:highlight w:val="none"/>
          <w:lang w:val="en-US" w:eastAsia="zh-CN"/>
        </w:rPr>
        <w:t xml:space="preserve">14</w:t>
      </w:r>
      <w:r>
        <w:rPr>
          <w:rFonts w:hint="eastAsia" w:ascii="宋体" w:hAnsi="宋体" w:cs="宋体"/>
          <w:color w:val="auto"/>
          <w:sz w:val="21"/>
          <w:szCs w:val="21"/>
          <w:highlight w:val="none"/>
        </w:rPr>
        <w:t xml:space="preserve">:00</w:t>
      </w:r>
      <w:r>
        <w:rPr>
          <w:rFonts w:hint="eastAsia" w:ascii="宋体" w:hAnsi="宋体" w:cs="宋体"/>
          <w:bCs/>
          <w:color w:val="auto"/>
          <w:sz w:val="21"/>
          <w:szCs w:val="21"/>
          <w:highlight w:val="none"/>
        </w:rPr>
        <w:t xml:space="preserve">（北京时间）</w:t>
      </w:r>
      <w:r/>
    </w:p>
    <w:p>
      <w:pPr>
        <w:pStyle w:val="958"/>
        <w:ind w:left="0" w:firstLine="420"/>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lang w:val="en-US"/>
        </w:rPr>
        <w:t xml:space="preserve">2.</w:t>
      </w:r>
      <w:r>
        <w:rPr>
          <w:rFonts w:hint="eastAsia" w:ascii="宋体" w:hAnsi="宋体" w:cs="宋体"/>
          <w:color w:val="auto"/>
          <w:sz w:val="21"/>
          <w:szCs w:val="21"/>
          <w:highlight w:val="none"/>
        </w:rPr>
        <w:t xml:space="preserve">地点</w:t>
      </w:r>
      <w:r>
        <w:rPr>
          <w:rFonts w:hint="eastAsia" w:ascii="宋体" w:hAnsi="宋体" w:cs="宋体"/>
          <w:color w:val="auto"/>
          <w:sz w:val="21"/>
          <w:szCs w:val="21"/>
          <w:highlight w:val="none"/>
          <w:lang w:val="en-US"/>
        </w:rPr>
        <w:t xml:space="preserve">：</w:t>
      </w:r>
      <w:r>
        <w:rPr>
          <w:rFonts w:hint="eastAsia" w:ascii="宋体" w:hAnsi="宋体" w:cs="宋体"/>
          <w:b/>
          <w:bCs/>
          <w:color w:val="auto"/>
          <w:sz w:val="21"/>
          <w:szCs w:val="21"/>
          <w:highlight w:val="none"/>
          <w:lang w:val="en-US"/>
        </w:rPr>
        <w:t xml:space="preserve">“</w:t>
      </w:r>
      <w:r>
        <w:rPr>
          <w:rFonts w:hint="eastAsia" w:ascii="宋体" w:hAnsi="宋体" w:cs="宋体"/>
          <w:b/>
          <w:bCs/>
          <w:color w:val="auto"/>
          <w:sz w:val="21"/>
          <w:szCs w:val="21"/>
          <w:highlight w:val="none"/>
        </w:rPr>
        <w:t xml:space="preserve">苏采云</w:t>
      </w:r>
      <w:r>
        <w:rPr>
          <w:rFonts w:hint="eastAsia" w:ascii="宋体" w:hAnsi="宋体" w:cs="宋体"/>
          <w:b/>
          <w:bCs/>
          <w:color w:val="auto"/>
          <w:sz w:val="21"/>
          <w:szCs w:val="21"/>
          <w:highlight w:val="none"/>
          <w:lang w:val="en-US"/>
        </w:rPr>
        <w:t xml:space="preserve">”</w:t>
      </w:r>
      <w:r>
        <w:rPr>
          <w:rFonts w:hint="eastAsia" w:ascii="宋体" w:hAnsi="宋体" w:cs="宋体"/>
          <w:b/>
          <w:bCs/>
          <w:color w:val="auto"/>
          <w:sz w:val="21"/>
          <w:szCs w:val="21"/>
          <w:highlight w:val="none"/>
        </w:rPr>
        <w:t xml:space="preserve">系统</w:t>
      </w:r>
      <w:r>
        <w:rPr>
          <w:rFonts w:hint="eastAsia" w:ascii="宋体" w:hAnsi="宋体" w:cs="宋体"/>
          <w:b/>
          <w:bCs/>
          <w:color w:val="auto"/>
          <w:sz w:val="21"/>
          <w:szCs w:val="21"/>
          <w:highlight w:val="none"/>
          <w:lang w:val="en-US"/>
        </w:rPr>
        <w:t xml:space="preserve">（</w:t>
      </w:r>
      <w:r>
        <w:rPr>
          <w:rFonts w:hint="eastAsia" w:ascii="宋体" w:hAnsi="宋体" w:cs="宋体"/>
          <w:b/>
          <w:bCs/>
          <w:color w:val="auto"/>
          <w:sz w:val="21"/>
          <w:szCs w:val="21"/>
          <w:highlight w:val="none"/>
        </w:rPr>
        <w:t xml:space="preserve">网址</w:t>
      </w:r>
      <w:r>
        <w:rPr>
          <w:rFonts w:hint="eastAsia" w:ascii="宋体" w:hAnsi="宋体" w:cs="宋体"/>
          <w:b/>
          <w:bCs/>
          <w:color w:val="auto"/>
          <w:sz w:val="21"/>
          <w:szCs w:val="21"/>
          <w:highlight w:val="none"/>
          <w:lang w:val="en-US"/>
        </w:rPr>
        <w:t xml:space="preserve">：http://jszfcg.jsczt.cn/）</w:t>
      </w:r>
      <w:r>
        <w:rPr>
          <w:rFonts w:hint="eastAsia" w:ascii="宋体" w:hAnsi="宋体" w:cs="宋体"/>
          <w:bCs/>
          <w:color w:val="auto"/>
          <w:sz w:val="21"/>
          <w:szCs w:val="21"/>
          <w:highlight w:val="none"/>
        </w:rPr>
        <w:t xml:space="preserve">。响应文件网上递交，不需要现场参加采购活动，无需提供纸质响应文件。</w:t>
      </w:r>
      <w:r/>
    </w:p>
    <w:p>
      <w:pPr>
        <w:pStyle w:val="958"/>
        <w:ind w:left="0" w:firstLine="420"/>
        <w:spacing w:line="360" w:lineRule="auto"/>
        <w:rPr>
          <w:rFonts w:ascii="宋体" w:hAnsi="宋体" w:cs="宋体"/>
          <w:b/>
          <w:bCs/>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955"/>
        <w:ind w:left="0"/>
        <w:spacing w:line="360" w:lineRule="auto"/>
        <w:rPr>
          <w:rFonts w:ascii="宋体" w:hAnsi="宋体" w:eastAsia="宋体" w:cs="宋体"/>
          <w:b/>
          <w:color w:val="auto"/>
          <w:sz w:val="21"/>
          <w:szCs w:val="21"/>
          <w:highlight w:val="none"/>
        </w:rPr>
      </w:pPr>
      <w:r/>
      <w:bookmarkStart w:id="33" w:name="_Toc35393633"/>
      <w:r/>
      <w:bookmarkStart w:id="34" w:name="_Toc28359016"/>
      <w:r/>
      <w:bookmarkStart w:id="35" w:name="_Toc28359093"/>
      <w:r/>
      <w:bookmarkStart w:id="36" w:name="_Toc35393802"/>
      <w:r>
        <w:rPr>
          <w:rFonts w:hint="eastAsia" w:ascii="宋体" w:hAnsi="宋体" w:eastAsia="宋体" w:cs="宋体"/>
          <w:b/>
          <w:color w:val="auto"/>
          <w:sz w:val="21"/>
          <w:szCs w:val="21"/>
          <w:highlight w:val="none"/>
        </w:rPr>
        <w:t xml:space="preserve">五、开启</w:t>
      </w:r>
      <w:bookmarkEnd w:id="33"/>
      <w:r/>
      <w:bookmarkEnd w:id="34"/>
      <w:r/>
      <w:bookmarkEnd w:id="35"/>
      <w:r/>
      <w:bookmarkEnd w:id="36"/>
      <w:r/>
      <w:r/>
    </w:p>
    <w:p>
      <w:pPr>
        <w:ind w:left="0" w:firstLine="420"/>
        <w:spacing w:line="360" w:lineRule="auto"/>
        <w:rPr>
          <w:rFonts w:ascii="宋体" w:hAnsi="宋体" w:cs="宋体"/>
          <w:bCs/>
          <w:color w:val="auto"/>
          <w:sz w:val="21"/>
          <w:szCs w:val="21"/>
          <w:highlight w:val="none"/>
          <w:u w:val="single"/>
        </w:rPr>
      </w:pPr>
      <w:r>
        <w:rPr>
          <w:rFonts w:hint="eastAsia" w:ascii="宋体" w:hAnsi="宋体" w:cs="宋体"/>
          <w:color w:val="auto"/>
          <w:sz w:val="21"/>
          <w:szCs w:val="21"/>
          <w:highlight w:val="none"/>
        </w:rPr>
        <w:t xml:space="preserve">1.时间：</w:t>
      </w:r>
      <w:r>
        <w:rPr>
          <w:rFonts w:hint="eastAsia" w:ascii="宋体" w:hAnsi="宋体" w:cs="宋体"/>
          <w:bCs/>
          <w:color w:val="auto"/>
          <w:sz w:val="21"/>
          <w:szCs w:val="21"/>
          <w:highlight w:val="none"/>
          <w:lang w:eastAsia="zh-CN"/>
        </w:rPr>
        <w:t xml:space="preserve">2026年2月10日</w:t>
      </w:r>
      <w:r>
        <w:rPr>
          <w:rFonts w:hint="eastAsia" w:ascii="宋体" w:hAnsi="宋体" w:cs="宋体"/>
          <w:bCs/>
          <w:color w:val="auto"/>
          <w:sz w:val="21"/>
          <w:szCs w:val="21"/>
          <w:highlight w:val="none"/>
          <w:lang w:val="en-US" w:eastAsia="zh-CN"/>
        </w:rPr>
        <w:t xml:space="preserve">14</w:t>
      </w:r>
      <w:r>
        <w:rPr>
          <w:rFonts w:hint="eastAsia" w:ascii="宋体" w:hAnsi="宋体" w:cs="宋体"/>
          <w:bCs/>
          <w:color w:val="auto"/>
          <w:sz w:val="21"/>
          <w:szCs w:val="21"/>
          <w:highlight w:val="none"/>
        </w:rPr>
        <w:t xml:space="preserve">:00（北京时间）</w:t>
      </w:r>
      <w:r/>
    </w:p>
    <w:p>
      <w:pPr>
        <w:pStyle w:val="958"/>
        <w:ind w:left="0" w:firstLine="420"/>
        <w:spacing w:line="360" w:lineRule="auto"/>
        <w:rPr>
          <w:rFonts w:ascii="宋体" w:hAnsi="宋体" w:cs="宋体"/>
          <w:bCs/>
          <w:color w:val="auto"/>
          <w:sz w:val="21"/>
          <w:szCs w:val="21"/>
          <w:highlight w:val="none"/>
        </w:rPr>
      </w:pPr>
      <w:r/>
      <w:bookmarkStart w:id="37" w:name="_Toc35393803"/>
      <w:r/>
      <w:bookmarkStart w:id="38" w:name="_Toc35393634"/>
      <w:r/>
      <w:bookmarkStart w:id="39" w:name="_Toc28359094"/>
      <w:r/>
      <w:bookmarkStart w:id="40" w:name="_Toc28359017"/>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地点</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苏采云</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系统</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网址</w:t>
      </w:r>
      <w:r>
        <w:rPr>
          <w:rFonts w:hint="eastAsia" w:ascii="宋体" w:hAnsi="宋体" w:cs="宋体"/>
          <w:bCs/>
          <w:color w:val="auto"/>
          <w:sz w:val="21"/>
          <w:szCs w:val="21"/>
          <w:highlight w:val="none"/>
          <w:lang w:val="en-US"/>
        </w:rPr>
        <w:t xml:space="preserve">：http://jszfcg.jsczt.cn/）</w:t>
      </w:r>
      <w:r/>
    </w:p>
    <w:p>
      <w:pPr>
        <w:pStyle w:val="958"/>
        <w:ind w:left="0" w:firstLine="420"/>
        <w:spacing w:line="360" w:lineRule="auto"/>
        <w:rPr>
          <w:rFonts w:ascii="宋体" w:hAnsi="宋体" w:cs="宋体"/>
          <w:b/>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1"/>
          <w:szCs w:val="21"/>
          <w:highlight w:val="none"/>
        </w:rPr>
        <w:t xml:space="preserve">本项目为不见面磋商项目，</w:t>
      </w:r>
      <w:r>
        <w:rPr>
          <w:rFonts w:hint="eastAsia" w:ascii="宋体" w:hAnsi="宋体" w:cs="宋体"/>
          <w:b/>
          <w:color w:val="auto"/>
          <w:sz w:val="21"/>
          <w:szCs w:val="21"/>
          <w:highlight w:val="none"/>
        </w:rPr>
        <w:t xml:space="preserve">开启阶段供应商在【供应商解密】环节必须使用 CA证书解密电子响应文件，如在系统规定的解密时间(响应文件提交截止时间后 30 分钟)内未能完成解密的视为放弃参与本项目。</w:t>
      </w:r>
      <w:r/>
    </w:p>
    <w:p>
      <w:pPr>
        <w:pStyle w:val="958"/>
        <w:ind w:left="0"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请供应商确保电脑、系统及其他设备（视频输入输出设备等）无误，且开启直至项目结束始终保持系统在线状态。</w:t>
      </w:r>
      <w:r/>
    </w:p>
    <w:p>
      <w:pPr>
        <w:pStyle w:val="955"/>
        <w:numPr>
          <w:ilvl w:val="0"/>
          <w:numId w:val="2"/>
        </w:numPr>
        <w:ind w:left="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公告期限</w:t>
      </w:r>
      <w:bookmarkEnd w:id="37"/>
      <w:r/>
      <w:bookmarkEnd w:id="38"/>
      <w:r/>
      <w:bookmarkEnd w:id="39"/>
      <w:r/>
      <w:bookmarkEnd w:id="40"/>
      <w:r>
        <w:rPr>
          <w:rFonts w:hint="eastAsia" w:ascii="宋体" w:hAnsi="宋体" w:eastAsia="宋体" w:cs="宋体"/>
          <w:b/>
          <w:color w:val="auto"/>
          <w:sz w:val="21"/>
          <w:szCs w:val="21"/>
          <w:highlight w:val="none"/>
        </w:rPr>
        <w:t xml:space="preserve">：</w:t>
      </w:r>
      <w:r/>
    </w:p>
    <w:p>
      <w:pPr>
        <w:pStyle w:val="955"/>
        <w:ind w:left="0"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自本公告发布之日起3个工作日。</w:t>
      </w:r>
      <w:r/>
    </w:p>
    <w:p>
      <w:pPr>
        <w:pStyle w:val="955"/>
        <w:ind w:left="0"/>
        <w:spacing w:line="360" w:lineRule="auto"/>
        <w:rPr>
          <w:rFonts w:ascii="宋体" w:hAnsi="宋体" w:eastAsia="宋体" w:cs="宋体"/>
          <w:b/>
          <w:color w:val="auto"/>
          <w:sz w:val="21"/>
          <w:szCs w:val="21"/>
          <w:highlight w:val="none"/>
        </w:rPr>
      </w:pPr>
      <w:r/>
      <w:bookmarkStart w:id="41" w:name="_Toc35393804"/>
      <w:r/>
      <w:bookmarkStart w:id="42" w:name="_Toc35393635"/>
      <w:r>
        <w:rPr>
          <w:rFonts w:hint="eastAsia" w:ascii="宋体" w:hAnsi="宋体" w:eastAsia="宋体" w:cs="宋体"/>
          <w:b/>
          <w:color w:val="auto"/>
          <w:sz w:val="21"/>
          <w:szCs w:val="21"/>
          <w:highlight w:val="none"/>
        </w:rPr>
        <w:t xml:space="preserve">七、其他补充事宜</w:t>
      </w:r>
      <w:bookmarkEnd w:id="41"/>
      <w:r/>
      <w:bookmarkEnd w:id="42"/>
      <w:r/>
      <w:r/>
    </w:p>
    <w:p>
      <w:pPr>
        <w:pStyle w:val="958"/>
        <w:ind w:left="0" w:firstLine="420"/>
        <w:spacing w:line="360" w:lineRule="auto"/>
        <w:rPr>
          <w:rFonts w:hint="eastAsia" w:ascii="宋体" w:hAnsi="宋体" w:cs="宋体"/>
          <w:bCs/>
          <w:color w:val="auto"/>
          <w:sz w:val="21"/>
          <w:szCs w:val="21"/>
          <w:highlight w:val="none"/>
          <w:lang w:eastAsia="zh-CN"/>
        </w:rPr>
      </w:pPr>
      <w:r/>
      <w:bookmarkStart w:id="43" w:name="_Toc28359095"/>
      <w:r/>
      <w:bookmarkStart w:id="44" w:name="_Toc35393805"/>
      <w:r/>
      <w:bookmarkStart w:id="45" w:name="_Toc35393636"/>
      <w:r/>
      <w:bookmarkStart w:id="46" w:name="_Toc28359018"/>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eastAsia="zh-CN"/>
        </w:rPr>
        <w:t xml:space="preserve">苏州市吴中区财政政府采购监管电话：0512-65283947</w:t>
      </w:r>
      <w:r>
        <w:rPr>
          <w:rFonts w:hint="eastAsia" w:ascii="宋体" w:hAnsi="宋体" w:cs="宋体"/>
          <w:bCs/>
          <w:color w:val="auto"/>
          <w:sz w:val="21"/>
          <w:szCs w:val="21"/>
          <w:highlight w:val="none"/>
          <w:lang w:val="en-US" w:eastAsia="zh-CN"/>
        </w:rPr>
        <w:t xml:space="preserve">。</w:t>
      </w:r>
      <w:r/>
    </w:p>
    <w:p>
      <w:pPr>
        <w:pStyle w:val="958"/>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val="en-US"/>
        </w:rPr>
        <w:t xml:space="preserve">.</w:t>
      </w:r>
      <w:r>
        <w:rPr>
          <w:rFonts w:hint="eastAsia" w:ascii="宋体" w:hAnsi="宋体" w:cs="宋体"/>
          <w:bCs/>
          <w:color w:val="auto"/>
          <w:sz w:val="21"/>
          <w:szCs w:val="21"/>
          <w:highlight w:val="none"/>
        </w:rPr>
        <w:t xml:space="preserve">本次采购的相关信息刊登在</w:t>
      </w:r>
      <w:r>
        <w:rPr>
          <w:rFonts w:hint="eastAsia" w:ascii="宋体" w:hAnsi="宋体" w:cs="宋体"/>
          <w:bCs/>
          <w:color w:val="auto"/>
          <w:sz w:val="21"/>
          <w:szCs w:val="21"/>
          <w:highlight w:val="none"/>
          <w:lang w:eastAsia="zh-CN"/>
        </w:rPr>
        <w:t xml:space="preserve">中国政府采购网中央主网、江苏政府采购网、苏州市政府采购网</w:t>
      </w:r>
      <w:r>
        <w:rPr>
          <w:rFonts w:hint="eastAsia" w:ascii="宋体" w:hAnsi="宋体" w:cs="宋体"/>
          <w:bCs/>
          <w:color w:val="auto"/>
          <w:sz w:val="21"/>
          <w:szCs w:val="21"/>
          <w:highlight w:val="none"/>
        </w:rPr>
        <w:t xml:space="preserve">。</w:t>
      </w:r>
      <w:r/>
    </w:p>
    <w:p>
      <w:pPr>
        <w:pStyle w:val="955"/>
        <w:ind w:left="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八、凡对本次采购提出询问，请按以下方式联系</w:t>
      </w:r>
      <w:bookmarkEnd w:id="43"/>
      <w:r/>
      <w:bookmarkEnd w:id="44"/>
      <w:r/>
      <w:bookmarkEnd w:id="45"/>
      <w:r/>
      <w:bookmarkEnd w:id="46"/>
      <w:r/>
      <w:r/>
    </w:p>
    <w:p>
      <w:pPr>
        <w:ind w:left="0" w:firstLine="420"/>
        <w:jc w:val="left"/>
        <w:spacing w:line="360" w:lineRule="auto"/>
        <w:rPr>
          <w:rFonts w:hint="eastAsia" w:ascii="宋体" w:hAnsi="宋体" w:cs="宋体"/>
          <w:color w:val="auto"/>
          <w:sz w:val="21"/>
          <w:szCs w:val="21"/>
          <w:highlight w:val="none"/>
        </w:rPr>
      </w:pPr>
      <w:r/>
      <w:bookmarkStart w:id="47" w:name="_Toc28359019"/>
      <w:r/>
      <w:bookmarkStart w:id="48" w:name="_Toc35393637"/>
      <w:r/>
      <w:bookmarkStart w:id="49" w:name="_Toc28359096"/>
      <w:r/>
      <w:bookmarkStart w:id="50" w:name="_Toc35393806"/>
      <w:r>
        <w:rPr>
          <w:rFonts w:hint="eastAsia" w:ascii="宋体" w:hAnsi="宋体" w:cs="宋体"/>
          <w:color w:val="auto"/>
          <w:sz w:val="21"/>
          <w:szCs w:val="21"/>
          <w:highlight w:val="none"/>
        </w:rPr>
        <w:t xml:space="preserve">1.采购人信息</w:t>
      </w:r>
      <w:bookmarkEnd w:id="47"/>
      <w:r/>
      <w:bookmarkEnd w:id="48"/>
      <w:r/>
      <w:bookmarkEnd w:id="49"/>
      <w:r/>
      <w:bookmarkEnd w:id="50"/>
      <w:r/>
      <w:r/>
    </w:p>
    <w:p>
      <w:pPr>
        <w:ind w:left="0" w:firstLine="420"/>
        <w:jc w:val="left"/>
        <w:spacing w:line="360" w:lineRule="auto"/>
        <w:rPr>
          <w:rFonts w:hint="eastAsia" w:ascii="宋体" w:hAnsi="宋体" w:cs="宋体"/>
          <w:color w:val="auto"/>
          <w:sz w:val="21"/>
          <w:szCs w:val="21"/>
          <w:highlight w:val="none"/>
        </w:rPr>
      </w:pPr>
      <w:r/>
      <w:bookmarkStart w:id="51" w:name="_Toc35393807"/>
      <w:r/>
      <w:bookmarkStart w:id="52" w:name="_Toc28359020"/>
      <w:r/>
      <w:bookmarkStart w:id="53" w:name="_Toc28359097"/>
      <w:r/>
      <w:bookmarkStart w:id="54" w:name="_Toc35393638"/>
      <w:r>
        <w:rPr>
          <w:rFonts w:hint="eastAsia" w:ascii="宋体" w:hAnsi="宋体" w:cs="宋体"/>
          <w:color w:val="auto"/>
          <w:sz w:val="21"/>
          <w:szCs w:val="21"/>
          <w:highlight w:val="none"/>
        </w:rPr>
        <w:t xml:space="preserve">名 称：</w:t>
      </w:r>
      <w:r>
        <w:rPr>
          <w:rFonts w:hint="eastAsia" w:ascii="宋体" w:hAnsi="宋体" w:cs="宋体"/>
          <w:color w:val="auto"/>
          <w:sz w:val="21"/>
          <w:szCs w:val="21"/>
          <w:highlight w:val="none"/>
          <w:lang w:eastAsia="zh-CN"/>
        </w:rPr>
        <w:t xml:space="preserve">东吴国家森林公园管理中心（机关）</w:t>
      </w:r>
      <w:r/>
    </w:p>
    <w:p>
      <w:pPr>
        <w:ind w:left="0"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地址：苏州市吴中区木渎镇穹灵路308号</w:t>
      </w:r>
      <w:r/>
    </w:p>
    <w:p>
      <w:pPr>
        <w:ind w:left="0"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联系人：甘敏洁</w:t>
      </w:r>
      <w:r/>
    </w:p>
    <w:p>
      <w:pPr>
        <w:ind w:left="0" w:firstLine="420"/>
        <w:jc w:val="left"/>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联系电话：0512-66240869 </w:t>
      </w:r>
      <w:r/>
    </w:p>
    <w:p>
      <w:pPr>
        <w:ind w:left="0"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2.采购代理机构信息</w:t>
      </w:r>
      <w:bookmarkEnd w:id="51"/>
      <w:r/>
      <w:bookmarkEnd w:id="52"/>
      <w:r/>
      <w:bookmarkEnd w:id="53"/>
      <w:r/>
      <w:bookmarkEnd w:id="54"/>
      <w:r/>
      <w:r/>
    </w:p>
    <w:p>
      <w:pPr>
        <w:ind w:left="0" w:firstLine="420"/>
        <w:jc w:val="left"/>
        <w:spacing w:line="360" w:lineRule="auto"/>
        <w:rPr>
          <w:rFonts w:ascii="宋体" w:hAnsi="宋体" w:cs="宋体"/>
          <w:color w:val="auto"/>
          <w:sz w:val="21"/>
          <w:szCs w:val="21"/>
          <w:highlight w:val="none"/>
        </w:rPr>
      </w:pPr>
      <w:r/>
      <w:bookmarkStart w:id="55" w:name="_Toc28359098"/>
      <w:r/>
      <w:bookmarkStart w:id="56" w:name="_Toc35393639"/>
      <w:r/>
      <w:bookmarkStart w:id="57" w:name="_Toc35393808"/>
      <w:r/>
      <w:bookmarkStart w:id="58" w:name="_Toc28359021"/>
      <w:r>
        <w:rPr>
          <w:rFonts w:hint="eastAsia" w:ascii="宋体" w:hAnsi="宋体" w:cs="宋体"/>
          <w:color w:val="auto"/>
          <w:sz w:val="21"/>
          <w:szCs w:val="21"/>
          <w:highlight w:val="none"/>
        </w:rPr>
        <w:t xml:space="preserve">名 称：苏州至贞招投标咨询服务有限公司</w:t>
      </w:r>
      <w:r/>
    </w:p>
    <w:p>
      <w:pPr>
        <w:ind w:left="0"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址：苏州市南湖路71号918室</w:t>
      </w:r>
      <w:r/>
    </w:p>
    <w:p>
      <w:pPr>
        <w:ind w:left="0"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联系方式：0512-66263318</w:t>
      </w:r>
      <w:r/>
    </w:p>
    <w:p>
      <w:pPr>
        <w:ind w:left="0"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3.项目联系方式</w:t>
      </w:r>
      <w:bookmarkEnd w:id="55"/>
      <w:r/>
      <w:bookmarkEnd w:id="56"/>
      <w:r/>
      <w:bookmarkEnd w:id="57"/>
      <w:r/>
      <w:bookmarkEnd w:id="58"/>
      <w:r/>
      <w:r/>
    </w:p>
    <w:p>
      <w:pPr>
        <w:ind w:left="0" w:firstLine="42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项目联系人：</w:t>
      </w:r>
      <w:r>
        <w:rPr>
          <w:rFonts w:hint="eastAsia" w:ascii="宋体" w:hAnsi="宋体" w:cs="宋体"/>
          <w:color w:val="auto"/>
          <w:sz w:val="21"/>
          <w:szCs w:val="21"/>
          <w:highlight w:val="none"/>
          <w:lang w:val="en-US" w:eastAsia="zh-CN"/>
        </w:rPr>
        <w:t xml:space="preserve">张欣雨</w:t>
      </w:r>
      <w:r>
        <w:rPr>
          <w:rFonts w:hint="eastAsia" w:ascii="宋体" w:hAnsi="宋体" w:cs="宋体"/>
          <w:color w:val="auto"/>
          <w:sz w:val="21"/>
          <w:szCs w:val="21"/>
          <w:highlight w:val="none"/>
        </w:rPr>
        <w:t xml:space="preserve">   电　话：0512-66263318</w:t>
      </w:r>
      <w:r/>
    </w:p>
    <w:p>
      <w:pPr>
        <w:ind w:left="0" w:firstLine="420"/>
        <w:jc w:val="right"/>
        <w:spacing w:line="36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866"/>
        <w:ind w:left="0" w:firstLine="480"/>
        <w:jc w:val="center"/>
        <w:spacing w:before="0" w:after="0" w:line="360" w:lineRule="auto"/>
        <w:rPr>
          <w:rFonts w:ascii="宋体" w:hAnsi="宋体"/>
          <w:b/>
          <w:color w:val="auto"/>
          <w:sz w:val="44"/>
          <w:szCs w:val="44"/>
          <w:highlight w:val="none"/>
        </w:rPr>
      </w:pPr>
      <w:r>
        <w:rPr>
          <w:rFonts w:hint="eastAsia" w:ascii="Arial" w:hAnsi="Arial" w:eastAsia="Arial" w:cs="Arial"/>
          <w:color w:val="auto"/>
          <w:sz w:val="24"/>
          <w:szCs w:val="24"/>
          <w:highlight w:val="none"/>
        </w:rPr>
        <w:br w:type="page" w:clear="all"/>
      </w:r>
      <w:bookmarkStart w:id="59" w:name="_Toc103258849"/>
      <w:r/>
      <w:bookmarkStart w:id="60" w:name="_Toc68611035"/>
      <w:r/>
      <w:bookmarkStart w:id="61" w:name="_Toc11400"/>
      <w:r>
        <w:rPr>
          <w:rFonts w:hint="eastAsia"/>
          <w:b/>
          <w:color w:val="auto"/>
          <w:sz w:val="44"/>
          <w:szCs w:val="44"/>
          <w:highlight w:val="none"/>
        </w:rPr>
        <w:t xml:space="preserve">第二章 </w:t>
      </w:r>
      <w:bookmarkStart w:id="62" w:name="投标人须知"/>
      <w:r/>
      <w:bookmarkEnd w:id="62"/>
      <w:r/>
      <w:bookmarkStart w:id="63" w:name="OLE_LINK3"/>
      <w:r>
        <w:rPr>
          <w:rFonts w:hint="eastAsia"/>
          <w:b/>
          <w:color w:val="auto"/>
          <w:sz w:val="44"/>
          <w:szCs w:val="44"/>
          <w:highlight w:val="none"/>
        </w:rPr>
        <w:t xml:space="preserve">磋商须知</w:t>
      </w:r>
      <w:bookmarkEnd w:id="12"/>
      <w:r/>
      <w:bookmarkEnd w:id="13"/>
      <w:r/>
      <w:bookmarkEnd w:id="14"/>
      <w:r/>
      <w:bookmarkEnd w:id="15"/>
      <w:r/>
      <w:bookmarkEnd w:id="59"/>
      <w:r/>
      <w:bookmarkEnd w:id="60"/>
      <w:r/>
      <w:bookmarkEnd w:id="61"/>
      <w:r/>
      <w:bookmarkEnd w:id="63"/>
      <w:r/>
      <w:r/>
    </w:p>
    <w:p>
      <w:pPr>
        <w:pStyle w:val="958"/>
        <w:ind w:left="0" w:firstLine="422"/>
        <w:spacing w:line="360" w:lineRule="auto"/>
        <w:rPr>
          <w:rFonts w:ascii="宋体" w:hAnsi="宋体" w:cs="宋体"/>
          <w:b/>
          <w:color w:val="auto"/>
          <w:sz w:val="21"/>
          <w:szCs w:val="21"/>
          <w:highlight w:val="none"/>
        </w:rPr>
      </w:pPr>
      <w:r/>
      <w:bookmarkStart w:id="64" w:name="_Toc57376407"/>
      <w:r/>
      <w:bookmarkStart w:id="65" w:name="_Toc24711"/>
      <w:r/>
      <w:bookmarkStart w:id="66" w:name="_Toc7264"/>
      <w:r/>
      <w:bookmarkStart w:id="67" w:name="_Toc58248881"/>
      <w:r>
        <w:rPr>
          <w:rFonts w:hint="eastAsia" w:ascii="宋体" w:hAnsi="宋体" w:cs="宋体"/>
          <w:b/>
          <w:color w:val="auto"/>
          <w:sz w:val="21"/>
          <w:szCs w:val="21"/>
          <w:highlight w:val="none"/>
        </w:rPr>
        <w:t xml:space="preserve">一、响应文件的组成及要求（</w:t>
      </w:r>
      <w:r>
        <w:rPr>
          <w:rFonts w:hint="eastAsia" w:ascii="宋体" w:hAnsi="宋体" w:cs="宋体"/>
          <w:b/>
          <w:color w:val="auto"/>
          <w:sz w:val="21"/>
          <w:szCs w:val="21"/>
          <w:highlight w:val="none"/>
          <w:lang w:val="en-US"/>
        </w:rPr>
        <w:t xml:space="preserve">部分格式见第三章</w:t>
      </w:r>
      <w:r>
        <w:rPr>
          <w:rFonts w:hint="eastAsia" w:ascii="宋体" w:hAnsi="宋体" w:cs="宋体"/>
          <w:b/>
          <w:color w:val="auto"/>
          <w:sz w:val="21"/>
          <w:szCs w:val="21"/>
          <w:highlight w:val="none"/>
        </w:rPr>
        <w:t xml:space="preserve">）</w:t>
      </w:r>
      <w:r/>
    </w:p>
    <w:p>
      <w:pPr>
        <w:pStyle w:val="9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1、封面</w:t>
      </w:r>
      <w:r/>
    </w:p>
    <w:p>
      <w:pPr>
        <w:pStyle w:val="9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2、开标一览表（</w:t>
      </w:r>
      <w:r>
        <w:rPr>
          <w:rFonts w:hint="eastAsia" w:ascii="宋体" w:hAnsi="宋体" w:cs="宋体"/>
          <w:b/>
          <w:color w:val="auto"/>
          <w:sz w:val="21"/>
          <w:szCs w:val="21"/>
          <w:highlight w:val="none"/>
          <w:lang w:val="en-US"/>
        </w:rPr>
        <w:t xml:space="preserve">系统统一格式</w:t>
      </w:r>
      <w:r>
        <w:rPr>
          <w:rFonts w:hint="eastAsia" w:ascii="宋体" w:hAnsi="宋体" w:cs="宋体"/>
          <w:b/>
          <w:color w:val="auto"/>
          <w:sz w:val="21"/>
          <w:szCs w:val="21"/>
          <w:highlight w:val="none"/>
        </w:rPr>
        <w:t xml:space="preserve">）</w:t>
      </w:r>
      <w:r/>
    </w:p>
    <w:p>
      <w:pPr>
        <w:pStyle w:val="9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3、资格审查响应文件</w:t>
      </w:r>
      <w:r/>
    </w:p>
    <w:p>
      <w:pPr>
        <w:pStyle w:val="958"/>
        <w:ind w:left="0" w:firstLine="420"/>
        <w:keepLines w:val="0"/>
        <w:keepNext w:val="0"/>
        <w:pageBreakBefore w:val="0"/>
        <w:spacing w:line="360" w:lineRule="auto"/>
        <w:widowControl/>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.1</w:t>
      </w:r>
      <w:r>
        <w:rPr>
          <w:rFonts w:hint="eastAsia" w:ascii="宋体" w:hAnsi="宋体" w:cs="宋体"/>
          <w:bCs/>
          <w:color w:val="auto"/>
          <w:sz w:val="21"/>
          <w:szCs w:val="21"/>
          <w:highlight w:val="none"/>
        </w:rPr>
        <w:t xml:space="preserve">关于资格文件的声明函；</w:t>
      </w:r>
      <w:r/>
    </w:p>
    <w:p>
      <w:pPr>
        <w:pStyle w:val="958"/>
        <w:ind w:left="0" w:firstLine="420"/>
        <w:keepLines w:val="0"/>
        <w:keepNext w:val="0"/>
        <w:pageBreakBefore w:val="0"/>
        <w:spacing w:line="360" w:lineRule="auto"/>
        <w:widowControl/>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磋商响应单位</w:t>
      </w:r>
      <w:r>
        <w:rPr>
          <w:rFonts w:ascii="宋体" w:hAnsi="宋体" w:cs="宋体"/>
          <w:bCs/>
          <w:color w:val="auto"/>
          <w:sz w:val="21"/>
          <w:szCs w:val="21"/>
          <w:highlight w:val="none"/>
        </w:rPr>
        <w:t xml:space="preserve">基本情况表</w:t>
      </w:r>
      <w:r>
        <w:rPr>
          <w:rFonts w:hint="eastAsia" w:ascii="宋体" w:hAnsi="宋体" w:cs="宋体"/>
          <w:bCs/>
          <w:color w:val="auto"/>
          <w:sz w:val="21"/>
          <w:szCs w:val="21"/>
          <w:highlight w:val="none"/>
        </w:rPr>
        <w:t xml:space="preserve">；</w:t>
      </w:r>
      <w:r/>
    </w:p>
    <w:p>
      <w:pPr>
        <w:pStyle w:val="958"/>
        <w:ind w:left="0" w:firstLine="420"/>
        <w:keepLines w:val="0"/>
        <w:keepNext w:val="0"/>
        <w:pageBreakBefore w:val="0"/>
        <w:spacing w:line="360" w:lineRule="auto"/>
        <w:widowControl/>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.3</w:t>
      </w:r>
      <w:r>
        <w:rPr>
          <w:rFonts w:hint="eastAsia" w:ascii="宋体" w:hAnsi="宋体" w:cs="宋体"/>
          <w:bCs/>
          <w:color w:val="auto"/>
          <w:sz w:val="21"/>
          <w:szCs w:val="21"/>
          <w:highlight w:val="none"/>
        </w:rPr>
        <w:t xml:space="preserve">磋商响应单位法定代表人身份证</w:t>
      </w:r>
      <w:r>
        <w:rPr>
          <w:rFonts w:hint="eastAsia" w:ascii="宋体" w:hAnsi="宋体" w:cs="宋体"/>
          <w:bCs/>
          <w:color w:val="auto"/>
          <w:sz w:val="21"/>
          <w:szCs w:val="21"/>
          <w:highlight w:val="none"/>
          <w:lang w:val="en-US" w:eastAsia="zh-CN"/>
        </w:rPr>
        <w:t xml:space="preserve">扫描</w:t>
      </w:r>
      <w:r>
        <w:rPr>
          <w:rFonts w:hint="eastAsia" w:ascii="宋体" w:hAnsi="宋体" w:cs="宋体"/>
          <w:bCs/>
          <w:color w:val="auto"/>
          <w:sz w:val="21"/>
          <w:szCs w:val="21"/>
          <w:highlight w:val="none"/>
        </w:rPr>
        <w:t xml:space="preserve">件；</w:t>
      </w:r>
      <w:r/>
    </w:p>
    <w:p>
      <w:pPr>
        <w:pStyle w:val="958"/>
        <w:ind w:left="0" w:firstLine="420"/>
        <w:keepLines w:val="0"/>
        <w:keepNext w:val="0"/>
        <w:pageBreakBefore w:val="0"/>
        <w:spacing w:line="360" w:lineRule="auto"/>
        <w:widowControl/>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.4</w:t>
      </w:r>
      <w:r>
        <w:rPr>
          <w:rFonts w:hint="eastAsia" w:ascii="宋体" w:hAnsi="宋体" w:cs="宋体"/>
          <w:bCs/>
          <w:color w:val="auto"/>
          <w:sz w:val="21"/>
          <w:szCs w:val="21"/>
          <w:highlight w:val="none"/>
        </w:rPr>
        <w:t xml:space="preserve">法定代表人授权委托书（如有授权）；</w:t>
      </w:r>
      <w:r/>
    </w:p>
    <w:p>
      <w:pPr>
        <w:pStyle w:val="958"/>
        <w:ind w:left="0" w:firstLine="420"/>
        <w:keepLines w:val="0"/>
        <w:keepNext w:val="0"/>
        <w:pageBreakBefore w:val="0"/>
        <w:spacing w:line="360" w:lineRule="auto"/>
        <w:widowControl/>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.5</w:t>
      </w:r>
      <w:r>
        <w:rPr>
          <w:rFonts w:hint="eastAsia" w:ascii="宋体" w:hAnsi="宋体" w:cs="宋体"/>
          <w:bCs/>
          <w:color w:val="auto"/>
          <w:sz w:val="21"/>
          <w:szCs w:val="21"/>
          <w:highlight w:val="none"/>
        </w:rPr>
        <w:t xml:space="preserve">磋商响应单位授权代理人身份证</w:t>
      </w:r>
      <w:r>
        <w:rPr>
          <w:rFonts w:hint="eastAsia" w:ascii="宋体" w:hAnsi="宋体" w:cs="宋体"/>
          <w:bCs/>
          <w:color w:val="auto"/>
          <w:sz w:val="21"/>
          <w:szCs w:val="21"/>
          <w:highlight w:val="none"/>
          <w:lang w:val="en-US" w:eastAsia="zh-CN"/>
        </w:rPr>
        <w:t xml:space="preserve">扫描</w:t>
      </w:r>
      <w:r>
        <w:rPr>
          <w:rFonts w:hint="eastAsia" w:ascii="宋体" w:hAnsi="宋体" w:cs="宋体"/>
          <w:bCs/>
          <w:color w:val="auto"/>
          <w:sz w:val="21"/>
          <w:szCs w:val="21"/>
          <w:highlight w:val="none"/>
        </w:rPr>
        <w:t xml:space="preserve">件（如有授权）；</w:t>
      </w:r>
      <w:r/>
    </w:p>
    <w:p>
      <w:pPr>
        <w:pStyle w:val="958"/>
        <w:ind w:left="0" w:firstLine="420"/>
        <w:keepLines w:val="0"/>
        <w:keepNext w:val="0"/>
        <w:pageBreakBefore w:val="0"/>
        <w:spacing w:line="360" w:lineRule="auto"/>
        <w:widowControl/>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3.6合格供应商的基本条件</w:t>
      </w:r>
      <w:r/>
    </w:p>
    <w:p>
      <w:pPr>
        <w:pStyle w:val="958"/>
        <w:ind w:left="0" w:firstLine="420"/>
        <w:keepLines w:val="0"/>
        <w:keepNext w:val="0"/>
        <w:pageBreakBefore w:val="0"/>
        <w:spacing w:line="360" w:lineRule="auto"/>
        <w:widowControl/>
        <w:rPr>
          <w:rFonts w:ascii="宋体" w:hAnsi="宋体" w:cs="宋体"/>
          <w:bCs/>
          <w:color w:val="auto"/>
          <w:sz w:val="21"/>
          <w:szCs w:val="21"/>
          <w:highlight w:val="none"/>
        </w:rPr>
        <w:outlineLvl w:val="9"/>
      </w:pPr>
      <w:r>
        <w:rPr>
          <w:rFonts w:hint="eastAsia" w:ascii="宋体" w:hAnsi="宋体" w:cs="宋体"/>
          <w:bCs/>
          <w:color w:val="auto"/>
          <w:sz w:val="21"/>
          <w:szCs w:val="21"/>
          <w:highlight w:val="none"/>
          <w:lang w:val="en-US"/>
        </w:rPr>
        <w:t xml:space="preserve">3.6.1</w:t>
      </w:r>
      <w:r>
        <w:rPr>
          <w:rFonts w:hint="eastAsia" w:ascii="宋体" w:hAnsi="宋体" w:cs="宋体"/>
          <w:bCs/>
          <w:color w:val="auto"/>
          <w:sz w:val="21"/>
          <w:szCs w:val="21"/>
          <w:highlight w:val="none"/>
        </w:rPr>
        <w:t xml:space="preserve">具有独立承担民事责任的能力证明。包括法人或者其他组织的营业执照等证明文件，自然人的身份证明；</w:t>
      </w:r>
      <w:r/>
    </w:p>
    <w:p>
      <w:pPr>
        <w:pStyle w:val="958"/>
        <w:ind w:left="0" w:firstLine="420"/>
        <w:keepLines w:val="0"/>
        <w:keepNext w:val="0"/>
        <w:pageBreakBefore w:val="0"/>
        <w:spacing w:line="360" w:lineRule="auto"/>
        <w:widowControl/>
        <w:rPr>
          <w:rFonts w:hint="eastAsia" w:ascii="宋体" w:hAnsi="宋体" w:eastAsia="宋体" w:cs="宋体"/>
          <w:bCs/>
          <w:color w:val="auto"/>
          <w:sz w:val="21"/>
          <w:szCs w:val="21"/>
          <w:highlight w:val="none"/>
        </w:rPr>
        <w:outlineLvl w:val="9"/>
      </w:pPr>
      <w:r>
        <w:rPr>
          <w:rFonts w:hint="eastAsia" w:ascii="宋体" w:hAnsi="宋体" w:cs="宋体"/>
          <w:bCs/>
          <w:color w:val="auto"/>
          <w:sz w:val="21"/>
          <w:szCs w:val="21"/>
          <w:highlight w:val="none"/>
          <w:lang w:val="en-US"/>
        </w:rPr>
        <w:t xml:space="preserve">3.6.</w:t>
      </w: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shd w:val="clear" w:color="auto" w:fill="auto"/>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cs="宋体"/>
          <w:bCs/>
          <w:color w:val="auto"/>
          <w:sz w:val="21"/>
          <w:szCs w:val="21"/>
          <w:highlight w:val="none"/>
          <w:lang w:eastAsia="zh-CN"/>
        </w:rPr>
        <w:t xml:space="preserve">；</w:t>
      </w:r>
      <w:r/>
    </w:p>
    <w:p>
      <w:pPr>
        <w:pStyle w:val="958"/>
        <w:ind w:left="0" w:firstLine="420"/>
        <w:keepLines w:val="0"/>
        <w:keepNext w:val="0"/>
        <w:pageBreakBefore w:val="0"/>
        <w:spacing w:line="360" w:lineRule="auto"/>
        <w:widowControl/>
        <w:rPr>
          <w:rFonts w:hint="eastAsia" w:ascii="宋体" w:hAnsi="宋体" w:eastAsia="宋体" w:cs="宋体"/>
          <w:bCs/>
          <w:color w:val="auto"/>
          <w:sz w:val="21"/>
          <w:szCs w:val="21"/>
          <w:highlight w:val="none"/>
        </w:rPr>
        <w:outlineLvl w:val="9"/>
      </w:pPr>
      <w:r>
        <w:rPr>
          <w:rFonts w:hint="eastAsia" w:ascii="宋体" w:hAnsi="宋体" w:cs="宋体"/>
          <w:bCs/>
          <w:color w:val="auto"/>
          <w:sz w:val="21"/>
          <w:szCs w:val="21"/>
          <w:highlight w:val="none"/>
          <w:lang w:val="en-US"/>
        </w:rPr>
        <w:t xml:space="preserve">3.6</w:t>
      </w:r>
      <w:r>
        <w:rPr>
          <w:rFonts w:hint="eastAsia" w:ascii="宋体" w:hAnsi="宋体" w:cs="宋体"/>
          <w:bCs/>
          <w:color w:val="auto"/>
          <w:sz w:val="21"/>
          <w:szCs w:val="21"/>
          <w:highlight w:val="none"/>
        </w:rPr>
        <w:t xml:space="preserve">.3响应单位证明其满足合格投标人（</w:t>
      </w:r>
      <w:r>
        <w:rPr>
          <w:rFonts w:hint="eastAsia" w:ascii="宋体" w:hAnsi="宋体" w:cs="宋体"/>
          <w:bCs/>
          <w:color w:val="auto"/>
          <w:sz w:val="21"/>
          <w:szCs w:val="21"/>
          <w:highlight w:val="none"/>
          <w:lang w:val="en-US"/>
        </w:rPr>
        <w:t xml:space="preserve">响应单位</w:t>
      </w:r>
      <w:r>
        <w:rPr>
          <w:rFonts w:hint="eastAsia" w:ascii="宋体" w:hAnsi="宋体" w:cs="宋体"/>
          <w:bCs/>
          <w:color w:val="auto"/>
          <w:sz w:val="21"/>
          <w:szCs w:val="21"/>
          <w:highlight w:val="none"/>
        </w:rPr>
        <w:t xml:space="preserve">）条件的证书、证明、文件等资料以及响应单位所具备的专业设备和专业技术能力</w:t>
      </w:r>
      <w:r>
        <w:rPr>
          <w:rFonts w:hint="eastAsia" w:ascii="宋体" w:hAnsi="宋体" w:cs="宋体"/>
          <w:bCs/>
          <w:color w:val="auto"/>
          <w:sz w:val="21"/>
          <w:szCs w:val="21"/>
          <w:highlight w:val="none"/>
          <w:lang w:eastAsia="zh-CN"/>
        </w:rPr>
        <w:t xml:space="preserve">；</w:t>
      </w:r>
      <w:r/>
    </w:p>
    <w:p>
      <w:pPr>
        <w:pStyle w:val="958"/>
        <w:ind w:left="0" w:firstLine="420"/>
        <w:keepLines w:val="0"/>
        <w:keepNext w:val="0"/>
        <w:pageBreakBefore w:val="0"/>
        <w:spacing w:line="360" w:lineRule="auto"/>
        <w:widowControl/>
        <w:rPr>
          <w:rFonts w:hint="eastAsia" w:ascii="宋体" w:hAnsi="宋体" w:eastAsia="宋体" w:cs="宋体"/>
          <w:bCs/>
          <w:color w:val="auto"/>
          <w:sz w:val="21"/>
          <w:szCs w:val="21"/>
          <w:highlight w:val="none"/>
        </w:rPr>
        <w:outlineLvl w:val="9"/>
      </w:pPr>
      <w:r>
        <w:rPr>
          <w:rFonts w:hint="eastAsia" w:ascii="宋体" w:hAnsi="宋体" w:cs="宋体"/>
          <w:bCs/>
          <w:color w:val="auto"/>
          <w:sz w:val="21"/>
          <w:szCs w:val="21"/>
          <w:highlight w:val="none"/>
          <w:lang w:val="en-US"/>
        </w:rPr>
        <w:t xml:space="preserve">3.6.</w:t>
      </w:r>
      <w:r>
        <w:rPr>
          <w:rFonts w:hint="eastAsia" w:ascii="宋体" w:hAnsi="宋体" w:cs="宋体"/>
          <w:bCs/>
          <w:color w:val="auto"/>
          <w:sz w:val="21"/>
          <w:szCs w:val="21"/>
          <w:highlight w:val="none"/>
        </w:rPr>
        <w:t xml:space="preserve">4有依法缴纳税收和社会保障资金的良好记录。如税务登记证（如有）和合理期限内依法缴纳税收的凭据，社会保险登记证（如有）和合理期限内依法缴纳社会保险的凭据（专用收据或社会保险缴纳清单）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cs="宋体"/>
          <w:bCs/>
          <w:color w:val="auto"/>
          <w:sz w:val="21"/>
          <w:szCs w:val="21"/>
          <w:highlight w:val="none"/>
          <w:lang w:eastAsia="zh-CN"/>
        </w:rPr>
        <w:t xml:space="preserve">；</w:t>
      </w:r>
      <w:r/>
    </w:p>
    <w:p>
      <w:pPr>
        <w:pStyle w:val="958"/>
        <w:ind w:left="0" w:firstLine="420"/>
        <w:keepLines w:val="0"/>
        <w:keepNext w:val="0"/>
        <w:pageBreakBefore w:val="0"/>
        <w:spacing w:line="360" w:lineRule="auto"/>
        <w:widowControl/>
        <w:rPr>
          <w:rFonts w:ascii="宋体" w:hAnsi="宋体" w:cs="宋体"/>
          <w:bCs/>
          <w:color w:val="auto"/>
          <w:sz w:val="21"/>
          <w:szCs w:val="21"/>
          <w:highlight w:val="none"/>
        </w:rPr>
        <w:outlineLvl w:val="9"/>
      </w:pPr>
      <w:r>
        <w:rPr>
          <w:rFonts w:hint="eastAsia" w:ascii="宋体" w:hAnsi="宋体" w:cs="宋体"/>
          <w:bCs/>
          <w:color w:val="auto"/>
          <w:sz w:val="21"/>
          <w:szCs w:val="21"/>
          <w:highlight w:val="none"/>
          <w:lang w:val="en-US"/>
        </w:rPr>
        <w:t xml:space="preserve">3.6.</w:t>
      </w:r>
      <w:r>
        <w:rPr>
          <w:rFonts w:hint="eastAsia" w:ascii="宋体" w:hAnsi="宋体" w:cs="宋体"/>
          <w:bCs/>
          <w:color w:val="auto"/>
          <w:sz w:val="21"/>
          <w:szCs w:val="21"/>
          <w:highlight w:val="none"/>
        </w:rPr>
        <w:t xml:space="preserve">5参加政府采购活动前三年内，在经营活动中没有重大违法记录的书面声明函；</w:t>
      </w:r>
      <w:r/>
    </w:p>
    <w:p>
      <w:pPr>
        <w:pStyle w:val="958"/>
        <w:ind w:left="0" w:firstLine="420"/>
        <w:keepLines w:val="0"/>
        <w:keepNext w:val="0"/>
        <w:pageBreakBefore w:val="0"/>
        <w:spacing w:line="360" w:lineRule="auto"/>
        <w:widowControl/>
        <w:rPr>
          <w:rFonts w:ascii="宋体" w:hAnsi="宋体" w:eastAsia="宋体" w:cs="宋体"/>
          <w:bCs/>
          <w:color w:val="auto"/>
          <w:sz w:val="21"/>
          <w:szCs w:val="21"/>
          <w:highlight w:val="none"/>
        </w:rPr>
        <w:outlineLvl w:val="9"/>
      </w:pPr>
      <w:r>
        <w:rPr>
          <w:rFonts w:hint="eastAsia" w:ascii="宋体" w:hAnsi="宋体" w:cs="宋体"/>
          <w:bCs/>
          <w:color w:val="auto"/>
          <w:sz w:val="21"/>
          <w:szCs w:val="21"/>
          <w:highlight w:val="none"/>
          <w:lang w:val="en-US" w:eastAsia="zh-CN"/>
        </w:rPr>
        <w:t xml:space="preserve">3.7未被“信用中国”网站（www.creditchina.gov.cn）列入失信被执行人、重大税收违法案件当事人名单、政府采购严重失信行为记录名单；</w:t>
      </w:r>
      <w:r/>
    </w:p>
    <w:p>
      <w:pPr>
        <w:pStyle w:val="958"/>
        <w:ind w:left="0" w:firstLine="420"/>
        <w:keepLines w:val="0"/>
        <w:keepNext w:val="0"/>
        <w:pageBreakBefore w:val="0"/>
        <w:spacing w:line="360" w:lineRule="auto"/>
        <w:widowControl/>
        <w:rPr>
          <w:rFonts w:ascii="宋体" w:hAnsi="宋体" w:cs="宋体"/>
          <w:bCs/>
          <w:color w:val="auto"/>
          <w:sz w:val="21"/>
          <w:szCs w:val="21"/>
          <w:highlight w:val="none"/>
        </w:rPr>
        <w:outlineLvl w:val="9"/>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pStyle w:val="958"/>
        <w:ind w:left="0" w:firstLine="422"/>
        <w:keepLines w:val="0"/>
        <w:keepNext w:val="0"/>
        <w:pageBreakBefore w:val="0"/>
        <w:spacing w:line="360" w:lineRule="auto"/>
        <w:widowControl/>
        <w:rPr>
          <w:rFonts w:ascii="宋体" w:hAnsi="宋体" w:cs="宋体"/>
          <w:b/>
          <w:color w:val="auto"/>
          <w:sz w:val="21"/>
          <w:szCs w:val="21"/>
          <w:highlight w:val="none"/>
        </w:rPr>
        <w:outlineLvl w:val="9"/>
      </w:pPr>
      <w:r>
        <w:rPr>
          <w:rFonts w:hint="eastAsia" w:ascii="宋体" w:hAnsi="宋体" w:cs="宋体"/>
          <w:b/>
          <w:color w:val="auto"/>
          <w:sz w:val="21"/>
          <w:szCs w:val="21"/>
          <w:highlight w:val="none"/>
        </w:rPr>
        <w:t xml:space="preserve">4、符合性审查响应文件</w:t>
      </w:r>
      <w:r/>
    </w:p>
    <w:p>
      <w:pPr>
        <w:pStyle w:val="958"/>
        <w:ind w:left="0" w:firstLine="420"/>
        <w:keepLines w:val="0"/>
        <w:keepNext w:val="0"/>
        <w:pageBreakBefore w:val="0"/>
        <w:spacing w:line="360" w:lineRule="auto"/>
        <w:widowControl/>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磋商响应函；</w:t>
      </w:r>
      <w:r/>
    </w:p>
    <w:p>
      <w:pPr>
        <w:pStyle w:val="958"/>
        <w:ind w:left="0" w:firstLine="420"/>
        <w:keepLines w:val="0"/>
        <w:keepNext w:val="0"/>
        <w:pageBreakBefore w:val="0"/>
        <w:spacing w:line="360" w:lineRule="auto"/>
        <w:widowControl/>
        <w:rPr>
          <w:color w:val="auto"/>
          <w:sz w:val="21"/>
          <w:szCs w:val="21"/>
          <w:highlight w:val="none"/>
        </w:rPr>
        <w:outlineLvl w:val="9"/>
      </w:pPr>
      <w:r>
        <w:rPr>
          <w:rFonts w:hint="eastAsia" w:ascii="宋体" w:hAnsi="宋体" w:cs="宋体"/>
          <w:color w:val="auto"/>
          <w:sz w:val="21"/>
          <w:szCs w:val="21"/>
          <w:highlight w:val="none"/>
        </w:rPr>
        <w:t xml:space="preserve">4.2磋商报价</w:t>
      </w:r>
      <w:r>
        <w:rPr>
          <w:rFonts w:hint="eastAsia" w:ascii="宋体" w:hAnsi="宋体" w:cs="宋体"/>
          <w:color w:val="auto"/>
          <w:sz w:val="21"/>
          <w:szCs w:val="21"/>
          <w:highlight w:val="none"/>
          <w:lang w:val="en-US" w:eastAsia="zh-CN"/>
        </w:rPr>
        <w:t xml:space="preserve">分项</w:t>
      </w:r>
      <w:r>
        <w:rPr>
          <w:rFonts w:hint="eastAsia" w:ascii="宋体" w:hAnsi="宋体" w:cs="宋体"/>
          <w:color w:val="auto"/>
          <w:sz w:val="21"/>
          <w:szCs w:val="21"/>
          <w:highlight w:val="none"/>
        </w:rPr>
        <w:t xml:space="preserve">表；</w:t>
      </w:r>
      <w:r/>
    </w:p>
    <w:p>
      <w:pPr>
        <w:pStyle w:val="958"/>
        <w:ind w:left="0" w:firstLine="420"/>
        <w:keepLines w:val="0"/>
        <w:keepNext w:val="0"/>
        <w:pageBreakBefore w:val="0"/>
        <w:spacing w:line="360" w:lineRule="auto"/>
        <w:widowControl/>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3</w:t>
      </w:r>
      <w:r>
        <w:rPr>
          <w:rFonts w:hint="eastAsia" w:ascii="宋体" w:hAnsi="宋体" w:cs="宋体"/>
          <w:color w:val="auto"/>
          <w:sz w:val="21"/>
          <w:szCs w:val="21"/>
          <w:highlight w:val="none"/>
        </w:rPr>
        <w:t xml:space="preserve">项目服务人员配置表；</w:t>
      </w:r>
      <w:r/>
    </w:p>
    <w:p>
      <w:pPr>
        <w:pStyle w:val="958"/>
        <w:ind w:left="0" w:firstLine="422"/>
        <w:keepLines w:val="0"/>
        <w:keepNext w:val="0"/>
        <w:pageBreakBefore w:val="0"/>
        <w:spacing w:line="360" w:lineRule="auto"/>
        <w:widowControl/>
        <w:rPr>
          <w:rFonts w:ascii="宋体" w:hAnsi="宋体" w:cs="宋体"/>
          <w:color w:val="auto"/>
          <w:sz w:val="21"/>
          <w:szCs w:val="21"/>
          <w:highlight w:val="none"/>
        </w:rPr>
        <w:outlineLvl w:val="9"/>
      </w:pPr>
      <w:r>
        <w:rPr>
          <w:rFonts w:hint="eastAsia" w:ascii="宋体" w:hAnsi="宋体" w:cs="宋体"/>
          <w:b/>
          <w:color w:val="auto"/>
          <w:sz w:val="21"/>
          <w:szCs w:val="21"/>
          <w:highlight w:val="none"/>
        </w:rPr>
        <w:t xml:space="preserve">5、综合评审响应文件</w:t>
      </w:r>
      <w:r/>
    </w:p>
    <w:p>
      <w:pPr>
        <w:pStyle w:val="958"/>
        <w:ind w:left="0" w:firstLine="420"/>
        <w:keepLines w:val="0"/>
        <w:keepNext w:val="0"/>
        <w:pageBreakBefore w:val="0"/>
        <w:spacing w:line="360" w:lineRule="auto"/>
        <w:widowControl/>
        <w:rPr>
          <w:rFonts w:ascii="宋体" w:hAnsi="宋体" w:cs="宋体"/>
          <w:color w:val="auto"/>
          <w:sz w:val="21"/>
          <w:szCs w:val="21"/>
          <w:highlight w:val="none"/>
        </w:rPr>
        <w:outlineLvl w:val="9"/>
      </w:pPr>
      <w:r>
        <w:rPr>
          <w:rFonts w:hint="eastAsia" w:ascii="宋体" w:hAnsi="宋体" w:cs="宋体"/>
          <w:color w:val="auto"/>
          <w:sz w:val="21"/>
          <w:szCs w:val="21"/>
          <w:highlight w:val="none"/>
        </w:rPr>
        <w:t xml:space="preserve">5.1</w:t>
      </w:r>
      <w:r>
        <w:rPr>
          <w:rFonts w:hint="eastAsia" w:ascii="宋体" w:hAnsi="宋体" w:cs="宋体"/>
          <w:color w:val="auto"/>
          <w:sz w:val="21"/>
          <w:szCs w:val="21"/>
          <w:highlight w:val="none"/>
          <w:lang w:val="en-US"/>
        </w:rPr>
        <w:t xml:space="preserve">评审条件涉及内容；</w:t>
      </w:r>
      <w:r/>
    </w:p>
    <w:p>
      <w:pPr>
        <w:pStyle w:val="958"/>
        <w:ind w:left="0" w:firstLine="420"/>
        <w:keepLines w:val="0"/>
        <w:keepNext w:val="0"/>
        <w:pageBreakBefore w:val="0"/>
        <w:spacing w:line="360" w:lineRule="auto"/>
        <w:widowControl/>
        <w:rPr>
          <w:rFonts w:ascii="宋体" w:hAnsi="宋体" w:cs="宋体"/>
          <w:color w:val="auto"/>
          <w:sz w:val="21"/>
          <w:szCs w:val="21"/>
          <w:highlight w:val="none"/>
        </w:rPr>
        <w:outlineLvl w:val="9"/>
      </w:pPr>
      <w:r>
        <w:rPr>
          <w:rFonts w:hint="eastAsia" w:ascii="宋体" w:hAnsi="宋体" w:cs="宋体"/>
          <w:color w:val="auto"/>
          <w:sz w:val="21"/>
          <w:szCs w:val="21"/>
          <w:highlight w:val="none"/>
          <w:lang w:val="en-US"/>
        </w:rPr>
        <w:t xml:space="preserve">5.</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与本次采购相关的其他证明材料；</w:t>
      </w:r>
      <w:r/>
    </w:p>
    <w:p>
      <w:pPr>
        <w:pStyle w:val="958"/>
        <w:ind w:left="0" w:firstLine="422"/>
        <w:spacing w:line="360" w:lineRule="auto"/>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注：</w:t>
      </w:r>
      <w:r>
        <w:rPr>
          <w:rFonts w:hint="eastAsia" w:ascii="宋体" w:hAnsi="宋体" w:cs="宋体"/>
          <w:b/>
          <w:bCs/>
          <w:color w:val="auto"/>
          <w:sz w:val="21"/>
          <w:szCs w:val="21"/>
          <w:highlight w:val="none"/>
        </w:rPr>
        <w:t xml:space="preserve">（1）以上3.1</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3.</w:t>
      </w: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958"/>
        <w:ind w:left="0" w:firstLine="843"/>
        <w:spacing w:line="360" w:lineRule="auto"/>
        <w:rPr>
          <w:color w:val="auto"/>
          <w:sz w:val="21"/>
          <w:szCs w:val="21"/>
          <w:highlight w:val="none"/>
        </w:rPr>
      </w:pPr>
      <w:r>
        <w:rPr>
          <w:rFonts w:hint="eastAsia" w:ascii="宋体" w:hAnsi="宋体" w:cs="宋体"/>
          <w:b/>
          <w:bCs/>
          <w:color w:val="auto"/>
          <w:sz w:val="21"/>
          <w:szCs w:val="21"/>
          <w:highlight w:val="none"/>
        </w:rPr>
        <w:t xml:space="preserve">（2）以上4.1-4.</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为符合性审查须提供的资料，响应供应商必须提供并加盖电子公章。否则，磋商响应文件将被认定为未实质性响应。</w:t>
      </w:r>
      <w:r/>
    </w:p>
    <w:p>
      <w:pPr>
        <w:pStyle w:val="958"/>
        <w:ind w:left="0" w:firstLine="843"/>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（3）制作电子响应文件时必须与投标文件制作软件目录一一对应，将相关资料上传至相应模块。</w:t>
      </w:r>
      <w:r/>
    </w:p>
    <w:p>
      <w:pPr>
        <w:pStyle w:val="958"/>
        <w:ind w:left="0" w:firstLine="843"/>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rPr>
        <w:t xml:space="preserve">4）</w:t>
      </w:r>
      <w:r>
        <w:rPr>
          <w:rFonts w:hint="eastAsia" w:ascii="宋体" w:hAnsi="宋体"/>
          <w:b/>
          <w:color w:val="auto"/>
          <w:sz w:val="21"/>
          <w:szCs w:val="21"/>
          <w:highlight w:val="none"/>
        </w:rPr>
        <w:t xml:space="preserve">磋商响应文件编制要求：</w:t>
      </w:r>
      <w:r>
        <w:rPr>
          <w:rFonts w:hint="eastAsia" w:ascii="宋体" w:hAnsi="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958"/>
        <w:ind w:left="0" w:firstLine="843"/>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958"/>
        <w:ind w:left="0" w:firstLine="420"/>
        <w:spacing w:line="360" w:lineRule="auto"/>
        <w:rPr>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、联合体及转包、分包：本项目不接受联合体，不得转包、分包本项目。</w:t>
      </w:r>
      <w:r/>
    </w:p>
    <w:p>
      <w:pPr>
        <w:pStyle w:val="9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二、磋商程序</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1、采购代理机构按本须知规定的时间、地点主持磋商采购活动。</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2、供应商通过“苏采云”系统在线参与磋商活动。供应商应当按照《苏采云系统供应商操作手册》规定在 “苏采云”系统规定的时间内对响应文件进行解密。</w:t>
      </w:r>
      <w:r/>
    </w:p>
    <w:p>
      <w:pPr>
        <w:pStyle w:val="958"/>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、在磋商响应文件网上递交截止时间止成功解密的磋商供应商少于三家，则采购失败。</w:t>
      </w:r>
      <w:r/>
    </w:p>
    <w:p>
      <w:pPr>
        <w:pStyle w:val="958"/>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、由磋商小组审查供应商解密的响应文件。</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58"/>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958"/>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 w:val="21"/>
          <w:szCs w:val="21"/>
          <w:highlight w:val="none"/>
        </w:rPr>
        <w:t xml:space="preserve">磋商小组通过“苏采云”系统向供应商发布“磋商函”，供应商应当按照要求在</w:t>
      </w:r>
      <w:r>
        <w:rPr>
          <w:rFonts w:hint="eastAsia" w:ascii="宋体" w:hAnsi="宋体" w:cs="宋体"/>
          <w:b/>
          <w:color w:val="auto"/>
          <w:sz w:val="21"/>
          <w:szCs w:val="21"/>
          <w:highlight w:val="none"/>
          <w:lang w:val="en-US"/>
        </w:rPr>
        <w:t xml:space="preserve">“苏采云”系统</w:t>
      </w:r>
      <w:r>
        <w:rPr>
          <w:rFonts w:hint="eastAsia" w:ascii="宋体" w:hAnsi="宋体" w:cs="宋体"/>
          <w:b/>
          <w:color w:val="auto"/>
          <w:sz w:val="21"/>
          <w:szCs w:val="21"/>
          <w:highlight w:val="none"/>
        </w:rPr>
        <w:t xml:space="preserve">提交“磋商响应函”并加盖CA电子公章。</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58"/>
        <w:ind w:left="0" w:firstLine="420"/>
        <w:spacing w:line="360" w:lineRule="auto"/>
        <w:rPr>
          <w:rFonts w:ascii="宋体" w:hAnsi="宋体" w:cs="宋体"/>
          <w:b/>
          <w:color w:val="auto"/>
          <w:sz w:val="21"/>
          <w:szCs w:val="21"/>
          <w:highlight w:val="none"/>
        </w:rPr>
      </w:pP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磋商结束后，磋商小组将在“苏采云”系统向所有实质性响应的供应商发布“最后报价要求函”，要求所有实质性响应的供应商在规定时间内提交最后报价。</w:t>
      </w:r>
      <w:r/>
    </w:p>
    <w:p>
      <w:pPr>
        <w:pStyle w:val="9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val="en-US"/>
        </w:rPr>
        <w:t xml:space="preserve">1</w:t>
      </w:r>
      <w:r>
        <w:rPr>
          <w:rFonts w:ascii="宋体" w:hAnsi="宋体" w:cs="宋体"/>
          <w:b/>
          <w:color w:val="auto"/>
          <w:sz w:val="21"/>
          <w:szCs w:val="21"/>
          <w:highlight w:val="none"/>
          <w:lang w:val="en-US"/>
        </w:rPr>
        <w:t xml:space="preserve">0</w:t>
      </w:r>
      <w:r>
        <w:rPr>
          <w:rFonts w:hint="eastAsia" w:ascii="宋体" w:hAnsi="宋体" w:cs="宋体"/>
          <w:b/>
          <w:color w:val="auto"/>
          <w:sz w:val="21"/>
          <w:szCs w:val="21"/>
          <w:highlight w:val="none"/>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auto"/>
          <w:sz w:val="21"/>
          <w:szCs w:val="21"/>
          <w:highlight w:val="none"/>
        </w:rPr>
        <w:t xml:space="preserve">（此处规定时间的计算以系统中的倒计时间为准）</w:t>
      </w:r>
      <w:r/>
    </w:p>
    <w:p>
      <w:pPr>
        <w:pStyle w:val="9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val="en-US"/>
        </w:rPr>
        <w:t xml:space="preserve">已提交响应文件的供应商，在提交最后报价之前，可以根据磋商情况退出磋商，并在“苏采云”系统中提交“退出磋商函”并加盖CA电子公章。</w:t>
      </w:r>
      <w:r/>
    </w:p>
    <w:p>
      <w:pPr>
        <w:pStyle w:val="9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lang w:val="zh-CN" w:eastAsia="zh-CN"/>
        </w:rPr>
        <w:t xml:space="preserve">评审过程中出现下列情形之一的，评审委员会应当启动异常低价投标（响应）审查程序：</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outlineLvl w:val="9"/>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）投标（响应）报价低于采购项目预算 50% 的，即投标（响应）报价&lt;采购项目预算×50%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）投标（响应）报价低于采购项目最高限价 45% 的，即投标（响应）报价&lt;采购项目最高限价×45% ；</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rPr>
        <w:outlineLvl w:val="9"/>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zh-CN" w:eastAsia="zh-CN"/>
        </w:rPr>
        <w:t xml:space="preserve">）评审委员会认定的供应商报价过低、有可能影响产品质量或者不能诚信履约的其他情形。</w:t>
      </w:r>
      <w:r/>
    </w:p>
    <w:p>
      <w:pPr>
        <w:pStyle w:val="958"/>
        <w:ind w:left="0" w:firstLine="420"/>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zh-CN"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、磋商小组根据磋商成交原则确定成交供应商，并将结果通知所有参加磋商的供应商。</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、如磋商过程中出现本采购文件未尽事宜，由磋商小组根据政府采购有关法律、法规讨论决定。</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en-US"/>
        </w:rPr>
        <w:t xml:space="preserve">、</w:t>
      </w:r>
      <w:r>
        <w:rPr>
          <w:rFonts w:hint="eastAsia" w:ascii="宋体" w:hAnsi="宋体" w:cs="宋体"/>
          <w:color w:val="auto"/>
          <w:sz w:val="21"/>
          <w:szCs w:val="21"/>
          <w:highlight w:val="none"/>
        </w:rPr>
        <w:t xml:space="preserve">采购人或采购代理机构根据相关规定发布成交公告，成交公告发出的同时应当向成交供应商发出《成交通知书》</w:t>
      </w:r>
      <w:bookmarkStart w:id="68" w:name="_Hlk132385599"/>
      <w:r/>
      <w:bookmarkStart w:id="69" w:name="_Hlk132385577"/>
      <w:r/>
      <w:bookmarkStart w:id="70" w:name="_Hlk132389804"/>
      <w:r>
        <w:rPr>
          <w:rFonts w:hint="eastAsia" w:ascii="宋体" w:hAnsi="宋体" w:cs="宋体"/>
          <w:color w:val="auto"/>
          <w:sz w:val="21"/>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68"/>
      <w:r/>
      <w:bookmarkEnd w:id="69"/>
      <w:r/>
      <w:bookmarkEnd w:id="70"/>
      <w:r>
        <w:rPr>
          <w:rFonts w:hint="eastAsia" w:ascii="宋体" w:hAnsi="宋体" w:cs="宋体"/>
          <w:color w:val="auto"/>
          <w:sz w:val="21"/>
          <w:szCs w:val="21"/>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1</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en-US"/>
        </w:rPr>
        <w:t xml:space="preserve">、</w:t>
      </w:r>
      <w:r>
        <w:rPr>
          <w:rFonts w:hint="eastAsia" w:ascii="宋体" w:hAnsi="宋体" w:cs="宋体"/>
          <w:color w:val="auto"/>
          <w:sz w:val="21"/>
          <w:szCs w:val="21"/>
          <w:highlight w:val="none"/>
        </w:rPr>
        <w:t xml:space="preserve">各响应单位应在响应文件醒目位置注明电子邮箱号，如未按上述要求提供电子邮件地址，视为自动放弃并自行承担相应后果。</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、质疑</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.1 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.2 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w:t>
      </w:r>
      <w:r>
        <w:rPr>
          <w:rFonts w:hint="eastAsia" w:ascii="宋体" w:hAnsi="宋体"/>
          <w:color w:val="auto"/>
          <w:sz w:val="21"/>
          <w:szCs w:val="21"/>
          <w:highlight w:val="none"/>
        </w:rPr>
        <w:t xml:space="preserve">（即</w:t>
      </w:r>
      <w:r>
        <w:rPr>
          <w:rFonts w:hint="eastAsia" w:ascii="宋体" w:hAnsi="宋体"/>
          <w:b/>
          <w:color w:val="auto"/>
          <w:sz w:val="21"/>
          <w:szCs w:val="21"/>
          <w:highlight w:val="none"/>
        </w:rPr>
        <w:t xml:space="preserve">《投标供应商确认函》</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与质疑函一起递交，否则不予受理。</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.3 本次采购文件要求供应商在法定质疑期内一次性提出针对同一采购程序环节的质疑。</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.4 供应商提出质疑应当提交质疑函和必要的证明材料，质疑函应当包括下列内容：</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（1）供应商的姓名或者名称（以营业执照副本复印件为准）、地址、邮编、联系人及联系电话；</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（2）质疑项目的名称、编号；</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（3）具体、明确的质疑事项和与质疑事项相关的请求；</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（4）事实依据；</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（5）必要的法律依据；</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（6）提出质疑的日期。</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7</w:t>
      </w:r>
      <w:r>
        <w:rPr>
          <w:rFonts w:hint="eastAsia" w:ascii="宋体" w:hAnsi="宋体" w:cs="宋体"/>
          <w:color w:val="auto"/>
          <w:sz w:val="21"/>
          <w:szCs w:val="21"/>
          <w:highlight w:val="none"/>
        </w:rPr>
        <w:t xml:space="preserve">）供应商《投标供应商确认函》。</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958"/>
        <w:ind w:left="0" w:firstLine="0"/>
        <w:spacing w:line="360" w:lineRule="auto"/>
        <w:rPr>
          <w:b/>
          <w:color w:val="auto"/>
          <w:sz w:val="21"/>
          <w:szCs w:val="21"/>
          <w:highlight w:val="none"/>
        </w:rPr>
      </w:pPr>
      <w:r>
        <w:rPr>
          <w:rFonts w:hint="eastAsia"/>
          <w:b/>
          <w:color w:val="auto"/>
          <w:sz w:val="21"/>
          <w:szCs w:val="21"/>
          <w:highlight w:val="none"/>
        </w:rPr>
        <w:t xml:space="preserve">供应商提交的质疑函必须按照《政府采购供应商质疑函范本》要求的格式和内容进行填写，质疑函范本下载网址详见链接：</w:t>
      </w:r>
      <w:r>
        <w:rPr>
          <w:rFonts w:hint="eastAsia" w:ascii="宋体" w:hAnsi="宋体"/>
          <w:b/>
          <w:color w:val="auto"/>
          <w:sz w:val="21"/>
          <w:szCs w:val="21"/>
          <w:highlight w:val="none"/>
        </w:rPr>
        <w:t xml:space="preserve">https://czju.suzhou.gov.cn/zfcg/html/content/20180305093615738.shtml</w:t>
      </w:r>
      <w:r>
        <w:rPr>
          <w:rFonts w:hint="eastAsia" w:ascii="宋体" w:hAnsi="宋体"/>
          <w:color w:val="auto"/>
          <w:sz w:val="21"/>
          <w:szCs w:val="21"/>
          <w:highlight w:val="none"/>
        </w:rPr>
        <w:t xml:space="preserve">。</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.5 接收质疑函的方式：书面形式（当场送达或邮寄方式）</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质疑联系人：</w:t>
      </w:r>
      <w:r>
        <w:rPr>
          <w:rFonts w:hint="eastAsia" w:ascii="宋体" w:hAnsi="宋体" w:cs="宋体"/>
          <w:color w:val="auto"/>
          <w:sz w:val="21"/>
          <w:szCs w:val="21"/>
          <w:highlight w:val="none"/>
          <w:lang w:val="en-US" w:eastAsia="zh-CN"/>
        </w:rPr>
        <w:t xml:space="preserve">张欣雨</w:t>
      </w:r>
      <w:r>
        <w:rPr>
          <w:rFonts w:hint="eastAsia" w:ascii="宋体" w:hAnsi="宋体" w:cs="宋体"/>
          <w:color w:val="auto"/>
          <w:sz w:val="21"/>
          <w:szCs w:val="21"/>
          <w:highlight w:val="none"/>
          <w:lang w:val="en-US"/>
        </w:rPr>
        <w:t xml:space="preserve">  </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联系电话：0512-66263318</w:t>
      </w:r>
      <w:r/>
    </w:p>
    <w:p>
      <w:pPr>
        <w:pStyle w:val="958"/>
        <w:ind w:left="0" w:firstLine="420"/>
        <w:spacing w:line="360" w:lineRule="auto"/>
        <w:rPr>
          <w:color w:val="auto"/>
          <w:sz w:val="21"/>
          <w:szCs w:val="21"/>
          <w:highlight w:val="none"/>
        </w:rPr>
      </w:pPr>
      <w:r>
        <w:rPr>
          <w:rFonts w:hint="eastAsia" w:ascii="宋体" w:hAnsi="宋体" w:cs="宋体"/>
          <w:color w:val="auto"/>
          <w:sz w:val="21"/>
          <w:szCs w:val="21"/>
          <w:highlight w:val="none"/>
        </w:rPr>
        <w:t xml:space="preserve">通讯地址：苏州市南湖路71号918室。</w:t>
      </w:r>
      <w:r/>
    </w:p>
    <w:p>
      <w:pPr>
        <w:pStyle w:val="9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三</w:t>
      </w:r>
      <w:r>
        <w:rPr>
          <w:rFonts w:ascii="宋体" w:hAnsi="宋体" w:cs="宋体"/>
          <w:b/>
          <w:color w:val="auto"/>
          <w:sz w:val="21"/>
          <w:szCs w:val="21"/>
          <w:highlight w:val="none"/>
        </w:rPr>
        <w:t xml:space="preserve">、项目的终止</w:t>
      </w:r>
      <w:r/>
    </w:p>
    <w:p>
      <w:pPr>
        <w:pStyle w:val="958"/>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出现下列情形之一的，将终止竞争性磋商采购活动：</w:t>
      </w:r>
      <w:r/>
    </w:p>
    <w:p>
      <w:pPr>
        <w:pStyle w:val="958"/>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1、因情况变化，不再符合规定的竞争性磋商采购方式适用情形的；</w:t>
      </w:r>
      <w:r/>
    </w:p>
    <w:p>
      <w:pPr>
        <w:pStyle w:val="958"/>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2、出现影响采购公正的违法、违规行为的；</w:t>
      </w:r>
      <w:r/>
    </w:p>
    <w:p>
      <w:pPr>
        <w:pStyle w:val="958"/>
        <w:ind w:left="0"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rPr>
        <w:t xml:space="preserve">3、除《政府采购竞争性磋商采购方式管理暂行办法》第二十一条第三款规定的情形外，在采购过程中符合要求的供应商或者报价未超过采购预算的供应商不足3家的</w:t>
      </w:r>
      <w:r>
        <w:rPr>
          <w:rFonts w:hint="eastAsia" w:ascii="宋体" w:hAnsi="宋体" w:cs="宋体"/>
          <w:color w:val="auto"/>
          <w:sz w:val="21"/>
          <w:szCs w:val="21"/>
          <w:highlight w:val="none"/>
          <w:lang w:val="en-US" w:eastAsia="zh-CN"/>
        </w:rPr>
        <w:t xml:space="preserve">；</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4</w:t>
      </w:r>
      <w:r>
        <w:rPr>
          <w:rFonts w:ascii="宋体" w:hAnsi="宋体" w:cs="宋体"/>
          <w:color w:val="auto"/>
          <w:sz w:val="21"/>
          <w:szCs w:val="21"/>
          <w:highlight w:val="none"/>
        </w:rPr>
        <w:t xml:space="preserve">、在采购活动中因重大变故，采购任务取消的。</w:t>
      </w:r>
      <w:r/>
    </w:p>
    <w:p>
      <w:pPr>
        <w:pStyle w:val="958"/>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四、综合说明及其它要求：</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1、磋商供应商需明确详细的服务方案。</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2、磋商供应商必须承诺文件中提出的全部要求，如果其中某些条款不响应时，应在文件中逐条列出，未列出的视同响应。</w:t>
      </w:r>
      <w:r/>
    </w:p>
    <w:p>
      <w:pPr>
        <w:pStyle w:val="958"/>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磋商说明：</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（1）不符合供应商资格要求的响应文件将被认定为无效响应；</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）参加磋商的供应商</w:t>
      </w:r>
      <w:r>
        <w:rPr>
          <w:rFonts w:hint="eastAsia" w:ascii="宋体" w:hAnsi="宋体" w:cs="宋体"/>
          <w:color w:val="auto"/>
          <w:sz w:val="21"/>
          <w:szCs w:val="21"/>
          <w:highlight w:val="none"/>
          <w:lang w:val="en-US" w:eastAsia="zh-CN"/>
        </w:rPr>
        <w:t xml:space="preserve">响应文件中</w:t>
      </w:r>
      <w:r>
        <w:rPr>
          <w:rFonts w:hint="eastAsia" w:ascii="宋体" w:hAnsi="宋体" w:cs="宋体"/>
          <w:color w:val="auto"/>
          <w:sz w:val="21"/>
          <w:szCs w:val="21"/>
          <w:highlight w:val="none"/>
        </w:rPr>
        <w:t xml:space="preserve">必须提供磋商代表的身份证明；</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（3）最终报价超过采购预算的不能成交；</w:t>
      </w:r>
      <w:r/>
    </w:p>
    <w:p>
      <w:pPr>
        <w:pStyle w:val="958"/>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（4）不实质性响应采购文件的不能成交；</w:t>
      </w:r>
      <w:r/>
    </w:p>
    <w:p>
      <w:pPr>
        <w:pStyle w:val="958"/>
        <w:ind w:left="0"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5</w:t>
      </w:r>
      <w:r>
        <w:rPr>
          <w:rFonts w:hint="eastAsia" w:ascii="宋体" w:hAnsi="宋体" w:cs="宋体"/>
          <w:color w:val="auto"/>
          <w:sz w:val="21"/>
          <w:szCs w:val="21"/>
          <w:highlight w:val="none"/>
        </w:rPr>
        <w:t xml:space="preserve">）系统中</w:t>
      </w:r>
      <w:r>
        <w:rPr>
          <w:rFonts w:hint="eastAsia" w:ascii="宋体" w:hAnsi="宋体" w:cs="宋体"/>
          <w:color w:val="auto"/>
          <w:sz w:val="21"/>
          <w:szCs w:val="21"/>
          <w:highlight w:val="none"/>
          <w:lang w:val="en-US"/>
        </w:rPr>
        <w:t xml:space="preserve">出现</w:t>
      </w:r>
      <w:r>
        <w:rPr>
          <w:rFonts w:hint="eastAsia" w:ascii="宋体" w:hAnsi="宋体" w:cs="宋体"/>
          <w:color w:val="auto"/>
          <w:sz w:val="21"/>
          <w:szCs w:val="21"/>
          <w:highlight w:val="none"/>
        </w:rPr>
        <w:t xml:space="preserve">供应商“机器码一致”情形列为无效投标</w:t>
      </w:r>
      <w:r>
        <w:rPr>
          <w:rFonts w:hint="eastAsia" w:ascii="宋体" w:hAnsi="宋体" w:cs="宋体"/>
          <w:color w:val="auto"/>
          <w:sz w:val="21"/>
          <w:szCs w:val="21"/>
          <w:highlight w:val="none"/>
          <w:lang w:eastAsia="zh-CN"/>
        </w:rPr>
        <w:t xml:space="preserve">；</w:t>
      </w:r>
      <w:r/>
    </w:p>
    <w:p>
      <w:pPr>
        <w:ind w:left="0" w:firstLine="422"/>
        <w:spacing w:line="360" w:lineRule="auto"/>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五、政府采购政策</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1、小、微企业</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2"/>
        <w:spacing w:line="360" w:lineRule="auto"/>
        <w:tabs>
          <w:tab w:val="left" w:pos="567" w:leader="none"/>
        </w:tabs>
        <w:rPr>
          <w:rFonts w:cs="宋体"/>
          <w:color w:val="auto"/>
          <w:sz w:val="21"/>
          <w:szCs w:val="21"/>
          <w:highlight w:val="none"/>
        </w:rPr>
      </w:pPr>
      <w:r>
        <w:rPr>
          <w:rFonts w:hint="eastAsia" w:ascii="宋体" w:hAnsi="宋体" w:cs="宋体"/>
          <w:b/>
          <w:bCs/>
          <w:color w:val="auto"/>
          <w:sz w:val="21"/>
          <w:szCs w:val="21"/>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1"/>
          <w:szCs w:val="21"/>
          <w:highlight w:val="none"/>
          <w:lang w:eastAsia="zh-CN"/>
        </w:rPr>
        <w:t xml:space="preserve">其他未列明行业</w:t>
      </w:r>
      <w:r>
        <w:rPr>
          <w:rFonts w:hint="eastAsia" w:ascii="宋体" w:hAnsi="宋体" w:cs="宋体"/>
          <w:b/>
          <w:bCs/>
          <w:color w:val="auto"/>
          <w:sz w:val="21"/>
          <w:szCs w:val="21"/>
          <w:highlight w:val="none"/>
        </w:rPr>
        <w:t xml:space="preserve">。</w:t>
      </w:r>
      <w:r/>
    </w:p>
    <w:p>
      <w:pPr>
        <w:ind w:left="0" w:firstLine="420"/>
        <w:spacing w:line="360" w:lineRule="auto"/>
        <w:tabs>
          <w:tab w:val="left" w:pos="567"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2、残疾人福利性单位</w:t>
      </w:r>
      <w:r/>
    </w:p>
    <w:p>
      <w:pPr>
        <w:ind w:left="0" w:firstLine="420"/>
        <w:spacing w:line="360" w:lineRule="auto"/>
        <w:tabs>
          <w:tab w:val="left" w:pos="567"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3、监狱企业</w:t>
      </w:r>
      <w:r/>
    </w:p>
    <w:p>
      <w:pPr>
        <w:ind w:left="0" w:firstLine="420"/>
        <w:spacing w:line="360" w:lineRule="auto"/>
        <w:tabs>
          <w:tab w:val="left" w:pos="567"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4、绿色采购</w:t>
      </w:r>
      <w:r/>
    </w:p>
    <w:p>
      <w:pPr>
        <w:ind w:left="0" w:firstLine="420"/>
        <w:spacing w:line="360" w:lineRule="auto"/>
        <w:tabs>
          <w:tab w:val="left" w:pos="567" w:leader="none"/>
        </w:tabs>
        <w:rPr>
          <w:color w:val="auto"/>
          <w:sz w:val="21"/>
          <w:szCs w:val="21"/>
          <w:highlight w:val="none"/>
        </w:rPr>
      </w:pPr>
      <w:r>
        <w:rPr>
          <w:rFonts w:hint="eastAsia" w:ascii="宋体" w:hAnsi="宋体"/>
          <w:color w:val="auto"/>
          <w:sz w:val="21"/>
          <w:szCs w:val="21"/>
          <w:highlight w:val="none"/>
        </w:rPr>
        <w:t xml:space="preserve">根据《关于调整优化节能产品、环境标志产品政府采购执行机制的通知》（财库〔</w:t>
      </w:r>
      <w:r>
        <w:rPr>
          <w:rFonts w:ascii="宋体" w:hAnsi="宋体"/>
          <w:color w:val="auto"/>
          <w:sz w:val="21"/>
          <w:szCs w:val="21"/>
          <w:highlight w:val="none"/>
        </w:rPr>
        <w:t xml:space="preserve">2019</w:t>
      </w:r>
      <w:r>
        <w:rPr>
          <w:rFonts w:hint="eastAsia" w:ascii="宋体" w:hAnsi="宋体"/>
          <w:color w:val="auto"/>
          <w:sz w:val="21"/>
          <w:szCs w:val="21"/>
          <w:highlight w:val="none"/>
        </w:rPr>
        <w:t xml:space="preserve">〕</w:t>
      </w:r>
      <w:r>
        <w:rPr>
          <w:rFonts w:ascii="宋体" w:hAnsi="宋体"/>
          <w:color w:val="auto"/>
          <w:sz w:val="21"/>
          <w:szCs w:val="21"/>
          <w:highlight w:val="none"/>
        </w:rPr>
        <w:t xml:space="preserve">9</w:t>
      </w:r>
      <w:r>
        <w:rPr>
          <w:rFonts w:hint="eastAsia" w:ascii="宋体" w:hAnsi="宋体"/>
          <w:color w:val="auto"/>
          <w:sz w:val="21"/>
          <w:szCs w:val="21"/>
          <w:highlight w:val="none"/>
        </w:rPr>
        <w:t xml:space="preserve">号）等相关文件的规定，</w:t>
      </w:r>
      <w:r>
        <w:rPr>
          <w:rFonts w:hint="eastAsia" w:ascii="宋体" w:hAnsi="宋体"/>
          <w:b/>
          <w:color w:val="auto"/>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w:t>
      </w:r>
      <w:r>
        <w:rPr>
          <w:rFonts w:hint="eastAsia" w:ascii="宋体" w:hAnsi="宋体"/>
          <w:b/>
          <w:color w:val="auto"/>
          <w:sz w:val="21"/>
          <w:szCs w:val="21"/>
          <w:highlight w:val="none"/>
          <w:lang w:val="en-US" w:eastAsia="zh-CN"/>
        </w:rPr>
        <w:t xml:space="preserve">扫描</w:t>
      </w:r>
      <w:r>
        <w:rPr>
          <w:rFonts w:hint="eastAsia" w:ascii="宋体" w:hAnsi="宋体"/>
          <w:b/>
          <w:color w:val="auto"/>
          <w:sz w:val="21"/>
          <w:szCs w:val="21"/>
          <w:highlight w:val="none"/>
        </w:rPr>
        <w:t xml:space="preserve">件，否则视为未实质性响应。</w:t>
      </w:r>
      <w:r/>
    </w:p>
    <w:p>
      <w:pPr>
        <w:ind w:left="0" w:firstLine="422"/>
        <w:spacing w:line="360" w:lineRule="auto"/>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六、关于对参与供应商信用记录的政府采购要求</w:t>
      </w:r>
      <w:r/>
    </w:p>
    <w:p>
      <w:pPr>
        <w:ind w:left="0" w:firstLine="420"/>
        <w:spacing w:line="36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1、采购代理机构会在接收响应文件截止时间后，登录</w:t>
      </w:r>
      <w:r>
        <w:rPr>
          <w:rFonts w:ascii="宋体" w:hAnsi="宋体" w:cs="宋体"/>
          <w:color w:val="auto"/>
          <w:sz w:val="21"/>
          <w:szCs w:val="21"/>
          <w:highlight w:val="none"/>
        </w:rPr>
        <w:t xml:space="preserve">信用中国</w:t>
      </w:r>
      <w:r>
        <w:rPr>
          <w:rFonts w:hint="eastAsia" w:ascii="宋体" w:hAnsi="宋体" w:cs="宋体"/>
          <w:color w:val="auto"/>
          <w:sz w:val="21"/>
          <w:szCs w:val="21"/>
          <w:highlight w:val="none"/>
        </w:rPr>
        <w:t xml:space="preserve">网站</w:t>
      </w:r>
      <w:r>
        <w:rPr>
          <w:rFonts w:ascii="宋体" w:hAnsi="宋体" w:cs="宋体"/>
          <w:color w:val="auto"/>
          <w:sz w:val="21"/>
          <w:szCs w:val="21"/>
          <w:highlight w:val="none"/>
        </w:rPr>
        <w:t xml:space="preserve">（www.creditchina.gov.cn/）</w:t>
      </w:r>
      <w:r>
        <w:rPr>
          <w:rFonts w:hint="eastAsia" w:ascii="宋体" w:hAnsi="宋体" w:cs="宋体"/>
          <w:color w:val="auto"/>
          <w:sz w:val="21"/>
          <w:szCs w:val="21"/>
          <w:highlight w:val="none"/>
        </w:rPr>
        <w:t xml:space="preserve">和</w:t>
      </w:r>
      <w:r>
        <w:rPr>
          <w:rFonts w:hint="eastAsia" w:ascii="宋体" w:hAnsi="宋体"/>
          <w:color w:val="auto"/>
          <w:sz w:val="21"/>
          <w:szCs w:val="21"/>
          <w:highlight w:val="none"/>
        </w:rPr>
        <w:t xml:space="preserve">中国政府采购网（</w:t>
      </w:r>
      <w:r>
        <w:rPr>
          <w:rFonts w:ascii="宋体" w:hAnsi="宋体"/>
          <w:color w:val="auto"/>
          <w:sz w:val="21"/>
          <w:szCs w:val="21"/>
          <w:highlight w:val="none"/>
        </w:rPr>
        <w:t xml:space="preserve">www.ccgp.gov.cn/</w:t>
      </w:r>
      <w:r>
        <w:rPr>
          <w:rFonts w:hint="eastAsia" w:ascii="宋体" w:hAnsi="宋体"/>
          <w:color w:val="auto"/>
          <w:sz w:val="21"/>
          <w:szCs w:val="21"/>
          <w:highlight w:val="none"/>
        </w:rPr>
        <w:t xml:space="preserve">）</w:t>
      </w:r>
      <w:r>
        <w:rPr>
          <w:rFonts w:ascii="宋体" w:hAnsi="宋体" w:cs="宋体"/>
          <w:color w:val="auto"/>
          <w:sz w:val="21"/>
          <w:szCs w:val="21"/>
          <w:highlight w:val="none"/>
        </w:rPr>
        <w:t xml:space="preserve">查询供应商的信用记录，并将查询结果递交</w:t>
      </w:r>
      <w:r>
        <w:rPr>
          <w:rFonts w:hint="eastAsia" w:ascii="宋体" w:hAnsi="宋体" w:cs="宋体"/>
          <w:color w:val="auto"/>
          <w:sz w:val="21"/>
          <w:szCs w:val="21"/>
          <w:highlight w:val="none"/>
        </w:rPr>
        <w:t xml:space="preserve">评审小组。</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下列信用记录属于应依法拒绝供应商参加政府采购的失信信息，存在此类失信信息的供应商的响应文件按无效文件处理：</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（一）政府采购严重违法记录，即供应商被全国各级财政部门列入“政府采购严重违法失信行为记录名单”，且在处罚有效期内的。</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（二）财政部门与法院、工商、税务等部门联合惩戒的失信信息，包括：</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（1）被列入失信被执行人名单；</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（2）被列入重大税收违法案件当事人名单；</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4、供应商若在经营活动中受到罚款的，请</w:t>
      </w:r>
      <w:r>
        <w:rPr>
          <w:rFonts w:hint="eastAsia" w:ascii="宋体" w:hAnsi="宋体" w:cs="宋体"/>
          <w:color w:val="auto"/>
          <w:sz w:val="21"/>
          <w:szCs w:val="21"/>
          <w:highlight w:val="none"/>
          <w:lang w:val="en-US" w:eastAsia="zh-CN"/>
        </w:rPr>
        <w:t xml:space="preserve">在响应文件中提供</w:t>
      </w:r>
      <w:r>
        <w:rPr>
          <w:rFonts w:hint="eastAsia" w:ascii="宋体" w:hAnsi="宋体" w:cs="宋体"/>
          <w:color w:val="auto"/>
          <w:sz w:val="21"/>
          <w:szCs w:val="21"/>
          <w:highlight w:val="none"/>
        </w:rPr>
        <w:t xml:space="preserve">相关地方、部门对较大数额认定标准的证明材料。若无法提供，则可能承担响应无效等相应不利后果。</w:t>
      </w:r>
      <w:r/>
    </w:p>
    <w:p>
      <w:pPr>
        <w:ind w:left="0" w:firstLine="420"/>
        <w:spacing w:line="360" w:lineRule="auto"/>
        <w:tabs>
          <w:tab w:val="left" w:pos="42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5、对存在失信信息的供应商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采购代理机构工作人员应根据评审小组确认的失信信息，登陆到相关来源网站页面进行复核并打印，作为证据留存。</w:t>
      </w:r>
      <w:r/>
    </w:p>
    <w:p>
      <w:pPr>
        <w:ind w:left="0" w:firstLine="422"/>
        <w:spacing w:line="360" w:lineRule="auto"/>
        <w:tabs>
          <w:tab w:val="left" w:pos="42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七、凡涉及采购文件的补充说明和修改，均以网上发布的通知为准。</w:t>
      </w:r>
      <w:r/>
    </w:p>
    <w:p>
      <w:pPr>
        <w:pStyle w:val="866"/>
        <w:ind w:left="0" w:firstLine="0"/>
        <w:jc w:val="center"/>
        <w:rPr>
          <w:rFonts w:ascii="宋体" w:hAnsi="宋体" w:cs="宋体"/>
          <w:b/>
          <w:color w:val="auto"/>
          <w:sz w:val="44"/>
          <w:szCs w:val="44"/>
          <w:highlight w:val="none"/>
        </w:rPr>
      </w:pPr>
      <w:r>
        <w:rPr>
          <w:b/>
          <w:color w:val="auto"/>
          <w:sz w:val="44"/>
          <w:szCs w:val="44"/>
          <w:highlight w:val="none"/>
        </w:rPr>
        <w:br w:type="page" w:clear="all"/>
      </w:r>
      <w:bookmarkEnd w:id="64"/>
      <w:r/>
      <w:bookmarkEnd w:id="65"/>
      <w:r/>
      <w:bookmarkEnd w:id="66"/>
      <w:r/>
      <w:bookmarkEnd w:id="67"/>
      <w:r/>
      <w:bookmarkStart w:id="71" w:name="_Toc103258850"/>
      <w:r/>
      <w:bookmarkStart w:id="72" w:name="_Toc14106"/>
      <w:r/>
      <w:bookmarkStart w:id="73" w:name="_Toc68611036"/>
      <w:r/>
      <w:bookmarkStart w:id="74" w:name="_Toc23660"/>
      <w:r/>
      <w:bookmarkStart w:id="75" w:name="_Toc58248882"/>
      <w:r/>
      <w:bookmarkStart w:id="76" w:name="_Toc57376408"/>
      <w:r/>
      <w:bookmarkStart w:id="77" w:name="_Toc4098"/>
      <w:r/>
      <w:bookmarkStart w:id="78" w:name="_Toc6898"/>
      <w:r/>
      <w:bookmarkStart w:id="79" w:name="_Toc68611037"/>
      <w:r>
        <w:rPr>
          <w:rFonts w:hint="eastAsia"/>
          <w:b/>
          <w:color w:val="auto"/>
          <w:sz w:val="44"/>
          <w:szCs w:val="44"/>
          <w:highlight w:val="none"/>
        </w:rPr>
        <w:t xml:space="preserve">第三章</w:t>
      </w:r>
      <w:bookmarkStart w:id="80" w:name="投标文件格式"/>
      <w:r/>
      <w:bookmarkEnd w:id="80"/>
      <w:r>
        <w:rPr>
          <w:b/>
          <w:color w:val="auto"/>
          <w:sz w:val="44"/>
          <w:szCs w:val="44"/>
          <w:highlight w:val="none"/>
        </w:rPr>
        <w:t xml:space="preserve"> </w:t>
      </w:r>
      <w:r>
        <w:rPr>
          <w:rFonts w:hint="eastAsia"/>
          <w:b/>
          <w:color w:val="auto"/>
          <w:sz w:val="44"/>
          <w:szCs w:val="44"/>
          <w:highlight w:val="none"/>
        </w:rPr>
        <w:t xml:space="preserve">响应文件格式</w:t>
      </w:r>
      <w:bookmarkEnd w:id="71"/>
      <w:r/>
      <w:bookmarkEnd w:id="72"/>
      <w:r/>
      <w:bookmarkEnd w:id="73"/>
      <w:r/>
      <w:r/>
    </w:p>
    <w:p>
      <w:pPr>
        <w:ind w:left="0"/>
        <w:jc w:val="left"/>
        <w:spacing w:line="440" w:lineRule="exact"/>
        <w:rPr>
          <w:rFonts w:ascii="宋体" w:hAnsi="宋体"/>
          <w:b/>
          <w:color w:val="auto"/>
          <w:sz w:val="21"/>
          <w:szCs w:val="21"/>
          <w:highlight w:val="none"/>
        </w:rPr>
      </w:pPr>
      <w:r>
        <w:rPr>
          <w:rFonts w:ascii="宋体" w:hAnsi="宋体"/>
          <w:b/>
          <w:color w:val="auto"/>
          <w:sz w:val="21"/>
          <w:szCs w:val="21"/>
          <w:highlight w:val="none"/>
        </w:rPr>
        <w:t xml:space="preserve">说明：</w:t>
      </w:r>
      <w:r/>
    </w:p>
    <w:p>
      <w:pPr>
        <w:pStyle w:val="975"/>
        <w:ind w:left="0" w:firstLine="420"/>
        <w:rPr>
          <w:rFonts w:ascii="宋体" w:hAnsi="宋体"/>
          <w:color w:val="auto"/>
          <w:sz w:val="21"/>
          <w:szCs w:val="21"/>
          <w:highlight w:val="none"/>
        </w:rPr>
      </w:pPr>
      <w:r>
        <w:rPr>
          <w:rFonts w:ascii="宋体" w:hAnsi="宋体"/>
          <w:color w:val="auto"/>
          <w:sz w:val="21"/>
          <w:szCs w:val="21"/>
          <w:highlight w:val="none"/>
        </w:rPr>
        <w:t xml:space="preserve">对本章所有的格式，</w:t>
      </w:r>
      <w:r>
        <w:rPr>
          <w:rFonts w:hint="eastAsia" w:ascii="宋体" w:hAnsi="宋体"/>
          <w:color w:val="auto"/>
          <w:sz w:val="21"/>
          <w:szCs w:val="21"/>
          <w:highlight w:val="none"/>
        </w:rPr>
        <w:t xml:space="preserve">供应商</w:t>
      </w:r>
      <w:r>
        <w:rPr>
          <w:rFonts w:ascii="宋体" w:hAnsi="宋体"/>
          <w:color w:val="auto"/>
          <w:sz w:val="21"/>
          <w:szCs w:val="21"/>
          <w:highlight w:val="none"/>
        </w:rPr>
        <w:t xml:space="preserve">可根据自身情况进行补充和修改，但补充和修改不得造成与本格式内容有实质性的违背。</w:t>
      </w:r>
      <w:r/>
    </w:p>
    <w:p>
      <w:pPr>
        <w:ind w:left="0"/>
        <w:rPr>
          <w:rFonts w:ascii="宋体" w:hAnsi="宋体"/>
          <w:b/>
          <w:color w:val="auto"/>
          <w:sz w:val="21"/>
          <w:szCs w:val="21"/>
          <w:highlight w:val="none"/>
        </w:rPr>
      </w:pPr>
      <w:r/>
      <w:bookmarkStart w:id="81" w:name="_Toc3821"/>
      <w:r/>
      <w:bookmarkStart w:id="82" w:name="_Toc17036"/>
      <w:r/>
      <w:r/>
    </w:p>
    <w:p>
      <w:pPr>
        <w:ind w:left="0"/>
        <w:rPr>
          <w:rFonts w:ascii="宋体" w:hAnsi="宋体"/>
          <w:b/>
          <w:color w:val="auto"/>
          <w:sz w:val="21"/>
          <w:szCs w:val="21"/>
          <w:highlight w:val="none"/>
        </w:rPr>
      </w:pPr>
      <w:r>
        <w:rPr>
          <w:rFonts w:ascii="宋体" w:hAnsi="宋体"/>
          <w:b/>
          <w:color w:val="auto"/>
          <w:sz w:val="21"/>
          <w:szCs w:val="21"/>
          <w:highlight w:val="none"/>
        </w:rPr>
      </w:r>
      <w:r/>
    </w:p>
    <w:p>
      <w:pPr>
        <w:pStyle w:val="866"/>
        <w:ind w:left="0" w:firstLine="0"/>
        <w:spacing w:before="0" w:after="0" w:line="360" w:lineRule="auto"/>
        <w:rPr>
          <w:rFonts w:ascii="宋体" w:hAnsi="宋体"/>
          <w:b/>
          <w:color w:val="auto"/>
          <w:sz w:val="21"/>
          <w:szCs w:val="21"/>
          <w:highlight w:val="none"/>
        </w:rPr>
      </w:pPr>
      <w:r/>
      <w:bookmarkStart w:id="83" w:name="_Toc103258851"/>
      <w:r>
        <w:rPr>
          <w:rFonts w:hint="eastAsia" w:ascii="宋体" w:hAnsi="宋体"/>
          <w:b/>
          <w:color w:val="auto"/>
          <w:sz w:val="21"/>
          <w:szCs w:val="21"/>
          <w:highlight w:val="none"/>
        </w:rPr>
        <w:t xml:space="preserve">开标一览表</w:t>
      </w:r>
      <w:bookmarkEnd w:id="83"/>
      <w:r>
        <w:rPr>
          <w:rFonts w:hint="eastAsia" w:ascii="宋体" w:hAnsi="宋体"/>
          <w:b/>
          <w:color w:val="auto"/>
          <w:sz w:val="21"/>
          <w:szCs w:val="21"/>
          <w:highlight w:val="none"/>
        </w:rPr>
        <w:t xml:space="preserve">(按系统内统一格式)</w:t>
      </w:r>
      <w:r/>
    </w:p>
    <w:p>
      <w:pPr>
        <w:ind w:left="0"/>
        <w:spacing w:line="360" w:lineRule="auto"/>
        <w:rPr>
          <w:rFonts w:ascii="宋体" w:hAnsi="宋体"/>
          <w:color w:val="auto"/>
          <w:sz w:val="21"/>
          <w:szCs w:val="21"/>
          <w:highlight w:val="none"/>
        </w:rPr>
      </w:pPr>
      <w:r>
        <w:rPr>
          <w:rFonts w:ascii="宋体" w:hAnsi="宋体"/>
          <w:color w:val="auto"/>
          <w:sz w:val="21"/>
          <w:szCs w:val="21"/>
          <w:highlight w:val="none"/>
        </w:rPr>
      </w:r>
      <w:r/>
    </w:p>
    <w:p>
      <w:pPr>
        <w:pStyle w:val="866"/>
        <w:ind w:left="0" w:firstLine="0"/>
        <w:spacing w:before="0" w:after="0" w:line="360" w:lineRule="auto"/>
        <w:rPr>
          <w:rFonts w:ascii="宋体" w:hAnsi="宋体"/>
          <w:b/>
          <w:color w:val="auto"/>
          <w:sz w:val="21"/>
          <w:szCs w:val="21"/>
          <w:highlight w:val="none"/>
        </w:rPr>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1.磋商报价分项表</w:t>
      </w:r>
      <w:r/>
    </w:p>
    <w:p>
      <w:pPr>
        <w:ind w:left="0"/>
        <w:jc w:val="center"/>
        <w:spacing w:line="360" w:lineRule="auto"/>
        <w:rPr>
          <w:rFonts w:hint="eastAsia"/>
          <w:color w:val="auto"/>
          <w:sz w:val="21"/>
          <w:szCs w:val="21"/>
          <w:highlight w:val="none"/>
        </w:rPr>
      </w:pPr>
      <w:r>
        <w:rPr>
          <w:rFonts w:hint="eastAsia"/>
          <w:color w:val="auto"/>
          <w:sz w:val="21"/>
          <w:szCs w:val="21"/>
          <w:highlight w:val="none"/>
        </w:rPr>
        <w:t xml:space="preserve">磋商报价分项表</w:t>
      </w:r>
      <w:r/>
    </w:p>
    <w:tbl>
      <w:tblPr>
        <w:tblStyle w:val="876"/>
        <w:tblW w:w="102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5"/>
        <w:gridCol w:w="1049"/>
        <w:gridCol w:w="956"/>
        <w:gridCol w:w="737"/>
        <w:gridCol w:w="737"/>
        <w:gridCol w:w="737"/>
        <w:gridCol w:w="558"/>
        <w:gridCol w:w="1086"/>
        <w:gridCol w:w="1139"/>
        <w:gridCol w:w="1286"/>
        <w:gridCol w:w="1380"/>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品种</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16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rPr>
                <w:rStyle w:val="1120"/>
                <w:rFonts w:ascii="宋体" w:eastAsia="宋体"/>
                <w:b/>
                <w:sz w:val="20"/>
                <w:lang w:val="en-US" w:eastAsia="zh-CN" w:bidi="ar"/>
              </w:rPr>
              <w:t xml:space="preserve">cm</w:t>
            </w:r>
            <w:r>
              <w:rPr>
                <w:rFonts w:hint="eastAsia" w:ascii="宋体" w:hAnsi="宋体" w:eastAsia="宋体" w:cs="宋体"/>
                <w:b/>
                <w:bCs/>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含税单价</w:t>
            </w:r>
            <w:r/>
          </w:p>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cs="宋体"/>
                <w:b/>
                <w:bCs/>
                <w:i w:val="0"/>
                <w:iCs w:val="0"/>
                <w:color w:val="000000"/>
                <w:sz w:val="20"/>
                <w:szCs w:val="20"/>
                <w:u w:val="none"/>
                <w:lang w:val="en-US" w:eastAsia="zh-CN" w:bidi="ar"/>
              </w:rPr>
              <w:t xml:space="preserve">折后含税单价</w:t>
            </w:r>
            <w:r>
              <w:rPr>
                <w:rFonts w:hint="eastAsia" w:ascii="宋体" w:hAnsi="宋体" w:eastAsia="宋体" w:cs="宋体"/>
                <w:b/>
                <w:bCs/>
                <w:i w:val="0"/>
                <w:iCs w:val="0"/>
                <w:color w:val="000000"/>
                <w:sz w:val="20"/>
                <w:szCs w:val="20"/>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胸径</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干径</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jc w:val="center"/>
          <w:trHeight w:val="0"/>
        </w:trPr>
        <w:tc>
          <w:tcPr>
            <w:gridSpan w:val="6"/>
            <w:shd w:val="clear" w:color="auto" w:fill="auto"/>
            <w:tcBorders>
              <w:top w:val="none" w:color="000000" w:sz="4" w:space="0"/>
              <w:left w:val="single" w:color="000000" w:sz="4" w:space="0"/>
              <w:bottom w:val="single" w:color="000000" w:sz="4" w:space="0"/>
              <w:right w:val="none" w:color="000000" w:sz="4" w:space="0"/>
            </w:tcBorders>
            <w:tcW w:w="476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一、常绿乔木类</w:t>
            </w:r>
            <w:r/>
          </w:p>
        </w:tc>
        <w:tc>
          <w:tcPr>
            <w:shd w:val="clear" w:color="auto" w:fill="auto"/>
            <w:tcBorders>
              <w:top w:val="none" w:color="000000" w:sz="4" w:space="0"/>
              <w:left w:val="none" w:color="000000" w:sz="4" w:space="0"/>
              <w:bottom w:val="single" w:color="000000" w:sz="4" w:space="0"/>
              <w:right w:val="none" w:color="000000" w:sz="4" w:space="0"/>
            </w:tcBorders>
            <w:tcW w:w="558" w:type="dxa"/>
            <w:vAlign w:val="center"/>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none" w:color="000000" w:sz="4" w:space="0"/>
              <w:left w:val="none" w:color="000000" w:sz="4" w:space="0"/>
              <w:bottom w:val="single" w:color="000000" w:sz="4" w:space="0"/>
              <w:right w:val="none" w:color="000000" w:sz="4" w:space="0"/>
            </w:tcBorders>
            <w:tcW w:w="1086" w:type="dxa"/>
            <w:vAlign w:val="center"/>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none" w:color="000000" w:sz="4" w:space="0"/>
              <w:left w:val="none" w:color="000000" w:sz="4" w:space="0"/>
              <w:bottom w:val="single" w:color="000000" w:sz="4" w:space="0"/>
              <w:right w:val="none" w:color="000000" w:sz="4" w:space="0"/>
            </w:tcBorders>
            <w:tcW w:w="1139" w:type="dxa"/>
            <w:vAlign w:val="center"/>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none" w:color="000000" w:sz="4" w:space="0"/>
              <w:left w:val="none" w:color="000000" w:sz="4" w:space="0"/>
              <w:bottom w:val="single" w:color="000000" w:sz="4" w:space="0"/>
              <w:right w:val="none" w:color="000000" w:sz="4" w:space="0"/>
            </w:tcBorders>
            <w:tcW w:w="1286" w:type="dxa"/>
            <w:vAlign w:val="center"/>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紫楠</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50-60</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eastAsia" w:ascii="Times New Roman" w:hAnsi="宋体" w:eastAsia="宋体" w:cs="宋体"/>
                <w:b/>
                <w:bCs/>
                <w:i w:val="0"/>
                <w:iCs w:val="0"/>
                <w:color w:val="000000"/>
                <w:sz w:val="20"/>
                <w:szCs w:val="20"/>
                <w:u w:val="none"/>
              </w:rPr>
            </w:pPr>
            <w:r>
              <w:rPr>
                <w:rFonts w:hint="eastAsia" w:ascii="Times New Roman"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eastAsia" w:ascii="Times New Roman" w:hAnsi="宋体" w:eastAsia="宋体" w:cs="宋体"/>
                <w:b/>
                <w:bCs/>
                <w:i w:val="0"/>
                <w:iCs w:val="0"/>
                <w:color w:val="000000"/>
                <w:sz w:val="20"/>
                <w:szCs w:val="20"/>
                <w:u w:val="none"/>
              </w:rPr>
            </w:pPr>
            <w:r>
              <w:rPr>
                <w:rFonts w:hint="eastAsia" w:ascii="Times New Roman"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eastAsia" w:ascii="Times New Roman" w:hAnsi="宋体" w:eastAsia="宋体" w:cs="宋体"/>
                <w:b/>
                <w:bCs/>
                <w:i w:val="0"/>
                <w:iCs w:val="0"/>
                <w:color w:val="000000"/>
                <w:sz w:val="20"/>
                <w:szCs w:val="20"/>
                <w:u w:val="none"/>
              </w:rPr>
            </w:pPr>
            <w:r>
              <w:rPr>
                <w:rFonts w:hint="eastAsia" w:ascii="Times New Roman"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150.00 </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left="0" w:right="0" w:firstLine="0"/>
              <w:jc w:val="right"/>
              <w:keepLines w:val="0"/>
              <w:keepNext w:val="0"/>
              <w:widowControl/>
              <w:rPr>
                <w:rFonts w:hint="eastAsia" w:ascii="Times New Roman" w:hAnsi="宋体" w:eastAsia="宋体" w:cs="宋体"/>
                <w:i w:val="0"/>
                <w:iCs w:val="0"/>
                <w:color w:val="000000"/>
                <w:sz w:val="20"/>
                <w:szCs w:val="24"/>
                <w:u w:val="none"/>
              </w:rPr>
              <w:suppressLineNumbers w:val="0"/>
            </w:pPr>
            <w:r>
              <w:rPr>
                <w:rFonts w:hint="eastAsia" w:ascii="Times New Roman" w:hAnsi="宋体" w:eastAsia="宋体" w:cs="宋体"/>
                <w:i w:val="0"/>
                <w:iCs w:val="0"/>
                <w:color w:val="000000"/>
                <w:sz w:val="20"/>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left="0" w:right="0" w:firstLine="0"/>
              <w:jc w:val="center"/>
              <w:rPr>
                <w:rFonts w:hint="eastAsia" w:ascii="Times New Roman" w:hAnsi="宋体" w:eastAsia="宋体" w:cs="宋体"/>
                <w:i w:val="0"/>
                <w:iCs w:val="0"/>
                <w:color w:val="000000"/>
                <w:sz w:val="20"/>
                <w:szCs w:val="20"/>
                <w:u w:val="none"/>
              </w:rPr>
            </w:pPr>
            <w:r>
              <w:rPr>
                <w:rFonts w:hint="eastAsia" w:ascii="Times New Roman"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紫楠</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170-180</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eastAsia" w:ascii="Times New Roman" w:hAnsi="宋体" w:eastAsia="宋体" w:cs="宋体"/>
                <w:b/>
                <w:bCs/>
                <w:i w:val="0"/>
                <w:iCs w:val="0"/>
                <w:color w:val="000000"/>
                <w:sz w:val="20"/>
                <w:szCs w:val="20"/>
                <w:u w:val="none"/>
              </w:rPr>
            </w:pPr>
            <w:r>
              <w:rPr>
                <w:rFonts w:hint="eastAsia" w:ascii="Times New Roman"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eastAsia" w:ascii="Times New Roman" w:hAnsi="宋体" w:eastAsia="宋体" w:cs="宋体"/>
                <w:b/>
                <w:bCs/>
                <w:i w:val="0"/>
                <w:iCs w:val="0"/>
                <w:color w:val="000000"/>
                <w:sz w:val="20"/>
                <w:szCs w:val="20"/>
                <w:u w:val="none"/>
              </w:rPr>
            </w:pPr>
            <w:r>
              <w:rPr>
                <w:rFonts w:hint="eastAsia" w:ascii="Times New Roman"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eastAsia" w:ascii="Times New Roman" w:hAnsi="宋体" w:eastAsia="宋体" w:cs="宋体"/>
                <w:b/>
                <w:bCs/>
                <w:i w:val="0"/>
                <w:iCs w:val="0"/>
                <w:color w:val="000000"/>
                <w:sz w:val="20"/>
                <w:szCs w:val="20"/>
                <w:u w:val="none"/>
              </w:rPr>
            </w:pPr>
            <w:r>
              <w:rPr>
                <w:rFonts w:hint="eastAsia" w:ascii="Times New Roman"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left="0" w:right="0" w:firstLine="0"/>
              <w:jc w:val="right"/>
              <w:keepLines w:val="0"/>
              <w:keepNext w:val="0"/>
              <w:widowControl/>
              <w:rPr>
                <w:rFonts w:hint="eastAsia" w:ascii="Times New Roman" w:hAnsi="宋体" w:eastAsia="宋体" w:cs="宋体"/>
                <w:i w:val="0"/>
                <w:iCs w:val="0"/>
                <w:color w:val="000000"/>
                <w:sz w:val="20"/>
                <w:szCs w:val="24"/>
                <w:u w:val="none"/>
              </w:rPr>
              <w:suppressLineNumbers w:val="0"/>
            </w:pPr>
            <w:r>
              <w:rPr>
                <w:rFonts w:hint="eastAsia" w:ascii="Times New Roman" w:hAnsi="宋体" w:eastAsia="宋体" w:cs="宋体"/>
                <w:i w:val="0"/>
                <w:iCs w:val="0"/>
                <w:color w:val="000000"/>
                <w:sz w:val="20"/>
                <w:szCs w:val="24"/>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left="0" w:right="0" w:firstLine="0"/>
              <w:jc w:val="center"/>
              <w:rPr>
                <w:rFonts w:hint="eastAsia" w:ascii="Times New Roman" w:hAnsi="宋体" w:eastAsia="宋体" w:cs="宋体"/>
                <w:i w:val="0"/>
                <w:iCs w:val="0"/>
                <w:color w:val="000000"/>
                <w:sz w:val="20"/>
                <w:szCs w:val="20"/>
                <w:u w:val="none"/>
              </w:rPr>
            </w:pPr>
            <w:r>
              <w:rPr>
                <w:rFonts w:hint="eastAsia" w:ascii="Times New Roman" w:hAnsi="宋体" w:eastAsia="宋体" w:cs="宋体"/>
                <w:i w:val="0"/>
                <w:iCs w:val="0"/>
                <w:color w:val="000000"/>
                <w:sz w:val="20"/>
                <w:szCs w:val="20"/>
                <w:u w:val="none"/>
              </w:rPr>
            </w:r>
            <w:r/>
          </w:p>
        </w:tc>
      </w:tr>
      <w:tr>
        <w:trPr>
          <w:jc w:val="cente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二、铺种草皮类</w:t>
            </w:r>
            <w:r/>
          </w:p>
        </w:tc>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二月兰</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left="0" w:right="0" w:firstLine="0"/>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籽播</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混合花卉草籽</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left="0" w:right="0" w:firstLine="0"/>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籽播</w:t>
            </w:r>
            <w:r/>
          </w:p>
        </w:tc>
      </w:tr>
      <w:tr>
        <w:trPr>
          <w:jc w:val="center"/>
          <w:trHeight w:val="0"/>
        </w:trPr>
        <w:tc>
          <w:tcPr>
            <w:gridSpan w:val="6"/>
            <w:shd w:val="clear" w:color="auto" w:fill="auto"/>
            <w:tcBorders>
              <w:top w:val="single" w:color="000000" w:sz="4" w:space="0"/>
              <w:left w:val="single" w:color="000000" w:sz="4" w:space="0"/>
              <w:bottom w:val="single" w:color="000000" w:sz="4" w:space="0"/>
              <w:right w:val="single" w:color="000000" w:sz="4" w:space="0"/>
            </w:tcBorders>
            <w:tcW w:w="476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三、其它费用</w:t>
            </w:r>
            <w:r/>
          </w:p>
        </w:tc>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left="0" w:right="0" w:firstLine="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技术男工</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工</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1500.00 </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left="0" w:right="0" w:firstLine="0"/>
              <w:jc w:val="right"/>
              <w:keepLines w:val="0"/>
              <w:keepNext w:val="0"/>
              <w:widowControl/>
              <w:rPr>
                <w:rFonts w:hint="eastAsia" w:ascii="Times New Roman" w:hAnsi="宋体" w:eastAsia="宋体" w:cs="宋体"/>
                <w:i w:val="0"/>
                <w:iCs w:val="0"/>
                <w:color w:val="000000"/>
                <w:sz w:val="20"/>
                <w:szCs w:val="24"/>
                <w:u w:val="none"/>
              </w:rPr>
              <w:suppressLineNumbers w:val="0"/>
            </w:pPr>
            <w:r>
              <w:rPr>
                <w:rFonts w:hint="eastAsia" w:ascii="Times New Roman" w:hAnsi="宋体" w:eastAsia="宋体" w:cs="宋体"/>
                <w:i w:val="0"/>
                <w:iCs w:val="0"/>
                <w:color w:val="000000"/>
                <w:sz w:val="20"/>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rPr>
                <w:rFonts w:hint="eastAsia" w:ascii="Times New Roman" w:hAnsi="宋体" w:eastAsia="宋体" w:cs="宋体"/>
                <w:i w:val="0"/>
                <w:iCs w:val="0"/>
                <w:color w:val="000000"/>
                <w:sz w:val="20"/>
                <w:szCs w:val="20"/>
                <w:u w:val="none"/>
                <w:lang w:val="en-US" w:eastAsia="zh-CN" w:bidi="ar"/>
              </w:rPr>
              <w:t xml:space="preserve">人每天工费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技术女工</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工</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900.00 </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left="0" w:right="0" w:firstLine="0"/>
              <w:jc w:val="right"/>
              <w:keepLines w:val="0"/>
              <w:keepNext w:val="0"/>
              <w:widowControl/>
              <w:rPr>
                <w:rFonts w:hint="eastAsia" w:ascii="Times New Roman" w:hAnsi="宋体" w:eastAsia="宋体" w:cs="宋体"/>
                <w:i w:val="0"/>
                <w:iCs w:val="0"/>
                <w:color w:val="000000"/>
                <w:sz w:val="20"/>
                <w:szCs w:val="24"/>
                <w:u w:val="none"/>
              </w:rPr>
              <w:suppressLineNumbers w:val="0"/>
            </w:pPr>
            <w:r>
              <w:rPr>
                <w:rFonts w:hint="eastAsia" w:ascii="Times New Roman" w:hAnsi="宋体" w:eastAsia="宋体" w:cs="宋体"/>
                <w:i w:val="0"/>
                <w:iCs w:val="0"/>
                <w:color w:val="000000"/>
                <w:sz w:val="20"/>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rPr>
                <w:rFonts w:hint="eastAsia" w:ascii="Times New Roman" w:hAnsi="宋体" w:eastAsia="宋体" w:cs="宋体"/>
                <w:i w:val="0"/>
                <w:iCs w:val="0"/>
                <w:color w:val="000000"/>
                <w:sz w:val="20"/>
                <w:szCs w:val="20"/>
                <w:u w:val="none"/>
                <w:lang w:val="en-US" w:eastAsia="zh-CN" w:bidi="ar"/>
              </w:rPr>
              <w:t xml:space="preserve">人每天工费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普通女工</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工</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1100.00 </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left="0" w:right="0" w:firstLine="0"/>
              <w:jc w:val="right"/>
              <w:keepLines w:val="0"/>
              <w:keepNext w:val="0"/>
              <w:widowControl/>
              <w:rPr>
                <w:rFonts w:hint="eastAsia" w:ascii="Times New Roman" w:hAnsi="宋体" w:eastAsia="宋体" w:cs="宋体"/>
                <w:i w:val="0"/>
                <w:iCs w:val="0"/>
                <w:color w:val="000000"/>
                <w:sz w:val="20"/>
                <w:szCs w:val="24"/>
                <w:u w:val="none"/>
              </w:rPr>
              <w:suppressLineNumbers w:val="0"/>
            </w:pPr>
            <w:r>
              <w:rPr>
                <w:rFonts w:hint="eastAsia" w:ascii="Times New Roman" w:hAnsi="宋体" w:eastAsia="宋体" w:cs="宋体"/>
                <w:i w:val="0"/>
                <w:iCs w:val="0"/>
                <w:color w:val="000000"/>
                <w:sz w:val="20"/>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rPr>
                <w:rFonts w:hint="eastAsia" w:ascii="Times New Roman" w:hAnsi="宋体" w:eastAsia="宋体" w:cs="宋体"/>
                <w:i w:val="0"/>
                <w:iCs w:val="0"/>
                <w:color w:val="000000"/>
                <w:sz w:val="20"/>
                <w:szCs w:val="20"/>
                <w:u w:val="none"/>
                <w:lang w:val="en-US" w:eastAsia="zh-CN" w:bidi="ar"/>
              </w:rPr>
              <w:t xml:space="preserve">人每天工费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普通男工</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工</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1800.00 </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left="0" w:right="0" w:firstLine="0"/>
              <w:jc w:val="right"/>
              <w:keepLines w:val="0"/>
              <w:keepNext w:val="0"/>
              <w:widowControl/>
              <w:rPr>
                <w:rFonts w:hint="eastAsia" w:ascii="Times New Roman" w:hAnsi="宋体" w:eastAsia="宋体" w:cs="宋体"/>
                <w:i w:val="0"/>
                <w:iCs w:val="0"/>
                <w:color w:val="000000"/>
                <w:sz w:val="20"/>
                <w:szCs w:val="24"/>
                <w:u w:val="none"/>
              </w:rPr>
              <w:suppressLineNumbers w:val="0"/>
            </w:pPr>
            <w:r>
              <w:rPr>
                <w:rFonts w:hint="eastAsia" w:ascii="Times New Roman" w:hAnsi="宋体" w:eastAsia="宋体" w:cs="宋体"/>
                <w:i w:val="0"/>
                <w:iCs w:val="0"/>
                <w:color w:val="000000"/>
                <w:sz w:val="20"/>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rPr>
                <w:rFonts w:hint="eastAsia" w:ascii="Times New Roman" w:hAnsi="宋体" w:eastAsia="宋体" w:cs="宋体"/>
                <w:i w:val="0"/>
                <w:iCs w:val="0"/>
                <w:color w:val="000000"/>
                <w:sz w:val="20"/>
                <w:szCs w:val="20"/>
                <w:u w:val="none"/>
                <w:lang w:val="en-US" w:eastAsia="zh-CN" w:bidi="ar"/>
              </w:rPr>
              <w:t xml:space="preserve">人每天工费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管护所需车辆</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left="0" w:right="0" w:firstLine="0"/>
              <w:jc w:val="right"/>
              <w:keepLines w:val="0"/>
              <w:keepNext w:val="0"/>
              <w:widowControl/>
              <w:rPr>
                <w:rFonts w:hint="eastAsia" w:ascii="Times New Roman" w:hAnsi="宋体" w:eastAsia="宋体" w:cs="宋体"/>
                <w:i w:val="0"/>
                <w:iCs w:val="0"/>
                <w:color w:val="000000"/>
                <w:sz w:val="20"/>
                <w:szCs w:val="24"/>
                <w:u w:val="none"/>
              </w:rPr>
              <w:suppressLineNumbers w:val="0"/>
            </w:pPr>
            <w:r>
              <w:rPr>
                <w:rFonts w:hint="eastAsia" w:ascii="Times New Roman" w:hAnsi="宋体" w:eastAsia="宋体" w:cs="宋体"/>
                <w:i w:val="0"/>
                <w:iCs w:val="0"/>
                <w:color w:val="000000"/>
                <w:sz w:val="20"/>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rPr>
                <w:rFonts w:hint="eastAsia" w:ascii="Times New Roman" w:hAnsi="宋体" w:eastAsia="宋体" w:cs="宋体"/>
                <w:i w:val="0"/>
                <w:iCs w:val="0"/>
                <w:color w:val="000000"/>
                <w:sz w:val="20"/>
                <w:szCs w:val="20"/>
                <w:u w:val="none"/>
                <w:lang w:val="en-US" w:eastAsia="zh-CN" w:bidi="ar"/>
              </w:rPr>
              <w:t xml:space="preserve">辆</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Times New Roman" w:hAnsi="宋体" w:eastAsia="宋体" w:cs="宋体"/>
                <w:i w:val="0"/>
                <w:iCs w:val="0"/>
                <w:color w:val="000000"/>
                <w:sz w:val="20"/>
                <w:szCs w:val="20"/>
                <w:u w:val="none"/>
                <w:lang w:val="en-US" w:eastAsia="zh-CN" w:bidi="ar"/>
              </w:rPr>
              <w:t xml:space="preserve">天，不限型号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有机肥</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left="0" w:right="0" w:firstLine="0"/>
              <w:jc w:val="right"/>
              <w:keepLines w:val="0"/>
              <w:keepNext w:val="0"/>
              <w:widowControl/>
              <w:rPr>
                <w:rFonts w:hint="eastAsia" w:ascii="Times New Roman" w:hAnsi="宋体" w:eastAsia="宋体" w:cs="宋体"/>
                <w:i w:val="0"/>
                <w:iCs w:val="0"/>
                <w:color w:val="000000"/>
                <w:sz w:val="20"/>
                <w:szCs w:val="24"/>
                <w:u w:val="none"/>
              </w:rPr>
              <w:suppressLineNumbers w:val="0"/>
            </w:pPr>
            <w:r>
              <w:rPr>
                <w:rFonts w:hint="eastAsia" w:ascii="Times New Roman" w:hAnsi="宋体" w:eastAsia="宋体" w:cs="宋体"/>
                <w:i w:val="0"/>
                <w:iCs w:val="0"/>
                <w:color w:val="000000"/>
                <w:sz w:val="20"/>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复合肥</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0.50 </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left="0" w:right="0" w:firstLine="0"/>
              <w:jc w:val="right"/>
              <w:keepLines w:val="0"/>
              <w:keepNext w:val="0"/>
              <w:widowControl/>
              <w:rPr>
                <w:rFonts w:hint="eastAsia" w:ascii="Times New Roman" w:hAnsi="宋体" w:eastAsia="宋体" w:cs="宋体"/>
                <w:i w:val="0"/>
                <w:iCs w:val="0"/>
                <w:color w:val="000000"/>
                <w:sz w:val="20"/>
                <w:szCs w:val="24"/>
                <w:u w:val="none"/>
              </w:rPr>
              <w:suppressLineNumbers w:val="0"/>
            </w:pPr>
            <w:r>
              <w:rPr>
                <w:rFonts w:hint="eastAsia" w:ascii="Times New Roman" w:hAnsi="宋体" w:eastAsia="宋体" w:cs="宋体"/>
                <w:i w:val="0"/>
                <w:iCs w:val="0"/>
                <w:color w:val="000000"/>
                <w:sz w:val="20"/>
                <w:szCs w:val="24"/>
                <w:u w:val="none"/>
                <w:lang w:val="en-US" w:eastAsia="zh-CN" w:bidi="ar"/>
              </w:rPr>
              <w:t xml:space="preserve">5200</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left="0" w:right="0" w:firstLine="0"/>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除草剂</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ind w:left="0" w:right="0" w:firstLine="0"/>
              <w:jc w:val="center"/>
              <w:rPr>
                <w:rFonts w:hint="eastAsia" w:ascii="Times New Roman" w:hAnsi="宋体" w:eastAsia="宋体" w:cs="宋体"/>
                <w:i w:val="0"/>
                <w:iCs w:val="0"/>
                <w:color w:val="000000"/>
                <w:sz w:val="20"/>
                <w:szCs w:val="24"/>
                <w:u w:val="none"/>
              </w:rPr>
            </w:pPr>
            <w:r>
              <w:rPr>
                <w:rFonts w:hint="eastAsia" w:ascii="Times New Roman" w:hAnsi="宋体" w:eastAsia="宋体" w:cs="宋体"/>
                <w:i w:val="0"/>
                <w:iCs w:val="0"/>
                <w:color w:val="000000"/>
                <w:sz w:val="20"/>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eastAsia" w:ascii="Times New Roman" w:hAnsi="宋体" w:eastAsia="宋体" w:cs="宋体"/>
                <w:i w:val="0"/>
                <w:iCs w:val="0"/>
                <w:color w:val="000000"/>
                <w:sz w:val="20"/>
                <w:szCs w:val="24"/>
                <w:u w:val="none"/>
              </w:rPr>
            </w:pPr>
            <w:r>
              <w:rPr>
                <w:rFonts w:hint="eastAsia" w:ascii="Times New Roman" w:hAnsi="宋体" w:eastAsia="宋体" w:cs="宋体"/>
                <w:i w:val="0"/>
                <w:iCs w:val="0"/>
                <w:color w:val="000000"/>
                <w:sz w:val="20"/>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eastAsia" w:ascii="Times New Roman" w:hAnsi="宋体" w:eastAsia="宋体" w:cs="宋体"/>
                <w:i w:val="0"/>
                <w:iCs w:val="0"/>
                <w:color w:val="000000"/>
                <w:sz w:val="20"/>
                <w:szCs w:val="24"/>
                <w:u w:val="none"/>
              </w:rPr>
            </w:pPr>
            <w:r>
              <w:rPr>
                <w:rFonts w:hint="eastAsia" w:ascii="Times New Roman" w:hAnsi="宋体" w:eastAsia="宋体" w:cs="宋体"/>
                <w:i w:val="0"/>
                <w:iCs w:val="0"/>
                <w:color w:val="000000"/>
                <w:sz w:val="20"/>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eastAsia" w:ascii="Times New Roman" w:hAnsi="宋体" w:eastAsia="宋体" w:cs="宋体"/>
                <w:i w:val="0"/>
                <w:iCs w:val="0"/>
                <w:color w:val="000000"/>
                <w:sz w:val="20"/>
                <w:szCs w:val="24"/>
                <w:u w:val="none"/>
              </w:rPr>
            </w:pPr>
            <w:r>
              <w:rPr>
                <w:rFonts w:hint="eastAsia" w:ascii="Times New Roman" w:hAnsi="宋体" w:eastAsia="宋体" w:cs="宋体"/>
                <w:i w:val="0"/>
                <w:iCs w:val="0"/>
                <w:color w:val="000000"/>
                <w:sz w:val="20"/>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4"/>
                <w:u w:val="none"/>
              </w:rPr>
              <w:suppressLineNumbers w:val="0"/>
            </w:pPr>
            <w:r>
              <w:rPr>
                <w:rFonts w:hint="eastAsia" w:ascii="Times New Roman" w:hAnsi="宋体" w:eastAsia="宋体" w:cs="宋体"/>
                <w:i w:val="0"/>
                <w:iCs w:val="0"/>
                <w:color w:val="000000"/>
                <w:sz w:val="20"/>
                <w:szCs w:val="24"/>
                <w:u w:val="none"/>
                <w:lang w:val="en-US" w:eastAsia="zh-CN" w:bidi="ar"/>
              </w:rPr>
              <w:t xml:space="preserve">ml</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left="0" w:right="0" w:firstLine="0"/>
              <w:jc w:val="right"/>
              <w:keepLines w:val="0"/>
              <w:keepNext w:val="0"/>
              <w:widowControl/>
              <w:rPr>
                <w:rFonts w:hint="eastAsia" w:ascii="Times New Roman" w:hAnsi="宋体" w:eastAsia="宋体" w:cs="宋体"/>
                <w:i w:val="0"/>
                <w:iCs w:val="0"/>
                <w:color w:val="000000"/>
                <w:sz w:val="20"/>
                <w:szCs w:val="24"/>
                <w:u w:val="none"/>
              </w:rPr>
              <w:suppressLineNumbers w:val="0"/>
            </w:pPr>
            <w:r>
              <w:rPr>
                <w:rFonts w:hint="eastAsia" w:ascii="Times New Roman" w:hAnsi="宋体" w:eastAsia="宋体" w:cs="宋体"/>
                <w:i w:val="0"/>
                <w:iCs w:val="0"/>
                <w:color w:val="000000"/>
                <w:sz w:val="20"/>
                <w:szCs w:val="24"/>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left="0" w:right="0" w:firstLine="0"/>
              <w:jc w:val="center"/>
              <w:rPr>
                <w:rFonts w:hint="eastAsia" w:ascii="Times New Roman" w:hAnsi="宋体" w:eastAsia="宋体" w:cs="宋体"/>
                <w:i w:val="0"/>
                <w:iCs w:val="0"/>
                <w:color w:val="000000"/>
                <w:sz w:val="20"/>
                <w:szCs w:val="20"/>
                <w:u w:val="none"/>
              </w:rPr>
            </w:pPr>
            <w:r>
              <w:rPr>
                <w:rFonts w:hint="eastAsia" w:ascii="Times New Roman"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0"/>
                <w:u w:val="none"/>
              </w:rPr>
              <w:suppressLineNumbers w:val="0"/>
            </w:pPr>
            <w:r>
              <w:rPr>
                <w:rFonts w:hint="eastAsia" w:ascii="Times New Roman" w:hAnsi="宋体" w:eastAsia="宋体" w:cs="宋体"/>
                <w:i w:val="0"/>
                <w:iCs w:val="0"/>
                <w:color w:val="000000"/>
                <w:sz w:val="20"/>
                <w:szCs w:val="20"/>
                <w:u w:val="none"/>
                <w:lang w:val="en-US" w:eastAsia="zh-CN" w:bidi="ar"/>
              </w:rPr>
              <w:t xml:space="preserve">除虫剂</w:t>
            </w:r>
            <w:r/>
          </w:p>
        </w:tc>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ind w:left="0" w:right="0" w:firstLine="0"/>
              <w:jc w:val="center"/>
              <w:rPr>
                <w:rFonts w:hint="eastAsia" w:ascii="Times New Roman" w:hAnsi="宋体" w:eastAsia="宋体" w:cs="宋体"/>
                <w:i w:val="0"/>
                <w:iCs w:val="0"/>
                <w:color w:val="000000"/>
                <w:sz w:val="20"/>
                <w:szCs w:val="24"/>
                <w:u w:val="none"/>
              </w:rPr>
            </w:pPr>
            <w:r>
              <w:rPr>
                <w:rFonts w:hint="eastAsia" w:ascii="Times New Roman" w:hAnsi="宋体" w:eastAsia="宋体" w:cs="宋体"/>
                <w:i w:val="0"/>
                <w:iCs w:val="0"/>
                <w:color w:val="000000"/>
                <w:sz w:val="20"/>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eastAsia" w:ascii="Times New Roman" w:hAnsi="宋体" w:eastAsia="宋体" w:cs="宋体"/>
                <w:i w:val="0"/>
                <w:iCs w:val="0"/>
                <w:color w:val="000000"/>
                <w:sz w:val="20"/>
                <w:szCs w:val="24"/>
                <w:u w:val="none"/>
              </w:rPr>
            </w:pPr>
            <w:r>
              <w:rPr>
                <w:rFonts w:hint="eastAsia" w:ascii="Times New Roman" w:hAnsi="宋体" w:eastAsia="宋体" w:cs="宋体"/>
                <w:i w:val="0"/>
                <w:iCs w:val="0"/>
                <w:color w:val="000000"/>
                <w:sz w:val="20"/>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eastAsia" w:ascii="Times New Roman" w:hAnsi="宋体" w:eastAsia="宋体" w:cs="宋体"/>
                <w:i w:val="0"/>
                <w:iCs w:val="0"/>
                <w:color w:val="000000"/>
                <w:sz w:val="20"/>
                <w:szCs w:val="24"/>
                <w:u w:val="none"/>
              </w:rPr>
            </w:pPr>
            <w:r>
              <w:rPr>
                <w:rFonts w:hint="eastAsia" w:ascii="Times New Roman" w:hAnsi="宋体" w:eastAsia="宋体" w:cs="宋体"/>
                <w:i w:val="0"/>
                <w:iCs w:val="0"/>
                <w:color w:val="000000"/>
                <w:sz w:val="20"/>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ind w:left="0" w:right="0" w:firstLine="0"/>
              <w:jc w:val="center"/>
              <w:rPr>
                <w:rFonts w:hint="eastAsia" w:ascii="Times New Roman" w:hAnsi="宋体" w:eastAsia="宋体" w:cs="宋体"/>
                <w:i w:val="0"/>
                <w:iCs w:val="0"/>
                <w:color w:val="000000"/>
                <w:sz w:val="20"/>
                <w:szCs w:val="24"/>
                <w:u w:val="none"/>
              </w:rPr>
            </w:pPr>
            <w:r>
              <w:rPr>
                <w:rFonts w:hint="eastAsia" w:ascii="Times New Roman" w:hAnsi="宋体" w:eastAsia="宋体" w:cs="宋体"/>
                <w:i w:val="0"/>
                <w:iCs w:val="0"/>
                <w:color w:val="000000"/>
                <w:sz w:val="20"/>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ind w:left="0" w:right="0" w:firstLine="0"/>
              <w:jc w:val="center"/>
              <w:keepLines w:val="0"/>
              <w:keepNext w:val="0"/>
              <w:widowControl/>
              <w:rPr>
                <w:rFonts w:hint="eastAsia" w:ascii="Times New Roman" w:hAnsi="宋体" w:eastAsia="宋体" w:cs="宋体"/>
                <w:i w:val="0"/>
                <w:iCs w:val="0"/>
                <w:color w:val="000000"/>
                <w:sz w:val="20"/>
                <w:szCs w:val="24"/>
                <w:u w:val="none"/>
              </w:rPr>
              <w:suppressLineNumbers w:val="0"/>
            </w:pPr>
            <w:r>
              <w:rPr>
                <w:rFonts w:hint="eastAsia" w:ascii="Times New Roman" w:hAnsi="宋体" w:eastAsia="宋体" w:cs="宋体"/>
                <w:i w:val="0"/>
                <w:iCs w:val="0"/>
                <w:color w:val="000000"/>
                <w:sz w:val="20"/>
                <w:szCs w:val="24"/>
                <w:u w:val="none"/>
                <w:lang w:val="en-US" w:eastAsia="zh-CN" w:bidi="ar"/>
              </w:rPr>
              <w:t xml:space="preserve">ml</w:t>
            </w:r>
            <w:r/>
          </w:p>
        </w:tc>
        <w:tc>
          <w:tcPr>
            <w:shd w:val="clear" w:color="auto" w:fill="auto"/>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5000.00 </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left="0" w:right="0" w:firstLine="0"/>
              <w:jc w:val="right"/>
              <w:keepLines w:val="0"/>
              <w:keepNext w:val="0"/>
              <w:widowControl/>
              <w:rPr>
                <w:rFonts w:hint="eastAsia" w:ascii="Times New Roman" w:hAnsi="宋体" w:eastAsia="宋体" w:cs="宋体"/>
                <w:i w:val="0"/>
                <w:iCs w:val="0"/>
                <w:color w:val="000000"/>
                <w:sz w:val="20"/>
                <w:szCs w:val="24"/>
                <w:u w:val="none"/>
              </w:rPr>
              <w:suppressLineNumbers w:val="0"/>
            </w:pPr>
            <w:r>
              <w:rPr>
                <w:rFonts w:hint="eastAsia" w:ascii="Times New Roman" w:hAnsi="宋体" w:eastAsia="宋体" w:cs="宋体"/>
                <w:i w:val="0"/>
                <w:iCs w:val="0"/>
                <w:color w:val="000000"/>
                <w:sz w:val="20"/>
                <w:szCs w:val="24"/>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righ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left="0" w:right="0" w:firstLine="0"/>
              <w:jc w:val="center"/>
              <w:rPr>
                <w:rFonts w:hint="eastAsia" w:ascii="Times New Roman" w:hAnsi="宋体" w:eastAsia="宋体" w:cs="宋体"/>
                <w:i w:val="0"/>
                <w:iCs w:val="0"/>
                <w:color w:val="000000"/>
                <w:sz w:val="20"/>
                <w:szCs w:val="20"/>
                <w:u w:val="none"/>
              </w:rPr>
            </w:pPr>
            <w:r>
              <w:rPr>
                <w:rFonts w:hint="eastAsia" w:ascii="Times New Roman" w:hAnsi="宋体" w:eastAsia="宋体" w:cs="宋体"/>
                <w:i w:val="0"/>
                <w:iCs w:val="0"/>
                <w:color w:val="000000"/>
                <w:sz w:val="20"/>
                <w:szCs w:val="20"/>
                <w:u w:val="none"/>
              </w:rPr>
            </w:r>
            <w:r/>
          </w:p>
        </w:tc>
      </w:tr>
    </w:tbl>
    <w:p>
      <w:pPr>
        <w:pStyle w:val="880"/>
        <w:ind w:left="0" w:firstLine="0"/>
        <w:keepLines w:val="0"/>
        <w:keepNext w:val="0"/>
        <w:pageBreakBefore w:val="0"/>
        <w:spacing w:line="360" w:lineRule="auto"/>
        <w:widowControl w:val="off"/>
        <w:rPr>
          <w:rFonts w:hint="default" w:eastAsia="宋体"/>
          <w:color w:val="auto"/>
          <w:sz w:val="21"/>
          <w:szCs w:val="21"/>
          <w:lang w:val="en-US" w:eastAsia="zh-CN"/>
        </w:rPr>
        <w:outlineLvl w:val="9"/>
      </w:pPr>
      <w:r>
        <w:rPr>
          <w:rFonts w:hint="eastAsia"/>
          <w:color w:val="auto"/>
          <w:sz w:val="21"/>
          <w:szCs w:val="21"/>
          <w:lang w:val="en-US" w:eastAsia="zh-CN"/>
        </w:rPr>
        <w:t xml:space="preserve">注：响应单位报价需明确单价，最终结算</w:t>
      </w:r>
      <w:r>
        <w:rPr>
          <w:rFonts w:hint="eastAsia" w:ascii="宋体" w:hAnsi="宋体" w:eastAsia="宋体" w:cs="宋体"/>
          <w:bCs/>
          <w:color w:val="auto"/>
          <w:sz w:val="21"/>
          <w:szCs w:val="21"/>
          <w:lang w:val="en-US" w:eastAsia="zh-CN" w:bidi="en-US"/>
        </w:rPr>
        <w:t xml:space="preserve">金额按单价清单中含税单价预算*</w:t>
      </w:r>
      <w:r>
        <w:rPr>
          <w:rFonts w:hint="eastAsia" w:ascii="宋体" w:hAnsi="宋体" w:cs="宋体"/>
          <w:bCs/>
          <w:color w:val="auto"/>
          <w:sz w:val="21"/>
          <w:szCs w:val="21"/>
          <w:lang w:val="en-US" w:eastAsia="zh-CN" w:bidi="en-US"/>
        </w:rPr>
        <w:t xml:space="preserve">成交单位折扣后</w:t>
      </w:r>
      <w:r>
        <w:rPr>
          <w:rFonts w:hint="eastAsia" w:ascii="宋体" w:hAnsi="宋体" w:eastAsia="宋体" w:cs="宋体"/>
          <w:bCs/>
          <w:color w:val="auto"/>
          <w:sz w:val="21"/>
          <w:szCs w:val="21"/>
          <w:lang w:val="en-US" w:eastAsia="zh-CN" w:bidi="en-US"/>
        </w:rPr>
        <w:t xml:space="preserve">报价*实际发生量</w:t>
      </w:r>
      <w:r>
        <w:rPr>
          <w:rFonts w:hint="eastAsia" w:ascii="宋体" w:hAnsi="宋体" w:eastAsia="宋体" w:cs="宋体"/>
          <w:bCs/>
          <w:color w:val="auto"/>
          <w:sz w:val="21"/>
          <w:szCs w:val="21"/>
          <w:lang w:bidi="en-US"/>
        </w:rPr>
        <w:t xml:space="preserve">。</w:t>
      </w:r>
      <w:r/>
    </w:p>
    <w:p>
      <w:pPr>
        <w:ind w:left="0" w:right="40"/>
        <w:spacing w:line="360" w:lineRule="auto"/>
        <w:rPr>
          <w:rFonts w:ascii="宋体" w:cs="宋体"/>
          <w:b/>
          <w:bCs/>
          <w:color w:val="auto"/>
          <w:sz w:val="21"/>
          <w:szCs w:val="21"/>
          <w:highlight w:val="none"/>
        </w:rPr>
      </w:pPr>
      <w:r>
        <w:rPr>
          <w:rFonts w:ascii="宋体" w:cs="宋体"/>
          <w:b/>
          <w:bCs/>
          <w:color w:val="auto"/>
          <w:sz w:val="21"/>
          <w:szCs w:val="21"/>
          <w:highlight w:val="none"/>
        </w:rPr>
      </w:r>
      <w:r/>
    </w:p>
    <w:p>
      <w:pPr>
        <w:pStyle w:val="975"/>
        <w:rPr>
          <w:rFonts w:ascii="宋体" w:hAnsi="宋体"/>
          <w:b/>
          <w:color w:val="auto"/>
          <w:sz w:val="21"/>
          <w:szCs w:val="21"/>
          <w:highlight w:val="none"/>
        </w:rPr>
      </w:pPr>
      <w:r>
        <w:rPr>
          <w:rFonts w:ascii="宋体" w:hAnsi="宋体"/>
          <w:b/>
          <w:color w:val="auto"/>
          <w:sz w:val="21"/>
          <w:szCs w:val="21"/>
          <w:highlight w:val="none"/>
        </w:rPr>
      </w:r>
      <w:r/>
    </w:p>
    <w:p>
      <w:pPr>
        <w:pStyle w:val="975"/>
        <w:rPr>
          <w:rFonts w:ascii="宋体" w:hAnsi="宋体"/>
          <w:b/>
          <w:color w:val="auto"/>
          <w:sz w:val="21"/>
          <w:szCs w:val="21"/>
          <w:highlight w:val="none"/>
        </w:rPr>
      </w:pPr>
      <w:r>
        <w:rPr>
          <w:rFonts w:ascii="宋体" w:hAnsi="宋体"/>
          <w:b/>
          <w:color w:val="auto"/>
          <w:sz w:val="21"/>
          <w:szCs w:val="21"/>
          <w:highlight w:val="none"/>
        </w:rPr>
      </w:r>
      <w:r/>
    </w:p>
    <w:p>
      <w:pPr>
        <w:ind w:left="0" w:right="-200"/>
        <w:jc w:val="righ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ind w:left="0" w:right="-200"/>
        <w:jc w:val="righ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法定代表人或被授权人：（签字或盖章）</w:t>
      </w:r>
      <w:r/>
    </w:p>
    <w:p>
      <w:pPr>
        <w:ind w:left="0" w:right="-200"/>
        <w:jc w:val="right"/>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     年     月    日</w:t>
      </w:r>
      <w:r/>
    </w:p>
    <w:p>
      <w:pPr>
        <w:pStyle w:val="975"/>
        <w:rPr>
          <w:rFonts w:ascii="宋体" w:hAnsi="宋体"/>
          <w:b/>
          <w:color w:val="auto"/>
          <w:sz w:val="21"/>
          <w:szCs w:val="21"/>
          <w:highlight w:val="none"/>
        </w:rPr>
      </w:pPr>
      <w:r>
        <w:rPr>
          <w:rFonts w:ascii="宋体" w:hAnsi="宋体"/>
          <w:b/>
          <w:color w:val="auto"/>
          <w:sz w:val="21"/>
          <w:szCs w:val="21"/>
          <w:highlight w:val="none"/>
        </w:rPr>
      </w:r>
      <w:r/>
    </w:p>
    <w:p>
      <w:pPr>
        <w:pStyle w:val="975"/>
        <w:rPr>
          <w:rFonts w:ascii="宋体" w:hAnsi="宋体"/>
          <w:b/>
          <w:color w:val="auto"/>
          <w:sz w:val="21"/>
          <w:szCs w:val="21"/>
          <w:highlight w:val="none"/>
        </w:rPr>
      </w:pPr>
      <w:r>
        <w:rPr>
          <w:rFonts w:ascii="宋体" w:hAnsi="宋体"/>
          <w:b/>
          <w:color w:val="auto"/>
          <w:sz w:val="21"/>
          <w:szCs w:val="21"/>
          <w:highlight w:val="none"/>
        </w:rPr>
      </w:r>
      <w:r/>
    </w:p>
    <w:p>
      <w:pPr>
        <w:pStyle w:val="866"/>
        <w:ind w:left="0" w:firstLine="0"/>
        <w:spacing w:before="0" w:after="0" w:line="360" w:lineRule="auto"/>
        <w:rPr>
          <w:rFonts w:ascii="宋体" w:hAnsi="宋体"/>
          <w:color w:val="auto"/>
          <w:sz w:val="21"/>
          <w:szCs w:val="21"/>
          <w:highlight w:val="none"/>
        </w:rPr>
      </w:pPr>
      <w:r/>
      <w:bookmarkStart w:id="84" w:name="_Toc103258852"/>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关于资格文件的声明函</w:t>
      </w:r>
      <w:bookmarkEnd w:id="84"/>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rPr>
        <w:t xml:space="preserve">苏州至贞招投标咨询服务有限公司</w:t>
      </w:r>
      <w:r>
        <w:rPr>
          <w:rFonts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lang w:val="en-US" w:eastAsia="zh-CN"/>
        </w:rPr>
        <w:t xml:space="preserve">单位</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磋商采购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。本公司所提交的</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文件中所有关于</w:t>
      </w:r>
      <w:r>
        <w:rPr>
          <w:rFonts w:hint="eastAsia" w:ascii="宋体" w:hAnsi="宋体"/>
          <w:color w:val="auto"/>
          <w:sz w:val="21"/>
          <w:szCs w:val="21"/>
          <w:highlight w:val="none"/>
        </w:rPr>
        <w:t xml:space="preserve">磋商</w:t>
      </w:r>
      <w:r>
        <w:rPr>
          <w:rFonts w:ascii="宋体" w:hAnsi="宋体"/>
          <w:color w:val="auto"/>
          <w:sz w:val="21"/>
          <w:szCs w:val="21"/>
          <w:highlight w:val="none"/>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br w:type="page" w:clear="all"/>
      </w:r>
      <w:bookmarkStart w:id="85" w:name="_Toc103258853"/>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3.磋商响应单位</w:t>
      </w:r>
      <w:r>
        <w:rPr>
          <w:rFonts w:ascii="Times New Roman" w:hAnsi="Times New Roman"/>
          <w:b/>
          <w:color w:val="auto"/>
          <w:sz w:val="21"/>
          <w:highlight w:val="none"/>
        </w:rPr>
        <w:t xml:space="preserve">基本情况表</w:t>
      </w:r>
      <w:bookmarkEnd w:id="85"/>
      <w:r/>
      <w:r/>
    </w:p>
    <w:p>
      <w:pPr>
        <w:ind w:left="0"/>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tbl>
      <w:tblPr>
        <w:tblStyle w:val="876"/>
        <w:tblW w:w="9073" w:type="dxa"/>
        <w:jc w:val="center"/>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hint="eastAsia" w:ascii="Times New Roman" w:hAnsi="Times New Roman" w:eastAsia="宋体" w:cs="Times New Roman"/>
                <w:color w:val="auto"/>
                <w:sz w:val="21"/>
                <w:highlight w:val="none"/>
                <w:lang w:val="en-US" w:eastAsia="zh-CN" w:bidi="ar-S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hint="eastAsia" w:ascii="Times New Roman" w:hAnsi="Times New Roman" w:cs="Times New Roman"/>
                <w:color w:val="auto"/>
                <w:sz w:val="21"/>
                <w:highlight w:val="none"/>
                <w:lang w:val="en-US" w:eastAsia="zh-CN" w:bidi="ar-SA"/>
              </w:rPr>
              <w:t xml:space="preserve">2025</w:t>
            </w:r>
            <w:r>
              <w:rPr>
                <w:rFonts w:hint="eastAsia" w:ascii="Times New Roman" w:hAnsi="Times New Roman" w:eastAsia="宋体" w:cs="Times New Roman"/>
                <w:color w:val="auto"/>
                <w:sz w:val="21"/>
                <w:highlight w:val="none"/>
                <w:lang w:val="en-US" w:eastAsia="zh-CN" w:bidi="ar-SA"/>
              </w:rPr>
              <w:t xml:space="preserve">年 </w:t>
            </w:r>
            <w:r>
              <w:rPr>
                <w:rFonts w:ascii="Times New Roman" w:hAnsi="Times New Roman" w:eastAsia="宋体" w:cs="Times New Roman"/>
                <w:color w:val="auto"/>
                <w:sz w:val="21"/>
                <w:highlight w:val="none"/>
                <w:lang w:val="en-US" w:eastAsia="zh-CN" w:bidi="ar-SA"/>
              </w:rPr>
              <w:t xml:space="preserve">  </w:t>
            </w:r>
            <w:r>
              <w:rPr>
                <w:rFonts w:hint="eastAsia" w:ascii="Times New Roman" w:hAnsi="Times New Roman" w:eastAsia="宋体" w:cs="Times New Roman"/>
                <w:color w:val="auto"/>
                <w:sz w:val="21"/>
                <w:highlight w:val="none"/>
                <w:lang w:val="en-US" w:eastAsia="zh-CN" w:bidi="ar-S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jc w:val="both"/>
              <w:spacing w:line="360" w:lineRule="auto"/>
              <w:rPr>
                <w:rFonts w:ascii="Times New Roman" w:hAnsi="Times New Roman" w:eastAsia="宋体" w:cs="Times New Roman"/>
                <w:color w:val="auto"/>
                <w:sz w:val="21"/>
                <w:highlight w:val="none"/>
              </w:rPr>
            </w:pPr>
            <w:r>
              <w:rPr>
                <w:rFonts w:hint="eastAsia" w:ascii="Times New Roman" w:hAnsi="Times New Roman" w:cs="Times New Roman"/>
                <w:color w:val="auto"/>
                <w:sz w:val="21"/>
                <w:highlight w:val="none"/>
                <w:lang w:val="en-US" w:eastAsia="zh-CN" w:bidi="ar-SA"/>
              </w:rPr>
              <w:t xml:space="preserve">2025</w:t>
            </w:r>
            <w:r>
              <w:rPr>
                <w:rFonts w:ascii="Times New Roman" w:hAnsi="Times New Roman" w:eastAsia="宋体" w:cs="Times New Roman"/>
                <w:color w:val="auto"/>
                <w:sz w:val="21"/>
                <w:highlight w:val="none"/>
                <w:lang w:val="en-US" w:eastAsia="zh-CN" w:bidi="ar-SA"/>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lang w:val="en-US" w:eastAsia="zh-CN" w:bidi="ar-SA"/>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r>
            <w:r/>
          </w:p>
        </w:tc>
      </w:tr>
    </w:tbl>
    <w:p>
      <w:pPr>
        <w:ind w:left="0" w:firstLine="368"/>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p>
      <w:pPr>
        <w:ind w:left="0" w:right="-20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firstLine="0"/>
        <w:rPr>
          <w:rFonts w:ascii="宋体" w:hAnsi="宋体"/>
          <w:b/>
          <w:color w:val="auto"/>
          <w:sz w:val="21"/>
          <w:szCs w:val="21"/>
          <w:highlight w:val="none"/>
        </w:rPr>
      </w:pPr>
      <w:r>
        <w:rPr>
          <w:rFonts w:hint="eastAsia" w:ascii="宋体" w:hAnsi="宋体"/>
          <w:b/>
          <w:color w:val="auto"/>
          <w:sz w:val="21"/>
          <w:szCs w:val="21"/>
          <w:highlight w:val="none"/>
        </w:rPr>
        <w:br w:type="page" w:clear="all"/>
      </w:r>
      <w:bookmarkStart w:id="86" w:name="_Toc103258854"/>
      <w:r>
        <w:rPr>
          <w:rFonts w:hint="eastAsia" w:ascii="宋体" w:hAnsi="宋体"/>
          <w:b/>
          <w:color w:val="auto"/>
          <w:sz w:val="21"/>
          <w:szCs w:val="21"/>
          <w:highlight w:val="none"/>
        </w:rPr>
        <w:t xml:space="preserve">附件</w:t>
      </w:r>
      <w:bookmarkEnd w:id="81"/>
      <w:r/>
      <w:bookmarkEnd w:id="82"/>
      <w:r>
        <w:rPr>
          <w:rFonts w:hint="eastAsia" w:ascii="宋体" w:hAnsi="宋体"/>
          <w:b/>
          <w:color w:val="auto"/>
          <w:sz w:val="21"/>
          <w:szCs w:val="21"/>
          <w:highlight w:val="none"/>
        </w:rPr>
        <w:t xml:space="preserve">4.磋商响应函</w:t>
      </w:r>
      <w:bookmarkEnd w:id="86"/>
      <w:r/>
      <w:r/>
    </w:p>
    <w:p>
      <w:pPr>
        <w:ind w:firstLine="3162"/>
        <w:jc w:val="left"/>
        <w:spacing w:line="440" w:lineRule="exact"/>
        <w:rPr>
          <w:rFonts w:ascii="宋体" w:hAnsi="宋体"/>
          <w:b/>
          <w:color w:val="auto"/>
          <w:sz w:val="21"/>
          <w:szCs w:val="21"/>
          <w:highlight w:val="none"/>
        </w:rPr>
      </w:pPr>
      <w:r>
        <w:rPr>
          <w:rFonts w:hint="eastAsia" w:ascii="宋体" w:hAnsi="宋体"/>
          <w:b/>
          <w:color w:val="auto"/>
          <w:sz w:val="21"/>
          <w:szCs w:val="21"/>
          <w:highlight w:val="none"/>
        </w:rPr>
        <w:t xml:space="preserve">磋商响应函</w:t>
      </w:r>
      <w:r/>
    </w:p>
    <w:p>
      <w:pPr>
        <w:ind w:left="0" w:firstLine="4638"/>
        <w:jc w:val="left"/>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致：</w:t>
      </w:r>
      <w:r>
        <w:rPr>
          <w:rFonts w:hint="eastAsia" w:ascii="宋体" w:hAnsi="宋体" w:cs="宋体"/>
          <w:color w:val="auto"/>
          <w:sz w:val="21"/>
          <w:szCs w:val="21"/>
          <w:highlight w:val="none"/>
          <w:u w:val="single"/>
          <w:lang w:val="zh-CN"/>
        </w:rPr>
        <w:t xml:space="preserve">苏州至贞招投标咨询服务有限公司</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我方收到贵</w:t>
      </w:r>
      <w:r>
        <w:rPr>
          <w:rFonts w:hint="eastAsia" w:ascii="宋体" w:hAnsi="宋体" w:cs="宋体"/>
          <w:color w:val="auto"/>
          <w:sz w:val="21"/>
          <w:szCs w:val="21"/>
          <w:highlight w:val="none"/>
          <w:lang w:val="en-US" w:eastAsia="zh-CN"/>
        </w:rPr>
        <w:t xml:space="preserve">单位</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（项目编号）采购文件，经仔细阅读和研究，我方决定参加磋商活动，并向贵</w:t>
      </w:r>
      <w:r>
        <w:rPr>
          <w:rFonts w:hint="eastAsia" w:ascii="宋体" w:hAnsi="宋体" w:cs="宋体"/>
          <w:color w:val="auto"/>
          <w:sz w:val="21"/>
          <w:szCs w:val="21"/>
          <w:highlight w:val="none"/>
          <w:lang w:val="en-US" w:eastAsia="zh-CN"/>
        </w:rPr>
        <w:t xml:space="preserve">单位</w:t>
      </w:r>
      <w:r>
        <w:rPr>
          <w:rFonts w:hint="eastAsia" w:ascii="宋体" w:hAnsi="宋体" w:cs="宋体"/>
          <w:color w:val="auto"/>
          <w:sz w:val="21"/>
          <w:szCs w:val="21"/>
          <w:highlight w:val="none"/>
          <w:lang w:val="zh-CN"/>
        </w:rPr>
        <w:t xml:space="preserve">作出如下承诺：</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4、本磋商响应文件的有效期限为</w:t>
      </w:r>
      <w:r>
        <w:rPr>
          <w:rFonts w:hint="eastAsia" w:ascii="宋体" w:hAnsi="宋体"/>
          <w:color w:val="auto"/>
          <w:sz w:val="21"/>
          <w:szCs w:val="21"/>
          <w:highlight w:val="none"/>
        </w:rPr>
        <w:t xml:space="preserve">响应文件接收</w:t>
      </w:r>
      <w:r>
        <w:rPr>
          <w:rFonts w:hint="eastAsia" w:ascii="宋体" w:hAnsi="宋体" w:cs="宋体"/>
          <w:color w:val="auto"/>
          <w:sz w:val="21"/>
          <w:szCs w:val="21"/>
          <w:highlight w:val="none"/>
          <w:lang w:val="zh-CN"/>
        </w:rPr>
        <w:t xml:space="preserve">截止时间之日起</w:t>
      </w:r>
      <w:r>
        <w:rPr>
          <w:rFonts w:ascii="宋体" w:hAnsi="宋体" w:cs="宋体"/>
          <w:color w:val="auto"/>
          <w:sz w:val="21"/>
          <w:szCs w:val="21"/>
          <w:highlight w:val="none"/>
          <w:lang w:val="zh-CN"/>
        </w:rPr>
        <w:t xml:space="preserve">60</w:t>
      </w:r>
      <w:r>
        <w:rPr>
          <w:rFonts w:hint="eastAsia" w:ascii="宋体" w:hAnsi="宋体" w:cs="宋体"/>
          <w:color w:val="auto"/>
          <w:sz w:val="21"/>
          <w:szCs w:val="21"/>
          <w:highlight w:val="none"/>
          <w:lang w:val="zh-CN"/>
        </w:rPr>
        <w:t xml:space="preserve">天。</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6、我方承诺磋商响应文件在磋商开始后的全过程中保持有效，不作任何更改和变动。</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7、我方承诺满足《中华人民共和国政府采购法》第二十二条规定的所有条件。</w:t>
      </w:r>
      <w:r/>
    </w:p>
    <w:p>
      <w:pPr>
        <w:ind w:left="0" w:firstLine="42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8、与本磋商相应文件有关的通讯地址：</w:t>
      </w:r>
      <w:r/>
    </w:p>
    <w:p>
      <w:pPr>
        <w:ind w:left="0" w:firstLine="21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   位：                                              联 系 人： </w:t>
      </w:r>
      <w:r/>
    </w:p>
    <w:p>
      <w:pPr>
        <w:ind w:left="0" w:firstLine="21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地   址：                                              邮政编码： </w:t>
      </w:r>
      <w:r/>
    </w:p>
    <w:p>
      <w:pPr>
        <w:ind w:left="0" w:firstLine="210"/>
        <w:jc w:val="left"/>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联系电话：                                             电子邮箱：</w:t>
      </w:r>
      <w:r/>
    </w:p>
    <w:p>
      <w:pPr>
        <w:ind w:left="0" w:right="840" w:firstLine="210"/>
        <w:jc w:val="center"/>
        <w:spacing w:line="440" w:lineRule="exact"/>
        <w:rPr>
          <w:rFonts w:ascii="宋体" w:hAnsi="宋体" w:cs="宋体"/>
          <w:color w:val="auto"/>
          <w:sz w:val="21"/>
          <w:szCs w:val="21"/>
          <w:highlight w:val="none"/>
        </w:rPr>
      </w:pPr>
      <w:r>
        <w:rPr>
          <w:rFonts w:ascii="宋体" w:hAnsi="宋体" w:cs="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200"/>
        <w:jc w:val="both"/>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pStyle w:val="955"/>
        <w:rPr>
          <w:rFonts w:ascii="宋体" w:hAnsi="宋体"/>
          <w:b/>
          <w:color w:val="auto"/>
          <w:sz w:val="21"/>
          <w:szCs w:val="21"/>
          <w:highlight w:val="none"/>
        </w:rPr>
      </w:pPr>
      <w:r>
        <w:rPr>
          <w:rFonts w:ascii="宋体" w:hAnsi="宋体"/>
          <w:b/>
          <w:color w:val="auto"/>
          <w:sz w:val="21"/>
          <w:szCs w:val="21"/>
          <w:highlight w:val="none"/>
        </w:rPr>
      </w:r>
      <w:r/>
    </w:p>
    <w:p>
      <w:pPr>
        <w:pStyle w:val="878"/>
        <w:rPr>
          <w:rFonts w:ascii="宋体" w:hAnsi="宋体"/>
          <w:b/>
          <w:color w:val="auto"/>
          <w:sz w:val="21"/>
          <w:szCs w:val="21"/>
          <w:highlight w:val="none"/>
        </w:rPr>
      </w:pPr>
      <w:r>
        <w:rPr>
          <w:rFonts w:ascii="宋体" w:hAnsi="宋体"/>
          <w:b/>
          <w:color w:val="auto"/>
          <w:sz w:val="21"/>
          <w:szCs w:val="21"/>
          <w:highlight w:val="none"/>
        </w:rPr>
      </w:r>
      <w:r/>
    </w:p>
    <w:p>
      <w:pPr>
        <w:pStyle w:val="878"/>
        <w:rPr>
          <w:rFonts w:ascii="宋体" w:hAnsi="宋体"/>
          <w:b/>
          <w:color w:val="auto"/>
          <w:sz w:val="21"/>
          <w:szCs w:val="21"/>
          <w:highlight w:val="none"/>
        </w:rPr>
      </w:pPr>
      <w:r>
        <w:rPr>
          <w:rFonts w:ascii="宋体" w:hAnsi="宋体"/>
          <w:b/>
          <w:color w:val="auto"/>
          <w:sz w:val="21"/>
          <w:szCs w:val="21"/>
          <w:highlight w:val="none"/>
        </w:rPr>
      </w:r>
      <w:r/>
    </w:p>
    <w:p>
      <w:pPr>
        <w:pStyle w:val="878"/>
        <w:rPr>
          <w:rFonts w:ascii="宋体" w:hAnsi="宋体"/>
          <w:b/>
          <w:color w:val="auto"/>
          <w:sz w:val="21"/>
          <w:szCs w:val="21"/>
          <w:highlight w:val="none"/>
        </w:rPr>
      </w:pPr>
      <w:r>
        <w:rPr>
          <w:rFonts w:ascii="宋体" w:hAnsi="宋体"/>
          <w:b/>
          <w:color w:val="auto"/>
          <w:sz w:val="21"/>
          <w:szCs w:val="21"/>
          <w:highlight w:val="none"/>
        </w:rPr>
      </w:r>
      <w:r/>
    </w:p>
    <w:p>
      <w:pPr>
        <w:pStyle w:val="878"/>
        <w:rPr>
          <w:rFonts w:ascii="宋体" w:hAnsi="宋体"/>
          <w:b/>
          <w:color w:val="auto"/>
          <w:sz w:val="21"/>
          <w:szCs w:val="21"/>
          <w:highlight w:val="none"/>
        </w:rPr>
      </w:pPr>
      <w:r>
        <w:rPr>
          <w:rFonts w:ascii="宋体" w:hAnsi="宋体"/>
          <w:b/>
          <w:color w:val="auto"/>
          <w:sz w:val="21"/>
          <w:szCs w:val="21"/>
          <w:highlight w:val="none"/>
        </w:rPr>
      </w:r>
      <w:r/>
    </w:p>
    <w:p>
      <w:pPr>
        <w:pStyle w:val="878"/>
        <w:rPr>
          <w:rFonts w:ascii="宋体" w:hAnsi="宋体"/>
          <w:b/>
          <w:color w:val="auto"/>
          <w:sz w:val="21"/>
          <w:szCs w:val="21"/>
          <w:highlight w:val="none"/>
        </w:rPr>
      </w:pPr>
      <w:r>
        <w:rPr>
          <w:rFonts w:ascii="宋体" w:hAnsi="宋体"/>
          <w:b/>
          <w:color w:val="auto"/>
          <w:sz w:val="21"/>
          <w:szCs w:val="21"/>
          <w:highlight w:val="none"/>
        </w:rPr>
      </w:r>
      <w:r/>
    </w:p>
    <w:p>
      <w:pPr>
        <w:pStyle w:val="878"/>
        <w:rPr>
          <w:rFonts w:ascii="宋体" w:hAnsi="宋体"/>
          <w:b/>
          <w:color w:val="auto"/>
          <w:sz w:val="21"/>
          <w:szCs w:val="21"/>
          <w:highlight w:val="none"/>
        </w:rPr>
      </w:pPr>
      <w:r>
        <w:rPr>
          <w:rFonts w:ascii="宋体" w:hAnsi="宋体"/>
          <w:b/>
          <w:color w:val="auto"/>
          <w:sz w:val="21"/>
          <w:szCs w:val="21"/>
          <w:highlight w:val="none"/>
        </w:rPr>
      </w:r>
      <w:r/>
    </w:p>
    <w:p>
      <w:pPr>
        <w:pStyle w:val="878"/>
        <w:rPr>
          <w:rFonts w:ascii="宋体" w:hAnsi="宋体"/>
          <w:b/>
          <w:color w:val="auto"/>
          <w:sz w:val="21"/>
          <w:szCs w:val="21"/>
          <w:highlight w:val="none"/>
        </w:rPr>
      </w:pPr>
      <w:r>
        <w:rPr>
          <w:rFonts w:ascii="宋体" w:hAnsi="宋体"/>
          <w:b/>
          <w:color w:val="auto"/>
          <w:sz w:val="21"/>
          <w:szCs w:val="21"/>
          <w:highlight w:val="none"/>
        </w:rPr>
      </w:r>
      <w:r/>
    </w:p>
    <w:p>
      <w:pPr>
        <w:pStyle w:val="878"/>
        <w:rPr>
          <w:rFonts w:ascii="宋体" w:hAnsi="宋体"/>
          <w:b/>
          <w:color w:val="auto"/>
          <w:sz w:val="21"/>
          <w:szCs w:val="21"/>
          <w:highlight w:val="none"/>
        </w:rPr>
      </w:pPr>
      <w:r>
        <w:rPr>
          <w:rFonts w:ascii="宋体" w:hAnsi="宋体"/>
          <w:b/>
          <w:color w:val="auto"/>
          <w:sz w:val="21"/>
          <w:szCs w:val="21"/>
          <w:highlight w:val="none"/>
        </w:rPr>
      </w:r>
      <w:r/>
    </w:p>
    <w:p>
      <w:pPr>
        <w:pStyle w:val="878"/>
        <w:rPr>
          <w:rFonts w:ascii="宋体" w:hAnsi="宋体"/>
          <w:b/>
          <w:color w:val="auto"/>
          <w:sz w:val="21"/>
          <w:szCs w:val="21"/>
          <w:highlight w:val="none"/>
        </w:rPr>
      </w:pPr>
      <w:r>
        <w:rPr>
          <w:rFonts w:ascii="宋体" w:hAnsi="宋体"/>
          <w:b/>
          <w:color w:val="auto"/>
          <w:sz w:val="21"/>
          <w:szCs w:val="21"/>
          <w:highlight w:val="none"/>
        </w:rPr>
      </w:r>
      <w:r/>
    </w:p>
    <w:p>
      <w:pPr>
        <w:pStyle w:val="866"/>
        <w:ind w:left="0" w:firstLine="0"/>
        <w:spacing w:before="0" w:after="0" w:line="360" w:lineRule="auto"/>
        <w:rPr>
          <w:rFonts w:ascii="宋体" w:hAnsi="宋体"/>
          <w:b/>
          <w:color w:val="auto"/>
          <w:sz w:val="21"/>
          <w:szCs w:val="21"/>
          <w:highlight w:val="none"/>
        </w:rPr>
      </w:pPr>
      <w:r/>
      <w:bookmarkStart w:id="87" w:name="_Toc103258856"/>
      <w:r>
        <w:rPr>
          <w:rFonts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法定代表人授权委托书</w:t>
      </w:r>
      <w:bookmarkEnd w:id="87"/>
      <w:r/>
      <w:r/>
    </w:p>
    <w:p>
      <w:pPr>
        <w:ind w:left="0" w:firstLine="0"/>
        <w:jc w:val="center"/>
        <w:spacing w:before="100" w:beforeAutospacing="1" w:after="100" w:afterAutospacing="1" w:line="480" w:lineRule="auto"/>
        <w:rPr>
          <w:rFonts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供应商名称）的法定代表人，现授权委托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rPr>
        <w:t xml:space="preserve">加</w:t>
      </w:r>
      <w:r>
        <w:rPr>
          <w:rFonts w:hint="eastAsia" w:ascii="宋体" w:hAnsi="宋体"/>
          <w:color w:val="auto"/>
          <w:sz w:val="21"/>
          <w:szCs w:val="21"/>
          <w:highlight w:val="none"/>
          <w:u w:val="single"/>
        </w:rPr>
        <w:t xml:space="preserve">苏州至贞招投标咨询服务有限公司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w:t>
      </w:r>
      <w:r>
        <w:rPr>
          <w:rFonts w:hint="eastAsia" w:ascii="宋体" w:hAnsi="宋体"/>
          <w:color w:val="auto"/>
          <w:sz w:val="21"/>
          <w:szCs w:val="21"/>
          <w:highlight w:val="none"/>
        </w:rPr>
        <w:t xml:space="preserve">竞争性磋商活动</w:t>
      </w:r>
      <w:r>
        <w:rPr>
          <w:rFonts w:ascii="宋体" w:hAnsi="宋体"/>
          <w:color w:val="auto"/>
          <w:sz w:val="21"/>
          <w:szCs w:val="21"/>
          <w:highlight w:val="none"/>
        </w:rPr>
        <w:t xml:space="preserve">。代理人在</w:t>
      </w:r>
      <w:r>
        <w:rPr>
          <w:rFonts w:hint="eastAsia" w:ascii="宋体" w:hAnsi="宋体"/>
          <w:color w:val="auto"/>
          <w:sz w:val="21"/>
          <w:szCs w:val="21"/>
          <w:highlight w:val="none"/>
        </w:rPr>
        <w:t xml:space="preserve">磋商活动过程</w:t>
      </w:r>
      <w:r>
        <w:rPr>
          <w:rFonts w:ascii="宋体" w:hAnsi="宋体"/>
          <w:color w:val="auto"/>
          <w:sz w:val="21"/>
          <w:szCs w:val="21"/>
          <w:highlight w:val="none"/>
        </w:rPr>
        <w:t xml:space="preserve">中所签署的一切文件和处理与这有关的一切事务，我均予以承认。</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w:t>
      </w:r>
      <w:r>
        <w:rPr>
          <w:rFonts w:hint="eastAsia" w:ascii="宋体" w:hAnsi="宋体"/>
          <w:color w:val="auto"/>
          <w:sz w:val="21"/>
          <w:szCs w:val="21"/>
          <w:highlight w:val="none"/>
        </w:rPr>
        <w:t xml:space="preserve">磋商活动</w:t>
      </w:r>
      <w:r>
        <w:rPr>
          <w:rFonts w:ascii="宋体" w:hAnsi="宋体"/>
          <w:color w:val="auto"/>
          <w:sz w:val="21"/>
          <w:szCs w:val="21"/>
          <w:highlight w:val="none"/>
        </w:rPr>
        <w:t xml:space="preserve">开始至合同履行完毕止。</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ind w:left="0" w:right="420" w:firstLine="315"/>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ind w:left="0" w:right="420" w:firstLine="315"/>
        <w:jc w:val="cente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right="420" w:firstLine="315"/>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法定代表人：（签字或盖章）</w:t>
      </w:r>
      <w:r/>
    </w:p>
    <w:p>
      <w:pPr>
        <w:ind w:left="0" w:right="90" w:firstLine="840"/>
        <w:jc w:val="right"/>
        <w:spacing w:line="400" w:lineRule="exact"/>
        <w:rPr>
          <w:rFonts w:ascii="宋体" w:hAnsi="宋体" w:cs="宋体"/>
          <w:color w:val="auto"/>
          <w:sz w:val="21"/>
          <w:szCs w:val="21"/>
          <w:highlight w:val="none"/>
        </w:rPr>
      </w:pP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615" w:firstLine="843"/>
        <w:jc w:val="right"/>
        <w:spacing w:line="400" w:lineRule="exact"/>
        <w:rPr>
          <w:rFonts w:ascii="宋体" w:hAnsi="宋体" w:cs="宋体"/>
          <w:color w:val="auto"/>
          <w:sz w:val="21"/>
          <w:szCs w:val="21"/>
          <w:highlight w:val="none"/>
        </w:rPr>
      </w:pPr>
      <w:r/>
      <w:bookmarkStart w:id="88" w:name="_Toc7945"/>
      <w:r/>
      <w:bookmarkStart w:id="89" w:name="_Toc241"/>
      <w:r/>
      <w:r/>
    </w:p>
    <w:p>
      <w:pPr>
        <w:ind w:left="0"/>
        <w:rPr>
          <w:rFonts w:ascii="Times New Roman" w:hAnsi="Times New Roman"/>
          <w:b/>
          <w:color w:val="auto"/>
          <w:sz w:val="21"/>
          <w:highlight w:val="none"/>
        </w:rPr>
        <w:outlineLvl w:val="0"/>
      </w:pPr>
      <w:r/>
      <w:bookmarkStart w:id="90" w:name="_Toc103258857"/>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宋体" w:hAnsi="宋体"/>
          <w:color w:val="auto"/>
          <w:sz w:val="21"/>
          <w:szCs w:val="21"/>
          <w:highlight w:val="none"/>
        </w:rPr>
        <w:outlineLvl w:val="0"/>
      </w:pPr>
      <w:r>
        <w:rPr>
          <w:rFonts w:ascii="Times New Roman" w:hAnsi="Times New Roman"/>
          <w:b/>
          <w:color w:val="auto"/>
          <w:sz w:val="21"/>
          <w:highlight w:val="none"/>
        </w:rPr>
        <w:t xml:space="preserve">附件</w:t>
      </w:r>
      <w:r>
        <w:rPr>
          <w:rFonts w:hint="eastAsia" w:ascii="Times New Roman" w:hAnsi="Times New Roman"/>
          <w:b/>
          <w:color w:val="auto"/>
          <w:sz w:val="21"/>
          <w:highlight w:val="none"/>
          <w:lang w:val="en-US" w:eastAsia="zh-CN"/>
        </w:rPr>
        <w:t xml:space="preserve">6</w:t>
      </w:r>
      <w:r>
        <w:rPr>
          <w:rFonts w:hint="eastAsia" w:ascii="Times New Roman" w:hAnsi="Times New Roman"/>
          <w:b/>
          <w:color w:val="auto"/>
          <w:sz w:val="21"/>
          <w:highlight w:val="none"/>
        </w:rPr>
        <w:t xml:space="preserve">.</w:t>
      </w:r>
      <w:r>
        <w:rPr>
          <w:rFonts w:ascii="Times New Roman" w:hAnsi="Times New Roman"/>
          <w:b/>
          <w:color w:val="auto"/>
          <w:sz w:val="21"/>
          <w:highlight w:val="none"/>
        </w:rPr>
        <w:t xml:space="preserve">偏离表</w:t>
      </w:r>
      <w:bookmarkEnd w:id="90"/>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jc w:val="center"/>
        <w:spacing w:line="480" w:lineRule="exact"/>
        <w:rPr>
          <w:rFonts w:ascii="Times New Roman" w:hAnsi="Times New Roman"/>
          <w:b/>
          <w:color w:val="auto"/>
          <w:sz w:val="21"/>
          <w:highlight w:val="none"/>
        </w:rPr>
      </w:pPr>
      <w:r>
        <w:rPr>
          <w:rFonts w:ascii="Times New Roman" w:hAnsi="Times New Roman"/>
          <w:b/>
          <w:color w:val="auto"/>
          <w:sz w:val="21"/>
          <w:highlight w:val="none"/>
        </w:rPr>
        <w:t xml:space="preserve">偏离表</w:t>
      </w:r>
      <w:r>
        <w:rPr>
          <w:rFonts w:hint="eastAsia" w:ascii="Times New Roman" w:hAnsi="Times New Roman"/>
          <w:b/>
          <w:color w:val="auto"/>
          <w:sz w:val="21"/>
          <w:highlight w:val="none"/>
        </w:rPr>
        <w:t xml:space="preserve">（技术、商务）</w:t>
      </w:r>
      <w:r/>
    </w:p>
    <w:p>
      <w:pPr>
        <w:pStyle w:val="960"/>
        <w:ind w:left="400"/>
        <w:rPr>
          <w:color w:val="auto"/>
          <w:highlight w:val="none"/>
        </w:rPr>
      </w:pPr>
      <w:r>
        <w:rPr>
          <w:color w:val="auto"/>
          <w:highlight w:val="none"/>
        </w:rPr>
      </w:r>
      <w:r/>
    </w:p>
    <w:tbl>
      <w:tblPr>
        <w:tblStyle w:val="876"/>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065"/>
        <w:gridCol w:w="2247"/>
        <w:gridCol w:w="2410"/>
        <w:gridCol w:w="2086"/>
      </w:tblGrid>
      <w:tr>
        <w:trPr>
          <w:trHeight w:val="760"/>
        </w:trPr>
        <w:tc>
          <w:tcPr>
            <w:tcW w:w="820" w:type="dxa"/>
            <w:vAlign w:val="center"/>
            <w:textDirection w:val="lrTb"/>
            <w:noWrap w:val="false"/>
          </w:tcPr>
          <w:p>
            <w:pPr>
              <w:ind w:left="0"/>
              <w:jc w:val="both"/>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序号</w:t>
            </w:r>
            <w:r/>
          </w:p>
        </w:tc>
        <w:tc>
          <w:tcPr>
            <w:tcW w:w="2065"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项目</w:t>
            </w:r>
            <w:r/>
          </w:p>
        </w:tc>
        <w:tc>
          <w:tcPr>
            <w:tcW w:w="2247"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采购要求</w:t>
            </w:r>
            <w:r/>
          </w:p>
        </w:tc>
        <w:tc>
          <w:tcPr>
            <w:tcW w:w="2410"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响应情况</w:t>
            </w:r>
            <w:r/>
          </w:p>
        </w:tc>
        <w:tc>
          <w:tcPr>
            <w:tcW w:w="2086"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偏离说明</w:t>
            </w:r>
            <w:r/>
          </w:p>
        </w:tc>
      </w:tr>
      <w:tr>
        <w:trPr>
          <w:cantSplit/>
          <w:trHeight w:val="495"/>
        </w:trPr>
        <w:tc>
          <w:tcPr>
            <w:tcW w:w="820"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65"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247"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410"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86"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trHeight w:val="495"/>
        </w:trPr>
        <w:tc>
          <w:tcPr>
            <w:tcW w:w="820"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65"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247"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410"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86"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trHeight w:val="495"/>
        </w:trPr>
        <w:tc>
          <w:tcPr>
            <w:tcW w:w="820"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65"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247"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410"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86"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trHeight w:val="495"/>
        </w:trPr>
        <w:tc>
          <w:tcPr>
            <w:tcW w:w="820"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65"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247"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410"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86"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trHeight w:val="495"/>
        </w:trPr>
        <w:tc>
          <w:tcPr>
            <w:tcW w:w="820" w:type="dxa"/>
            <w:vAlign w:val="top"/>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65"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247"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410"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86"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trHeight w:val="495"/>
        </w:trPr>
        <w:tc>
          <w:tcPr>
            <w:tcW w:w="820" w:type="dxa"/>
            <w:vAlign w:val="top"/>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65"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247"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410"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86"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trHeight w:val="495"/>
        </w:trPr>
        <w:tc>
          <w:tcPr>
            <w:tcW w:w="820" w:type="dxa"/>
            <w:vAlign w:val="top"/>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65"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247"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410"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86"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trHeight w:val="495"/>
        </w:trPr>
        <w:tc>
          <w:tcPr>
            <w:tcW w:w="820" w:type="dxa"/>
            <w:vAlign w:val="top"/>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65"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247"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410"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86"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trHeight w:val="495"/>
        </w:trPr>
        <w:tc>
          <w:tcPr>
            <w:tcW w:w="820" w:type="dxa"/>
            <w:vAlign w:val="top"/>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65"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247"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410"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86" w:type="dxa"/>
            <w:vAlign w:val="center"/>
            <w:textDirection w:val="lrTb"/>
            <w:noWrap w:val="false"/>
          </w:tcPr>
          <w:p>
            <w:pPr>
              <w:ind w:left="0"/>
              <w:jc w:val="center"/>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bl>
    <w:p>
      <w:pPr>
        <w:ind w:left="0"/>
        <w:jc w:val="left"/>
        <w:spacing w:line="380" w:lineRule="exact"/>
        <w:rPr>
          <w:rFonts w:ascii="Times New Roman" w:hAnsi="Times New Roman"/>
          <w:color w:val="auto"/>
          <w:sz w:val="21"/>
          <w:highlight w:val="none"/>
        </w:rPr>
      </w:pPr>
      <w:r>
        <w:rPr>
          <w:rFonts w:ascii="Times New Roman" w:hAnsi="Times New Roman"/>
          <w:color w:val="auto"/>
          <w:sz w:val="21"/>
          <w:highlight w:val="none"/>
        </w:rPr>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right="-20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480"/>
        <w:jc w:val="right"/>
        <w:spacing w:line="400" w:lineRule="exact"/>
        <w:rPr>
          <w:rFonts w:ascii="宋体" w:cs="宋体"/>
          <w:color w:val="auto"/>
          <w:sz w:val="22"/>
          <w:szCs w:val="22"/>
          <w:highlight w:val="none"/>
        </w:rPr>
      </w:pPr>
      <w:r>
        <w:rPr>
          <w:rFonts w:hint="eastAsia" w:ascii="宋体" w:cs="宋体"/>
          <w:color w:val="auto"/>
          <w:sz w:val="22"/>
          <w:szCs w:val="22"/>
          <w:highlight w:val="none"/>
          <w:lang w:val="zh-CN"/>
        </w:rPr>
        <w:t xml:space="preserve"> </w:t>
      </w:r>
      <w:r/>
    </w:p>
    <w:p>
      <w:pPr>
        <w:ind w:left="0"/>
        <w:jc w:val="left"/>
        <w:spacing w:line="360" w:lineRule="auto"/>
        <w:rPr>
          <w:rFonts w:ascii="宋体" w:hAnsi="宋体"/>
          <w:color w:val="auto"/>
          <w:sz w:val="21"/>
          <w:highlight w:val="none"/>
        </w:rPr>
      </w:pPr>
      <w:r>
        <w:rPr>
          <w:rFonts w:ascii="宋体" w:hAnsi="宋体"/>
          <w:color w:val="auto"/>
          <w:sz w:val="21"/>
          <w:highlight w:val="none"/>
        </w:rPr>
        <w:t xml:space="preserve">注：1.供应商</w:t>
      </w:r>
      <w:r>
        <w:rPr>
          <w:rFonts w:hint="eastAsia" w:ascii="宋体" w:hAnsi="宋体"/>
          <w:color w:val="auto"/>
          <w:sz w:val="21"/>
          <w:szCs w:val="21"/>
          <w:highlight w:val="none"/>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color w:val="auto"/>
          <w:sz w:val="21"/>
          <w:highlight w:val="none"/>
        </w:rPr>
      </w:pPr>
      <w:r>
        <w:rPr>
          <w:rFonts w:ascii="宋体" w:hAnsi="宋体"/>
          <w:color w:val="auto"/>
          <w:sz w:val="21"/>
          <w:highlight w:val="none"/>
        </w:rPr>
        <w:t xml:space="preserve">2.若事项较多，供应商可根据实际情况另纸说明。</w:t>
      </w:r>
      <w:r/>
    </w:p>
    <w:p>
      <w:pPr>
        <w:ind w:left="0" w:firstLine="420"/>
        <w:jc w:val="left"/>
        <w:spacing w:line="360" w:lineRule="auto"/>
        <w:rPr>
          <w:rFonts w:ascii="宋体" w:hAnsi="宋体" w:cs="宋体"/>
          <w:color w:val="auto"/>
          <w:sz w:val="21"/>
          <w:szCs w:val="21"/>
          <w:highlight w:val="none"/>
        </w:rPr>
      </w:pPr>
      <w:r>
        <w:rPr>
          <w:rFonts w:ascii="宋体" w:hAnsi="宋体" w:cs="宋体"/>
          <w:color w:val="auto"/>
          <w:sz w:val="21"/>
          <w:szCs w:val="21"/>
          <w:highlight w:val="none"/>
          <w:lang w:val="zh-CN"/>
        </w:rPr>
        <w:t xml:space="preserve"> </w:t>
      </w:r>
      <w:r/>
    </w:p>
    <w:p>
      <w:pPr>
        <w:pStyle w:val="960"/>
        <w:ind w:left="400"/>
        <w:rPr>
          <w:color w:val="auto"/>
          <w:highlight w:val="none"/>
        </w:rPr>
      </w:pPr>
      <w:r>
        <w:rPr>
          <w:color w:val="auto"/>
          <w:highlight w:val="none"/>
        </w:rPr>
      </w:r>
      <w:r/>
    </w:p>
    <w:p>
      <w:pPr>
        <w:pStyle w:val="960"/>
        <w:ind w:left="400"/>
        <w:rPr>
          <w:color w:val="auto"/>
          <w:highlight w:val="none"/>
        </w:rPr>
      </w:pPr>
      <w:r>
        <w:rPr>
          <w:color w:val="auto"/>
          <w:highlight w:val="none"/>
        </w:rPr>
      </w:r>
      <w:r/>
    </w:p>
    <w:p>
      <w:pPr>
        <w:pStyle w:val="960"/>
        <w:ind w:left="400"/>
        <w:rPr>
          <w:color w:val="auto"/>
          <w:highlight w:val="none"/>
        </w:rPr>
      </w:pPr>
      <w:r>
        <w:rPr>
          <w:color w:val="auto"/>
          <w:highlight w:val="none"/>
        </w:rPr>
      </w:r>
      <w:r/>
    </w:p>
    <w:p>
      <w:pPr>
        <w:pStyle w:val="960"/>
        <w:ind w:left="400"/>
        <w:rPr>
          <w:color w:val="auto"/>
          <w:highlight w:val="none"/>
        </w:rPr>
      </w:pPr>
      <w:r>
        <w:rPr>
          <w:color w:val="auto"/>
          <w:highlight w:val="none"/>
        </w:rPr>
      </w:r>
      <w:r/>
    </w:p>
    <w:p>
      <w:pPr>
        <w:pStyle w:val="960"/>
        <w:ind w:left="400"/>
        <w:rPr>
          <w:color w:val="auto"/>
          <w:highlight w:val="none"/>
        </w:rPr>
      </w:pPr>
      <w:r>
        <w:rPr>
          <w:color w:val="auto"/>
          <w:highlight w:val="none"/>
        </w:rPr>
      </w:r>
      <w:r/>
    </w:p>
    <w:p>
      <w:pPr>
        <w:ind w:left="0"/>
        <w:rPr>
          <w:rFonts w:ascii="Times New Roman" w:hAnsi="Times New Roman"/>
          <w:b/>
          <w:color w:val="auto"/>
          <w:sz w:val="21"/>
          <w:highlight w:val="none"/>
        </w:rPr>
        <w:outlineLvl w:val="0"/>
      </w:pPr>
      <w:r/>
      <w:bookmarkStart w:id="91" w:name="_Toc103258858"/>
      <w:r/>
      <w:r/>
    </w:p>
    <w:p>
      <w:pPr>
        <w:ind w:left="0"/>
        <w:rPr>
          <w:rFonts w:ascii="Times New Roman" w:hAnsi="Times New Roman"/>
          <w:b/>
          <w:color w:val="auto"/>
          <w:sz w:val="21"/>
          <w:szCs w:val="22"/>
          <w:highlight w:val="none"/>
        </w:rPr>
        <w:outlineLvl w:val="0"/>
      </w:pPr>
      <w:r>
        <w:rPr>
          <w:rFonts w:ascii="Times New Roman" w:hAnsi="Times New Roman"/>
          <w:b/>
          <w:color w:val="auto"/>
          <w:sz w:val="21"/>
          <w:highlight w:val="none"/>
        </w:rPr>
        <w:t xml:space="preserve">附件</w:t>
      </w:r>
      <w:r>
        <w:rPr>
          <w:rFonts w:hint="eastAsia" w:ascii="Times New Roman" w:hAnsi="Times New Roman"/>
          <w:b/>
          <w:color w:val="auto"/>
          <w:sz w:val="21"/>
          <w:highlight w:val="none"/>
          <w:lang w:val="en-US" w:eastAsia="zh-CN"/>
        </w:rPr>
        <w:t xml:space="preserve">7</w:t>
      </w:r>
      <w:r>
        <w:rPr>
          <w:rFonts w:hint="eastAsia" w:ascii="Times New Roman" w:hAnsi="Times New Roman"/>
          <w:b/>
          <w:color w:val="auto"/>
          <w:sz w:val="21"/>
          <w:szCs w:val="22"/>
          <w:highlight w:val="none"/>
        </w:rPr>
        <w:t xml:space="preserve">.</w:t>
      </w:r>
      <w:r>
        <w:rPr>
          <w:rFonts w:hint="eastAsia"/>
          <w:color w:val="auto"/>
          <w:highlight w:val="none"/>
        </w:rPr>
        <w:t xml:space="preserve"> </w:t>
      </w:r>
      <w:r>
        <w:rPr>
          <w:rFonts w:hint="eastAsia" w:ascii="Times New Roman" w:hAnsi="Times New Roman"/>
          <w:b/>
          <w:color w:val="auto"/>
          <w:sz w:val="21"/>
          <w:szCs w:val="22"/>
          <w:highlight w:val="none"/>
        </w:rPr>
        <w:t xml:space="preserve">项目服务人员配置表</w:t>
      </w:r>
      <w:bookmarkEnd w:id="91"/>
      <w:r/>
      <w:r/>
    </w:p>
    <w:p>
      <w:pPr>
        <w:ind w:left="0"/>
        <w:jc w:val="center"/>
        <w:widowControl w:val="off"/>
        <w:rPr>
          <w:rFonts w:hint="eastAsia" w:ascii="宋体" w:hAnsi="宋体" w:eastAsia="宋体"/>
          <w:b/>
          <w:bCs/>
          <w:color w:val="auto"/>
          <w:sz w:val="21"/>
          <w:szCs w:val="21"/>
          <w:highlight w:val="none"/>
        </w:rPr>
      </w:pPr>
      <w:r>
        <w:rPr>
          <w:rFonts w:hint="eastAsia" w:ascii="宋体" w:hAnsi="宋体"/>
          <w:b/>
          <w:bCs/>
          <w:color w:val="auto"/>
          <w:sz w:val="21"/>
          <w:szCs w:val="21"/>
          <w:highlight w:val="none"/>
        </w:rPr>
        <w:t xml:space="preserve">项目服务人员配置表</w:t>
      </w:r>
      <w:r/>
    </w:p>
    <w:tbl>
      <w:tblPr>
        <w:tblStyle w:val="876"/>
        <w:tblW w:w="95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817"/>
        <w:gridCol w:w="1725"/>
        <w:gridCol w:w="1425"/>
        <w:gridCol w:w="1185"/>
        <w:gridCol w:w="1509"/>
        <w:gridCol w:w="1090"/>
      </w:tblGrid>
      <w:tr>
        <w:trPr>
          <w:jc w:val="center"/>
          <w:trHeight w:val="760"/>
        </w:trPr>
        <w:tc>
          <w:tcPr>
            <w:tcW w:w="804" w:type="dxa"/>
            <w:vAlign w:val="center"/>
            <w:textDirection w:val="lrTb"/>
            <w:noWrap w:val="false"/>
          </w:tcPr>
          <w:p>
            <w:pPr>
              <w:ind w:left="0"/>
              <w:jc w:val="center"/>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序号</w:t>
            </w:r>
            <w:r/>
          </w:p>
        </w:tc>
        <w:tc>
          <w:tcPr>
            <w:tcW w:w="1817" w:type="dxa"/>
            <w:vAlign w:val="center"/>
            <w:textDirection w:val="lrTb"/>
            <w:noWrap w:val="false"/>
          </w:tcPr>
          <w:p>
            <w:pPr>
              <w:ind w:left="0"/>
              <w:jc w:val="center"/>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岗位</w:t>
            </w:r>
            <w:r/>
          </w:p>
        </w:tc>
        <w:tc>
          <w:tcPr>
            <w:tcW w:w="1725" w:type="dxa"/>
            <w:vAlign w:val="center"/>
            <w:textDirection w:val="lrTb"/>
            <w:noWrap w:val="false"/>
          </w:tcPr>
          <w:p>
            <w:pPr>
              <w:ind w:left="0"/>
              <w:jc w:val="center"/>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姓名</w:t>
            </w:r>
            <w:r/>
          </w:p>
        </w:tc>
        <w:tc>
          <w:tcPr>
            <w:tcW w:w="1425" w:type="dxa"/>
            <w:vAlign w:val="center"/>
            <w:textDirection w:val="lrTb"/>
            <w:noWrap w:val="false"/>
          </w:tcPr>
          <w:p>
            <w:pPr>
              <w:ind w:left="0"/>
              <w:jc w:val="center"/>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性别</w:t>
            </w:r>
            <w:r/>
          </w:p>
        </w:tc>
        <w:tc>
          <w:tcPr>
            <w:tcW w:w="1185" w:type="dxa"/>
            <w:vAlign w:val="center"/>
            <w:textDirection w:val="lrTb"/>
            <w:noWrap w:val="false"/>
          </w:tcPr>
          <w:p>
            <w:pPr>
              <w:ind w:left="0"/>
              <w:jc w:val="center"/>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年龄</w:t>
            </w:r>
            <w:r/>
          </w:p>
        </w:tc>
        <w:tc>
          <w:tcPr>
            <w:tcW w:w="1509" w:type="dxa"/>
            <w:vAlign w:val="center"/>
            <w:textDirection w:val="lrTb"/>
            <w:noWrap w:val="false"/>
          </w:tcPr>
          <w:p>
            <w:pPr>
              <w:ind w:left="0"/>
              <w:jc w:val="center"/>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身份证号</w:t>
            </w:r>
            <w:r/>
          </w:p>
        </w:tc>
        <w:tc>
          <w:tcPr>
            <w:tcW w:w="1090" w:type="dxa"/>
            <w:vAlign w:val="center"/>
            <w:textDirection w:val="lrTb"/>
            <w:noWrap w:val="false"/>
          </w:tcPr>
          <w:p>
            <w:pPr>
              <w:ind w:left="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cantSplit/>
          <w:jc w:val="center"/>
          <w:trHeight w:val="495"/>
        </w:trPr>
        <w:tc>
          <w:tcPr>
            <w:tcW w:w="804"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p>
        </w:tc>
        <w:tc>
          <w:tcPr>
            <w:tcW w:w="1817"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09"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95"/>
        </w:trPr>
        <w:tc>
          <w:tcPr>
            <w:tcW w:w="804"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p>
        </w:tc>
        <w:tc>
          <w:tcPr>
            <w:tcW w:w="1817"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09"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95"/>
        </w:trPr>
        <w:tc>
          <w:tcPr>
            <w:tcW w:w="804"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p>
        </w:tc>
        <w:tc>
          <w:tcPr>
            <w:tcW w:w="1817"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09"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95"/>
        </w:trPr>
        <w:tc>
          <w:tcPr>
            <w:tcW w:w="804"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p>
        </w:tc>
        <w:tc>
          <w:tcPr>
            <w:tcW w:w="1817" w:type="dxa"/>
            <w:vAlign w:val="center"/>
            <w:textDirection w:val="lrTb"/>
            <w:noWrap w:val="false"/>
          </w:tcPr>
          <w:p>
            <w:pPr>
              <w:ind w:left="0"/>
              <w:jc w:val="both"/>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09"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95"/>
        </w:trPr>
        <w:tc>
          <w:tcPr>
            <w:tcW w:w="804"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w:t>
            </w:r>
            <w:r/>
          </w:p>
        </w:tc>
        <w:tc>
          <w:tcPr>
            <w:tcW w:w="1817"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09"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95"/>
        </w:trPr>
        <w:tc>
          <w:tcPr>
            <w:tcW w:w="804"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p>
        </w:tc>
        <w:tc>
          <w:tcPr>
            <w:tcW w:w="1817"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09"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95"/>
        </w:trPr>
        <w:tc>
          <w:tcPr>
            <w:tcW w:w="804"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7</w:t>
            </w:r>
            <w:r/>
          </w:p>
        </w:tc>
        <w:tc>
          <w:tcPr>
            <w:tcW w:w="1817"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09"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95"/>
        </w:trPr>
        <w:tc>
          <w:tcPr>
            <w:tcW w:w="804"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8</w:t>
            </w:r>
            <w:r/>
          </w:p>
        </w:tc>
        <w:tc>
          <w:tcPr>
            <w:tcW w:w="1817"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09"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95"/>
        </w:trPr>
        <w:tc>
          <w:tcPr>
            <w:tcW w:w="804"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9</w:t>
            </w:r>
            <w:r/>
          </w:p>
        </w:tc>
        <w:tc>
          <w:tcPr>
            <w:tcW w:w="1817"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09"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95"/>
        </w:trPr>
        <w:tc>
          <w:tcPr>
            <w:tcW w:w="804"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10</w:t>
            </w:r>
            <w:r/>
          </w:p>
        </w:tc>
        <w:tc>
          <w:tcPr>
            <w:tcW w:w="1817"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09"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95"/>
        </w:trPr>
        <w:tc>
          <w:tcPr>
            <w:tcW w:w="804"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11</w:t>
            </w:r>
            <w:r/>
          </w:p>
        </w:tc>
        <w:tc>
          <w:tcPr>
            <w:tcW w:w="1817"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09"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95"/>
        </w:trPr>
        <w:tc>
          <w:tcPr>
            <w:tcW w:w="804"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12</w:t>
            </w:r>
            <w:r/>
          </w:p>
        </w:tc>
        <w:tc>
          <w:tcPr>
            <w:tcW w:w="1817"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09"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95"/>
        </w:trPr>
        <w:tc>
          <w:tcPr>
            <w:tcW w:w="804"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13</w:t>
            </w:r>
            <w:r/>
          </w:p>
        </w:tc>
        <w:tc>
          <w:tcPr>
            <w:tcW w:w="1817"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09"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95"/>
        </w:trPr>
        <w:tc>
          <w:tcPr>
            <w:tcW w:w="804"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w:t>
            </w:r>
            <w:r/>
          </w:p>
        </w:tc>
        <w:tc>
          <w:tcPr>
            <w:tcW w:w="1817"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2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185" w:type="dxa"/>
            <w:vAlign w:val="center"/>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09"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090" w:type="dxa"/>
            <w:vAlign w:val="top"/>
            <w:textDirection w:val="lrTb"/>
            <w:noWrap w:val="false"/>
          </w:tcPr>
          <w:p>
            <w:pPr>
              <w:ind w:left="0"/>
              <w:jc w:val="center"/>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left="0"/>
        <w:jc w:val="left"/>
        <w:spacing w:line="360" w:lineRule="auto"/>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注：响应文件中需注明配备人员相关信息，包括但不限于岗位、姓名、年龄、身份证号等。</w:t>
      </w:r>
      <w:r/>
    </w:p>
    <w:p>
      <w:pPr>
        <w:ind w:left="0" w:right="-20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p>
    <w:p>
      <w:pPr>
        <w:ind w:left="0" w:right="-20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Pr>
          <w:rFonts w:ascii="Times New Roman" w:hAnsi="Times New Roman"/>
          <w:b/>
          <w:color w:val="auto"/>
          <w:sz w:val="21"/>
          <w:highlight w:val="none"/>
        </w:rPr>
        <w:outlineLvl w:val="0"/>
      </w:pPr>
      <w:r/>
      <w:bookmarkStart w:id="92" w:name="_Toc103258859"/>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bCs/>
          <w:color w:val="auto"/>
          <w:sz w:val="21"/>
          <w:szCs w:val="21"/>
          <w:highlight w:val="none"/>
        </w:rPr>
        <w:outlineLvl w:val="0"/>
      </w:pPr>
      <w:r>
        <w:rPr>
          <w:rFonts w:ascii="Times New Roman" w:hAnsi="Times New Roman"/>
          <w:b/>
          <w:bCs/>
          <w:color w:val="auto"/>
          <w:sz w:val="21"/>
          <w:szCs w:val="21"/>
          <w:highlight w:val="none"/>
        </w:rPr>
      </w:r>
      <w:r/>
    </w:p>
    <w:p>
      <w:pPr>
        <w:ind w:left="0"/>
        <w:rPr>
          <w:rFonts w:ascii="Times New Roman" w:hAnsi="Times New Roman"/>
          <w:b/>
          <w:bCs/>
          <w:color w:val="auto"/>
          <w:sz w:val="21"/>
          <w:szCs w:val="21"/>
          <w:highlight w:val="none"/>
        </w:rPr>
        <w:outlineLvl w:val="0"/>
      </w:pPr>
      <w:r>
        <w:rPr>
          <w:rFonts w:ascii="Times New Roman" w:hAnsi="Times New Roman"/>
          <w:b/>
          <w:bCs/>
          <w:color w:val="auto"/>
          <w:sz w:val="21"/>
          <w:szCs w:val="21"/>
          <w:highlight w:val="none"/>
        </w:rPr>
      </w:r>
      <w:r/>
    </w:p>
    <w:p>
      <w:pPr>
        <w:ind w:left="0"/>
        <w:rPr>
          <w:rFonts w:ascii="Times New Roman" w:hAnsi="Times New Roman"/>
          <w:b/>
          <w:bCs/>
          <w:color w:val="auto"/>
          <w:sz w:val="21"/>
          <w:szCs w:val="21"/>
          <w:highlight w:val="none"/>
        </w:rPr>
        <w:outlineLvl w:val="0"/>
      </w:pPr>
      <w:r>
        <w:rPr>
          <w:rFonts w:ascii="Times New Roman" w:hAnsi="Times New Roman"/>
          <w:b/>
          <w:bCs/>
          <w:color w:val="auto"/>
          <w:sz w:val="21"/>
          <w:szCs w:val="21"/>
          <w:highlight w:val="none"/>
        </w:rPr>
      </w:r>
      <w:r/>
    </w:p>
    <w:p>
      <w:pPr>
        <w:ind w:left="0"/>
        <w:rPr>
          <w:rFonts w:ascii="Times New Roman" w:hAnsi="Times New Roman"/>
          <w:b/>
          <w:bCs/>
          <w:color w:val="auto"/>
          <w:sz w:val="21"/>
          <w:szCs w:val="21"/>
          <w:highlight w:val="none"/>
        </w:rPr>
        <w:outlineLvl w:val="0"/>
      </w:pPr>
      <w:r>
        <w:rPr>
          <w:rFonts w:ascii="Times New Roman" w:hAnsi="Times New Roman"/>
          <w:b/>
          <w:bCs/>
          <w:color w:val="auto"/>
          <w:sz w:val="21"/>
          <w:szCs w:val="21"/>
          <w:highlight w:val="none"/>
        </w:rPr>
      </w:r>
      <w:r/>
    </w:p>
    <w:p>
      <w:pPr>
        <w:ind w:left="0"/>
        <w:rPr>
          <w:rFonts w:ascii="Times New Roman" w:hAnsi="Times New Roman"/>
          <w:b/>
          <w:bCs/>
          <w:color w:val="auto"/>
          <w:sz w:val="21"/>
          <w:szCs w:val="21"/>
          <w:highlight w:val="none"/>
        </w:rPr>
        <w:outlineLvl w:val="0"/>
      </w:pPr>
      <w:r>
        <w:rPr>
          <w:rFonts w:ascii="Times New Roman" w:hAnsi="Times New Roman"/>
          <w:b/>
          <w:bCs/>
          <w:color w:val="auto"/>
          <w:sz w:val="21"/>
          <w:szCs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t xml:space="preserve">附件</w:t>
      </w:r>
      <w:r>
        <w:rPr>
          <w:rFonts w:hint="eastAsia" w:ascii="Times New Roman" w:hAnsi="Times New Roman"/>
          <w:b/>
          <w:color w:val="auto"/>
          <w:sz w:val="21"/>
          <w:highlight w:val="none"/>
          <w:lang w:val="en-US" w:eastAsia="zh-CN"/>
        </w:rPr>
        <w:t xml:space="preserve">8</w:t>
      </w:r>
      <w:r>
        <w:rPr>
          <w:rFonts w:hint="eastAsia" w:ascii="Times New Roman" w:hAnsi="Times New Roman"/>
          <w:b/>
          <w:color w:val="auto"/>
          <w:sz w:val="21"/>
          <w:highlight w:val="none"/>
        </w:rPr>
        <w:t xml:space="preserve">.</w:t>
      </w:r>
      <w:r>
        <w:rPr>
          <w:rFonts w:hint="eastAsia" w:ascii="Times New Roman" w:hAnsi="Times New Roman"/>
          <w:b/>
          <w:color w:val="auto"/>
          <w:sz w:val="21"/>
          <w:szCs w:val="22"/>
          <w:highlight w:val="none"/>
        </w:rPr>
        <w:t xml:space="preserve">针对本项目的技术方案及制度</w:t>
      </w:r>
      <w:bookmarkEnd w:id="92"/>
      <w:r/>
      <w:r/>
    </w:p>
    <w:p>
      <w:pPr>
        <w:ind w:left="0"/>
        <w:jc w:val="center"/>
        <w:spacing w:line="360" w:lineRule="auto"/>
        <w:widowControl w:val="off"/>
        <w:tabs>
          <w:tab w:val="left" w:pos="1320" w:leader="none"/>
        </w:tabs>
        <w:rPr>
          <w:rFonts w:ascii="宋体" w:hAnsi="宋体"/>
          <w:b/>
          <w:color w:val="auto"/>
          <w:sz w:val="21"/>
          <w:szCs w:val="21"/>
          <w:highlight w:val="none"/>
        </w:rPr>
      </w:pPr>
      <w:r>
        <w:rPr>
          <w:rFonts w:hint="eastAsia" w:ascii="宋体" w:hAnsi="宋体"/>
          <w:b/>
          <w:color w:val="auto"/>
          <w:sz w:val="21"/>
          <w:szCs w:val="21"/>
          <w:highlight w:val="none"/>
        </w:rPr>
        <w:t xml:space="preserve">针对本项目的技术方案及制度</w:t>
      </w:r>
      <w:r/>
    </w:p>
    <w:tbl>
      <w:tblPr>
        <w:tblStyle w:val="876"/>
        <w:tblW w:w="9874"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vAlign w:val="top"/>
            <w:textDirection w:val="lrTb"/>
            <w:noWrap w:val="false"/>
          </w:tcPr>
          <w:p>
            <w:pPr>
              <w:ind w:left="0"/>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提示：</w:t>
            </w:r>
            <w:r/>
          </w:p>
          <w:p>
            <w:pPr>
              <w:ind w:left="0"/>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1、供应商应针对本次采购项目特点编写公司拟采取的技术方案。</w:t>
            </w:r>
            <w:r/>
          </w:p>
          <w:p>
            <w:pPr>
              <w:ind w:left="0"/>
              <w:jc w:val="left"/>
              <w:widowControl w:val="off"/>
              <w:rPr>
                <w:rFonts w:ascii="宋体" w:hAnsi="宋体" w:eastAsia="宋体" w:cs="Times New Roman"/>
                <w:b/>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2、供应商可根据自身情况编写，本页不够可另加页附后。</w:t>
            </w:r>
            <w:r/>
          </w:p>
        </w:tc>
      </w:tr>
      <w:tr>
        <w:trPr>
          <w:trHeight w:val="9719"/>
        </w:trPr>
        <w:tc>
          <w:tcPr>
            <w:tcW w:w="9874" w:type="dxa"/>
            <w:vAlign w:val="top"/>
            <w:textDirection w:val="lrTb"/>
            <w:noWrap w:val="false"/>
          </w:tcPr>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r>
            <w:r/>
          </w:p>
          <w:p>
            <w:pPr>
              <w:ind w:left="0"/>
              <w:jc w:val="lef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        </w:t>
            </w:r>
            <w:r/>
          </w:p>
        </w:tc>
      </w:tr>
    </w:tbl>
    <w:p>
      <w:pPr>
        <w:ind w:left="0" w:right="-20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jc w:val="left"/>
        <w:rPr>
          <w:rFonts w:ascii="宋体" w:hAnsi="宋体"/>
          <w:color w:val="auto"/>
          <w:sz w:val="21"/>
          <w:highlight w:val="none"/>
        </w:rPr>
      </w:pPr>
      <w:r>
        <w:rPr>
          <w:rFonts w:hint="eastAsia" w:ascii="宋体" w:hAnsi="宋体"/>
          <w:color w:val="auto"/>
          <w:sz w:val="21"/>
          <w:highlight w:val="none"/>
        </w:rPr>
        <w:t xml:space="preserve"> </w:t>
      </w:r>
      <w:r/>
    </w:p>
    <w:p>
      <w:pPr>
        <w:pStyle w:val="960"/>
        <w:ind w:left="0" w:firstLine="0"/>
        <w:rPr>
          <w:rFonts w:hAnsi="宋体"/>
          <w:color w:val="auto"/>
          <w:highlight w:val="none"/>
        </w:rPr>
      </w:pPr>
      <w:r>
        <w:rPr>
          <w:rFonts w:hAnsi="宋体"/>
          <w:color w:val="auto"/>
          <w:highlight w:val="none"/>
        </w:rPr>
      </w:r>
      <w:r/>
    </w:p>
    <w:p>
      <w:pPr>
        <w:pStyle w:val="960"/>
        <w:ind w:left="0" w:firstLine="0"/>
        <w:rPr>
          <w:rFonts w:hAnsi="宋体"/>
          <w:color w:val="auto"/>
          <w:highlight w:val="none"/>
        </w:rPr>
      </w:pPr>
      <w:r>
        <w:rPr>
          <w:rFonts w:hAnsi="宋体"/>
          <w:color w:val="auto"/>
          <w:highlight w:val="none"/>
        </w:rPr>
      </w:r>
      <w:r/>
    </w:p>
    <w:p>
      <w:pPr>
        <w:ind w:left="0"/>
        <w:rPr>
          <w:rFonts w:ascii="宋体" w:hAnsi="宋体"/>
          <w:b/>
          <w:color w:val="auto"/>
          <w:sz w:val="21"/>
          <w:szCs w:val="21"/>
          <w:highlight w:val="none"/>
        </w:rPr>
        <w:outlineLvl w:val="0"/>
      </w:pPr>
      <w:r/>
      <w:bookmarkStart w:id="93" w:name="_Toc103258860"/>
      <w:r/>
      <w:r/>
    </w:p>
    <w:p>
      <w:pPr>
        <w:ind w:left="0"/>
        <w:rPr>
          <w:rFonts w:ascii="宋体" w:hAnsi="宋体"/>
          <w:b/>
          <w:color w:val="auto"/>
          <w:sz w:val="21"/>
          <w:szCs w:val="21"/>
          <w:highlight w:val="none"/>
        </w:rPr>
        <w:outlineLvl w:val="0"/>
      </w:pPr>
      <w:r>
        <w:rPr>
          <w:rFonts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9</w:t>
      </w:r>
      <w:r>
        <w:rPr>
          <w:rFonts w:hint="eastAsia" w:ascii="宋体" w:hAnsi="宋体"/>
          <w:b/>
          <w:color w:val="auto"/>
          <w:sz w:val="21"/>
          <w:szCs w:val="21"/>
          <w:highlight w:val="none"/>
        </w:rPr>
        <w:t xml:space="preserve">.</w:t>
      </w:r>
      <w:r>
        <w:rPr>
          <w:rFonts w:hint="eastAsia" w:ascii="宋体" w:hAnsi="宋体" w:cs="宋体"/>
          <w:b/>
          <w:color w:val="auto"/>
          <w:sz w:val="21"/>
          <w:szCs w:val="21"/>
          <w:highlight w:val="none"/>
        </w:rPr>
        <w:t xml:space="preserve">相关</w:t>
      </w:r>
      <w:r>
        <w:rPr>
          <w:rFonts w:hint="eastAsia" w:ascii="宋体" w:hAnsi="宋体"/>
          <w:b/>
          <w:color w:val="auto"/>
          <w:sz w:val="21"/>
          <w:szCs w:val="21"/>
          <w:highlight w:val="none"/>
        </w:rPr>
        <w:t xml:space="preserve">业绩一览表</w:t>
      </w:r>
      <w:bookmarkEnd w:id="93"/>
      <w:r/>
      <w:r/>
    </w:p>
    <w:p>
      <w:pPr>
        <w:ind w:left="0"/>
        <w:widowControl w:val="off"/>
        <w:rPr>
          <w:rFonts w:ascii="宋体" w:hAnsi="宋体"/>
          <w:b/>
          <w:bCs/>
          <w:color w:val="auto"/>
          <w:sz w:val="21"/>
          <w:szCs w:val="21"/>
          <w:highlight w:val="none"/>
        </w:rPr>
      </w:pPr>
      <w:r>
        <w:rPr>
          <w:rFonts w:ascii="宋体" w:hAnsi="宋体"/>
          <w:b/>
          <w:bCs/>
          <w:color w:val="auto"/>
          <w:sz w:val="21"/>
          <w:szCs w:val="21"/>
          <w:highlight w:val="none"/>
        </w:rPr>
      </w:r>
      <w:r/>
    </w:p>
    <w:p>
      <w:pPr>
        <w:ind w:left="0"/>
        <w:jc w:val="center"/>
        <w:widowControl w:val="off"/>
        <w:rPr>
          <w:rFonts w:ascii="宋体" w:hAnsi="宋体"/>
          <w:b/>
          <w:bCs/>
          <w:color w:val="auto"/>
          <w:sz w:val="21"/>
          <w:szCs w:val="21"/>
          <w:highlight w:val="none"/>
        </w:rPr>
      </w:pPr>
      <w:r>
        <w:rPr>
          <w:rFonts w:ascii="宋体" w:hAnsi="宋体"/>
          <w:b/>
          <w:bCs/>
          <w:color w:val="auto"/>
          <w:sz w:val="21"/>
          <w:szCs w:val="21"/>
          <w:highlight w:val="none"/>
        </w:rPr>
        <w:t xml:space="preserve">相关业绩一览表</w:t>
      </w:r>
      <w:r/>
    </w:p>
    <w:p>
      <w:pPr>
        <w:ind w:left="0"/>
        <w:jc w:val="center"/>
        <w:widowControl w:val="off"/>
        <w:rPr>
          <w:rFonts w:ascii="宋体" w:hAnsi="宋体"/>
          <w:b/>
          <w:bCs/>
          <w:color w:val="auto"/>
          <w:sz w:val="21"/>
          <w:szCs w:val="21"/>
          <w:highlight w:val="none"/>
        </w:rPr>
      </w:pPr>
      <w:r>
        <w:rPr>
          <w:rFonts w:ascii="宋体" w:hAnsi="宋体"/>
          <w:b/>
          <w:bCs/>
          <w:color w:val="auto"/>
          <w:sz w:val="21"/>
          <w:szCs w:val="21"/>
          <w:highlight w:val="none"/>
        </w:rPr>
      </w:r>
      <w:r/>
    </w:p>
    <w:tbl>
      <w:tblPr>
        <w:tblStyle w:val="876"/>
        <w:tblW w:w="94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42"/>
        <w:gridCol w:w="2009"/>
        <w:gridCol w:w="2009"/>
        <w:gridCol w:w="2391"/>
        <w:gridCol w:w="1817"/>
      </w:tblGrid>
      <w:tr>
        <w:trPr>
          <w:cantSplit/>
          <w:jc w:val="center"/>
          <w:trHeight w:val="740"/>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序号</w:t>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1</w:t>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2</w:t>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3</w:t>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4</w:t>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en-US" w:eastAsia="zh-CN" w:bidi="ar-SA"/>
              </w:rPr>
              <w:t xml:space="preserve">5</w:t>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r>
        <w:trPr>
          <w:cantSplit/>
          <w:jc w:val="center"/>
          <w:trHeight w:val="510" w:hRule="exact"/>
        </w:trPr>
        <w:tc>
          <w:tcPr>
            <w:tcW w:w="1242"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009"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2391"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17" w:type="dxa"/>
            <w:vAlign w:val="center"/>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r>
    </w:tbl>
    <w:p>
      <w:pPr>
        <w:ind w:left="0"/>
        <w:jc w:val="left"/>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pStyle w:val="975"/>
        <w:ind w:firstLine="400"/>
        <w:rPr>
          <w:color w:val="auto"/>
          <w:highlight w:val="none"/>
        </w:rPr>
      </w:pPr>
      <w:r>
        <w:rPr>
          <w:color w:val="auto"/>
          <w:highlight w:val="none"/>
        </w:rPr>
      </w:r>
      <w:r/>
    </w:p>
    <w:p>
      <w:pPr>
        <w:ind w:left="0" w:right="-200"/>
        <w:jc w:val="center"/>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969"/>
        <w:rPr>
          <w:color w:val="auto"/>
          <w:highlight w:val="none"/>
        </w:rPr>
      </w:pPr>
      <w:r>
        <w:rPr>
          <w:color w:val="auto"/>
          <w:highlight w:val="none"/>
        </w:rPr>
      </w:r>
      <w:bookmarkEnd w:id="88"/>
      <w:bookmarkEnd w:id="89"/>
      <w:r/>
    </w:p>
    <w:p>
      <w:pPr>
        <w:pStyle w:val="969"/>
        <w:rPr>
          <w:color w:val="auto"/>
          <w:highlight w:val="none"/>
        </w:rPr>
      </w:pPr>
      <w:r>
        <w:rPr>
          <w:color w:val="auto"/>
          <w:highlight w:val="none"/>
        </w:rPr>
      </w:r>
      <w:r/>
    </w:p>
    <w:p>
      <w:pPr>
        <w:ind w:left="0"/>
        <w:rPr>
          <w:color w:val="auto"/>
          <w:highlight w:val="none"/>
        </w:rPr>
      </w:pPr>
      <w:r>
        <w:rPr>
          <w:color w:val="auto"/>
          <w:highlight w:val="none"/>
        </w:rPr>
      </w:r>
      <w:r/>
    </w:p>
    <w:p>
      <w:pPr>
        <w:ind w:left="0"/>
        <w:rPr>
          <w:rFonts w:ascii="宋体" w:hAnsi="宋体"/>
          <w:b/>
          <w:color w:val="auto"/>
          <w:sz w:val="21"/>
          <w:szCs w:val="21"/>
          <w:highlight w:val="none"/>
        </w:rPr>
        <w:outlineLvl w:val="0"/>
      </w:pPr>
      <w:r>
        <w:rPr>
          <w:rFonts w:ascii="宋体" w:hAnsi="宋体"/>
          <w:b/>
          <w:color w:val="auto"/>
          <w:sz w:val="21"/>
          <w:szCs w:val="21"/>
          <w:highlight w:val="none"/>
        </w:rPr>
        <w:br w:type="page" w:clear="all"/>
      </w:r>
      <w:bookmarkStart w:id="94" w:name="_Toc21574"/>
      <w:r/>
      <w:bookmarkStart w:id="95" w:name="_Toc19621"/>
      <w:r/>
      <w:bookmarkStart w:id="96" w:name="_Toc103258861"/>
      <w:r/>
      <w:r/>
    </w:p>
    <w:p>
      <w:pPr>
        <w:ind w:left="0"/>
        <w:rPr>
          <w:rFonts w:ascii="宋体" w:hAnsi="宋体"/>
          <w:b/>
          <w:color w:val="auto"/>
          <w:sz w:val="21"/>
          <w:szCs w:val="21"/>
          <w:highlight w:val="none"/>
        </w:rPr>
        <w:outlineLvl w:val="0"/>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hint="eastAsia" w:ascii="宋体" w:hAnsi="宋体"/>
          <w:b/>
          <w:color w:val="auto"/>
          <w:sz w:val="21"/>
          <w:szCs w:val="21"/>
          <w:highlight w:val="none"/>
          <w:lang w:val="en-US" w:eastAsia="zh-CN"/>
        </w:rPr>
        <w:t xml:space="preserve">0</w:t>
      </w:r>
      <w:r>
        <w:rPr>
          <w:rFonts w:hint="eastAsia" w:ascii="宋体" w:hAnsi="宋体"/>
          <w:b/>
          <w:color w:val="auto"/>
          <w:sz w:val="21"/>
          <w:szCs w:val="21"/>
          <w:highlight w:val="none"/>
        </w:rPr>
        <w:t xml:space="preserve">.</w:t>
      </w:r>
      <w:r>
        <w:rPr>
          <w:rFonts w:hint="eastAsia" w:ascii="宋体" w:hAnsi="宋体" w:eastAsia="宋体" w:cs="Times New Roman"/>
          <w:b/>
          <w:color w:val="auto"/>
          <w:sz w:val="21"/>
          <w:szCs w:val="21"/>
          <w:highlight w:val="none"/>
        </w:rPr>
        <w:t xml:space="preserve">关于投标（响应）报价合理性的澄清说明</w:t>
      </w:r>
      <w:r/>
    </w:p>
    <w:p>
      <w:pPr>
        <w:ind w:left="0"/>
        <w:rPr>
          <w:rFonts w:ascii="宋体" w:hAnsi="宋体"/>
          <w:b/>
          <w:color w:val="auto"/>
          <w:sz w:val="21"/>
          <w:szCs w:val="21"/>
          <w:highlight w:val="none"/>
        </w:rPr>
        <w:outlineLvl w:val="0"/>
      </w:pPr>
      <w:r>
        <w:rPr>
          <w:rFonts w:ascii="宋体" w:hAnsi="宋体"/>
          <w:b/>
          <w:color w:val="auto"/>
          <w:sz w:val="21"/>
          <w:szCs w:val="21"/>
          <w:highlight w:val="none"/>
        </w:rPr>
      </w:r>
      <w:r/>
    </w:p>
    <w:p>
      <w:pPr>
        <w:ind w:left="0"/>
        <w:jc w:val="center"/>
        <w:spacing w:line="48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关于投标（响应）报价合理性的澄清说明</w:t>
      </w:r>
      <w:r/>
    </w:p>
    <w:p>
      <w:pPr>
        <w:ind w:left="0"/>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r>
      <w:r/>
    </w:p>
    <w:p>
      <w:pPr>
        <w:ind w:left="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 xml:space="preserve">苏州至贞招投标咨询服务有限公司</w:t>
      </w:r>
      <w:r>
        <w:rPr>
          <w:rFonts w:hint="eastAsia" w:ascii="宋体" w:hAnsi="宋体" w:eastAsia="宋体" w:cs="宋体"/>
          <w:color w:val="auto"/>
          <w:sz w:val="21"/>
          <w:szCs w:val="21"/>
          <w:highlight w:val="none"/>
        </w:rPr>
        <w:t xml:space="preserve">：</w:t>
      </w:r>
      <w:r/>
    </w:p>
    <w:p>
      <w:pPr>
        <w:pStyle w:val="88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w:t>
      </w:r>
      <w:r>
        <w:rPr>
          <w:rFonts w:hint="eastAsia" w:ascii="宋体" w:hAnsi="宋体" w:eastAsia="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号（项目编号）的</w:t>
      </w:r>
      <w:r>
        <w:rPr>
          <w:rFonts w:hint="eastAsia" w:ascii="宋体" w:hAnsi="宋体" w:cs="宋体"/>
          <w:color w:val="auto"/>
          <w:sz w:val="21"/>
          <w:szCs w:val="21"/>
          <w:highlight w:val="none"/>
          <w:lang w:val="en-US" w:eastAsia="zh-CN"/>
        </w:rPr>
        <w:t xml:space="preserve">磋商采购</w:t>
      </w:r>
      <w:r>
        <w:rPr>
          <w:rFonts w:hint="eastAsia" w:ascii="宋体" w:hAnsi="宋体" w:eastAsia="宋体" w:cs="宋体"/>
          <w:color w:val="auto"/>
          <w:sz w:val="21"/>
          <w:szCs w:val="21"/>
          <w:highlight w:val="none"/>
        </w:rPr>
        <w:t xml:space="preserve">活动进行投标，对于本公司的</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报价合理性作出说明如下：</w:t>
      </w:r>
      <w:r/>
    </w:p>
    <w:tbl>
      <w:tblPr>
        <w:tblStyle w:val="87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eastAsia="宋体" w:cs="宋体"/>
                <w:b/>
                <w:color w:val="auto"/>
                <w:sz w:val="21"/>
                <w:szCs w:val="21"/>
                <w:highlight w:val="none"/>
                <w:shd w:val="pct10" w:color="auto" w:fill="ffffff"/>
              </w:rPr>
            </w:pPr>
            <w:r>
              <w:rPr>
                <w:rFonts w:hint="eastAsia" w:ascii="宋体" w:hAnsi="宋体" w:cs="宋体"/>
                <w:b/>
                <w:color w:val="auto"/>
                <w:sz w:val="21"/>
                <w:szCs w:val="21"/>
                <w:highlight w:val="none"/>
                <w:lang w:val="en-US" w:eastAsia="zh-CN"/>
              </w:rPr>
              <w:t xml:space="preserve">响应单位</w:t>
            </w:r>
            <w:r>
              <w:rPr>
                <w:rFonts w:hint="eastAsia" w:ascii="宋体" w:hAnsi="宋体" w:eastAsia="宋体" w:cs="宋体"/>
                <w:b/>
                <w:color w:val="auto"/>
                <w:sz w:val="21"/>
                <w:szCs w:val="21"/>
                <w:highlight w:val="none"/>
              </w:rPr>
              <w:t xml:space="preserve">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color w:val="auto"/>
          <w:sz w:val="21"/>
          <w:szCs w:val="21"/>
          <w:highlight w:val="none"/>
          <w:lang w:val="zh-CN"/>
        </w:rPr>
      </w:pPr>
      <w:r/>
      <w:bookmarkStart w:id="97" w:name="OLE_LINK23"/>
      <w:r/>
      <w:bookmarkStart w:id="98" w:name="OLE_LINK24"/>
      <w:r/>
      <w:bookmarkStart w:id="99" w:name="OLE_LINK21"/>
      <w:r>
        <w:rPr>
          <w:rFonts w:hint="eastAsia" w:ascii="宋体" w:hAnsi="宋体" w:eastAsia="宋体" w:cs="宋体"/>
          <w:b/>
          <w:color w:val="auto"/>
          <w:sz w:val="21"/>
          <w:szCs w:val="21"/>
          <w:highlight w:val="none"/>
          <w:lang w:val="zh-CN"/>
        </w:rPr>
        <w:t xml:space="preserve">备注:根据招标（</w:t>
      </w:r>
      <w:r>
        <w:rPr>
          <w:rFonts w:hint="eastAsia" w:ascii="宋体" w:hAnsi="宋体" w:eastAsia="宋体" w:cs="宋体"/>
          <w:b/>
          <w:color w:val="auto"/>
          <w:sz w:val="21"/>
          <w:szCs w:val="21"/>
          <w:highlight w:val="none"/>
          <w:lang w:val="en-US" w:eastAsia="zh-CN"/>
        </w:rPr>
        <w:t xml:space="preserve">采购）</w:t>
      </w:r>
      <w:r>
        <w:rPr>
          <w:rFonts w:hint="eastAsia" w:ascii="宋体" w:hAnsi="宋体" w:eastAsia="宋体" w:cs="宋体"/>
          <w:b/>
          <w:color w:val="auto"/>
          <w:sz w:val="21"/>
          <w:szCs w:val="21"/>
          <w:highlight w:val="none"/>
          <w:lang w:val="zh-CN"/>
        </w:rPr>
        <w:t xml:space="preserve">文件第二章“磋商须知”第</w:t>
      </w:r>
      <w:r>
        <w:rPr>
          <w:rFonts w:hint="eastAsia" w:ascii="宋体" w:hAnsi="宋体" w:cs="宋体"/>
          <w:b/>
          <w:color w:val="auto"/>
          <w:sz w:val="21"/>
          <w:szCs w:val="21"/>
          <w:highlight w:val="none"/>
          <w:lang w:val="en-US" w:eastAsia="zh-CN"/>
        </w:rPr>
        <w:t xml:space="preserve">11</w:t>
      </w:r>
      <w:r>
        <w:rPr>
          <w:rFonts w:hint="eastAsia" w:ascii="宋体" w:hAnsi="宋体" w:eastAsia="宋体" w:cs="宋体"/>
          <w:b/>
          <w:color w:val="auto"/>
          <w:sz w:val="21"/>
          <w:szCs w:val="21"/>
          <w:highlight w:val="none"/>
          <w:lang w:val="zh-CN"/>
        </w:rPr>
        <w:t xml:space="preserve">条要求，在评标过程中当出现投标</w:t>
      </w: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lang w:val="zh-CN"/>
        </w:rPr>
        <w:t xml:space="preserve">报价低于采购项目预算50%或者投标</w:t>
      </w: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lang w:val="zh-CN"/>
        </w:rPr>
        <w:t xml:space="preserve">报价低于采购项目最高限价45%或者评标委员会认定的供应商报价过低、有可能影响产品质量或者不能诚信履约的其他情形时,评标委员会应当启动异常低价投标审查程序。评标委员会应当要求投标</w:t>
      </w: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lang w:val="zh-CN"/>
        </w:rPr>
        <w:t xml:space="preserve">人出具书面说明及必要的证明材料，对投标</w:t>
      </w: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lang w:val="zh-CN"/>
        </w:rPr>
        <w:t xml:space="preserve">价格作出解释。书面说明、证明材料主要是项目具体成本测算等与报价合理性相关的说明、材料（例如进货合同及发票、往期类似项目合同报价清单、库存清单、仓库照片等，最终以评标委员会具体要求为准）。投标</w:t>
      </w: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lang w:val="zh-CN"/>
        </w:rPr>
        <w:t xml:space="preserve">人不能证明其报价合理性的，评标委员会应当将其作为无效投标</w:t>
      </w:r>
      <w:r>
        <w:rPr>
          <w:rFonts w:hint="eastAsia" w:ascii="宋体" w:hAnsi="宋体" w:eastAsia="宋体" w:cs="宋体"/>
          <w:b/>
          <w:color w:val="auto"/>
          <w:sz w:val="21"/>
          <w:szCs w:val="21"/>
          <w:highlight w:val="none"/>
          <w:lang w:val="en-US" w:eastAsia="zh-CN"/>
        </w:rPr>
        <w:t xml:space="preserve">（响应）</w:t>
      </w:r>
      <w:r>
        <w:rPr>
          <w:rFonts w:hint="eastAsia" w:ascii="宋体" w:hAnsi="宋体" w:eastAsia="宋体" w:cs="宋体"/>
          <w:b/>
          <w:color w:val="auto"/>
          <w:sz w:val="21"/>
          <w:szCs w:val="21"/>
          <w:highlight w:val="none"/>
          <w:lang w:val="zh-CN"/>
        </w:rPr>
        <w:t xml:space="preserve">处理。</w:t>
      </w:r>
      <w:bookmarkEnd w:id="97"/>
      <w:r/>
      <w:bookmarkEnd w:id="98"/>
      <w:r/>
      <w:bookmarkEnd w:id="99"/>
      <w:r/>
      <w:r/>
    </w:p>
    <w:p>
      <w:pPr>
        <w:ind w:firstLine="483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3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200"/>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lang w:val="zh-CN"/>
        </w:rPr>
        <w:t xml:space="preserve"> </w:t>
      </w:r>
      <w:r/>
    </w:p>
    <w:p>
      <w:pPr>
        <w:ind w:left="0" w:firstLine="21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Pr>
          <w:rFonts w:hint="eastAsia"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left="0"/>
        <w:rPr>
          <w:rFonts w:hint="eastAsia" w:ascii="宋体" w:hAnsi="宋体" w:eastAsia="宋体" w:cs="宋体"/>
          <w:b/>
          <w:color w:val="auto"/>
          <w:sz w:val="21"/>
          <w:szCs w:val="21"/>
          <w:highlight w:val="none"/>
          <w:lang w:val="en-US" w:eastAsia="zh-CN"/>
        </w:rPr>
        <w:outlineLvl w:val="0"/>
      </w:pPr>
      <w:r>
        <w:rPr>
          <w:rFonts w:hint="eastAsia" w:ascii="宋体" w:hAnsi="宋体" w:eastAsia="宋体" w:cs="宋体"/>
          <w:b/>
          <w:color w:val="auto"/>
          <w:sz w:val="21"/>
          <w:szCs w:val="21"/>
          <w:highlight w:val="none"/>
          <w:lang w:val="en-US" w:eastAsia="zh-CN"/>
        </w:rPr>
        <w:t xml:space="preserve"> </w:t>
      </w:r>
      <w:r/>
    </w:p>
    <w:p>
      <w:pPr>
        <w:ind w:left="0"/>
        <w:rPr>
          <w:rFonts w:ascii="宋体" w:hAnsi="宋体"/>
          <w:b/>
          <w:color w:val="auto"/>
          <w:sz w:val="21"/>
          <w:szCs w:val="21"/>
          <w:highlight w:val="none"/>
        </w:rPr>
        <w:outlineLvl w:val="0"/>
      </w:pPr>
      <w:r>
        <w:rPr>
          <w:rFonts w:ascii="宋体" w:hAnsi="宋体"/>
          <w:b/>
          <w:color w:val="auto"/>
          <w:sz w:val="21"/>
          <w:szCs w:val="21"/>
          <w:highlight w:val="none"/>
        </w:rPr>
      </w:r>
      <w:r/>
    </w:p>
    <w:p>
      <w:pPr>
        <w:ind w:left="0"/>
        <w:rPr>
          <w:rFonts w:ascii="宋体" w:hAnsi="宋体"/>
          <w:b/>
          <w:color w:val="auto"/>
          <w:sz w:val="21"/>
          <w:szCs w:val="21"/>
          <w:highlight w:val="none"/>
        </w:rPr>
        <w:outlineLvl w:val="0"/>
      </w:pPr>
      <w:r>
        <w:rPr>
          <w:rFonts w:ascii="宋体" w:hAnsi="宋体"/>
          <w:b/>
          <w:color w:val="auto"/>
          <w:sz w:val="21"/>
          <w:szCs w:val="21"/>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pStyle w:val="901"/>
        <w:rPr>
          <w:color w:val="auto"/>
          <w:highlight w:val="none"/>
        </w:rPr>
      </w:pPr>
      <w:r>
        <w:rPr>
          <w:color w:val="auto"/>
          <w:highlight w:val="none"/>
        </w:rPr>
      </w:r>
      <w:r/>
    </w:p>
    <w:p>
      <w:pPr>
        <w:ind w:left="0"/>
        <w:rPr>
          <w:rFonts w:ascii="宋体" w:hAnsi="宋体"/>
          <w:b/>
          <w:color w:val="auto"/>
          <w:sz w:val="21"/>
          <w:szCs w:val="21"/>
          <w:highlight w:val="none"/>
        </w:rPr>
        <w:outlineLvl w:val="0"/>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w:t>
      </w:r>
      <w:r>
        <w:rPr>
          <w:rFonts w:ascii="Times New Roman" w:hAnsi="Times New Roman"/>
          <w:b/>
          <w:color w:val="auto"/>
          <w:sz w:val="21"/>
          <w:highlight w:val="none"/>
        </w:rPr>
        <w:t xml:space="preserve">中小企业</w:t>
      </w:r>
      <w:r>
        <w:rPr>
          <w:rFonts w:ascii="宋体" w:hAnsi="宋体"/>
          <w:b/>
          <w:color w:val="auto"/>
          <w:sz w:val="21"/>
          <w:szCs w:val="21"/>
          <w:highlight w:val="none"/>
        </w:rPr>
        <w:t xml:space="preserve">声明函</w:t>
      </w:r>
      <w:bookmarkEnd w:id="94"/>
      <w:r/>
      <w:bookmarkEnd w:id="95"/>
      <w:r/>
      <w:bookmarkEnd w:id="96"/>
      <w:r/>
      <w:r/>
    </w:p>
    <w:p>
      <w:pPr>
        <w:ind w:left="0"/>
        <w:jc w:val="left"/>
        <w:spacing w:line="480" w:lineRule="exact"/>
        <w:rPr>
          <w:rFonts w:ascii="宋体" w:hAnsi="宋体"/>
          <w:b/>
          <w:color w:val="auto"/>
          <w:sz w:val="21"/>
          <w:szCs w:val="21"/>
          <w:highlight w:val="none"/>
        </w:rPr>
      </w:pPr>
      <w:r>
        <w:rPr>
          <w:rFonts w:ascii="宋体" w:hAnsi="宋体"/>
          <w:b/>
          <w:color w:val="auto"/>
          <w:sz w:val="21"/>
          <w:szCs w:val="21"/>
          <w:highlight w:val="none"/>
        </w:rPr>
      </w:r>
      <w:r/>
    </w:p>
    <w:p>
      <w:pPr>
        <w:ind w:left="0"/>
        <w:jc w:val="center"/>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中小企业声明函（服务）</w:t>
      </w:r>
      <w:r/>
    </w:p>
    <w:p>
      <w:pPr>
        <w:ind w:left="0"/>
        <w:jc w:val="left"/>
        <w:spacing w:line="480" w:lineRule="exact"/>
        <w:rPr>
          <w:rFonts w:ascii="宋体" w:hAnsi="宋体"/>
          <w:color w:val="auto"/>
          <w:sz w:val="21"/>
          <w:szCs w:val="21"/>
          <w:highlight w:val="none"/>
        </w:rPr>
      </w:pPr>
      <w:r>
        <w:rPr>
          <w:rFonts w:hint="eastAsia" w:ascii="宋体" w:hAnsi="宋体"/>
          <w:color w:val="auto"/>
          <w:sz w:val="21"/>
          <w:szCs w:val="21"/>
          <w:highlight w:val="none"/>
          <w:u w:val="single"/>
        </w:rPr>
        <w:t xml:space="preserve">苏州至贞招投标咨询服务有限公司：</w:t>
      </w:r>
      <w:r/>
    </w:p>
    <w:p>
      <w:pPr>
        <w:ind w:left="0" w:firstLine="420"/>
        <w:spacing w:line="480" w:lineRule="exact"/>
        <w:rPr>
          <w:rFonts w:ascii="宋体" w:hAnsi="宋体"/>
          <w:color w:val="auto"/>
          <w:sz w:val="21"/>
          <w:szCs w:val="21"/>
          <w:highlight w:val="none"/>
          <w:u w:val="singl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（采购文件中明确的所属行业）行业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913"/>
          <w:rFonts w:ascii="宋体" w:hAnsi="宋体"/>
          <w:color w:val="auto"/>
          <w:sz w:val="21"/>
          <w:szCs w:val="21"/>
          <w:highlight w:val="none"/>
        </w:rPr>
        <w:footnoteReference w:id="2"/>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s="宋体"/>
          <w:color w:val="auto"/>
          <w:sz w:val="21"/>
          <w:szCs w:val="21"/>
          <w:highlight w:val="none"/>
          <w:u w:val="single"/>
          <w:lang w:val="zh-CN"/>
        </w:rPr>
        <w:t xml:space="preserve">（</w:t>
      </w:r>
      <w:r>
        <w:rPr>
          <w:rFonts w:hint="eastAsia" w:ascii="宋体" w:hAnsi="宋体" w:cs="宋体"/>
          <w:color w:val="auto"/>
          <w:sz w:val="21"/>
          <w:szCs w:val="21"/>
          <w:highlight w:val="none"/>
          <w:u w:val="single"/>
        </w:rPr>
        <w:t xml:space="preserve">项目</w:t>
      </w:r>
      <w:r>
        <w:rPr>
          <w:rFonts w:hint="eastAsia" w:ascii="宋体" w:hAnsi="宋体" w:cs="宋体"/>
          <w:color w:val="auto"/>
          <w:sz w:val="21"/>
          <w:szCs w:val="21"/>
          <w:highlight w:val="none"/>
          <w:u w:val="single"/>
          <w:lang w:val="zh-CN"/>
        </w:rPr>
        <w:t xml:space="preserve">名称）</w:t>
      </w:r>
      <w:r>
        <w:rPr>
          <w:rFonts w:hint="eastAsia" w:ascii="宋体" w:hAnsi="宋体" w:cs="宋体"/>
          <w:color w:val="auto"/>
          <w:sz w:val="21"/>
          <w:szCs w:val="21"/>
          <w:highlight w:val="none"/>
          <w:lang w:val="zh-CN"/>
        </w:rPr>
        <w:t xml:space="preserve">，属于</w:t>
      </w:r>
      <w:r>
        <w:rPr>
          <w:rFonts w:hint="eastAsia" w:ascii="宋体" w:hAnsi="宋体" w:cs="宋体"/>
          <w:color w:val="auto"/>
          <w:sz w:val="21"/>
          <w:szCs w:val="21"/>
          <w:highlight w:val="none"/>
          <w:u w:val="single"/>
          <w:lang w:val="zh-CN"/>
        </w:rPr>
        <w:t xml:space="preserve">（采购文件中明确的所属行业）行业</w:t>
      </w:r>
      <w:r>
        <w:rPr>
          <w:rFonts w:hint="eastAsia" w:ascii="宋体" w:hAnsi="宋体" w:cs="宋体"/>
          <w:color w:val="auto"/>
          <w:sz w:val="21"/>
          <w:szCs w:val="21"/>
          <w:highlight w:val="none"/>
          <w:lang w:val="zh-CN"/>
        </w:rPr>
        <w:t xml:space="preserve">；承接企业为</w:t>
      </w:r>
      <w:r>
        <w:rPr>
          <w:rFonts w:hint="eastAsia" w:ascii="宋体" w:hAnsi="宋体" w:cs="宋体"/>
          <w:color w:val="auto"/>
          <w:sz w:val="21"/>
          <w:szCs w:val="21"/>
          <w:highlight w:val="none"/>
          <w:u w:val="single"/>
          <w:lang w:val="zh-CN"/>
        </w:rPr>
        <w:t xml:space="preserve">（企业名称）</w:t>
      </w:r>
      <w:r>
        <w:rPr>
          <w:rFonts w:hint="eastAsia" w:ascii="宋体" w:hAnsi="宋体" w:cs="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ascii="宋体" w:hAnsi="宋体"/>
          <w:color w:val="auto"/>
          <w:sz w:val="21"/>
          <w:szCs w:val="21"/>
          <w:highlight w:val="none"/>
        </w:rPr>
      </w:pPr>
      <w:r>
        <w:rPr>
          <w:rFonts w:ascii="宋体" w:hAnsi="宋体"/>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280" w:lineRule="exact"/>
        <w:rPr>
          <w:rFonts w:ascii="宋体" w:hAnsi="宋体"/>
          <w:b/>
          <w:color w:val="auto"/>
          <w:highlight w:val="none"/>
        </w:rPr>
      </w:pPr>
      <w:r>
        <w:rPr>
          <w:rFonts w:hint="eastAsia" w:ascii="宋体" w:hAnsi="宋体" w:cs="宋体"/>
          <w:b/>
          <w:bCs/>
          <w:color w:val="auto"/>
          <w:sz w:val="21"/>
          <w:szCs w:val="21"/>
          <w:highlight w:val="none"/>
        </w:rPr>
        <w:br w:type="page" w:clear="all"/>
      </w:r>
      <w:r>
        <w:rPr>
          <w:rFonts w:hint="eastAsia" w:ascii="宋体" w:hAnsi="宋体"/>
          <w:b/>
          <w:color w:val="auto"/>
          <w:highlight w:val="none"/>
        </w:rPr>
        <w:t xml:space="preserve">附：中小企业划型标准规定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b w:val="0"/>
          <w:bCs/>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（十六）</w:t>
      </w:r>
      <w:r>
        <w:rPr>
          <w:rFonts w:hint="eastAsia" w:ascii="宋体" w:hAnsi="宋体"/>
          <w:b/>
          <w:color w:val="auto"/>
          <w:highlight w:val="none"/>
          <w:lang w:eastAsia="zh-CN"/>
        </w:rPr>
        <w:t xml:space="preserve">其他未列明行业</w:t>
      </w:r>
      <w:r>
        <w:rPr>
          <w:rFonts w:hint="eastAsia" w:ascii="宋体" w:hAnsi="宋体"/>
          <w:b/>
          <w:color w:val="auto"/>
          <w:highlight w:val="none"/>
        </w:rPr>
        <w:t xml:space="preserve">。</w:t>
      </w:r>
      <w:r>
        <w:rPr>
          <w:rFonts w:hint="eastAsia" w:ascii="宋体" w:hAnsi="宋体"/>
          <w:b w:val="0"/>
          <w:bCs/>
          <w:color w:val="auto"/>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ind w:left="0"/>
        <w:rPr>
          <w:rFonts w:ascii="宋体" w:hAnsi="宋体" w:cs="宋体"/>
          <w:b/>
          <w:bCs/>
          <w:color w:val="auto"/>
          <w:sz w:val="21"/>
          <w:szCs w:val="21"/>
          <w:highlight w:val="none"/>
        </w:rPr>
        <w:outlineLvl w:val="0"/>
      </w:pPr>
      <w:r>
        <w:rPr>
          <w:rFonts w:hint="eastAsia" w:ascii="宋体" w:hAnsi="宋体" w:cs="宋体"/>
          <w:b/>
          <w:bCs/>
          <w:color w:val="auto"/>
          <w:sz w:val="21"/>
          <w:szCs w:val="21"/>
          <w:highlight w:val="none"/>
        </w:rPr>
        <w:br w:type="page" w:clear="all"/>
      </w:r>
      <w:bookmarkStart w:id="100" w:name="_Toc103258862"/>
      <w:r>
        <w:rPr>
          <w:rFonts w:hint="eastAsia" w:ascii="宋体" w:hAnsi="宋体" w:cs="宋体"/>
          <w:b/>
          <w:bCs/>
          <w:color w:val="auto"/>
          <w:sz w:val="21"/>
          <w:szCs w:val="21"/>
          <w:highlight w:val="none"/>
        </w:rPr>
        <w:t xml:space="preserve">附件1</w:t>
      </w: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w:t>
      </w:r>
      <w:r>
        <w:rPr>
          <w:rFonts w:hint="eastAsia" w:ascii="Times New Roman" w:hAnsi="Times New Roman"/>
          <w:b/>
          <w:color w:val="auto"/>
          <w:sz w:val="21"/>
          <w:highlight w:val="none"/>
        </w:rPr>
        <w:t xml:space="preserve">残疾人</w:t>
      </w:r>
      <w:r>
        <w:rPr>
          <w:rFonts w:hint="eastAsia" w:ascii="宋体" w:hAnsi="宋体" w:cs="宋体"/>
          <w:b/>
          <w:bCs/>
          <w:color w:val="auto"/>
          <w:sz w:val="21"/>
          <w:szCs w:val="21"/>
          <w:highlight w:val="none"/>
          <w:lang w:val="zh-CN"/>
        </w:rPr>
        <w:t xml:space="preserve">福利性单位声明函</w:t>
      </w:r>
      <w:bookmarkEnd w:id="100"/>
      <w:r/>
      <w:r/>
    </w:p>
    <w:p>
      <w:pPr>
        <w:ind w:left="0"/>
        <w:jc w:val="left"/>
        <w:spacing w:line="480" w:lineRule="exact"/>
        <w:rPr>
          <w:color w:val="auto"/>
          <w:sz w:val="21"/>
          <w:highlight w:val="none"/>
        </w:rPr>
      </w:pPr>
      <w:r>
        <w:rPr>
          <w:color w:val="auto"/>
          <w:sz w:val="21"/>
          <w:highlight w:val="none"/>
        </w:rPr>
      </w:r>
      <w:r/>
    </w:p>
    <w:p>
      <w:pPr>
        <w:ind w:left="0"/>
        <w:jc w:val="center"/>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ascii="宋体" w:hAnsi="宋体"/>
          <w:color w:val="auto"/>
          <w:sz w:val="21"/>
          <w:szCs w:val="21"/>
          <w:highlight w:val="none"/>
        </w:rPr>
      </w:pPr>
      <w:r/>
      <w:bookmarkStart w:id="101" w:name="_Toc32206"/>
      <w:r/>
      <w:bookmarkStart w:id="102" w:name="_Toc15378"/>
      <w:r/>
      <w:bookmarkStart w:id="103" w:name="_Toc3869"/>
      <w:r>
        <w:rPr>
          <w:rFonts w:hint="eastAsia" w:ascii="宋体" w:hAnsi="宋体"/>
          <w:color w:val="auto"/>
          <w:sz w:val="21"/>
          <w:szCs w:val="21"/>
          <w:highlight w:val="none"/>
          <w:u w:val="single"/>
          <w:lang w:val="zh-CN"/>
        </w:rPr>
        <w:t xml:space="preserve">苏州至贞招投标咨询服务有限公司</w:t>
      </w:r>
      <w:r>
        <w:rPr>
          <w:rFonts w:hint="eastAsia" w:ascii="宋体" w:hAnsi="宋体"/>
          <w:color w:val="auto"/>
          <w:sz w:val="21"/>
          <w:szCs w:val="21"/>
          <w:highlight w:val="none"/>
          <w:lang w:val="zh-CN"/>
        </w:rPr>
        <w:t xml:space="preserve">：</w:t>
      </w:r>
      <w:bookmarkEnd w:id="101"/>
      <w:r/>
      <w:bookmarkEnd w:id="102"/>
      <w:r/>
      <w:bookmarkEnd w:id="103"/>
      <w:r/>
      <w:r/>
    </w:p>
    <w:p>
      <w:pPr>
        <w:ind w:left="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highlight w:val="none"/>
          <w:lang w:val="zh-CN"/>
        </w:rPr>
        <w:t xml:space="preserve">贵</w:t>
      </w:r>
      <w:r>
        <w:rPr>
          <w:rFonts w:hint="eastAsia" w:ascii="宋体" w:hAnsi="宋体" w:cs="宋体"/>
          <w:color w:val="auto"/>
          <w:sz w:val="21"/>
          <w:szCs w:val="21"/>
          <w:highlight w:val="none"/>
          <w:lang w:val="en-US" w:eastAsia="zh-CN"/>
        </w:rPr>
        <w:t xml:space="preserve">单位</w:t>
      </w:r>
      <w:r>
        <w:rPr>
          <w:rFonts w:hint="eastAsia" w:ascii="宋体" w:hAnsi="宋体" w:cs="宋体"/>
          <w:color w:val="auto"/>
          <w:sz w:val="21"/>
          <w:szCs w:val="21"/>
          <w:highlight w:val="none"/>
          <w:lang w:val="zh-CN"/>
        </w:rPr>
        <w:t xml:space="preserve">组织实施的编号为</w:t>
      </w:r>
      <w:r>
        <w:rPr>
          <w:rFonts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号的采购活动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978"/>
        <w:spacing w:line="360" w:lineRule="auto"/>
        <w:rPr>
          <w:rFonts w:hAnsi="宋体"/>
          <w:color w:val="auto"/>
          <w:sz w:val="21"/>
          <w:szCs w:val="21"/>
          <w:highlight w:val="none"/>
        </w:rPr>
      </w:pPr>
      <w:r>
        <w:rPr>
          <w:rFonts w:hAnsi="宋体"/>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ind w:left="0" w:right="-200"/>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969"/>
        <w:rPr>
          <w:color w:val="auto"/>
          <w:highlight w:val="none"/>
        </w:rPr>
      </w:pPr>
      <w:r>
        <w:rPr>
          <w:color w:val="auto"/>
          <w:highlight w:val="none"/>
        </w:rPr>
      </w:r>
      <w:r/>
    </w:p>
    <w:p>
      <w:pPr>
        <w:pStyle w:val="969"/>
        <w:rPr>
          <w:color w:val="auto"/>
          <w:highlight w:val="none"/>
        </w:rPr>
      </w:pPr>
      <w:r>
        <w:rPr>
          <w:color w:val="auto"/>
          <w:highlight w:val="none"/>
        </w:rPr>
      </w:r>
      <w:r/>
    </w:p>
    <w:p>
      <w:pPr>
        <w:pStyle w:val="969"/>
        <w:rPr>
          <w:color w:val="auto"/>
          <w:highlight w:val="none"/>
        </w:rPr>
      </w:pPr>
      <w:r>
        <w:rPr>
          <w:color w:val="auto"/>
          <w:highlight w:val="none"/>
        </w:rPr>
      </w:r>
      <w:r/>
    </w:p>
    <w:p>
      <w:pPr>
        <w:pStyle w:val="969"/>
        <w:rPr>
          <w:color w:val="auto"/>
          <w:highlight w:val="none"/>
        </w:rPr>
      </w:pPr>
      <w:r>
        <w:rPr>
          <w:color w:val="auto"/>
          <w:highlight w:val="none"/>
        </w:rPr>
      </w:r>
      <w:r/>
    </w:p>
    <w:p>
      <w:pPr>
        <w:pStyle w:val="969"/>
        <w:rPr>
          <w:color w:val="auto"/>
          <w:highlight w:val="none"/>
        </w:rPr>
      </w:pPr>
      <w:r>
        <w:rPr>
          <w:color w:val="auto"/>
          <w:highlight w:val="none"/>
        </w:rPr>
      </w:r>
      <w:r/>
    </w:p>
    <w:p>
      <w:pPr>
        <w:pStyle w:val="969"/>
        <w:rPr>
          <w:color w:val="auto"/>
          <w:highlight w:val="none"/>
        </w:rPr>
      </w:pPr>
      <w:r>
        <w:rPr>
          <w:color w:val="auto"/>
          <w:highlight w:val="none"/>
        </w:rPr>
      </w:r>
      <w:r/>
    </w:p>
    <w:p>
      <w:pPr>
        <w:pStyle w:val="969"/>
        <w:rPr>
          <w:color w:val="auto"/>
          <w:highlight w:val="none"/>
        </w:rPr>
      </w:pPr>
      <w:r>
        <w:rPr>
          <w:color w:val="auto"/>
          <w:highlight w:val="none"/>
        </w:rPr>
      </w:r>
      <w:r/>
    </w:p>
    <w:p>
      <w:pPr>
        <w:pStyle w:val="969"/>
        <w:rPr>
          <w:color w:val="auto"/>
          <w:highlight w:val="none"/>
        </w:rPr>
      </w:pPr>
      <w:r>
        <w:rPr>
          <w:color w:val="auto"/>
          <w:highlight w:val="none"/>
        </w:rPr>
      </w:r>
      <w:r/>
    </w:p>
    <w:p>
      <w:pPr>
        <w:pStyle w:val="969"/>
        <w:rPr>
          <w:color w:val="auto"/>
          <w:highlight w:val="none"/>
        </w:rPr>
      </w:pPr>
      <w:r>
        <w:rPr>
          <w:color w:val="auto"/>
          <w:highlight w:val="none"/>
        </w:rPr>
      </w:r>
      <w:r/>
    </w:p>
    <w:p>
      <w:pPr>
        <w:pStyle w:val="969"/>
        <w:rPr>
          <w:color w:val="auto"/>
          <w:highlight w:val="none"/>
        </w:rPr>
      </w:pPr>
      <w:r>
        <w:rPr>
          <w:color w:val="auto"/>
          <w:highlight w:val="none"/>
        </w:rPr>
      </w:r>
      <w:r/>
    </w:p>
    <w:p>
      <w:pPr>
        <w:pStyle w:val="969"/>
        <w:rPr>
          <w:color w:val="auto"/>
          <w:highlight w:val="none"/>
        </w:rPr>
      </w:pPr>
      <w:r>
        <w:rPr>
          <w:color w:val="auto"/>
          <w:highlight w:val="none"/>
        </w:rPr>
      </w:r>
      <w:r/>
    </w:p>
    <w:p>
      <w:pPr>
        <w:pStyle w:val="969"/>
        <w:rPr>
          <w:color w:val="auto"/>
          <w:highlight w:val="none"/>
        </w:rPr>
      </w:pPr>
      <w:r>
        <w:rPr>
          <w:color w:val="auto"/>
          <w:highlight w:val="none"/>
        </w:rPr>
      </w:r>
      <w:r/>
    </w:p>
    <w:p>
      <w:pPr>
        <w:pStyle w:val="960"/>
        <w:ind w:left="400"/>
        <w:rPr>
          <w:color w:val="auto"/>
          <w:highlight w:val="none"/>
        </w:rPr>
      </w:pPr>
      <w:r>
        <w:rPr>
          <w:color w:val="auto"/>
          <w:highlight w:val="none"/>
        </w:rPr>
      </w:r>
      <w:r/>
    </w:p>
    <w:p>
      <w:pPr>
        <w:pStyle w:val="960"/>
        <w:ind w:left="400"/>
        <w:rPr>
          <w:color w:val="auto"/>
          <w:highlight w:val="none"/>
        </w:rPr>
      </w:pPr>
      <w:r>
        <w:rPr>
          <w:color w:val="auto"/>
          <w:highlight w:val="none"/>
        </w:rPr>
      </w:r>
      <w:r/>
    </w:p>
    <w:p>
      <w:pPr>
        <w:pStyle w:val="960"/>
        <w:ind w:left="400"/>
        <w:rPr>
          <w:color w:val="auto"/>
          <w:highlight w:val="none"/>
        </w:rPr>
      </w:pPr>
      <w:r>
        <w:rPr>
          <w:color w:val="auto"/>
          <w:highlight w:val="none"/>
        </w:rPr>
      </w:r>
      <w:r/>
    </w:p>
    <w:p>
      <w:pPr>
        <w:pStyle w:val="960"/>
        <w:ind w:left="400"/>
        <w:rPr>
          <w:color w:val="auto"/>
          <w:highlight w:val="none"/>
        </w:rPr>
      </w:pPr>
      <w:r>
        <w:rPr>
          <w:color w:val="auto"/>
          <w:highlight w:val="none"/>
        </w:rPr>
      </w:r>
      <w:r/>
    </w:p>
    <w:p>
      <w:pPr>
        <w:pStyle w:val="960"/>
        <w:ind w:left="400"/>
        <w:rPr>
          <w:color w:val="auto"/>
          <w:highlight w:val="none"/>
        </w:rPr>
      </w:pPr>
      <w:r>
        <w:rPr>
          <w:color w:val="auto"/>
          <w:highlight w:val="none"/>
        </w:rPr>
      </w:r>
      <w:r/>
    </w:p>
    <w:p>
      <w:pPr>
        <w:pStyle w:val="960"/>
        <w:ind w:left="400"/>
        <w:rPr>
          <w:color w:val="auto"/>
          <w:highlight w:val="none"/>
        </w:rPr>
      </w:pPr>
      <w:r>
        <w:rPr>
          <w:color w:val="auto"/>
          <w:highlight w:val="none"/>
        </w:rPr>
      </w:r>
      <w:r/>
    </w:p>
    <w:p>
      <w:pPr>
        <w:pStyle w:val="866"/>
        <w:ind w:left="0" w:firstLine="0"/>
        <w:jc w:val="center"/>
        <w:keepLines w:val="0"/>
        <w:keepNext w:val="0"/>
        <w:pageBreakBefore w:val="0"/>
        <w:spacing w:before="0" w:after="0" w:line="360" w:lineRule="auto"/>
        <w:widowControl/>
        <w:rPr>
          <w:rFonts w:hint="eastAsia"/>
          <w:b/>
          <w:color w:val="auto"/>
          <w:sz w:val="44"/>
          <w:szCs w:val="44"/>
          <w:highlight w:val="none"/>
        </w:rPr>
        <w:outlineLvl w:val="0"/>
      </w:pPr>
      <w:r/>
      <w:bookmarkStart w:id="104" w:name="_Toc103258865"/>
      <w:r/>
      <w:r/>
    </w:p>
    <w:p>
      <w:pPr>
        <w:pStyle w:val="866"/>
        <w:ind w:left="0" w:firstLine="0"/>
        <w:jc w:val="center"/>
        <w:keepLines w:val="0"/>
        <w:keepNext w:val="0"/>
        <w:pageBreakBefore w:val="0"/>
        <w:spacing w:before="0" w:after="0" w:line="360" w:lineRule="auto"/>
        <w:widowControl/>
        <w:rPr>
          <w:b/>
          <w:color w:val="auto"/>
          <w:sz w:val="44"/>
          <w:szCs w:val="44"/>
          <w:highlight w:val="none"/>
        </w:rPr>
        <w:outlineLvl w:val="0"/>
      </w:pPr>
      <w:r>
        <w:rPr>
          <w:rFonts w:hint="eastAsia"/>
          <w:b/>
          <w:color w:val="auto"/>
          <w:sz w:val="44"/>
          <w:szCs w:val="44"/>
          <w:highlight w:val="none"/>
        </w:rPr>
        <w:t xml:space="preserve">第四章</w:t>
      </w:r>
      <w:bookmarkEnd w:id="74"/>
      <w:r/>
      <w:bookmarkEnd w:id="75"/>
      <w:r/>
      <w:bookmarkEnd w:id="76"/>
      <w:r/>
      <w:bookmarkEnd w:id="77"/>
      <w:r/>
      <w:bookmarkStart w:id="105" w:name="招标书"/>
      <w:r/>
      <w:bookmarkEnd w:id="105"/>
      <w:r>
        <w:rPr>
          <w:b/>
          <w:color w:val="auto"/>
          <w:sz w:val="44"/>
          <w:szCs w:val="44"/>
          <w:highlight w:val="none"/>
        </w:rPr>
        <w:t xml:space="preserve"> </w:t>
      </w:r>
      <w:r>
        <w:rPr>
          <w:rFonts w:hint="eastAsia"/>
          <w:b/>
          <w:color w:val="auto"/>
          <w:sz w:val="44"/>
          <w:szCs w:val="44"/>
          <w:highlight w:val="none"/>
        </w:rPr>
        <w:t xml:space="preserve">采购内容</w:t>
      </w:r>
      <w:bookmarkEnd w:id="78"/>
      <w:r/>
      <w:bookmarkEnd w:id="79"/>
      <w:r/>
      <w:bookmarkEnd w:id="104"/>
      <w:r/>
      <w:r/>
    </w:p>
    <w:p>
      <w:pPr>
        <w:ind w:left="0" w:firstLine="420"/>
        <w:spacing w:line="360" w:lineRule="auto"/>
        <w:rPr>
          <w:rFonts w:ascii="宋体" w:hAnsi="宋体" w:cs="宋体"/>
          <w:color w:val="auto"/>
          <w:sz w:val="21"/>
          <w:szCs w:val="21"/>
          <w:highlight w:val="none"/>
        </w:rPr>
      </w:pPr>
      <w:r/>
      <w:bookmarkStart w:id="106" w:name="_Toc57376409"/>
      <w:r/>
      <w:bookmarkStart w:id="107" w:name="_Hlk55741158"/>
      <w:r/>
      <w:bookmarkStart w:id="108" w:name="_Toc11789"/>
      <w:r/>
      <w:bookmarkStart w:id="109" w:name="_Toc68611038"/>
      <w:r/>
      <w:bookmarkStart w:id="110" w:name="_Toc12719"/>
      <w:r/>
      <w:bookmarkStart w:id="111" w:name="_Toc5111"/>
      <w:r/>
      <w:bookmarkStart w:id="112" w:name="_Toc58248883"/>
      <w:r>
        <w:rPr>
          <w:rFonts w:hint="eastAsia" w:ascii="宋体" w:hAnsi="宋体" w:cs="宋体"/>
          <w:color w:val="auto"/>
          <w:sz w:val="21"/>
          <w:szCs w:val="21"/>
          <w:highlight w:val="none"/>
        </w:rPr>
        <w:t xml:space="preserve">苏州至贞招投标咨询服务有限公司受</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东吴国家森林公园管理中心（机关）</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的委托，就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生态公益林管护服务项目（2026年度）</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项目采用竞争性磋商方式进行采购，现欢迎符合相关条件的供应商参加本次磋商采购活动。</w:t>
      </w:r>
      <w:r/>
    </w:p>
    <w:p>
      <w:pPr>
        <w:numPr>
          <w:ilvl w:val="0"/>
          <w:numId w:val="3"/>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JSZC-320506-ZZZB-C2026-0002</w:t>
      </w:r>
      <w:r/>
    </w:p>
    <w:p>
      <w:pPr>
        <w:numPr>
          <w:ilvl w:val="0"/>
          <w:numId w:val="3"/>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生态公益林管护服务项目（2026年度）</w:t>
      </w:r>
      <w:r/>
    </w:p>
    <w:p>
      <w:pPr>
        <w:ind w:left="0" w:firstLine="420"/>
        <w:spacing w:line="360" w:lineRule="auto"/>
        <w:rPr>
          <w:rFonts w:ascii="Arial" w:hAnsi="Arial" w:eastAsia="Arial" w:cs="Arial"/>
          <w:color w:val="auto"/>
          <w:sz w:val="21"/>
          <w:szCs w:val="21"/>
          <w:highlight w:val="none"/>
        </w:rPr>
      </w:pPr>
      <w:r>
        <w:rPr>
          <w:rFonts w:hint="eastAsia" w:ascii="Arial" w:hAnsi="Arial" w:cs="Arial"/>
          <w:color w:val="auto"/>
          <w:sz w:val="21"/>
          <w:szCs w:val="21"/>
          <w:highlight w:val="none"/>
          <w:lang w:val="en-US" w:eastAsia="zh-CN"/>
        </w:rPr>
        <w:t xml:space="preserve">三</w:t>
      </w:r>
      <w:r>
        <w:rPr>
          <w:rFonts w:hint="eastAsia" w:ascii="Arial" w:hAnsi="Arial" w:eastAsia="Arial" w:cs="Arial"/>
          <w:color w:val="auto"/>
          <w:sz w:val="21"/>
          <w:szCs w:val="21"/>
          <w:highlight w:val="none"/>
        </w:rPr>
        <w:t xml:space="preserve">、采购内容：</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（一）项目概述 </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1、项目名称：生态公益林管护服务项目（2026年度）</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2、项目地点：苏州市吴中区东吴国家森林公园管理中心所管辖1.25947万亩生态公益林区域内（主要为七子山、穹窿山、灵岩山等地）。</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3、项目内容：在苏州市吴中区东吴国家森林公园管理中心所管辖1.25947万亩生态公益林区域内进行森林抚育、森林质量精准提升、林业有害生物防治、防火基础设施维护、可燃物清理等生态公益林管护服务工作。</w:t>
      </w:r>
      <w:r/>
    </w:p>
    <w:p>
      <w:pPr>
        <w:ind w:left="0" w:firstLine="420"/>
        <w:jc w:val="left"/>
        <w:spacing w:line="360" w:lineRule="auto"/>
        <w:widowControl w:val="off"/>
        <w:rPr>
          <w:rFonts w:ascii="宋体" w:hAnsi="宋体" w:cs="宋体"/>
          <w:color w:val="auto"/>
          <w:sz w:val="21"/>
          <w:szCs w:val="21"/>
          <w:highlight w:val="none"/>
        </w:rPr>
        <w:outlineLvl w:val="1"/>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合同履行期限：</w:t>
      </w:r>
      <w:r>
        <w:rPr>
          <w:rFonts w:hint="eastAsia" w:ascii="宋体" w:hAnsi="宋体" w:cs="宋体"/>
          <w:color w:val="auto"/>
          <w:sz w:val="21"/>
          <w:szCs w:val="21"/>
          <w:highlight w:val="none"/>
          <w:lang w:val="en-US" w:eastAsia="zh-CN" w:bidi="ar"/>
        </w:rPr>
        <w:t xml:space="preserve">合同签订之日起至2026年12月31日或服务期限按实结算后合同总金额上限达到成交总价，以金额上限及合同期限先到者为准。</w:t>
      </w:r>
      <w:r>
        <w:rPr>
          <w:rFonts w:hint="eastAsia" w:ascii="宋体" w:hAnsi="宋体" w:cs="宋体"/>
          <w:color w:val="auto"/>
          <w:sz w:val="21"/>
          <w:szCs w:val="21"/>
          <w:highlight w:val="none"/>
          <w:lang w:eastAsia="zh-CN" w:bidi="ar"/>
        </w:rPr>
        <w:t xml:space="preserve">（具体起始时间以</w:t>
      </w:r>
      <w:r>
        <w:rPr>
          <w:rFonts w:hint="eastAsia" w:ascii="宋体" w:hAnsi="宋体" w:cs="宋体"/>
          <w:color w:val="auto"/>
          <w:sz w:val="21"/>
          <w:szCs w:val="21"/>
          <w:highlight w:val="none"/>
          <w:lang w:val="en-US" w:eastAsia="zh-CN" w:bidi="ar"/>
        </w:rPr>
        <w:t xml:space="preserve">采购方通知</w:t>
      </w:r>
      <w:r>
        <w:rPr>
          <w:rFonts w:hint="eastAsia" w:ascii="宋体" w:hAnsi="宋体" w:cs="宋体"/>
          <w:color w:val="auto"/>
          <w:sz w:val="21"/>
          <w:szCs w:val="21"/>
          <w:highlight w:val="none"/>
          <w:lang w:eastAsia="zh-CN" w:bidi="ar"/>
        </w:rPr>
        <w:t xml:space="preserve">为准）</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（二）具体服务内容：</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1、森林抚育</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2、森林质量精准提升：七子山、天平山、寒山岭、穹窿山等管辖区域内森林质量精准提升（环境清理提升、绿化造林、播种草花等）</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3、林业有害生物防治：管辖区域内葛藤清理、松材线虫病枯死树清理、加拿大一枝黄花清理等</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七子山防火基础设施维护、可燃物清理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七子山林区复绿、可燃物清理、防火通道维护、环境整治等</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灵天线防火基础设施维护、可燃物清理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灵天线林区复绿、可燃物清理、防火通道维护、环境整治等</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穹窿山等林区防火基础设施维护、可燃物清理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穹窿山等林区复绿、可燃物清理、防火通道维护、环境整治等</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（三）服务标准与要求：</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对东吴国家森林公园管理中心（吴中林场）下辖林区内指定区域（一般为防火通道两侧、蓄水池周边、公墓散坟周边等林下可燃物富集或林火高危区域）定期（一般同一区域一年开展两次）开展林下可燃物进行集中清理，开辟一定范围的可燃物隔离区域，降低该区域森林火灾发生的可能性。尤其针对墓葬群集中区域及人员流动频繁等重点区域范围内杂草灌木、枯枝落叶、病树枯木、一枝黄花、垃圾废弃物等可燃物、易燃物进行集中清理。</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严格按照《中华人民共和国森林法》和国务院《森林病虫害防治条例》《植物检疫条例》、《江苏省林业有害生物防控办法》等有关法律、法规开展林业有害生物防治工作。以保护生物多样性，保障森林、林木健康，维护生态安全为原则，对辖区内生态公益林开展巡查、监测林业有害生物等工作，发现对林业植物及其产品和森林生态环境造成危害的林业有害生物及时上报甲方，并配合甲方开展林业有害生物除治工作，确保森林生态安全。</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3、抚育方式和技术要求</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严格按照法律法规和《森林抚育规程》、《森林采伐作业规程》、《生态公益林建设技术规程》、《森林抚育补贴试点管理办法》等相关技术标准开展森林抚育工作。</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（1）抚育间伐</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a.透光伐:在幼龄林中进行。按照确定的保留株数，间密留疏，去劣留优，保留珍贵树种和优质树木，调整林分结构。</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生态疏伐:在特用林和防护林的中龄林中进行。按照有利于林冠形成梯级郁闭、主林层和次林层立木都能受光的要求，将林木分为优良木、有益木和伐除木。保留优良木、有益木和适量的灌木。对风景林的景观疏伐，按《生态公益林建设 技术规程》（GB/T18337.3—2001）中的5.2.1.2.4条规定执行。</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c.生长伐:在用材林的中龄林中进行。采用上层抚育、下层抚育、综合抚育等方式，伐除影响保留木生长的树木，具体技术执行《森林抚育规程》（GB/T15871—2009）中的8.1—8.5条规定。</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d.卫生伐:主要对遭受病虫害、风折、风倒、冰冻、雪压、森林火灾等灾害的林分开展，清除生态功能明显降低的被害木。</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e.抚育强度:抚育作业后，人工林郁闭度不得低于0.6，天然林郁闭度不得低于0.5，林分平均胸径不得低于伐前林分平均胸径。</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（2）修枝</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主要在自然整枝不良、通风透光不畅的林分中进行。一般采取平切法，重点针对枝条、死枝过多的林木。修枝高度幼龄林不超过树高的1/3，中龄林不超过树高的1/2。</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（3）割灌</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在下木生长旺盛、与林木生长争水争肥严重的中幼龄林中进行。采取机割、人割等不同方式，清除妨碍树木生长的灌木、藤条和杂草。作业时，注重保护珍稀濒危树木，以及有生长潜力的幼树、幼苗，以有利于调整林分密度和结构。</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（4）抚育材及抚育剩余物处理</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抚育材及抚育作业剩余物应按照森林病虫害防治、环境保护等要求，采取堆集、平铺或运出等适当方式予以处理。</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（五）简易作业道修建</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根据抚育作业需求，修建简易的集材道、作业道、临时楞场，密度、布局和技术要求参照《森林采伐作业规程》（LY/T1646—2005）等规定执行。</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4、绿化造林要求</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绿化造林过程中严格按照《造林技术规程》要求，种子、苗木均不来源于疫区，做好作业小班、地段的林地清理，创造有利于保留木、新植树苗的生长环境。当年苗木成活率达到100%。</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（四）其他要求：</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乙方必须承诺为本项目投入核载8T及以上水车一辆、核载1.5T及以上清运卡车一辆、割灌机五台、绿篱机五台、背带式吹风机一台、油锯两把、汽油泵三台、2.5寸汽水泵三台及依维格一辆。乙方按照服务内容要求将相关车辆、工具设备、安全设施等配备到位，满足日常管护服务及应急服务需求。</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2、作业过程中做好护林防火与施工安全工作。作业过程中无违规操作现象，无安全事故。</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3、人员配备要求：</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1)、需配备项目负责人1人（具有高级工职称），负责与甲方对接工作内容，安排工作等。资料员1名，负责日常资料整理等工作。项目经理与资料员不参与合同金额结算。</w:t>
      </w:r>
      <w:r/>
    </w:p>
    <w:p>
      <w:pPr>
        <w:ind w:left="0" w:firstLine="420"/>
        <w:spacing w:line="360" w:lineRule="auto"/>
        <w:tabs>
          <w:tab w:val="left" w:pos="420" w:leader="none"/>
          <w:tab w:val="left" w:pos="540"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2)、服务面积1.25947万亩生态公益林，根据往年工作实际情况，1月-12月每月平均约需工作25日，每月约需550工，根据现场实际工作需要综合调整。</w:t>
      </w:r>
      <w:r/>
    </w:p>
    <w:p>
      <w:pPr>
        <w:ind w:left="0" w:firstLine="420"/>
        <w:spacing w:line="360" w:lineRule="auto"/>
        <w:tabs>
          <w:tab w:val="left" w:pos="420" w:leader="none"/>
          <w:tab w:val="left" w:pos="540"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中专业技术工人不少于8人。技术男工不少于5人，主要从事枯死树清理（使用油锯）、修枝、苗木种植指导、树木移栽指导、开车等专业技术工作；技术女工不少于3人，主要从事生物防火隔离带抚育、草花播种、灌木种植指导、除虫指导等专业技术工作；普通男工不少于6人，主要协助技术工人从事修枝、割灌、苗木种植、移栽、浇水、施肥、除草、打药、林地整理等普通工作；普通女工不少于4人，主要协助技术工人从事生物防火隔离带抚育、草花播种、灌木种植、浇水、施肥、除草、打药、林地整理等普通工作。</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进驻人员数量由甲乙双方现场确认</w:t>
      </w:r>
      <w:r/>
    </w:p>
    <w:p>
      <w:pPr>
        <w:ind w:left="0" w:firstLine="0"/>
        <w:spacing w:line="360" w:lineRule="auto"/>
        <w:rPr>
          <w:rFonts w:hint="eastAsia" w:ascii="Arial" w:hAnsi="Arial" w:eastAsia="Arial" w:cs="Arial"/>
          <w:color w:val="auto"/>
          <w:sz w:val="21"/>
          <w:szCs w:val="21"/>
          <w:highlight w:val="none"/>
        </w:rPr>
      </w:pPr>
      <w:r>
        <w:rPr>
          <w:rFonts w:hint="eastAsia" w:ascii="Arial" w:hAnsi="Arial" w:cs="Arial"/>
          <w:color w:val="auto"/>
          <w:sz w:val="21"/>
          <w:szCs w:val="21"/>
          <w:highlight w:val="none"/>
          <w:lang w:val="en-US" w:eastAsia="zh-CN"/>
        </w:rPr>
        <w:t xml:space="preserve">四</w:t>
      </w:r>
      <w:r>
        <w:rPr>
          <w:rFonts w:hint="eastAsia" w:ascii="Arial" w:hAnsi="Arial" w:eastAsia="Arial" w:cs="Arial"/>
          <w:color w:val="auto"/>
          <w:sz w:val="21"/>
          <w:szCs w:val="21"/>
          <w:highlight w:val="none"/>
        </w:rPr>
        <w:t xml:space="preserve">、综合说明</w:t>
      </w:r>
      <w:r/>
    </w:p>
    <w:p>
      <w:pPr>
        <w:ind w:left="0"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此次响应报价应包括但</w:t>
      </w:r>
      <w:r>
        <w:rPr>
          <w:rFonts w:hint="eastAsia" w:ascii="宋体" w:hAnsi="宋体" w:eastAsia="宋体" w:cs="宋体"/>
          <w:color w:val="auto"/>
          <w:sz w:val="21"/>
          <w:szCs w:val="21"/>
          <w:highlight w:val="none"/>
        </w:rPr>
        <w:t xml:space="preserve">不限于为完成本合同工作所需的服务管理内容、耗材、通讯、办公设备、器材、各种税费、人工、保险、劳保、代理服务费、利润、税金、政策性文件规定及合同包含的所有风险、责任等各项应有费用</w:t>
      </w:r>
      <w:r>
        <w:rPr>
          <w:rFonts w:hint="eastAsia" w:ascii="宋体" w:hAnsi="宋体" w:eastAsia="宋体"/>
          <w:color w:val="auto"/>
          <w:sz w:val="24"/>
          <w:szCs w:val="24"/>
          <w:highlight w:val="none"/>
          <w:lang w:eastAsia="zh-CN"/>
        </w:rPr>
        <w:t xml:space="preserve">，</w:t>
      </w:r>
      <w:r>
        <w:rPr>
          <w:rFonts w:hint="eastAsia" w:ascii="宋体" w:hAnsi="宋体" w:cs="宋体"/>
          <w:color w:val="auto"/>
          <w:sz w:val="21"/>
          <w:szCs w:val="21"/>
          <w:highlight w:val="none"/>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成交单位将根据采购文件、响应文件的相关约定，承担合同责任，履行合同义务。</w:t>
      </w:r>
      <w:r/>
    </w:p>
    <w:p>
      <w:pPr>
        <w:ind w:left="0" w:firstLine="0"/>
        <w:spacing w:line="360" w:lineRule="auto"/>
        <w:rPr>
          <w:rFonts w:hint="eastAsia" w:ascii="Arial" w:hAnsi="Arial" w:eastAsia="宋体" w:cs="Arial"/>
          <w:color w:val="auto"/>
          <w:sz w:val="21"/>
          <w:szCs w:val="21"/>
          <w:highlight w:val="none"/>
          <w:lang w:val="en-US" w:eastAsia="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响应单位应保证在本项目使用的任何产品（包括部分使用）时，不会产生因第三方提出侵犯其专利权、商标权或其它知识产权而引起的法律和经济纠纷，如因专利权、商标权或其它知识产权而引起法律和经</w:t>
      </w:r>
      <w:r>
        <w:rPr>
          <w:rFonts w:hint="eastAsia" w:ascii="Arial" w:hAnsi="Arial" w:eastAsia="宋体" w:cs="Arial"/>
          <w:color w:val="auto"/>
          <w:sz w:val="21"/>
          <w:szCs w:val="21"/>
          <w:highlight w:val="none"/>
          <w:lang w:val="en-US" w:eastAsia="zh-CN"/>
        </w:rPr>
        <w:t xml:space="preserve">济纠纷，由响应单位承担所有相关责任。</w:t>
      </w:r>
      <w:r/>
    </w:p>
    <w:p>
      <w:pPr>
        <w:ind w:left="0"/>
        <w:jc w:val="center"/>
        <w:spacing w:line="360" w:lineRule="auto"/>
        <w:rPr>
          <w:b/>
          <w:color w:val="auto"/>
          <w:sz w:val="44"/>
          <w:szCs w:val="44"/>
          <w:highlight w:val="none"/>
        </w:rPr>
      </w:pPr>
      <w:r>
        <w:rPr>
          <w:rFonts w:hint="eastAsia" w:ascii="宋体" w:hAnsi="宋体" w:cs="宋体"/>
          <w:b/>
          <w:color w:val="auto"/>
          <w:sz w:val="21"/>
          <w:szCs w:val="21"/>
          <w:highlight w:val="none"/>
        </w:rPr>
        <w:br w:type="page" w:clear="all"/>
      </w:r>
      <w:bookmarkStart w:id="113" w:name="_Toc103258866"/>
      <w:r>
        <w:rPr>
          <w:rFonts w:hint="eastAsia"/>
          <w:b/>
          <w:color w:val="auto"/>
          <w:sz w:val="44"/>
          <w:szCs w:val="44"/>
          <w:highlight w:val="none"/>
        </w:rPr>
        <w:t xml:space="preserve">第五章 </w:t>
      </w:r>
      <w:bookmarkStart w:id="114" w:name="合同的特殊条款"/>
      <w:r/>
      <w:bookmarkEnd w:id="114"/>
      <w:r>
        <w:rPr>
          <w:rFonts w:hint="eastAsia"/>
          <w:b/>
          <w:color w:val="auto"/>
          <w:sz w:val="44"/>
          <w:szCs w:val="44"/>
          <w:highlight w:val="none"/>
        </w:rPr>
        <w:t xml:space="preserve">合同及主要条款</w:t>
      </w:r>
      <w:bookmarkEnd w:id="106"/>
      <w:r/>
      <w:bookmarkEnd w:id="107"/>
      <w:r/>
      <w:bookmarkEnd w:id="108"/>
      <w:r/>
      <w:bookmarkEnd w:id="109"/>
      <w:r/>
      <w:bookmarkEnd w:id="110"/>
      <w:r/>
      <w:bookmarkEnd w:id="111"/>
      <w:r/>
      <w:bookmarkEnd w:id="112"/>
      <w:r/>
      <w:bookmarkEnd w:id="113"/>
      <w:r/>
      <w:r/>
    </w:p>
    <w:p>
      <w:pPr>
        <w:ind w:left="0"/>
        <w:jc w:val="center"/>
        <w:rPr>
          <w:b/>
          <w:color w:val="auto"/>
          <w:sz w:val="32"/>
          <w:szCs w:val="32"/>
          <w:highlight w:val="none"/>
        </w:rPr>
      </w:pPr>
      <w:r/>
      <w:bookmarkStart w:id="115" w:name="_Toc32730"/>
      <w:r/>
      <w:bookmarkStart w:id="116" w:name="_Toc57376410"/>
      <w:r/>
      <w:bookmarkStart w:id="117" w:name="_Toc27667"/>
      <w:r/>
      <w:bookmarkStart w:id="118" w:name="_Toc8564"/>
      <w:r/>
      <w:bookmarkStart w:id="119" w:name="_Toc58248884"/>
      <w:r>
        <w:rPr>
          <w:rFonts w:hint="eastAsia"/>
          <w:b/>
          <w:color w:val="auto"/>
          <w:sz w:val="32"/>
          <w:szCs w:val="32"/>
          <w:highlight w:val="none"/>
        </w:rPr>
        <w:t xml:space="preserve">政府采购合同</w:t>
      </w:r>
      <w:r/>
    </w:p>
    <w:p>
      <w:pPr>
        <w:ind w:left="0"/>
        <w:jc w:val="left"/>
        <w:spacing w:line="360" w:lineRule="auto"/>
        <w:rPr>
          <w:rFonts w:ascii="宋体" w:hAnsi="宋体"/>
          <w:b/>
          <w:color w:val="auto"/>
          <w:sz w:val="21"/>
          <w:highlight w:val="none"/>
        </w:rPr>
      </w:pPr>
      <w:r>
        <w:rPr>
          <w:rFonts w:hint="eastAsia" w:ascii="宋体" w:hAnsi="宋体"/>
          <w:b/>
          <w:color w:val="auto"/>
          <w:sz w:val="21"/>
          <w:highlight w:val="none"/>
        </w:rPr>
        <w:t xml:space="preserve">项目名称：</w:t>
      </w:r>
      <w:r/>
    </w:p>
    <w:p>
      <w:pPr>
        <w:ind w:left="0"/>
        <w:jc w:val="left"/>
        <w:spacing w:line="360" w:lineRule="auto"/>
        <w:rPr>
          <w:rFonts w:ascii="宋体" w:hAnsi="宋体"/>
          <w:b/>
          <w:color w:val="auto"/>
          <w:sz w:val="21"/>
          <w:highlight w:val="none"/>
        </w:rPr>
      </w:pPr>
      <w:r>
        <w:rPr>
          <w:rFonts w:hint="eastAsia" w:ascii="宋体" w:hAnsi="宋体"/>
          <w:b/>
          <w:color w:val="auto"/>
          <w:sz w:val="21"/>
          <w:highlight w:val="none"/>
        </w:rPr>
        <w:t xml:space="preserve">项目编号：</w:t>
      </w:r>
      <w:r/>
    </w:p>
    <w:p>
      <w:pPr>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甲方：</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ascii="宋体" w:hAnsi="宋体"/>
          <w:color w:val="auto"/>
          <w:sz w:val="21"/>
          <w:highlight w:val="none"/>
        </w:rPr>
      </w:pPr>
      <w:r>
        <w:rPr>
          <w:rFonts w:ascii="宋体" w:hAnsi="宋体"/>
          <w:color w:val="auto"/>
          <w:sz w:val="21"/>
          <w:highlight w:val="none"/>
        </w:rPr>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乙方：</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ascii="宋体" w:hAnsi="宋体"/>
          <w:color w:val="auto"/>
          <w:sz w:val="21"/>
          <w:highlight w:val="none"/>
        </w:rPr>
      </w:pPr>
      <w:r>
        <w:rPr>
          <w:rFonts w:hint="eastAsia" w:ascii="宋体" w:hAnsi="宋体"/>
          <w:color w:val="auto"/>
          <w:sz w:val="21"/>
          <w:highlight w:val="none"/>
        </w:rPr>
        <w:t xml:space="preserve">电话：</w:t>
      </w:r>
      <w:r/>
    </w:p>
    <w:p>
      <w:pPr>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根据《中华人民共和国民法典》和《中华人民共和国政府采购法》等有关法律法规，为明确采购单位（甲方）和供应单位（乙方）</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rPr>
        <w:t xml:space="preserve">过程中的权利、义务和经济责任，双方遵循平等、自愿、公平和诚实信用原则，经友好协商，同意按照下面的条款和条件订立本合同，以资共同遵守。</w:t>
      </w:r>
      <w:r/>
    </w:p>
    <w:p>
      <w:pPr>
        <w:ind w:left="0"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一、合同内容</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1、乙方负责甲方的</w:t>
      </w:r>
      <w:r>
        <w:rPr>
          <w:rFonts w:hint="eastAsia" w:ascii="宋体" w:hAnsi="宋体" w:cs="宋体"/>
          <w:color w:val="auto"/>
          <w:sz w:val="21"/>
          <w:szCs w:val="21"/>
          <w:highlight w:val="none"/>
          <w:lang w:eastAsia="zh-CN"/>
        </w:rPr>
        <w:t xml:space="preserve">生态公益林管护服务项目（2026年度）</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TW"/>
        </w:rPr>
        <w:t xml:space="preserve">、下列文件为本合同不可分割部分：</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TW"/>
        </w:rPr>
        <w:t xml:space="preserve">1.1</w:t>
      </w:r>
      <w:r>
        <w:rPr>
          <w:rFonts w:hint="eastAsia" w:ascii="宋体" w:hAnsi="宋体" w:cs="宋体"/>
          <w:color w:val="auto"/>
          <w:sz w:val="21"/>
          <w:szCs w:val="21"/>
          <w:highlight w:val="none"/>
        </w:rPr>
        <w:t xml:space="preserve">成交</w:t>
      </w:r>
      <w:r>
        <w:rPr>
          <w:rFonts w:hint="eastAsia" w:ascii="宋体" w:hAnsi="宋体" w:cs="宋体"/>
          <w:color w:val="auto"/>
          <w:sz w:val="21"/>
          <w:szCs w:val="21"/>
          <w:highlight w:val="none"/>
          <w:lang w:val="zh-TW"/>
        </w:rPr>
        <w:t xml:space="preserve">通知书；</w:t>
      </w:r>
      <w:r/>
    </w:p>
    <w:p>
      <w:p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TW"/>
        </w:rPr>
        <w:t xml:space="preserve">1.2乙方的</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rPr>
        <w:t xml:space="preserve">文件；</w:t>
      </w:r>
      <w:r/>
    </w:p>
    <w:p>
      <w:pPr>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TW"/>
        </w:rPr>
        <w:t xml:space="preserve">1.3乙方在招投标过程中所作的其它承诺、声明、书面澄清等；</w:t>
      </w:r>
      <w:r/>
    </w:p>
    <w:p>
      <w:pPr>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TW"/>
        </w:rPr>
        <w:t xml:space="preserve">1.4</w:t>
      </w:r>
      <w:r>
        <w:rPr>
          <w:rFonts w:hint="eastAsia" w:ascii="宋体" w:hAnsi="宋体" w:cs="宋体"/>
          <w:color w:val="auto"/>
          <w:sz w:val="21"/>
          <w:szCs w:val="21"/>
          <w:highlight w:val="none"/>
        </w:rPr>
        <w:t xml:space="preserve">采购</w:t>
      </w:r>
      <w:r>
        <w:rPr>
          <w:rFonts w:hint="eastAsia" w:ascii="宋体" w:hAnsi="宋体" w:cs="宋体"/>
          <w:color w:val="auto"/>
          <w:sz w:val="21"/>
          <w:szCs w:val="21"/>
          <w:highlight w:val="none"/>
          <w:lang w:val="zh-TW"/>
        </w:rPr>
        <w:t xml:space="preserve">文件及其附件；</w:t>
      </w:r>
      <w:r/>
    </w:p>
    <w:p>
      <w:pPr>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TW"/>
        </w:rPr>
        <w:t xml:space="preserve">1.5合同附件。</w:t>
      </w:r>
      <w:r/>
    </w:p>
    <w:p>
      <w:pPr>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TW" w:eastAsia="zh-TW"/>
        </w:rPr>
        <w:t xml:space="preserve">以上与本合同具有同等法律效力。</w:t>
      </w:r>
      <w:r/>
    </w:p>
    <w:p>
      <w:pPr>
        <w:ind w:left="0" w:firstLine="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二、价格及结算：</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1、合同价格：</w:t>
      </w:r>
      <w:r>
        <w:rPr>
          <w:rFonts w:hint="eastAsia" w:ascii="宋体" w:hAnsi="宋体" w:eastAsia="宋体" w:cs="宋体"/>
          <w:color w:val="auto"/>
          <w:sz w:val="21"/>
          <w:szCs w:val="21"/>
          <w:highlight w:val="none"/>
          <w:lang w:val="en-US" w:eastAsia="zh-CN"/>
        </w:rPr>
        <w:t xml:space="preserve">结算金额按单价清单中单价*乙方报价*实际发生量</w:t>
      </w:r>
      <w:r>
        <w:rPr>
          <w:rFonts w:hint="eastAsia" w:ascii="宋体" w:hAnsi="宋体" w:eastAsia="宋体" w:cs="宋体"/>
          <w:color w:val="auto"/>
          <w:sz w:val="21"/>
          <w:szCs w:val="21"/>
          <w:highlight w:val="none"/>
        </w:rPr>
        <w:t xml:space="preserve">。合同最终价格不得超过年采购概预算（￥</w:t>
      </w:r>
      <w:r>
        <w:rPr>
          <w:rFonts w:hint="eastAsia" w:ascii="宋体" w:hAnsi="宋体" w:cs="宋体"/>
          <w:color w:val="auto"/>
          <w:sz w:val="21"/>
          <w:szCs w:val="21"/>
          <w:highlight w:val="none"/>
          <w:lang w:val="en-US" w:eastAsia="zh-CN"/>
        </w:rPr>
        <w:t xml:space="preserve">1303950</w:t>
      </w:r>
      <w:r>
        <w:rPr>
          <w:rFonts w:hint="eastAsia" w:ascii="宋体" w:hAnsi="宋体" w:eastAsia="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注：清单未涉及项目经甲乙双方确认后的单价*乙方报价*实际发生量结算 </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费用结算：按</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rPr>
        <w:t xml:space="preserve">度结算，</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rPr>
        <w:t xml:space="preserve">度结束后根据双方确定工作量结算服务费用，响应单位需提供相应金额发票，凭合法有效票据通过银行转账支付。</w:t>
      </w:r>
      <w:r>
        <w:rPr>
          <w:rFonts w:hint="eastAsia" w:ascii="宋体" w:hAnsi="宋体" w:eastAsia="宋体" w:cs="宋体"/>
          <w:color w:val="auto"/>
          <w:sz w:val="21"/>
          <w:szCs w:val="21"/>
          <w:highlight w:val="none"/>
          <w:lang w:val="en-US" w:eastAsia="zh-CN"/>
        </w:rPr>
        <w:t xml:space="preserve">实际支付金额及时间以吴中区财政拨付为准。（关于项目预付款，</w:t>
      </w:r>
      <w:r>
        <w:rPr>
          <w:rFonts w:hint="eastAsia" w:ascii="宋体" w:hAnsi="宋体" w:eastAsia="宋体" w:cs="宋体"/>
          <w:color w:val="auto"/>
          <w:sz w:val="21"/>
          <w:szCs w:val="21"/>
          <w:highlight w:val="none"/>
        </w:rPr>
        <w:t xml:space="preserve">在签订合同时，</w:t>
      </w:r>
      <w:r>
        <w:rPr>
          <w:rFonts w:hint="eastAsia" w:ascii="宋体" w:hAnsi="宋体" w:eastAsia="宋体" w:cs="宋体"/>
          <w:color w:val="auto"/>
          <w:sz w:val="21"/>
          <w:szCs w:val="21"/>
          <w:highlight w:val="none"/>
          <w:lang w:val="en-US" w:eastAsia="zh-CN"/>
        </w:rPr>
        <w:t xml:space="preserve">甲方可向乙方支付合同金额的10%作为预付款，但</w:t>
      </w:r>
      <w:r>
        <w:rPr>
          <w:rFonts w:hint="eastAsia" w:ascii="宋体" w:hAnsi="宋体" w:eastAsia="宋体" w:cs="宋体"/>
          <w:color w:val="auto"/>
          <w:sz w:val="21"/>
          <w:szCs w:val="21"/>
          <w:highlight w:val="none"/>
        </w:rPr>
        <w:t xml:space="preserve">乙方明确表示无需预付款或者主动要求降低预付款比例的，甲方可不适用关于预付款的规定。具体实施要求按苏财购【2020】52号：一、建立政府采购资金预付款制度的相关规定。</w:t>
      </w:r>
      <w:r>
        <w:rPr>
          <w:rFonts w:hint="eastAsia" w:ascii="宋体" w:hAnsi="宋体" w:eastAsia="宋体" w:cs="宋体"/>
          <w:color w:val="auto"/>
          <w:sz w:val="21"/>
          <w:szCs w:val="21"/>
          <w:highlight w:val="none"/>
          <w:lang w:val="en-US" w:eastAsia="zh-CN"/>
        </w:rPr>
        <w:t xml:space="preserve">）</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3、合同签订之日起至2026年12月31日或服务期限按实结算后合同总金额上限达到成交总价，以金额上限及合同期限先到者为准。(具体以采购方通知为准)。</w:t>
      </w:r>
      <w:r/>
    </w:p>
    <w:p>
      <w:pPr>
        <w:ind w:left="0" w:firstLine="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三、服务内容：</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1、森林抚育</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2、森林质量精准提升：七子山、天平山、寒山岭、穹窿山等管辖区域内森林质量精准提升（环境清理提升、绿化造林、播种草花等）</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3、林业有害生物防治：管辖区域内葛藤清理、松材线虫病枯死树清理、加拿大一枝黄花清理等</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七子山防火基础设施维护、可燃物清理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七子山林区复绿、可燃物清理、防火通道维护、环境整治等</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灵天线防火基础设施维护、可燃物清理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灵天线林区复绿、可燃物清理、防火通道维护、环境整治等</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穹窿山等林区防火基础设施维护、可燃物清理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穹窿山等林区复绿、可燃物清理、防火通道维护、环境整治等</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（三）服务标准与要求：</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对东吴国家森林公园管理中心（吴中林场）下辖林区内指定区域（一般为防火通道两侧、蓄水池周边、公墓散坟周边等林下可燃物富集或林火高危区域）定期（一般同一区域一年开展两次）开展林下可燃物进行集中清理，开辟一定范围的可燃物隔离区域，降低该区域森林火灾发生的可能性。尤其针对墓葬群集中区域及人员流动频繁等重点区域范围内杂草灌木、枯枝落叶、病树枯木、一枝黄花、垃圾废弃物等可燃物、易燃物进行集中清理。</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严格按照《中华人民共和国森林法》和国务院《森林病虫害防治条例》《植物检疫条例》、《江苏省林业有害生物防控办法》等有关法律、法规开展林业有害生物防治工作。以保护生物多样性，保障森林、林木健康，维护生态安全为原则，对辖区内生态公益林开展巡查、监测林业有害生物等工作，发现对林业植物及其产品和森林生态环境造成危害的林业有害生物及时上报甲方，并配合甲方开展林业有害生物除治工作，确保森林生态安全。</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3、抚育方式和技术要求</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严格按照法律法规和《森林抚育规程》、《森林采伐作业规程》、《生态公益林建设技术规程》、《森林抚育补贴试点管理办法》等相关技术标准开展森林抚育工作。</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（1）抚育间伐</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a.透光伐:在幼龄林中进行。按照确定的保留株数，间密留疏，去劣留优，保留珍贵树种和优质树木，调整林分结构。</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b.生态疏伐:在特用林和防护林的中龄林中进行。按照有利于林冠形成梯级郁闭、主林层和次林层立木都能受光的要求，将林木分为优良木、有益木和伐除木。保留优良木、有益木和适量的灌木。对风景林的景观疏伐，按《生态公益林建设 技术规程》（GB/T18337.3—2001）中的5.2.1.2.4条规定执行。</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c.生长伐:在用材林的中龄林中进行。采用上层抚育、下层抚育、综合抚育等方式，伐除影响保留木生长的树木，具体技术执行《森林抚育规程》（GB/T15871—2009）中的8.1—8.5条规定。</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d.卫生伐:主要对遭受病虫害、风折、风倒、冰冻、雪压、森林火灾等灾害的林分开展，清除生态功能明显降低的被害木。</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e.抚育强度:抚育作业后，人工林郁闭度不得低于0.6，天然林郁闭度不得低于0.5，林分平均胸径不得低于伐前林分平均胸径。</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（2）修枝</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主要在自然整枝不良、通风透光不畅的林分中进行。一般采取平切法，重点针对枝条、死枝过多的林木。修枝高度幼龄林不超过树高的1/3，中龄林不超过树高的1/2。</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（3）割灌</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在下木生长旺盛、与林木生长争水争肥严重的中幼龄林中进行。采取机割、人割等不同方式，清除妨碍树木生长的灌木、藤条和杂草。作业时，注重保护珍稀濒危树木，以及有生长潜力的幼树、幼苗，以有利于调整林分密度和结构。</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（4）抚育材及抚育剩余物处理</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抚育材及抚育作业剩余物应按照森林病虫害防治、环境保护等要求，采取堆集、平铺或运出等适当方式予以处理。</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   （五）简易作业道修建</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根据抚育作业需求，修建简易的集材道、作业道、临时楞场，密度、布局和技术要求参照《森林采伐作业规程》（LY/T1646—2005）等规定执行。</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4、绿化造林要求</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绿化造林过程中严格按照《造林技术规程》要求，种子、苗木均不来源于疫区，做好作业小班、地段的林地清理，创造有利于保留木、新植树苗的生长环境。当年苗木成活率达到100%。</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（四）其他要求：</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乙方必须承诺为本项目投入核载8T及以上水车一辆、核载1.5T及以上清运卡车一辆、割灌机五台、绿篱机五台、背带式吹风机一台、油锯两把、汽油泵三台、2.5寸汽水泵三台及依维格一辆。乙方按照服务内容要求将相关车辆、工具设备、安全设施等配备到位，满足日常管护服务及应急服务需求。</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2、作业过程中做好护林防火与施工安全工作。作业过程中无违规操作现象，无安全事故。</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3、人员配备要求：</w:t>
      </w:r>
      <w:r/>
    </w:p>
    <w:p>
      <w:pPr>
        <w:ind w:left="0" w:firstLine="420"/>
        <w:spacing w:line="360" w:lineRule="auto"/>
        <w:tabs>
          <w:tab w:val="left" w:pos="420" w:leader="none"/>
          <w:tab w:val="left" w:pos="54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1)、需配备项目负责人1人（具有高级工职称），负责与甲方对接工作内容，安排工作等。资料员1名，负责日常资料整理等工作。项目经理与资料员不参与合同金额结算。</w:t>
      </w:r>
      <w:r/>
    </w:p>
    <w:p>
      <w:pPr>
        <w:ind w:left="0" w:firstLine="420"/>
        <w:spacing w:line="360" w:lineRule="auto"/>
        <w:tabs>
          <w:tab w:val="left" w:pos="420" w:leader="none"/>
          <w:tab w:val="left" w:pos="540"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2)、服务面积1.25947万亩生态公益林，根据往年工作实际情况，1月-12月每月平均约需工作25日，每月约需550工，根据现场实际工作需要综合调整。</w:t>
      </w:r>
      <w:r/>
    </w:p>
    <w:p>
      <w:pPr>
        <w:ind w:left="0" w:firstLine="420"/>
        <w:spacing w:line="360" w:lineRule="auto"/>
        <w:tabs>
          <w:tab w:val="left" w:pos="420" w:leader="none"/>
          <w:tab w:val="left" w:pos="540"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中专业技术工人不少于8人。技术男工不少于5人，主要从事枯死树清理（使用油锯）、修枝、苗木种植指导、树木移栽指导、开车等专业技术工作；技术女工不少于3人，主要从事生物防火隔离带抚育、草花播种、灌木种植指导、除虫指导等专业技术工作；普通男工不少于6人，主要协助技术工人从事修枝、割灌、苗木种植、移栽、浇水、施肥、除草、打药、林地整理等普通工作；普通女工不少于4人，主要协助技术工人从事生物防火隔离带抚育、草花播种、灌木种植、浇水、施肥、除草、打药、林地整理等普通工作。</w:t>
      </w:r>
      <w:r/>
    </w:p>
    <w:p>
      <w:pPr>
        <w:ind w:left="0" w:firstLine="420"/>
        <w:spacing w:line="360" w:lineRule="auto"/>
        <w:tabs>
          <w:tab w:val="left" w:pos="420" w:leader="none"/>
          <w:tab w:val="left" w:pos="540" w:leader="none"/>
        </w:tabs>
        <w:rPr>
          <w:rFonts w:hint="default"/>
          <w:lang w:val="en-US" w:eastAsia="zh-CN"/>
        </w:rPr>
      </w:pPr>
      <w:r>
        <w:rPr>
          <w:rFonts w:hint="eastAsia" w:ascii="宋体" w:hAnsi="宋体" w:eastAsia="宋体" w:cs="宋体"/>
          <w:color w:val="auto"/>
          <w:sz w:val="21"/>
          <w:szCs w:val="21"/>
          <w:highlight w:val="none"/>
          <w:lang w:val="en-US" w:eastAsia="zh-CN"/>
        </w:rPr>
        <w:t xml:space="preserve">进驻人员数量由甲乙双方现场确认</w:t>
      </w:r>
      <w:r/>
    </w:p>
    <w:p>
      <w:pPr>
        <w:ind w:left="0" w:firstLine="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、甲乙双方权利、义务：</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（一）甲方的权利和义务</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、检查监督乙方管理工作的实施及制度和计划的执行情况；检查人员配备和设施设备配置情况。</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、有权对乙方派往的主要管理人员进行考核，考核严重不达标时甲方有权要求乙方撤换人员。</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、有权要求乙方使用符合有关质量和安全标准的工具、物品及消耗材料等，对所使用的品种、品牌有知情权和建议权。</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、对乙方在开办时投入配置的设备、设施、工具以及相关用品的数量、质量及使用状况有监督权利。</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、对乙方服务质量应及时监督检查，如有质量问题应当场提出并纠正，从而达到行业质量标准。</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、有权要求乙方对违反合同规定的行为进行限期整改，整改无效的，甲方有权延迟支付服务费用。如因乙方服务不善，造成重大经济损失或服务失误，有权终止合同。</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、甲方有为乙方提供便利的义务，以保证乙方工作的顺利进行。</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、乙方从事合同范围以外的服务，属于有偿特约和其它服务，甲方有责任配合乙方签好签证单，乙方凭此单向甲方结算费用。</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、对乙方按甲方要求摆放的物品、设施等，甲方不得私自变更、损害、毁坏，如有变更、损害、毁坏，甲方应向乙方返还原物或按原价负责赔偿。</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、乙方的服务、管理被甲方认可，在合同期满后乙方有优先续签合同的权利，甲方将在合同期满一个月前向乙方发书面通知。</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、乙方按合同约定完成任务，甲方按合同约定支付服务费。</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、乙方失职造成甲方损失的，按损失物市场价赔付给甲方。</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、法规政策规定的甲方应有的其它权利和义务。</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（二）乙方的权利和义务</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1、拟订规章制度和实施细则，经甲方书面审批同意后予以实施。</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、接受主管部门、有关政府部门和甲方的检查监督。</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、有权依照法规政策、本合同的规定对违反制度的行为进行处理。</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、有权要求甲方人员遵守有关服务制度。</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、乙方收到甲方进驻现场通知后，要积极做好准备，准时进驻现场。确保服务质量，达到甲方满意。</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、非合同范围内的项目服务工作（如：有偿特约服务）由乙方从现有人员中调配或从公司总部另调人员完成，并保证各项工作质量（其产生的费用另外结算）。</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、对甲方公用设施不得擅自占用和改变使用功能，如需改、扩建完善配套项目，须报甲方和有关部门批准后方可实施。</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、建立本项目服务档案并负责及时记载有关变更情况。</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、及时向甲方提交各类重大和突发事件处理的报告。</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、向甲方提交年季月度工作总结和计划报告。</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、因乙方原因（不可抗拒因素除外）而导致发生安全责任事故或导致甲方和任何第三方出现人员财产损失的，乙方自行承担有关责任，并作出相应赔偿，甲方有权追究乙方的违约责任。</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、乙方应加强对其员工的职业安全保障，按照国家和当地政府的规定为其员工购买保险，及时支付员工的薪酬。其员工发生任何工伤、意外伤害、纠纷时，乙方应自行妥善处理，甲方不承担任何有关责任。</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、有权对安全、消防的突发事件进行应急处理（如盗窃、火灾等），并及时报告甲方主管部门和领导。</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、乙方人员要统一着装，衣帽整洁，佩戴本公司胸卡，遵守甲方各项内部规章制度，负有对甲方各项信息的保密义务。</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、乙方员工在工作期间不得随意离开工作岗位，若乙方主管负责人不在作业现场，乙方临时负责人应接受甲方主管负责人的监督指导，并按行业的服务工作标准进行检查。</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、乙方派出一名主管负责人负责日常服务工作质量检查和服务工作紧急情况的处理。</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、乙方使用的设备及相关办公用品由乙方自行负责。</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、法规政策规定的乙方应有的其它权利和义务。</w:t>
      </w:r>
      <w:r/>
    </w:p>
    <w:p>
      <w:pPr>
        <w:ind w:left="0" w:firstLine="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、违约责任：</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乙方的违约责任</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乙方未按合同规定的质量要求提供服务，不能完成合同时，甲方有权终止合同，由此造成乙方的直接损失和间接损失甲方不给予补偿和赔偿，造成甲方损失时，甲方有权要求乙方赔偿。</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乙方（1个月（含）以上）不能按照合同规定配备足够人员的。</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乙方应执行国家有关规定，负责乙方员工的生病、事故、伤残、死亡和劳务纠纷，甲方不承担任何相关责任。</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乙方原因导致出现重大安全责任事故的。</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其它违约情况。</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合同生效及其它</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1、本合同经双方签字盖章后生效，生效后</w:t>
      </w:r>
      <w:r>
        <w:rPr>
          <w:rFonts w:hint="eastAsia" w:ascii="宋体" w:hAnsi="宋体" w:cs="宋体"/>
          <w:color w:val="auto"/>
          <w:sz w:val="21"/>
          <w:szCs w:val="21"/>
          <w:highlight w:val="none"/>
          <w:lang w:val="en-US" w:eastAsia="zh-CN"/>
        </w:rPr>
        <w:t xml:space="preserve">需</w:t>
      </w:r>
      <w:r>
        <w:rPr>
          <w:rFonts w:hint="eastAsia" w:ascii="宋体" w:hAnsi="宋体" w:eastAsia="宋体" w:cs="宋体"/>
          <w:color w:val="auto"/>
          <w:sz w:val="21"/>
          <w:szCs w:val="21"/>
          <w:highlight w:val="none"/>
        </w:rPr>
        <w:t xml:space="preserve">网上</w:t>
      </w:r>
      <w:r>
        <w:rPr>
          <w:rFonts w:hint="eastAsia" w:ascii="宋体" w:hAnsi="宋体" w:cs="宋体"/>
          <w:color w:val="auto"/>
          <w:sz w:val="21"/>
          <w:szCs w:val="21"/>
          <w:highlight w:val="none"/>
          <w:lang w:val="en-US" w:eastAsia="zh-CN"/>
        </w:rPr>
        <w:t xml:space="preserve">公示</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p>
    <w:p>
      <w:pPr>
        <w:ind w:left="0" w:firstLine="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六、合同的解除和转让</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1、甲方和乙方协商一致，可以解除合同。</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2、有下列情形之一，合同一方可以解除合同：</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（1）因不可抗力致使不能实现合同目的，未受不可抗力影响的一方有权解除合同；</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（2）因合同一方违约导致合同不能履行，另一方有权解除合同。</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3、有权解除合同的一方，应当在违约事实或不可抗力发生之后</w:t>
      </w:r>
      <w:r>
        <w:rPr>
          <w:rFonts w:hint="eastAsia" w:ascii="宋体" w:hAnsi="宋体" w:eastAsia="宋体" w:cs="宋体"/>
          <w:color w:val="auto"/>
          <w:sz w:val="21"/>
          <w:szCs w:val="21"/>
          <w:highlight w:val="none"/>
          <w:lang w:val="en-US" w:eastAsia="zh-CN"/>
        </w:rPr>
        <w:t xml:space="preserve">十五日</w:t>
      </w:r>
      <w:r>
        <w:rPr>
          <w:rFonts w:hint="eastAsia" w:ascii="宋体" w:hAnsi="宋体" w:eastAsia="宋体" w:cs="宋体"/>
          <w:color w:val="auto"/>
          <w:sz w:val="21"/>
          <w:szCs w:val="21"/>
          <w:highlight w:val="none"/>
        </w:rPr>
        <w:t xml:space="preserve">内书面通知对方提出解除合同，合同在书面通知到达对方时解除。</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4、合同的部分和全部都不得转让。</w:t>
      </w:r>
      <w:r/>
    </w:p>
    <w:p>
      <w:pPr>
        <w:ind w:left="0" w:firstLine="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七、其它</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1、乙方应负责乙方员工的生病、事故、伤残和劳务纠纷，甲方不承担任何相关责任。</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2、本合同未尽之处双方协商解决；如协商不成，双方同意由一方向合同履行地人民法院提起诉讼。</w:t>
      </w:r>
      <w:r/>
    </w:p>
    <w:p>
      <w:pPr>
        <w:ind w:left="0" w:firstLine="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八、附则</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1、合同份数：本合同一式</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份，甲方</w:t>
      </w:r>
      <w:r>
        <w:rPr>
          <w:rFonts w:hint="eastAsia" w:ascii="宋体" w:hAnsi="宋体" w:eastAsia="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rPr>
        <w:t xml:space="preserve">份，乙方两份，招标代理机构一份，政府采购监管部门一份。</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2、未尽事宜</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本合同未尽事宜应按《中华人民共和国民法典》以及其同相关法律、法规之规定解释。</w:t>
      </w:r>
      <w:r/>
    </w:p>
    <w:p>
      <w:pPr>
        <w:rPr>
          <w:color w:val="auto"/>
          <w:highlight w:val="none"/>
        </w:rPr>
      </w:pPr>
      <w:r>
        <w:rPr>
          <w:color w:val="auto"/>
          <w:highlight w:val="none"/>
        </w:rPr>
      </w:r>
      <w:r/>
    </w:p>
    <w:p>
      <w:pPr>
        <w:ind w:left="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甲方（公章）：                                      乙方（公章）：</w:t>
      </w:r>
      <w:r/>
    </w:p>
    <w:p>
      <w:pPr>
        <w:ind w:left="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法定代表人或授权代表（签字或盖章）：                法定代表人或授权代表（签字或盖章）： </w:t>
      </w:r>
      <w:r/>
    </w:p>
    <w:p>
      <w:pPr>
        <w:ind w:left="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签约日期：                                          签约日期： </w:t>
      </w:r>
      <w:r/>
    </w:p>
    <w:p>
      <w:pPr>
        <w:ind w:left="0"/>
        <w:rPr>
          <w:rFonts w:ascii="宋体" w:hAnsi="宋体" w:cs="宋体"/>
          <w:color w:val="auto"/>
          <w:sz w:val="21"/>
          <w:szCs w:val="21"/>
          <w:highlight w:val="none"/>
        </w:rPr>
      </w:pPr>
      <w:r>
        <w:rPr>
          <w:rFonts w:ascii="宋体" w:hAnsi="宋体" w:cs="宋体"/>
          <w:color w:val="auto"/>
          <w:sz w:val="21"/>
          <w:szCs w:val="21"/>
          <w:highlight w:val="none"/>
        </w:rPr>
      </w:r>
      <w:r/>
    </w:p>
    <w:p>
      <w:pPr>
        <w:ind w:left="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jc w:val="center"/>
        <w:spacing w:line="360" w:lineRule="auto"/>
        <w:widowControl w:val="off"/>
        <w:rPr>
          <w:rFonts w:hint="eastAsia"/>
          <w:b/>
          <w:color w:val="auto"/>
          <w:sz w:val="44"/>
          <w:szCs w:val="44"/>
          <w:highlight w:val="none"/>
        </w:rPr>
        <w:outlineLvl w:val="0"/>
      </w:pPr>
      <w:r/>
      <w:bookmarkStart w:id="120" w:name="_Toc103258867"/>
      <w:r/>
      <w:bookmarkStart w:id="121" w:name="_Toc68611039"/>
      <w:r/>
      <w:r/>
    </w:p>
    <w:p>
      <w:pPr>
        <w:ind w:left="0"/>
        <w:jc w:val="both"/>
        <w:spacing w:line="360" w:lineRule="auto"/>
        <w:widowControl w:val="off"/>
        <w:rPr>
          <w:rFonts w:hint="eastAsia"/>
          <w:b/>
          <w:color w:val="auto"/>
          <w:sz w:val="44"/>
          <w:szCs w:val="44"/>
          <w:highlight w:val="none"/>
        </w:rPr>
        <w:outlineLvl w:val="0"/>
      </w:pPr>
      <w:r>
        <w:rPr>
          <w:rFonts w:hint="eastAsia"/>
          <w:b/>
          <w:color w:val="auto"/>
          <w:sz w:val="44"/>
          <w:szCs w:val="44"/>
          <w:highlight w:val="none"/>
        </w:rPr>
      </w:r>
      <w:r/>
    </w:p>
    <w:p>
      <w:pPr>
        <w:pStyle w:val="906"/>
        <w:ind w:left="0" w:firstLine="0"/>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pStyle w:val="906"/>
        <w:ind w:left="0" w:firstLine="0"/>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pStyle w:val="906"/>
        <w:ind w:left="0" w:firstLine="0"/>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pStyle w:val="906"/>
        <w:ind w:left="0" w:firstLine="0"/>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pStyle w:val="906"/>
        <w:ind w:left="0" w:firstLine="0"/>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pStyle w:val="906"/>
        <w:ind w:left="0" w:firstLine="0"/>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pStyle w:val="906"/>
        <w:ind w:left="0" w:firstLine="0"/>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pStyle w:val="906"/>
        <w:ind w:left="0" w:firstLine="0"/>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r>
      <w:r/>
    </w:p>
    <w:p>
      <w:pPr>
        <w:ind w:left="0"/>
        <w:jc w:val="center"/>
        <w:spacing w:line="360" w:lineRule="auto"/>
        <w:widowControl w:val="off"/>
        <w:rPr>
          <w:b/>
          <w:color w:val="auto"/>
          <w:sz w:val="44"/>
          <w:szCs w:val="44"/>
          <w:highlight w:val="none"/>
        </w:rPr>
        <w:outlineLvl w:val="0"/>
      </w:pPr>
      <w:r>
        <w:rPr>
          <w:rFonts w:hint="eastAsia"/>
          <w:b/>
          <w:color w:val="auto"/>
          <w:sz w:val="44"/>
          <w:szCs w:val="44"/>
          <w:highlight w:val="none"/>
        </w:rPr>
        <w:t xml:space="preserve">第六章 </w:t>
      </w:r>
      <w:bookmarkStart w:id="122" w:name="评分要点"/>
      <w:r/>
      <w:bookmarkEnd w:id="122"/>
      <w:r>
        <w:rPr>
          <w:rFonts w:hint="eastAsia"/>
          <w:b/>
          <w:color w:val="auto"/>
          <w:sz w:val="44"/>
          <w:szCs w:val="44"/>
          <w:highlight w:val="none"/>
        </w:rPr>
        <w:t xml:space="preserve">评审办法和评分标准</w:t>
      </w:r>
      <w:bookmarkEnd w:id="115"/>
      <w:r/>
      <w:bookmarkEnd w:id="116"/>
      <w:r/>
      <w:bookmarkEnd w:id="117"/>
      <w:r/>
      <w:bookmarkEnd w:id="118"/>
      <w:r/>
      <w:bookmarkEnd w:id="119"/>
      <w:r/>
      <w:bookmarkEnd w:id="120"/>
      <w:r/>
      <w:bookmarkEnd w:id="121"/>
      <w:r/>
      <w:r/>
    </w:p>
    <w:p>
      <w:pPr>
        <w:ind w:left="0" w:firstLine="422"/>
        <w:spacing w:line="360" w:lineRule="auto"/>
        <w:rPr>
          <w:b/>
          <w:color w:val="auto"/>
          <w:sz w:val="21"/>
          <w:szCs w:val="21"/>
          <w:highlight w:val="none"/>
        </w:rPr>
      </w:pPr>
      <w:r/>
      <w:bookmarkStart w:id="123" w:name="_Toc16264"/>
      <w:r/>
      <w:bookmarkStart w:id="124" w:name="_Toc698"/>
      <w:r/>
      <w:bookmarkStart w:id="125" w:name="_Toc17476"/>
      <w:r>
        <w:rPr>
          <w:rFonts w:hint="eastAsia"/>
          <w:b/>
          <w:color w:val="auto"/>
          <w:sz w:val="21"/>
          <w:szCs w:val="21"/>
          <w:highlight w:val="none"/>
        </w:rPr>
        <w:t xml:space="preserve">一、评审办法：</w:t>
      </w:r>
      <w:bookmarkEnd w:id="123"/>
      <w:r/>
      <w:bookmarkEnd w:id="124"/>
      <w:r/>
      <w:bookmarkEnd w:id="125"/>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1.本次磋商采用</w:t>
      </w:r>
      <w:r>
        <w:rPr>
          <w:rFonts w:hint="eastAsia" w:ascii="宋体" w:hAnsi="宋体" w:cs="宋体"/>
          <w:b/>
          <w:color w:val="auto"/>
          <w:sz w:val="21"/>
          <w:szCs w:val="22"/>
          <w:highlight w:val="none"/>
        </w:rPr>
        <w:t xml:space="preserve">综合评分法</w:t>
      </w:r>
      <w:r>
        <w:rPr>
          <w:rFonts w:hint="eastAsia" w:ascii="宋体" w:hAnsi="宋体" w:cs="宋体"/>
          <w:color w:val="auto"/>
          <w:sz w:val="21"/>
          <w:szCs w:val="22"/>
          <w:highlight w:val="none"/>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4.如出现评审总得分最高的磋商供应商有两个或两个以上的，以磋商报价较低者优先作为成交候选人，如果磋商报价也相同的，则由磋商小组组织以抽签方式确定成交候选人。</w:t>
      </w:r>
      <w:r/>
    </w:p>
    <w:p>
      <w:pPr>
        <w:ind w:left="0" w:firstLine="420"/>
        <w:spacing w:line="360" w:lineRule="auto"/>
        <w:widowControl w:val="off"/>
        <w:rPr>
          <w:rFonts w:ascii="宋体" w:hAnsi="宋体" w:cs="宋体"/>
          <w:color w:val="auto"/>
          <w:sz w:val="21"/>
          <w:szCs w:val="22"/>
          <w:highlight w:val="none"/>
        </w:rPr>
      </w:pPr>
      <w:r>
        <w:rPr>
          <w:rFonts w:ascii="宋体" w:hAnsi="宋体" w:cs="宋体"/>
          <w:color w:val="auto"/>
          <w:sz w:val="21"/>
          <w:szCs w:val="22"/>
          <w:highlight w:val="none"/>
        </w:rPr>
        <w:t xml:space="preserve">5</w:t>
      </w:r>
      <w:r>
        <w:rPr>
          <w:rFonts w:hint="eastAsia" w:ascii="宋体" w:hAnsi="宋体" w:cs="宋体"/>
          <w:color w:val="auto"/>
          <w:sz w:val="21"/>
          <w:szCs w:val="22"/>
          <w:highlight w:val="none"/>
        </w:rPr>
        <w:t xml:space="preserve">.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6.针对中小型企业、残疾人福利企业和监狱企业的评审：</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color w:val="auto"/>
          <w:sz w:val="21"/>
          <w:highlight w:val="none"/>
        </w:rPr>
        <w:t xml:space="preserve">及《关于印发&lt;苏州市政府采购促进中小企业发展实施意见</w:t>
      </w:r>
      <w:r>
        <w:rPr>
          <w:rFonts w:ascii="宋体" w:hAnsi="宋体"/>
          <w:color w:val="auto"/>
          <w:sz w:val="21"/>
          <w:highlight w:val="none"/>
        </w:rPr>
        <w:t xml:space="preserve">&gt;</w:t>
      </w:r>
      <w:r>
        <w:rPr>
          <w:rFonts w:hint="eastAsia" w:ascii="宋体" w:hAnsi="宋体"/>
          <w:color w:val="auto"/>
          <w:sz w:val="21"/>
          <w:highlight w:val="none"/>
        </w:rPr>
        <w:t xml:space="preserve">的通知》（苏财购〔202</w:t>
      </w:r>
      <w:r>
        <w:rPr>
          <w:rFonts w:ascii="宋体" w:hAnsi="宋体"/>
          <w:color w:val="auto"/>
          <w:sz w:val="21"/>
          <w:highlight w:val="none"/>
        </w:rPr>
        <w:t xml:space="preserve">2</w:t>
      </w:r>
      <w:r>
        <w:rPr>
          <w:rFonts w:hint="eastAsia" w:ascii="宋体" w:hAnsi="宋体"/>
          <w:color w:val="auto"/>
          <w:sz w:val="21"/>
          <w:highlight w:val="none"/>
        </w:rPr>
        <w:t xml:space="preserve">〕</w:t>
      </w:r>
      <w:r>
        <w:rPr>
          <w:rFonts w:ascii="宋体" w:hAnsi="宋体"/>
          <w:color w:val="auto"/>
          <w:sz w:val="21"/>
          <w:highlight w:val="none"/>
        </w:rPr>
        <w:t xml:space="preserve">16</w:t>
      </w:r>
      <w:r>
        <w:rPr>
          <w:rFonts w:hint="eastAsia" w:ascii="宋体" w:hAnsi="宋体"/>
          <w:color w:val="auto"/>
          <w:sz w:val="21"/>
          <w:highlight w:val="none"/>
        </w:rPr>
        <w:t xml:space="preserve">号）的有关规定</w:t>
      </w:r>
      <w:r>
        <w:rPr>
          <w:rFonts w:hint="eastAsia" w:ascii="宋体" w:hAnsi="宋体" w:cs="宋体"/>
          <w:color w:val="auto"/>
          <w:sz w:val="21"/>
          <w:szCs w:val="22"/>
          <w:highlight w:val="none"/>
        </w:rPr>
        <w:t xml:space="preserve">，</w:t>
      </w:r>
      <w:r>
        <w:rPr>
          <w:rFonts w:hint="eastAsia" w:ascii="宋体" w:hAnsi="宋体" w:cs="宋体"/>
          <w:b/>
          <w:color w:val="auto"/>
          <w:sz w:val="21"/>
          <w:szCs w:val="22"/>
          <w:highlight w:val="none"/>
        </w:rPr>
        <w:t xml:space="preserve">本项目为专门面向中小企业采购的项目，不再执行价格评审优惠的扶持政策</w:t>
      </w:r>
      <w:r>
        <w:rPr>
          <w:rFonts w:hint="eastAsia" w:ascii="宋体" w:hAnsi="宋体" w:cs="宋体"/>
          <w:color w:val="auto"/>
          <w:sz w:val="21"/>
          <w:szCs w:val="22"/>
          <w:highlight w:val="none"/>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注：</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color w:val="auto"/>
          <w:sz w:val="21"/>
          <w:szCs w:val="22"/>
          <w:highlight w:val="none"/>
        </w:rPr>
      </w:pPr>
      <w:r>
        <w:rPr>
          <w:rFonts w:hint="eastAsia" w:ascii="宋体" w:hAnsi="宋体" w:cs="宋体"/>
          <w:color w:val="auto"/>
          <w:sz w:val="21"/>
          <w:szCs w:val="22"/>
          <w:highlight w:val="none"/>
        </w:rPr>
        <w:t xml:space="preserve">②若供应商提供的声明函或认定证明为虚假材料，按“政府采购法”相关规定处理并报请政府监管部门给予行政处罚。</w:t>
      </w:r>
      <w:r/>
    </w:p>
    <w:p>
      <w:pPr>
        <w:ind w:left="0" w:firstLine="422"/>
        <w:jc w:val="left"/>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left="0" w:firstLine="422"/>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（一）价格(</w:t>
      </w: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0分)</w:t>
      </w:r>
      <w:r/>
    </w:p>
    <w:p>
      <w:pPr>
        <w:ind w:left="0" w:firstLine="420"/>
        <w:spacing w:line="360" w:lineRule="auto"/>
        <w:widowControl w:val="off"/>
        <w:rPr>
          <w:rFonts w:ascii="宋体" w:hAnsi="宋体" w:cs="宋体"/>
          <w:color w:val="auto"/>
          <w:sz w:val="21"/>
          <w:szCs w:val="21"/>
          <w:highlight w:val="none"/>
        </w:rPr>
      </w:pPr>
      <w:r/>
      <w:bookmarkStart w:id="126" w:name="OLE_LINK4"/>
      <w:r>
        <w:rPr>
          <w:rFonts w:hint="eastAsia" w:ascii="宋体" w:hAnsi="宋体" w:cs="宋体"/>
          <w:color w:val="auto"/>
          <w:sz w:val="21"/>
          <w:szCs w:val="21"/>
          <w:highlight w:val="none"/>
        </w:rPr>
        <w:t xml:space="preserve">第一步：响应总报价低于或等于财政预算价格的，为有效响应报价。超财政预算的响应报价为无效响应报价。</w:t>
      </w:r>
      <w:r/>
    </w:p>
    <w:p>
      <w:pPr>
        <w:ind w:left="0"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第二步：在所有有效响应报价中满足采购文件要求，且</w:t>
      </w:r>
      <w:r>
        <w:rPr>
          <w:rFonts w:hint="eastAsia" w:ascii="宋体" w:hAnsi="宋体" w:cs="宋体"/>
          <w:color w:val="auto"/>
          <w:sz w:val="21"/>
          <w:szCs w:val="21"/>
          <w:highlight w:val="none"/>
          <w:lang w:val="en-US" w:eastAsia="zh-CN"/>
        </w:rPr>
        <w:t xml:space="preserve">优惠率最高</w:t>
      </w:r>
      <w:r>
        <w:rPr>
          <w:rFonts w:hint="eastAsia" w:ascii="宋体" w:hAnsi="宋体" w:cs="宋体"/>
          <w:color w:val="auto"/>
          <w:sz w:val="21"/>
          <w:szCs w:val="21"/>
          <w:highlight w:val="none"/>
        </w:rPr>
        <w:t xml:space="preserve">的响应报价为磋商基准价，其他供应商的价格分按照下列公式计算（计算结果四舍五入保留两位小数）。</w:t>
      </w:r>
      <w:r/>
    </w:p>
    <w:p>
      <w:pPr>
        <w:ind w:left="0"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磋商报价得分＝（评标基准价/</w:t>
      </w:r>
      <w:r>
        <w:rPr>
          <w:rFonts w:hint="eastAsia" w:ascii="宋体" w:hAnsi="宋体" w:cs="宋体"/>
          <w:color w:val="auto"/>
          <w:sz w:val="21"/>
          <w:szCs w:val="21"/>
          <w:highlight w:val="none"/>
          <w:lang w:val="en-US" w:eastAsia="zh-CN"/>
        </w:rPr>
        <w:t xml:space="preserve">磋商</w:t>
      </w:r>
      <w:r>
        <w:rPr>
          <w:rFonts w:hint="eastAsia" w:ascii="宋体" w:hAnsi="宋体" w:cs="宋体"/>
          <w:color w:val="auto"/>
          <w:sz w:val="21"/>
          <w:szCs w:val="21"/>
          <w:highlight w:val="none"/>
        </w:rPr>
        <w:t xml:space="preserve">报价）×价格权值×100（价格权值为10%）</w:t>
      </w:r>
      <w:bookmarkEnd w:id="126"/>
      <w:r/>
      <w:r/>
    </w:p>
    <w:p>
      <w:pPr>
        <w:ind w:left="0" w:firstLine="42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w:t>
      </w:r>
      <w:r>
        <w:rPr>
          <w:rFonts w:hint="eastAsia" w:ascii="宋体" w:hAnsi="宋体" w:eastAsia="宋体" w:cs="宋体"/>
          <w:b/>
          <w:bCs/>
          <w:color w:val="auto"/>
          <w:sz w:val="21"/>
          <w:szCs w:val="21"/>
          <w:highlight w:val="none"/>
          <w:lang w:val="en-US" w:eastAsia="zh-CN"/>
        </w:rPr>
        <w:t xml:space="preserve">管护</w:t>
      </w:r>
      <w:r>
        <w:rPr>
          <w:rFonts w:hint="eastAsia" w:ascii="宋体" w:hAnsi="宋体" w:eastAsia="宋体" w:cs="宋体"/>
          <w:b/>
          <w:bCs/>
          <w:color w:val="auto"/>
          <w:sz w:val="21"/>
          <w:szCs w:val="21"/>
          <w:highlight w:val="none"/>
        </w:rPr>
        <w:t xml:space="preserve">技术方案（60分）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rPr>
        <w:t xml:space="preserve">内部管理制度，最高10分；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说明：包括组织架构、内部养护检查考核制度、自查自纠制度、奖惩措施、养护档案管理制度、安全文明措施等。内容详细、有针对性的得10分；内容相对充实，有一定合理性的得6分；基本满足要求的可得2分。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2、人员管理方案，最高10分；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包括专业工种人员的配备以及劳动力安排、各工种的日常工作、项目经理管理措施、人员技术培训方案及安全教育。内容详细、有针对性的得10分；内容相对充实，有一定合理性的得6分；基本满足要求的得2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3、设备设施作业管理维护方案，最高10分；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说明：方案内容中至少包含设备配置、设备作业管理方案及设备后期维护保养方案等内容。内容详细、有针对性的得10分；内容相对充实，有一定合理性的得6分；基本满足要求的可得2分。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管护</w:t>
      </w:r>
      <w:r>
        <w:rPr>
          <w:rFonts w:hint="eastAsia" w:ascii="宋体" w:hAnsi="宋体" w:eastAsia="宋体" w:cs="宋体"/>
          <w:color w:val="auto"/>
          <w:sz w:val="21"/>
          <w:szCs w:val="21"/>
          <w:highlight w:val="none"/>
        </w:rPr>
        <w:t xml:space="preserve">技术方案，最高10分；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说明：包括养护计划、各种植物的养护措施、设施维护、病虫害防治、树木修剪、抗旱排涝、安全作业、</w:t>
      </w:r>
      <w:r>
        <w:rPr>
          <w:rFonts w:hint="eastAsia" w:ascii="宋体" w:hAnsi="宋体" w:eastAsia="宋体" w:cs="宋体"/>
          <w:color w:val="auto"/>
          <w:sz w:val="21"/>
          <w:szCs w:val="21"/>
          <w:highlight w:val="none"/>
          <w:lang w:val="en-US" w:eastAsia="zh-CN"/>
        </w:rPr>
        <w:t xml:space="preserve">可燃物清理</w:t>
      </w:r>
      <w:r>
        <w:rPr>
          <w:rFonts w:hint="eastAsia" w:ascii="宋体" w:hAnsi="宋体" w:eastAsia="宋体" w:cs="宋体"/>
          <w:color w:val="auto"/>
          <w:sz w:val="21"/>
          <w:szCs w:val="21"/>
          <w:highlight w:val="none"/>
        </w:rPr>
        <w:t xml:space="preserve">等。内容详细、有针对性的得10分；内容相对充实，有一定合理性的得6分；基本满足要求的可得2分。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管护</w:t>
      </w:r>
      <w:r>
        <w:rPr>
          <w:rFonts w:hint="eastAsia" w:ascii="宋体" w:hAnsi="宋体" w:eastAsia="宋体" w:cs="宋体"/>
          <w:color w:val="auto"/>
          <w:sz w:val="21"/>
          <w:szCs w:val="21"/>
          <w:highlight w:val="none"/>
        </w:rPr>
        <w:t xml:space="preserve">应急方案，最高10分；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说明：包括抗台防汛等恶劣天气的应急措施、各类迎检保障及应急抢险方案等。内容详细、有针对性的得10分；内容相对充实，有一定合理性的得6分；基本满足要求的可得2分。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rPr>
        <w:t xml:space="preserve">进退场交接方案措施比较，最高10分；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方案内容完整，针对性适用性强的，得10分；方案内容完整，针对性适用性较强的，得6分；方案内容完整，针对性适用性一般的，得2分。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（三）企业投入本项目组人员要求（</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1、投入本项目的项目经理配置要求</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具有园林绿化及相关专业本科以上学历（含本科）的，得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分；具有园林绿化及相关专业大专学历的，得</w:t>
      </w:r>
      <w:r>
        <w:rPr>
          <w:rFonts w:hint="eastAsia" w:ascii="宋体" w:hAnsi="宋体" w:cs="宋体"/>
          <w:color w:val="auto"/>
          <w:sz w:val="21"/>
          <w:szCs w:val="21"/>
          <w:highlight w:val="none"/>
          <w:lang w:val="en-US" w:eastAsia="zh-CN"/>
        </w:rPr>
        <w:t xml:space="preserve">2</w:t>
      </w:r>
      <w:bookmarkStart w:id="127" w:name="_GoBack"/>
      <w:r/>
      <w:bookmarkEnd w:id="127"/>
      <w:r>
        <w:rPr>
          <w:rFonts w:hint="eastAsia" w:ascii="宋体" w:hAnsi="宋体" w:eastAsia="宋体" w:cs="宋体"/>
          <w:color w:val="auto"/>
          <w:sz w:val="21"/>
          <w:szCs w:val="21"/>
          <w:highlight w:val="none"/>
        </w:rPr>
        <w:t xml:space="preserve">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文件中必须提供毕业证复印件，否则此项不得分。）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注：“园林绿化及相关专业”指：与园林绿化工程施工及养护管理相关的专业，包括园林（含园林植物、风景园林、园林绿化等）、园艺、植物（含植保、森保等）等专业。</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2、投入本项目的资料员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安全员</w:t>
      </w:r>
      <w:r>
        <w:rPr>
          <w:rFonts w:hint="eastAsia" w:ascii="宋体" w:hAnsi="宋体" w:eastAsia="宋体" w:cs="宋体"/>
          <w:color w:val="auto"/>
          <w:sz w:val="21"/>
          <w:szCs w:val="21"/>
          <w:highlight w:val="none"/>
        </w:rPr>
        <w:t xml:space="preserve">配置要求</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（1）具备资料员证书的，得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具备</w:t>
      </w:r>
      <w:r>
        <w:rPr>
          <w:rFonts w:hint="eastAsia" w:ascii="宋体" w:hAnsi="宋体" w:eastAsia="宋体" w:cs="宋体"/>
          <w:color w:val="auto"/>
          <w:sz w:val="21"/>
          <w:szCs w:val="21"/>
          <w:highlight w:val="none"/>
        </w:rPr>
        <w:t xml:space="preserve">安全员证书</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firstLine="42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投入本项目的</w:t>
      </w:r>
      <w:r>
        <w:rPr>
          <w:rFonts w:hint="eastAsia" w:ascii="宋体" w:hAnsi="宋体" w:eastAsia="宋体" w:cs="宋体"/>
          <w:color w:val="auto"/>
          <w:sz w:val="21"/>
          <w:szCs w:val="21"/>
          <w:highlight w:val="none"/>
          <w:lang w:val="en-US" w:eastAsia="zh-CN"/>
        </w:rPr>
        <w:t xml:space="preserve">管护</w:t>
      </w:r>
      <w:r>
        <w:rPr>
          <w:rFonts w:hint="eastAsia" w:ascii="宋体" w:hAnsi="宋体" w:eastAsia="宋体" w:cs="宋体"/>
          <w:color w:val="auto"/>
          <w:sz w:val="21"/>
          <w:szCs w:val="21"/>
          <w:highlight w:val="none"/>
        </w:rPr>
        <w:t xml:space="preserve">工</w:t>
      </w:r>
      <w:r>
        <w:rPr>
          <w:rFonts w:hint="eastAsia" w:ascii="宋体" w:hAnsi="宋体" w:eastAsia="宋体" w:cs="宋体"/>
          <w:color w:val="auto"/>
          <w:sz w:val="21"/>
          <w:szCs w:val="21"/>
          <w:highlight w:val="none"/>
          <w:lang w:val="en-US" w:eastAsia="zh-CN"/>
        </w:rPr>
        <w:t xml:space="preserve">人比较</w:t>
      </w:r>
      <w:r/>
    </w:p>
    <w:p>
      <w:pPr>
        <w:ind w:left="0" w:firstLine="42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具有高级绿化工证书的，每一人得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分；具有中级绿化工证书的，每一人得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本项限评</w:t>
      </w:r>
      <w:r>
        <w:rPr>
          <w:rFonts w:hint="eastAsia" w:ascii="宋体" w:hAnsi="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lang w:val="en-US" w:eastAsia="zh-CN"/>
        </w:rPr>
        <w:t xml:space="preserve">人，最高得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文件中须提供</w:t>
      </w:r>
      <w:r>
        <w:rPr>
          <w:rFonts w:hint="eastAsia" w:ascii="宋体" w:hAnsi="宋体" w:eastAsia="宋体" w:cs="宋体"/>
          <w:color w:val="auto"/>
          <w:sz w:val="21"/>
          <w:szCs w:val="21"/>
          <w:highlight w:val="none"/>
          <w:lang w:val="en-US" w:eastAsia="zh-CN"/>
        </w:rPr>
        <w:t xml:space="preserve">人员</w:t>
      </w:r>
      <w:r>
        <w:rPr>
          <w:rFonts w:hint="eastAsia" w:ascii="宋体" w:hAnsi="宋体" w:eastAsia="宋体" w:cs="宋体"/>
          <w:color w:val="auto"/>
          <w:sz w:val="21"/>
          <w:szCs w:val="21"/>
          <w:highlight w:val="none"/>
        </w:rPr>
        <w:t xml:space="preserve">证书复印件、职称证书复印件及社保部门出具的投标人为其缴纳的</w:t>
      </w:r>
      <w:r>
        <w:rPr>
          <w:rFonts w:hint="eastAsia" w:ascii="宋体" w:hAnsi="宋体" w:eastAsia="宋体" w:cs="宋体"/>
          <w:color w:val="auto"/>
          <w:sz w:val="21"/>
          <w:szCs w:val="21"/>
          <w:highlight w:val="none"/>
          <w:lang w:val="en-US" w:eastAsia="zh-CN"/>
        </w:rPr>
        <w:t xml:space="preserve">近期</w:t>
      </w:r>
      <w:r>
        <w:rPr>
          <w:rFonts w:hint="eastAsia" w:ascii="宋体" w:hAnsi="宋体" w:eastAsia="宋体" w:cs="宋体"/>
          <w:color w:val="auto"/>
          <w:sz w:val="21"/>
          <w:szCs w:val="21"/>
          <w:highlight w:val="none"/>
        </w:rPr>
        <w:t xml:space="preserve">社保证明复印件。】</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单位业绩比较（</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单位</w:t>
      </w:r>
      <w:r>
        <w:rPr>
          <w:rFonts w:hint="eastAsia" w:ascii="宋体" w:hAnsi="宋体" w:eastAsia="宋体" w:cs="宋体"/>
          <w:color w:val="auto"/>
          <w:sz w:val="21"/>
          <w:szCs w:val="21"/>
          <w:highlight w:val="none"/>
          <w:lang w:val="en-US" w:eastAsia="zh-CN"/>
        </w:rPr>
        <w:t xml:space="preserve">2022年2月以后</w:t>
      </w:r>
      <w:r>
        <w:rPr>
          <w:rFonts w:hint="eastAsia" w:ascii="宋体" w:hAnsi="宋体" w:eastAsia="宋体" w:cs="宋体"/>
          <w:color w:val="auto"/>
          <w:sz w:val="21"/>
          <w:szCs w:val="21"/>
          <w:highlight w:val="none"/>
        </w:rPr>
        <w:t xml:space="preserve">类似业绩（</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分）：每提供一份合同得3分,最高为</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注：&lt;</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&gt;</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文件中提供完整合同复印件；未提供以上有效资料的该项不得分。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单位绿化机械设备情况比较（</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left="0" w:firstLine="42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投入本项目作业车辆情况比较（</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在满足采购文件基础要求上，投标人承诺新增车辆，</w:t>
      </w:r>
      <w:r>
        <w:rPr>
          <w:rFonts w:hint="eastAsia" w:ascii="宋体" w:hAnsi="宋体" w:eastAsia="宋体" w:cs="宋体"/>
          <w:color w:val="auto"/>
          <w:sz w:val="21"/>
          <w:szCs w:val="21"/>
          <w:highlight w:val="none"/>
        </w:rPr>
        <w:t xml:space="preserve">包括水车、</w:t>
      </w:r>
      <w:r>
        <w:rPr>
          <w:rFonts w:hint="eastAsia" w:ascii="宋体" w:hAnsi="宋体" w:eastAsia="宋体" w:cs="宋体"/>
          <w:color w:val="auto"/>
          <w:sz w:val="21"/>
          <w:szCs w:val="21"/>
          <w:highlight w:val="none"/>
          <w:lang w:val="en-US" w:eastAsia="zh-CN"/>
        </w:rPr>
        <w:t xml:space="preserve">清运卡车、</w:t>
      </w:r>
      <w:r>
        <w:rPr>
          <w:rFonts w:hint="eastAsia" w:ascii="宋体" w:hAnsi="宋体" w:eastAsia="宋体" w:cs="宋体"/>
          <w:color w:val="auto"/>
          <w:sz w:val="21"/>
          <w:szCs w:val="21"/>
          <w:highlight w:val="none"/>
        </w:rPr>
        <w:t xml:space="preserve">养护人员接送车辆。</w:t>
      </w:r>
      <w:r>
        <w:rPr>
          <w:rFonts w:hint="eastAsia" w:ascii="宋体" w:hAnsi="宋体" w:eastAsia="宋体" w:cs="宋体"/>
          <w:color w:val="auto"/>
          <w:sz w:val="21"/>
          <w:szCs w:val="21"/>
          <w:highlight w:val="none"/>
          <w:lang w:val="en-US" w:eastAsia="zh-CN"/>
        </w:rPr>
        <w:t xml:space="preserve">每增加一辆得3分，最高得9分。每种车辆限评一辆。</w:t>
      </w:r>
      <w:r/>
    </w:p>
    <w:p>
      <w:pPr>
        <w:pStyle w:val="906"/>
        <w:rPr>
          <w:rFonts w:hint="eastAsia" w:ascii="宋体" w:hAnsi="宋体" w:cs="宋体"/>
          <w:b/>
          <w:bCs/>
          <w:color w:val="auto"/>
          <w:sz w:val="21"/>
          <w:szCs w:val="22"/>
          <w:highlight w:val="none"/>
        </w:rPr>
      </w:pPr>
      <w:r>
        <w:rPr>
          <w:rFonts w:hint="eastAsia" w:ascii="宋体" w:hAnsi="宋体" w:cs="宋体"/>
          <w:b/>
          <w:bCs/>
          <w:color w:val="auto"/>
          <w:sz w:val="21"/>
          <w:szCs w:val="22"/>
          <w:highlight w:val="none"/>
        </w:rPr>
      </w:r>
      <w:r/>
    </w:p>
    <w:p>
      <w:pPr>
        <w:rPr>
          <w:rFonts w:hint="eastAsia"/>
          <w:color w:val="auto"/>
          <w:highlight w:val="none"/>
        </w:rPr>
      </w:pPr>
      <w:r>
        <w:rPr>
          <w:rFonts w:hint="eastAsia"/>
          <w:color w:val="auto"/>
          <w:highlight w:val="none"/>
        </w:rPr>
      </w:r>
      <w:r/>
    </w:p>
    <w:p>
      <w:pPr>
        <w:ind w:left="0"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p>
      <w:pPr>
        <w:ind w:left="0" w:firstLine="422"/>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t xml:space="preserve">1</w:t>
      </w:r>
      <w:r>
        <w:rPr>
          <w:rFonts w:hint="eastAsia" w:ascii="宋体" w:hAnsi="宋体" w:cs="宋体"/>
          <w:b/>
          <w:color w:val="auto"/>
          <w:sz w:val="21"/>
          <w:szCs w:val="21"/>
          <w:highlight w:val="none"/>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2.供应商必须保证全部响应资料的真实性，如有虚假或对采购文件所要求说明的情况故意隐瞒或虚报，按《中华人民共和国政府采购法》第七十七条的相关办法处理。</w:t>
      </w:r>
      <w:r/>
    </w:p>
    <w:p>
      <w:pPr>
        <w:pStyle w:val="960"/>
        <w:ind w:left="0" w:firstLine="0"/>
        <w:jc w:val="center"/>
        <w:rPr>
          <w:rFonts w:hint="eastAsia"/>
          <w:color w:val="auto"/>
          <w:highlight w:val="none"/>
        </w:rPr>
      </w:pPr>
      <w:r>
        <w:rPr>
          <w:rFonts w:hint="eastAsia"/>
          <w:color w:val="auto"/>
          <w:highlight w:val="none"/>
        </w:rPr>
        <w:t xml:space="preserve">（全文完）</w:t>
      </w:r>
      <w:r/>
    </w:p>
    <w:sectPr>
      <w:footerReference w:type="default" r:id="rId15"/>
      <w:footerReference w:type="first" r:id="rId16"/>
      <w:footnotePr/>
      <w:endnotePr/>
      <w:type w:val="nextPage"/>
      <w:pgSz w:w="11906" w:h="16838" w:orient="portrait"/>
      <w:pgMar w:top="1247" w:right="1247" w:bottom="1247" w:left="1247"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黑体">
    <w:panose1 w:val="02010609060101010101"/>
  </w:font>
  <w:font w:name="楷体_GB2312">
    <w:panose1 w:val="02010609060101010101"/>
  </w:font>
  <w:font w:name="Arial Unicode MS">
    <w:panose1 w:val="020B0604020202020204"/>
  </w:font>
  <w:font w:name="创艺简仿宋">
    <w:panose1 w:val="020B0503020202020204"/>
  </w:font>
  <w:font w:name="Arial">
    <w:panose1 w:val="020B0604020202020204"/>
  </w:font>
  <w:font w:name="Calibri">
    <w:panose1 w:val="020F050202020403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4"/>
                            <w:ind w:firstLine="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- 1 -</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4"/>
                      <w:ind w:firstLine="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- 1 -</w:t>
                    </w:r>
                    <w:r>
                      <w:rPr>
                        <w:rFonts w:hint="eastAsia"/>
                      </w:rPr>
                      <w:fldChar w:fldCharType="end"/>
                    </w:r>
                    <w:r/>
                  </w:p>
                  <w:p>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12"/>
      </w:rPr>
      <w:framePr w:wrap="around" w:vAnchor="text" w:hAnchor="margin" w:xAlign="center" w:y="1"/>
    </w:pPr>
    <w:r>
      <w:fldChar w:fldCharType="begin"/>
    </w:r>
    <w:r>
      <w:rPr>
        <w:rStyle w:val="912"/>
      </w:rPr>
      <w:instrText xml:space="preserve"> PAGE </w:instrText>
    </w:r>
    <w:r>
      <w:fldChar w:fldCharType="separate"/>
    </w:r>
    <w:r>
      <w:fldChar w:fldCharType="end"/>
    </w:r>
    <w:r/>
  </w:p>
  <w:p>
    <w:pPr>
      <w:pStyle w:val="9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wps:spPr>
                    <wps:txbx>
                      <w:txbxContent>
                        <w:p>
                          <w:pPr>
                            <w:pStyle w:val="94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w:t>
                          </w:r>
                          <w:r>
                            <w:t xml:space="preserve"> 1 -</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isibility:visible;" filled="f" stroked="f" strokeweight="0.50pt">
              <v:textbox inset="0,0,0,0">
                <w:txbxContent>
                  <w:p>
                    <w:pPr>
                      <w:pStyle w:val="94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w:t>
                    </w:r>
                    <w:r>
                      <w:t xml:space="preserve"> 1 -</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4"/>
                            <w:ind w:firstLine="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- 2 -</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4"/>
                      <w:ind w:firstLine="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- 2 -</w:t>
                    </w:r>
                    <w:r>
                      <w:rPr>
                        <w:rFonts w:hint="eastAsia"/>
                      </w:rPr>
                      <w:fldChar w:fldCharType="end"/>
                    </w:r>
                    <w:r/>
                  </w:p>
                  <w:p>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w:t>
                          </w:r>
                          <w:r>
                            <w:t xml:space="preserve"> 2 -</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w:t>
                    </w:r>
                    <w:r>
                      <w:t xml:space="preserve"> 2 -</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50"/>
        <w:ind w:firstLine="0"/>
        <w:spacing w:line="240" w:lineRule="auto"/>
        <w:rPr>
          <w:rFonts w:ascii="宋体" w:hAnsi="宋体"/>
          <w:color w:val="000000"/>
        </w:rPr>
      </w:pPr>
      <w:r>
        <w:rPr>
          <w:rFonts w:hint="eastAsia" w:ascii="宋体" w:hAnsi="宋体"/>
          <w:b/>
          <w:color w:val="000000"/>
        </w:rPr>
        <w:footnoteRef/>
      </w: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50"/>
        <w:ind w:firstLine="600"/>
        <w:spacing w:line="240" w:lineRule="auto"/>
        <w:rPr>
          <w:rFonts w:ascii="宋体" w:hAnsi="宋体"/>
          <w:color w:val="000000"/>
        </w:rPr>
      </w:pPr>
      <w:r>
        <w:rPr>
          <w:rFonts w:hint="eastAsia" w:ascii="宋体" w:hAnsi="宋体"/>
          <w:color w:val="000000"/>
          <w:lang w:val="en-US" w:eastAsia="zh-CN"/>
        </w:rPr>
        <w:t xml:space="preserve">2</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950"/>
        <w:ind w:firstLine="600"/>
        <w:spacing w:line="240" w:lineRule="auto"/>
        <w:rPr>
          <w:rFonts w:ascii="宋体" w:hAnsi="宋体"/>
          <w:color w:val="000000"/>
        </w:rPr>
      </w:pPr>
      <w:r>
        <w:rPr>
          <w:rFonts w:hint="eastAsia" w:ascii="宋体" w:hAnsi="宋体"/>
          <w:color w:val="000000"/>
          <w:lang w:val="en-US" w:eastAsia="zh-CN"/>
        </w:rPr>
        <w:t xml:space="preserve">3</w:t>
      </w:r>
      <w:r>
        <w:rPr>
          <w:rFonts w:ascii="宋体" w:hAnsi="宋体"/>
          <w:color w:val="000000"/>
        </w:rPr>
        <w:t xml:space="preserve">.</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50"/>
        <w:ind w:firstLine="600"/>
        <w:spacing w:line="240" w:lineRule="auto"/>
        <w:rPr>
          <w:rFonts w:ascii="宋体" w:hAnsi="宋体"/>
          <w:highlight w:val="yellow"/>
        </w:rPr>
      </w:pPr>
      <w:r>
        <w:rPr>
          <w:rFonts w:ascii="宋体" w:hAnsi="宋体"/>
          <w:highlight w:val="yellow"/>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none" w:color="000000" w:sz="0" w:space="1"/>
      </w:pBdr>
    </w:pPr>
    <w:r>
      <w:rPr>
        <w:rFonts w:ascii="宋体" w:hAnsi="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0"/>
      <w:jc w:val="both"/>
      <w:rPr>
        <w:rFonts w:hint="eastAsia" w:eastAsia="宋体"/>
        <w:lang w:eastAsia="zh-CN"/>
      </w:rPr>
      <w:pBdr>
        <w:bottom w:val="single" w:color="000000" w:sz="4" w:space="0"/>
      </w:pBdr>
    </w:pPr>
    <w:r>
      <w:rPr>
        <w:rFonts w:hint="eastAsia" w:ascii="宋体" w:hAnsi="宋体"/>
        <w:sz w:val="18"/>
      </w:rPr>
      <w:t xml:space="preserve">苏州至贞招投标咨询服务有限公司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JSZC-320506-ZZZB-C2024-0001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952"/>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5" w:default="1">
    <w:name w:val="Normal"/>
    <w:next w:val="877"/>
    <w:link w:val="918"/>
    <w:uiPriority w:val="0"/>
    <w:qFormat/>
    <w:pPr>
      <w:ind w:left="1024"/>
      <w:jc w:val="both"/>
    </w:pPr>
    <w:rPr>
      <w:rFonts w:hint="default" w:ascii="Calibri" w:hAnsi="Calibri" w:eastAsia="宋体" w:cs="Times New Roman"/>
      <w:lang w:eastAsia="zh-CN"/>
    </w:rPr>
  </w:style>
  <w:style w:type="paragraph" w:styleId="866">
    <w:name w:val="Heading 1"/>
    <w:next w:val="865"/>
    <w:link w:val="948"/>
    <w:uiPriority w:val="0"/>
    <w:qFormat/>
    <w:pPr>
      <w:ind w:left="432" w:firstLine="18"/>
      <w:spacing w:before="340" w:after="330" w:line="578" w:lineRule="auto"/>
      <w:outlineLvl w:val="0"/>
    </w:pPr>
    <w:rPr>
      <w:rFonts w:hint="default" w:ascii="Calibri" w:hAnsi="Calibri" w:eastAsia="宋体" w:cs="Times New Roman"/>
      <w:lang w:eastAsia="zh-CN"/>
    </w:rPr>
  </w:style>
  <w:style w:type="paragraph" w:styleId="867">
    <w:name w:val="Heading 2"/>
    <w:basedOn w:val="865"/>
    <w:next w:val="865"/>
    <w:link w:val="946"/>
    <w:uiPriority w:val="9"/>
    <w:unhideWhenUsed/>
    <w:qFormat/>
    <w:pPr>
      <w:keepLines/>
      <w:keepNext/>
      <w:spacing w:before="360" w:after="200"/>
      <w:outlineLvl w:val="1"/>
    </w:pPr>
    <w:rPr>
      <w:rFonts w:ascii="Arial" w:hAnsi="Arial" w:eastAsia="Arial" w:cs="Arial"/>
      <w:sz w:val="34"/>
    </w:rPr>
  </w:style>
  <w:style w:type="paragraph" w:styleId="868">
    <w:name w:val="Heading 3"/>
    <w:basedOn w:val="865"/>
    <w:next w:val="865"/>
    <w:link w:val="942"/>
    <w:uiPriority w:val="9"/>
    <w:unhideWhenUsed/>
    <w:qFormat/>
    <w:pPr>
      <w:keepLines/>
      <w:keepNext/>
      <w:spacing w:before="320" w:after="200"/>
      <w:outlineLvl w:val="2"/>
    </w:pPr>
    <w:rPr>
      <w:rFonts w:ascii="Arial" w:hAnsi="Arial" w:eastAsia="Arial" w:cs="Arial"/>
      <w:sz w:val="30"/>
      <w:szCs w:val="30"/>
    </w:rPr>
  </w:style>
  <w:style w:type="paragraph" w:styleId="869">
    <w:name w:val="Heading 4"/>
    <w:basedOn w:val="865"/>
    <w:next w:val="865"/>
    <w:link w:val="930"/>
    <w:uiPriority w:val="9"/>
    <w:unhideWhenUsed/>
    <w:qFormat/>
    <w:pPr>
      <w:keepLines/>
      <w:keepNext/>
      <w:spacing w:before="320" w:after="200"/>
      <w:outlineLvl w:val="3"/>
    </w:pPr>
    <w:rPr>
      <w:rFonts w:ascii="Arial" w:hAnsi="Arial" w:eastAsia="Arial" w:cs="Arial"/>
      <w:b/>
      <w:bCs/>
      <w:sz w:val="26"/>
      <w:szCs w:val="26"/>
    </w:rPr>
  </w:style>
  <w:style w:type="paragraph" w:styleId="870">
    <w:name w:val="Heading 5"/>
    <w:basedOn w:val="865"/>
    <w:next w:val="865"/>
    <w:link w:val="919"/>
    <w:uiPriority w:val="9"/>
    <w:unhideWhenUsed/>
    <w:qFormat/>
    <w:pPr>
      <w:keepLines/>
      <w:keepNext/>
      <w:spacing w:before="320" w:after="200"/>
      <w:outlineLvl w:val="4"/>
    </w:pPr>
    <w:rPr>
      <w:rFonts w:ascii="Arial" w:hAnsi="Arial" w:eastAsia="Arial" w:cs="Arial"/>
      <w:b/>
      <w:bCs/>
      <w:sz w:val="24"/>
      <w:szCs w:val="24"/>
    </w:rPr>
  </w:style>
  <w:style w:type="paragraph" w:styleId="871">
    <w:name w:val="Heading 6"/>
    <w:basedOn w:val="865"/>
    <w:next w:val="865"/>
    <w:link w:val="927"/>
    <w:uiPriority w:val="9"/>
    <w:unhideWhenUsed/>
    <w:qFormat/>
    <w:pPr>
      <w:keepLines/>
      <w:keepNext/>
      <w:spacing w:before="320" w:after="200"/>
      <w:outlineLvl w:val="5"/>
    </w:pPr>
    <w:rPr>
      <w:rFonts w:ascii="Arial" w:hAnsi="Arial" w:eastAsia="Arial" w:cs="Arial"/>
      <w:b/>
      <w:bCs/>
      <w:sz w:val="22"/>
      <w:szCs w:val="22"/>
    </w:rPr>
  </w:style>
  <w:style w:type="paragraph" w:styleId="872">
    <w:name w:val="Heading 7"/>
    <w:basedOn w:val="865"/>
    <w:next w:val="865"/>
    <w:link w:val="920"/>
    <w:uiPriority w:val="9"/>
    <w:unhideWhenUsed/>
    <w:qFormat/>
    <w:pPr>
      <w:keepLines/>
      <w:keepNext/>
      <w:spacing w:before="320" w:after="200"/>
      <w:outlineLvl w:val="6"/>
    </w:pPr>
    <w:rPr>
      <w:rFonts w:ascii="Arial" w:hAnsi="Arial" w:eastAsia="Arial" w:cs="Arial"/>
      <w:b/>
      <w:bCs/>
      <w:i/>
      <w:iCs/>
      <w:sz w:val="22"/>
      <w:szCs w:val="22"/>
    </w:rPr>
  </w:style>
  <w:style w:type="paragraph" w:styleId="873">
    <w:name w:val="Heading 8"/>
    <w:basedOn w:val="865"/>
    <w:next w:val="865"/>
    <w:link w:val="941"/>
    <w:uiPriority w:val="9"/>
    <w:unhideWhenUsed/>
    <w:qFormat/>
    <w:pPr>
      <w:keepLines/>
      <w:keepNext/>
      <w:spacing w:before="320" w:after="200"/>
      <w:outlineLvl w:val="7"/>
    </w:pPr>
    <w:rPr>
      <w:rFonts w:ascii="Arial" w:hAnsi="Arial" w:eastAsia="Arial" w:cs="Arial"/>
      <w:i/>
      <w:iCs/>
      <w:sz w:val="22"/>
      <w:szCs w:val="22"/>
    </w:rPr>
  </w:style>
  <w:style w:type="paragraph" w:styleId="874">
    <w:name w:val="Heading 9"/>
    <w:basedOn w:val="865"/>
    <w:next w:val="865"/>
    <w:link w:val="947"/>
    <w:uiPriority w:val="9"/>
    <w:unhideWhenUsed/>
    <w:qFormat/>
    <w:pPr>
      <w:keepLines/>
      <w:keepNext/>
      <w:spacing w:before="320" w:after="200"/>
      <w:outlineLvl w:val="8"/>
    </w:pPr>
    <w:rPr>
      <w:rFonts w:ascii="Arial" w:hAnsi="Arial" w:eastAsia="Arial" w:cs="Arial"/>
      <w:i/>
      <w:iCs/>
      <w:sz w:val="21"/>
      <w:szCs w:val="21"/>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customStyle="1">
    <w:name w:val="正文文本缩进11"/>
    <w:basedOn w:val="865"/>
    <w:next w:val="878"/>
    <w:uiPriority w:val="0"/>
    <w:qFormat/>
    <w:pPr>
      <w:ind w:firstLine="435"/>
      <w:spacing w:line="480" w:lineRule="exact"/>
    </w:pPr>
    <w:rPr>
      <w:sz w:val="24"/>
    </w:rPr>
  </w:style>
  <w:style w:type="paragraph" w:styleId="878" w:customStyle="1">
    <w:name w:val="寄信人地址1"/>
    <w:basedOn w:val="865"/>
    <w:uiPriority w:val="0"/>
    <w:qFormat/>
    <w:rPr>
      <w:rFonts w:ascii="Arial" w:hAnsi="Arial" w:eastAsia="楷体_GB2312"/>
      <w:sz w:val="26"/>
    </w:rPr>
  </w:style>
  <w:style w:type="paragraph" w:styleId="879">
    <w:name w:val="toc 7"/>
    <w:basedOn w:val="865"/>
    <w:next w:val="865"/>
    <w:uiPriority w:val="39"/>
    <w:unhideWhenUsed/>
    <w:qFormat/>
    <w:pPr>
      <w:ind w:left="1701" w:right="0" w:firstLine="0"/>
      <w:spacing w:after="57"/>
    </w:pPr>
  </w:style>
  <w:style w:type="paragraph" w:styleId="880">
    <w:name w:val="Normal Indent"/>
    <w:basedOn w:val="865"/>
    <w:next w:val="865"/>
    <w:uiPriority w:val="0"/>
    <w:qFormat/>
    <w:pPr>
      <w:ind w:firstLine="420"/>
      <w:jc w:val="left"/>
    </w:pPr>
    <w:rPr>
      <w:rFonts w:ascii="Times New Roman" w:hAnsi="Times New Roman" w:eastAsia="宋体" w:cs="Times New Roman"/>
      <w:sz w:val="24"/>
    </w:rPr>
  </w:style>
  <w:style w:type="paragraph" w:styleId="881">
    <w:name w:val="Caption"/>
    <w:basedOn w:val="865"/>
    <w:next w:val="8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2">
    <w:name w:val="Body Text"/>
    <w:basedOn w:val="865"/>
    <w:next w:val="880"/>
    <w:uiPriority w:val="0"/>
    <w:qFormat/>
    <w:pPr>
      <w:spacing w:after="120"/>
    </w:pPr>
  </w:style>
  <w:style w:type="paragraph" w:styleId="883">
    <w:name w:val="Body Text Indent"/>
    <w:basedOn w:val="865"/>
    <w:next w:val="884"/>
    <w:uiPriority w:val="0"/>
    <w:qFormat/>
    <w:pPr>
      <w:ind w:left="420"/>
      <w:spacing w:after="120"/>
    </w:pPr>
  </w:style>
  <w:style w:type="paragraph" w:styleId="884" w:customStyle="1">
    <w:name w:val="目录 51"/>
    <w:basedOn w:val="865"/>
    <w:next w:val="865"/>
    <w:uiPriority w:val="39"/>
    <w:unhideWhenUsed/>
    <w:qFormat/>
    <w:pPr>
      <w:ind w:left="1134" w:right="0" w:firstLine="0"/>
      <w:spacing w:after="57"/>
    </w:pPr>
  </w:style>
  <w:style w:type="paragraph" w:styleId="885">
    <w:name w:val="toc 5"/>
    <w:basedOn w:val="865"/>
    <w:next w:val="865"/>
    <w:uiPriority w:val="39"/>
    <w:unhideWhenUsed/>
    <w:qFormat/>
    <w:pPr>
      <w:ind w:left="1134" w:right="0" w:firstLine="0"/>
      <w:spacing w:after="57"/>
    </w:pPr>
  </w:style>
  <w:style w:type="paragraph" w:styleId="886">
    <w:name w:val="toc 3"/>
    <w:basedOn w:val="865"/>
    <w:next w:val="865"/>
    <w:uiPriority w:val="39"/>
    <w:unhideWhenUsed/>
    <w:qFormat/>
    <w:pPr>
      <w:ind w:left="567" w:right="0" w:firstLine="0"/>
      <w:spacing w:after="57"/>
    </w:pPr>
  </w:style>
  <w:style w:type="paragraph" w:styleId="887">
    <w:name w:val="toc 8"/>
    <w:basedOn w:val="865"/>
    <w:next w:val="865"/>
    <w:uiPriority w:val="39"/>
    <w:unhideWhenUsed/>
    <w:qFormat/>
    <w:pPr>
      <w:ind w:left="1984" w:right="0" w:firstLine="0"/>
      <w:spacing w:after="57"/>
    </w:pPr>
  </w:style>
  <w:style w:type="paragraph" w:styleId="888">
    <w:name w:val="endnote text"/>
    <w:basedOn w:val="865"/>
    <w:uiPriority w:val="99"/>
    <w:semiHidden/>
    <w:unhideWhenUsed/>
    <w:qFormat/>
    <w:pPr>
      <w:spacing w:after="0" w:line="240" w:lineRule="auto"/>
    </w:pPr>
    <w:rPr>
      <w:sz w:val="20"/>
    </w:rPr>
  </w:style>
  <w:style w:type="paragraph" w:styleId="889">
    <w:name w:val="Footer"/>
    <w:basedOn w:val="865"/>
    <w:uiPriority w:val="99"/>
    <w:unhideWhenUsed/>
    <w:qFormat/>
    <w:pPr>
      <w:spacing w:after="0" w:line="240" w:lineRule="auto"/>
      <w:tabs>
        <w:tab w:val="center" w:pos="7143" w:leader="none"/>
        <w:tab w:val="right" w:pos="14287" w:leader="none"/>
      </w:tabs>
    </w:pPr>
  </w:style>
  <w:style w:type="paragraph" w:styleId="890">
    <w:name w:val="Header"/>
    <w:basedOn w:val="865"/>
    <w:uiPriority w:val="99"/>
    <w:unhideWhenUsed/>
    <w:qFormat/>
    <w:pPr>
      <w:spacing w:after="0" w:line="240" w:lineRule="auto"/>
      <w:tabs>
        <w:tab w:val="center" w:pos="7143" w:leader="none"/>
        <w:tab w:val="right" w:pos="14287" w:leader="none"/>
      </w:tabs>
    </w:pPr>
  </w:style>
  <w:style w:type="paragraph" w:styleId="891">
    <w:name w:val="toc 1"/>
    <w:basedOn w:val="865"/>
    <w:next w:val="865"/>
    <w:uiPriority w:val="39"/>
    <w:unhideWhenUsed/>
    <w:qFormat/>
    <w:pPr>
      <w:ind w:left="0" w:right="0" w:firstLine="0"/>
      <w:spacing w:after="57"/>
    </w:pPr>
  </w:style>
  <w:style w:type="paragraph" w:styleId="892">
    <w:name w:val="toc 4"/>
    <w:basedOn w:val="865"/>
    <w:next w:val="865"/>
    <w:uiPriority w:val="39"/>
    <w:unhideWhenUsed/>
    <w:qFormat/>
    <w:pPr>
      <w:ind w:left="850" w:right="0" w:firstLine="0"/>
      <w:spacing w:after="57"/>
    </w:pPr>
  </w:style>
  <w:style w:type="paragraph" w:styleId="893">
    <w:name w:val="Subtitle"/>
    <w:basedOn w:val="865"/>
    <w:next w:val="865"/>
    <w:uiPriority w:val="11"/>
    <w:qFormat/>
    <w:pPr>
      <w:spacing w:before="200" w:after="200"/>
    </w:pPr>
    <w:rPr>
      <w:sz w:val="24"/>
      <w:szCs w:val="24"/>
    </w:rPr>
  </w:style>
  <w:style w:type="paragraph" w:styleId="894">
    <w:name w:val="footnote text"/>
    <w:basedOn w:val="865"/>
    <w:uiPriority w:val="99"/>
    <w:semiHidden/>
    <w:unhideWhenUsed/>
    <w:qFormat/>
    <w:pPr>
      <w:spacing w:after="40" w:line="240" w:lineRule="auto"/>
    </w:pPr>
    <w:rPr>
      <w:sz w:val="18"/>
    </w:rPr>
  </w:style>
  <w:style w:type="paragraph" w:styleId="895">
    <w:name w:val="toc 6"/>
    <w:basedOn w:val="865"/>
    <w:next w:val="865"/>
    <w:uiPriority w:val="39"/>
    <w:unhideWhenUsed/>
    <w:qFormat/>
    <w:pPr>
      <w:ind w:left="1417" w:right="0" w:firstLine="0"/>
      <w:spacing w:after="57"/>
    </w:pPr>
  </w:style>
  <w:style w:type="paragraph" w:styleId="896">
    <w:name w:val="table of figures"/>
    <w:basedOn w:val="865"/>
    <w:next w:val="865"/>
    <w:uiPriority w:val="99"/>
    <w:unhideWhenUsed/>
    <w:qFormat/>
    <w:pPr>
      <w:spacing w:after="0" w:afterAutospacing="0"/>
    </w:pPr>
  </w:style>
  <w:style w:type="paragraph" w:styleId="897">
    <w:name w:val="toc 2"/>
    <w:basedOn w:val="865"/>
    <w:next w:val="865"/>
    <w:uiPriority w:val="39"/>
    <w:unhideWhenUsed/>
    <w:qFormat/>
    <w:pPr>
      <w:ind w:left="283" w:right="0" w:firstLine="0"/>
      <w:spacing w:after="57"/>
    </w:pPr>
  </w:style>
  <w:style w:type="paragraph" w:styleId="898">
    <w:name w:val="toc 9"/>
    <w:basedOn w:val="865"/>
    <w:next w:val="865"/>
    <w:uiPriority w:val="39"/>
    <w:unhideWhenUsed/>
    <w:qFormat/>
    <w:pPr>
      <w:ind w:left="2268" w:right="0" w:firstLine="0"/>
      <w:spacing w:after="57"/>
    </w:pPr>
  </w:style>
  <w:style w:type="paragraph" w:styleId="899">
    <w:name w:val="Title"/>
    <w:basedOn w:val="865"/>
    <w:next w:val="865"/>
    <w:uiPriority w:val="10"/>
    <w:qFormat/>
    <w:pPr>
      <w:contextualSpacing/>
      <w:spacing w:before="300" w:after="200"/>
    </w:pPr>
    <w:rPr>
      <w:sz w:val="48"/>
      <w:szCs w:val="48"/>
    </w:rPr>
  </w:style>
  <w:style w:type="paragraph" w:styleId="900">
    <w:name w:val="Body Text First Indent"/>
    <w:basedOn w:val="882"/>
    <w:next w:val="865"/>
    <w:uiPriority w:val="0"/>
    <w:qFormat/>
    <w:pPr>
      <w:ind w:firstLine="420"/>
      <w:tabs>
        <w:tab w:val="left" w:pos="5250" w:leader="none"/>
      </w:tabs>
    </w:pPr>
    <w:rPr>
      <w:sz w:val="21"/>
    </w:rPr>
  </w:style>
  <w:style w:type="paragraph" w:styleId="901">
    <w:name w:val="Body Text First Indent 2"/>
    <w:basedOn w:val="883"/>
    <w:uiPriority w:val="99"/>
    <w:unhideWhenUsed/>
    <w:qFormat/>
    <w:pPr>
      <w:ind w:firstLine="420"/>
    </w:pPr>
    <w:rPr>
      <w:rFonts w:ascii="楷体_GB2312" w:eastAsia="楷体_GB2312"/>
    </w:rPr>
  </w:style>
  <w:style w:type="table" w:styleId="9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3">
    <w:name w:val="endnote reference"/>
    <w:uiPriority w:val="99"/>
    <w:semiHidden/>
    <w:unhideWhenUsed/>
    <w:qFormat/>
    <w:rPr>
      <w:vertAlign w:val="superscript"/>
    </w:rPr>
  </w:style>
  <w:style w:type="character" w:styleId="904">
    <w:name w:val="Hyperlink"/>
    <w:uiPriority w:val="99"/>
    <w:unhideWhenUsed/>
    <w:qFormat/>
    <w:rPr>
      <w:color w:val="0000ff" w:themeColor="hyperlink"/>
      <w:u w:val="single"/>
      <w14:textFill>
        <w14:solidFill>
          <w14:schemeClr w14:val="hlink"/>
        </w14:solidFill>
      </w14:textFill>
    </w:rPr>
  </w:style>
  <w:style w:type="character" w:styleId="905">
    <w:name w:val="footnote reference"/>
    <w:uiPriority w:val="99"/>
    <w:unhideWhenUsed/>
    <w:qFormat/>
    <w:rPr>
      <w:vertAlign w:val="superscript"/>
    </w:rPr>
  </w:style>
  <w:style w:type="paragraph" w:styleId="906" w:customStyle="1">
    <w:name w:val="段"/>
    <w:next w:val="865"/>
    <w:uiPriority w:val="0"/>
    <w:qFormat/>
    <w:pPr>
      <w:ind w:firstLine="200"/>
      <w:jc w:val="both"/>
      <w:spacing w:line="360" w:lineRule="auto"/>
    </w:pPr>
    <w:rPr>
      <w:rFonts w:hint="default" w:ascii="宋体" w:hAnsi="Calibri" w:eastAsia="宋体" w:cs="Times New Roman"/>
      <w:sz w:val="24"/>
      <w:szCs w:val="22"/>
      <w:lang w:eastAsia="zh-CN"/>
    </w:rPr>
  </w:style>
  <w:style w:type="paragraph" w:styleId="907" w:customStyle="1">
    <w:name w:val="一级条标题"/>
    <w:basedOn w:val="908"/>
    <w:next w:val="906"/>
    <w:uiPriority w:val="0"/>
    <w:qFormat/>
    <w:pPr>
      <w:ind w:left="420"/>
      <w:spacing w:line="240" w:lineRule="auto"/>
      <w:outlineLvl w:val="2"/>
    </w:pPr>
  </w:style>
  <w:style w:type="paragraph" w:styleId="908" w:customStyle="1">
    <w:name w:val="章标题"/>
    <w:next w:val="865"/>
    <w:uiPriority w:val="0"/>
    <w:qFormat/>
    <w:pPr>
      <w:jc w:val="both"/>
      <w:spacing w:line="360" w:lineRule="auto"/>
      <w:outlineLvl w:val="1"/>
    </w:pPr>
    <w:rPr>
      <w:rFonts w:hint="default" w:ascii="黑体" w:hAnsi="Calibri" w:eastAsia="黑体" w:cs="黑体"/>
      <w:sz w:val="21"/>
      <w:szCs w:val="21"/>
      <w:lang w:val="en-US" w:eastAsia="zh-CN" w:bidi="ar-SA"/>
    </w:rPr>
  </w:style>
  <w:style w:type="character" w:styleId="909" w:customStyle="1">
    <w:name w:val="默认段落字体1"/>
    <w:link w:val="865"/>
    <w:uiPriority w:val="1"/>
    <w:unhideWhenUsed/>
    <w:qFormat/>
  </w:style>
  <w:style w:type="table" w:styleId="910" w:customStyle="1">
    <w:name w:val="普通表格1"/>
    <w:uiPriority w:val="99"/>
    <w:unhideWhenUsed/>
    <w:qFormat/>
    <w:tblPr/>
  </w:style>
  <w:style w:type="character" w:styleId="911" w:customStyle="1">
    <w:name w:val="超链接1"/>
    <w:link w:val="865"/>
    <w:uiPriority w:val="99"/>
    <w:qFormat/>
    <w:rPr>
      <w:color w:val="0000ff"/>
      <w:sz w:val="20"/>
      <w:u w:val="single"/>
    </w:rPr>
  </w:style>
  <w:style w:type="character" w:styleId="912" w:customStyle="1">
    <w:name w:val="页码1"/>
    <w:link w:val="865"/>
    <w:uiPriority w:val="0"/>
    <w:qFormat/>
    <w:rPr>
      <w:sz w:val="20"/>
    </w:rPr>
  </w:style>
  <w:style w:type="character" w:styleId="913" w:customStyle="1">
    <w:name w:val="脚注引用1"/>
    <w:link w:val="865"/>
    <w:uiPriority w:val="0"/>
    <w:unhideWhenUsed/>
    <w:qFormat/>
    <w:rPr>
      <w:vertAlign w:val="superscript"/>
    </w:rPr>
  </w:style>
  <w:style w:type="character" w:styleId="914" w:customStyle="1">
    <w:name w:val="强调1"/>
    <w:basedOn w:val="909"/>
    <w:link w:val="865"/>
    <w:uiPriority w:val="0"/>
    <w:qFormat/>
  </w:style>
  <w:style w:type="character" w:styleId="915" w:customStyle="1">
    <w:name w:val="批注引用1"/>
    <w:basedOn w:val="909"/>
    <w:link w:val="865"/>
    <w:uiPriority w:val="0"/>
    <w:qFormat/>
    <w:rPr>
      <w:sz w:val="21"/>
      <w:szCs w:val="21"/>
    </w:rPr>
  </w:style>
  <w:style w:type="character" w:styleId="916" w:customStyle="1">
    <w:name w:val="要点1"/>
    <w:basedOn w:val="909"/>
    <w:link w:val="865"/>
    <w:uiPriority w:val="0"/>
    <w:qFormat/>
    <w:rPr>
      <w:rFonts w:ascii="Times New Roman" w:hAnsi="Times New Roman" w:eastAsia="宋体" w:cs="Times New Roman"/>
      <w:b/>
      <w:bCs/>
    </w:rPr>
  </w:style>
  <w:style w:type="character" w:styleId="917" w:customStyle="1">
    <w:name w:val="尾注引用1"/>
    <w:basedOn w:val="909"/>
    <w:link w:val="865"/>
    <w:uiPriority w:val="99"/>
    <w:unhideWhenUsed/>
    <w:qFormat/>
    <w:rPr>
      <w:vertAlign w:val="superscript"/>
    </w:rPr>
  </w:style>
  <w:style w:type="character" w:styleId="918" w:customStyle="1">
    <w:name w:val="已访问的超链接1"/>
    <w:basedOn w:val="909"/>
    <w:link w:val="865"/>
    <w:uiPriority w:val="0"/>
    <w:qFormat/>
    <w:rPr>
      <w:color w:val="333333"/>
      <w:u w:val="none"/>
    </w:rPr>
  </w:style>
  <w:style w:type="character" w:styleId="919" w:customStyle="1">
    <w:name w:val="Heading 5 Char"/>
    <w:basedOn w:val="909"/>
    <w:link w:val="870"/>
    <w:uiPriority w:val="9"/>
    <w:qFormat/>
    <w:rPr>
      <w:rFonts w:ascii="Arial" w:hAnsi="Arial" w:eastAsia="Arial" w:cs="Arial"/>
      <w:b/>
      <w:bCs/>
      <w:sz w:val="24"/>
      <w:szCs w:val="24"/>
    </w:rPr>
  </w:style>
  <w:style w:type="character" w:styleId="920" w:customStyle="1">
    <w:name w:val="Heading 7 Char"/>
    <w:basedOn w:val="909"/>
    <w:link w:val="872"/>
    <w:uiPriority w:val="9"/>
    <w:qFormat/>
    <w:rPr>
      <w:rFonts w:ascii="Arial" w:hAnsi="Arial" w:eastAsia="Arial" w:cs="Arial"/>
      <w:b/>
      <w:bCs/>
      <w:i/>
      <w:iCs/>
      <w:sz w:val="22"/>
      <w:szCs w:val="22"/>
    </w:rPr>
  </w:style>
  <w:style w:type="character" w:styleId="921" w:customStyle="1">
    <w:name w:val="批注主题 字符"/>
    <w:basedOn w:val="922"/>
    <w:link w:val="924"/>
    <w:uiPriority w:val="0"/>
    <w:qFormat/>
    <w:rPr>
      <w:rFonts w:ascii="Calibri" w:hAnsi="Calibri" w:eastAsia="宋体"/>
      <w:b/>
      <w:bCs/>
    </w:rPr>
  </w:style>
  <w:style w:type="character" w:styleId="922" w:customStyle="1">
    <w:name w:val="批注文字 字符"/>
    <w:basedOn w:val="909"/>
    <w:link w:val="923"/>
    <w:uiPriority w:val="0"/>
    <w:qFormat/>
    <w:rPr>
      <w:rFonts w:ascii="Calibri" w:hAnsi="Calibri" w:eastAsia="宋体"/>
    </w:rPr>
  </w:style>
  <w:style w:type="paragraph" w:styleId="923" w:customStyle="1">
    <w:name w:val="批注文字1"/>
    <w:basedOn w:val="865"/>
    <w:link w:val="922"/>
    <w:uiPriority w:val="0"/>
    <w:qFormat/>
    <w:pPr>
      <w:jc w:val="left"/>
    </w:pPr>
  </w:style>
  <w:style w:type="paragraph" w:styleId="924" w:customStyle="1">
    <w:name w:val="批注主题1"/>
    <w:basedOn w:val="923"/>
    <w:next w:val="923"/>
    <w:link w:val="921"/>
    <w:uiPriority w:val="0"/>
    <w:qFormat/>
    <w:rPr>
      <w:b/>
      <w:bCs/>
    </w:rPr>
  </w:style>
  <w:style w:type="character" w:styleId="925" w:customStyle="1">
    <w:name w:val="Title Char"/>
    <w:basedOn w:val="909"/>
    <w:link w:val="926"/>
    <w:uiPriority w:val="10"/>
    <w:qFormat/>
    <w:rPr>
      <w:sz w:val="48"/>
      <w:szCs w:val="48"/>
    </w:rPr>
  </w:style>
  <w:style w:type="paragraph" w:styleId="926" w:customStyle="1">
    <w:name w:val="标题1"/>
    <w:basedOn w:val="865"/>
    <w:next w:val="865"/>
    <w:link w:val="925"/>
    <w:uiPriority w:val="10"/>
    <w:qFormat/>
    <w:pPr>
      <w:contextualSpacing/>
      <w:spacing w:before="300" w:after="200"/>
    </w:pPr>
    <w:rPr>
      <w:sz w:val="48"/>
      <w:szCs w:val="48"/>
    </w:rPr>
  </w:style>
  <w:style w:type="character" w:styleId="927" w:customStyle="1">
    <w:name w:val="Heading 6 Char"/>
    <w:basedOn w:val="909"/>
    <w:link w:val="871"/>
    <w:uiPriority w:val="9"/>
    <w:qFormat/>
    <w:rPr>
      <w:rFonts w:ascii="Arial" w:hAnsi="Arial" w:eastAsia="Arial" w:cs="Arial"/>
      <w:b/>
      <w:bCs/>
      <w:sz w:val="22"/>
      <w:szCs w:val="22"/>
    </w:rPr>
  </w:style>
  <w:style w:type="character" w:styleId="928" w:customStyle="1">
    <w:name w:val="Endnote Text Char"/>
    <w:link w:val="929"/>
    <w:uiPriority w:val="99"/>
    <w:qFormat/>
    <w:rPr>
      <w:sz w:val="20"/>
    </w:rPr>
  </w:style>
  <w:style w:type="paragraph" w:styleId="929" w:customStyle="1">
    <w:name w:val="尾注文本1"/>
    <w:basedOn w:val="865"/>
    <w:link w:val="928"/>
    <w:uiPriority w:val="99"/>
    <w:unhideWhenUsed/>
    <w:qFormat/>
    <w:pPr>
      <w:spacing w:after="0" w:line="240" w:lineRule="auto"/>
    </w:pPr>
    <w:rPr>
      <w:sz w:val="20"/>
    </w:rPr>
  </w:style>
  <w:style w:type="character" w:styleId="930" w:customStyle="1">
    <w:name w:val="Heading 4 Char"/>
    <w:basedOn w:val="909"/>
    <w:link w:val="869"/>
    <w:uiPriority w:val="9"/>
    <w:qFormat/>
    <w:rPr>
      <w:rFonts w:ascii="Arial" w:hAnsi="Arial" w:eastAsia="Arial" w:cs="Arial"/>
      <w:b/>
      <w:bCs/>
      <w:sz w:val="26"/>
      <w:szCs w:val="26"/>
    </w:rPr>
  </w:style>
  <w:style w:type="character" w:styleId="931" w:customStyle="1">
    <w:name w:val="Subtitle Char"/>
    <w:basedOn w:val="909"/>
    <w:link w:val="932"/>
    <w:uiPriority w:val="11"/>
    <w:qFormat/>
    <w:rPr>
      <w:sz w:val="24"/>
      <w:szCs w:val="24"/>
    </w:rPr>
  </w:style>
  <w:style w:type="paragraph" w:styleId="932" w:customStyle="1">
    <w:name w:val="副标题1"/>
    <w:basedOn w:val="865"/>
    <w:next w:val="865"/>
    <w:link w:val="931"/>
    <w:uiPriority w:val="11"/>
    <w:qFormat/>
    <w:pPr>
      <w:spacing w:before="200" w:after="200"/>
    </w:pPr>
    <w:rPr>
      <w:sz w:val="24"/>
      <w:szCs w:val="24"/>
    </w:rPr>
  </w:style>
  <w:style w:type="character" w:styleId="933" w:customStyle="1">
    <w:name w:val="Header Char"/>
    <w:basedOn w:val="909"/>
    <w:link w:val="934"/>
    <w:uiPriority w:val="99"/>
    <w:qFormat/>
  </w:style>
  <w:style w:type="paragraph" w:styleId="934" w:customStyle="1">
    <w:name w:val="Header1"/>
    <w:basedOn w:val="866"/>
    <w:next w:val="935"/>
    <w:link w:val="933"/>
    <w:uiPriority w:val="99"/>
    <w:qFormat/>
    <w:pPr>
      <w:ind w:left="0" w:firstLine="3584"/>
      <w:jc w:val="center"/>
      <w:spacing w:before="0" w:after="0" w:line="240" w:lineRule="auto"/>
    </w:pPr>
    <w:rPr>
      <w:lang w:val="zh-CN"/>
    </w:rPr>
  </w:style>
  <w:style w:type="paragraph" w:styleId="935" w:customStyle="1">
    <w:name w:val="日期1"/>
    <w:basedOn w:val="866"/>
    <w:next w:val="865"/>
    <w:uiPriority w:val="0"/>
    <w:qFormat/>
    <w:pPr>
      <w:ind w:left="0" w:firstLine="2560"/>
      <w:spacing w:before="0" w:after="0" w:line="240" w:lineRule="auto"/>
    </w:pPr>
  </w:style>
  <w:style w:type="character" w:styleId="936" w:customStyle="1">
    <w:name w:val="Intense Quote Char"/>
    <w:link w:val="937"/>
    <w:uiPriority w:val="30"/>
    <w:qFormat/>
    <w:rPr>
      <w:i/>
    </w:rPr>
  </w:style>
  <w:style w:type="paragraph" w:styleId="937">
    <w:name w:val="Intense Quote"/>
    <w:basedOn w:val="865"/>
    <w:next w:val="865"/>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Quote Char"/>
    <w:link w:val="939"/>
    <w:uiPriority w:val="29"/>
    <w:qFormat/>
    <w:rPr>
      <w:i/>
    </w:rPr>
  </w:style>
  <w:style w:type="paragraph" w:styleId="939">
    <w:name w:val="Quote"/>
    <w:basedOn w:val="865"/>
    <w:next w:val="865"/>
    <w:link w:val="938"/>
    <w:uiPriority w:val="29"/>
    <w:qFormat/>
    <w:pPr>
      <w:ind w:left="720" w:right="720"/>
    </w:pPr>
    <w:rPr>
      <w:i/>
    </w:rPr>
  </w:style>
  <w:style w:type="character" w:styleId="940" w:customStyle="1">
    <w:name w:val="Footer Char"/>
    <w:basedOn w:val="909"/>
    <w:uiPriority w:val="99"/>
    <w:qFormat/>
  </w:style>
  <w:style w:type="character" w:styleId="941" w:customStyle="1">
    <w:name w:val="Heading 8 Char"/>
    <w:basedOn w:val="909"/>
    <w:link w:val="873"/>
    <w:uiPriority w:val="9"/>
    <w:qFormat/>
    <w:rPr>
      <w:rFonts w:ascii="Arial" w:hAnsi="Arial" w:eastAsia="Arial" w:cs="Arial"/>
      <w:i/>
      <w:iCs/>
      <w:sz w:val="22"/>
      <w:szCs w:val="22"/>
    </w:rPr>
  </w:style>
  <w:style w:type="character" w:styleId="942" w:customStyle="1">
    <w:name w:val="Heading 3 Char"/>
    <w:basedOn w:val="909"/>
    <w:link w:val="868"/>
    <w:uiPriority w:val="9"/>
    <w:qFormat/>
    <w:rPr>
      <w:rFonts w:ascii="Arial" w:hAnsi="Arial" w:eastAsia="Arial" w:cs="Arial"/>
      <w:sz w:val="30"/>
      <w:szCs w:val="30"/>
    </w:rPr>
  </w:style>
  <w:style w:type="character" w:styleId="943" w:customStyle="1">
    <w:name w:val="Caption Char"/>
    <w:link w:val="944"/>
    <w:uiPriority w:val="99"/>
    <w:qFormat/>
  </w:style>
  <w:style w:type="paragraph" w:styleId="944" w:customStyle="1">
    <w:name w:val="Footer1"/>
    <w:basedOn w:val="866"/>
    <w:next w:val="945"/>
    <w:link w:val="943"/>
    <w:uiPriority w:val="99"/>
    <w:qFormat/>
    <w:pPr>
      <w:ind w:left="0" w:firstLine="3584"/>
      <w:spacing w:before="0" w:after="0" w:line="240" w:lineRule="auto"/>
    </w:pPr>
    <w:rPr>
      <w:lang w:val="zh-CN"/>
    </w:rPr>
  </w:style>
  <w:style w:type="paragraph" w:styleId="945" w:customStyle="1">
    <w:name w:val="Char Char Char Char Char Char Char Char Char Char Char Char Char"/>
    <w:basedOn w:val="866"/>
    <w:next w:val="865"/>
    <w:uiPriority w:val="0"/>
    <w:qFormat/>
    <w:pPr>
      <w:ind w:left="0" w:firstLine="3584"/>
      <w:spacing w:before="0" w:after="160" w:line="240" w:lineRule="exact"/>
    </w:pPr>
  </w:style>
  <w:style w:type="character" w:styleId="946" w:customStyle="1">
    <w:name w:val="Heading 2 Char"/>
    <w:basedOn w:val="909"/>
    <w:link w:val="867"/>
    <w:uiPriority w:val="9"/>
    <w:qFormat/>
    <w:rPr>
      <w:rFonts w:ascii="Arial" w:hAnsi="Arial" w:eastAsia="Arial" w:cs="Arial"/>
      <w:sz w:val="34"/>
    </w:rPr>
  </w:style>
  <w:style w:type="character" w:styleId="947" w:customStyle="1">
    <w:name w:val="Heading 9 Char"/>
    <w:basedOn w:val="909"/>
    <w:link w:val="874"/>
    <w:uiPriority w:val="9"/>
    <w:qFormat/>
    <w:rPr>
      <w:rFonts w:ascii="Arial" w:hAnsi="Arial" w:eastAsia="Arial" w:cs="Arial"/>
      <w:i/>
      <w:iCs/>
      <w:sz w:val="21"/>
      <w:szCs w:val="21"/>
    </w:rPr>
  </w:style>
  <w:style w:type="character" w:styleId="948" w:customStyle="1">
    <w:name w:val="Heading 1 Char"/>
    <w:basedOn w:val="909"/>
    <w:link w:val="866"/>
    <w:uiPriority w:val="9"/>
    <w:qFormat/>
    <w:rPr>
      <w:rFonts w:ascii="Arial" w:hAnsi="Arial" w:eastAsia="Arial" w:cs="Arial"/>
      <w:sz w:val="40"/>
      <w:szCs w:val="40"/>
    </w:rPr>
  </w:style>
  <w:style w:type="character" w:styleId="949" w:customStyle="1">
    <w:name w:val="Footnote Text Char"/>
    <w:link w:val="950"/>
    <w:uiPriority w:val="99"/>
    <w:qFormat/>
    <w:rPr>
      <w:sz w:val="18"/>
    </w:rPr>
  </w:style>
  <w:style w:type="paragraph" w:styleId="950" w:customStyle="1">
    <w:name w:val="脚注文本1"/>
    <w:basedOn w:val="866"/>
    <w:next w:val="951"/>
    <w:link w:val="949"/>
    <w:uiPriority w:val="0"/>
    <w:qFormat/>
    <w:pPr>
      <w:ind w:left="0" w:firstLine="3584"/>
      <w:spacing w:before="0" w:after="0" w:line="360" w:lineRule="auto"/>
    </w:pPr>
  </w:style>
  <w:style w:type="paragraph" w:styleId="951" w:customStyle="1">
    <w:name w:val="文本块1"/>
    <w:basedOn w:val="866"/>
    <w:next w:val="865"/>
    <w:uiPriority w:val="0"/>
    <w:qFormat/>
    <w:pPr>
      <w:ind w:left="420" w:right="33" w:firstLine="2560"/>
      <w:spacing w:before="0" w:after="0" w:line="240" w:lineRule="auto"/>
    </w:pPr>
  </w:style>
  <w:style w:type="paragraph" w:styleId="952" w:customStyle="1">
    <w:name w:val="列表项目符号1"/>
    <w:basedOn w:val="866"/>
    <w:next w:val="865"/>
    <w:uiPriority w:val="0"/>
    <w:qFormat/>
    <w:pPr>
      <w:numPr>
        <w:ilvl w:val="0"/>
        <w:numId w:val="1"/>
      </w:numPr>
    </w:pPr>
  </w:style>
  <w:style w:type="paragraph" w:styleId="953" w:customStyle="1">
    <w:name w:val="目录 91"/>
    <w:basedOn w:val="865"/>
    <w:next w:val="865"/>
    <w:uiPriority w:val="39"/>
    <w:unhideWhenUsed/>
    <w:qFormat/>
    <w:pPr>
      <w:ind w:left="2268" w:right="0" w:firstLine="0"/>
      <w:spacing w:after="57"/>
    </w:pPr>
  </w:style>
  <w:style w:type="paragraph" w:styleId="954" w:customStyle="1">
    <w:name w:val="目录 11"/>
    <w:basedOn w:val="865"/>
    <w:next w:val="865"/>
    <w:uiPriority w:val="39"/>
    <w:qFormat/>
    <w:pPr>
      <w:ind w:left="0"/>
      <w:spacing w:before="120" w:after="120"/>
    </w:pPr>
    <w:rPr>
      <w:rFonts w:cs="Calibri"/>
      <w:b/>
      <w:bCs/>
      <w:caps/>
    </w:rPr>
  </w:style>
  <w:style w:type="paragraph" w:styleId="955" w:customStyle="1">
    <w:name w:val="正文文本缩进1"/>
    <w:basedOn w:val="865"/>
    <w:next w:val="878"/>
    <w:uiPriority w:val="0"/>
    <w:qFormat/>
    <w:pPr>
      <w:ind w:left="570"/>
      <w:spacing w:line="520" w:lineRule="exact"/>
    </w:pPr>
    <w:rPr>
      <w:rFonts w:ascii="方正仿宋简体" w:hAnsi="创艺简仿宋" w:eastAsia="方正仿宋简体"/>
      <w:sz w:val="24"/>
    </w:rPr>
  </w:style>
  <w:style w:type="paragraph" w:styleId="956" w:customStyle="1">
    <w:name w:val="正文首行缩进1"/>
    <w:basedOn w:val="957"/>
    <w:uiPriority w:val="0"/>
    <w:qFormat/>
    <w:pPr>
      <w:ind w:firstLine="420"/>
    </w:pPr>
  </w:style>
  <w:style w:type="paragraph" w:styleId="957" w:customStyle="1">
    <w:name w:val="正文文本1"/>
    <w:basedOn w:val="865"/>
    <w:next w:val="958"/>
    <w:uiPriority w:val="0"/>
    <w:qFormat/>
    <w:pPr>
      <w:spacing w:line="400" w:lineRule="exact"/>
    </w:pPr>
    <w:rPr>
      <w:rFonts w:ascii="楷体_GB2312" w:hAnsi="Times New Roman" w:eastAsia="楷体_GB2312"/>
      <w:sz w:val="28"/>
    </w:rPr>
  </w:style>
  <w:style w:type="paragraph" w:styleId="958" w:customStyle="1">
    <w:name w:val="正文缩进1"/>
    <w:basedOn w:val="865"/>
    <w:next w:val="865"/>
    <w:uiPriority w:val="0"/>
    <w:qFormat/>
    <w:pPr>
      <w:ind w:left="420" w:firstLine="4772"/>
    </w:pPr>
    <w:rPr>
      <w:lang w:val="zh-CN"/>
    </w:rPr>
  </w:style>
  <w:style w:type="paragraph" w:styleId="959" w:customStyle="1">
    <w:name w:val="目录 71"/>
    <w:basedOn w:val="865"/>
    <w:next w:val="865"/>
    <w:uiPriority w:val="39"/>
    <w:unhideWhenUsed/>
    <w:qFormat/>
    <w:pPr>
      <w:ind w:left="1701" w:right="0" w:firstLine="0"/>
      <w:spacing w:after="57"/>
    </w:pPr>
  </w:style>
  <w:style w:type="paragraph" w:styleId="960" w:customStyle="1">
    <w:name w:val="正文首行缩进 21"/>
    <w:basedOn w:val="955"/>
    <w:uiPriority w:val="99"/>
    <w:unhideWhenUsed/>
    <w:qFormat/>
    <w:pPr>
      <w:ind w:left="420" w:firstLine="420"/>
      <w:spacing w:after="120"/>
      <w:widowControl w:val="off"/>
    </w:pPr>
    <w:rPr>
      <w:rFonts w:ascii="Calibri" w:hAnsi="Calibri" w:eastAsia="宋体"/>
      <w:sz w:val="21"/>
    </w:rPr>
  </w:style>
  <w:style w:type="paragraph" w:styleId="961" w:customStyle="1">
    <w:name w:val="目录 41"/>
    <w:basedOn w:val="865"/>
    <w:next w:val="865"/>
    <w:uiPriority w:val="39"/>
    <w:unhideWhenUsed/>
    <w:qFormat/>
    <w:pPr>
      <w:ind w:left="850" w:right="0" w:firstLine="0"/>
      <w:spacing w:after="57"/>
    </w:pPr>
  </w:style>
  <w:style w:type="paragraph" w:styleId="962" w:customStyle="1">
    <w:name w:val="目录 81"/>
    <w:basedOn w:val="865"/>
    <w:next w:val="865"/>
    <w:uiPriority w:val="39"/>
    <w:unhideWhenUsed/>
    <w:qFormat/>
    <w:pPr>
      <w:ind w:left="1984" w:right="0" w:firstLine="0"/>
      <w:spacing w:after="57"/>
    </w:pPr>
  </w:style>
  <w:style w:type="paragraph" w:styleId="963" w:customStyle="1">
    <w:name w:val="目录 21"/>
    <w:basedOn w:val="865"/>
    <w:next w:val="865"/>
    <w:uiPriority w:val="39"/>
    <w:unhideWhenUsed/>
    <w:qFormat/>
    <w:pPr>
      <w:ind w:left="283" w:right="0" w:firstLine="0"/>
      <w:spacing w:after="57"/>
    </w:pPr>
  </w:style>
  <w:style w:type="paragraph" w:styleId="964" w:customStyle="1">
    <w:name w:val="正文文本缩进 21"/>
    <w:basedOn w:val="865"/>
    <w:uiPriority w:val="0"/>
    <w:qFormat/>
    <w:pPr>
      <w:ind w:left="1" w:firstLine="480"/>
      <w:spacing w:line="400" w:lineRule="exact"/>
      <w:tabs>
        <w:tab w:val="left" w:pos="360" w:leader="none"/>
      </w:tabs>
    </w:pPr>
    <w:rPr>
      <w:sz w:val="24"/>
    </w:rPr>
  </w:style>
  <w:style w:type="paragraph" w:styleId="965" w:customStyle="1">
    <w:name w:val="普通(网站)1"/>
    <w:basedOn w:val="865"/>
    <w:uiPriority w:val="0"/>
    <w:qFormat/>
    <w:rPr>
      <w:sz w:val="24"/>
    </w:rPr>
  </w:style>
  <w:style w:type="paragraph" w:styleId="966" w:customStyle="1">
    <w:name w:val="目录 61"/>
    <w:basedOn w:val="865"/>
    <w:next w:val="865"/>
    <w:uiPriority w:val="39"/>
    <w:unhideWhenUsed/>
    <w:qFormat/>
    <w:pPr>
      <w:ind w:left="1417" w:right="0" w:firstLine="0"/>
      <w:spacing w:after="57"/>
    </w:pPr>
  </w:style>
  <w:style w:type="paragraph" w:styleId="967" w:customStyle="1">
    <w:name w:val="目录 31"/>
    <w:basedOn w:val="865"/>
    <w:next w:val="865"/>
    <w:uiPriority w:val="39"/>
    <w:unhideWhenUsed/>
    <w:qFormat/>
    <w:pPr>
      <w:ind w:left="567" w:right="0" w:firstLine="0"/>
      <w:spacing w:after="57"/>
    </w:pPr>
  </w:style>
  <w:style w:type="paragraph" w:styleId="968" w:customStyle="1">
    <w:name w:val="TOC Heading"/>
    <w:uiPriority w:val="39"/>
    <w:unhideWhenUsed/>
    <w:qFormat/>
    <w:rPr>
      <w:rFonts w:hint="default" w:ascii="Times New Roman" w:hAnsi="Times New Roman" w:eastAsia="宋体" w:cs="Times New Roman"/>
    </w:rPr>
  </w:style>
  <w:style w:type="paragraph" w:styleId="969">
    <w:name w:val="List Paragraph"/>
    <w:basedOn w:val="865"/>
    <w:next w:val="970"/>
    <w:uiPriority w:val="34"/>
    <w:qFormat/>
    <w:pPr>
      <w:ind w:left="420" w:firstLine="3748"/>
    </w:pPr>
  </w:style>
  <w:style w:type="paragraph" w:styleId="970" w:customStyle="1">
    <w:name w:val="xl91"/>
    <w:basedOn w:val="866"/>
    <w:next w:val="971"/>
    <w:uiPriority w:val="0"/>
    <w:qFormat/>
    <w:pPr>
      <w:ind w:left="0" w:firstLine="3584"/>
      <w:spacing w:before="280" w:after="280" w:line="240" w:lineRule="auto"/>
    </w:pPr>
  </w:style>
  <w:style w:type="paragraph" w:styleId="971" w:customStyle="1">
    <w:name w:val="xl76"/>
    <w:basedOn w:val="866"/>
    <w:next w:val="972"/>
    <w:uiPriority w:val="0"/>
    <w:qFormat/>
    <w:pPr>
      <w:ind w:left="0" w:firstLine="3584"/>
      <w:jc w:val="center"/>
      <w:spacing w:before="280" w:after="280" w:line="240" w:lineRule="auto"/>
    </w:pPr>
  </w:style>
  <w:style w:type="paragraph" w:styleId="972" w:customStyle="1">
    <w:name w:val="正文文本 21"/>
    <w:basedOn w:val="866"/>
    <w:next w:val="952"/>
    <w:uiPriority w:val="0"/>
    <w:qFormat/>
    <w:pPr>
      <w:ind w:left="0" w:firstLine="1024"/>
      <w:spacing w:before="0" w:after="120" w:line="480" w:lineRule="auto"/>
    </w:pPr>
  </w:style>
  <w:style w:type="paragraph" w:styleId="973" w:customStyle="1">
    <w:name w:val="图表目录1"/>
    <w:basedOn w:val="865"/>
    <w:next w:val="865"/>
    <w:uiPriority w:val="99"/>
    <w:unhideWhenUsed/>
    <w:qFormat/>
    <w:pPr>
      <w:spacing w:after="0" w:afterAutospacing="0"/>
    </w:pPr>
  </w:style>
  <w:style w:type="paragraph" w:styleId="974" w:customStyle="1">
    <w:name w:val="Caption1"/>
    <w:basedOn w:val="865"/>
    <w:next w:val="865"/>
    <w:uiPriority w:val="35"/>
    <w:unhideWhenUsed/>
    <w:qFormat/>
    <w:pPr>
      <w:spacing w:line="276" w:lineRule="auto"/>
    </w:pPr>
    <w:rPr>
      <w:b/>
      <w:bCs/>
      <w:color w:val="5b9bd5"/>
      <w:sz w:val="18"/>
      <w:szCs w:val="18"/>
    </w:rPr>
  </w:style>
  <w:style w:type="paragraph" w:styleId="975" w:customStyle="1">
    <w:name w:val="首行缩进"/>
    <w:basedOn w:val="865"/>
    <w:uiPriority w:val="0"/>
    <w:qFormat/>
    <w:pPr>
      <w:ind w:firstLine="480"/>
    </w:pPr>
    <w:rPr>
      <w:lang w:val="zh-CN"/>
    </w:rPr>
  </w:style>
  <w:style w:type="paragraph" w:styleId="976" w:customStyle="1">
    <w:name w:val="纯文本1"/>
    <w:basedOn w:val="865"/>
    <w:uiPriority w:val="0"/>
    <w:qFormat/>
    <w:rPr>
      <w:rFonts w:ascii="宋体" w:hAnsi="Courier New" w:eastAsia="楷体_GB2312"/>
      <w:sz w:val="28"/>
      <w:szCs w:val="28"/>
    </w:rPr>
  </w:style>
  <w:style w:type="paragraph" w:styleId="977" w:customStyle="1">
    <w:name w:val="Revision"/>
    <w:uiPriority w:val="99"/>
    <w:unhideWhenUsed/>
    <w:qFormat/>
    <w:rPr>
      <w:rFonts w:hint="default" w:ascii="Calibri" w:hAnsi="Calibri" w:eastAsia="宋体" w:cs="Times New Roman"/>
      <w:lang w:eastAsia="zh-CN"/>
    </w:rPr>
  </w:style>
  <w:style w:type="paragraph" w:styleId="978" w:customStyle="1">
    <w:name w:val="纯文本3"/>
    <w:basedOn w:val="865"/>
    <w:uiPriority w:val="0"/>
    <w:qFormat/>
    <w:rPr>
      <w:rFonts w:ascii="宋体" w:hAnsi="Courier New"/>
    </w:rPr>
  </w:style>
  <w:style w:type="paragraph" w:styleId="979">
    <w:name w:val="No Spacing"/>
    <w:uiPriority w:val="1"/>
    <w:qFormat/>
    <w:pPr>
      <w:spacing w:before="0" w:after="0" w:line="240" w:lineRule="auto"/>
    </w:pPr>
    <w:rPr>
      <w:rFonts w:hint="default" w:ascii="Times New Roman" w:hAnsi="Times New Roman" w:eastAsia="宋体" w:cs="Times New Roman"/>
    </w:rPr>
  </w:style>
  <w:style w:type="paragraph" w:styleId="980" w:customStyle="1">
    <w:name w:val="纯文本111"/>
    <w:basedOn w:val="865"/>
    <w:uiPriority w:val="0"/>
    <w:qFormat/>
    <w:rPr>
      <w:rFonts w:ascii="宋体" w:hAnsi="Courier New"/>
      <w:sz w:val="28"/>
    </w:rPr>
  </w:style>
  <w:style w:type="table" w:styleId="981" w:customStyle="1">
    <w:name w:val="网格型1"/>
    <w:basedOn w:val="910"/>
    <w:uiPriority w:val="39"/>
    <w:qFormat/>
    <w:pPr>
      <w:jc w:val="both"/>
      <w:widowControl w:val="off"/>
    </w:pPr>
    <w:rPr>
      <w:rFonts w:ascii="Times New Roman" w:hAnsi="Times New Roman" w:eastAsia="宋体"/>
    </w:rPr>
    <w:tblPr/>
  </w:style>
  <w:style w:type="table" w:styleId="982" w:customStyle="1">
    <w:name w:val="List Table 4 - Accent 2"/>
    <w:basedOn w:val="910"/>
    <w:uiPriority w:val="99"/>
    <w:qFormat/>
    <w:pPr>
      <w:spacing w:after="0" w:line="240" w:lineRule="auto"/>
    </w:pPr>
    <w:tblPr/>
  </w:style>
  <w:style w:type="table" w:styleId="983" w:customStyle="1">
    <w:name w:val="Grid Table 4 - Accent 6"/>
    <w:basedOn w:val="910"/>
    <w:uiPriority w:val="59"/>
    <w:qFormat/>
    <w:pPr>
      <w:spacing w:after="0" w:line="240" w:lineRule="auto"/>
    </w:pPr>
    <w:tblPr/>
  </w:style>
  <w:style w:type="table" w:styleId="984" w:customStyle="1">
    <w:name w:val="List Table 6 Colorful - Accent 5"/>
    <w:basedOn w:val="910"/>
    <w:uiPriority w:val="99"/>
    <w:qFormat/>
    <w:pPr>
      <w:spacing w:after="0" w:line="240" w:lineRule="auto"/>
    </w:pPr>
    <w:tblPr/>
  </w:style>
  <w:style w:type="table" w:styleId="985" w:customStyle="1">
    <w:name w:val="Grid Table 5 Dark - Accent 3"/>
    <w:basedOn w:val="910"/>
    <w:uiPriority w:val="99"/>
    <w:qFormat/>
    <w:pPr>
      <w:spacing w:after="0" w:line="240" w:lineRule="auto"/>
    </w:pPr>
    <w:tblPr/>
  </w:style>
  <w:style w:type="table" w:styleId="986" w:customStyle="1">
    <w:name w:val="List Table 3 - Accent 1"/>
    <w:basedOn w:val="910"/>
    <w:uiPriority w:val="99"/>
    <w:qFormat/>
    <w:pPr>
      <w:spacing w:after="0" w:line="240" w:lineRule="auto"/>
    </w:pPr>
    <w:tblPr/>
  </w:style>
  <w:style w:type="table" w:styleId="987" w:customStyle="1">
    <w:name w:val="Lined - Accent 3"/>
    <w:basedOn w:val="910"/>
    <w:uiPriority w:val="99"/>
    <w:qFormat/>
    <w:pPr>
      <w:spacing w:after="0" w:line="240" w:lineRule="auto"/>
    </w:pPr>
    <w:rPr>
      <w:color w:val="404040"/>
    </w:rPr>
    <w:tblPr/>
  </w:style>
  <w:style w:type="table" w:styleId="988" w:customStyle="1">
    <w:name w:val="List Table 5 Dark - Accent 1"/>
    <w:basedOn w:val="910"/>
    <w:uiPriority w:val="99"/>
    <w:qFormat/>
    <w:pPr>
      <w:spacing w:after="0" w:line="240" w:lineRule="auto"/>
    </w:pPr>
    <w:tblPr/>
  </w:style>
  <w:style w:type="table" w:styleId="989" w:customStyle="1">
    <w:name w:val="List Table 7 Colorful - Accent 2"/>
    <w:basedOn w:val="910"/>
    <w:uiPriority w:val="99"/>
    <w:qFormat/>
    <w:pPr>
      <w:spacing w:after="0" w:line="240" w:lineRule="auto"/>
    </w:pPr>
    <w:tblPr/>
  </w:style>
  <w:style w:type="table" w:styleId="990" w:customStyle="1">
    <w:name w:val="Grid Table 6 Colorful - Accent 5"/>
    <w:basedOn w:val="910"/>
    <w:uiPriority w:val="99"/>
    <w:qFormat/>
    <w:pPr>
      <w:spacing w:after="0" w:line="240" w:lineRule="auto"/>
    </w:pPr>
    <w:tblPr/>
  </w:style>
  <w:style w:type="table" w:styleId="991" w:customStyle="1">
    <w:name w:val="List Table 2 - Accent 2"/>
    <w:basedOn w:val="910"/>
    <w:uiPriority w:val="99"/>
    <w:qFormat/>
    <w:pPr>
      <w:spacing w:after="0" w:line="240" w:lineRule="auto"/>
    </w:pPr>
    <w:tblPr/>
  </w:style>
  <w:style w:type="table" w:styleId="992" w:customStyle="1">
    <w:name w:val="List Table 2 - Accent 6"/>
    <w:basedOn w:val="910"/>
    <w:uiPriority w:val="99"/>
    <w:qFormat/>
    <w:pPr>
      <w:spacing w:after="0" w:line="240" w:lineRule="auto"/>
    </w:pPr>
    <w:tblPr/>
  </w:style>
  <w:style w:type="table" w:styleId="993" w:customStyle="1">
    <w:name w:val="Grid Table 1 Light - Accent 6"/>
    <w:basedOn w:val="910"/>
    <w:uiPriority w:val="99"/>
    <w:qFormat/>
    <w:pPr>
      <w:spacing w:after="0" w:line="240" w:lineRule="auto"/>
    </w:pPr>
    <w:tblPr/>
  </w:style>
  <w:style w:type="table" w:styleId="994" w:customStyle="1">
    <w:name w:val="Grid Table 5 Dark- Accent 4"/>
    <w:basedOn w:val="910"/>
    <w:uiPriority w:val="99"/>
    <w:qFormat/>
    <w:pPr>
      <w:spacing w:after="0" w:line="240" w:lineRule="auto"/>
    </w:pPr>
    <w:tblPr/>
  </w:style>
  <w:style w:type="table" w:styleId="995" w:customStyle="1">
    <w:name w:val="Grid Table 1 Light - Accent 4"/>
    <w:basedOn w:val="910"/>
    <w:uiPriority w:val="99"/>
    <w:qFormat/>
    <w:pPr>
      <w:spacing w:after="0" w:line="240" w:lineRule="auto"/>
    </w:pPr>
    <w:tblPr/>
  </w:style>
  <w:style w:type="table" w:styleId="996" w:customStyle="1">
    <w:name w:val="Bordered &amp; Lined - Accent 6"/>
    <w:basedOn w:val="910"/>
    <w:uiPriority w:val="99"/>
    <w:qFormat/>
    <w:pPr>
      <w:spacing w:after="0" w:line="240" w:lineRule="auto"/>
    </w:pPr>
    <w:rPr>
      <w:color w:val="404040"/>
    </w:rPr>
    <w:tblPr/>
  </w:style>
  <w:style w:type="table" w:styleId="997" w:customStyle="1">
    <w:name w:val="List Table 5 Dark - Accent 3"/>
    <w:basedOn w:val="910"/>
    <w:uiPriority w:val="99"/>
    <w:qFormat/>
    <w:pPr>
      <w:spacing w:after="0" w:line="240" w:lineRule="auto"/>
    </w:pPr>
    <w:tblPr/>
  </w:style>
  <w:style w:type="table" w:styleId="998" w:customStyle="1">
    <w:name w:val="Grid Table 5 Dark - Accent 6"/>
    <w:basedOn w:val="910"/>
    <w:uiPriority w:val="99"/>
    <w:qFormat/>
    <w:pPr>
      <w:spacing w:after="0" w:line="240" w:lineRule="auto"/>
    </w:pPr>
    <w:tblPr/>
  </w:style>
  <w:style w:type="table" w:styleId="999" w:customStyle="1">
    <w:name w:val="Grid Table 7 Colorful - Accent 6"/>
    <w:basedOn w:val="910"/>
    <w:uiPriority w:val="99"/>
    <w:qFormat/>
    <w:pPr>
      <w:spacing w:after="0" w:line="240" w:lineRule="auto"/>
    </w:pPr>
    <w:tblPr/>
  </w:style>
  <w:style w:type="table" w:styleId="1000" w:customStyle="1">
    <w:name w:val="Grid Table 6 Colorful - Accent 3"/>
    <w:basedOn w:val="910"/>
    <w:uiPriority w:val="99"/>
    <w:qFormat/>
    <w:pPr>
      <w:spacing w:after="0" w:line="240" w:lineRule="auto"/>
    </w:pPr>
    <w:tblPr/>
  </w:style>
  <w:style w:type="table" w:styleId="1001" w:customStyle="1">
    <w:name w:val="Bordered - Accent 5"/>
    <w:basedOn w:val="910"/>
    <w:uiPriority w:val="99"/>
    <w:qFormat/>
    <w:pPr>
      <w:spacing w:after="0" w:line="240" w:lineRule="auto"/>
    </w:pPr>
    <w:tblPr/>
  </w:style>
  <w:style w:type="table" w:styleId="1002" w:customStyle="1">
    <w:name w:val="List Table 4"/>
    <w:basedOn w:val="910"/>
    <w:uiPriority w:val="99"/>
    <w:qFormat/>
    <w:pPr>
      <w:spacing w:after="0" w:line="240" w:lineRule="auto"/>
    </w:pPr>
    <w:tblPr/>
  </w:style>
  <w:style w:type="table" w:styleId="1003" w:customStyle="1">
    <w:name w:val="List Table 7 Colorful - Accent 5"/>
    <w:basedOn w:val="910"/>
    <w:uiPriority w:val="99"/>
    <w:qFormat/>
    <w:pPr>
      <w:spacing w:after="0" w:line="240" w:lineRule="auto"/>
    </w:pPr>
    <w:tblPr/>
  </w:style>
  <w:style w:type="table" w:styleId="1004" w:customStyle="1">
    <w:name w:val="Plain Table 2"/>
    <w:basedOn w:val="910"/>
    <w:uiPriority w:val="59"/>
    <w:qFormat/>
    <w:pPr>
      <w:spacing w:after="0" w:line="240" w:lineRule="auto"/>
    </w:pPr>
    <w:tblPr/>
  </w:style>
  <w:style w:type="table" w:styleId="1005" w:customStyle="1">
    <w:name w:val="List Table 4 - Accent 4"/>
    <w:basedOn w:val="910"/>
    <w:uiPriority w:val="99"/>
    <w:qFormat/>
    <w:pPr>
      <w:spacing w:after="0" w:line="240" w:lineRule="auto"/>
    </w:pPr>
    <w:tblPr/>
  </w:style>
  <w:style w:type="table" w:styleId="1006" w:customStyle="1">
    <w:name w:val="Grid Table 2 - Accent 1"/>
    <w:basedOn w:val="910"/>
    <w:uiPriority w:val="99"/>
    <w:qFormat/>
    <w:pPr>
      <w:spacing w:after="0" w:line="240" w:lineRule="auto"/>
    </w:pPr>
    <w:tblPr/>
  </w:style>
  <w:style w:type="table" w:styleId="1007" w:customStyle="1">
    <w:name w:val="Bordered &amp; Lined - Accent 1"/>
    <w:basedOn w:val="910"/>
    <w:uiPriority w:val="99"/>
    <w:qFormat/>
    <w:pPr>
      <w:spacing w:after="0" w:line="240" w:lineRule="auto"/>
    </w:pPr>
    <w:rPr>
      <w:color w:val="404040"/>
    </w:rPr>
    <w:tblPr/>
  </w:style>
  <w:style w:type="table" w:styleId="1008" w:customStyle="1">
    <w:name w:val="List Table 7 Colorful - Accent 3"/>
    <w:basedOn w:val="910"/>
    <w:uiPriority w:val="99"/>
    <w:qFormat/>
    <w:pPr>
      <w:spacing w:after="0" w:line="240" w:lineRule="auto"/>
    </w:pPr>
    <w:tblPr/>
  </w:style>
  <w:style w:type="table" w:styleId="1009" w:customStyle="1">
    <w:name w:val="List Table 3"/>
    <w:basedOn w:val="910"/>
    <w:uiPriority w:val="99"/>
    <w:qFormat/>
    <w:pPr>
      <w:spacing w:after="0" w:line="240" w:lineRule="auto"/>
    </w:pPr>
    <w:tblPr/>
  </w:style>
  <w:style w:type="table" w:styleId="1010" w:customStyle="1">
    <w:name w:val="Grid Table 3 - Accent 5"/>
    <w:basedOn w:val="910"/>
    <w:uiPriority w:val="99"/>
    <w:qFormat/>
    <w:pPr>
      <w:spacing w:after="0" w:line="240" w:lineRule="auto"/>
    </w:pPr>
    <w:tblPr/>
  </w:style>
  <w:style w:type="table" w:styleId="1011" w:customStyle="1">
    <w:name w:val="Grid Table 6 Colorful - Accent 1"/>
    <w:basedOn w:val="910"/>
    <w:uiPriority w:val="99"/>
    <w:qFormat/>
    <w:pPr>
      <w:spacing w:after="0" w:line="240" w:lineRule="auto"/>
    </w:pPr>
    <w:tblPr/>
  </w:style>
  <w:style w:type="table" w:styleId="1012" w:customStyle="1">
    <w:name w:val="List Table 2"/>
    <w:basedOn w:val="910"/>
    <w:uiPriority w:val="99"/>
    <w:qFormat/>
    <w:pPr>
      <w:spacing w:after="0" w:line="240" w:lineRule="auto"/>
    </w:pPr>
    <w:tblPr/>
  </w:style>
  <w:style w:type="table" w:styleId="1013" w:customStyle="1">
    <w:name w:val="Grid Table 2 - Accent 4"/>
    <w:basedOn w:val="910"/>
    <w:uiPriority w:val="99"/>
    <w:qFormat/>
    <w:pPr>
      <w:spacing w:after="0" w:line="240" w:lineRule="auto"/>
    </w:pPr>
    <w:tblPr/>
  </w:style>
  <w:style w:type="table" w:styleId="1014" w:customStyle="1">
    <w:name w:val="Lined - Accent 4"/>
    <w:basedOn w:val="910"/>
    <w:uiPriority w:val="99"/>
    <w:qFormat/>
    <w:pPr>
      <w:spacing w:after="0" w:line="240" w:lineRule="auto"/>
    </w:pPr>
    <w:rPr>
      <w:color w:val="404040"/>
    </w:rPr>
    <w:tblPr/>
  </w:style>
  <w:style w:type="table" w:styleId="1015" w:customStyle="1">
    <w:name w:val="Lined - Accent 1"/>
    <w:basedOn w:val="910"/>
    <w:uiPriority w:val="99"/>
    <w:qFormat/>
    <w:pPr>
      <w:spacing w:after="0" w:line="240" w:lineRule="auto"/>
    </w:pPr>
    <w:rPr>
      <w:color w:val="404040"/>
    </w:rPr>
    <w:tblPr/>
  </w:style>
  <w:style w:type="table" w:styleId="1016" w:customStyle="1">
    <w:name w:val="List Table 3 - Accent 2"/>
    <w:basedOn w:val="910"/>
    <w:uiPriority w:val="99"/>
    <w:qFormat/>
    <w:pPr>
      <w:spacing w:after="0" w:line="240" w:lineRule="auto"/>
    </w:pPr>
    <w:tblPr/>
  </w:style>
  <w:style w:type="table" w:styleId="1017" w:customStyle="1">
    <w:name w:val="List Table 7 Colorful - Accent 4"/>
    <w:basedOn w:val="910"/>
    <w:uiPriority w:val="99"/>
    <w:qFormat/>
    <w:pPr>
      <w:spacing w:after="0" w:line="240" w:lineRule="auto"/>
    </w:pPr>
    <w:tblPr/>
  </w:style>
  <w:style w:type="table" w:styleId="1018" w:customStyle="1">
    <w:name w:val="Grid Table 7 Colorful - Accent 5"/>
    <w:basedOn w:val="910"/>
    <w:uiPriority w:val="99"/>
    <w:qFormat/>
    <w:pPr>
      <w:spacing w:after="0" w:line="240" w:lineRule="auto"/>
    </w:pPr>
    <w:tblPr/>
  </w:style>
  <w:style w:type="table" w:styleId="1019" w:customStyle="1">
    <w:name w:val="Grid Table 7 Colorful - Accent 1"/>
    <w:basedOn w:val="910"/>
    <w:uiPriority w:val="99"/>
    <w:qFormat/>
    <w:pPr>
      <w:spacing w:after="0" w:line="240" w:lineRule="auto"/>
    </w:pPr>
    <w:tblPr/>
  </w:style>
  <w:style w:type="table" w:styleId="1020" w:customStyle="1">
    <w:name w:val="Bordered &amp; Lined - Accent 3"/>
    <w:basedOn w:val="910"/>
    <w:uiPriority w:val="99"/>
    <w:qFormat/>
    <w:pPr>
      <w:spacing w:after="0" w:line="240" w:lineRule="auto"/>
    </w:pPr>
    <w:rPr>
      <w:color w:val="404040"/>
    </w:rPr>
    <w:tblPr/>
  </w:style>
  <w:style w:type="table" w:styleId="1021" w:customStyle="1">
    <w:name w:val="Grid Table 6 Colorful"/>
    <w:basedOn w:val="910"/>
    <w:uiPriority w:val="99"/>
    <w:qFormat/>
    <w:pPr>
      <w:spacing w:after="0" w:line="240" w:lineRule="auto"/>
    </w:pPr>
    <w:tblPr/>
  </w:style>
  <w:style w:type="table" w:styleId="1022" w:customStyle="1">
    <w:name w:val="Grid Table 1 Light"/>
    <w:basedOn w:val="910"/>
    <w:uiPriority w:val="99"/>
    <w:qFormat/>
    <w:pPr>
      <w:spacing w:after="0" w:line="240" w:lineRule="auto"/>
    </w:pPr>
    <w:tblPr/>
  </w:style>
  <w:style w:type="table" w:styleId="1023" w:customStyle="1">
    <w:name w:val="List Table 7 Colorful - Accent 1"/>
    <w:basedOn w:val="910"/>
    <w:uiPriority w:val="99"/>
    <w:qFormat/>
    <w:pPr>
      <w:spacing w:after="0" w:line="240" w:lineRule="auto"/>
    </w:pPr>
    <w:tblPr/>
  </w:style>
  <w:style w:type="table" w:styleId="1024" w:customStyle="1">
    <w:name w:val="Grid Table 3 - Accent 3"/>
    <w:basedOn w:val="910"/>
    <w:uiPriority w:val="99"/>
    <w:qFormat/>
    <w:pPr>
      <w:spacing w:after="0" w:line="240" w:lineRule="auto"/>
    </w:pPr>
    <w:tblPr/>
  </w:style>
  <w:style w:type="table" w:styleId="1025" w:customStyle="1">
    <w:name w:val="Grid Table 7 Colorful - Accent 2"/>
    <w:basedOn w:val="910"/>
    <w:uiPriority w:val="99"/>
    <w:qFormat/>
    <w:pPr>
      <w:spacing w:after="0" w:line="240" w:lineRule="auto"/>
    </w:pPr>
    <w:tblPr/>
  </w:style>
  <w:style w:type="table" w:styleId="1026" w:customStyle="1">
    <w:name w:val="Bordered &amp; Lined - Accent"/>
    <w:basedOn w:val="910"/>
    <w:uiPriority w:val="99"/>
    <w:qFormat/>
    <w:pPr>
      <w:spacing w:after="0" w:line="240" w:lineRule="auto"/>
    </w:pPr>
    <w:rPr>
      <w:color w:val="404040"/>
    </w:rPr>
    <w:tblPr/>
  </w:style>
  <w:style w:type="table" w:styleId="1027" w:customStyle="1">
    <w:name w:val="Plain Table 3"/>
    <w:basedOn w:val="910"/>
    <w:uiPriority w:val="99"/>
    <w:qFormat/>
    <w:pPr>
      <w:spacing w:after="0" w:line="240" w:lineRule="auto"/>
    </w:pPr>
    <w:tblPr/>
  </w:style>
  <w:style w:type="table" w:styleId="1028" w:customStyle="1">
    <w:name w:val="Grid Table 6 Colorful - Accent 6"/>
    <w:basedOn w:val="910"/>
    <w:uiPriority w:val="99"/>
    <w:qFormat/>
    <w:pPr>
      <w:spacing w:after="0" w:line="240" w:lineRule="auto"/>
    </w:pPr>
    <w:tblPr/>
  </w:style>
  <w:style w:type="table" w:styleId="1029" w:customStyle="1">
    <w:name w:val="Bordered &amp; Lined - Accent 4"/>
    <w:basedOn w:val="910"/>
    <w:uiPriority w:val="99"/>
    <w:qFormat/>
    <w:pPr>
      <w:spacing w:after="0" w:line="240" w:lineRule="auto"/>
    </w:pPr>
    <w:rPr>
      <w:color w:val="404040"/>
    </w:rPr>
    <w:tblPr/>
  </w:style>
  <w:style w:type="table" w:styleId="1030" w:customStyle="1">
    <w:name w:val="List Table 2 - Accent 1"/>
    <w:basedOn w:val="910"/>
    <w:uiPriority w:val="99"/>
    <w:qFormat/>
    <w:pPr>
      <w:spacing w:after="0" w:line="240" w:lineRule="auto"/>
    </w:pPr>
    <w:tblPr/>
  </w:style>
  <w:style w:type="table" w:styleId="1031" w:customStyle="1">
    <w:name w:val="List Table 3 - Accent 4"/>
    <w:basedOn w:val="910"/>
    <w:uiPriority w:val="99"/>
    <w:qFormat/>
    <w:pPr>
      <w:spacing w:after="0" w:line="240" w:lineRule="auto"/>
    </w:pPr>
    <w:tblPr/>
  </w:style>
  <w:style w:type="table" w:styleId="1032" w:customStyle="1">
    <w:name w:val="Grid Table 3 - Accent 6"/>
    <w:basedOn w:val="910"/>
    <w:uiPriority w:val="99"/>
    <w:qFormat/>
    <w:pPr>
      <w:spacing w:after="0" w:line="240" w:lineRule="auto"/>
    </w:pPr>
    <w:tblPr/>
  </w:style>
  <w:style w:type="table" w:styleId="1033" w:customStyle="1">
    <w:name w:val="Grid Table 4"/>
    <w:basedOn w:val="910"/>
    <w:uiPriority w:val="59"/>
    <w:qFormat/>
    <w:pPr>
      <w:spacing w:after="0" w:line="240" w:lineRule="auto"/>
    </w:pPr>
    <w:tblPr/>
  </w:style>
  <w:style w:type="table" w:styleId="1034" w:customStyle="1">
    <w:name w:val="List Table 3 - Accent 5"/>
    <w:basedOn w:val="910"/>
    <w:uiPriority w:val="99"/>
    <w:qFormat/>
    <w:pPr>
      <w:spacing w:after="0" w:line="240" w:lineRule="auto"/>
    </w:pPr>
    <w:tblPr/>
  </w:style>
  <w:style w:type="table" w:styleId="1035" w:customStyle="1">
    <w:name w:val="List Table 1 Light"/>
    <w:basedOn w:val="910"/>
    <w:uiPriority w:val="99"/>
    <w:qFormat/>
    <w:pPr>
      <w:spacing w:after="0" w:line="240" w:lineRule="auto"/>
    </w:pPr>
    <w:tblPr/>
  </w:style>
  <w:style w:type="table" w:styleId="1036" w:customStyle="1">
    <w:name w:val="List Table 3 - Accent 6"/>
    <w:basedOn w:val="910"/>
    <w:uiPriority w:val="99"/>
    <w:qFormat/>
    <w:pPr>
      <w:spacing w:after="0" w:line="240" w:lineRule="auto"/>
    </w:pPr>
    <w:tblPr/>
  </w:style>
  <w:style w:type="table" w:styleId="1037" w:customStyle="1">
    <w:name w:val="List Table 4 - Accent 1"/>
    <w:basedOn w:val="910"/>
    <w:uiPriority w:val="99"/>
    <w:qFormat/>
    <w:pPr>
      <w:spacing w:after="0" w:line="240" w:lineRule="auto"/>
    </w:pPr>
    <w:tblPr/>
  </w:style>
  <w:style w:type="table" w:styleId="1038" w:customStyle="1">
    <w:name w:val="List Table 6 Colorful - Accent 4"/>
    <w:basedOn w:val="910"/>
    <w:uiPriority w:val="99"/>
    <w:qFormat/>
    <w:pPr>
      <w:spacing w:after="0" w:line="240" w:lineRule="auto"/>
    </w:pPr>
    <w:tblPr/>
  </w:style>
  <w:style w:type="table" w:styleId="1039" w:customStyle="1">
    <w:name w:val="List Table 5 Dark - Accent 6"/>
    <w:basedOn w:val="910"/>
    <w:uiPriority w:val="99"/>
    <w:qFormat/>
    <w:pPr>
      <w:spacing w:after="0" w:line="240" w:lineRule="auto"/>
    </w:pPr>
    <w:tblPr/>
  </w:style>
  <w:style w:type="table" w:styleId="1040" w:customStyle="1">
    <w:name w:val="Bordered"/>
    <w:basedOn w:val="910"/>
    <w:uiPriority w:val="99"/>
    <w:qFormat/>
    <w:pPr>
      <w:spacing w:after="0" w:line="240" w:lineRule="auto"/>
    </w:pPr>
    <w:tblPr/>
  </w:style>
  <w:style w:type="table" w:styleId="1041" w:customStyle="1">
    <w:name w:val="Grid Table 3"/>
    <w:basedOn w:val="910"/>
    <w:uiPriority w:val="99"/>
    <w:qFormat/>
    <w:pPr>
      <w:spacing w:after="0" w:line="240" w:lineRule="auto"/>
    </w:pPr>
    <w:tblPr/>
  </w:style>
  <w:style w:type="table" w:styleId="1042" w:customStyle="1">
    <w:name w:val="Grid Table 1 Light - Accent 3"/>
    <w:basedOn w:val="910"/>
    <w:uiPriority w:val="99"/>
    <w:qFormat/>
    <w:pPr>
      <w:spacing w:after="0" w:line="240" w:lineRule="auto"/>
    </w:pPr>
    <w:tblPr/>
  </w:style>
  <w:style w:type="table" w:styleId="1043" w:customStyle="1">
    <w:name w:val="List Table 6 Colorful - Accent 2"/>
    <w:basedOn w:val="910"/>
    <w:uiPriority w:val="99"/>
    <w:qFormat/>
    <w:pPr>
      <w:spacing w:after="0" w:line="240" w:lineRule="auto"/>
    </w:pPr>
    <w:tblPr/>
  </w:style>
  <w:style w:type="table" w:styleId="1044" w:customStyle="1">
    <w:name w:val="List Table 1 Light - Accent 3"/>
    <w:basedOn w:val="910"/>
    <w:uiPriority w:val="99"/>
    <w:qFormat/>
    <w:pPr>
      <w:spacing w:after="0" w:line="240" w:lineRule="auto"/>
    </w:pPr>
    <w:tblPr/>
  </w:style>
  <w:style w:type="table" w:styleId="1045" w:customStyle="1">
    <w:name w:val="Plain Table 4"/>
    <w:basedOn w:val="910"/>
    <w:uiPriority w:val="99"/>
    <w:qFormat/>
    <w:pPr>
      <w:spacing w:after="0" w:line="240" w:lineRule="auto"/>
    </w:pPr>
    <w:tblPr/>
  </w:style>
  <w:style w:type="table" w:styleId="1046" w:customStyle="1">
    <w:name w:val="List Table 1 Light - Accent 1"/>
    <w:basedOn w:val="910"/>
    <w:uiPriority w:val="99"/>
    <w:qFormat/>
    <w:pPr>
      <w:spacing w:after="0" w:line="240" w:lineRule="auto"/>
    </w:pPr>
    <w:tblPr/>
  </w:style>
  <w:style w:type="table" w:styleId="1047" w:customStyle="1">
    <w:name w:val="Grid Table 5 Dark- Accent 1"/>
    <w:basedOn w:val="910"/>
    <w:uiPriority w:val="99"/>
    <w:qFormat/>
    <w:pPr>
      <w:spacing w:after="0" w:line="240" w:lineRule="auto"/>
    </w:pPr>
    <w:tblPr/>
  </w:style>
  <w:style w:type="table" w:styleId="1048" w:customStyle="1">
    <w:name w:val="List Table 6 Colorful"/>
    <w:basedOn w:val="910"/>
    <w:uiPriority w:val="99"/>
    <w:qFormat/>
    <w:pPr>
      <w:spacing w:after="0" w:line="240" w:lineRule="auto"/>
    </w:pPr>
    <w:tblPr/>
  </w:style>
  <w:style w:type="table" w:styleId="1049" w:customStyle="1">
    <w:name w:val="Grid Table 3 - Accent 4"/>
    <w:basedOn w:val="910"/>
    <w:uiPriority w:val="99"/>
    <w:qFormat/>
    <w:pPr>
      <w:spacing w:after="0" w:line="240" w:lineRule="auto"/>
    </w:pPr>
    <w:tblPr/>
  </w:style>
  <w:style w:type="table" w:styleId="1050" w:customStyle="1">
    <w:name w:val="Grid Table 5 Dark"/>
    <w:basedOn w:val="910"/>
    <w:uiPriority w:val="99"/>
    <w:qFormat/>
    <w:pPr>
      <w:spacing w:after="0" w:line="240" w:lineRule="auto"/>
    </w:pPr>
    <w:tblPr/>
  </w:style>
  <w:style w:type="table" w:styleId="1051" w:customStyle="1">
    <w:name w:val="List Table 2 - Accent 5"/>
    <w:basedOn w:val="910"/>
    <w:uiPriority w:val="99"/>
    <w:qFormat/>
    <w:pPr>
      <w:spacing w:after="0" w:line="240" w:lineRule="auto"/>
    </w:pPr>
    <w:tblPr/>
  </w:style>
  <w:style w:type="table" w:styleId="1052" w:customStyle="1">
    <w:name w:val="List Table 1 Light - Accent 5"/>
    <w:basedOn w:val="910"/>
    <w:uiPriority w:val="99"/>
    <w:qFormat/>
    <w:pPr>
      <w:spacing w:after="0" w:line="240" w:lineRule="auto"/>
    </w:pPr>
    <w:tblPr/>
  </w:style>
  <w:style w:type="table" w:styleId="1053" w:customStyle="1">
    <w:name w:val="List Table 6 Colorful - Accent 1"/>
    <w:basedOn w:val="910"/>
    <w:uiPriority w:val="99"/>
    <w:qFormat/>
    <w:pPr>
      <w:spacing w:after="0" w:line="240" w:lineRule="auto"/>
    </w:pPr>
    <w:tblPr/>
  </w:style>
  <w:style w:type="table" w:styleId="1054" w:customStyle="1">
    <w:name w:val="Grid Table 5 Dark - Accent 2"/>
    <w:basedOn w:val="910"/>
    <w:uiPriority w:val="99"/>
    <w:qFormat/>
    <w:pPr>
      <w:spacing w:after="0" w:line="240" w:lineRule="auto"/>
    </w:pPr>
    <w:tblPr/>
  </w:style>
  <w:style w:type="table" w:styleId="1055" w:customStyle="1">
    <w:name w:val="List Table 7 Colorful"/>
    <w:basedOn w:val="910"/>
    <w:uiPriority w:val="99"/>
    <w:qFormat/>
    <w:pPr>
      <w:spacing w:after="0" w:line="240" w:lineRule="auto"/>
    </w:pPr>
    <w:tblPr/>
  </w:style>
  <w:style w:type="table" w:styleId="1056" w:customStyle="1">
    <w:name w:val="Grid Table 5 Dark - Accent 5"/>
    <w:basedOn w:val="910"/>
    <w:uiPriority w:val="99"/>
    <w:qFormat/>
    <w:pPr>
      <w:spacing w:after="0" w:line="240" w:lineRule="auto"/>
    </w:pPr>
    <w:tblPr/>
  </w:style>
  <w:style w:type="table" w:styleId="1057" w:customStyle="1">
    <w:name w:val="Grid Table 3 - Accent 1"/>
    <w:basedOn w:val="910"/>
    <w:uiPriority w:val="99"/>
    <w:qFormat/>
    <w:pPr>
      <w:spacing w:after="0" w:line="240" w:lineRule="auto"/>
    </w:pPr>
    <w:tblPr/>
  </w:style>
  <w:style w:type="table" w:styleId="1058" w:customStyle="1">
    <w:name w:val="Grid Table 7 Colorful - Accent 3"/>
    <w:basedOn w:val="910"/>
    <w:uiPriority w:val="99"/>
    <w:qFormat/>
    <w:pPr>
      <w:spacing w:after="0" w:line="240" w:lineRule="auto"/>
    </w:pPr>
    <w:tblPr/>
  </w:style>
  <w:style w:type="table" w:styleId="1059" w:customStyle="1">
    <w:name w:val="List Table 6 Colorful - Accent 6"/>
    <w:basedOn w:val="910"/>
    <w:uiPriority w:val="99"/>
    <w:qFormat/>
    <w:pPr>
      <w:spacing w:after="0" w:line="240" w:lineRule="auto"/>
    </w:pPr>
    <w:tblPr/>
  </w:style>
  <w:style w:type="table" w:styleId="1060" w:customStyle="1">
    <w:name w:val="Grid Table 4 - Accent 5"/>
    <w:basedOn w:val="910"/>
    <w:uiPriority w:val="59"/>
    <w:qFormat/>
    <w:pPr>
      <w:spacing w:after="0" w:line="240" w:lineRule="auto"/>
    </w:pPr>
    <w:tblPr/>
  </w:style>
  <w:style w:type="table" w:styleId="1061" w:customStyle="1">
    <w:name w:val="Grid Table 7 Colorful"/>
    <w:basedOn w:val="910"/>
    <w:uiPriority w:val="99"/>
    <w:qFormat/>
    <w:pPr>
      <w:spacing w:after="0" w:line="240" w:lineRule="auto"/>
    </w:pPr>
    <w:tblPr/>
  </w:style>
  <w:style w:type="table" w:styleId="1062" w:customStyle="1">
    <w:name w:val="Bordered - Accent 2"/>
    <w:basedOn w:val="910"/>
    <w:uiPriority w:val="99"/>
    <w:qFormat/>
    <w:pPr>
      <w:spacing w:after="0" w:line="240" w:lineRule="auto"/>
    </w:pPr>
    <w:tblPr/>
  </w:style>
  <w:style w:type="table" w:styleId="1063" w:customStyle="1">
    <w:name w:val="Plain Table 5"/>
    <w:basedOn w:val="910"/>
    <w:uiPriority w:val="99"/>
    <w:qFormat/>
    <w:pPr>
      <w:spacing w:after="0" w:line="240" w:lineRule="auto"/>
    </w:pPr>
    <w:tblPr/>
  </w:style>
  <w:style w:type="table" w:styleId="1064" w:customStyle="1">
    <w:name w:val="Plain Table 1"/>
    <w:basedOn w:val="910"/>
    <w:uiPriority w:val="59"/>
    <w:qFormat/>
    <w:pPr>
      <w:spacing w:after="0" w:line="240" w:lineRule="auto"/>
    </w:pPr>
    <w:tblPr/>
  </w:style>
  <w:style w:type="table" w:styleId="1065" w:customStyle="1">
    <w:name w:val="Grid Table 2 - Accent 3"/>
    <w:basedOn w:val="910"/>
    <w:uiPriority w:val="99"/>
    <w:qFormat/>
    <w:pPr>
      <w:spacing w:after="0" w:line="240" w:lineRule="auto"/>
    </w:pPr>
    <w:tblPr/>
  </w:style>
  <w:style w:type="table" w:styleId="1066" w:customStyle="1">
    <w:name w:val="List Table 6 Colorful - Accent 3"/>
    <w:basedOn w:val="910"/>
    <w:uiPriority w:val="99"/>
    <w:qFormat/>
    <w:pPr>
      <w:spacing w:after="0" w:line="240" w:lineRule="auto"/>
    </w:pPr>
    <w:tblPr/>
  </w:style>
  <w:style w:type="table" w:styleId="1067" w:customStyle="1">
    <w:name w:val="Bordered - Accent 4"/>
    <w:basedOn w:val="910"/>
    <w:uiPriority w:val="99"/>
    <w:qFormat/>
    <w:pPr>
      <w:spacing w:after="0" w:line="240" w:lineRule="auto"/>
    </w:pPr>
    <w:tblPr/>
  </w:style>
  <w:style w:type="table" w:styleId="1068" w:customStyle="1">
    <w:name w:val="List Table 1 Light - Accent 4"/>
    <w:basedOn w:val="910"/>
    <w:uiPriority w:val="99"/>
    <w:qFormat/>
    <w:pPr>
      <w:spacing w:after="0" w:line="240" w:lineRule="auto"/>
    </w:pPr>
    <w:tblPr/>
  </w:style>
  <w:style w:type="table" w:styleId="1069" w:customStyle="1">
    <w:name w:val="Lined - Accent 6"/>
    <w:basedOn w:val="910"/>
    <w:uiPriority w:val="99"/>
    <w:qFormat/>
    <w:pPr>
      <w:spacing w:after="0" w:line="240" w:lineRule="auto"/>
    </w:pPr>
    <w:rPr>
      <w:color w:val="404040"/>
    </w:rPr>
    <w:tblPr/>
  </w:style>
  <w:style w:type="table" w:styleId="1070" w:customStyle="1">
    <w:name w:val="Bordered &amp; Lined - Accent 2"/>
    <w:basedOn w:val="910"/>
    <w:uiPriority w:val="99"/>
    <w:qFormat/>
    <w:pPr>
      <w:spacing w:after="0" w:line="240" w:lineRule="auto"/>
    </w:pPr>
    <w:rPr>
      <w:color w:val="404040"/>
    </w:rPr>
    <w:tblPr/>
  </w:style>
  <w:style w:type="table" w:styleId="1071" w:customStyle="1">
    <w:name w:val="List Table 5 Dark"/>
    <w:basedOn w:val="910"/>
    <w:uiPriority w:val="99"/>
    <w:qFormat/>
    <w:pPr>
      <w:spacing w:after="0" w:line="240" w:lineRule="auto"/>
    </w:pPr>
    <w:tblPr/>
  </w:style>
  <w:style w:type="table" w:styleId="1072" w:customStyle="1">
    <w:name w:val="Grid Table 4 - Accent 2"/>
    <w:basedOn w:val="910"/>
    <w:uiPriority w:val="59"/>
    <w:qFormat/>
    <w:pPr>
      <w:spacing w:after="0" w:line="240" w:lineRule="auto"/>
    </w:pPr>
    <w:tblPr/>
  </w:style>
  <w:style w:type="table" w:styleId="1073" w:customStyle="1">
    <w:name w:val="List Table 2 - Accent 4"/>
    <w:basedOn w:val="910"/>
    <w:uiPriority w:val="99"/>
    <w:qFormat/>
    <w:pPr>
      <w:spacing w:after="0" w:line="240" w:lineRule="auto"/>
    </w:pPr>
    <w:tblPr/>
  </w:style>
  <w:style w:type="table" w:styleId="1074" w:customStyle="1">
    <w:name w:val="List Table 1 Light - Accent 6"/>
    <w:basedOn w:val="910"/>
    <w:uiPriority w:val="99"/>
    <w:qFormat/>
    <w:pPr>
      <w:spacing w:after="0" w:line="240" w:lineRule="auto"/>
    </w:pPr>
    <w:tblPr/>
  </w:style>
  <w:style w:type="table" w:styleId="1075" w:customStyle="1">
    <w:name w:val="Bordered - Accent 3"/>
    <w:basedOn w:val="910"/>
    <w:uiPriority w:val="99"/>
    <w:qFormat/>
    <w:pPr>
      <w:spacing w:after="0" w:line="240" w:lineRule="auto"/>
    </w:pPr>
    <w:tblPr/>
  </w:style>
  <w:style w:type="table" w:styleId="1076" w:customStyle="1">
    <w:name w:val="Grid Table 6 Colorful - Accent 2"/>
    <w:basedOn w:val="910"/>
    <w:uiPriority w:val="99"/>
    <w:qFormat/>
    <w:pPr>
      <w:spacing w:after="0" w:line="240" w:lineRule="auto"/>
    </w:pPr>
    <w:tblPr/>
  </w:style>
  <w:style w:type="table" w:styleId="1077" w:customStyle="1">
    <w:name w:val="Grid Table 2 - Accent 5"/>
    <w:basedOn w:val="910"/>
    <w:uiPriority w:val="99"/>
    <w:qFormat/>
    <w:pPr>
      <w:spacing w:after="0" w:line="240" w:lineRule="auto"/>
    </w:pPr>
    <w:tblPr/>
  </w:style>
  <w:style w:type="table" w:styleId="1078" w:customStyle="1">
    <w:name w:val="List Table 1 Light - Accent 2"/>
    <w:basedOn w:val="910"/>
    <w:uiPriority w:val="99"/>
    <w:qFormat/>
    <w:pPr>
      <w:spacing w:after="0" w:line="240" w:lineRule="auto"/>
    </w:pPr>
    <w:tblPr/>
  </w:style>
  <w:style w:type="table" w:styleId="1079" w:customStyle="1">
    <w:name w:val="List Table 3 - Accent 3"/>
    <w:basedOn w:val="910"/>
    <w:uiPriority w:val="99"/>
    <w:qFormat/>
    <w:pPr>
      <w:spacing w:after="0" w:line="240" w:lineRule="auto"/>
    </w:pPr>
    <w:tblPr/>
  </w:style>
  <w:style w:type="table" w:styleId="1080" w:customStyle="1">
    <w:name w:val="Grid Table 4 - Accent 4"/>
    <w:basedOn w:val="910"/>
    <w:uiPriority w:val="59"/>
    <w:qFormat/>
    <w:pPr>
      <w:spacing w:after="0" w:line="240" w:lineRule="auto"/>
    </w:pPr>
    <w:tblPr/>
  </w:style>
  <w:style w:type="table" w:styleId="1081" w:customStyle="1">
    <w:name w:val="Bordered - Accent 1"/>
    <w:basedOn w:val="910"/>
    <w:uiPriority w:val="99"/>
    <w:qFormat/>
    <w:pPr>
      <w:spacing w:after="0" w:line="240" w:lineRule="auto"/>
    </w:pPr>
    <w:tblPr/>
  </w:style>
  <w:style w:type="table" w:styleId="1082" w:customStyle="1">
    <w:name w:val="Grid Table 1 Light - Accent 2"/>
    <w:basedOn w:val="910"/>
    <w:uiPriority w:val="99"/>
    <w:qFormat/>
    <w:pPr>
      <w:spacing w:after="0" w:line="240" w:lineRule="auto"/>
    </w:pPr>
    <w:tblPr/>
  </w:style>
  <w:style w:type="table" w:styleId="1083" w:customStyle="1">
    <w:name w:val="List Table 7 Colorful - Accent 6"/>
    <w:basedOn w:val="910"/>
    <w:uiPriority w:val="99"/>
    <w:qFormat/>
    <w:pPr>
      <w:spacing w:after="0" w:line="240" w:lineRule="auto"/>
    </w:pPr>
    <w:tblPr/>
  </w:style>
  <w:style w:type="table" w:styleId="1084" w:customStyle="1">
    <w:name w:val="Bordered &amp; Lined - Accent 5"/>
    <w:basedOn w:val="910"/>
    <w:uiPriority w:val="99"/>
    <w:qFormat/>
    <w:pPr>
      <w:spacing w:after="0" w:line="240" w:lineRule="auto"/>
    </w:pPr>
    <w:rPr>
      <w:color w:val="404040"/>
    </w:rPr>
    <w:tblPr/>
  </w:style>
  <w:style w:type="table" w:styleId="1085" w:customStyle="1">
    <w:name w:val="Grid Table 2 - Accent 2"/>
    <w:basedOn w:val="910"/>
    <w:uiPriority w:val="99"/>
    <w:qFormat/>
    <w:pPr>
      <w:spacing w:after="0" w:line="240" w:lineRule="auto"/>
    </w:pPr>
    <w:tblPr/>
  </w:style>
  <w:style w:type="table" w:styleId="1086" w:customStyle="1">
    <w:name w:val="Bordered - Accent 6"/>
    <w:basedOn w:val="910"/>
    <w:uiPriority w:val="99"/>
    <w:qFormat/>
    <w:pPr>
      <w:spacing w:after="0" w:line="240" w:lineRule="auto"/>
    </w:pPr>
    <w:tblPr/>
  </w:style>
  <w:style w:type="table" w:styleId="1087" w:customStyle="1">
    <w:name w:val="Lined - Accent"/>
    <w:basedOn w:val="910"/>
    <w:uiPriority w:val="99"/>
    <w:qFormat/>
    <w:pPr>
      <w:spacing w:after="0" w:line="240" w:lineRule="auto"/>
    </w:pPr>
    <w:rPr>
      <w:color w:val="404040"/>
    </w:rPr>
    <w:tblPr/>
  </w:style>
  <w:style w:type="table" w:styleId="1088" w:customStyle="1">
    <w:name w:val="List Table 2 - Accent 3"/>
    <w:basedOn w:val="910"/>
    <w:uiPriority w:val="99"/>
    <w:qFormat/>
    <w:pPr>
      <w:spacing w:after="0" w:line="240" w:lineRule="auto"/>
    </w:pPr>
    <w:tblPr/>
  </w:style>
  <w:style w:type="table" w:styleId="1089" w:customStyle="1">
    <w:name w:val="List Table 4 - Accent 3"/>
    <w:basedOn w:val="910"/>
    <w:uiPriority w:val="99"/>
    <w:qFormat/>
    <w:pPr>
      <w:spacing w:after="0" w:line="240" w:lineRule="auto"/>
    </w:pPr>
    <w:tblPr/>
  </w:style>
  <w:style w:type="table" w:styleId="1090" w:customStyle="1">
    <w:name w:val="List Table 5 Dark - Accent 4"/>
    <w:basedOn w:val="910"/>
    <w:uiPriority w:val="99"/>
    <w:qFormat/>
    <w:pPr>
      <w:spacing w:after="0" w:line="240" w:lineRule="auto"/>
    </w:pPr>
    <w:tblPr/>
  </w:style>
  <w:style w:type="table" w:styleId="1091" w:customStyle="1">
    <w:name w:val="Lined - Accent 5"/>
    <w:basedOn w:val="910"/>
    <w:uiPriority w:val="99"/>
    <w:qFormat/>
    <w:pPr>
      <w:spacing w:after="0" w:line="240" w:lineRule="auto"/>
    </w:pPr>
    <w:rPr>
      <w:color w:val="404040"/>
    </w:rPr>
    <w:tblPr/>
  </w:style>
  <w:style w:type="table" w:styleId="1092" w:customStyle="1">
    <w:name w:val="List Table 4 - Accent 5"/>
    <w:basedOn w:val="910"/>
    <w:uiPriority w:val="99"/>
    <w:qFormat/>
    <w:pPr>
      <w:spacing w:after="0" w:line="240" w:lineRule="auto"/>
    </w:pPr>
    <w:tblPr/>
  </w:style>
  <w:style w:type="table" w:styleId="1093" w:customStyle="1">
    <w:name w:val="List Table 5 Dark - Accent 5"/>
    <w:basedOn w:val="910"/>
    <w:uiPriority w:val="99"/>
    <w:qFormat/>
    <w:pPr>
      <w:spacing w:after="0" w:line="240" w:lineRule="auto"/>
    </w:pPr>
    <w:tblPr/>
  </w:style>
  <w:style w:type="table" w:styleId="1094" w:customStyle="1">
    <w:name w:val="Grid Table 7 Colorful - Accent 4"/>
    <w:basedOn w:val="910"/>
    <w:uiPriority w:val="99"/>
    <w:qFormat/>
    <w:pPr>
      <w:spacing w:after="0" w:line="240" w:lineRule="auto"/>
    </w:pPr>
    <w:tblPr/>
  </w:style>
  <w:style w:type="table" w:styleId="1095" w:customStyle="1">
    <w:name w:val="List Table 4 - Accent 6"/>
    <w:basedOn w:val="910"/>
    <w:uiPriority w:val="99"/>
    <w:qFormat/>
    <w:pPr>
      <w:spacing w:after="0" w:line="240" w:lineRule="auto"/>
    </w:pPr>
    <w:tblPr/>
  </w:style>
  <w:style w:type="table" w:styleId="1096" w:customStyle="1">
    <w:name w:val="Grid Table 2"/>
    <w:basedOn w:val="910"/>
    <w:uiPriority w:val="99"/>
    <w:qFormat/>
    <w:pPr>
      <w:spacing w:after="0" w:line="240" w:lineRule="auto"/>
    </w:pPr>
    <w:tblPr/>
  </w:style>
  <w:style w:type="table" w:styleId="1097" w:customStyle="1">
    <w:name w:val="Lined - Accent 2"/>
    <w:basedOn w:val="910"/>
    <w:uiPriority w:val="99"/>
    <w:qFormat/>
    <w:pPr>
      <w:spacing w:after="0" w:line="240" w:lineRule="auto"/>
    </w:pPr>
    <w:rPr>
      <w:color w:val="404040"/>
    </w:rPr>
    <w:tblPr/>
  </w:style>
  <w:style w:type="table" w:styleId="1098" w:customStyle="1">
    <w:name w:val="Grid Table 6 Colorful - Accent 4"/>
    <w:basedOn w:val="910"/>
    <w:uiPriority w:val="99"/>
    <w:qFormat/>
    <w:pPr>
      <w:spacing w:after="0" w:line="240" w:lineRule="auto"/>
    </w:pPr>
    <w:tblPr/>
  </w:style>
  <w:style w:type="table" w:styleId="1099" w:customStyle="1">
    <w:name w:val="Grid Table 4 - Accent 1"/>
    <w:basedOn w:val="910"/>
    <w:uiPriority w:val="59"/>
    <w:qFormat/>
    <w:pPr>
      <w:spacing w:after="0" w:line="240" w:lineRule="auto"/>
    </w:pPr>
    <w:tblPr/>
  </w:style>
  <w:style w:type="table" w:styleId="1100" w:customStyle="1">
    <w:name w:val="Grid Table 3 - Accent 2"/>
    <w:basedOn w:val="910"/>
    <w:uiPriority w:val="99"/>
    <w:qFormat/>
    <w:pPr>
      <w:spacing w:after="0" w:line="240" w:lineRule="auto"/>
    </w:pPr>
    <w:tblPr/>
  </w:style>
  <w:style w:type="table" w:styleId="1101" w:customStyle="1">
    <w:name w:val="Table Grid Light"/>
    <w:basedOn w:val="910"/>
    <w:uiPriority w:val="59"/>
    <w:qFormat/>
    <w:pPr>
      <w:spacing w:after="0" w:line="240" w:lineRule="auto"/>
    </w:pPr>
    <w:tblPr/>
  </w:style>
  <w:style w:type="table" w:styleId="1102" w:customStyle="1">
    <w:name w:val="Grid Table 2 - Accent 6"/>
    <w:basedOn w:val="910"/>
    <w:uiPriority w:val="99"/>
    <w:qFormat/>
    <w:pPr>
      <w:spacing w:after="0" w:line="240" w:lineRule="auto"/>
    </w:pPr>
    <w:tblPr/>
  </w:style>
  <w:style w:type="table" w:styleId="1103" w:customStyle="1">
    <w:name w:val="Grid Table 4 - Accent 3"/>
    <w:basedOn w:val="910"/>
    <w:uiPriority w:val="59"/>
    <w:qFormat/>
    <w:pPr>
      <w:spacing w:after="0" w:line="240" w:lineRule="auto"/>
    </w:pPr>
    <w:tblPr/>
  </w:style>
  <w:style w:type="table" w:styleId="1104" w:customStyle="1">
    <w:name w:val="Grid Table 1 Light - Accent 5"/>
    <w:basedOn w:val="910"/>
    <w:uiPriority w:val="99"/>
    <w:qFormat/>
    <w:pPr>
      <w:spacing w:after="0" w:line="240" w:lineRule="auto"/>
    </w:pPr>
    <w:tblPr/>
  </w:style>
  <w:style w:type="table" w:styleId="1105" w:customStyle="1">
    <w:name w:val="Grid Table 1 Light - Accent 1"/>
    <w:basedOn w:val="910"/>
    <w:uiPriority w:val="99"/>
    <w:qFormat/>
    <w:pPr>
      <w:spacing w:after="0" w:line="240" w:lineRule="auto"/>
    </w:pPr>
    <w:tblPr/>
  </w:style>
  <w:style w:type="table" w:styleId="1106" w:customStyle="1">
    <w:name w:val="List Table 5 Dark - Accent 2"/>
    <w:basedOn w:val="910"/>
    <w:uiPriority w:val="99"/>
    <w:qFormat/>
    <w:pPr>
      <w:spacing w:after="0" w:line="240" w:lineRule="auto"/>
    </w:pPr>
    <w:tblPr/>
  </w:style>
  <w:style w:type="paragraph" w:styleId="1107" w:customStyle="1">
    <w:name w:val="正文文本11"/>
    <w:basedOn w:val="865"/>
    <w:next w:val="865"/>
    <w:uiPriority w:val="99"/>
    <w:qFormat/>
    <w:pPr>
      <w:widowControl/>
      <w:tabs>
        <w:tab w:val="left" w:pos="540" w:leader="none"/>
        <w:tab w:val="left" w:pos="900" w:leader="none"/>
      </w:tabs>
    </w:pPr>
    <w:rPr>
      <w:rFonts w:ascii="Times New Roman" w:hAnsi="Times New Roman"/>
    </w:rPr>
  </w:style>
  <w:style w:type="paragraph" w:styleId="1108" w:customStyle="1">
    <w:name w:val="Plain Text1"/>
    <w:basedOn w:val="865"/>
    <w:uiPriority w:val="0"/>
    <w:qFormat/>
    <w:rPr>
      <w:rFonts w:ascii="宋体" w:hAnsi="Courier New" w:eastAsia="宋体" w:cs="Times New Roman"/>
      <w:sz w:val="26"/>
      <w:szCs w:val="20"/>
    </w:rPr>
  </w:style>
  <w:style w:type="paragraph" w:styleId="1109" w:customStyle="1">
    <w:name w:val="正文 A"/>
    <w:uiPriority w:val="0"/>
    <w:qFormat/>
    <w:pPr>
      <w:jc w:val="both"/>
      <w:widowControl w:val="off"/>
      <w:framePr w:wrap="around" w:vAnchor="margin" w:hAnchor="text" w:yAlign="top"/>
    </w:pPr>
    <w:rPr>
      <w:rFonts w:hint="default" w:ascii="Calibri" w:hAnsi="Arial Unicode MS" w:eastAsia="Arial Unicode MS" w:cs="Arial Unicode MS"/>
      <w:color w:val="000000"/>
      <w:sz w:val="21"/>
      <w:szCs w:val="21"/>
      <w:u w:val="none"/>
      <w:lang w:val="en-US" w:eastAsia="zh-CN" w:bidi="ar-SA"/>
    </w:rPr>
  </w:style>
  <w:style w:type="character" w:styleId="1110" w:customStyle="1">
    <w:name w:val="font31"/>
    <w:basedOn w:val="875"/>
    <w:uiPriority w:val="0"/>
    <w:qFormat/>
    <w:rPr>
      <w:rFonts w:hint="eastAsia" w:ascii="宋体" w:hAnsi="宋体" w:eastAsia="宋体" w:cs="宋体"/>
      <w:b/>
      <w:bCs/>
      <w:color w:val="000000"/>
      <w:sz w:val="20"/>
      <w:szCs w:val="20"/>
      <w:u w:val="none"/>
    </w:rPr>
  </w:style>
  <w:style w:type="character" w:styleId="1111" w:customStyle="1">
    <w:name w:val="font71"/>
    <w:basedOn w:val="875"/>
    <w:uiPriority w:val="0"/>
    <w:qFormat/>
    <w:rPr>
      <w:rFonts w:ascii="Calibri" w:hAnsi="Calibri" w:cs="Calibri"/>
      <w:b/>
      <w:bCs/>
      <w:color w:val="000000"/>
      <w:sz w:val="20"/>
      <w:szCs w:val="20"/>
      <w:u w:val="none"/>
    </w:rPr>
  </w:style>
  <w:style w:type="character" w:styleId="1112" w:customStyle="1">
    <w:name w:val="font51"/>
    <w:basedOn w:val="875"/>
    <w:uiPriority w:val="0"/>
    <w:qFormat/>
    <w:rPr>
      <w:rFonts w:hint="eastAsia" w:ascii="宋体" w:hAnsi="宋体" w:eastAsia="宋体" w:cs="宋体"/>
      <w:color w:val="000000"/>
      <w:sz w:val="20"/>
      <w:szCs w:val="20"/>
      <w:u w:val="none"/>
    </w:rPr>
  </w:style>
  <w:style w:type="paragraph" w:styleId="1113" w:customStyle="1">
    <w:name w:val="纯文本2"/>
    <w:basedOn w:val="865"/>
    <w:uiPriority w:val="0"/>
    <w:qFormat/>
    <w:rPr>
      <w:rFonts w:ascii="宋体" w:hAnsi="Courier New" w:eastAsia="宋体" w:cs="Times New Roman"/>
      <w:sz w:val="28"/>
      <w:szCs w:val="28"/>
    </w:rPr>
  </w:style>
  <w:style w:type="character" w:styleId="1114" w:customStyle="1">
    <w:name w:val="font01"/>
    <w:basedOn w:val="875"/>
    <w:uiPriority w:val="0"/>
    <w:qFormat/>
    <w:rPr>
      <w:rFonts w:hint="eastAsia" w:ascii="宋体" w:hAnsi="宋体" w:eastAsia="宋体" w:cs="宋体"/>
      <w:color w:val="000000"/>
      <w:sz w:val="22"/>
      <w:szCs w:val="22"/>
      <w:u w:val="none"/>
    </w:rPr>
  </w:style>
  <w:style w:type="character" w:styleId="1115" w:customStyle="1">
    <w:name w:val="font11"/>
    <w:basedOn w:val="875"/>
    <w:uiPriority w:val="0"/>
    <w:qFormat/>
    <w:rPr>
      <w:rFonts w:hint="eastAsia" w:ascii="宋体" w:hAnsi="宋体" w:eastAsia="宋体" w:cs="宋体"/>
      <w:color w:val="000000"/>
      <w:sz w:val="22"/>
      <w:szCs w:val="22"/>
      <w:u w:val="none"/>
    </w:rPr>
  </w:style>
  <w:style w:type="character" w:styleId="1116" w:customStyle="1">
    <w:name w:val="font21"/>
    <w:basedOn w:val="875"/>
    <w:uiPriority w:val="0"/>
    <w:qFormat/>
    <w:rPr>
      <w:rFonts w:hint="eastAsia" w:ascii="宋体" w:hAnsi="宋体" w:eastAsia="宋体" w:cs="宋体"/>
      <w:b/>
      <w:color w:val="000000"/>
      <w:sz w:val="32"/>
      <w:szCs w:val="32"/>
      <w:u w:val="none"/>
    </w:rPr>
  </w:style>
  <w:style w:type="character" w:styleId="1117" w:customStyle="1">
    <w:name w:val="font91"/>
    <w:basedOn w:val="875"/>
    <w:uiPriority w:val="0"/>
    <w:qFormat/>
    <w:rPr>
      <w:rFonts w:ascii="Wingdings 2" w:hAnsi="Wingdings 2" w:eastAsia="Wingdings 2" w:cs="Wingdings 2"/>
      <w:color w:val="000000"/>
      <w:sz w:val="22"/>
      <w:szCs w:val="22"/>
      <w:u w:val="none"/>
    </w:rPr>
  </w:style>
  <w:style w:type="character" w:styleId="1118" w:customStyle="1">
    <w:name w:val="font81"/>
    <w:basedOn w:val="875"/>
    <w:uiPriority w:val="0"/>
    <w:qFormat/>
    <w:rPr>
      <w:rFonts w:hint="default" w:ascii="Arial" w:hAnsi="Arial" w:cs="Arial"/>
      <w:color w:val="000000"/>
      <w:sz w:val="21"/>
      <w:szCs w:val="21"/>
      <w:u w:val="none"/>
    </w:rPr>
  </w:style>
  <w:style w:type="paragraph" w:styleId="1119" w:customStyle="1">
    <w:name w:val="纯文本12"/>
    <w:basedOn w:val="865"/>
    <w:uiPriority w:val="0"/>
    <w:qFormat/>
    <w:rPr>
      <w:rFonts w:ascii="宋体" w:hAnsi="Courier New" w:eastAsia="楷体_GB2312"/>
      <w:sz w:val="28"/>
      <w:szCs w:val="20"/>
    </w:rPr>
  </w:style>
  <w:style w:type="character" w:styleId="1120" w:customStyle="1">
    <w:name w:val="font41"/>
    <w:basedOn w:val="875"/>
    <w:uiPriority w:val="0"/>
    <w:qFormat/>
    <w:rPr>
      <w:rFonts w:hint="default" w:ascii="Times New Roman" w:hAnsi="Times New Roman" w:cs="Times New Roman"/>
      <w:b/>
      <w:bCs/>
      <w:color w:val="000000"/>
      <w:sz w:val="20"/>
      <w:szCs w:val="20"/>
      <w:u w:val="none"/>
    </w:rPr>
  </w:style>
  <w:style w:type="numbering" w:styleId="101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苏州市吴中区人民政</dc:creator>
  <cp:lastModifiedBy>张欣雨</cp:lastModifiedBy>
  <cp:revision>9</cp:revision>
  <dcterms:created xsi:type="dcterms:W3CDTF">2023-07-12T06:08:00Z</dcterms:created>
  <dcterms:modified xsi:type="dcterms:W3CDTF">2026-01-29T07:06:00Z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eyJoZGlkIjoiYTFjOGE4NzA0OWVmOGVjZTJjYTY4NDk5ODUzNTZlNzIiLCJ1c2VySWQiOiI1NDQ4Njk0NDIifQ==</vt:lpwstr>
  </property>
  <property fmtid="{D5CDD505-2E9C-101B-9397-08002B2CF9AE}" pid="4" name="ICV">
    <vt:lpwstr>8D37C7C1FA454DCB86FC04323F9423F5_12</vt:lpwstr>
  </property>
</Properties>
</file>