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rFonts w:ascii="Times New Roman" w:hAnsi="Times New Roman" w:eastAsia="宋体" w:cs="Times New Roman"/>
          <w:b/>
          <w:bCs/>
          <w:sz w:val="60"/>
          <w:szCs w:val="60"/>
          <w:highlight w:val="none"/>
        </w:rPr>
      </w:pPr>
      <w:r>
        <w:rPr>
          <w:rFonts w:ascii="Times New Roman" w:hAnsi="Times New Roman" w:eastAsia="宋体" w:cs="Times New Roman"/>
          <w:b/>
          <w:bCs/>
          <w:sz w:val="60"/>
          <w:szCs w:val="60"/>
          <w:highlight w:val="none"/>
        </w:rPr>
        <w:t xml:space="preserve">常州市政府采购项目</w:t>
      </w:r>
      <w:r/>
    </w:p>
    <w:p>
      <w:pPr>
        <w:jc w:val="center"/>
        <w:rPr>
          <w:b/>
          <w:bCs/>
          <w:sz w:val="60"/>
          <w:szCs w:val="60"/>
          <w:highlight w:val="none"/>
        </w:rPr>
      </w:pPr>
      <w:r>
        <w:rPr>
          <w:rFonts w:hint="eastAsia" w:ascii="Times New Roman" w:hAnsi="Times New Roman" w:eastAsia="宋体" w:cs="Times New Roman"/>
          <w:b/>
          <w:bCs/>
          <w:sz w:val="60"/>
          <w:szCs w:val="60"/>
          <w:highlight w:val="none"/>
        </w:rPr>
        <w:t xml:space="preserve">公开</w:t>
      </w:r>
      <w:r>
        <w:rPr>
          <w:rFonts w:ascii="Times New Roman" w:hAnsi="Times New Roman" w:eastAsia="宋体" w:cs="Times New Roman"/>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jc w:val="center"/>
        <w:spacing w:line="360" w:lineRule="auto"/>
        <w:rPr>
          <w:sz w:val="60"/>
          <w:szCs w:val="60"/>
          <w:highlight w:val="none"/>
        </w:rPr>
      </w:pPr>
      <w:r>
        <w:rPr>
          <w:sz w:val="60"/>
          <w:szCs w:val="60"/>
          <w:highlight w:val="none"/>
        </w:rPr>
      </w:r>
      <w:r/>
    </w:p>
    <w:p>
      <w:pPr>
        <w:jc w:val="both"/>
        <w:spacing w:line="360" w:lineRule="auto"/>
        <w:rPr>
          <w:sz w:val="60"/>
          <w:szCs w:val="60"/>
          <w:highlight w:val="none"/>
        </w:rPr>
      </w:pPr>
      <w:r>
        <w:rPr>
          <w:sz w:val="60"/>
          <w:szCs w:val="60"/>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2026年园区绿化养护项目</w:t>
      </w:r>
      <w:r/>
    </w:p>
    <w:p>
      <w:pPr>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JSZC-320481-LPHX-G2026-0001</w:t>
      </w:r>
      <w:r/>
    </w:p>
    <w:p>
      <w:pPr>
        <w:ind w:left="1800" w:hanging="1800"/>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江苏省溧阳高新技术产业开发区国有资产管理中心</w:t>
      </w:r>
      <w:r/>
    </w:p>
    <w:p>
      <w:pPr>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溧阳普弘信工程项目管理有限公司</w:t>
      </w:r>
      <w:r>
        <w:rPr>
          <w:bCs/>
          <w:sz w:val="36"/>
          <w:szCs w:val="36"/>
          <w:highlight w:val="none"/>
        </w:rPr>
        <w:t xml:space="preserve"> </w:t>
      </w:r>
      <w:r/>
    </w:p>
    <w:p>
      <w:pPr>
        <w:jc w:val="left"/>
        <w:widowControl/>
        <w:rPr>
          <w:b/>
          <w:bCs/>
          <w:sz w:val="44"/>
          <w:highlight w:val="none"/>
        </w:rPr>
      </w:pPr>
      <w:r>
        <w:rPr>
          <w:b/>
          <w:bCs/>
          <w:sz w:val="44"/>
          <w:highlight w:val="none"/>
        </w:rPr>
        <w:br w:type="page" w:clear="all"/>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4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0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"_Toc99301419" </w:instrText>
      </w:r>
      <w:r>
        <w:rPr>
          <w:highlight w:val="none"/>
        </w:rPr>
        <w:fldChar w:fldCharType="separate"/>
      </w:r>
      <w:r>
        <w:rPr>
          <w:rStyle w:val="1065"/>
          <w:rFonts w:ascii="Times New Roman" w:hAnsi="Times New Roman"/>
          <w:color w:val="000000"/>
          <w:highlight w:val="none"/>
        </w:rPr>
        <w:t xml:space="preserve">第一章   </w:t>
      </w:r>
      <w:r>
        <w:rPr>
          <w:rFonts w:hint="eastAsia" w:ascii="Times New Roman" w:hAnsi="Times New Roman"/>
          <w:highlight w:val="none"/>
          <w:lang w:val="en-US" w:eastAsia="zh-CN"/>
        </w:rPr>
        <w:t xml:space="preserve">投标</w:t>
      </w:r>
      <w:r>
        <w:rPr>
          <w:rFonts w:ascii="Times New Roman" w:hAnsi="Times New Roman"/>
          <w:highlight w:val="none"/>
        </w:rPr>
        <w:fldChar w:fldCharType="end"/>
      </w:r>
      <w:r>
        <w:rPr>
          <w:rFonts w:hint="eastAsia" w:ascii="Times New Roman" w:hAnsi="Times New Roman"/>
          <w:highlight w:val="none"/>
          <w:lang w:val="en-US" w:eastAsia="zh-CN"/>
        </w:rPr>
        <w:t xml:space="preserve">邀请</w:t>
      </w:r>
      <w:r/>
    </w:p>
    <w:p>
      <w:pPr>
        <w:pStyle w:val="10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65"/>
          <w:rFonts w:ascii="Times New Roman" w:hAnsi="Times New Roman"/>
          <w:color w:val="000000"/>
          <w:highlight w:val="none"/>
        </w:rPr>
        <w:t xml:space="preserve">第二章   </w:t>
      </w:r>
      <w:r>
        <w:rPr>
          <w:rStyle w:val="1065"/>
          <w:rFonts w:hint="eastAsia" w:ascii="Times New Roman" w:hAnsi="Times New Roman"/>
          <w:color w:val="000000"/>
          <w:highlight w:val="none"/>
        </w:rPr>
        <w:t xml:space="preserve">投标</w:t>
      </w:r>
      <w:r>
        <w:rPr>
          <w:rStyle w:val="1065"/>
          <w:rFonts w:hint="eastAsia" w:ascii="Times New Roman" w:hAnsi="Times New Roman"/>
          <w:color w:val="000000"/>
          <w:highlight w:val="none"/>
          <w:lang w:val="en-US" w:eastAsia="zh-CN"/>
        </w:rPr>
        <w:t xml:space="preserve">人</w:t>
      </w:r>
      <w:r>
        <w:rPr>
          <w:rStyle w:val="1065"/>
          <w:rFonts w:ascii="Times New Roman" w:hAnsi="Times New Roman"/>
          <w:color w:val="000000"/>
          <w:highlight w:val="none"/>
        </w:rPr>
        <w:t xml:space="preserve">须知</w:t>
      </w:r>
      <w:r>
        <w:rPr>
          <w:rFonts w:ascii="Times New Roman" w:hAnsi="Times New Roman"/>
          <w:highlight w:val="none"/>
        </w:rPr>
        <w:fldChar w:fldCharType="end"/>
      </w:r>
      <w:r/>
    </w:p>
    <w:p>
      <w:pPr>
        <w:pStyle w:val="10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65"/>
          <w:rFonts w:ascii="Times New Roman" w:hAnsi="Times New Roman"/>
          <w:color w:val="000000"/>
          <w:highlight w:val="none"/>
        </w:rPr>
        <w:t xml:space="preserve">第三章   资</w:t>
      </w:r>
      <w:bookmarkStart w:id="1" w:name="_Hlt100754117"/>
      <w:r>
        <w:rPr>
          <w:rStyle w:val="1065"/>
          <w:rFonts w:ascii="Times New Roman" w:hAnsi="Times New Roman"/>
          <w:color w:val="000000"/>
          <w:highlight w:val="none"/>
        </w:rPr>
        <w:t xml:space="preserve">格</w:t>
      </w:r>
      <w:bookmarkEnd w:id="1"/>
      <w:r>
        <w:rPr>
          <w:rStyle w:val="1065"/>
          <w:rFonts w:ascii="Times New Roman" w:hAnsi="Times New Roman"/>
          <w:color w:val="000000"/>
          <w:highlight w:val="none"/>
        </w:rPr>
        <w:t xml:space="preserve">审查</w:t>
      </w:r>
      <w:r>
        <w:rPr>
          <w:rFonts w:ascii="Times New Roman" w:hAnsi="Times New Roman"/>
          <w:highlight w:val="none"/>
        </w:rPr>
        <w:fldChar w:fldCharType="end"/>
      </w:r>
      <w:r/>
    </w:p>
    <w:p>
      <w:pPr>
        <w:pStyle w:val="10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65"/>
          <w:rFonts w:ascii="Times New Roman" w:hAnsi="Times New Roman"/>
          <w:color w:val="000000"/>
          <w:highlight w:val="none"/>
        </w:rPr>
        <w:t xml:space="preserve">第四章   评标程序、评标方法和评标标准</w:t>
      </w:r>
      <w:r>
        <w:rPr>
          <w:rFonts w:ascii="Times New Roman" w:hAnsi="Times New Roman"/>
          <w:highlight w:val="none"/>
        </w:rPr>
        <w:fldChar w:fldCharType="end"/>
      </w:r>
      <w:r/>
    </w:p>
    <w:p>
      <w:pPr>
        <w:pStyle w:val="10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65"/>
          <w:rFonts w:ascii="Times New Roman" w:hAnsi="Times New Roman"/>
          <w:color w:val="000000"/>
          <w:highlight w:val="none"/>
        </w:rPr>
        <w:t xml:space="preserve">第五章   采购</w:t>
      </w:r>
      <w:bookmarkStart w:id="2" w:name="_Hlt100754102"/>
      <w:r/>
      <w:bookmarkStart w:id="3" w:name="_Hlt100754103"/>
      <w:r>
        <w:rPr>
          <w:rStyle w:val="1065"/>
          <w:rFonts w:ascii="Times New Roman" w:hAnsi="Times New Roman"/>
          <w:color w:val="000000"/>
          <w:highlight w:val="none"/>
        </w:rPr>
        <w:t xml:space="preserve">需</w:t>
      </w:r>
      <w:bookmarkEnd w:id="2"/>
      <w:r/>
      <w:bookmarkEnd w:id="3"/>
      <w:r>
        <w:rPr>
          <w:rStyle w:val="1065"/>
          <w:rFonts w:ascii="Times New Roman" w:hAnsi="Times New Roman"/>
          <w:color w:val="000000"/>
          <w:highlight w:val="none"/>
        </w:rPr>
        <w:t xml:space="preserve">求</w:t>
      </w:r>
      <w:r>
        <w:rPr>
          <w:rFonts w:ascii="Times New Roman" w:hAnsi="Times New Roman"/>
          <w:highlight w:val="none"/>
        </w:rPr>
        <w:fldChar w:fldCharType="end"/>
      </w:r>
      <w:r/>
    </w:p>
    <w:p>
      <w:pPr>
        <w:pStyle w:val="10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65"/>
          <w:rFonts w:ascii="Times New Roman" w:hAnsi="Times New Roman"/>
          <w:color w:val="000000"/>
          <w:highlight w:val="none"/>
        </w:rPr>
        <w:t xml:space="preserve">第六章   拟签订的合同文本</w:t>
      </w:r>
      <w:r>
        <w:rPr>
          <w:rFonts w:ascii="Times New Roman" w:hAnsi="Times New Roman"/>
          <w:highlight w:val="none"/>
        </w:rPr>
        <w:fldChar w:fldCharType="end"/>
      </w:r>
      <w:r/>
    </w:p>
    <w:p>
      <w:pPr>
        <w:pStyle w:val="10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65"/>
          <w:rFonts w:ascii="Times New Roman" w:hAnsi="Times New Roman"/>
          <w:color w:val="000000"/>
          <w:highlight w:val="none"/>
        </w:rPr>
        <w:t xml:space="preserve">第七章   投标文件格式</w:t>
      </w:r>
      <w:r>
        <w:rPr>
          <w:rFonts w:ascii="Times New Roman" w:hAnsi="Times New Roman"/>
          <w:highlight w:val="none"/>
        </w:rPr>
        <w:fldChar w:fldCharType="end"/>
      </w:r>
      <w:r/>
    </w:p>
    <w:p>
      <w:pPr>
        <w:pStyle w:val="1041"/>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sz w:val="32"/>
          <w:szCs w:val="32"/>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b/>
          <w:sz w:val="36"/>
          <w:szCs w:val="36"/>
          <w:highlight w:val="none"/>
        </w:rPr>
        <w:t xml:space="preserve">投标邀请</w:t>
      </w:r>
      <w:r/>
    </w:p>
    <w:p>
      <w:pPr>
        <w:pStyle w:val="991"/>
        <w:jc w:val="left"/>
        <w:spacing w:before="0" w:line="360" w:lineRule="auto"/>
        <w:rPr>
          <w:rFonts w:ascii="Times New Roman" w:hAnsi="Times New Roman" w:eastAsia="宋体"/>
          <w:sz w:val="24"/>
          <w:szCs w:val="24"/>
          <w:highlight w:val="none"/>
        </w:rPr>
      </w:pPr>
      <w:r/>
      <w:bookmarkStart w:id="5" w:name="_Toc35393621"/>
      <w:r/>
      <w:bookmarkStart w:id="6" w:name="_Toc28359079"/>
      <w:r/>
      <w:bookmarkStart w:id="7" w:name="_Toc35393790"/>
      <w:r/>
      <w:bookmarkStart w:id="8" w:name="_Toc28359002"/>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JSZC-320481-LPHX-G2026-0001</w:t>
      </w:r>
      <w:r/>
    </w:p>
    <w:p>
      <w:pPr>
        <w:ind w:firstLine="480"/>
        <w:spacing w:line="360" w:lineRule="auto"/>
        <w:rPr>
          <w:sz w:val="24"/>
          <w:highlight w:val="none"/>
        </w:rPr>
      </w:pPr>
      <w:r>
        <w:rPr>
          <w:sz w:val="24"/>
          <w:highlight w:val="none"/>
        </w:rPr>
        <w:t xml:space="preserve">2.项目名称：</w:t>
      </w:r>
      <w:bookmarkEnd w:id="9"/>
      <w:r>
        <w:rPr>
          <w:rFonts w:hint="eastAsia"/>
          <w:sz w:val="24"/>
          <w:highlight w:val="none"/>
          <w:lang w:eastAsia="zh-CN"/>
        </w:rPr>
        <w:t xml:space="preserve">2026年园区绿化养护项目</w:t>
      </w:r>
      <w:r/>
    </w:p>
    <w:p>
      <w:pPr>
        <w:ind w:firstLine="480"/>
        <w:spacing w:line="360" w:lineRule="auto"/>
        <w:rPr>
          <w:sz w:val="24"/>
          <w:highlight w:val="none"/>
        </w:rPr>
      </w:pPr>
      <w:r>
        <w:rPr>
          <w:sz w:val="24"/>
          <w:highlight w:val="none"/>
        </w:rPr>
        <w:t xml:space="preserve">3.项目预算金额：</w:t>
      </w:r>
      <w:r>
        <w:rPr>
          <w:rFonts w:hint="eastAsia"/>
          <w:sz w:val="24"/>
          <w:highlight w:val="none"/>
          <w:lang w:val="en-US" w:eastAsia="zh-CN"/>
        </w:rPr>
        <w:t xml:space="preserve">1387.87</w:t>
      </w:r>
      <w:r>
        <w:rPr>
          <w:rFonts w:hint="eastAsia"/>
          <w:sz w:val="24"/>
          <w:highlight w:val="none"/>
        </w:rPr>
        <w:t xml:space="preserve">万元</w:t>
      </w:r>
      <w:r/>
    </w:p>
    <w:p>
      <w:pPr>
        <w:ind w:firstLine="480"/>
        <w:spacing w:line="360" w:lineRule="auto"/>
        <w:rPr>
          <w:sz w:val="24"/>
          <w:highlight w:val="none"/>
        </w:rPr>
      </w:pPr>
      <w:r>
        <w:rPr>
          <w:rFonts w:hint="eastAsia"/>
          <w:sz w:val="24"/>
          <w:highlight w:val="none"/>
        </w:rPr>
        <w:t xml:space="preserve">4.</w:t>
      </w:r>
      <w:r>
        <w:rPr>
          <w:sz w:val="24"/>
          <w:highlight w:val="none"/>
        </w:rPr>
        <w:t xml:space="preserve">项目最高限价：</w:t>
      </w:r>
      <w:r/>
    </w:p>
    <w:tbl>
      <w:tblPr>
        <w:tblStyle w:val="783"/>
        <w:tblW w:w="953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9"/>
        <w:gridCol w:w="4356"/>
        <w:gridCol w:w="1928"/>
        <w:gridCol w:w="2236"/>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4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最高限</w:t>
            </w:r>
            <w:r>
              <w:rPr>
                <w:rFonts w:hint="eastAsia" w:ascii="宋体" w:hAnsi="宋体" w:eastAsia="宋体" w:cs="宋体"/>
                <w:i w:val="0"/>
                <w:iCs w:val="0"/>
                <w:color w:val="000000"/>
                <w:sz w:val="24"/>
                <w:szCs w:val="24"/>
                <w:highlight w:val="none"/>
                <w:u w:val="none"/>
                <w:lang w:val="en-US" w:eastAsia="zh-CN" w:bidi="ar"/>
              </w:rPr>
              <w:t xml:space="preserve">价（万元）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半夜浜片区（昆仑北路以东）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200093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100.04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昆仑园区（竹箦河东—昆仑北路）</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202973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101.49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濑江新城片区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219248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109.62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芜申运河南岸（泓盛南路等）</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197313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201157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城北新区（S239以南、芜申运河以北）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212847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106.42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吴潭渡西片（S239以北、泓盛路以西）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211318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105.66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吴潭渡东片（S239以北、泓盛路以东）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188895</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94.45</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芜申运河北岸（龙山大道北）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183741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91.87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中关村大道沿线（含互通）</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200756</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蒋店片区（陶家河以西）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193480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96.74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创智园周边</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214482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107.24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239沿线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197570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园区绿雕养护</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75.93 </w:t>
            </w:r>
            <w:r/>
          </w:p>
        </w:tc>
      </w:tr>
    </w:tbl>
    <w:p>
      <w:pPr>
        <w:ind w:firstLine="480"/>
        <w:spacing w:line="360" w:lineRule="auto"/>
        <w:tabs>
          <w:tab w:val="center" w:pos="4199" w:leader="none"/>
        </w:tabs>
        <w:rPr>
          <w:rFonts w:ascii="宋体" w:hAnsi="宋体"/>
          <w:sz w:val="24"/>
          <w:highlight w:val="none"/>
        </w:rPr>
      </w:pPr>
      <w:r>
        <w:rPr>
          <w:rFonts w:hint="eastAsia"/>
          <w:sz w:val="24"/>
          <w:highlight w:val="none"/>
        </w:rPr>
        <w:t xml:space="preserve">5</w:t>
      </w:r>
      <w:r>
        <w:rPr>
          <w:sz w:val="24"/>
          <w:highlight w:val="none"/>
        </w:rPr>
        <w:t xml:space="preserve">.采购需求：</w:t>
      </w:r>
      <w:r>
        <w:rPr>
          <w:rFonts w:hint="eastAsia" w:ascii="宋体" w:hAnsi="宋体"/>
          <w:sz w:val="24"/>
          <w:highlight w:val="none"/>
        </w:rPr>
        <w:t xml:space="preserve">本项目分为</w:t>
      </w:r>
      <w:r>
        <w:rPr>
          <w:rFonts w:hint="eastAsia" w:ascii="宋体" w:hAnsi="宋体"/>
          <w:sz w:val="24"/>
          <w:highlight w:val="none"/>
          <w:lang w:eastAsia="zh-CN"/>
        </w:rPr>
        <w:t xml:space="preserve">14个标段</w:t>
      </w:r>
      <w:r>
        <w:rPr>
          <w:rFonts w:hint="eastAsia" w:ascii="宋体" w:hAnsi="宋体"/>
          <w:sz w:val="24"/>
          <w:highlight w:val="none"/>
        </w:rPr>
        <w:t xml:space="preserve">。对</w:t>
      </w:r>
      <w:r>
        <w:rPr>
          <w:rFonts w:hint="eastAsia" w:ascii="宋体" w:hAnsi="宋体"/>
          <w:sz w:val="24"/>
          <w:highlight w:val="none"/>
          <w:lang w:eastAsia="zh-CN"/>
        </w:rPr>
        <w:t xml:space="preserve">14个标段</w:t>
      </w:r>
      <w:r>
        <w:rPr>
          <w:rFonts w:hint="eastAsia" w:ascii="宋体" w:hAnsi="宋体"/>
          <w:sz w:val="24"/>
          <w:highlight w:val="none"/>
          <w:lang w:val="en-US" w:eastAsia="zh-CN"/>
        </w:rPr>
        <w:t xml:space="preserve">区域范围</w:t>
      </w:r>
      <w:r>
        <w:rPr>
          <w:rFonts w:hint="eastAsia" w:ascii="宋体" w:hAnsi="宋体"/>
          <w:sz w:val="24"/>
          <w:highlight w:val="none"/>
        </w:rPr>
        <w:t xml:space="preserve">进行养护，具体要求详见</w:t>
      </w:r>
      <w:r>
        <w:rPr>
          <w:rFonts w:hint="eastAsia" w:ascii="宋体" w:hAnsi="宋体"/>
          <w:sz w:val="24"/>
          <w:highlight w:val="none"/>
          <w:lang w:val="en-US" w:eastAsia="zh-CN"/>
        </w:rPr>
        <w:t xml:space="preserve">招标</w:t>
      </w:r>
      <w:r>
        <w:rPr>
          <w:rFonts w:hint="eastAsia" w:ascii="宋体" w:hAnsi="宋体"/>
          <w:sz w:val="24"/>
          <w:highlight w:val="none"/>
        </w:rPr>
        <w:t xml:space="preserve">文件。</w:t>
      </w:r>
      <w:r/>
    </w:p>
    <w:p>
      <w:pPr>
        <w:ind w:firstLine="482"/>
        <w:spacing w:line="360" w:lineRule="auto"/>
        <w:tabs>
          <w:tab w:val="center" w:pos="4199" w:leader="none"/>
        </w:tabs>
        <w:rPr>
          <w:rFonts w:ascii="宋体" w:hAnsi="宋体"/>
          <w:b/>
          <w:sz w:val="24"/>
          <w:highlight w:val="none"/>
        </w:rPr>
      </w:pPr>
      <w:r>
        <w:rPr>
          <w:rFonts w:hint="eastAsia" w:ascii="宋体" w:hAnsi="宋体"/>
          <w:b/>
          <w:sz w:val="24"/>
          <w:highlight w:val="none"/>
        </w:rPr>
        <w:t xml:space="preserve">每个投标</w:t>
      </w:r>
      <w:r>
        <w:rPr>
          <w:rFonts w:hint="eastAsia" w:ascii="宋体" w:hAnsi="宋体"/>
          <w:b/>
          <w:sz w:val="24"/>
          <w:highlight w:val="none"/>
          <w:lang w:val="en-US" w:eastAsia="zh-CN"/>
        </w:rPr>
        <w:t xml:space="preserve">人</w:t>
      </w:r>
      <w:r>
        <w:rPr>
          <w:rFonts w:hint="eastAsia" w:ascii="宋体" w:hAnsi="宋体"/>
          <w:b/>
          <w:sz w:val="24"/>
          <w:highlight w:val="none"/>
        </w:rPr>
        <w:t xml:space="preserve">可根据自己的养护能力，同时参与</w:t>
      </w:r>
      <w:r>
        <w:rPr>
          <w:rFonts w:hint="eastAsia" w:ascii="宋体" w:hAnsi="宋体"/>
          <w:b/>
          <w:sz w:val="24"/>
          <w:highlight w:val="none"/>
          <w:lang w:eastAsia="zh-CN"/>
        </w:rPr>
        <w:t xml:space="preserve">14个标段</w:t>
      </w:r>
      <w:r>
        <w:rPr>
          <w:rFonts w:hint="eastAsia" w:ascii="宋体" w:hAnsi="宋体"/>
          <w:b/>
          <w:sz w:val="24"/>
          <w:highlight w:val="none"/>
        </w:rPr>
        <w:t xml:space="preserve">的投标，但只能中1个标段。</w:t>
      </w:r>
      <w:r/>
    </w:p>
    <w:p>
      <w:pPr>
        <w:ind w:firstLine="482"/>
        <w:spacing w:line="360" w:lineRule="auto"/>
        <w:tabs>
          <w:tab w:val="center" w:pos="4199" w:leader="none"/>
        </w:tabs>
        <w:rPr>
          <w:sz w:val="24"/>
          <w:highlight w:val="none"/>
        </w:rPr>
      </w:pPr>
      <w:r>
        <w:rPr>
          <w:rFonts w:hint="eastAsia" w:ascii="宋体" w:hAnsi="宋体"/>
          <w:b/>
          <w:sz w:val="24"/>
          <w:highlight w:val="none"/>
        </w:rPr>
        <w:t xml:space="preserve">中标顺序为评标顺序，评标顺序为标段顺序，已经中标的单位仍然参与后续标段的评分，但不得再次中标。</w:t>
      </w:r>
      <w:r/>
    </w:p>
    <w:p>
      <w:pPr>
        <w:numPr>
          <w:ilvl w:val="0"/>
          <w:numId w:val="0"/>
        </w:numPr>
        <w:ind w:firstLine="480"/>
        <w:spacing w:line="360" w:lineRule="auto"/>
        <w:rPr>
          <w:rFonts w:hint="eastAsia"/>
          <w:sz w:val="24"/>
          <w:highlight w:val="none"/>
          <w:lang w:eastAsia="zh-CN"/>
        </w:rPr>
      </w:pPr>
      <w:r>
        <w:rPr>
          <w:rFonts w:hint="eastAsia" w:ascii="Times New Roman" w:hAnsi="Times New Roman" w:eastAsia="宋体" w:cs="Times New Roman"/>
          <w:sz w:val="24"/>
          <w:szCs w:val="24"/>
          <w:highlight w:val="none"/>
          <w:lang w:val="en-US" w:eastAsia="zh-CN" w:bidi="ar-SA"/>
        </w:rPr>
        <w:t xml:space="preserve">6.</w:t>
      </w:r>
      <w:r>
        <w:rPr>
          <w:sz w:val="24"/>
          <w:highlight w:val="none"/>
        </w:rPr>
        <w:t xml:space="preserve">合同履行期限：</w:t>
      </w:r>
      <w:r>
        <w:rPr>
          <w:rFonts w:hint="eastAsia" w:eastAsia="宋体"/>
          <w:sz w:val="24"/>
          <w:highlight w:val="none"/>
          <w:lang w:eastAsia="zh-CN"/>
        </w:rPr>
        <w:t xml:space="preserve">01-13标段</w:t>
      </w:r>
      <w:r>
        <w:rPr>
          <w:rFonts w:hint="eastAsia"/>
          <w:sz w:val="24"/>
          <w:highlight w:val="none"/>
          <w:lang w:eastAsia="zh-CN"/>
        </w:rPr>
        <w:t xml:space="preserve">自合同签订之日起至202</w:t>
      </w:r>
      <w:r>
        <w:rPr>
          <w:rFonts w:hint="eastAsia"/>
          <w:sz w:val="24"/>
          <w:highlight w:val="none"/>
          <w:lang w:val="en-US" w:eastAsia="zh-CN"/>
        </w:rPr>
        <w:t xml:space="preserve">6</w:t>
      </w:r>
      <w:r>
        <w:rPr>
          <w:rFonts w:hint="eastAsia"/>
          <w:sz w:val="24"/>
          <w:highlight w:val="none"/>
          <w:lang w:eastAsia="zh-CN"/>
        </w:rPr>
        <w:t xml:space="preserve">年12月31日（含第一个月为试用养护期，由采购方组织月度考核汇总后评出年度考核分，考核排名在前七名的可续签下一年合同）。</w:t>
      </w:r>
      <w:r>
        <w:rPr>
          <w:rFonts w:hint="eastAsia"/>
          <w:sz w:val="24"/>
          <w:highlight w:val="none"/>
          <w:lang w:val="en-US" w:eastAsia="zh-CN"/>
        </w:rPr>
        <w:t xml:space="preserve">14标段</w:t>
      </w:r>
      <w:r>
        <w:rPr>
          <w:rFonts w:hint="eastAsia" w:eastAsia="宋体"/>
          <w:sz w:val="24"/>
          <w:highlight w:val="none"/>
          <w:lang w:eastAsia="zh-CN"/>
        </w:rPr>
        <w:t xml:space="preserve">自合同签订之日起</w:t>
      </w:r>
      <w:r>
        <w:rPr>
          <w:rFonts w:hint="eastAsia"/>
          <w:sz w:val="24"/>
          <w:highlight w:val="none"/>
          <w:lang w:val="en-US" w:eastAsia="zh-CN"/>
        </w:rPr>
        <w:t xml:space="preserve">1年。</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.本项目是否接受联合体投标：否。</w:t>
      </w:r>
      <w:r/>
    </w:p>
    <w:p>
      <w:pPr>
        <w:pStyle w:val="991"/>
        <w:jc w:val="left"/>
        <w:spacing w:before="0" w:line="360" w:lineRule="auto"/>
        <w:rPr>
          <w:rFonts w:ascii="Times New Roman" w:hAnsi="Times New Roman" w:eastAsia="宋体"/>
          <w:sz w:val="24"/>
          <w:szCs w:val="24"/>
          <w:highlight w:val="none"/>
        </w:rPr>
      </w:pPr>
      <w:r/>
      <w:bookmarkStart w:id="10" w:name="_Toc35393791"/>
      <w:r/>
      <w:bookmarkStart w:id="11" w:name="_Toc28359080"/>
      <w:r/>
      <w:bookmarkStart w:id="12" w:name="_Toc35393622"/>
      <w:r/>
      <w:bookmarkStart w:id="13" w:name="_Toc28359003"/>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spacing w:line="360" w:lineRule="auto"/>
        <w:rPr>
          <w:sz w:val="24"/>
          <w:highlight w:val="none"/>
        </w:rPr>
      </w:pPr>
      <w:r/>
      <w:bookmarkStart w:id="14" w:name="_Toc28359081"/>
      <w:r/>
      <w:bookmarkStart w:id="15" w:name="_Toc28359004"/>
      <w:r>
        <w:rPr>
          <w:rFonts w:ascii="Times New Roman" w:hAnsi="Times New Roman" w:eastAsia="宋体" w:cs="Times New Roman"/>
          <w:sz w:val="24"/>
          <w:szCs w:val="24"/>
          <w:highlight w:val="none"/>
          <w:lang w:val="en-US" w:eastAsia="zh-CN" w:bidi="ar-SA"/>
        </w:rPr>
        <w:t xml:space="preserve">2.</w:t>
      </w:r>
      <w:r>
        <w:rPr>
          <w:sz w:val="24"/>
          <w:highlight w:val="none"/>
        </w:rPr>
        <w:t xml:space="preserve">落实政府采购政策需满足的资格要求：</w:t>
      </w:r>
      <w:r/>
    </w:p>
    <w:p>
      <w:pPr>
        <w:ind w:firstLine="480"/>
        <w:spacing w:line="360" w:lineRule="auto"/>
        <w:rPr>
          <w:rFonts w:hint="eastAsia" w:ascii="Times New Roman" w:hAnsi="Times New Roman" w:eastAsia="宋体" w:cs="Times New Roman"/>
          <w:b w:val="0"/>
          <w:bCs w:val="0"/>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■本项目专门面向  ■中小 □小微企业  采购。</w:t>
      </w:r>
      <w:r>
        <w:rPr>
          <w:rFonts w:hint="eastAsia" w:ascii="Times New Roman" w:hAnsi="Times New Roman" w:eastAsia="宋体" w:cs="Times New Roman"/>
          <w:b w:val="0"/>
          <w:bCs w:val="0"/>
          <w:sz w:val="24"/>
          <w:szCs w:val="24"/>
          <w:highlight w:val="none"/>
          <w:lang w:val="en-US" w:eastAsia="zh-CN" w:bidi="ar-SA"/>
        </w:rPr>
        <w:t xml:space="preserve">即：提供的货物全部由符合政策要求的中小/小微企业制造、服务全部由符合政策要求的中小/小微企业承接。</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rFonts w:hint="eastAsia"/>
          <w:sz w:val="24"/>
          <w:highlight w:val="none"/>
          <w:lang w:val="en-US" w:eastAsia="zh-CN"/>
        </w:rPr>
        <w:t xml:space="preserve">否</w:t>
      </w:r>
      <w:r>
        <w:rPr>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sz w:val="24"/>
          <w:highlight w:val="none"/>
          <w:u w:val="single"/>
        </w:rPr>
      </w:pPr>
      <w:r>
        <w:rPr>
          <w:sz w:val="24"/>
          <w:highlight w:val="none"/>
        </w:rPr>
        <w:t xml:space="preserve">3.3</w:t>
      </w:r>
      <w:bookmarkEnd w:id="14"/>
      <w:r/>
      <w:bookmarkEnd w:id="15"/>
      <w:r>
        <w:rPr>
          <w:b w:val="0"/>
          <w:bCs w:val="0"/>
          <w:sz w:val="24"/>
          <w:highlight w:val="none"/>
        </w:rPr>
        <w:t xml:space="preserve">其他特定资格要求：</w:t>
      </w:r>
      <w:r>
        <w:rPr>
          <w:rFonts w:hint="eastAsia" w:ascii="Times New Roman" w:eastAsia="宋体"/>
          <w:b w:val="0"/>
          <w:bCs w:val="0"/>
          <w:sz w:val="24"/>
          <w:highlight w:val="none"/>
          <w:u w:val="single"/>
          <w:lang w:val="en-US" w:eastAsia="zh-CN"/>
        </w:rPr>
        <w:t xml:space="preserve">  /     </w:t>
      </w:r>
      <w:r>
        <w:rPr>
          <w:rFonts w:hint="eastAsia" w:eastAsia="宋体"/>
          <w:b w:val="0"/>
          <w:bCs w:val="0"/>
          <w:sz w:val="24"/>
          <w:highlight w:val="none"/>
          <w:lang w:eastAsia="zh-CN"/>
        </w:rPr>
        <w:t xml:space="preserve">。</w:t>
      </w:r>
      <w:r/>
    </w:p>
    <w:p>
      <w:pPr>
        <w:pStyle w:val="991"/>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w:t>
      </w:r>
      <w:bookmarkEnd w:id="16"/>
      <w:r/>
      <w:bookmarkEnd w:id="17"/>
      <w:r>
        <w:rPr>
          <w:rFonts w:ascii="Times New Roman" w:hAnsi="Times New Roman" w:eastAsia="宋体"/>
          <w:sz w:val="24"/>
          <w:szCs w:val="24"/>
          <w:highlight w:val="none"/>
        </w:rPr>
        <w:t xml:space="preserve">获取招标文件</w:t>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1.时间：</w:t>
      </w:r>
      <w:r>
        <w:rPr>
          <w:rFonts w:hint="eastAsia" w:ascii="Times New Roman" w:hAnsi="Times New Roman" w:eastAsia="宋体" w:cs="Times New Roman"/>
          <w:sz w:val="24"/>
          <w:highlight w:val="none"/>
          <w:lang w:bidi="ar"/>
        </w:rPr>
        <w:t xml:space="preserve">自招标文件公告发布之日起5个工作日</w:t>
      </w:r>
      <w:r>
        <w:rPr>
          <w:rFonts w:ascii="Times New Roman" w:hAnsi="Times New Roman" w:eastAsia="宋体" w:cs="Times New Roman"/>
          <w:sz w:val="24"/>
          <w:highlight w:val="none"/>
        </w:rPr>
        <w:t xml:space="preserve">。</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spacing w:line="360" w:lineRule="auto"/>
        <w:rPr>
          <w:sz w:val="24"/>
          <w:highlight w:val="none"/>
        </w:rPr>
      </w:pPr>
      <w:r>
        <w:rPr>
          <w:rFonts w:hint="eastAsia" w:ascii="Times New Roman" w:hAnsi="Times New Roman" w:eastAsia="宋体" w:cs="Times New Roman"/>
          <w:sz w:val="24"/>
          <w:highlight w:val="none"/>
        </w:rPr>
        <w:t xml:space="preserve">4.售价：0元。</w:t>
      </w:r>
      <w:r/>
    </w:p>
    <w:p>
      <w:pPr>
        <w:pStyle w:val="991"/>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lang w:bidi="ar"/>
        </w:rPr>
        <w:t xml:space="preserve">202</w:t>
      </w:r>
      <w:r>
        <w:rPr>
          <w:rFonts w:hint="eastAsia"/>
          <w:sz w:val="24"/>
          <w:highlight w:val="none"/>
          <w:lang w:val="en-US" w:eastAsia="zh-CN" w:bidi="ar"/>
        </w:rPr>
        <w:t xml:space="preserve">6</w:t>
      </w:r>
      <w:r>
        <w:rPr>
          <w:sz w:val="24"/>
          <w:highlight w:val="none"/>
          <w:lang w:bidi="ar"/>
        </w:rPr>
        <w:t xml:space="preserve">年</w:t>
      </w:r>
      <w:r>
        <w:rPr>
          <w:rFonts w:hint="eastAsia"/>
          <w:color w:val="auto"/>
          <w:sz w:val="24"/>
          <w:highlight w:val="none"/>
          <w:lang w:eastAsia="zh-CN" w:bidi="ar"/>
        </w:rPr>
        <w:t xml:space="preserve">3月</w:t>
      </w:r>
      <w:r>
        <w:rPr>
          <w:rFonts w:hint="eastAsia"/>
          <w:color w:val="auto"/>
          <w:sz w:val="24"/>
          <w:highlight w:val="none"/>
          <w:lang w:val="en-US" w:eastAsia="zh-CN" w:bidi="ar"/>
        </w:rPr>
        <w:t xml:space="preserve">16</w:t>
      </w:r>
      <w:r>
        <w:rPr>
          <w:rFonts w:hint="eastAsia"/>
          <w:color w:val="auto"/>
          <w:sz w:val="24"/>
          <w:highlight w:val="none"/>
          <w:lang w:eastAsia="zh-CN" w:bidi="ar"/>
        </w:rPr>
        <w:t xml:space="preserve">日</w:t>
      </w:r>
      <w:r>
        <w:rPr>
          <w:rFonts w:hint="eastAsia"/>
          <w:color w:val="auto"/>
          <w:sz w:val="24"/>
          <w:highlight w:val="none"/>
          <w:lang w:bidi="ar"/>
        </w:rPr>
        <w:t xml:space="preserve">0</w:t>
      </w:r>
      <w:r>
        <w:rPr>
          <w:rFonts w:hint="eastAsia"/>
          <w:sz w:val="24"/>
          <w:highlight w:val="none"/>
          <w:lang w:bidi="ar"/>
        </w:rPr>
        <w:t xml:space="preserve">9点30分</w:t>
      </w:r>
      <w:r>
        <w:rPr>
          <w:bCs/>
          <w:sz w:val="24"/>
          <w:highlight w:val="none"/>
          <w:lang w:bidi="ar"/>
        </w:rPr>
        <w:t xml:space="preserve">（北京时间）</w:t>
      </w:r>
      <w:r>
        <w:rPr>
          <w:iCs/>
          <w:sz w:val="24"/>
          <w:highlight w:val="none"/>
          <w:lang w:bidi="ar"/>
        </w:rPr>
        <w:t xml:space="preserve">。</w:t>
      </w:r>
      <w:r/>
    </w:p>
    <w:p>
      <w:pPr>
        <w:ind w:firstLine="480"/>
        <w:spacing w:line="360" w:lineRule="auto"/>
        <w:rPr>
          <w:rFonts w:hint="eastAsia"/>
          <w:sz w:val="24"/>
          <w:highlight w:val="none"/>
          <w:lang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991"/>
        <w:jc w:val="left"/>
        <w:spacing w:before="0" w:line="360" w:lineRule="auto"/>
        <w:rPr>
          <w:rFonts w:ascii="Times New Roman" w:hAnsi="Times New Roman" w:eastAsia="宋体"/>
          <w:sz w:val="24"/>
          <w:szCs w:val="24"/>
          <w:highlight w:val="none"/>
        </w:rPr>
      </w:pPr>
      <w:r/>
      <w:bookmarkStart w:id="22" w:name="_Toc28359084"/>
      <w:r/>
      <w:bookmarkStart w:id="23" w:name="_Toc28359007"/>
      <w:r/>
      <w:bookmarkStart w:id="24" w:name="_Toc35393794"/>
      <w:r/>
      <w:bookmarkStart w:id="25" w:name="_Toc35393625"/>
      <w:r>
        <w:rPr>
          <w:rFonts w:hint="eastAsia" w:ascii="Times New Roman" w:hAnsi="Times New Roman" w:eastAsia="宋体"/>
          <w:sz w:val="24"/>
          <w:szCs w:val="24"/>
          <w:highlight w:val="none"/>
          <w:lang w:val="en-US" w:eastAsia="zh-CN"/>
        </w:rPr>
        <w:t xml:space="preserve">五</w:t>
      </w:r>
      <w:r>
        <w:rPr>
          <w:rFonts w:ascii="Times New Roman" w:hAnsi="Times New Roman" w:eastAsia="宋体"/>
          <w:sz w:val="24"/>
          <w:szCs w:val="24"/>
          <w:highlight w:val="none"/>
        </w:rPr>
        <w:t xml:space="preserve">、公告期限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991"/>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hint="eastAsia" w:ascii="Times New Roman" w:hAnsi="Times New Roman" w:eastAsia="宋体"/>
          <w:sz w:val="24"/>
          <w:szCs w:val="24"/>
          <w:highlight w:val="none"/>
          <w:lang w:val="en-US" w:eastAsia="zh-CN"/>
        </w:rPr>
        <w:t xml:space="preserve">六</w:t>
      </w:r>
      <w:r>
        <w:rPr>
          <w:rFonts w:ascii="Times New Roman" w:hAnsi="Times New Roman" w:eastAsia="宋体"/>
          <w:sz w:val="24"/>
          <w:szCs w:val="24"/>
          <w:highlight w:val="none"/>
        </w:rPr>
        <w:t xml:space="preserve">、其他补充事宜</w:t>
      </w:r>
      <w:bookmarkEnd w:id="26"/>
      <w:r/>
      <w:bookmarkEnd w:id="27"/>
      <w:r/>
      <w:r/>
    </w:p>
    <w:p>
      <w:pPr>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扶持中小企业、残疾人福利单位、监狱企业</w:t>
      </w:r>
      <w:r>
        <w:rPr>
          <w:sz w:val="24"/>
          <w:highlight w:val="none"/>
          <w:lang w:bidi="ar"/>
        </w:rPr>
        <w:t xml:space="preserve">。</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ascii="Times New Roman" w:hAnsi="Times New Roman" w:eastAsia="宋体" w:cs="Times New Roman"/>
          <w:b w:val="0"/>
          <w:bCs/>
          <w:sz w:val="24"/>
          <w:highlight w:val="none"/>
          <w:lang w:val="zh-TW" w:bidi="ar"/>
        </w:rPr>
        <w:t xml:space="preserve">。</w:t>
      </w:r>
      <w:r/>
    </w:p>
    <w:p>
      <w:pPr>
        <w:pStyle w:val="991"/>
        <w:jc w:val="left"/>
        <w:spacing w:before="0" w:line="360" w:lineRule="auto"/>
        <w:rPr>
          <w:rFonts w:ascii="Times New Roman" w:hAnsi="Times New Roman" w:eastAsia="宋体"/>
          <w:sz w:val="24"/>
          <w:szCs w:val="24"/>
          <w:highlight w:val="none"/>
        </w:rPr>
      </w:pPr>
      <w:r/>
      <w:bookmarkStart w:id="28" w:name="_Toc28359085"/>
      <w:r/>
      <w:bookmarkStart w:id="29" w:name="_Toc28359008"/>
      <w:r/>
      <w:bookmarkStart w:id="30" w:name="_Toc35393627"/>
      <w:r/>
      <w:bookmarkStart w:id="31" w:name="_Toc35393796"/>
      <w:r>
        <w:rPr>
          <w:rFonts w:hint="eastAsia" w:ascii="Times New Roman" w:hAnsi="Times New Roman" w:eastAsia="宋体"/>
          <w:sz w:val="24"/>
          <w:szCs w:val="24"/>
          <w:highlight w:val="none"/>
          <w:lang w:val="en-US" w:eastAsia="zh-CN"/>
        </w:rPr>
        <w:t xml:space="preserve">七</w:t>
      </w:r>
      <w:r>
        <w:rPr>
          <w:rFonts w:ascii="Times New Roman" w:hAnsi="Times New Roman" w:eastAsia="宋体"/>
          <w:sz w:val="24"/>
          <w:szCs w:val="24"/>
          <w:highlight w:val="none"/>
        </w:rPr>
        <w:t xml:space="preserve">、对本次招标提出询问，请按以下方式联系。</w:t>
      </w:r>
      <w:bookmarkEnd w:id="28"/>
      <w:r/>
      <w:bookmarkEnd w:id="29"/>
      <w:r/>
      <w:bookmarkEnd w:id="30"/>
      <w:r/>
      <w:bookmarkEnd w:id="31"/>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sz w:val="24"/>
          <w:highlight w:val="none"/>
        </w:rPr>
      </w:pPr>
      <w:r/>
      <w:bookmarkStart w:id="32" w:name="_Toc28359009"/>
      <w:r/>
      <w:bookmarkStart w:id="33" w:name="_Toc28359086"/>
      <w:r>
        <w:rPr>
          <w:sz w:val="24"/>
          <w:highlight w:val="none"/>
        </w:rPr>
        <w:t xml:space="preserve">名    称：</w:t>
      </w:r>
      <w:r>
        <w:rPr>
          <w:rFonts w:hint="eastAsia" w:ascii="Times New Roman" w:hAnsi="Times New Roman" w:eastAsia="宋体" w:cs="Times New Roman"/>
          <w:sz w:val="24"/>
          <w:highlight w:val="none"/>
          <w:lang w:eastAsia="zh-CN"/>
        </w:rPr>
        <w:t xml:space="preserve">江苏省溧阳高新技术产业开发区国有资产管理中心</w:t>
      </w:r>
      <w:r/>
    </w:p>
    <w:p>
      <w:pPr>
        <w:ind w:left="1079" w:hanging="300"/>
        <w:jc w:val="left"/>
        <w:spacing w:line="360" w:lineRule="auto"/>
        <w:rPr>
          <w:sz w:val="24"/>
          <w:highlight w:val="none"/>
        </w:rPr>
      </w:pPr>
      <w:r>
        <w:rPr>
          <w:sz w:val="24"/>
          <w:highlight w:val="none"/>
        </w:rPr>
        <w:t xml:space="preserve">地    址：</w:t>
      </w:r>
      <w:r>
        <w:rPr>
          <w:rFonts w:hint="eastAsia"/>
          <w:sz w:val="24"/>
          <w:highlight w:val="none"/>
        </w:rPr>
        <w:t xml:space="preserve">溧阳市泓口路219号</w:t>
      </w:r>
      <w:r/>
    </w:p>
    <w:p>
      <w:pPr>
        <w:ind w:left="1079" w:hanging="300"/>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rPr>
        <w:t xml:space="preserve">吕先生</w:t>
      </w:r>
      <w:r>
        <w:rPr>
          <w:rFonts w:hint="eastAsia"/>
          <w:sz w:val="24"/>
          <w:highlight w:val="none"/>
          <w:lang w:val="en-US" w:eastAsia="zh-CN"/>
        </w:rPr>
        <w:t xml:space="preserve">  0519-80996809</w:t>
      </w:r>
      <w:r/>
    </w:p>
    <w:p>
      <w:pPr>
        <w:ind w:left="1080" w:hanging="301"/>
        <w:jc w:val="left"/>
        <w:spacing w:line="360" w:lineRule="auto"/>
        <w:rPr>
          <w:b/>
          <w:sz w:val="24"/>
          <w:highlight w:val="none"/>
        </w:rPr>
      </w:pPr>
      <w:r>
        <w:rPr>
          <w:b/>
          <w:sz w:val="24"/>
          <w:highlight w:val="none"/>
        </w:rPr>
        <w:t xml:space="preserve">2.采购代理机构信息</w:t>
      </w:r>
      <w:bookmarkEnd w:id="32"/>
      <w:r/>
      <w:bookmarkEnd w:id="33"/>
      <w:r/>
      <w:r/>
    </w:p>
    <w:p>
      <w:pPr>
        <w:ind w:left="1079" w:hanging="300"/>
        <w:jc w:val="left"/>
        <w:spacing w:line="360" w:lineRule="auto"/>
        <w:rPr>
          <w:rFonts w:hint="eastAsia" w:eastAsia="宋体"/>
          <w:sz w:val="24"/>
          <w:highlight w:val="none"/>
          <w:lang w:eastAsia="zh-CN"/>
        </w:rPr>
      </w:pPr>
      <w:r/>
      <w:bookmarkStart w:id="34" w:name="_Toc28359087"/>
      <w:r/>
      <w:bookmarkStart w:id="35" w:name="_Toc28359010"/>
      <w:r>
        <w:rPr>
          <w:sz w:val="24"/>
          <w:highlight w:val="none"/>
        </w:rPr>
        <w:t xml:space="preserve">名    称：</w:t>
      </w:r>
      <w:r>
        <w:rPr>
          <w:rFonts w:hint="eastAsia"/>
          <w:sz w:val="24"/>
          <w:highlight w:val="none"/>
          <w:lang w:eastAsia="zh-CN"/>
        </w:rPr>
        <w:t xml:space="preserve">溧阳普弘信工程项目管理有限公司</w:t>
      </w:r>
      <w:r/>
    </w:p>
    <w:p>
      <w:pPr>
        <w:ind w:left="1079" w:hanging="300"/>
        <w:jc w:val="left"/>
        <w:spacing w:line="360" w:lineRule="auto"/>
        <w:rPr>
          <w:rFonts w:hint="default" w:eastAsia="宋体"/>
          <w:sz w:val="24"/>
          <w:highlight w:val="none"/>
          <w:lang w:val="en-US" w:eastAsia="zh-CN"/>
        </w:rPr>
      </w:pPr>
      <w:r>
        <w:rPr>
          <w:sz w:val="24"/>
          <w:highlight w:val="none"/>
        </w:rPr>
        <w:t xml:space="preserve">地    址：</w:t>
      </w:r>
      <w:r>
        <w:rPr>
          <w:rFonts w:hint="eastAsia"/>
          <w:sz w:val="24"/>
          <w:highlight w:val="none"/>
        </w:rPr>
        <w:t xml:space="preserve">溧阳市</w:t>
      </w:r>
      <w:r>
        <w:rPr>
          <w:rFonts w:hint="eastAsia"/>
          <w:sz w:val="24"/>
          <w:highlight w:val="none"/>
          <w:lang w:val="en-US" w:eastAsia="zh-CN"/>
        </w:rPr>
        <w:t xml:space="preserve">平陵大厦19楼1920室</w:t>
      </w:r>
      <w:r/>
    </w:p>
    <w:p>
      <w:pPr>
        <w:ind w:left="1079" w:hanging="300"/>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lang w:val="en-US" w:eastAsia="zh-CN"/>
        </w:rPr>
        <w:t xml:space="preserve">0519-80692728</w:t>
      </w:r>
      <w:r/>
    </w:p>
    <w:p>
      <w:pPr>
        <w:ind w:firstLine="723"/>
        <w:spacing w:line="360" w:lineRule="auto"/>
        <w:rPr>
          <w:b/>
          <w:sz w:val="24"/>
          <w:highlight w:val="none"/>
          <w:u w:val="single"/>
        </w:rPr>
      </w:pPr>
      <w:r>
        <w:rPr>
          <w:b/>
          <w:sz w:val="24"/>
          <w:highlight w:val="none"/>
        </w:rPr>
        <w:t xml:space="preserve">3.项目联系方式</w:t>
      </w:r>
      <w:bookmarkEnd w:id="34"/>
      <w:r/>
      <w:bookmarkEnd w:id="35"/>
      <w:r/>
      <w:r/>
    </w:p>
    <w:p>
      <w:pPr>
        <w:pStyle w:val="1028"/>
        <w:ind w:firstLine="720"/>
        <w:spacing w:line="360" w:lineRule="auto"/>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项目联系人：</w:t>
      </w:r>
      <w:r>
        <w:rPr>
          <w:rFonts w:hint="eastAsia" w:ascii="Times New Roman" w:hAnsi="Times New Roman"/>
          <w:sz w:val="24"/>
          <w:highlight w:val="none"/>
          <w:lang w:val="en-US" w:eastAsia="zh-CN"/>
        </w:rPr>
        <w:t xml:space="preserve">潘工</w:t>
      </w:r>
      <w:r/>
    </w:p>
    <w:p>
      <w:pPr>
        <w:pStyle w:val="1028"/>
        <w:ind w:firstLine="720"/>
        <w:spacing w:line="360" w:lineRule="auto"/>
        <w:rPr>
          <w:rFonts w:hint="default" w:ascii="Times New Roman" w:hAnsi="Times New Roman"/>
          <w:sz w:val="24"/>
          <w:highlight w:val="none"/>
        </w:rPr>
      </w:pPr>
      <w:r>
        <w:rPr>
          <w:rFonts w:ascii="Times New Roman" w:hAnsi="Times New Roman"/>
          <w:sz w:val="24"/>
          <w:highlight w:val="none"/>
        </w:rPr>
        <w:t xml:space="preserve">电      话：</w:t>
      </w:r>
      <w:r>
        <w:rPr>
          <w:rFonts w:hint="eastAsia" w:ascii="Times New Roman" w:eastAsia="宋体"/>
          <w:sz w:val="24"/>
          <w:highlight w:val="none"/>
          <w:lang w:val="en-US" w:eastAsia="zh-CN"/>
        </w:rPr>
        <w:t xml:space="preserve">0519-80692728</w:t>
      </w:r>
      <w:r/>
    </w:p>
    <w:p>
      <w:pPr>
        <w:ind w:left="852" w:hanging="432"/>
        <w:jc w:val="left"/>
        <w:spacing w:line="360" w:lineRule="auto"/>
        <w:rPr>
          <w:rFonts w:hint="eastAsia"/>
          <w:b/>
          <w:bCs/>
          <w:sz w:val="24"/>
          <w:highlight w:val="none"/>
        </w:rPr>
      </w:pPr>
      <w:r>
        <w:rPr>
          <w:rFonts w:hint="eastAsia"/>
          <w:b/>
          <w:bCs/>
          <w:sz w:val="24"/>
          <w:highlight w:val="none"/>
        </w:rPr>
        <w:t xml:space="preserve">注：以上个人信息，由于工作需要经机构或本人同意对外公布。</w:t>
      </w:r>
      <w:bookmarkStart w:id="36" w:name="_Toc305158928"/>
      <w:r/>
      <w:bookmarkStart w:id="37" w:name="_Toc127161488"/>
      <w:r/>
      <w:bookmarkStart w:id="38" w:name="_Toc353825548"/>
      <w:r/>
      <w:bookmarkStart w:id="39" w:name="_Toc305158854"/>
      <w:r/>
      <w:bookmarkStart w:id="40" w:name="_Toc264969275"/>
      <w:r/>
      <w:bookmarkStart w:id="41" w:name="_Toc150774783"/>
      <w:r/>
      <w:bookmarkStart w:id="42" w:name="_Toc512937850"/>
      <w:r/>
      <w:bookmarkStart w:id="43" w:name="_Toc195842950"/>
      <w:r/>
      <w:bookmarkStart w:id="44" w:name="_Toc99301420"/>
      <w:r/>
      <w:bookmarkStart w:id="45" w:name="_Toc265228423"/>
      <w:r/>
      <w:bookmarkStart w:id="46" w:name="_Toc353873938"/>
      <w:r/>
      <w:bookmarkStart w:id="47" w:name="_Toc127151777"/>
      <w:r/>
      <w:bookmarkStart w:id="48" w:name="_Toc226965856"/>
      <w:r/>
      <w:r/>
    </w:p>
    <w:p>
      <w:pPr>
        <w:ind w:left="852" w:hanging="432"/>
        <w:jc w:val="center"/>
        <w:spacing w:line="360" w:lineRule="auto"/>
        <w:rPr>
          <w:b/>
          <w:sz w:val="36"/>
          <w:szCs w:val="36"/>
          <w:highlight w:val="none"/>
        </w:rPr>
      </w:pPr>
      <w:r>
        <w:rPr>
          <w:b/>
          <w:sz w:val="36"/>
          <w:szCs w:val="36"/>
          <w:highlight w:val="none"/>
        </w:rPr>
      </w:r>
      <w:r/>
    </w:p>
    <w:p>
      <w:pPr>
        <w:rPr>
          <w:b/>
          <w:sz w:val="36"/>
          <w:szCs w:val="36"/>
          <w:highlight w:val="none"/>
        </w:rPr>
      </w:pPr>
      <w:r>
        <w:rPr>
          <w:b/>
          <w:sz w:val="36"/>
          <w:szCs w:val="36"/>
          <w:highlight w:val="none"/>
        </w:rPr>
        <w:br w:type="page" w:clear="all"/>
      </w:r>
      <w:r/>
    </w:p>
    <w:p>
      <w:pPr>
        <w:ind w:left="852" w:hanging="432"/>
        <w:jc w:val="center"/>
        <w:spacing w:line="360" w:lineRule="auto"/>
        <w:rPr>
          <w:b/>
          <w:sz w:val="32"/>
          <w:szCs w:val="32"/>
          <w:highlight w:val="none"/>
        </w:rPr>
      </w:pPr>
      <w:r>
        <w:rPr>
          <w:b/>
          <w:sz w:val="36"/>
          <w:szCs w:val="36"/>
          <w:highlight w:val="none"/>
        </w:rPr>
        <w:t xml:space="preserve">第二章   </w:t>
      </w:r>
      <w:r>
        <w:rPr>
          <w:rFonts w:hint="eastAsia"/>
          <w:b/>
          <w:sz w:val="36"/>
          <w:szCs w:val="36"/>
          <w:highlight w:val="none"/>
        </w:rPr>
        <w:t xml:space="preserve">投标</w:t>
      </w:r>
      <w:r>
        <w:rPr>
          <w:rFonts w:hint="eastAsia"/>
          <w:b/>
          <w:sz w:val="36"/>
          <w:szCs w:val="36"/>
          <w:highlight w:val="none"/>
          <w:lang w:val="en-US" w:eastAsia="zh-CN"/>
        </w:rPr>
        <w:t xml:space="preserve">人</w:t>
      </w:r>
      <w:r>
        <w:rPr>
          <w:b/>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91"/>
        <w:spacing w:before="0" w:line="360" w:lineRule="auto"/>
        <w:tabs>
          <w:tab w:val="center" w:pos="4592" w:leader="none"/>
          <w:tab w:val="left" w:pos="7860" w:leader="none"/>
        </w:tabs>
        <w:rPr>
          <w:sz w:val="24"/>
          <w:highlight w:val="none"/>
        </w:rPr>
      </w:pPr>
      <w:r/>
      <w:bookmarkStart w:id="49" w:name="_Toc150774619"/>
      <w:r/>
      <w:bookmarkStart w:id="50" w:name="_Toc226337215"/>
      <w:r/>
      <w:bookmarkStart w:id="51" w:name="_Toc151193617"/>
      <w:r/>
      <w:bookmarkStart w:id="52" w:name="_Toc127151519"/>
      <w:r/>
      <w:bookmarkStart w:id="53" w:name="_Toc195842884"/>
      <w:r/>
      <w:bookmarkStart w:id="54" w:name="_Toc226965709"/>
      <w:r/>
      <w:bookmarkStart w:id="55" w:name="_Toc164608788"/>
      <w:r/>
      <w:bookmarkStart w:id="56" w:name="_Toc164608633"/>
      <w:r/>
      <w:bookmarkStart w:id="57" w:name="_Toc164351613"/>
      <w:r/>
      <w:bookmarkStart w:id="58" w:name="_Toc151193761"/>
      <w:r/>
      <w:bookmarkStart w:id="59" w:name="_Toc127161433"/>
      <w:r/>
      <w:bookmarkStart w:id="60" w:name="_Toc226309763"/>
      <w:r/>
      <w:bookmarkStart w:id="61" w:name="_Toc127151720"/>
      <w:r/>
      <w:bookmarkStart w:id="62" w:name="_Toc150774724"/>
      <w:r/>
      <w:bookmarkStart w:id="63" w:name="_Toc151193689"/>
      <w:r/>
      <w:bookmarkStart w:id="64" w:name="_Toc520356144"/>
      <w:r/>
      <w:bookmarkStart w:id="65" w:name="_Toc164229214"/>
      <w:r/>
      <w:bookmarkStart w:id="66" w:name="_Toc226965792"/>
      <w:r/>
      <w:bookmarkStart w:id="67" w:name="_Toc150509270"/>
      <w:r/>
      <w:bookmarkStart w:id="68" w:name="_Toc151193907"/>
      <w:r/>
      <w:bookmarkStart w:id="69" w:name="_Toc151193833"/>
      <w:r/>
      <w:bookmarkStart w:id="70" w:name="_Toc149720812"/>
      <w:r/>
      <w:bookmarkStart w:id="71" w:name="_Toc150480757"/>
      <w:r/>
      <w:bookmarkStart w:id="72" w:name="_Toc151190146"/>
      <w:r/>
      <w:bookmarkStart w:id="73" w:name="_Toc142311021"/>
      <w:r/>
      <w:bookmarkStart w:id="74" w:name="_Toc164229360"/>
      <w:r>
        <w:rPr>
          <w:rFonts w:hint="eastAsia" w:ascii="Times New Roman" w:hAnsi="Times New Roman" w:eastAsia="宋体"/>
          <w:sz w:val="28"/>
          <w:highlight w:val="none"/>
        </w:rPr>
        <w:t xml:space="preserve">投标</w:t>
      </w:r>
      <w:r>
        <w:rPr>
          <w:rFonts w:hint="eastAsia" w:ascii="Times New Roman" w:hAnsi="Times New Roman" w:eastAsia="宋体"/>
          <w:sz w:val="28"/>
          <w:highlight w:val="none"/>
          <w:lang w:val="en-US" w:eastAsia="zh-CN"/>
        </w:rPr>
        <w:t xml:space="preserve">人</w:t>
      </w:r>
      <w:r>
        <w:rPr>
          <w:rFonts w:ascii="Times New Roman" w:hAnsi="Times New Roman" w:eastAsia="宋体"/>
          <w:sz w:val="28"/>
          <w:highlight w:val="none"/>
        </w:rPr>
        <w:t xml:space="preserve">须知资料表</w:t>
      </w:r>
      <w:r/>
    </w:p>
    <w:p>
      <w:pPr>
        <w:ind w:firstLine="48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本表是对投标人须知的具体补充和修改，如有矛盾，均以本资料表为准。</w:t>
      </w:r>
      <w:r/>
    </w:p>
    <w:p>
      <w:pPr>
        <w:ind w:firstLine="480"/>
        <w:spacing w:line="360" w:lineRule="auto"/>
        <w:rPr>
          <w:sz w:val="24"/>
          <w:highlight w:val="none"/>
        </w:rPr>
      </w:pPr>
      <w:r>
        <w:rPr>
          <w:rFonts w:ascii="Times New Roman" w:hAnsi="Times New Roman" w:eastAsia="宋体" w:cs="Times New Roman"/>
          <w:sz w:val="24"/>
          <w:highlight w:val="none"/>
        </w:rPr>
        <w:t xml:space="preserve">标记</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t xml:space="preserve">■</w:t>
      </w:r>
      <w:r>
        <w:rPr>
          <w:rFonts w:ascii="Times New Roman" w:hAnsi="Times New Roman" w:eastAsia="宋体" w:cs="Times New Roman"/>
          <w:color w:val="000000"/>
          <w:sz w:val="24"/>
          <w:highlight w:val="none"/>
        </w:rPr>
        <w:t xml:space="preserve">”</w:t>
      </w:r>
      <w:r>
        <w:rPr>
          <w:rFonts w:ascii="Times New Roman" w:hAnsi="Times New Roman" w:eastAsia="宋体" w:cs="Times New Roman"/>
          <w:sz w:val="24"/>
          <w:highlight w:val="none"/>
        </w:rPr>
        <w:t xml:space="preserve">的选项意为适用于本项目，标记“□”的选项意为不适用于本项目。</w:t>
      </w:r>
      <w:r/>
    </w:p>
    <w:tbl>
      <w:tblPr>
        <w:tblStyle w:val="783"/>
        <w:tblpPr w:horzAnchor="page" w:tblpX="1220" w:vertAnchor="text" w:tblpY="447" w:leftFromText="180" w:topFromText="0" w:rightFromText="180" w:bottomFromText="0"/>
        <w:tblW w:w="10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sz w:val="24"/>
                <w:highlight w:val="none"/>
              </w:rPr>
              <w:t xml:space="preserve">条款号</w:t>
            </w:r>
            <w:r/>
          </w:p>
        </w:tc>
        <w:tc>
          <w:tcPr>
            <w:tcW w:w="1701"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条目</w:t>
            </w:r>
            <w:r/>
          </w:p>
        </w:tc>
        <w:tc>
          <w:tcPr>
            <w:tcW w:w="7540"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内容</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服务</w:t>
            </w:r>
            <w:r/>
          </w:p>
          <w:p>
            <w:pPr>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□货物</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2.3</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科研仪器设备</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是否属于科研仪器设备采购项目：</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否</w:t>
            </w:r>
            <w:r/>
          </w:p>
        </w:tc>
      </w:tr>
      <w:tr>
        <w:trPr>
          <w:trHeight w:val="20"/>
        </w:trPr>
        <w:tc>
          <w:tcPr>
            <w:tcW w:w="988" w:type="dxa"/>
            <w:vAlign w:val="center"/>
            <w:vMerge w:val="restart"/>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现场考察</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不组织</w:t>
            </w:r>
            <w:r/>
          </w:p>
          <w:p>
            <w:pPr>
              <w:jc w:val="left"/>
              <w:rPr>
                <w:rFonts w:ascii="Times New Roman" w:hAnsi="Times New Roman" w:eastAsia="宋体" w:cs="Times New Roman"/>
                <w:bCs/>
                <w:sz w:val="24"/>
                <w:highlight w:val="none"/>
              </w:rPr>
            </w:pPr>
            <w:r>
              <w:rPr>
                <w:rFonts w:ascii="Times New Roman" w:hAnsi="Times New Roman" w:eastAsia="宋体" w:cs="Times New Roman"/>
                <w:sz w:val="24"/>
                <w:highlight w:val="none"/>
              </w:rPr>
              <w:t xml:space="preserve">□组织，考察时间：__年_月_日_</w:t>
            </w:r>
            <w:r>
              <w:rPr>
                <w:rFonts w:ascii="Times New Roman" w:hAnsi="Times New Roman" w:eastAsia="宋体" w:cs="Times New Roman"/>
                <w:bCs/>
                <w:sz w:val="24"/>
                <w:highlight w:val="none"/>
              </w:rPr>
              <w:t xml:space="preserve">点</w:t>
            </w:r>
            <w:r>
              <w:rPr>
                <w:rFonts w:ascii="Times New Roman" w:hAnsi="Times New Roman" w:eastAsia="宋体" w:cs="Times New Roman"/>
                <w:sz w:val="24"/>
                <w:highlight w:val="none"/>
              </w:rPr>
              <w:t xml:space="preserve">_</w:t>
            </w:r>
            <w:r>
              <w:rPr>
                <w:rFonts w:ascii="Times New Roman" w:hAnsi="Times New Roman" w:eastAsia="宋体" w:cs="Times New Roman"/>
                <w:bCs/>
                <w:sz w:val="24"/>
                <w:highlight w:val="none"/>
              </w:rPr>
              <w:t xml:space="preserve">分</w:t>
            </w:r>
            <w:r/>
          </w:p>
          <w:p>
            <w:pPr>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0"/>
                <w:highlight w:val="none"/>
                <w:lang w:val="en-US" w:eastAsia="zh-CN" w:bidi="ar-SA"/>
              </w:rPr>
              <w:t xml:space="preserve">考察地点：____________。</w:t>
            </w:r>
            <w:r/>
          </w:p>
        </w:tc>
      </w:tr>
      <w:tr>
        <w:trPr>
          <w:trHeight w:val="20"/>
        </w:trPr>
        <w:tc>
          <w:tcPr>
            <w:tcW w:w="988" w:type="dxa"/>
            <w:vAlign w:val="center"/>
            <w:vMerge w:val="continue"/>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开标前答疑会</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不召开</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□召开，召开时间：__年_月_日_</w:t>
            </w:r>
            <w:r>
              <w:rPr>
                <w:rFonts w:ascii="Times New Roman" w:hAnsi="Times New Roman" w:eastAsia="宋体" w:cs="Times New Roman"/>
                <w:bCs/>
                <w:sz w:val="24"/>
                <w:highlight w:val="none"/>
              </w:rPr>
              <w:t xml:space="preserve">点</w:t>
            </w:r>
            <w:r>
              <w:rPr>
                <w:rFonts w:ascii="Times New Roman" w:hAnsi="Times New Roman" w:eastAsia="宋体" w:cs="Times New Roman"/>
                <w:sz w:val="24"/>
                <w:highlight w:val="none"/>
              </w:rPr>
              <w:t xml:space="preserve">_</w:t>
            </w:r>
            <w:r>
              <w:rPr>
                <w:rFonts w:ascii="Times New Roman" w:hAnsi="Times New Roman" w:eastAsia="宋体" w:cs="Times New Roman"/>
                <w:bCs/>
                <w:sz w:val="24"/>
                <w:highlight w:val="none"/>
              </w:rPr>
              <w:t xml:space="preserve">分</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召开地点：____________</w:t>
            </w:r>
            <w:r>
              <w:rPr>
                <w:rFonts w:hint="eastAsia" w:ascii="Times New Roman" w:hAnsi="Times New Roman" w:eastAsia="宋体" w:cs="Times New Roman"/>
                <w:sz w:val="24"/>
                <w:highlight w:val="none"/>
              </w:rPr>
              <w:t xml:space="preserve">。</w:t>
            </w:r>
            <w:r/>
          </w:p>
        </w:tc>
      </w:tr>
      <w:tr>
        <w:trPr>
          <w:trHeight w:val="558"/>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5.2.5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标的所属行业</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本项目采购标的对应的中小企业划分标准所属行业：</w:t>
            </w:r>
            <w:r>
              <w:rPr>
                <w:rFonts w:hint="eastAsia" w:ascii="Times New Roman" w:hAnsi="Times New Roman" w:eastAsia="宋体" w:cs="Times New Roman"/>
                <w:b/>
                <w:bCs/>
                <w:color w:val="000000"/>
                <w:sz w:val="24"/>
                <w:highlight w:val="none"/>
                <w:u w:val="single"/>
                <w:lang w:val="en-US" w:eastAsia="zh-CN"/>
              </w:rPr>
              <w:t xml:space="preserve">其他未列明行</w:t>
            </w:r>
            <w:r>
              <w:rPr>
                <w:rFonts w:hint="eastAsia" w:ascii="Times New Roman" w:hAnsi="Times New Roman" w:eastAsia="宋体" w:cs="Times New Roman"/>
                <w:b/>
                <w:bCs/>
                <w:color w:val="000000"/>
                <w:sz w:val="24"/>
                <w:highlight w:val="none"/>
                <w:u w:val="single"/>
              </w:rPr>
              <w:t xml:space="preserve">业</w:t>
            </w:r>
            <w:r>
              <w:rPr>
                <w:rFonts w:hint="eastAsia" w:ascii="Times New Roman" w:hAnsi="Times New Roman" w:eastAsia="宋体" w:cs="Times New Roman"/>
                <w:sz w:val="24"/>
                <w:highlight w:val="none"/>
                <w:u w:val="single"/>
              </w:rPr>
              <w:t xml:space="preserve"> </w:t>
            </w:r>
            <w:r/>
          </w:p>
        </w:tc>
      </w:tr>
      <w:tr>
        <w:trPr>
          <w:trHeight w:val="475"/>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11.2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投标报价</w:t>
            </w:r>
            <w:r/>
          </w:p>
        </w:tc>
        <w:tc>
          <w:tcPr>
            <w:tcW w:w="7540" w:type="dxa"/>
            <w:vAlign w:val="center"/>
            <w:textDirection w:val="lrTb"/>
            <w:noWrap w:val="false"/>
          </w:tcPr>
          <w:p>
            <w:pPr>
              <w:jc w:val="left"/>
              <w:spacing w:line="24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投标报价的特殊规定：</w:t>
            </w:r>
            <w:r/>
          </w:p>
          <w:p>
            <w:pPr>
              <w:jc w:val="left"/>
              <w:spacing w:line="240" w:lineRule="auto"/>
              <w:rPr>
                <w:rFonts w:ascii="Times New Roman" w:hAnsi="Times New Roman" w:eastAsia="宋体" w:cs="Times New Roman"/>
                <w:sz w:val="24"/>
                <w:highlight w:val="none"/>
              </w:rPr>
            </w:pPr>
            <w:r>
              <w:rPr>
                <w:rFonts w:hint="eastAsia" w:ascii="宋体" w:hAnsi="宋体" w:eastAsia="宋体" w:cs="宋体"/>
                <w:b/>
                <w:sz w:val="24"/>
                <w:highlight w:val="none"/>
              </w:rPr>
              <w:t xml:space="preserve">■</w:t>
            </w:r>
            <w:r>
              <w:rPr>
                <w:rFonts w:ascii="Times New Roman" w:hAnsi="Times New Roman" w:eastAsia="宋体" w:cs="Times New Roman"/>
                <w:sz w:val="24"/>
                <w:highlight w:val="none"/>
              </w:rPr>
              <w:t xml:space="preserve">无</w:t>
            </w:r>
            <w:r/>
          </w:p>
          <w:p>
            <w:pPr>
              <w:jc w:val="left"/>
              <w:rPr>
                <w:rFonts w:ascii="Times New Roman" w:hAnsi="Times New Roman" w:eastAsia="宋体" w:cs="Times New Roman"/>
                <w:sz w:val="24"/>
                <w:highlight w:val="none"/>
              </w:rPr>
            </w:pPr>
            <w:r>
              <w:rPr>
                <w:rFonts w:hint="eastAsia" w:ascii="宋体" w:hAnsi="宋体" w:eastAsia="宋体" w:cs="宋体"/>
                <w:sz w:val="24"/>
                <w:highlight w:val="none"/>
              </w:rPr>
              <w:t xml:space="preserve">□</w:t>
            </w:r>
            <w:r>
              <w:rPr>
                <w:rFonts w:ascii="Times New Roman" w:hAnsi="Times New Roman" w:eastAsia="宋体" w:cs="Times New Roman"/>
                <w:sz w:val="24"/>
                <w:highlight w:val="none"/>
              </w:rPr>
              <w:t xml:space="preserve">有，具体情形：_____。</w:t>
            </w:r>
            <w:r/>
          </w:p>
        </w:tc>
      </w:tr>
      <w:tr>
        <w:trPr>
          <w:trHeight w:val="428"/>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投标保证金</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免收</w:t>
            </w:r>
            <w:r/>
          </w:p>
        </w:tc>
      </w:tr>
      <w:tr>
        <w:trPr>
          <w:trHeight w:val="451"/>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13.1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投标有效期</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自提交投标文件的截止之日起算</w:t>
            </w:r>
            <w:r>
              <w:rPr>
                <w:rFonts w:hint="eastAsia"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日历天。</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25.5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分包</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本项目的非主体、非关键性工作是否允许分包： </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不允许</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□允许，具体要求：</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（1）可以分包履行的具体内容：_____；</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（2）允许分包的金额或者比例：_____；</w:t>
            </w:r>
            <w:r/>
          </w:p>
          <w:p>
            <w:pPr>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（3）其他要求：_____。</w:t>
            </w:r>
            <w:r/>
          </w:p>
        </w:tc>
      </w:tr>
      <w:tr>
        <w:trPr>
          <w:trHeight w:val="474"/>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26.1.1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询问</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hint="eastAsia" w:ascii="宋体" w:hAnsi="宋体" w:eastAsia="宋体" w:cs="Times New Roman"/>
                <w:sz w:val="24"/>
                <w:szCs w:val="24"/>
                <w:highlight w:val="none"/>
              </w:rPr>
              <w:t xml:space="preserve">已登记参加本项目的供应商对</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eastAsia="宋体" w:cs="Times New Roman"/>
                <w:b/>
                <w:bCs/>
                <w:sz w:val="24"/>
                <w:szCs w:val="24"/>
                <w:highlight w:val="none"/>
                <w:u w:val="single"/>
                <w:lang w:val="en-US" w:eastAsia="zh-CN"/>
              </w:rPr>
              <w:t xml:space="preserve">02</w:t>
            </w:r>
            <w:r>
              <w:rPr>
                <w:rFonts w:ascii="宋体" w:hAnsi="宋体" w:eastAsia="宋体" w:cs="Times New Roman"/>
                <w:b/>
                <w:bCs/>
                <w:sz w:val="24"/>
                <w:szCs w:val="24"/>
                <w:highlight w:val="none"/>
                <w:u w:val="single"/>
              </w:rPr>
              <w:t xml:space="preserve">月</w:t>
            </w:r>
            <w:r>
              <w:rPr>
                <w:rFonts w:hint="eastAsia" w:ascii="宋体" w:hAnsi="宋体" w:eastAsia="宋体" w:cs="Times New Roman"/>
                <w:b/>
                <w:bCs/>
                <w:sz w:val="24"/>
                <w:szCs w:val="24"/>
                <w:highlight w:val="none"/>
                <w:u w:val="single"/>
                <w:lang w:val="en-US" w:eastAsia="zh-CN"/>
              </w:rPr>
              <w:t xml:space="preserve">27</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17</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将相关疑问（详见</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lang w:val="en-US" w:eastAsia="zh-CN"/>
              </w:rPr>
              <w:t xml:space="preserve">915583014</w:t>
            </w:r>
            <w:r>
              <w:rPr>
                <w:rFonts w:hint="eastAsia" w:ascii="宋体" w:hAnsi="宋体" w:eastAsia="宋体" w:cs="宋体"/>
                <w:b/>
                <w:bCs/>
                <w:sz w:val="24"/>
                <w:szCs w:val="24"/>
                <w:highlight w:val="none"/>
              </w:rPr>
              <w:t xml:space="preserve">@qq.com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进行咨询，如口头可解释的问题亦可电话咨询采购人</w:t>
            </w:r>
            <w:r>
              <w:rPr>
                <w:rFonts w:hint="eastAsia" w:ascii="宋体" w:hAnsi="宋体" w:eastAsia="宋体" w:cs="Times New Roman"/>
                <w:sz w:val="24"/>
                <w:szCs w:val="24"/>
                <w:highlight w:val="none"/>
                <w:lang w:val="en-US" w:eastAsia="zh-CN"/>
              </w:rPr>
              <w:t xml:space="preserve">或采购代理机构</w:t>
            </w:r>
            <w:r>
              <w:rPr>
                <w:rFonts w:hint="eastAsia" w:ascii="宋体" w:hAnsi="宋体" w:eastAsia="宋体" w:cs="Times New Roman"/>
                <w:sz w:val="24"/>
                <w:szCs w:val="24"/>
                <w:highlight w:val="none"/>
              </w:rPr>
              <w:t xml:space="preserve">。未提出疑问将被视为完全认同</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，逾期将不接受其对于</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rPr>
              <w:t xml:space="preserve">文件的相关异议。如有变更，更正公告将会在江苏政府采购网、常州市政府采购网公布。</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26.3</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联系方式</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接收询问和质疑的联系方式</w:t>
            </w:r>
            <w:r/>
          </w:p>
          <w:p>
            <w:pPr>
              <w:jc w:val="left"/>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联系部门：</w:t>
            </w:r>
            <w:r>
              <w:rPr>
                <w:rFonts w:hint="eastAsia" w:ascii="宋体" w:hAnsi="宋体" w:eastAsia="宋体" w:cs="Times New Roman"/>
                <w:sz w:val="24"/>
                <w:szCs w:val="24"/>
                <w:highlight w:val="none"/>
                <w:lang w:val="en-US" w:eastAsia="zh-CN"/>
              </w:rPr>
              <w:t xml:space="preserve">溧阳普弘信工程项目管理有限公司</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rPr>
              <w:t xml:space="preserve">0519-</w:t>
            </w:r>
            <w:r>
              <w:rPr>
                <w:rFonts w:hint="eastAsia" w:ascii="Times New Roman" w:hAnsi="Times New Roman" w:eastAsia="宋体" w:cs="Times New Roman"/>
                <w:sz w:val="24"/>
                <w:highlight w:val="none"/>
                <w:lang w:val="en-US" w:eastAsia="zh-CN"/>
              </w:rPr>
              <w:t xml:space="preserve">80692728</w:t>
            </w:r>
            <w:r>
              <w:rPr>
                <w:rFonts w:ascii="Times New Roman" w:hAnsi="Times New Roman" w:eastAsia="宋体" w:cs="Times New Roman"/>
                <w:sz w:val="24"/>
                <w:highlight w:val="none"/>
              </w:rPr>
              <w:t xml:space="preserve">；</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通讯地址：</w:t>
            </w:r>
            <w:r>
              <w:rPr>
                <w:rFonts w:hint="eastAsia" w:ascii="Times New Roman" w:hAnsi="Times New Roman" w:eastAsia="宋体" w:cs="Times New Roman"/>
                <w:sz w:val="24"/>
                <w:highlight w:val="none"/>
                <w:lang w:eastAsia="zh-CN"/>
              </w:rPr>
              <w:t xml:space="preserve">溧阳市</w:t>
            </w:r>
            <w:r>
              <w:rPr>
                <w:rFonts w:hint="eastAsia" w:ascii="Times New Roman" w:hAnsi="Times New Roman" w:eastAsia="宋体" w:cs="Times New Roman"/>
                <w:sz w:val="24"/>
                <w:highlight w:val="none"/>
                <w:lang w:val="en-US" w:eastAsia="zh-CN"/>
              </w:rPr>
              <w:t xml:space="preserve">平陵大厦19楼1920室</w:t>
            </w:r>
            <w:r>
              <w:rPr>
                <w:rFonts w:hint="eastAsia" w:ascii="Times New Roman" w:hAnsi="Times New Roman" w:eastAsia="宋体" w:cs="Times New Roman"/>
                <w:sz w:val="24"/>
                <w:highlight w:val="none"/>
                <w:lang w:eastAsia="zh-CN"/>
              </w:rPr>
              <w:t xml:space="preserve">。</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27</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代理费</w:t>
            </w:r>
            <w:r/>
          </w:p>
        </w:tc>
        <w:tc>
          <w:tcPr>
            <w:tcW w:w="7540" w:type="dxa"/>
            <w:vAlign w:val="center"/>
            <w:textDirection w:val="lrTb"/>
            <w:noWrap w:val="false"/>
          </w:tcPr>
          <w:p>
            <w:pPr>
              <w:jc w:val="left"/>
              <w:spacing w:before="84" w:after="84"/>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收费对象：成交供应商</w:t>
            </w:r>
            <w:r/>
          </w:p>
          <w:p>
            <w:pPr>
              <w:jc w:val="left"/>
              <w:spacing w:before="84" w:after="84"/>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收费标准</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按《园区国有资金投资建设项目招标代理服务计费标准及有关事项》执行</w:t>
            </w:r>
            <w:r>
              <w:rPr>
                <w:rFonts w:hint="eastAsia" w:ascii="Times New Roman" w:hAnsi="Times New Roman" w:eastAsia="宋体" w:cs="Times New Roman"/>
                <w:sz w:val="24"/>
                <w:highlight w:val="none"/>
                <w:lang w:val="en-US" w:eastAsia="zh-CN"/>
              </w:rPr>
              <w:t xml:space="preserve">。</w:t>
            </w:r>
            <w:r/>
          </w:p>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缴纳时间：领取中标通知书前。</w:t>
            </w:r>
            <w:r/>
          </w:p>
        </w:tc>
      </w:tr>
    </w:tbl>
    <w:p>
      <w:pPr>
        <w:jc w:val="center"/>
        <w:rPr>
          <w:b/>
          <w:sz w:val="28"/>
          <w:szCs w:val="28"/>
          <w:highlight w:val="none"/>
        </w:rPr>
      </w:pPr>
      <w:r>
        <w:rPr>
          <w:highlight w:val="none"/>
        </w:rPr>
        <w:br w:type="page" w:clear="all"/>
      </w:r>
      <w:bookmarkStart w:id="75" w:name="_Toc305158785"/>
      <w:r/>
      <w:bookmarkStart w:id="76" w:name="_Toc195842882"/>
      <w:r/>
      <w:bookmarkStart w:id="77" w:name="_Toc353825542"/>
      <w:r/>
      <w:bookmarkStart w:id="78" w:name="_Toc142311019"/>
      <w:r/>
      <w:bookmarkStart w:id="79" w:name="_Toc265228355"/>
      <w:r/>
      <w:bookmarkStart w:id="80" w:name="_Toc150480755"/>
      <w:r/>
      <w:bookmarkStart w:id="81" w:name="_Toc305158859"/>
      <w:r/>
      <w:bookmarkStart w:id="82" w:name="_Toc226337213"/>
      <w:r/>
      <w:bookmarkStart w:id="83" w:name="_Toc150774722"/>
      <w:r/>
      <w:bookmarkStart w:id="84" w:name="_Toc127151517"/>
      <w:r/>
      <w:bookmarkStart w:id="85" w:name="_Toc353873932"/>
      <w:r/>
      <w:bookmarkStart w:id="86" w:name="_Toc226965790"/>
      <w:r/>
      <w:bookmarkStart w:id="87" w:name="_Toc353873662"/>
      <w:r/>
      <w:bookmarkStart w:id="88" w:name="_Toc264969207"/>
      <w:r>
        <w:rPr>
          <w:rFonts w:ascii="Times New Roman" w:hAnsi="Times New Roman" w:eastAsia="宋体" w:cs="Times New Roman"/>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91"/>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305158786"/>
      <w:r/>
      <w:bookmarkStart w:id="92" w:name="_Toc150480756"/>
      <w:r/>
      <w:bookmarkStart w:id="93" w:name="_Toc142311020"/>
      <w:r/>
      <w:bookmarkStart w:id="94" w:name="_Toc151193688"/>
      <w:r/>
      <w:bookmarkStart w:id="95" w:name="_Toc150774618"/>
      <w:r/>
      <w:bookmarkStart w:id="96" w:name="_Toc264969208"/>
      <w:r/>
      <w:bookmarkStart w:id="97" w:name="_Toc150509269"/>
      <w:r/>
      <w:bookmarkStart w:id="98" w:name="_Toc151190145"/>
      <w:r/>
      <w:bookmarkStart w:id="99" w:name="_Toc151193906"/>
      <w:r/>
      <w:bookmarkStart w:id="100" w:name="_Toc226965791"/>
      <w:r/>
      <w:bookmarkStart w:id="101" w:name="_Toc151193616"/>
      <w:r/>
      <w:bookmarkStart w:id="102" w:name="_Toc226309762"/>
      <w:r/>
      <w:bookmarkStart w:id="103" w:name="_Toc151193760"/>
      <w:r/>
      <w:bookmarkStart w:id="104" w:name="_Toc226965708"/>
      <w:r/>
      <w:bookmarkStart w:id="105" w:name="_Toc305158860"/>
      <w:r/>
      <w:bookmarkStart w:id="106" w:name="_Toc226337214"/>
      <w:r/>
      <w:bookmarkStart w:id="107" w:name="_Toc150774723"/>
      <w:r/>
      <w:bookmarkStart w:id="108" w:name="_Toc195842883"/>
      <w:r/>
      <w:bookmarkStart w:id="109" w:name="_Toc151193832"/>
      <w:r/>
      <w:bookmarkStart w:id="110" w:name="_Toc26522835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ind w:left="357" w:hanging="357"/>
        <w:spacing w:line="360" w:lineRule="auto"/>
        <w:tabs>
          <w:tab w:val="left" w:pos="360" w:leader="none"/>
        </w:tabs>
        <w:rPr>
          <w:sz w:val="24"/>
          <w:highlight w:val="none"/>
        </w:rPr>
        <w:outlineLvl w:val="1"/>
      </w:pPr>
      <w:r/>
      <w:bookmarkStart w:id="111" w:name="_Toc265228357"/>
      <w:r/>
      <w:bookmarkStart w:id="112" w:name="_Toc305158787"/>
      <w:r/>
      <w:bookmarkStart w:id="113" w:name="_Toc305158861"/>
      <w:r/>
      <w:bookmarkStart w:id="114" w:name="_Toc264969209"/>
      <w:r>
        <w:rPr>
          <w:rFonts w:hint="eastAsia"/>
          <w:sz w:val="24"/>
          <w:highlight w:val="none"/>
        </w:rPr>
        <w:t xml:space="preserve">1</w:t>
      </w:r>
      <w:r>
        <w:rPr>
          <w:sz w:val="24"/>
          <w:highlight w:val="none"/>
        </w:rPr>
        <w:t xml:space="preserve">采购人、采购代理机构、</w:t>
      </w:r>
      <w:bookmarkEnd w:id="111"/>
      <w:r/>
      <w:bookmarkEnd w:id="112"/>
      <w:r/>
      <w:bookmarkEnd w:id="113"/>
      <w:r/>
      <w:bookmarkEnd w:id="114"/>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sz w:val="24"/>
          <w:highlight w:val="none"/>
        </w:rPr>
      </w:pPr>
      <w:r>
        <w:rPr>
          <w:sz w:val="24"/>
          <w:highlight w:val="none"/>
        </w:rPr>
        <w:t xml:space="preserve">1.1采购人、采购代理机构：指依法进行政府采购的国家机关、事业单位、团体组织，及其委托的采购代理机构。本项目采购人、采购代理机构见第一章《投标邀请》。</w:t>
      </w:r>
      <w:r/>
    </w:p>
    <w:p>
      <w:pPr>
        <w:numPr>
          <w:ilvl w:val="1"/>
          <w:numId w:val="0"/>
        </w:numPr>
        <w:ind w:firstLine="480"/>
        <w:spacing w:line="360" w:lineRule="auto"/>
        <w:tabs>
          <w:tab w:val="left" w:pos="1080" w:leader="none"/>
          <w:tab w:val="left" w:pos="2014" w:leader="none"/>
          <w:tab w:val="left" w:pos="5521" w:leader="none"/>
        </w:tabs>
        <w:rPr>
          <w:sz w:val="24"/>
          <w:highlight w:val="none"/>
        </w:rPr>
      </w:pPr>
      <w:r>
        <w:rPr>
          <w:sz w:val="24"/>
          <w:highlight w:val="none"/>
        </w:rPr>
        <w:t xml:space="preserve">1.2</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sz w:val="24"/>
          <w:highlight w:val="none"/>
        </w:rPr>
      </w:pPr>
      <w:r>
        <w:rPr>
          <w:sz w:val="24"/>
          <w:highlight w:val="none"/>
        </w:rPr>
        <w:t xml:space="preserve">1.3</w:t>
      </w:r>
      <w:r>
        <w:rPr>
          <w:rFonts w:hint="eastAsia"/>
          <w:sz w:val="24"/>
          <w:highlight w:val="none"/>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sz w:val="24"/>
          <w:highlight w:val="none"/>
        </w:rPr>
        <w:outlineLvl w:val="1"/>
      </w:pPr>
      <w:r/>
      <w:bookmarkStart w:id="115" w:name="_Toc151193618"/>
      <w:r/>
      <w:bookmarkStart w:id="116" w:name="_Toc150774725"/>
      <w:r/>
      <w:bookmarkStart w:id="117" w:name="_Toc226309764"/>
      <w:r/>
      <w:bookmarkStart w:id="118" w:name="_Toc226337216"/>
      <w:r/>
      <w:bookmarkStart w:id="119" w:name="_Toc127161434"/>
      <w:r/>
      <w:bookmarkStart w:id="120" w:name="_Toc305158862"/>
      <w:r/>
      <w:bookmarkStart w:id="121" w:name="_Toc164229215"/>
      <w:r/>
      <w:bookmarkStart w:id="122" w:name="_Toc151193908"/>
      <w:r/>
      <w:bookmarkStart w:id="123" w:name="_Toc305158788"/>
      <w:r/>
      <w:bookmarkStart w:id="124" w:name="_Toc164229361"/>
      <w:r/>
      <w:bookmarkStart w:id="125" w:name="_Toc226965710"/>
      <w:r/>
      <w:bookmarkStart w:id="126" w:name="_Toc265228358"/>
      <w:r/>
      <w:bookmarkStart w:id="127" w:name="_Toc195842885"/>
      <w:r/>
      <w:bookmarkStart w:id="128" w:name="_Toc150509271"/>
      <w:r/>
      <w:bookmarkStart w:id="129" w:name="_Toc164608789"/>
      <w:r/>
      <w:bookmarkStart w:id="130" w:name="_Toc264969210"/>
      <w:r/>
      <w:bookmarkStart w:id="131" w:name="_Toc149720813"/>
      <w:r/>
      <w:bookmarkStart w:id="132" w:name="_Toc151193762"/>
      <w:r/>
      <w:bookmarkStart w:id="133" w:name="_Toc151190147"/>
      <w:r/>
      <w:bookmarkStart w:id="134" w:name="_Toc164608634"/>
      <w:r/>
      <w:bookmarkStart w:id="135" w:name="_Toc142311022"/>
      <w:r/>
      <w:bookmarkStart w:id="136" w:name="_Toc150480758"/>
      <w:r/>
      <w:bookmarkStart w:id="137" w:name="_Toc151193690"/>
      <w:r/>
      <w:bookmarkStart w:id="138" w:name="_Toc127151520"/>
      <w:r/>
      <w:bookmarkStart w:id="139" w:name="_Toc127151721"/>
      <w:r/>
      <w:bookmarkStart w:id="140" w:name="_Toc151193834"/>
      <w:r/>
      <w:bookmarkStart w:id="141" w:name="_Toc226965793"/>
      <w:r/>
      <w:bookmarkStart w:id="142" w:name="_Toc150774620"/>
      <w:r/>
      <w:bookmarkStart w:id="143" w:name="_Toc164351614"/>
      <w:r>
        <w:rPr>
          <w:rFonts w:hint="eastAsia"/>
          <w:sz w:val="24"/>
          <w:highlight w:val="none"/>
        </w:rPr>
        <w:t xml:space="preserve">2</w:t>
      </w:r>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2.1资金来源为财政性资金或本项目采购中无法与财政性资金分割的非财政性资金。</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2.2项目属性见《</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须知资料表》。</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2.3是否属于科研仪器设备采购见《</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须知资料表》。</w:t>
      </w:r>
      <w:r/>
    </w:p>
    <w:p>
      <w:pPr>
        <w:ind w:left="357" w:hanging="357"/>
        <w:spacing w:line="360" w:lineRule="auto"/>
        <w:tabs>
          <w:tab w:val="left" w:pos="360" w:leader="none"/>
        </w:tabs>
        <w:rPr>
          <w:sz w:val="24"/>
          <w:highlight w:val="none"/>
        </w:rPr>
        <w:outlineLvl w:val="1"/>
      </w:pPr>
      <w:r>
        <w:rPr>
          <w:rFonts w:hint="eastAsia"/>
          <w:sz w:val="24"/>
          <w:highlight w:val="none"/>
        </w:rPr>
        <w:t xml:space="preserve">3</w:t>
      </w:r>
      <w:r>
        <w:rPr>
          <w:sz w:val="24"/>
          <w:highlight w:val="none"/>
        </w:rPr>
        <w:t xml:space="preserve">现场考察、开标前答疑会</w:t>
      </w:r>
      <w:r/>
    </w:p>
    <w:p>
      <w:pPr>
        <w:ind w:firstLine="480"/>
        <w:spacing w:line="360" w:lineRule="auto"/>
        <w:tabs>
          <w:tab w:val="left" w:pos="360" w:leader="none"/>
        </w:tabs>
        <w:rPr>
          <w:rFonts w:hint="eastAsia"/>
          <w:sz w:val="24"/>
          <w:highlight w:val="none"/>
        </w:rPr>
        <w:outlineLvl w:val="1"/>
      </w:pPr>
      <w:r/>
      <w:bookmarkStart w:id="144" w:name="_Toc226309766"/>
      <w:r/>
      <w:bookmarkStart w:id="145" w:name="_Toc305158790"/>
      <w:r/>
      <w:bookmarkStart w:id="146" w:name="_Toc150774622"/>
      <w:r/>
      <w:bookmarkStart w:id="147" w:name="_Toc226965712"/>
      <w:r/>
      <w:bookmarkStart w:id="148" w:name="_Toc151193692"/>
      <w:r/>
      <w:bookmarkStart w:id="149" w:name="_Toc150480760"/>
      <w:r/>
      <w:bookmarkStart w:id="150" w:name="_Toc150774727"/>
      <w:r/>
      <w:bookmarkStart w:id="151" w:name="_Toc151193620"/>
      <w:r/>
      <w:bookmarkStart w:id="152" w:name="_Toc195842887"/>
      <w:r/>
      <w:bookmarkStart w:id="153" w:name="_Toc520356146"/>
      <w:r/>
      <w:bookmarkStart w:id="154" w:name="_Toc265228360"/>
      <w:r/>
      <w:bookmarkStart w:id="155" w:name="_Toc142311024"/>
      <w:r/>
      <w:bookmarkStart w:id="156" w:name="_Toc226965795"/>
      <w:r/>
      <w:bookmarkStart w:id="157" w:name="_Toc305158864"/>
      <w:r/>
      <w:bookmarkStart w:id="158" w:name="_Toc151193910"/>
      <w:r/>
      <w:bookmarkStart w:id="159" w:name="_Toc151193836"/>
      <w:r/>
      <w:bookmarkStart w:id="160" w:name="_Toc127151522"/>
      <w:r/>
      <w:bookmarkStart w:id="161" w:name="_Toc264969212"/>
      <w:r/>
      <w:bookmarkStart w:id="162" w:name="_Toc226337218"/>
      <w:r/>
      <w:bookmarkStart w:id="163" w:name="_Toc151190149"/>
      <w:r/>
      <w:bookmarkStart w:id="164" w:name="_Toc151193764"/>
      <w:r/>
      <w:bookmarkStart w:id="165" w:name="_Toc150509273"/>
      <w:r>
        <w:rPr>
          <w:rFonts w:hint="eastAsia"/>
          <w:sz w:val="24"/>
          <w:highlight w:val="none"/>
          <w:lang w:val="en-US" w:eastAsia="zh-CN"/>
        </w:rPr>
        <w:t xml:space="preserve">3.1</w:t>
      </w:r>
      <w:r>
        <w:rPr>
          <w:rFonts w:hint="eastAsia"/>
          <w:sz w:val="24"/>
          <w:highlight w:val="none"/>
        </w:rPr>
        <w:t xml:space="preserve">若《投标人须知资料表》中规定了组织现场考察、召开开标前答疑会，则投标人应按要求在规定的时间和地点参加。</w:t>
      </w:r>
      <w:r/>
    </w:p>
    <w:p>
      <w:pPr>
        <w:ind w:firstLine="480"/>
        <w:spacing w:line="360" w:lineRule="auto"/>
        <w:tabs>
          <w:tab w:val="left" w:pos="360" w:leader="none"/>
        </w:tabs>
        <w:rPr>
          <w:rFonts w:hint="eastAsia"/>
          <w:sz w:val="24"/>
          <w:highlight w:val="none"/>
        </w:rPr>
        <w:outlineLvl w:val="1"/>
      </w:pPr>
      <w:r>
        <w:rPr>
          <w:rFonts w:hint="eastAsia"/>
          <w:sz w:val="24"/>
          <w:highlight w:val="none"/>
          <w:lang w:val="en-US" w:eastAsia="zh-CN"/>
        </w:rPr>
        <w:t xml:space="preserve">3.2</w:t>
      </w:r>
      <w:r>
        <w:rPr>
          <w:rFonts w:hint="eastAsia"/>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sz w:val="24"/>
          <w:highlight w:val="none"/>
        </w:rPr>
        <w:outlineLvl w:val="1"/>
      </w:pPr>
      <w:r>
        <w:rPr>
          <w:rFonts w:hint="eastAsia"/>
          <w:sz w:val="24"/>
          <w:highlight w:val="none"/>
        </w:rPr>
        <w:t xml:space="preserve">4</w:t>
      </w:r>
      <w:r>
        <w:rPr>
          <w:sz w:val="24"/>
          <w:highlight w:val="none"/>
        </w:rPr>
        <w:t xml:space="preserve">样品</w:t>
      </w:r>
      <w:r/>
    </w:p>
    <w:p>
      <w:pPr>
        <w:numPr>
          <w:ilvl w:val="1"/>
          <w:numId w:val="0"/>
        </w:numPr>
        <w:ind w:firstLine="480"/>
        <w:spacing w:line="360" w:lineRule="auto"/>
        <w:tabs>
          <w:tab w:val="left" w:pos="1080" w:leader="none"/>
          <w:tab w:val="left" w:pos="2014" w:leader="none"/>
        </w:tabs>
        <w:rPr>
          <w:rFonts w:hint="eastAsia"/>
          <w:sz w:val="24"/>
          <w:highlight w:val="none"/>
        </w:rPr>
      </w:pPr>
      <w:r>
        <w:rPr>
          <w:sz w:val="24"/>
          <w:highlight w:val="none"/>
        </w:rPr>
        <w:t xml:space="preserve">4.1</w:t>
      </w:r>
      <w:r>
        <w:rPr>
          <w:rFonts w:hint="eastAsia"/>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0"/>
        </w:numPr>
        <w:ind w:left="1044" w:hanging="580"/>
        <w:spacing w:line="360" w:lineRule="auto"/>
        <w:tabs>
          <w:tab w:val="left" w:pos="1080" w:leader="none"/>
          <w:tab w:val="left" w:pos="2014" w:leader="none"/>
        </w:tabs>
        <w:rPr>
          <w:sz w:val="24"/>
          <w:highlight w:val="none"/>
        </w:rPr>
      </w:pPr>
      <w:r>
        <w:rPr>
          <w:rFonts w:hint="eastAsia"/>
          <w:sz w:val="24"/>
          <w:highlight w:val="none"/>
          <w:lang w:val="en-US" w:eastAsia="zh-CN"/>
        </w:rPr>
        <w:t xml:space="preserve">4.2</w:t>
      </w:r>
      <w:r>
        <w:rPr>
          <w:rFonts w:hint="eastAsia"/>
          <w:sz w:val="24"/>
          <w:highlight w:val="none"/>
        </w:rPr>
        <w:t xml:space="preserve">样品的评审方法以及评审标准等内容见第四章《评标方法和评标标准》。</w:t>
      </w:r>
      <w:r/>
    </w:p>
    <w:p>
      <w:pPr>
        <w:ind w:left="357" w:hanging="357"/>
        <w:spacing w:line="360" w:lineRule="auto"/>
        <w:tabs>
          <w:tab w:val="left" w:pos="360" w:leader="none"/>
        </w:tabs>
        <w:rPr>
          <w:sz w:val="24"/>
          <w:highlight w:val="none"/>
        </w:rPr>
        <w:outlineLvl w:val="1"/>
      </w:pPr>
      <w:r>
        <w:rPr>
          <w:rFonts w:hint="eastAsia"/>
          <w:sz w:val="24"/>
          <w:highlight w:val="none"/>
        </w:rPr>
        <w:t xml:space="preserve">5</w:t>
      </w:r>
      <w:r>
        <w:rPr>
          <w:sz w:val="24"/>
          <w:highlight w:val="none"/>
        </w:rPr>
        <w:t xml:space="preserve">政府采购政策（包括但不限于下列具体政策要求）</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5.1进口产品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5.2中小企业、监狱企业及残疾人福利性单位</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5.2.1中小企业定义：</w:t>
      </w:r>
      <w:r/>
    </w:p>
    <w:p>
      <w:pPr>
        <w:numPr>
          <w:ilvl w:val="2"/>
          <w:numId w:val="0"/>
        </w:numPr>
        <w:ind w:firstLine="720"/>
        <w:spacing w:line="360" w:lineRule="auto"/>
        <w:tabs>
          <w:tab w:val="left" w:pos="2014" w:leader="none"/>
        </w:tabs>
        <w:rPr>
          <w:rFonts w:hint="eastAsia"/>
          <w:sz w:val="24"/>
          <w:highlight w:val="none"/>
        </w:rPr>
      </w:pPr>
      <w:r>
        <w:rPr>
          <w:rFonts w:hint="eastAsia"/>
          <w:sz w:val="24"/>
          <w:highlight w:val="none"/>
        </w:rPr>
        <w:t xml:space="preserve">5.2.1.1中小企业是</w:t>
      </w:r>
      <w:r>
        <w:rPr>
          <w:rFonts w:hint="eastAsia"/>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0"/>
        </w:numPr>
        <w:ind w:firstLine="720"/>
        <w:spacing w:line="360" w:lineRule="auto"/>
        <w:tabs>
          <w:tab w:val="left" w:pos="2014" w:leader="none"/>
        </w:tabs>
        <w:rPr>
          <w:rFonts w:hint="eastAsia"/>
          <w:sz w:val="24"/>
          <w:highlight w:val="none"/>
        </w:rPr>
      </w:pPr>
      <w:r>
        <w:rPr>
          <w:rFonts w:hint="eastAsia"/>
          <w:sz w:val="24"/>
          <w:highlight w:val="none"/>
        </w:rPr>
        <w:t xml:space="preserve">5.2.1.2供应商提供的货物、工程或者服务符合下列情形的，享受中小企业扶持政策：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在服务采购项目中，服务由中小企业承接，即提供服务的人员为中小企业依照《中华人民共和国劳动合同法》订立劳动合同的从业人员。</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5.2.1.3在货物采购项目中，供应商提供的货物既有中小企业制造货物，也有大型企业制造货物的，不享受中小企业扶持政策。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5.2.3残疾人福利单位定义：享受政府采购支持政策的残疾人福利性单位应当同时满足以下条件：</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5.2.3.1安置的残疾人占本单位在职职工人数的比例不低于25%（含25%），并且安置的残疾人人数不少于10 人（含10 人）；</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5.2.3.2依法与安置的每位残疾人签订了一年以上（含一年）的劳动合同或服务协议；</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5.2.3.3为安置的每位残疾人按月足额缴纳了基本养老保险、基本医疗保险、失业保险、工伤保险和生育保险等社会保险费；</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5.2.3.4通过银行等金融机构向安置的每位残疾人，按月支付了不低于单位所在区县适用的经省级人民政府批准的月最低工资标准的工资；</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5.2.3.5提供本单位制造的货物、承担的工程或者服务（以下简称产品），或者提供其他残疾人福利性单位制造的货物（不包括使用非残疾人福利性单位注册商标的货物）；</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5.2.4本项目是否专门面向中小企业预留采购份额见第一章《招标公告》。</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5.2.5采购标的对应的中小企业划分标准所属行业见《投标人须知资料表》。</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5.2.6小微企业价格评审优惠的政策调整：见第四章《评标方法和评标标准》。</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5.3政府采购节能产品、环境标志产品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5.3.4非政府强制采购的节能产品或环境标志产品，依据品目清单和认证证书实施政府优先采购。优先采购的具体规定见第四章《评标方法和评标标准》（如涉及）。</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5.4支持乡村产业振兴管理</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5.5正版软件</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5.5.1依据《财政部国家发展改革委 信息产业部关于印发无线局域网产品政府采购实施意见的通知》（财库〔2005〕366 号），采购无线局域网产品和含有无线局域网功能的计算机、通信设备、打印</w:t>
      </w:r>
      <w:r>
        <w:rPr>
          <w:rFonts w:hint="eastAsia"/>
          <w:sz w:val="24"/>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5.6信息安全产品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5.6.1所投产品属于《关于调整信息安全产品强制性认证实施要求的公告》（2009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5.7政府采购创新产品政策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5.8绿色采购政策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5.8.1绿色数据中心政策 </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5.8.2推广应用绿色建材</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5.8.3优先使用低挥发性有机化合物产品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357" w:hanging="357"/>
        <w:spacing w:line="360" w:lineRule="auto"/>
        <w:tabs>
          <w:tab w:val="left" w:pos="360" w:leader="none"/>
        </w:tabs>
        <w:rPr>
          <w:sz w:val="24"/>
          <w:highlight w:val="none"/>
        </w:rPr>
        <w:outlineLvl w:val="1"/>
      </w:pPr>
      <w:r>
        <w:rPr>
          <w:rFonts w:hint="eastAsia"/>
          <w:sz w:val="24"/>
          <w:highlight w:val="none"/>
        </w:rPr>
        <w:t xml:space="preserve">6</w:t>
      </w:r>
      <w:r>
        <w:rPr>
          <w:sz w:val="24"/>
          <w:highlight w:val="none"/>
        </w:rPr>
        <w:t xml:space="preserve">投标费用</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6.1</w:t>
      </w:r>
      <w:r>
        <w:rPr>
          <w:rFonts w:hint="eastAsia"/>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99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sz w:val="28"/>
          <w:highlight w:val="none"/>
          <w:lang w:val="en-US" w:eastAsia="zh-CN"/>
        </w:rPr>
        <w:t xml:space="preserve">招标</w:t>
      </w:r>
      <w:r>
        <w:rPr>
          <w:rFonts w:hint="eastAsia" w:ascii="Times New Roman" w:hAnsi="Times New Roman" w:eastAsia="宋体"/>
          <w:sz w:val="28"/>
          <w:highlight w:val="none"/>
        </w:rPr>
        <w:t xml:space="preserve">文件</w:t>
      </w:r>
      <w:r/>
    </w:p>
    <w:p>
      <w:pPr>
        <w:ind w:left="357" w:hanging="357"/>
        <w:spacing w:line="360" w:lineRule="auto"/>
        <w:tabs>
          <w:tab w:val="left" w:pos="360" w:leader="none"/>
        </w:tabs>
        <w:rPr>
          <w:sz w:val="24"/>
          <w:highlight w:val="none"/>
        </w:rPr>
        <w:outlineLvl w:val="1"/>
      </w:pPr>
      <w:r/>
      <w:bookmarkStart w:id="167" w:name="_Toc164608637"/>
      <w:r/>
      <w:bookmarkStart w:id="168" w:name="_Toc265228361"/>
      <w:r/>
      <w:bookmarkStart w:id="169" w:name="_Toc150774728"/>
      <w:r/>
      <w:bookmarkStart w:id="170" w:name="_Toc305158791"/>
      <w:r/>
      <w:bookmarkStart w:id="171" w:name="_Toc226965713"/>
      <w:r/>
      <w:bookmarkStart w:id="172" w:name="_Toc151193693"/>
      <w:r/>
      <w:bookmarkStart w:id="173" w:name="_Toc151193621"/>
      <w:r/>
      <w:bookmarkStart w:id="174" w:name="_Toc164608792"/>
      <w:r/>
      <w:bookmarkStart w:id="175" w:name="_Toc151190150"/>
      <w:r/>
      <w:bookmarkStart w:id="176" w:name="_Toc226965796"/>
      <w:r/>
      <w:bookmarkStart w:id="177" w:name="_Toc195842888"/>
      <w:r/>
      <w:bookmarkStart w:id="178" w:name="_Toc142311025"/>
      <w:r/>
      <w:bookmarkStart w:id="179" w:name="_Toc151193911"/>
      <w:r/>
      <w:bookmarkStart w:id="180" w:name="_Toc127151523"/>
      <w:r/>
      <w:bookmarkStart w:id="181" w:name="_Toc150509274"/>
      <w:r/>
      <w:bookmarkStart w:id="182" w:name="_Toc151193837"/>
      <w:r/>
      <w:bookmarkStart w:id="183" w:name="_Toc520356147"/>
      <w:r/>
      <w:bookmarkStart w:id="184" w:name="_Toc127161437"/>
      <w:r/>
      <w:bookmarkStart w:id="185" w:name="_Toc149720816"/>
      <w:r/>
      <w:bookmarkStart w:id="186" w:name="_Toc150480761"/>
      <w:r/>
      <w:bookmarkStart w:id="187" w:name="_Toc305158865"/>
      <w:r/>
      <w:bookmarkStart w:id="188" w:name="_Toc164229218"/>
      <w:r/>
      <w:bookmarkStart w:id="189" w:name="_Toc127151724"/>
      <w:r/>
      <w:bookmarkStart w:id="190" w:name="_Toc226337219"/>
      <w:r/>
      <w:bookmarkStart w:id="191" w:name="_Toc264969213"/>
      <w:r/>
      <w:bookmarkStart w:id="192" w:name="_Toc164229364"/>
      <w:r/>
      <w:bookmarkStart w:id="193" w:name="_Toc150774623"/>
      <w:r/>
      <w:bookmarkStart w:id="194" w:name="_Toc164351617"/>
      <w:r/>
      <w:bookmarkStart w:id="195" w:name="_Toc151193765"/>
      <w:r/>
      <w:bookmarkStart w:id="196" w:name="_Toc226309767"/>
      <w:r>
        <w:rPr>
          <w:rFonts w:hint="eastAsia"/>
          <w:sz w:val="24"/>
          <w:highlight w:val="none"/>
        </w:rPr>
        <w:t xml:space="preserve">7</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7.1</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包括以下部分：</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8"/>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7.2投标人应认真阅读招标文件的全部内容。投标人应按照招标文件要求提交投标文件并保证所提供的全部资料的真实性，并对招标文件做出实质性响应，否则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ind w:left="357" w:hanging="357"/>
        <w:spacing w:line="360" w:lineRule="auto"/>
        <w:tabs>
          <w:tab w:val="left" w:pos="1080" w:leader="none"/>
          <w:tab w:val="left" w:pos="2014" w:leader="none"/>
        </w:tabs>
        <w:rPr>
          <w:sz w:val="24"/>
          <w:highlight w:val="none"/>
        </w:rPr>
        <w:outlineLvl w:val="1"/>
      </w:pPr>
      <w:r>
        <w:rPr>
          <w:rFonts w:hint="eastAsia"/>
          <w:sz w:val="24"/>
          <w:highlight w:val="none"/>
        </w:rPr>
        <w:t xml:space="preserve">8</w:t>
      </w:r>
      <w:r>
        <w:rPr>
          <w:sz w:val="24"/>
          <w:highlight w:val="none"/>
        </w:rPr>
        <w:t xml:space="preserve">对</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的澄清或修改</w:t>
      </w:r>
      <w:r/>
    </w:p>
    <w:p>
      <w:pPr>
        <w:numPr>
          <w:ilvl w:val="1"/>
          <w:numId w:val="0"/>
        </w:numPr>
        <w:ind w:firstLine="480"/>
        <w:spacing w:line="360" w:lineRule="auto"/>
        <w:tabs>
          <w:tab w:val="left" w:pos="1080" w:leader="none"/>
          <w:tab w:val="left" w:pos="1561" w:leader="none"/>
          <w:tab w:val="left" w:pos="2014" w:leader="none"/>
        </w:tabs>
        <w:rPr>
          <w:rFonts w:hint="eastAsia"/>
          <w:sz w:val="24"/>
          <w:highlight w:val="none"/>
        </w:rPr>
      </w:pPr>
      <w:r>
        <w:rPr>
          <w:sz w:val="24"/>
          <w:highlight w:val="none"/>
        </w:rPr>
        <w:t xml:space="preserve">8.1</w:t>
      </w:r>
      <w:r>
        <w:rPr>
          <w:rFonts w:hint="eastAsia"/>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0"/>
        </w:numPr>
        <w:ind w:firstLine="480"/>
        <w:spacing w:line="360" w:lineRule="auto"/>
        <w:tabs>
          <w:tab w:val="left" w:pos="1080" w:leader="none"/>
          <w:tab w:val="left" w:pos="1561" w:leader="none"/>
          <w:tab w:val="left" w:pos="2014" w:leader="none"/>
        </w:tabs>
        <w:rPr>
          <w:sz w:val="24"/>
          <w:highlight w:val="none"/>
        </w:rPr>
      </w:pPr>
      <w:r>
        <w:rPr>
          <w:rFonts w:hint="eastAsia"/>
          <w:sz w:val="24"/>
          <w:highlight w:val="none"/>
          <w:lang w:val="en-US" w:eastAsia="zh-CN"/>
        </w:rPr>
        <w:t xml:space="preserve">8.2</w:t>
      </w:r>
      <w:r>
        <w:rPr>
          <w:rFonts w:hint="eastAsia"/>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26965799"/>
      <w:r/>
      <w:bookmarkStart w:id="199" w:name="_Toc520356150"/>
      <w:r/>
      <w:bookmarkStart w:id="200" w:name="_Toc226309770"/>
      <w:r/>
      <w:bookmarkStart w:id="201" w:name="_Toc127151526"/>
      <w:r/>
      <w:bookmarkStart w:id="202" w:name="_Toc151193624"/>
      <w:r/>
      <w:bookmarkStart w:id="203" w:name="_Toc226337222"/>
      <w:r/>
      <w:bookmarkStart w:id="204" w:name="_Toc151193768"/>
      <w:r/>
      <w:bookmarkStart w:id="205" w:name="_Toc150509277"/>
      <w:r/>
      <w:bookmarkStart w:id="206" w:name="_Toc150480764"/>
      <w:r/>
      <w:bookmarkStart w:id="207" w:name="_Toc305158794"/>
      <w:r/>
      <w:bookmarkStart w:id="208" w:name="_Toc151193914"/>
      <w:r/>
      <w:bookmarkStart w:id="209" w:name="_Toc151193840"/>
      <w:r/>
      <w:bookmarkStart w:id="210" w:name="_Toc226965716"/>
      <w:r/>
      <w:bookmarkStart w:id="211" w:name="_Toc195842891"/>
      <w:r/>
      <w:bookmarkStart w:id="212" w:name="_Toc150774731"/>
      <w:r/>
      <w:bookmarkStart w:id="213" w:name="_Toc142311028"/>
      <w:r/>
      <w:bookmarkStart w:id="214" w:name="_Toc264969216"/>
      <w:r/>
      <w:bookmarkStart w:id="215" w:name="_Toc305158868"/>
      <w:r/>
      <w:bookmarkStart w:id="216" w:name="_Toc150774626"/>
      <w:r/>
      <w:bookmarkStart w:id="217" w:name="_Toc151193696"/>
      <w:r/>
      <w:bookmarkStart w:id="218" w:name="_Toc265228364"/>
      <w:r/>
      <w:bookmarkStart w:id="219" w:name="_Toc151190153"/>
      <w:r/>
      <w:r/>
    </w:p>
    <w:p>
      <w:pPr>
        <w:pStyle w:val="99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left="357" w:hanging="357"/>
        <w:spacing w:line="360" w:lineRule="auto"/>
        <w:tabs>
          <w:tab w:val="left" w:pos="360" w:leader="none"/>
        </w:tabs>
        <w:rPr>
          <w:sz w:val="24"/>
          <w:highlight w:val="none"/>
        </w:rPr>
        <w:outlineLvl w:val="1"/>
      </w:pPr>
      <w:r/>
      <w:bookmarkStart w:id="220" w:name="_Toc520356151"/>
      <w:r/>
      <w:bookmarkStart w:id="221" w:name="_Toc195842892"/>
      <w:r/>
      <w:bookmarkStart w:id="222" w:name="_Toc151193697"/>
      <w:r/>
      <w:bookmarkStart w:id="223" w:name="_Toc150480765"/>
      <w:r/>
      <w:bookmarkStart w:id="224" w:name="_Toc142311029"/>
      <w:r/>
      <w:bookmarkStart w:id="225" w:name="_Toc151190154"/>
      <w:r/>
      <w:bookmarkStart w:id="226" w:name="_Toc150509278"/>
      <w:r/>
      <w:bookmarkStart w:id="227" w:name="_Toc226965717"/>
      <w:r/>
      <w:bookmarkStart w:id="228" w:name="_Toc151193625"/>
      <w:r/>
      <w:bookmarkStart w:id="229" w:name="_Toc516367021"/>
      <w:r/>
      <w:bookmarkStart w:id="230" w:name="_Toc226337223"/>
      <w:r/>
      <w:bookmarkStart w:id="231" w:name="_Toc151193769"/>
      <w:r/>
      <w:bookmarkStart w:id="232" w:name="_Toc150774732"/>
      <w:r/>
      <w:bookmarkStart w:id="233" w:name="_Toc150774627"/>
      <w:r/>
      <w:bookmarkStart w:id="234" w:name="_Toc164608796"/>
      <w:r/>
      <w:bookmarkStart w:id="235" w:name="_Toc226965800"/>
      <w:r/>
      <w:bookmarkStart w:id="236" w:name="_Toc127161441"/>
      <w:r/>
      <w:bookmarkStart w:id="237" w:name="_Toc151193915"/>
      <w:r/>
      <w:bookmarkStart w:id="238" w:name="_Toc305158795"/>
      <w:r/>
      <w:bookmarkStart w:id="239" w:name="_Toc226309771"/>
      <w:r/>
      <w:bookmarkStart w:id="240" w:name="_Toc164229222"/>
      <w:r/>
      <w:bookmarkStart w:id="241" w:name="_Toc149720820"/>
      <w:r/>
      <w:bookmarkStart w:id="242" w:name="_Toc127151527"/>
      <w:r/>
      <w:bookmarkStart w:id="243" w:name="_Toc164608641"/>
      <w:r/>
      <w:bookmarkStart w:id="244" w:name="_Toc151193841"/>
      <w:r/>
      <w:bookmarkStart w:id="245" w:name="_Toc127151728"/>
      <w:r/>
      <w:bookmarkStart w:id="246" w:name="_Toc164351621"/>
      <w:r/>
      <w:bookmarkStart w:id="247" w:name="_Toc265228365"/>
      <w:r/>
      <w:bookmarkStart w:id="248" w:name="_Toc264969217"/>
      <w:r/>
      <w:bookmarkStart w:id="249" w:name="_Toc305158869"/>
      <w:r/>
      <w:bookmarkStart w:id="250" w:name="_Toc164229368"/>
      <w:r>
        <w:rPr>
          <w:rFonts w:hint="eastAsia"/>
          <w:sz w:val="24"/>
          <w:highlight w:val="none"/>
        </w:rPr>
        <w:t xml:space="preserve">9</w:t>
      </w:r>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0"/>
        </w:numPr>
        <w:ind w:firstLine="480"/>
        <w:spacing w:line="360" w:lineRule="auto"/>
        <w:tabs>
          <w:tab w:val="left" w:pos="1080" w:leader="none"/>
          <w:tab w:val="left" w:pos="2014" w:leader="none"/>
        </w:tabs>
        <w:rPr>
          <w:rFonts w:hint="eastAsia"/>
          <w:sz w:val="24"/>
          <w:highlight w:val="none"/>
        </w:rPr>
      </w:pPr>
      <w:r>
        <w:rPr>
          <w:sz w:val="24"/>
          <w:highlight w:val="none"/>
        </w:rPr>
        <w:t xml:space="preserve">9.1</w:t>
      </w:r>
      <w:r>
        <w:rPr>
          <w:rFonts w:hint="eastAsia"/>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9.2除招标文件有特殊要求外，本项目投标所使用的计量单位，应采用中华人民共和国法定计量单位。</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9.3</w:t>
      </w:r>
      <w:r>
        <w:rPr>
          <w:rFonts w:hint="eastAsia"/>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sz w:val="24"/>
          <w:highlight w:val="none"/>
        </w:rPr>
        <w:outlineLvl w:val="1"/>
      </w:pPr>
      <w:r/>
      <w:bookmarkStart w:id="251" w:name="_Toc516367022"/>
      <w:r/>
      <w:bookmarkStart w:id="252" w:name="_Ref467306676"/>
      <w:r/>
      <w:bookmarkStart w:id="253" w:name="_Ref467306195"/>
      <w:r/>
      <w:bookmarkStart w:id="254" w:name="_Toc226309772"/>
      <w:r/>
      <w:bookmarkStart w:id="255" w:name="_Toc151193770"/>
      <w:r/>
      <w:bookmarkStart w:id="256" w:name="_Toc164229223"/>
      <w:r/>
      <w:bookmarkStart w:id="257" w:name="_Toc149720821"/>
      <w:r/>
      <w:bookmarkStart w:id="258" w:name="_Toc226965801"/>
      <w:r/>
      <w:bookmarkStart w:id="259" w:name="_Toc305158870"/>
      <w:r/>
      <w:bookmarkStart w:id="260" w:name="_Toc127151528"/>
      <w:r/>
      <w:bookmarkStart w:id="261" w:name="_Toc151193842"/>
      <w:r/>
      <w:bookmarkStart w:id="262" w:name="_Toc151190155"/>
      <w:r/>
      <w:bookmarkStart w:id="263" w:name="_Toc150774733"/>
      <w:r/>
      <w:bookmarkStart w:id="264" w:name="_Toc150480766"/>
      <w:r/>
      <w:bookmarkStart w:id="265" w:name="_Toc195842893"/>
      <w:r/>
      <w:bookmarkStart w:id="266" w:name="_Toc151193916"/>
      <w:r/>
      <w:bookmarkStart w:id="267" w:name="_Toc151193698"/>
      <w:r/>
      <w:bookmarkStart w:id="268" w:name="_Toc226965718"/>
      <w:r/>
      <w:bookmarkStart w:id="269" w:name="_Toc151193626"/>
      <w:r/>
      <w:bookmarkStart w:id="270" w:name="_Toc164229369"/>
      <w:r/>
      <w:bookmarkStart w:id="271" w:name="_Toc127151729"/>
      <w:r/>
      <w:bookmarkStart w:id="272" w:name="_Toc305158796"/>
      <w:r/>
      <w:bookmarkStart w:id="273" w:name="_Toc164608642"/>
      <w:r/>
      <w:bookmarkStart w:id="274" w:name="_Toc150509279"/>
      <w:r/>
      <w:bookmarkStart w:id="275" w:name="_Toc142311030"/>
      <w:r/>
      <w:bookmarkStart w:id="276" w:name="_Toc150774628"/>
      <w:r/>
      <w:bookmarkStart w:id="277" w:name="_Toc164351622"/>
      <w:r/>
      <w:bookmarkStart w:id="278" w:name="_Toc520356152"/>
      <w:r/>
      <w:bookmarkStart w:id="279" w:name="_Toc264969218"/>
      <w:r/>
      <w:bookmarkStart w:id="280" w:name="_Toc226337224"/>
      <w:r/>
      <w:bookmarkStart w:id="281" w:name="_Toc127161442"/>
      <w:r/>
      <w:bookmarkStart w:id="282" w:name="_Toc265228366"/>
      <w:r/>
      <w:bookmarkStart w:id="283" w:name="_Toc164608797"/>
      <w:r>
        <w:rPr>
          <w:rFonts w:hint="eastAsia"/>
          <w:sz w:val="24"/>
          <w:highlight w:val="none"/>
        </w:rPr>
        <w:t xml:space="preserve">10</w:t>
      </w:r>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10.3第四章《评标程序、评标方法和评标标准》中涉及的证明文件。</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10.5</w:t>
      </w:r>
      <w:r>
        <w:rPr>
          <w:rFonts w:hint="eastAsia"/>
          <w:sz w:val="24"/>
          <w:highlight w:val="none"/>
        </w:rPr>
        <w:t xml:space="preserve">投标人认为应附的其他材料。</w:t>
      </w:r>
      <w:r/>
    </w:p>
    <w:p>
      <w:pPr>
        <w:ind w:left="357" w:hanging="357"/>
        <w:spacing w:line="360" w:lineRule="auto"/>
        <w:tabs>
          <w:tab w:val="left" w:pos="360" w:leader="none"/>
        </w:tabs>
        <w:rPr>
          <w:sz w:val="24"/>
          <w:highlight w:val="none"/>
        </w:rPr>
        <w:outlineLvl w:val="1"/>
      </w:pPr>
      <w:r/>
      <w:bookmarkStart w:id="284" w:name="_Toc151193918"/>
      <w:r/>
      <w:bookmarkStart w:id="285" w:name="_Toc164608799"/>
      <w:r/>
      <w:bookmarkStart w:id="286" w:name="_Toc151190157"/>
      <w:r/>
      <w:bookmarkStart w:id="287" w:name="_Toc150509281"/>
      <w:r/>
      <w:bookmarkStart w:id="288" w:name="_Toc142311032"/>
      <w:r/>
      <w:bookmarkStart w:id="289" w:name="_Toc151193772"/>
      <w:r/>
      <w:bookmarkStart w:id="290" w:name="_Toc164229225"/>
      <w:r/>
      <w:bookmarkStart w:id="291" w:name="_Toc520356155"/>
      <w:r/>
      <w:bookmarkStart w:id="292" w:name="_Toc150480768"/>
      <w:r/>
      <w:bookmarkStart w:id="293" w:name="_Toc164351624"/>
      <w:r/>
      <w:bookmarkStart w:id="294" w:name="_Toc127151731"/>
      <w:r/>
      <w:bookmarkStart w:id="295" w:name="_Toc195842895"/>
      <w:r/>
      <w:bookmarkStart w:id="296" w:name="_Toc150774630"/>
      <w:r/>
      <w:bookmarkStart w:id="297" w:name="_Toc151193628"/>
      <w:r/>
      <w:bookmarkStart w:id="298" w:name="_Toc151193700"/>
      <w:r/>
      <w:bookmarkStart w:id="299" w:name="_Toc149720823"/>
      <w:r/>
      <w:bookmarkStart w:id="300" w:name="_Toc164608644"/>
      <w:r/>
      <w:bookmarkStart w:id="301" w:name="_Toc150774735"/>
      <w:r/>
      <w:bookmarkStart w:id="302" w:name="_Toc127151530"/>
      <w:r/>
      <w:bookmarkStart w:id="303" w:name="_Toc164229371"/>
      <w:r/>
      <w:bookmarkStart w:id="304" w:name="_Toc127161444"/>
      <w:r/>
      <w:bookmarkStart w:id="305" w:name="_Toc151193844"/>
      <w:r>
        <w:rPr>
          <w:rFonts w:hint="eastAsia"/>
          <w:sz w:val="24"/>
          <w:highlight w:val="none"/>
        </w:rPr>
        <w:t xml:space="preserve">11</w:t>
      </w:r>
      <w:r>
        <w:rPr>
          <w:sz w:val="24"/>
          <w:highlight w:val="none"/>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11.1所有投标均以下浮率报价。</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11.2.2按照招标文件要求完成本项目的全部相关服务费用。 </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11.3采购人不得向供应商索要或者接受其给予的赠品、回扣或者与采购无关的其他商品、服务。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rPr>
        <w:t xml:space="preserve">11.4投标人不能提供任何有选择性或可调整的报价，否则其</w:t>
      </w:r>
      <w:r>
        <w:rPr>
          <w:rFonts w:hint="eastAsia"/>
          <w:b/>
          <w:bCs/>
          <w:sz w:val="24"/>
          <w:highlight w:val="none"/>
        </w:rPr>
        <w:t xml:space="preserve">投标无效</w:t>
      </w:r>
      <w:r>
        <w:rPr>
          <w:rFonts w:hint="eastAsia"/>
          <w:sz w:val="24"/>
          <w:highlight w:val="none"/>
        </w:rPr>
        <w:t xml:space="preserve">。</w:t>
      </w:r>
      <w:r/>
    </w:p>
    <w:p>
      <w:pPr>
        <w:ind w:left="357" w:hanging="357"/>
        <w:spacing w:line="360" w:lineRule="auto"/>
        <w:tabs>
          <w:tab w:val="left" w:pos="360" w:leader="none"/>
        </w:tabs>
        <w:rPr>
          <w:sz w:val="24"/>
          <w:highlight w:val="none"/>
        </w:rPr>
        <w:outlineLvl w:val="1"/>
      </w:pPr>
      <w:r/>
      <w:bookmarkStart w:id="306" w:name="_Toc151193629"/>
      <w:r/>
      <w:bookmarkStart w:id="307" w:name="_Toc150509282"/>
      <w:r/>
      <w:bookmarkStart w:id="308" w:name="_Toc520356156"/>
      <w:r/>
      <w:bookmarkStart w:id="309" w:name="_Toc265228369"/>
      <w:r/>
      <w:bookmarkStart w:id="310" w:name="_Toc150774631"/>
      <w:r/>
      <w:bookmarkStart w:id="311" w:name="_Toc149720824"/>
      <w:r/>
      <w:bookmarkStart w:id="312" w:name="_Toc127151732"/>
      <w:r/>
      <w:bookmarkStart w:id="313" w:name="_Toc164608645"/>
      <w:r/>
      <w:bookmarkStart w:id="314" w:name="_Toc226309775"/>
      <w:r/>
      <w:bookmarkStart w:id="315" w:name="_Toc226965721"/>
      <w:r/>
      <w:bookmarkStart w:id="316" w:name="_Toc264969221"/>
      <w:r/>
      <w:bookmarkStart w:id="317" w:name="_Toc305158873"/>
      <w:r/>
      <w:bookmarkStart w:id="318" w:name="_Toc226337227"/>
      <w:r/>
      <w:bookmarkStart w:id="319" w:name="_Toc164229226"/>
      <w:r/>
      <w:bookmarkStart w:id="320" w:name="_Toc127161445"/>
      <w:r/>
      <w:bookmarkStart w:id="321" w:name="_Toc164608800"/>
      <w:r/>
      <w:bookmarkStart w:id="322" w:name="_Toc151193919"/>
      <w:r/>
      <w:bookmarkStart w:id="323" w:name="_Toc151190158"/>
      <w:r/>
      <w:bookmarkStart w:id="324" w:name="_Toc164229372"/>
      <w:r/>
      <w:bookmarkStart w:id="325" w:name="_Toc142311033"/>
      <w:r/>
      <w:bookmarkStart w:id="326" w:name="_Toc305158799"/>
      <w:r/>
      <w:bookmarkStart w:id="327" w:name="_Toc151193701"/>
      <w:r/>
      <w:bookmarkStart w:id="328" w:name="_Toc226965804"/>
      <w:r/>
      <w:bookmarkStart w:id="329" w:name="_Toc150480769"/>
      <w:r/>
      <w:bookmarkStart w:id="330" w:name="_Toc195842896"/>
      <w:r/>
      <w:bookmarkStart w:id="331" w:name="_Toc151193845"/>
      <w:r/>
      <w:bookmarkStart w:id="332" w:name="_Toc127151531"/>
      <w:r/>
      <w:bookmarkStart w:id="333" w:name="_Toc150774736"/>
      <w:r/>
      <w:bookmarkStart w:id="334" w:name="_Toc164351625"/>
      <w:r/>
      <w:bookmarkStart w:id="335" w:name="_Ref467306513"/>
      <w:r/>
      <w:bookmarkStart w:id="336" w:name="_Toc151193773"/>
      <w:r>
        <w:rPr>
          <w:rFonts w:hint="eastAsia"/>
          <w:sz w:val="24"/>
          <w:highlight w:val="none"/>
        </w:rPr>
        <w:t xml:space="preserve">12</w:t>
      </w:r>
      <w:r>
        <w:rPr>
          <w:sz w:val="24"/>
          <w:highlight w:val="none"/>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ind w:left="357" w:hanging="357"/>
        <w:spacing w:line="360" w:lineRule="auto"/>
        <w:tabs>
          <w:tab w:val="left" w:pos="360" w:leader="none"/>
        </w:tabs>
        <w:rPr>
          <w:sz w:val="24"/>
          <w:highlight w:val="none"/>
        </w:rPr>
        <w:outlineLvl w:val="1"/>
      </w:pPr>
      <w:r/>
      <w:bookmarkStart w:id="337" w:name="_Toc164351626"/>
      <w:r/>
      <w:bookmarkStart w:id="338" w:name="_Toc265228370"/>
      <w:r/>
      <w:bookmarkStart w:id="339" w:name="_Toc164608646"/>
      <w:r/>
      <w:bookmarkStart w:id="340" w:name="_Toc150480770"/>
      <w:r/>
      <w:bookmarkStart w:id="341" w:name="_Toc151193630"/>
      <w:r/>
      <w:bookmarkStart w:id="342" w:name="_Toc164229227"/>
      <w:r/>
      <w:bookmarkStart w:id="343" w:name="_Toc150509283"/>
      <w:r/>
      <w:bookmarkStart w:id="344" w:name="_Toc151193702"/>
      <w:r/>
      <w:bookmarkStart w:id="345" w:name="_Toc520356157"/>
      <w:r/>
      <w:bookmarkStart w:id="346" w:name="_Toc264969222"/>
      <w:r/>
      <w:bookmarkStart w:id="347" w:name="_Toc226965805"/>
      <w:r/>
      <w:bookmarkStart w:id="348" w:name="_Toc149720825"/>
      <w:r/>
      <w:bookmarkStart w:id="349" w:name="_Toc151190159"/>
      <w:r/>
      <w:bookmarkStart w:id="350" w:name="_Toc195842897"/>
      <w:r/>
      <w:bookmarkStart w:id="351" w:name="_Toc127151733"/>
      <w:r/>
      <w:bookmarkStart w:id="352" w:name="_Toc164608801"/>
      <w:r/>
      <w:bookmarkStart w:id="353" w:name="_Toc226965722"/>
      <w:r/>
      <w:bookmarkStart w:id="354" w:name="_Toc142311034"/>
      <w:r/>
      <w:bookmarkStart w:id="355" w:name="_Toc305158800"/>
      <w:r/>
      <w:bookmarkStart w:id="356" w:name="_Toc164229373"/>
      <w:r/>
      <w:bookmarkStart w:id="357" w:name="_Toc151193920"/>
      <w:r/>
      <w:bookmarkStart w:id="358" w:name="_Toc151193774"/>
      <w:r/>
      <w:bookmarkStart w:id="359" w:name="_Toc150774737"/>
      <w:r/>
      <w:bookmarkStart w:id="360" w:name="_Toc150774632"/>
      <w:r/>
      <w:bookmarkStart w:id="361" w:name="_Toc226309776"/>
      <w:r/>
      <w:bookmarkStart w:id="362" w:name="_Toc127151532"/>
      <w:r/>
      <w:bookmarkStart w:id="363" w:name="_Toc151193846"/>
      <w:r/>
      <w:bookmarkStart w:id="364" w:name="_Toc226337228"/>
      <w:r/>
      <w:bookmarkStart w:id="365" w:name="_Toc305158874"/>
      <w:r/>
      <w:bookmarkStart w:id="366" w:name="_Toc127161446"/>
      <w:r>
        <w:rPr>
          <w:rFonts w:hint="eastAsia"/>
          <w:sz w:val="24"/>
          <w:highlight w:val="none"/>
        </w:rPr>
        <w:t xml:space="preserve">13</w:t>
      </w:r>
      <w:r>
        <w:rPr>
          <w:sz w:val="24"/>
          <w:highlight w:val="none"/>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13.1投标</w:t>
      </w:r>
      <w:r>
        <w:rPr>
          <w:rFonts w:hint="eastAsia"/>
          <w:sz w:val="24"/>
          <w:highlight w:val="none"/>
        </w:rPr>
        <w:t xml:space="preserve">文件</w:t>
      </w:r>
      <w:r>
        <w:rPr>
          <w:sz w:val="24"/>
          <w:highlight w:val="none"/>
        </w:rPr>
        <w:t xml:space="preserve">应在本</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须知资料表》中规定的投标有效期内保持有效，投标有效期少于</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规定期限的，其</w:t>
      </w:r>
      <w:r>
        <w:rPr>
          <w:b/>
          <w:sz w:val="24"/>
          <w:highlight w:val="none"/>
        </w:rPr>
        <w:t xml:space="preserve">投标无效</w:t>
      </w:r>
      <w:r>
        <w:rPr>
          <w:sz w:val="24"/>
          <w:highlight w:val="none"/>
        </w:rPr>
        <w:t xml:space="preserve">。</w:t>
      </w:r>
      <w:r/>
    </w:p>
    <w:p>
      <w:pPr>
        <w:ind w:left="357" w:hanging="357"/>
        <w:spacing w:line="360" w:lineRule="auto"/>
        <w:tabs>
          <w:tab w:val="left" w:pos="360" w:leader="none"/>
        </w:tabs>
        <w:rPr>
          <w:sz w:val="24"/>
          <w:highlight w:val="none"/>
        </w:rPr>
        <w:outlineLvl w:val="1"/>
      </w:pPr>
      <w:r/>
      <w:bookmarkStart w:id="367" w:name="_Toc226965723"/>
      <w:r/>
      <w:bookmarkStart w:id="368" w:name="_Toc226309777"/>
      <w:r/>
      <w:bookmarkStart w:id="369" w:name="_Toc127161447"/>
      <w:r/>
      <w:bookmarkStart w:id="370" w:name="_Toc226965806"/>
      <w:r/>
      <w:bookmarkStart w:id="371" w:name="_Toc127151533"/>
      <w:r/>
      <w:bookmarkStart w:id="372" w:name="_Toc520356158"/>
      <w:r/>
      <w:bookmarkStart w:id="373" w:name="_Toc264969223"/>
      <w:r/>
      <w:bookmarkStart w:id="374" w:name="_Toc305158801"/>
      <w:r/>
      <w:bookmarkStart w:id="375" w:name="_Toc164608802"/>
      <w:r/>
      <w:bookmarkStart w:id="376" w:name="_Toc151193631"/>
      <w:r/>
      <w:bookmarkStart w:id="377" w:name="_Toc127151734"/>
      <w:r/>
      <w:bookmarkStart w:id="378" w:name="_Toc164351627"/>
      <w:r/>
      <w:bookmarkStart w:id="379" w:name="_Toc150774633"/>
      <w:r/>
      <w:bookmarkStart w:id="380" w:name="_Toc142311035"/>
      <w:r/>
      <w:bookmarkStart w:id="381" w:name="_Toc151193775"/>
      <w:r/>
      <w:bookmarkStart w:id="382" w:name="_Toc150509284"/>
      <w:r/>
      <w:bookmarkStart w:id="383" w:name="_Toc150480771"/>
      <w:r/>
      <w:bookmarkStart w:id="384" w:name="_Toc195842898"/>
      <w:r/>
      <w:bookmarkStart w:id="385" w:name="_Toc151193703"/>
      <w:r/>
      <w:bookmarkStart w:id="386" w:name="_Toc226337229"/>
      <w:r/>
      <w:bookmarkStart w:id="387" w:name="_Toc164229374"/>
      <w:r/>
      <w:bookmarkStart w:id="388" w:name="_Toc265228371"/>
      <w:r/>
      <w:bookmarkStart w:id="389" w:name="_Toc164229228"/>
      <w:r/>
      <w:bookmarkStart w:id="390" w:name="_Toc164608647"/>
      <w:r/>
      <w:bookmarkStart w:id="391" w:name="_Toc151193921"/>
      <w:r/>
      <w:bookmarkStart w:id="392" w:name="_Toc305158875"/>
      <w:r/>
      <w:bookmarkStart w:id="393" w:name="_Toc149720826"/>
      <w:r/>
      <w:bookmarkStart w:id="394" w:name="_Toc150774738"/>
      <w:r/>
      <w:bookmarkStart w:id="395" w:name="_Toc151193847"/>
      <w:r/>
      <w:bookmarkStart w:id="396" w:name="_Toc151190160"/>
      <w:r>
        <w:rPr>
          <w:rFonts w:hint="eastAsia"/>
          <w:sz w:val="24"/>
          <w:highlight w:val="none"/>
        </w:rPr>
        <w:t xml:space="preserve">14</w:t>
      </w:r>
      <w:r>
        <w:rPr>
          <w:sz w:val="24"/>
          <w:highlight w:val="none"/>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highlight w:val="none"/>
        </w:rPr>
        <w:t xml:space="preserve">、加盖公章</w:t>
      </w:r>
      <w:r/>
    </w:p>
    <w:p>
      <w:pPr>
        <w:numPr>
          <w:ilvl w:val="1"/>
          <w:numId w:val="0"/>
        </w:numPr>
        <w:ind w:firstLine="480"/>
        <w:spacing w:line="360" w:lineRule="auto"/>
        <w:tabs>
          <w:tab w:val="left" w:pos="1080" w:leader="none"/>
          <w:tab w:val="left" w:pos="2014" w:leader="none"/>
        </w:tabs>
        <w:rPr>
          <w:rFonts w:hint="eastAsia"/>
          <w:sz w:val="24"/>
          <w:highlight w:val="none"/>
        </w:rPr>
      </w:pPr>
      <w:r/>
      <w:bookmarkStart w:id="397" w:name="_Toc226337230"/>
      <w:r/>
      <w:bookmarkStart w:id="398" w:name="_Toc226309778"/>
      <w:r/>
      <w:bookmarkStart w:id="399" w:name="_Toc151193848"/>
      <w:r/>
      <w:bookmarkStart w:id="400" w:name="_Toc226965724"/>
      <w:r/>
      <w:bookmarkStart w:id="401" w:name="_Toc305158876"/>
      <w:r/>
      <w:bookmarkStart w:id="402" w:name="_Toc150509285"/>
      <w:r/>
      <w:bookmarkStart w:id="403" w:name="_Toc151193922"/>
      <w:r/>
      <w:bookmarkStart w:id="404" w:name="_Toc265228372"/>
      <w:r/>
      <w:bookmarkStart w:id="405" w:name="_Toc195842899"/>
      <w:r/>
      <w:bookmarkStart w:id="406" w:name="_Toc142311036"/>
      <w:r/>
      <w:bookmarkStart w:id="407" w:name="_Toc151193776"/>
      <w:r/>
      <w:bookmarkStart w:id="408" w:name="_Toc151190161"/>
      <w:r/>
      <w:bookmarkStart w:id="409" w:name="_Toc150480772"/>
      <w:r/>
      <w:bookmarkStart w:id="410" w:name="_Toc520356159"/>
      <w:r/>
      <w:bookmarkStart w:id="411" w:name="_Toc150774739"/>
      <w:r/>
      <w:bookmarkStart w:id="412" w:name="_Toc305158802"/>
      <w:r/>
      <w:bookmarkStart w:id="413" w:name="_Toc151193704"/>
      <w:r/>
      <w:bookmarkStart w:id="414" w:name="_Toc151193632"/>
      <w:r/>
      <w:bookmarkStart w:id="415" w:name="_Toc150774634"/>
      <w:r/>
      <w:bookmarkStart w:id="416" w:name="_Toc127151534"/>
      <w:r/>
      <w:bookmarkStart w:id="417" w:name="_Toc264969224"/>
      <w:r/>
      <w:bookmarkStart w:id="418" w:name="_Toc226965807"/>
      <w:r>
        <w:rPr>
          <w:rFonts w:hint="eastAsia"/>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14.2</w:t>
      </w:r>
      <w:r>
        <w:rPr>
          <w:rFonts w:hint="eastAsia"/>
          <w:sz w:val="24"/>
          <w:highlight w:val="none"/>
        </w:rPr>
        <w:t xml:space="preserve">招标文件要求加盖公章的内容，一般通过投标文件编制工具加盖电子签章。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99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left="357" w:hanging="357"/>
        <w:spacing w:line="360" w:lineRule="auto"/>
        <w:tabs>
          <w:tab w:val="left" w:pos="360" w:leader="none"/>
        </w:tabs>
        <w:rPr>
          <w:sz w:val="24"/>
          <w:highlight w:val="none"/>
        </w:rPr>
        <w:outlineLvl w:val="1"/>
      </w:pPr>
      <w:r/>
      <w:bookmarkStart w:id="419" w:name="_Toc164229376"/>
      <w:r/>
      <w:bookmarkStart w:id="420" w:name="_Toc164351629"/>
      <w:r/>
      <w:bookmarkStart w:id="421" w:name="_Toc226309779"/>
      <w:r/>
      <w:bookmarkStart w:id="422" w:name="_Toc127151736"/>
      <w:r/>
      <w:bookmarkStart w:id="423" w:name="_Toc149720828"/>
      <w:r/>
      <w:bookmarkStart w:id="424" w:name="_Toc195842900"/>
      <w:r/>
      <w:bookmarkStart w:id="425" w:name="_Toc226965808"/>
      <w:r/>
      <w:bookmarkStart w:id="426" w:name="_Toc150774635"/>
      <w:r/>
      <w:bookmarkStart w:id="427" w:name="_Toc151193705"/>
      <w:r/>
      <w:bookmarkStart w:id="428" w:name="_Toc264969225"/>
      <w:r/>
      <w:bookmarkStart w:id="429" w:name="_Toc151193633"/>
      <w:r/>
      <w:bookmarkStart w:id="430" w:name="_Toc164229230"/>
      <w:r/>
      <w:bookmarkStart w:id="431" w:name="_Toc520356160"/>
      <w:r/>
      <w:bookmarkStart w:id="432" w:name="_Toc150480773"/>
      <w:r/>
      <w:bookmarkStart w:id="433" w:name="_Toc265228373"/>
      <w:r/>
      <w:bookmarkStart w:id="434" w:name="_Toc226337231"/>
      <w:r/>
      <w:bookmarkStart w:id="435" w:name="_Toc150509286"/>
      <w:r/>
      <w:bookmarkStart w:id="436" w:name="_Toc151193777"/>
      <w:r/>
      <w:bookmarkStart w:id="437" w:name="_Toc164608649"/>
      <w:r/>
      <w:bookmarkStart w:id="438" w:name="_Toc164608804"/>
      <w:r/>
      <w:bookmarkStart w:id="439" w:name="_Toc226965725"/>
      <w:r/>
      <w:bookmarkStart w:id="440" w:name="_Toc151193923"/>
      <w:r/>
      <w:bookmarkStart w:id="441" w:name="_Toc150774740"/>
      <w:r/>
      <w:bookmarkStart w:id="442" w:name="_Toc305158877"/>
      <w:r/>
      <w:bookmarkStart w:id="443" w:name="_Toc142311037"/>
      <w:r/>
      <w:bookmarkStart w:id="444" w:name="_Toc127151535"/>
      <w:r/>
      <w:bookmarkStart w:id="445" w:name="_Toc127161449"/>
      <w:r/>
      <w:bookmarkStart w:id="446" w:name="_Toc151193849"/>
      <w:r/>
      <w:bookmarkStart w:id="447" w:name="_Toc305158803"/>
      <w:r/>
      <w:bookmarkStart w:id="448" w:name="_Toc151190162"/>
      <w:r>
        <w:rPr>
          <w:rFonts w:hint="eastAsia"/>
          <w:sz w:val="24"/>
          <w:highlight w:val="none"/>
        </w:rPr>
        <w:t xml:space="preserve">15</w:t>
      </w:r>
      <w:r>
        <w:rPr>
          <w:sz w:val="24"/>
          <w:highlight w:val="none"/>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highlight w:val="none"/>
        </w:rPr>
        <w:t xml:space="preserve">提交</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15.1本项目使用“苏采云”政府采购一体化平台。投标人根据招标文件及“苏采云”政府采购一体化平台供应商操作手册要求编制、生成并提交电子投标文件。</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15.2采购人及采购代理机构拒绝接受通过“苏采云”政府采购一体化平台以外任何形式提交的投标文件。</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16投标截止时间</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16.1投标人应在招标文件要求提交投标文件截止时间前，将电子投标文件提交至“苏采云”政府采购一体化平台。</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17投标文件的修改与撤回</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17.1投标截止时间前，投标人可以通过“苏采云”政府采购一体化平台对所提交的投标文件进行补充、修改或者撤回。</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17.2</w:t>
      </w:r>
      <w:r>
        <w:rPr>
          <w:rFonts w:hint="eastAsia"/>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991"/>
        <w:spacing w:before="0" w:line="360" w:lineRule="auto"/>
        <w:rPr>
          <w:rFonts w:ascii="Times New Roman" w:hAnsi="Times New Roman" w:eastAsia="宋体"/>
          <w:sz w:val="28"/>
          <w:highlight w:val="none"/>
        </w:rPr>
      </w:pPr>
      <w:r/>
      <w:bookmarkStart w:id="449" w:name="_Toc151190165"/>
      <w:r/>
      <w:bookmarkStart w:id="450" w:name="_Toc127151538"/>
      <w:r/>
      <w:bookmarkStart w:id="451" w:name="_Toc151193926"/>
      <w:r/>
      <w:bookmarkStart w:id="452" w:name="_Toc226965728"/>
      <w:r/>
      <w:bookmarkStart w:id="453" w:name="_Toc195842903"/>
      <w:r/>
      <w:bookmarkStart w:id="454" w:name="_Toc151193852"/>
      <w:r/>
      <w:bookmarkStart w:id="455" w:name="_Toc305158806"/>
      <w:r/>
      <w:bookmarkStart w:id="456" w:name="_Toc151193636"/>
      <w:r/>
      <w:bookmarkStart w:id="457" w:name="_Toc264969228"/>
      <w:r/>
      <w:bookmarkStart w:id="458" w:name="_Toc226965811"/>
      <w:r/>
      <w:bookmarkStart w:id="459" w:name="_Toc150774743"/>
      <w:r/>
      <w:bookmarkStart w:id="460" w:name="_Toc151193708"/>
      <w:r/>
      <w:bookmarkStart w:id="461" w:name="_Toc150774638"/>
      <w:r/>
      <w:bookmarkStart w:id="462" w:name="_Toc520356163"/>
      <w:r/>
      <w:bookmarkStart w:id="463" w:name="_Toc305158880"/>
      <w:r/>
      <w:bookmarkStart w:id="464" w:name="_Toc150509289"/>
      <w:r/>
      <w:bookmarkStart w:id="465" w:name="_Toc150480776"/>
      <w:r/>
      <w:bookmarkStart w:id="466" w:name="_Toc265228376"/>
      <w:r/>
      <w:bookmarkStart w:id="467" w:name="_Toc151193780"/>
      <w:r/>
      <w:bookmarkStart w:id="468" w:name="_Toc226337234"/>
      <w:r/>
      <w:bookmarkStart w:id="469" w:name="_Toc142311040"/>
      <w:r/>
      <w:bookmarkStart w:id="470" w:name="_Toc226309782"/>
      <w:r>
        <w:rPr>
          <w:rFonts w:ascii="Times New Roman" w:hAnsi="Times New Roman" w:eastAsia="宋体"/>
          <w:sz w:val="28"/>
          <w:highlight w:val="none"/>
        </w:rPr>
        <w:t xml:space="preserve">五   开标、资格审查及评标</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left="357" w:hanging="357"/>
        <w:spacing w:line="360" w:lineRule="auto"/>
        <w:tabs>
          <w:tab w:val="left" w:pos="360" w:leader="none"/>
        </w:tabs>
        <w:rPr>
          <w:sz w:val="24"/>
          <w:highlight w:val="none"/>
        </w:rPr>
        <w:outlineLvl w:val="1"/>
      </w:pPr>
      <w:r/>
      <w:bookmarkStart w:id="471" w:name="_Toc151193781"/>
      <w:r/>
      <w:bookmarkStart w:id="472" w:name="_Toc164608808"/>
      <w:r/>
      <w:bookmarkStart w:id="473" w:name="_Toc151190166"/>
      <w:r/>
      <w:bookmarkStart w:id="474" w:name="_Toc164608653"/>
      <w:r/>
      <w:bookmarkStart w:id="475" w:name="_Toc226965729"/>
      <w:r/>
      <w:bookmarkStart w:id="476" w:name="_Toc305158881"/>
      <w:r/>
      <w:bookmarkStart w:id="477" w:name="_Toc265228377"/>
      <w:r/>
      <w:bookmarkStart w:id="478" w:name="_Toc164229234"/>
      <w:r/>
      <w:bookmarkStart w:id="479" w:name="_Toc127151539"/>
      <w:r/>
      <w:bookmarkStart w:id="480" w:name="_Toc150509290"/>
      <w:r/>
      <w:bookmarkStart w:id="481" w:name="_Toc305158807"/>
      <w:r/>
      <w:bookmarkStart w:id="482" w:name="_Toc127161453"/>
      <w:r/>
      <w:bookmarkStart w:id="483" w:name="_Toc149720832"/>
      <w:r/>
      <w:bookmarkStart w:id="484" w:name="_Toc151193927"/>
      <w:r/>
      <w:bookmarkStart w:id="485" w:name="_Toc226309783"/>
      <w:r/>
      <w:bookmarkStart w:id="486" w:name="_Toc151193709"/>
      <w:r/>
      <w:bookmarkStart w:id="487" w:name="_Toc264969229"/>
      <w:r/>
      <w:bookmarkStart w:id="488" w:name="_Toc164351633"/>
      <w:r/>
      <w:bookmarkStart w:id="489" w:name="_Toc142311041"/>
      <w:r/>
      <w:bookmarkStart w:id="490" w:name="_Toc164229380"/>
      <w:r/>
      <w:bookmarkStart w:id="491" w:name="_Toc195842904"/>
      <w:r/>
      <w:bookmarkStart w:id="492" w:name="_Toc151193637"/>
      <w:r/>
      <w:bookmarkStart w:id="493" w:name="_Toc226965812"/>
      <w:r/>
      <w:bookmarkStart w:id="494" w:name="_Toc520356164"/>
      <w:r/>
      <w:bookmarkStart w:id="495" w:name="_Toc150774744"/>
      <w:r/>
      <w:bookmarkStart w:id="496" w:name="_Toc150774639"/>
      <w:r/>
      <w:bookmarkStart w:id="497" w:name="_Toc226337235"/>
      <w:r/>
      <w:bookmarkStart w:id="498" w:name="_Toc150480777"/>
      <w:r/>
      <w:bookmarkStart w:id="499" w:name="_Toc151193853"/>
      <w:r/>
      <w:bookmarkStart w:id="500" w:name="_Toc127151740"/>
      <w:r>
        <w:rPr>
          <w:rFonts w:hint="eastAsia"/>
          <w:sz w:val="24"/>
          <w:highlight w:val="none"/>
        </w:rPr>
        <w:t xml:space="preserve">18</w:t>
      </w:r>
      <w:r>
        <w:rPr>
          <w:sz w:val="24"/>
          <w:highlight w:val="none"/>
        </w:rPr>
        <w:t xml:space="preserve">开标</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80"/>
        <w:spacing w:line="360" w:lineRule="auto"/>
        <w:tabs>
          <w:tab w:val="left" w:pos="1080" w:leader="none"/>
          <w:tab w:val="left" w:pos="1589" w:leader="none"/>
          <w:tab w:val="left" w:pos="2014" w:leader="none"/>
        </w:tabs>
        <w:rPr>
          <w:rFonts w:hint="eastAsia"/>
          <w:sz w:val="24"/>
          <w:highlight w:val="none"/>
        </w:rPr>
      </w:pPr>
      <w:r/>
      <w:bookmarkStart w:id="501" w:name="_Toc520356165"/>
      <w:r>
        <w:rPr>
          <w:rFonts w:hint="eastAsia"/>
          <w:sz w:val="24"/>
          <w:highlight w:val="none"/>
        </w:rPr>
        <w:t xml:space="preserve">18.1采购人或采购代理机构将按招标文件的规定，在投标截止时间的同一时间和招标文件预先确定的地点组织开标。</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b/>
          <w:bCs/>
          <w:sz w:val="24"/>
          <w:highlight w:val="none"/>
        </w:rPr>
        <w:t xml:space="preserve">投标无效</w:t>
      </w:r>
      <w:r>
        <w:rPr>
          <w:rFonts w:hint="eastAsia"/>
          <w:sz w:val="24"/>
          <w:highlight w:val="none"/>
        </w:rPr>
        <w:t xml:space="preserve">。</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18.5投标人不足3家的，不予开标。</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1)平台系统发生故障而无法登录访问的；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2)平台系统应用或数据库出现错误，不能进行正常操作的；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3)平台系统发现严重安全漏洞，有潜在泄密危险的；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4)病毒发作导致平台系统不能进行正常操作的；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5)其他无法保证本次采购活动的公平、公正和安全的情况。</w:t>
      </w:r>
      <w:r/>
    </w:p>
    <w:p>
      <w:pPr>
        <w:ind w:firstLine="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357" w:hanging="357"/>
        <w:spacing w:line="360" w:lineRule="auto"/>
        <w:tabs>
          <w:tab w:val="left" w:pos="360" w:leader="none"/>
        </w:tabs>
        <w:rPr>
          <w:sz w:val="24"/>
          <w:highlight w:val="none"/>
        </w:rPr>
        <w:outlineLvl w:val="1"/>
      </w:pPr>
      <w:r>
        <w:rPr>
          <w:rFonts w:hint="eastAsia"/>
          <w:sz w:val="24"/>
          <w:highlight w:val="none"/>
        </w:rPr>
        <w:t xml:space="preserve">19</w:t>
      </w:r>
      <w:r>
        <w:rPr>
          <w:sz w:val="24"/>
          <w:highlight w:val="none"/>
        </w:rPr>
        <w:t xml:space="preserve">资格审查</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19.1见第三章《资格审查》。</w:t>
      </w:r>
      <w:bookmarkEnd w:id="501"/>
      <w:r/>
      <w:r/>
    </w:p>
    <w:p>
      <w:pPr>
        <w:ind w:left="357" w:hanging="357"/>
        <w:spacing w:line="360" w:lineRule="auto"/>
        <w:tabs>
          <w:tab w:val="left" w:pos="360" w:leader="none"/>
        </w:tabs>
        <w:rPr>
          <w:sz w:val="24"/>
          <w:highlight w:val="none"/>
        </w:rPr>
        <w:outlineLvl w:val="1"/>
      </w:pPr>
      <w:r/>
      <w:bookmarkStart w:id="502" w:name="_Toc305158808"/>
      <w:r/>
      <w:bookmarkStart w:id="503" w:name="_Toc226965813"/>
      <w:r/>
      <w:bookmarkStart w:id="504" w:name="_Toc151193928"/>
      <w:r/>
      <w:bookmarkStart w:id="505" w:name="_Toc150774745"/>
      <w:r/>
      <w:bookmarkStart w:id="506" w:name="_Toc164229381"/>
      <w:r/>
      <w:bookmarkStart w:id="507" w:name="_Toc151193854"/>
      <w:r/>
      <w:bookmarkStart w:id="508" w:name="_Toc151193638"/>
      <w:r/>
      <w:bookmarkStart w:id="509" w:name="_Toc226965730"/>
      <w:r/>
      <w:bookmarkStart w:id="510" w:name="_Toc127151540"/>
      <w:r/>
      <w:bookmarkStart w:id="511" w:name="_Toc164608809"/>
      <w:r/>
      <w:bookmarkStart w:id="512" w:name="_Toc149720833"/>
      <w:r/>
      <w:bookmarkStart w:id="513" w:name="_Toc164608654"/>
      <w:r/>
      <w:bookmarkStart w:id="514" w:name="_Toc127161454"/>
      <w:r/>
      <w:bookmarkStart w:id="515" w:name="_Toc127151741"/>
      <w:r/>
      <w:bookmarkStart w:id="516" w:name="_Toc195842905"/>
      <w:r/>
      <w:bookmarkStart w:id="517" w:name="_Toc150480778"/>
      <w:r/>
      <w:bookmarkStart w:id="518" w:name="_Toc142311042"/>
      <w:r/>
      <w:bookmarkStart w:id="519" w:name="_Toc150509291"/>
      <w:r/>
      <w:bookmarkStart w:id="520" w:name="_Toc305158882"/>
      <w:r/>
      <w:bookmarkStart w:id="521" w:name="_Toc226309784"/>
      <w:r/>
      <w:bookmarkStart w:id="522" w:name="_Toc226337236"/>
      <w:r/>
      <w:bookmarkStart w:id="523" w:name="_Toc265228378"/>
      <w:r/>
      <w:bookmarkStart w:id="524" w:name="_Toc264969230"/>
      <w:r/>
      <w:bookmarkStart w:id="525" w:name="_Toc150774640"/>
      <w:r/>
      <w:bookmarkStart w:id="526" w:name="_Toc164351634"/>
      <w:r/>
      <w:bookmarkStart w:id="527" w:name="_Toc151193710"/>
      <w:r/>
      <w:bookmarkStart w:id="528" w:name="_Toc151193782"/>
      <w:r/>
      <w:bookmarkStart w:id="529" w:name="_Toc151190167"/>
      <w:r/>
      <w:bookmarkStart w:id="530" w:name="_Toc164229235"/>
      <w:r>
        <w:rPr>
          <w:rFonts w:hint="eastAsia"/>
          <w:sz w:val="24"/>
          <w:highlight w:val="none"/>
        </w:rPr>
        <w:t xml:space="preserve">20</w:t>
      </w:r>
      <w:r>
        <w:rPr>
          <w:sz w:val="24"/>
          <w:highlight w:val="none"/>
        </w:rPr>
        <w:t xml:space="preserve">评标委员会</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20.1评标委员会根据政府采购有关规定和本次招标采购项目的特点进行组建，并负责具体评标事务，独立履行职责。</w:t>
      </w:r>
      <w:bookmarkStart w:id="531" w:name="_Toc520356166"/>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20.2评审专家须符合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31"/>
      <w:r/>
      <w:bookmarkStart w:id="532" w:name="_Toc520356169"/>
      <w:r/>
      <w:r/>
    </w:p>
    <w:p>
      <w:pPr>
        <w:ind w:left="357" w:hanging="357"/>
        <w:spacing w:line="360" w:lineRule="auto"/>
        <w:tabs>
          <w:tab w:val="left" w:pos="360" w:leader="none"/>
        </w:tabs>
        <w:rPr>
          <w:sz w:val="24"/>
          <w:highlight w:val="none"/>
        </w:rPr>
        <w:outlineLvl w:val="1"/>
      </w:pPr>
      <w:r>
        <w:rPr>
          <w:rFonts w:hint="eastAsia"/>
          <w:sz w:val="24"/>
          <w:highlight w:val="none"/>
        </w:rPr>
        <w:t xml:space="preserve">21</w:t>
      </w:r>
      <w:r>
        <w:rPr>
          <w:sz w:val="24"/>
          <w:highlight w:val="none"/>
        </w:rPr>
        <w:t xml:space="preserve">评标程序、评标方法和评标标准</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21.1见第四章《评标程序、评标方法和评标标准》。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991"/>
        <w:spacing w:before="0" w:line="360" w:lineRule="auto"/>
        <w:rPr>
          <w:rFonts w:ascii="Times New Roman" w:hAnsi="Times New Roman" w:eastAsia="宋体"/>
          <w:sz w:val="28"/>
          <w:highlight w:val="none"/>
        </w:rPr>
      </w:pPr>
      <w:r/>
      <w:bookmarkStart w:id="533" w:name="_Toc150774750"/>
      <w:r/>
      <w:bookmarkStart w:id="534" w:name="_Toc151193787"/>
      <w:r/>
      <w:bookmarkStart w:id="535" w:name="_Toc150509296"/>
      <w:r/>
      <w:bookmarkStart w:id="536" w:name="_Toc264969235"/>
      <w:r/>
      <w:bookmarkStart w:id="537" w:name="_Toc151193933"/>
      <w:r/>
      <w:bookmarkStart w:id="538" w:name="_Toc150480783"/>
      <w:r/>
      <w:bookmarkStart w:id="539" w:name="_Toc127151545"/>
      <w:r/>
      <w:bookmarkStart w:id="540" w:name="_Toc305158887"/>
      <w:r/>
      <w:bookmarkStart w:id="541" w:name="_Toc151190172"/>
      <w:r/>
      <w:bookmarkStart w:id="542" w:name="_Toc151193715"/>
      <w:r/>
      <w:bookmarkStart w:id="543" w:name="_Toc195842910"/>
      <w:r/>
      <w:bookmarkStart w:id="544" w:name="_Toc151193859"/>
      <w:r/>
      <w:bookmarkStart w:id="545" w:name="_Toc305158813"/>
      <w:r/>
      <w:bookmarkStart w:id="546" w:name="_Toc151193643"/>
      <w:r/>
      <w:bookmarkStart w:id="547" w:name="_Toc142311047"/>
      <w:r/>
      <w:bookmarkStart w:id="548" w:name="_Toc150774645"/>
      <w:r/>
      <w:bookmarkStart w:id="549" w:name="_Toc226965818"/>
      <w:r/>
      <w:bookmarkStart w:id="550" w:name="_Toc226337241"/>
      <w:r/>
      <w:bookmarkStart w:id="551" w:name="_Toc226309789"/>
      <w:r/>
      <w:bookmarkStart w:id="552" w:name="_Toc226965735"/>
      <w:r/>
      <w:bookmarkStart w:id="553" w:name="_Toc265228383"/>
      <w:r>
        <w:rPr>
          <w:rFonts w:ascii="Times New Roman" w:hAnsi="Times New Roman" w:eastAsia="宋体"/>
          <w:sz w:val="28"/>
          <w:highlight w:val="none"/>
        </w:rPr>
        <w:t xml:space="preserve">六   </w:t>
      </w:r>
      <w:bookmarkEnd w:id="532"/>
      <w:r>
        <w:rPr>
          <w:rFonts w:ascii="Times New Roman" w:hAnsi="Times New Roman" w:eastAsia="宋体"/>
          <w:sz w:val="28"/>
          <w:highlight w:val="none"/>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50480785"/>
      <w:r/>
      <w:bookmarkStart w:id="555" w:name="_Toc164608661"/>
      <w:r/>
      <w:bookmarkStart w:id="556" w:name="_Toc305158889"/>
      <w:r/>
      <w:bookmarkStart w:id="557" w:name="_Toc151193935"/>
      <w:r/>
      <w:bookmarkStart w:id="558" w:name="_Toc151193645"/>
      <w:r/>
      <w:bookmarkStart w:id="559" w:name="_Toc127151547"/>
      <w:r/>
      <w:bookmarkStart w:id="560" w:name="_Toc151190174"/>
      <w:r/>
      <w:bookmarkStart w:id="561" w:name="_Toc150774647"/>
      <w:r/>
      <w:bookmarkStart w:id="562" w:name="_Toc151193789"/>
      <w:r/>
      <w:bookmarkStart w:id="563" w:name="_Toc226965737"/>
      <w:r/>
      <w:bookmarkStart w:id="564" w:name="_Toc164351641"/>
      <w:r/>
      <w:bookmarkStart w:id="565" w:name="_Toc195842912"/>
      <w:r/>
      <w:bookmarkStart w:id="566" w:name="_Toc127161461"/>
      <w:r/>
      <w:bookmarkStart w:id="567" w:name="_Toc127151748"/>
      <w:r/>
      <w:bookmarkStart w:id="568" w:name="_Toc226309791"/>
      <w:r/>
      <w:bookmarkStart w:id="569" w:name="_Toc264969237"/>
      <w:r/>
      <w:bookmarkStart w:id="570" w:name="_Toc265228385"/>
      <w:r/>
      <w:bookmarkStart w:id="571" w:name="_Toc149720840"/>
      <w:r/>
      <w:bookmarkStart w:id="572" w:name="_Toc226337243"/>
      <w:r/>
      <w:bookmarkStart w:id="573" w:name="_Toc150509298"/>
      <w:r/>
      <w:bookmarkStart w:id="574" w:name="_Toc226965820"/>
      <w:r/>
      <w:bookmarkStart w:id="575" w:name="_Toc164229388"/>
      <w:r/>
      <w:bookmarkStart w:id="576" w:name="_Toc151193717"/>
      <w:r/>
      <w:bookmarkStart w:id="577" w:name="_Toc150774752"/>
      <w:r/>
      <w:bookmarkStart w:id="578" w:name="_Toc142311049"/>
      <w:r/>
      <w:bookmarkStart w:id="579" w:name="_Toc305158815"/>
      <w:r/>
      <w:bookmarkStart w:id="580" w:name="_Toc164229242"/>
      <w:r/>
      <w:bookmarkStart w:id="581" w:name="_Toc164608816"/>
      <w:r/>
      <w:bookmarkStart w:id="582" w:name="_Toc151193861"/>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22确定中标人</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22.1采购人将在评标报告确定的中标候选人名单中按顺序确定中标人，中标候选人并列的，由采购人依法确定。</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23中标公告与中标通知书</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23.1采购人或采购代理机构自中标人确定之日起2个工作日内，在苏采云公告中标结果，同时向中标人发出中标通知书，中标公告期限为1个工作日。</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23.2中标通知书对采购人和中标供应商均具有法律效力。中标通知书发出后，采购人改变中标结果的，或者中标供应商放弃中标项目的，应当依法承担法律责任。</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24废标</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24.1在招标采购中，出现下列情形之一的，应予废标：</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24.1.1符合专业条件的供应商或者对招标文件作实质响应的供应商不足三家的；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24.1.2出现影响采购公正的违法、违规行为的；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24.1.3投标人的报价均超过了采购预算，采购人不能支付的；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24.1.4因重大变故，采购任务取消的。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24.1.5平台系统出现序号18.8的所述情形，情况严重且影响采购活动公平、公正性的。</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24.2废标后，采购人将废标理由通知所有投标人。</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25签订合同</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25.2中标人拒绝与采购人签订合同的，采购人可以按照评标报告推荐的中标候选人名单排序，确定下一候选人为中标人，也可以重新开展政府采购活动。</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25.3联合体中标的，联合体各方应当共同与采购人签订合同，就中标项目向采购人承担连带责任。</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25.4政府采购合同不能转包。</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b/>
          <w:bCs/>
          <w:sz w:val="24"/>
          <w:highlight w:val="none"/>
        </w:rPr>
        <w:t xml:space="preserve">投标无效</w:t>
      </w:r>
      <w:r>
        <w:rPr>
          <w:rFonts w:hint="eastAsia"/>
          <w:sz w:val="24"/>
          <w:highlight w:val="none"/>
        </w:rPr>
        <w:t xml:space="preserve">。中标人就采购项目和分包项目向采购人负责，分包供应商就分包项目承担责任。</w:t>
      </w:r>
      <w:r/>
    </w:p>
    <w:p>
      <w:pPr>
        <w:ind w:left="357" w:hanging="357"/>
        <w:spacing w:line="360" w:lineRule="auto"/>
        <w:tabs>
          <w:tab w:val="left" w:pos="360" w:leader="none"/>
        </w:tabs>
        <w:rPr>
          <w:sz w:val="24"/>
          <w:highlight w:val="none"/>
        </w:rPr>
        <w:outlineLvl w:val="1"/>
      </w:pPr>
      <w:r>
        <w:rPr>
          <w:rFonts w:hint="eastAsia"/>
          <w:sz w:val="24"/>
          <w:highlight w:val="none"/>
        </w:rPr>
        <w:t xml:space="preserve">26</w:t>
      </w:r>
      <w:r>
        <w:rPr>
          <w:sz w:val="24"/>
          <w:highlight w:val="none"/>
        </w:rPr>
        <w:t xml:space="preserve">询问与质疑</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26.1询问</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26.1.1投标人对政府采购活动事项有疑问的，可依法提出询问，并按《投标人须知资料表》载明的形式送达采购人或采购代理机构。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26.2质疑</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26.2.1投标人认为</w:t>
      </w:r>
      <w:r>
        <w:rPr>
          <w:rFonts w:hint="eastAsia"/>
          <w:sz w:val="24"/>
          <w:highlight w:val="none"/>
          <w:lang w:val="en-US" w:eastAsia="zh-CN"/>
        </w:rPr>
        <w:t xml:space="preserve">招标</w:t>
      </w:r>
      <w:r>
        <w:rPr>
          <w:rFonts w:hint="eastAsia"/>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26.2.3质疑函须使用财政部制定的范本文件。（下载网址：http://gks.mof.gov.cn/ztztz/zhengfucaigouguanli/201802/t20180201_2804589.htm）</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26.2.4投标人为自然人的，应当由本人签字；投标人为法人或者其他组织的，应当由法定代表人、主要负责人，或者其授权代表签字或者加盖公章，并加盖公章。</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26.3接收询问和质疑的联系部门、联系电话和通讯地址见《投标人须知资料表》。</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27代理费</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27.1收费对象、收费标准及缴纳时间见《投标人须知资料表》。由中标人支付的，中标人须一次性向采购代理机构缴纳代理费，投标报价应包含代理费用。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583" w:name="_Toc226965827"/>
      <w:r/>
      <w:bookmarkStart w:id="584" w:name="_Toc150774759"/>
      <w:r/>
      <w:bookmarkStart w:id="585" w:name="_Toc142311056"/>
      <w:r/>
      <w:bookmarkStart w:id="586" w:name="_Toc127151554"/>
      <w:r/>
      <w:bookmarkStart w:id="587" w:name="_Toc305158896"/>
      <w:r/>
      <w:bookmarkStart w:id="588" w:name="_Toc305158822"/>
      <w:r/>
      <w:bookmarkStart w:id="589" w:name="_Toc264969244"/>
      <w:r/>
      <w:bookmarkStart w:id="590" w:name="_Toc150480792"/>
      <w:r/>
      <w:bookmarkStart w:id="591" w:name="_Toc353825544"/>
      <w:r/>
      <w:bookmarkStart w:id="592" w:name="_Toc353873664"/>
      <w:r/>
      <w:bookmarkStart w:id="593" w:name="_Toc265228392"/>
      <w:r/>
      <w:bookmarkStart w:id="594" w:name="_Toc353873934"/>
      <w:r/>
      <w:bookmarkStart w:id="595" w:name="_Toc226337250"/>
      <w:r>
        <w:rPr>
          <w:sz w:val="24"/>
          <w:highlight w:val="none"/>
        </w:rPr>
        <w:br w:type="page" w:clear="all"/>
      </w:r>
      <w:bookmarkStart w:id="596" w:name="_Toc99301421"/>
      <w:r>
        <w:rPr>
          <w:b/>
          <w:sz w:val="36"/>
          <w:szCs w:val="36"/>
          <w:highlight w:val="none"/>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b/>
          <w:sz w:val="36"/>
          <w:szCs w:val="36"/>
          <w:highlight w:val="none"/>
        </w:rPr>
        <w:t xml:space="preserve">资格审查</w:t>
      </w:r>
      <w:bookmarkEnd w:id="596"/>
      <w:r/>
      <w:bookmarkStart w:id="597" w:name="_Toc487900382"/>
      <w:r/>
      <w:r/>
    </w:p>
    <w:p>
      <w:pPr>
        <w:jc w:val="center"/>
        <w:spacing w:line="360" w:lineRule="auto"/>
        <w:tabs>
          <w:tab w:val="left" w:pos="360" w:leader="none"/>
          <w:tab w:val="left" w:pos="900" w:leader="none"/>
        </w:tabs>
        <w:rPr>
          <w:b/>
          <w:sz w:val="24"/>
          <w:highlight w:val="none"/>
        </w:rPr>
        <w:outlineLvl w:val="1"/>
      </w:pPr>
      <w:r/>
      <w:bookmarkStart w:id="598" w:name="_Toc99301422"/>
      <w:r>
        <w:rPr>
          <w:b/>
          <w:sz w:val="24"/>
          <w:highlight w:val="none"/>
        </w:rPr>
        <w:t xml:space="preserve">一、资格审查程序</w:t>
      </w:r>
      <w:bookmarkEnd w:id="598"/>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进行资格审查，并形成资格审查结果。</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另有规定外，均为“实质性格式”文件。</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103"/>
        <w:gridCol w:w="5119"/>
        <w:gridCol w:w="17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599" w:name="_Hlt487972895"/>
            <w:r/>
            <w:bookmarkEnd w:id="599"/>
            <w:r>
              <w:rPr>
                <w:b/>
                <w:sz w:val="24"/>
                <w:highlight w:val="none"/>
              </w:rPr>
              <w:t xml:space="preserve">序号</w:t>
            </w:r>
            <w:r/>
          </w:p>
        </w:tc>
        <w:tc>
          <w:tcPr>
            <w:tcW w:w="1066"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资格声明函</w:t>
            </w:r>
            <w:r/>
          </w:p>
        </w:tc>
        <w:tc>
          <w:tcPr>
            <w:tcW w:w="2595" w:type="pct"/>
            <w:vAlign w:val="center"/>
            <w:textDirection w:val="lrTb"/>
            <w:noWrap w:val="false"/>
          </w:tcPr>
          <w:p>
            <w:pPr>
              <w:tabs>
                <w:tab w:val="left" w:pos="1080" w:leader="none"/>
              </w:tabs>
              <w:rPr>
                <w:sz w:val="24"/>
                <w:highlight w:val="none"/>
              </w:rPr>
            </w:pPr>
            <w:r>
              <w:rPr>
                <w:sz w:val="24"/>
                <w:highlight w:val="none"/>
              </w:rPr>
              <w:t xml:space="preserve">提供了符合</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要求的《</w:t>
            </w: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资格声明函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信用记录</w:t>
            </w:r>
            <w:r/>
          </w:p>
        </w:tc>
        <w:tc>
          <w:tcPr>
            <w:tcW w:w="2595"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，其</w:t>
            </w:r>
            <w:r>
              <w:rPr>
                <w:b/>
                <w:sz w:val="24"/>
                <w:highlight w:val="none"/>
              </w:rPr>
              <w:t xml:space="preserve">投标无效</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rFonts w:hint="eastAsia" w:eastAsia="宋体"/>
                <w:sz w:val="24"/>
                <w:highlight w:val="none"/>
                <w:lang w:eastAsia="zh-CN"/>
              </w:rPr>
              <w:t xml:space="preserve">无需</w:t>
            </w:r>
            <w:r>
              <w:rPr>
                <w:sz w:val="24"/>
                <w:highlight w:val="none"/>
              </w:rPr>
              <w:t xml:space="preserve">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pct"/>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pct"/>
            <w:vAlign w:val="center"/>
            <w:textDirection w:val="lrTb"/>
            <w:noWrap w:val="false"/>
          </w:tcPr>
          <w:p>
            <w:pPr>
              <w:numPr>
                <w:ilvl w:val="0"/>
                <w:numId w:val="10"/>
              </w:numPr>
              <w:tabs>
                <w:tab w:val="left" w:pos="1080" w:leader="none"/>
              </w:tabs>
              <w:rPr>
                <w:rFonts w:hint="eastAsia"/>
                <w:sz w:val="24"/>
                <w:highlight w:val="none"/>
              </w:rPr>
            </w:pP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应提供中小企业声明函</w:t>
            </w:r>
            <w:r>
              <w:rPr>
                <w:rFonts w:hint="eastAsia"/>
                <w:sz w:val="24"/>
                <w:highlight w:val="none"/>
                <w:lang w:eastAsia="zh-CN"/>
              </w:rPr>
              <w:t xml:space="preserve">；</w:t>
            </w:r>
            <w:r>
              <w:rPr>
                <w:rFonts w:hint="eastAsia"/>
                <w:sz w:val="24"/>
                <w:highlight w:val="none"/>
              </w:rPr>
              <w:t xml:space="preserve">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numPr>
                <w:ilvl w:val="0"/>
                <w:numId w:val="0"/>
              </w:numPr>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numPr>
                <w:ilvl w:val="0"/>
                <w:numId w:val="0"/>
              </w:numPr>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注1：</w:t>
            </w:r>
            <w:r>
              <w:rPr>
                <w:rFonts w:ascii="Times New Roman" w:hAnsi="Times New Roman" w:eastAsia="宋体" w:cs="Times New Roman"/>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ascii="Times New Roman" w:hAnsi="Times New Roman" w:eastAsia="宋体" w:cs="Times New Roman"/>
                <w:sz w:val="24"/>
                <w:highlight w:val="none"/>
              </w:rPr>
              <w:t xml:space="preserve">注2：</w:t>
            </w:r>
            <w:r>
              <w:rPr>
                <w:rFonts w:ascii="Times New Roman" w:hAnsi="Times New Roman" w:eastAsia="宋体" w:cs="Times New Roman"/>
                <w:sz w:val="24"/>
                <w:highlight w:val="none"/>
              </w:rPr>
              <w:t xml:space="preserve">残疾人福利性单位须按招标文件要求提供《残疾人福利性单位声明函》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rPr>
                <w:rFonts w:hint="eastAsia"/>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7"/>
            <w:r/>
          </w:p>
        </w:tc>
        <w:tc>
          <w:tcPr>
            <w:tcW w:w="881" w:type="pct"/>
            <w:vAlign w:val="center"/>
            <w:textDirection w:val="lrTb"/>
            <w:noWrap w:val="false"/>
          </w:tcPr>
          <w:p>
            <w:pPr>
              <w:tabs>
                <w:tab w:val="left" w:pos="1080" w:leader="none"/>
              </w:tabs>
              <w:rPr>
                <w:sz w:val="24"/>
                <w:highlight w:val="none"/>
              </w:rPr>
            </w:pPr>
            <w:r>
              <w:rPr>
                <w:sz w:val="24"/>
                <w:highlight w:val="none"/>
              </w:rPr>
            </w:r>
            <w:r/>
          </w:p>
        </w:tc>
      </w:tr>
    </w:tbl>
    <w:p>
      <w:pPr>
        <w:jc w:val="center"/>
        <w:widowControl/>
        <w:rPr>
          <w:b/>
          <w:sz w:val="36"/>
          <w:szCs w:val="36"/>
          <w:highlight w:val="none"/>
        </w:rPr>
      </w:pPr>
      <w:r/>
      <w:bookmarkStart w:id="600" w:name="_Toc127151779"/>
      <w:r/>
      <w:bookmarkStart w:id="601" w:name="_Toc226965858"/>
      <w:r/>
      <w:bookmarkStart w:id="602" w:name="_Toc353873940"/>
      <w:r/>
      <w:bookmarkStart w:id="603" w:name="_Toc127161490"/>
      <w:r/>
      <w:bookmarkStart w:id="604" w:name="_Toc353825550"/>
      <w:r>
        <w:rPr>
          <w:sz w:val="24"/>
          <w:highlight w:val="none"/>
        </w:rPr>
        <w:br w:type="page" w:clear="all"/>
      </w:r>
      <w:bookmarkStart w:id="605" w:name="_Toc99301423"/>
      <w:r>
        <w:rPr>
          <w:b/>
          <w:sz w:val="36"/>
          <w:szCs w:val="36"/>
          <w:highlight w:val="none"/>
        </w:rPr>
        <w:t xml:space="preserve">第四章   </w:t>
      </w:r>
      <w:bookmarkEnd w:id="600"/>
      <w:r/>
      <w:bookmarkEnd w:id="601"/>
      <w:r/>
      <w:bookmarkEnd w:id="602"/>
      <w:r/>
      <w:bookmarkEnd w:id="603"/>
      <w:r/>
      <w:bookmarkEnd w:id="604"/>
      <w:r/>
      <w:bookmarkStart w:id="606" w:name="_Hlt164229061"/>
      <w:r/>
      <w:bookmarkEnd w:id="606"/>
      <w:r>
        <w:rPr>
          <w:b/>
          <w:sz w:val="36"/>
          <w:szCs w:val="36"/>
          <w:highlight w:val="none"/>
        </w:rPr>
        <w:t xml:space="preserve">评标程序、评标方法和评标标准</w:t>
      </w:r>
      <w:bookmarkEnd w:id="60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607" w:name="_Toc151193855"/>
      <w:r/>
      <w:bookmarkStart w:id="608" w:name="_Toc164608655"/>
      <w:r/>
      <w:bookmarkStart w:id="609" w:name="_Toc164229382"/>
      <w:r/>
      <w:bookmarkStart w:id="610" w:name="_Toc151193929"/>
      <w:r/>
      <w:bookmarkStart w:id="611" w:name="_Toc195842906"/>
      <w:r/>
      <w:bookmarkStart w:id="612" w:name="_Toc151193783"/>
      <w:r/>
      <w:bookmarkStart w:id="613" w:name="_Toc264969231"/>
      <w:r/>
      <w:bookmarkStart w:id="614" w:name="_Toc150480779"/>
      <w:r/>
      <w:bookmarkStart w:id="615" w:name="_Toc127151742"/>
      <w:r/>
      <w:bookmarkStart w:id="616" w:name="_Toc226309785"/>
      <w:r/>
      <w:bookmarkStart w:id="617" w:name="_Toc164608810"/>
      <w:r/>
      <w:bookmarkStart w:id="618" w:name="_Toc127161455"/>
      <w:r/>
      <w:bookmarkStart w:id="619" w:name="_Toc151190168"/>
      <w:r/>
      <w:bookmarkStart w:id="620" w:name="_Toc150774746"/>
      <w:r/>
      <w:bookmarkStart w:id="621" w:name="_Toc149720834"/>
      <w:r/>
      <w:bookmarkStart w:id="622" w:name="_Toc150509292"/>
      <w:r/>
      <w:bookmarkStart w:id="623" w:name="_Toc305158809"/>
      <w:r/>
      <w:bookmarkStart w:id="624" w:name="_Toc226337237"/>
      <w:r/>
      <w:bookmarkStart w:id="625" w:name="_Toc226965731"/>
      <w:r/>
      <w:bookmarkStart w:id="626" w:name="_Toc305158883"/>
      <w:r/>
      <w:bookmarkStart w:id="627" w:name="_Toc150774641"/>
      <w:r/>
      <w:bookmarkStart w:id="628" w:name="_Toc164229236"/>
      <w:r/>
      <w:bookmarkStart w:id="629" w:name="_Toc226965814"/>
      <w:r/>
      <w:bookmarkStart w:id="630" w:name="_Toc127151541"/>
      <w:r/>
      <w:bookmarkStart w:id="631" w:name="_Toc151193711"/>
      <w:r/>
      <w:bookmarkStart w:id="632" w:name="_Toc142311043"/>
      <w:r/>
      <w:bookmarkStart w:id="633" w:name="_Toc265228379"/>
      <w:r/>
      <w:bookmarkStart w:id="634" w:name="_Toc151193639"/>
      <w:r/>
      <w:bookmarkStart w:id="635" w:name="_Toc164351635"/>
      <w:r/>
      <w:bookmarkStart w:id="636" w:name="_Toc353873941"/>
      <w:r/>
      <w:bookmarkStart w:id="637" w:name="_Toc353825551"/>
      <w:r/>
      <w:bookmarkStart w:id="638" w:name="_Toc305158897"/>
      <w:r/>
      <w:bookmarkStart w:id="639" w:name="_Toc305158823"/>
      <w:r/>
      <w:bookmarkStart w:id="640" w:name="_Toc264969245"/>
      <w:r/>
      <w:bookmarkStart w:id="641" w:name="_Toc226965828"/>
      <w:r/>
      <w:bookmarkStart w:id="642" w:name="_Toc142311057"/>
      <w:r/>
      <w:bookmarkStart w:id="643" w:name="_Toc150480793"/>
      <w:r/>
      <w:bookmarkStart w:id="644" w:name="_Toc127151555"/>
      <w:r/>
      <w:bookmarkStart w:id="645" w:name="_Toc353825545"/>
      <w:r/>
      <w:bookmarkStart w:id="646" w:name="_Toc150774760"/>
      <w:r/>
      <w:bookmarkStart w:id="647" w:name="_Toc265228393"/>
      <w:r/>
      <w:bookmarkStart w:id="648" w:name="_Toc353873665"/>
      <w:r/>
      <w:bookmarkStart w:id="649" w:name="_Toc353873935"/>
      <w:r/>
      <w:bookmarkStart w:id="650" w:name="_Toc226337251"/>
      <w:r/>
      <w:bookmarkStart w:id="651" w:name="_Toc195842920"/>
      <w:r>
        <w:rPr>
          <w:sz w:val="24"/>
          <w:highlight w:val="none"/>
        </w:rPr>
        <w:t xml:space="preserve">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的投标文件进行符合性审查，以确定其是否满足</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的实质性要求。</w:t>
      </w:r>
      <w:bookmarkStart w:id="652"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的投标文件是否实质上响应</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进行符合性审查，并形成符合性审查评审结果。</w:t>
      </w: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65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922"/>
        <w:gridCol w:w="7140"/>
      </w:tblGrid>
      <w:tr>
        <w:trPr>
          <w:jc w:val="center"/>
          <w:trHeight w:val="300"/>
        </w:trPr>
        <w:tc>
          <w:tcPr>
            <w:tcW w:w="402" w:type="pct"/>
            <w:vAlign w:val="center"/>
            <w:textDirection w:val="lrTb"/>
            <w:noWrap w:val="false"/>
          </w:tcPr>
          <w:p>
            <w:pPr>
              <w:jc w:val="center"/>
              <w:widowControl/>
              <w:rPr>
                <w:b/>
                <w:sz w:val="24"/>
                <w:highlight w:val="none"/>
              </w:rPr>
            </w:pPr>
            <w:r>
              <w:rPr>
                <w:b/>
                <w:sz w:val="24"/>
                <w:highlight w:val="none"/>
              </w:rPr>
              <w:t xml:space="preserve">序号</w:t>
            </w:r>
            <w:r/>
          </w:p>
        </w:tc>
        <w:tc>
          <w:tcPr>
            <w:tcW w:w="975" w:type="pct"/>
            <w:vAlign w:val="center"/>
            <w:textDirection w:val="lrTb"/>
            <w:noWrap w:val="false"/>
          </w:tcPr>
          <w:p>
            <w:pPr>
              <w:jc w:val="center"/>
              <w:widowControl/>
              <w:rPr>
                <w:b/>
                <w:sz w:val="24"/>
                <w:highlight w:val="none"/>
              </w:rPr>
            </w:pPr>
            <w:r>
              <w:rPr>
                <w:b/>
                <w:sz w:val="24"/>
                <w:highlight w:val="none"/>
              </w:rPr>
              <w:t xml:space="preserve">审查因素</w:t>
            </w:r>
            <w:r/>
          </w:p>
        </w:tc>
        <w:tc>
          <w:tcPr>
            <w:tcW w:w="3622"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w:t>
            </w:r>
            <w:r/>
          </w:p>
        </w:tc>
        <w:tc>
          <w:tcPr>
            <w:tcW w:w="975" w:type="pct"/>
            <w:vAlign w:val="center"/>
            <w:textDirection w:val="lrTb"/>
            <w:noWrap w:val="false"/>
          </w:tcPr>
          <w:p>
            <w:pPr>
              <w:jc w:val="left"/>
              <w:widowControl/>
              <w:rPr>
                <w:sz w:val="24"/>
                <w:highlight w:val="none"/>
              </w:rPr>
            </w:pPr>
            <w:r>
              <w:rPr>
                <w:rFonts w:hint="eastAsia"/>
                <w:sz w:val="24"/>
                <w:highlight w:val="none"/>
              </w:rPr>
              <w:t xml:space="preserve">投标函、法定代表人资格证明书和政府采购供应商信用承诺书</w:t>
            </w:r>
            <w:r/>
          </w:p>
        </w:tc>
        <w:tc>
          <w:tcPr>
            <w:tcW w:w="3622" w:type="pct"/>
            <w:vAlign w:val="center"/>
            <w:textDirection w:val="lrTb"/>
            <w:noWrap w:val="false"/>
          </w:tcPr>
          <w:p>
            <w:pPr>
              <w:jc w:val="left"/>
              <w:widowControl/>
              <w:rPr>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2</w:t>
            </w:r>
            <w:r/>
          </w:p>
        </w:tc>
        <w:tc>
          <w:tcPr>
            <w:tcW w:w="975" w:type="pct"/>
            <w:vAlign w:val="center"/>
            <w:textDirection w:val="lrTb"/>
            <w:noWrap w:val="false"/>
          </w:tcPr>
          <w:p>
            <w:pPr>
              <w:jc w:val="left"/>
              <w:widowControl/>
              <w:rPr>
                <w:sz w:val="24"/>
                <w:highlight w:val="none"/>
              </w:rPr>
            </w:pPr>
            <w:r>
              <w:rPr>
                <w:sz w:val="24"/>
                <w:highlight w:val="none"/>
              </w:rPr>
              <w:t xml:space="preserve">投标完整性</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3</w:t>
            </w:r>
            <w:r/>
          </w:p>
        </w:tc>
        <w:tc>
          <w:tcPr>
            <w:tcW w:w="975" w:type="pct"/>
            <w:vAlign w:val="center"/>
            <w:textDirection w:val="lrTb"/>
            <w:noWrap w:val="false"/>
          </w:tcPr>
          <w:p>
            <w:pPr>
              <w:jc w:val="left"/>
              <w:widowControl/>
              <w:rPr>
                <w:b/>
                <w:bCs/>
                <w:sz w:val="24"/>
                <w:highlight w:val="none"/>
              </w:rPr>
            </w:pPr>
            <w:r>
              <w:rPr>
                <w:b/>
                <w:bCs/>
                <w:sz w:val="24"/>
                <w:highlight w:val="none"/>
              </w:rPr>
              <w:t xml:space="preserve">投标报价</w:t>
            </w:r>
            <w:r/>
          </w:p>
        </w:tc>
        <w:tc>
          <w:tcPr>
            <w:tcW w:w="3622" w:type="pct"/>
            <w:vAlign w:val="center"/>
            <w:textDirection w:val="lrTb"/>
            <w:noWrap w:val="false"/>
          </w:tcPr>
          <w:p>
            <w:pPr>
              <w:jc w:val="left"/>
              <w:widowControl/>
              <w:rPr>
                <w:b/>
                <w:bCs/>
                <w:sz w:val="24"/>
                <w:highlight w:val="none"/>
              </w:rPr>
            </w:pPr>
            <w:r>
              <w:rPr>
                <w:b/>
                <w:bCs/>
                <w:sz w:val="24"/>
                <w:highlight w:val="none"/>
              </w:rPr>
              <w:t xml:space="preserve">投标报价</w:t>
            </w:r>
            <w:r>
              <w:rPr>
                <w:rFonts w:hint="eastAsia"/>
                <w:b/>
                <w:bCs/>
                <w:sz w:val="24"/>
                <w:highlight w:val="none"/>
              </w:rPr>
              <w:t xml:space="preserve">未</w:t>
            </w:r>
            <w:r>
              <w:rPr>
                <w:b/>
                <w:bCs/>
                <w:sz w:val="24"/>
                <w:highlight w:val="none"/>
              </w:rPr>
              <w:t xml:space="preserve">超过</w:t>
            </w:r>
            <w:r>
              <w:rPr>
                <w:rFonts w:hint="eastAsia"/>
                <w:b/>
                <w:bCs/>
                <w:sz w:val="24"/>
                <w:highlight w:val="none"/>
                <w:lang w:val="en-US" w:eastAsia="zh-CN"/>
              </w:rPr>
              <w:t xml:space="preserve">招标</w:t>
            </w:r>
            <w:r>
              <w:rPr>
                <w:rFonts w:hint="eastAsia"/>
                <w:b/>
                <w:bCs/>
                <w:sz w:val="24"/>
                <w:highlight w:val="none"/>
              </w:rPr>
              <w:t xml:space="preserve">文件</w:t>
            </w:r>
            <w:r>
              <w:rPr>
                <w:b/>
                <w:bCs/>
                <w:sz w:val="24"/>
                <w:highlight w:val="none"/>
              </w:rPr>
              <w:t xml:space="preserve">中规定的项目预算金额或者</w:t>
            </w:r>
            <w:r>
              <w:rPr>
                <w:rFonts w:hint="eastAsia"/>
                <w:b/>
                <w:bCs/>
                <w:sz w:val="24"/>
                <w:highlight w:val="none"/>
              </w:rPr>
              <w:t xml:space="preserve">相应标段</w:t>
            </w:r>
            <w:r>
              <w:rPr>
                <w:b/>
                <w:bCs/>
                <w:sz w:val="24"/>
                <w:highlight w:val="none"/>
              </w:rPr>
              <w:t xml:space="preserve">最高限价；</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4</w:t>
            </w:r>
            <w:r/>
          </w:p>
        </w:tc>
        <w:tc>
          <w:tcPr>
            <w:tcW w:w="975" w:type="pct"/>
            <w:vAlign w:val="center"/>
            <w:textDirection w:val="lrTb"/>
            <w:noWrap w:val="false"/>
          </w:tcPr>
          <w:p>
            <w:pPr>
              <w:jc w:val="left"/>
              <w:widowControl/>
              <w:rPr>
                <w:sz w:val="24"/>
                <w:highlight w:val="none"/>
              </w:rPr>
            </w:pPr>
            <w:r>
              <w:rPr>
                <w:sz w:val="24"/>
                <w:highlight w:val="none"/>
              </w:rPr>
              <w:t xml:space="preserve">报价唯一性</w:t>
            </w:r>
            <w:r/>
          </w:p>
        </w:tc>
        <w:tc>
          <w:tcPr>
            <w:tcW w:w="3622"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w:t>
            </w:r>
            <w:r>
              <w:rPr>
                <w:rFonts w:hint="eastAsia"/>
                <w:sz w:val="24"/>
                <w:highlight w:val="none"/>
                <w:lang w:val="en-US" w:eastAsia="zh-CN"/>
              </w:rPr>
              <w:t xml:space="preserve">招标</w:t>
            </w:r>
            <w:r>
              <w:rPr>
                <w:rFonts w:hint="eastAsia"/>
                <w:sz w:val="24"/>
                <w:highlight w:val="none"/>
              </w:rPr>
              <w:t xml:space="preserve">文件另有规定的除外）</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5</w:t>
            </w:r>
            <w:r/>
          </w:p>
        </w:tc>
        <w:tc>
          <w:tcPr>
            <w:tcW w:w="975" w:type="pct"/>
            <w:vAlign w:val="center"/>
            <w:textDirection w:val="lrTb"/>
            <w:noWrap w:val="false"/>
          </w:tcPr>
          <w:p>
            <w:pPr>
              <w:jc w:val="left"/>
              <w:widowControl/>
              <w:rPr>
                <w:sz w:val="24"/>
                <w:highlight w:val="none"/>
              </w:rPr>
            </w:pPr>
            <w:r>
              <w:rPr>
                <w:sz w:val="24"/>
                <w:highlight w:val="none"/>
              </w:rPr>
              <w:t xml:space="preserve">投标有效期</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6</w:t>
            </w:r>
            <w:r/>
          </w:p>
        </w:tc>
        <w:tc>
          <w:tcPr>
            <w:tcW w:w="975" w:type="pct"/>
            <w:vAlign w:val="center"/>
            <w:textDirection w:val="lrTb"/>
            <w:noWrap w:val="false"/>
          </w:tcPr>
          <w:p>
            <w:pPr>
              <w:jc w:val="left"/>
              <w:widowControl/>
              <w:rPr>
                <w:sz w:val="24"/>
                <w:highlight w:val="none"/>
              </w:rPr>
            </w:pPr>
            <w:r>
              <w:rPr>
                <w:sz w:val="24"/>
                <w:highlight w:val="none"/>
              </w:rPr>
              <w:t xml:space="preserve">签署、加盖公章</w:t>
            </w:r>
            <w:r/>
          </w:p>
        </w:tc>
        <w:tc>
          <w:tcPr>
            <w:tcW w:w="3622" w:type="pct"/>
            <w:vAlign w:val="center"/>
            <w:textDirection w:val="lrTb"/>
            <w:noWrap w:val="false"/>
          </w:tcPr>
          <w:p>
            <w:pPr>
              <w:jc w:val="left"/>
              <w:widowControl/>
              <w:rPr>
                <w:sz w:val="24"/>
                <w:highlight w:val="none"/>
              </w:rPr>
            </w:pPr>
            <w:r>
              <w:rPr>
                <w:color w:val="000000"/>
                <w:sz w:val="24"/>
                <w:highlight w:val="none"/>
              </w:rPr>
              <w:t xml:space="preserve">按照招标文件要求签署、加盖公章的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5"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8</w:t>
            </w:r>
            <w:r/>
          </w:p>
        </w:tc>
        <w:tc>
          <w:tcPr>
            <w:tcW w:w="975" w:type="pct"/>
            <w:vAlign w:val="center"/>
            <w:textDirection w:val="lrTb"/>
            <w:noWrap w:val="false"/>
          </w:tcPr>
          <w:p>
            <w:pPr>
              <w:jc w:val="left"/>
              <w:widowControl/>
              <w:rPr>
                <w:sz w:val="24"/>
                <w:highlight w:val="none"/>
              </w:rPr>
            </w:pPr>
            <w:r>
              <w:rPr>
                <w:sz w:val="24"/>
                <w:highlight w:val="none"/>
              </w:rPr>
              <w:t xml:space="preserve">报价的修正</w:t>
            </w:r>
            <w:r/>
          </w:p>
        </w:tc>
        <w:tc>
          <w:tcPr>
            <w:tcW w:w="3622" w:type="pct"/>
            <w:vAlign w:val="center"/>
            <w:textDirection w:val="lrTb"/>
            <w:noWrap w:val="false"/>
          </w:tcPr>
          <w:p>
            <w:pPr>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9</w:t>
            </w:r>
            <w:r/>
          </w:p>
        </w:tc>
        <w:tc>
          <w:tcPr>
            <w:tcW w:w="975" w:type="pct"/>
            <w:vAlign w:val="center"/>
            <w:textDirection w:val="lrTb"/>
            <w:noWrap w:val="false"/>
          </w:tcPr>
          <w:p>
            <w:pPr>
              <w:jc w:val="left"/>
              <w:widowControl/>
              <w:rPr>
                <w:sz w:val="24"/>
                <w:highlight w:val="none"/>
              </w:rPr>
            </w:pPr>
            <w:r>
              <w:rPr>
                <w:sz w:val="24"/>
                <w:highlight w:val="none"/>
              </w:rPr>
              <w:t xml:space="preserve">报价合理性</w:t>
            </w:r>
            <w:r/>
          </w:p>
        </w:tc>
        <w:tc>
          <w:tcPr>
            <w:tcW w:w="3622" w:type="pct"/>
            <w:vAlign w:val="center"/>
            <w:textDirection w:val="lrTb"/>
            <w:noWrap w:val="false"/>
          </w:tcPr>
          <w:p>
            <w:pPr>
              <w:jc w:val="left"/>
              <w:widowControl/>
              <w:rPr>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10</w:t>
            </w:r>
            <w:r/>
          </w:p>
        </w:tc>
        <w:tc>
          <w:tcPr>
            <w:tcW w:w="975" w:type="pct"/>
            <w:vAlign w:val="center"/>
            <w:textDirection w:val="lrTb"/>
            <w:noWrap w:val="false"/>
          </w:tcPr>
          <w:p>
            <w:pPr>
              <w:jc w:val="left"/>
              <w:widowControl/>
              <w:rPr>
                <w:sz w:val="24"/>
                <w:highlight w:val="none"/>
              </w:rPr>
            </w:pPr>
            <w:r>
              <w:rPr>
                <w:sz w:val="24"/>
                <w:highlight w:val="none"/>
              </w:rPr>
              <w:t xml:space="preserve">公平竞争</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11</w:t>
            </w:r>
            <w:r/>
          </w:p>
        </w:tc>
        <w:tc>
          <w:tcPr>
            <w:tcW w:w="975" w:type="pct"/>
            <w:vAlign w:val="center"/>
            <w:textDirection w:val="lrTb"/>
            <w:noWrap w:val="false"/>
          </w:tcPr>
          <w:p>
            <w:pPr>
              <w:jc w:val="left"/>
              <w:widowControl/>
              <w:rPr>
                <w:sz w:val="24"/>
                <w:highlight w:val="none"/>
              </w:rPr>
            </w:pPr>
            <w:r>
              <w:rPr>
                <w:sz w:val="24"/>
                <w:highlight w:val="none"/>
              </w:rPr>
              <w:t xml:space="preserve">串通投标</w:t>
            </w:r>
            <w:r/>
          </w:p>
        </w:tc>
        <w:tc>
          <w:tcPr>
            <w:tcW w:w="3622" w:type="pct"/>
            <w:vAlign w:val="center"/>
            <w:textDirection w:val="lrTb"/>
            <w:noWrap w:val="false"/>
          </w:tcPr>
          <w:p>
            <w:pPr>
              <w:jc w:val="left"/>
              <w:widowControl/>
              <w:rPr>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12</w:t>
            </w:r>
            <w:r/>
          </w:p>
        </w:tc>
        <w:tc>
          <w:tcPr>
            <w:tcW w:w="975" w:type="pct"/>
            <w:vAlign w:val="center"/>
            <w:textDirection w:val="lrTb"/>
            <w:noWrap w:val="false"/>
          </w:tcPr>
          <w:p>
            <w:pPr>
              <w:jc w:val="left"/>
              <w:widowControl/>
              <w:rPr>
                <w:sz w:val="24"/>
                <w:highlight w:val="none"/>
              </w:rPr>
            </w:pPr>
            <w:r>
              <w:rPr>
                <w:sz w:val="24"/>
                <w:highlight w:val="none"/>
              </w:rPr>
              <w:t xml:space="preserve">附加条件</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13</w:t>
            </w:r>
            <w:r/>
          </w:p>
        </w:tc>
        <w:tc>
          <w:tcPr>
            <w:tcW w:w="975" w:type="pct"/>
            <w:vAlign w:val="center"/>
            <w:textDirection w:val="lrTb"/>
            <w:noWrap w:val="false"/>
          </w:tcPr>
          <w:p>
            <w:pPr>
              <w:jc w:val="left"/>
              <w:widowControl/>
              <w:rPr>
                <w:sz w:val="24"/>
                <w:highlight w:val="none"/>
              </w:rPr>
            </w:pPr>
            <w:r>
              <w:rPr>
                <w:sz w:val="24"/>
                <w:highlight w:val="none"/>
              </w:rPr>
              <w:t xml:space="preserve">其他无效情形</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sz w:val="24"/>
                <w:highlight w:val="none"/>
              </w:rPr>
              <w:t xml:space="preserve">。</w:t>
            </w:r>
            <w:r/>
          </w:p>
        </w:tc>
      </w:tr>
    </w:tbl>
    <w:p>
      <w:pPr>
        <w:numPr>
          <w:ilvl w:val="0"/>
          <w:numId w:val="12"/>
        </w:numPr>
        <w:spacing w:line="360" w:lineRule="auto"/>
        <w:tabs>
          <w:tab w:val="left" w:pos="1080" w:leader="none"/>
          <w:tab w:val="left" w:pos="1589" w:leader="none"/>
        </w:tabs>
        <w:rPr>
          <w:sz w:val="24"/>
          <w:highlight w:val="none"/>
        </w:rPr>
        <w:sectPr>
          <w:headerReference w:type="default" r:id="rId9"/>
          <w:footerReference w:type="default" r:id="rId14"/>
          <w:footerReference w:type="even" r:id="rId15"/>
          <w:footnotePr/>
          <w:endnotePr/>
          <w:type w:val="nextPage"/>
          <w:pgSz w:w="11907" w:h="16840" w:orient="portrait"/>
          <w:pgMar w:top="1418" w:right="1134" w:bottom="1418" w:left="1134" w:header="851" w:footer="851" w:gutter="0"/>
          <w:cols w:num="1" w:sep="0" w:space="720"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eastAsia="宋体"/>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评审委员会启动异常低价投标（响应）审查的情形和具体要求，包括：</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（一）评审过程中出现下列情形之一的，评审委员会应当启动异常低价投标（响应）审查程序：</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1.投标（响应）报价低于采购项目预算50%的，即投标（响应）报价&lt;采购项目预算×50% ；</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2.投标（响应）报价低于采购项目最高限价45%的，即投标（响应）报价&lt;采购项目最高限价×45% ；</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3.评审委员会认定的供应商报价过低、有可能影响产品质量或者不能诚信履约的其他情形。</w:t>
      </w:r>
      <w:r/>
    </w:p>
    <w:p>
      <w:pPr>
        <w:numPr>
          <w:ilvl w:val="0"/>
          <w:numId w:val="0"/>
        </w:numPr>
        <w:ind w:firstLine="480"/>
        <w:jc w:val="left"/>
        <w:spacing w:line="360" w:lineRule="auto"/>
        <w:widowControl/>
        <w:tabs>
          <w:tab w:val="left" w:pos="840" w:leader="none"/>
          <w:tab w:val="left" w:pos="1872" w:leader="none"/>
        </w:tabs>
        <w:rPr>
          <w:sz w:val="24"/>
          <w:highlight w:val="none"/>
        </w:rPr>
      </w:pPr>
      <w:r>
        <w:rPr>
          <w:rFonts w:hint="eastAsia" w:ascii="宋体" w:hAnsi="宋体" w:eastAsia="宋体" w:cs="宋体"/>
          <w:b/>
          <w:bCs/>
          <w:sz w:val="24"/>
          <w:szCs w:val="24"/>
          <w:highlight w:val="non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全部内容，如分项报价表有缺漏视为已含在其他各项报价中，将不对投标总价进行调整。评标委员会有权要求</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在</w:t>
      </w:r>
      <w:r>
        <w:rPr>
          <w:rFonts w:hint="eastAsia"/>
          <w:sz w:val="24"/>
          <w:highlight w:val="none"/>
        </w:rPr>
        <w:t xml:space="preserve">规定</w:t>
      </w:r>
      <w:r>
        <w:rPr>
          <w:sz w:val="24"/>
          <w:highlight w:val="none"/>
        </w:rPr>
        <w:t xml:space="preserve">的时间内对此进行书面确认，</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numPr>
          <w:ilvl w:val="0"/>
          <w:numId w:val="0"/>
        </w:numPr>
        <w:ind w:left="1135" w:firstLine="960"/>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□有，具体规定为：______________</w:t>
      </w:r>
      <w:r/>
    </w:p>
    <w:p>
      <w:pPr>
        <w:numPr>
          <w:ilvl w:val="0"/>
          <w:numId w:val="0"/>
        </w:numPr>
        <w:ind w:left="1135" w:firstLine="960"/>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书面确认后产生约束力，</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不确认的，其</w:t>
      </w:r>
      <w:r>
        <w:rPr>
          <w:b/>
          <w:sz w:val="24"/>
          <w:highlight w:val="none"/>
        </w:rPr>
        <w:t xml:space="preserve">投标无效</w:t>
      </w:r>
      <w:r>
        <w:rPr>
          <w:sz w:val="24"/>
          <w:highlight w:val="none"/>
        </w:rPr>
        <w:t xml:space="preserve">。</w:t>
      </w:r>
      <w:r/>
    </w:p>
    <w:p>
      <w:pPr>
        <w:numPr>
          <w:ilvl w:val="0"/>
          <w:numId w:val="0"/>
        </w:numPr>
        <w:ind w:left="1199" w:hanging="720"/>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    落实政府采购政策的价格调整：只有符合第二章《投标人须知》5.2条规定情形的，可以享受中小企业扶持政策，用扣除后的价格参加评审；否则，评标时价格不予扣除。</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2.5.1   对于未预留份额专门面向中小企业采购的采购项目，以及预留份额项目中的非预留部分采购包，对小微企业报价给予20%的扣除，用扣除后的价格参加评审。</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2.5.3   组成联合体或者接受分包的小微企业与联合体内其他企业、分包企业之间存在直接控股、管理关系的，不享受价格扣除优惠政策。</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2.5.4   价格扣除比例对小型企业和微型企业同等对待，不作区分。</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2.5.5   中小企业参加政府采购活动，应当按照招标文件给定的格式出具《中小企业声明函》，否则不得享受相关中小企业扶持政策。</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2.5.6   监狱企业提供了由省级以上监狱管理局（常州市含教育矫治局）、戒毒管理局（含新疆生产建设兵团）出具的属于监狱企业的证明文件的，视同小微企业。</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2.5.7   残疾人福利性单位按招标文件要求提供了《残疾人福利性单位声明函》（见附件）的，视同小微企业。</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2.5.8   若投标人同时属于小型或微型企业、监狱企业、残疾人福利性单位中的两种及以上，将不重复享受小微企业价格扣减的优惠政策。</w:t>
      </w:r>
      <w:r/>
    </w:p>
    <w:p>
      <w:pPr>
        <w:numPr>
          <w:ilvl w:val="0"/>
          <w:numId w:val="0"/>
        </w:numPr>
        <w:ind w:firstLine="480"/>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    落实政府采购政策（采购本国产品的支持政策）的价格调整：</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2.6.1   本项目政府采购活动中既有本国产品又有非本国产品参与竞争的，依法对本国产品给予价格评审优惠，对本国产品的报价给予 20%的价格扣除，用扣除后的价格参与评审。</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2.6.3   供应商需按照招标文件的要求提供《关于符合本国产品标准的声明函》（以下简称《声明函》），如不提供将不享受本国产品价格评审优惠。</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1135"/>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2.6.6   对本国产品给予的价格评审优惠与小微企业价格扣减的优惠政策可重复享受。</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636"/>
      <w:r/>
      <w:bookmarkEnd w:id="63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本项目采用的评标方法为：综合评分法，指投标文件满足</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全部实质性要求，且按照评审因素的量化指标评审得分最高的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为中标候选人的评标方法，见《评标标准》</w:t>
      </w:r>
      <w:r>
        <w:rPr>
          <w:rFonts w:hint="eastAsia"/>
          <w:sz w:val="24"/>
          <w:highlight w:val="none"/>
        </w:rPr>
        <w:t xml:space="preserve">，</w:t>
      </w:r>
      <w:r>
        <w:rPr>
          <w:rFonts w:hint="eastAsia"/>
          <w:sz w:val="24"/>
          <w:highlight w:val="none"/>
          <w:lang w:val="en-US" w:eastAsia="zh-CN"/>
        </w:rPr>
        <w:t xml:space="preserve">招标</w:t>
      </w:r>
      <w:r>
        <w:rPr>
          <w:rFonts w:hint="eastAsia"/>
          <w:sz w:val="24"/>
          <w:highlight w:val="none"/>
        </w:rPr>
        <w:t xml:space="preserve">文件中没有规定的评标标准不得作为评审的依据。</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653" w:name="_Toc195842911"/>
      <w:r/>
      <w:bookmarkStart w:id="654" w:name="_Toc151193716"/>
      <w:r/>
      <w:bookmarkStart w:id="655" w:name="_Toc520356170"/>
      <w:r/>
      <w:bookmarkStart w:id="656" w:name="_Toc164229241"/>
      <w:r/>
      <w:bookmarkStart w:id="657" w:name="_Toc150774646"/>
      <w:r/>
      <w:bookmarkStart w:id="658" w:name="_Toc142311048"/>
      <w:r/>
      <w:bookmarkStart w:id="659" w:name="_Ref467307010"/>
      <w:r/>
      <w:bookmarkStart w:id="660" w:name="_Toc226965736"/>
      <w:r/>
      <w:bookmarkStart w:id="661" w:name="_Toc127161460"/>
      <w:r/>
      <w:bookmarkStart w:id="662" w:name="_Toc226337242"/>
      <w:r/>
      <w:bookmarkStart w:id="663" w:name="_Toc150480784"/>
      <w:r/>
      <w:bookmarkStart w:id="664" w:name="_Toc149720839"/>
      <w:r/>
      <w:bookmarkStart w:id="665" w:name="_Toc305158814"/>
      <w:r/>
      <w:bookmarkStart w:id="666" w:name="_Toc150509297"/>
      <w:r/>
      <w:bookmarkStart w:id="667" w:name="_Toc151193934"/>
      <w:r/>
      <w:bookmarkStart w:id="668" w:name="_Toc164229387"/>
      <w:r/>
      <w:bookmarkStart w:id="669" w:name="_Toc226309790"/>
      <w:r/>
      <w:bookmarkStart w:id="670" w:name="_Toc164351640"/>
      <w:r/>
      <w:bookmarkStart w:id="671" w:name="_Toc127151546"/>
      <w:r/>
      <w:bookmarkStart w:id="672" w:name="_Toc127151747"/>
      <w:r/>
      <w:bookmarkStart w:id="673" w:name="_Toc264969236"/>
      <w:r/>
      <w:bookmarkStart w:id="674" w:name="_Toc305158888"/>
      <w:r/>
      <w:bookmarkStart w:id="675" w:name="_Toc151190173"/>
      <w:r/>
      <w:bookmarkStart w:id="676" w:name="_Toc151193788"/>
      <w:r/>
      <w:bookmarkStart w:id="677" w:name="_Toc265228384"/>
      <w:r/>
      <w:bookmarkStart w:id="678" w:name="_Toc151193860"/>
      <w:r/>
      <w:bookmarkStart w:id="679" w:name="_Toc164608815"/>
      <w:r/>
      <w:bookmarkStart w:id="680" w:name="_Toc151193644"/>
      <w:r/>
      <w:bookmarkStart w:id="681" w:name="_Toc226965819"/>
      <w:r/>
      <w:bookmarkStart w:id="682" w:name="_Toc164608660"/>
      <w:r/>
      <w:bookmarkStart w:id="683" w:name="_Toc150774751"/>
      <w:r>
        <w:rPr>
          <w:sz w:val="24"/>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全部实质性要求，且按照评审因素的量化指标评审得分最高的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有行贿、提供虚假材料或者串通等违法行为时，有向采购人、采购代理机构或者有关部门报告的职责。</w:t>
      </w:r>
      <w:r/>
    </w:p>
    <w:p>
      <w:pPr>
        <w:jc w:val="center"/>
        <w:widowControl/>
        <w:rPr>
          <w:rFonts w:hint="eastAsia" w:ascii="宋体" w:hAnsi="宋体" w:cs="宋体"/>
          <w:sz w:val="24"/>
          <w:highlight w:val="none"/>
        </w:rPr>
      </w:pPr>
      <w:r>
        <w:rPr>
          <w:b/>
          <w:sz w:val="24"/>
          <w:highlight w:val="none"/>
        </w:rPr>
        <w:br w:type="page" w:clear="all"/>
      </w:r>
      <w:r>
        <w:rPr>
          <w:b/>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01-13标段：</w:t>
      </w:r>
      <w:r/>
    </w:p>
    <w:tbl>
      <w:tblPr>
        <w:tblStyle w:val="783"/>
        <w:tblW w:w="10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006"/>
        <w:gridCol w:w="2812"/>
      </w:tblGrid>
      <w:tr>
        <w:trPr>
          <w:jc w:val="center"/>
        </w:trPr>
        <w:tc>
          <w:tcPr>
            <w:tcW w:w="835" w:type="dxa"/>
            <w:vAlign w:val="center"/>
            <w:textDirection w:val="lrTb"/>
            <w:noWrap w:val="false"/>
          </w:tcPr>
          <w:p>
            <w:pPr>
              <w:ind w:firstLine="28"/>
              <w:jc w:val="center"/>
              <w:rPr>
                <w:sz w:val="24"/>
                <w:highlight w:val="none"/>
              </w:rPr>
            </w:pPr>
            <w:r>
              <w:rPr>
                <w:sz w:val="24"/>
                <w:highlight w:val="none"/>
              </w:rPr>
              <w:t xml:space="preserve">序号</w:t>
            </w:r>
            <w:r/>
          </w:p>
        </w:tc>
        <w:tc>
          <w:tcPr>
            <w:tcW w:w="1462" w:type="dxa"/>
            <w:vAlign w:val="center"/>
            <w:textDirection w:val="lrTb"/>
            <w:noWrap w:val="false"/>
          </w:tcPr>
          <w:p>
            <w:pPr>
              <w:ind w:firstLine="28"/>
              <w:jc w:val="center"/>
              <w:rPr>
                <w:sz w:val="24"/>
                <w:highlight w:val="none"/>
              </w:rPr>
            </w:pPr>
            <w:r>
              <w:rPr>
                <w:sz w:val="24"/>
                <w:highlight w:val="none"/>
              </w:rPr>
              <w:t xml:space="preserve">评分因素</w:t>
            </w:r>
            <w:r/>
          </w:p>
        </w:tc>
        <w:tc>
          <w:tcPr>
            <w:tcW w:w="913" w:type="dxa"/>
            <w:vAlign w:val="center"/>
            <w:textDirection w:val="lrTb"/>
            <w:noWrap w:val="false"/>
          </w:tcPr>
          <w:p>
            <w:pPr>
              <w:ind w:firstLine="28"/>
              <w:jc w:val="center"/>
              <w:rPr>
                <w:sz w:val="24"/>
                <w:highlight w:val="none"/>
              </w:rPr>
            </w:pPr>
            <w:r>
              <w:rPr>
                <w:sz w:val="24"/>
                <w:highlight w:val="none"/>
              </w:rPr>
              <w:t xml:space="preserve">分值</w:t>
            </w:r>
            <w:r/>
          </w:p>
        </w:tc>
        <w:tc>
          <w:tcPr>
            <w:tcW w:w="4006" w:type="dxa"/>
            <w:vAlign w:val="center"/>
            <w:textDirection w:val="lrTb"/>
            <w:noWrap w:val="false"/>
          </w:tcPr>
          <w:p>
            <w:pPr>
              <w:ind w:firstLine="28"/>
              <w:jc w:val="center"/>
              <w:rPr>
                <w:sz w:val="24"/>
                <w:highlight w:val="none"/>
              </w:rPr>
            </w:pPr>
            <w:r>
              <w:rPr>
                <w:sz w:val="24"/>
                <w:highlight w:val="none"/>
              </w:rPr>
              <w:t xml:space="preserve">评分标准</w:t>
            </w:r>
            <w:r/>
          </w:p>
        </w:tc>
        <w:tc>
          <w:tcPr>
            <w:tcW w:w="2812" w:type="dxa"/>
            <w:vAlign w:val="center"/>
            <w:textDirection w:val="lrTb"/>
            <w:noWrap w:val="false"/>
          </w:tcPr>
          <w:p>
            <w:pPr>
              <w:pStyle w:val="1233"/>
              <w:spacing w:before="0" w:after="0" w:line="240" w:lineRule="auto"/>
              <w:rPr>
                <w:rFonts w:eastAsia="宋体"/>
                <w:b w:val="0"/>
                <w:szCs w:val="24"/>
                <w:highlight w:val="none"/>
              </w:rPr>
            </w:pPr>
            <w:r>
              <w:rPr>
                <w:rFonts w:eastAsia="宋体"/>
                <w:b w:val="0"/>
                <w:szCs w:val="24"/>
                <w:highlight w:val="none"/>
              </w:rPr>
              <w:t xml:space="preserve">说明</w:t>
            </w:r>
            <w:r/>
          </w:p>
        </w:tc>
      </w:tr>
      <w:tr>
        <w:trPr>
          <w:jc w:val="center"/>
          <w:trHeight w:val="631"/>
        </w:trPr>
        <w:tc>
          <w:tcPr>
            <w:tcW w:w="835" w:type="dxa"/>
            <w:vAlign w:val="center"/>
            <w:textDirection w:val="lrTb"/>
            <w:noWrap w:val="false"/>
          </w:tcPr>
          <w:p>
            <w:pPr>
              <w:ind w:firstLine="28"/>
              <w:jc w:val="center"/>
              <w:rPr>
                <w:sz w:val="24"/>
                <w:highlight w:val="none"/>
              </w:rPr>
            </w:pPr>
            <w:r>
              <w:rPr>
                <w:rFonts w:hint="eastAsia"/>
                <w:sz w:val="24"/>
                <w:highlight w:val="none"/>
              </w:rPr>
              <w:t xml:space="preserve">1</w:t>
            </w:r>
            <w:r/>
          </w:p>
        </w:tc>
        <w:tc>
          <w:tcPr>
            <w:tcW w:w="1462" w:type="dxa"/>
            <w:vAlign w:val="center"/>
            <w:textDirection w:val="lrTb"/>
            <w:noWrap w:val="false"/>
          </w:tcPr>
          <w:p>
            <w:pPr>
              <w:ind w:firstLine="28"/>
              <w:jc w:val="center"/>
              <w:rPr>
                <w:sz w:val="24"/>
                <w:highlight w:val="none"/>
              </w:rPr>
            </w:pPr>
            <w:r>
              <w:rPr>
                <w:rFonts w:hint="eastAsia"/>
                <w:sz w:val="24"/>
                <w:highlight w:val="none"/>
              </w:rPr>
              <w:t xml:space="preserve">价格分</w:t>
            </w:r>
            <w:r/>
          </w:p>
        </w:tc>
        <w:tc>
          <w:tcPr>
            <w:tcW w:w="913" w:type="dxa"/>
            <w:vAlign w:val="center"/>
            <w:textDirection w:val="lrTb"/>
            <w:noWrap w:val="false"/>
          </w:tcPr>
          <w:p>
            <w:pPr>
              <w:ind w:firstLine="28"/>
              <w:jc w:val="center"/>
              <w:rPr>
                <w:sz w:val="24"/>
                <w:highlight w:val="none"/>
              </w:rPr>
            </w:pPr>
            <w:r>
              <w:rPr>
                <w:rFonts w:hint="eastAsia"/>
                <w:sz w:val="24"/>
                <w:highlight w:val="none"/>
              </w:rPr>
              <w:t xml:space="preserve">30</w:t>
            </w:r>
            <w:r/>
          </w:p>
        </w:tc>
        <w:tc>
          <w:tcPr>
            <w:tcW w:w="40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rPr>
                <w:sz w:val="24"/>
                <w:highlight w:val="none"/>
              </w:rPr>
            </w:pPr>
            <w:r>
              <w:rPr>
                <w:rFonts w:hint="eastAsia" w:ascii="宋体" w:hAnsi="宋体" w:eastAsia="宋体" w:cs="宋体"/>
                <w:sz w:val="24"/>
                <w:szCs w:val="24"/>
                <w:highlight w:val="none"/>
              </w:rPr>
              <w:t xml:space="preserve">投标报价得分＝（评标基准价/投标报价）×分值。</w:t>
            </w:r>
            <w:r/>
          </w:p>
        </w:tc>
        <w:tc>
          <w:tcPr>
            <w:tcW w:w="2812" w:type="dxa"/>
            <w:vAlign w:val="center"/>
            <w:textDirection w:val="lrTb"/>
            <w:noWrap w:val="false"/>
          </w:tcPr>
          <w:p>
            <w:pPr>
              <w:ind w:left="-38"/>
              <w:rPr>
                <w:sz w:val="24"/>
                <w:highlight w:val="none"/>
              </w:rPr>
            </w:pPr>
            <w:r>
              <w:rPr>
                <w:rFonts w:hint="eastAsia"/>
                <w:sz w:val="24"/>
                <w:highlight w:val="none"/>
              </w:rPr>
              <w:t xml:space="preserve">此处投标报价指经过报价修正，及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报价</w:t>
            </w:r>
            <w:r/>
          </w:p>
        </w:tc>
      </w:tr>
      <w:tr>
        <w:trPr>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2</w:t>
            </w:r>
            <w:r/>
          </w:p>
        </w:tc>
        <w:tc>
          <w:tcPr>
            <w:tcW w:w="1462" w:type="dxa"/>
            <w:vAlign w:val="center"/>
            <w:textDirection w:val="lrTb"/>
            <w:noWrap w:val="false"/>
          </w:tcPr>
          <w:p>
            <w:pPr>
              <w:ind w:firstLine="28"/>
              <w:jc w:val="center"/>
              <w:rPr>
                <w:sz w:val="24"/>
                <w:highlight w:val="none"/>
              </w:rPr>
            </w:pPr>
            <w:r>
              <w:rPr>
                <w:rFonts w:hint="eastAsia"/>
                <w:sz w:val="24"/>
                <w:highlight w:val="none"/>
              </w:rPr>
              <w:t xml:space="preserve">主观分</w:t>
            </w:r>
            <w:r/>
          </w:p>
        </w:tc>
        <w:tc>
          <w:tcPr>
            <w:tcW w:w="913" w:type="dxa"/>
            <w:vAlign w:val="center"/>
            <w:textDirection w:val="lrTb"/>
            <w:noWrap w:val="false"/>
          </w:tcPr>
          <w:p>
            <w:pPr>
              <w:ind w:firstLine="28"/>
              <w:jc w:val="center"/>
              <w:rPr>
                <w:sz w:val="24"/>
                <w:highlight w:val="none"/>
              </w:rPr>
            </w:pPr>
            <w:r>
              <w:rPr>
                <w:rFonts w:hint="eastAsia"/>
                <w:sz w:val="24"/>
                <w:highlight w:val="none"/>
              </w:rPr>
              <w:t xml:space="preserve">50</w:t>
            </w:r>
            <w:r/>
          </w:p>
        </w:tc>
        <w:tc>
          <w:tcPr>
            <w:tcW w:w="4006" w:type="dxa"/>
            <w:vAlign w:val="center"/>
            <w:textDirection w:val="lrTb"/>
            <w:noWrap w:val="false"/>
          </w:tcPr>
          <w:p>
            <w:pPr>
              <w:rPr>
                <w:sz w:val="24"/>
                <w:highlight w:val="none"/>
              </w:rPr>
            </w:pPr>
            <w:r>
              <w:rPr>
                <w:sz w:val="24"/>
                <w:highlight w:val="none"/>
              </w:rPr>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cs="宋体"/>
                <w:sz w:val="24"/>
                <w:highlight w:val="none"/>
              </w:rPr>
              <w:t xml:space="preserve">全年养护计划</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10</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1、养护月历</w:t>
            </w:r>
            <w:r/>
          </w:p>
          <w:p>
            <w:pPr>
              <w:rPr>
                <w:rFonts w:ascii="宋体" w:hAnsi="宋体"/>
                <w:sz w:val="24"/>
                <w:highlight w:val="none"/>
              </w:rPr>
            </w:pPr>
            <w:r>
              <w:rPr>
                <w:rFonts w:hint="eastAsia" w:ascii="宋体" w:hAnsi="宋体"/>
                <w:sz w:val="24"/>
                <w:highlight w:val="none"/>
              </w:rPr>
              <w:t xml:space="preserve">2、冬季涂白实施计划与标准</w:t>
            </w:r>
            <w:r/>
          </w:p>
          <w:p>
            <w:pPr>
              <w:rPr>
                <w:rFonts w:ascii="宋体" w:hAnsi="宋体"/>
                <w:sz w:val="24"/>
                <w:highlight w:val="none"/>
              </w:rPr>
            </w:pPr>
            <w:r>
              <w:rPr>
                <w:rFonts w:hint="eastAsia" w:ascii="宋体" w:hAnsi="宋体"/>
                <w:sz w:val="24"/>
                <w:highlight w:val="none"/>
              </w:rPr>
              <w:t xml:space="preserve">3、标段情况调查和养护情况分析</w:t>
            </w:r>
            <w:r/>
          </w:p>
          <w:p>
            <w:pPr>
              <w:rPr>
                <w:rFonts w:ascii="宋体" w:hAnsi="宋体"/>
                <w:sz w:val="24"/>
                <w:highlight w:val="none"/>
              </w:rPr>
            </w:pPr>
            <w:r>
              <w:rPr>
                <w:rFonts w:hint="eastAsia" w:ascii="宋体" w:hAnsi="宋体"/>
                <w:sz w:val="24"/>
                <w:highlight w:val="none"/>
              </w:rPr>
              <w:t xml:space="preserve">4、总体养护组织布置及规划</w:t>
            </w:r>
            <w:r/>
          </w:p>
          <w:p>
            <w:pPr>
              <w:rPr>
                <w:sz w:val="24"/>
                <w:highlight w:val="none"/>
              </w:rPr>
            </w:pPr>
            <w:r>
              <w:rPr>
                <w:rFonts w:hint="eastAsia" w:ascii="宋体" w:hAnsi="宋体"/>
                <w:sz w:val="24"/>
                <w:highlight w:val="none"/>
              </w:rPr>
              <w:t xml:space="preserve">计划全面完善，科学合理，可操作性强的得10分；计划基本完整，较合理、操作性一般的得7分；计划凌乱、有缺失，少量有操作性的得4分；不提供不得分。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2</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cs="宋体"/>
                <w:sz w:val="24"/>
                <w:highlight w:val="none"/>
              </w:rPr>
              <w:t xml:space="preserve">病虫害防治方案</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12</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1、食叶性害虫防治方案</w:t>
            </w:r>
            <w:r/>
          </w:p>
          <w:p>
            <w:pPr>
              <w:rPr>
                <w:rFonts w:ascii="宋体" w:hAnsi="宋体"/>
                <w:sz w:val="24"/>
                <w:highlight w:val="none"/>
              </w:rPr>
            </w:pPr>
            <w:r>
              <w:rPr>
                <w:rFonts w:hint="eastAsia" w:ascii="宋体" w:hAnsi="宋体"/>
                <w:sz w:val="24"/>
                <w:highlight w:val="none"/>
              </w:rPr>
              <w:t xml:space="preserve">2、蛀干性害虫防治方案</w:t>
            </w:r>
            <w:r/>
          </w:p>
          <w:p>
            <w:pPr>
              <w:rPr>
                <w:rFonts w:ascii="宋体" w:hAnsi="宋体"/>
                <w:sz w:val="24"/>
                <w:highlight w:val="none"/>
              </w:rPr>
            </w:pPr>
            <w:r>
              <w:rPr>
                <w:rFonts w:hint="eastAsia" w:ascii="宋体" w:hAnsi="宋体"/>
                <w:sz w:val="24"/>
                <w:highlight w:val="none"/>
              </w:rPr>
              <w:t xml:space="preserve">3、刺吸式害虫防治方案</w:t>
            </w:r>
            <w:r/>
          </w:p>
          <w:p>
            <w:pPr>
              <w:rPr>
                <w:rFonts w:ascii="宋体" w:hAnsi="宋体"/>
                <w:sz w:val="24"/>
                <w:highlight w:val="none"/>
              </w:rPr>
            </w:pPr>
            <w:r>
              <w:rPr>
                <w:rFonts w:hint="eastAsia" w:ascii="宋体" w:hAnsi="宋体"/>
                <w:sz w:val="24"/>
                <w:highlight w:val="none"/>
              </w:rPr>
              <w:t xml:space="preserve">4、常见病害防治方案</w:t>
            </w:r>
            <w:r/>
          </w:p>
          <w:p>
            <w:pPr>
              <w:rPr>
                <w:sz w:val="24"/>
                <w:highlight w:val="none"/>
              </w:rPr>
            </w:pPr>
            <w:r>
              <w:rPr>
                <w:rFonts w:hint="eastAsia" w:ascii="宋体" w:hAnsi="宋体"/>
                <w:sz w:val="24"/>
                <w:highlight w:val="none"/>
              </w:rPr>
              <w:t xml:space="preserve">方案全面完善，针对性及可行性强得12分；方案基本完整，针对性及可行性一般的得8分；方案内容不完整，缺漏较多，少量具有可行性的得4分；不提供不得分。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3</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sz w:val="24"/>
                <w:highlight w:val="none"/>
              </w:rPr>
              <w:t xml:space="preserve">植物修剪方案</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16</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1、大型乔木修剪方案</w:t>
            </w:r>
            <w:r/>
          </w:p>
          <w:p>
            <w:pPr>
              <w:rPr>
                <w:rFonts w:ascii="宋体" w:hAnsi="宋体"/>
                <w:sz w:val="24"/>
                <w:highlight w:val="none"/>
              </w:rPr>
            </w:pPr>
            <w:r>
              <w:rPr>
                <w:rFonts w:hint="eastAsia" w:ascii="宋体" w:hAnsi="宋体"/>
                <w:sz w:val="24"/>
                <w:highlight w:val="none"/>
              </w:rPr>
              <w:t xml:space="preserve">2、绿篱色块修剪方案</w:t>
            </w:r>
            <w:r/>
          </w:p>
          <w:p>
            <w:pPr>
              <w:rPr>
                <w:rFonts w:ascii="宋体" w:hAnsi="宋体"/>
                <w:sz w:val="24"/>
                <w:highlight w:val="none"/>
              </w:rPr>
            </w:pPr>
            <w:r>
              <w:rPr>
                <w:rFonts w:hint="eastAsia" w:ascii="宋体" w:hAnsi="宋体"/>
                <w:sz w:val="24"/>
                <w:highlight w:val="none"/>
              </w:rPr>
              <w:t xml:space="preserve">3、草坪修剪方案</w:t>
            </w:r>
            <w:r/>
          </w:p>
          <w:p>
            <w:pPr>
              <w:rPr>
                <w:rFonts w:ascii="宋体" w:hAnsi="宋体"/>
                <w:sz w:val="24"/>
                <w:highlight w:val="none"/>
              </w:rPr>
            </w:pPr>
            <w:r>
              <w:rPr>
                <w:rFonts w:hint="eastAsia" w:ascii="宋体" w:hAnsi="宋体"/>
                <w:sz w:val="24"/>
                <w:highlight w:val="none"/>
              </w:rPr>
              <w:t xml:space="preserve">4、常见花灌木修剪方案</w:t>
            </w:r>
            <w:r/>
          </w:p>
          <w:p>
            <w:pPr>
              <w:rPr>
                <w:sz w:val="24"/>
                <w:highlight w:val="none"/>
              </w:rPr>
            </w:pPr>
            <w:r>
              <w:rPr>
                <w:rFonts w:hint="eastAsia" w:ascii="宋体" w:hAnsi="宋体"/>
                <w:sz w:val="24"/>
                <w:highlight w:val="none"/>
              </w:rPr>
              <w:t xml:space="preserve">方案全面完善，针对性及可行性强得16分；方案基本完整，针对性及可行性一般的得10分；方案内容不完整，缺漏较多，少量具有可行性的得4分；不提供不得分。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4</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sz w:val="24"/>
                <w:highlight w:val="none"/>
              </w:rPr>
              <w:t xml:space="preserve">极端天气和突发事件预案</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8</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1、抗旱保苗预案</w:t>
            </w:r>
            <w:r/>
          </w:p>
          <w:p>
            <w:pPr>
              <w:rPr>
                <w:rFonts w:ascii="宋体" w:hAnsi="宋体"/>
                <w:sz w:val="24"/>
                <w:highlight w:val="none"/>
              </w:rPr>
            </w:pPr>
            <w:r>
              <w:rPr>
                <w:rFonts w:hint="eastAsia" w:ascii="宋体" w:hAnsi="宋体"/>
                <w:sz w:val="24"/>
                <w:highlight w:val="none"/>
              </w:rPr>
              <w:t xml:space="preserve">2、防台风应急预案</w:t>
            </w:r>
            <w:r/>
          </w:p>
          <w:p>
            <w:pPr>
              <w:rPr>
                <w:rFonts w:ascii="宋体" w:hAnsi="宋体"/>
                <w:sz w:val="24"/>
                <w:highlight w:val="none"/>
              </w:rPr>
            </w:pPr>
            <w:r>
              <w:rPr>
                <w:rFonts w:hint="eastAsia" w:ascii="宋体" w:hAnsi="宋体"/>
                <w:sz w:val="24"/>
                <w:highlight w:val="none"/>
              </w:rPr>
              <w:t xml:space="preserve">3、防寒防冻应急预案</w:t>
            </w:r>
            <w:r/>
          </w:p>
          <w:p>
            <w:pPr>
              <w:rPr>
                <w:rFonts w:ascii="宋体" w:hAnsi="宋体"/>
                <w:sz w:val="24"/>
                <w:highlight w:val="none"/>
              </w:rPr>
            </w:pPr>
            <w:r>
              <w:rPr>
                <w:rFonts w:hint="eastAsia" w:ascii="宋体" w:hAnsi="宋体"/>
                <w:sz w:val="24"/>
                <w:highlight w:val="none"/>
              </w:rPr>
              <w:t xml:space="preserve">4、排水防涝应急预案</w:t>
            </w:r>
            <w:r/>
          </w:p>
          <w:p>
            <w:pPr>
              <w:rPr>
                <w:rFonts w:ascii="宋体" w:hAnsi="宋体"/>
                <w:sz w:val="24"/>
                <w:highlight w:val="none"/>
              </w:rPr>
            </w:pPr>
            <w:r>
              <w:rPr>
                <w:rFonts w:hint="eastAsia" w:ascii="宋体" w:hAnsi="宋体"/>
                <w:sz w:val="24"/>
                <w:highlight w:val="none"/>
              </w:rPr>
              <w:t xml:space="preserve">5、聚众上访事件应急预案</w:t>
            </w:r>
            <w:r/>
          </w:p>
          <w:p>
            <w:pPr>
              <w:rPr>
                <w:sz w:val="24"/>
                <w:highlight w:val="none"/>
              </w:rPr>
            </w:pPr>
            <w:r>
              <w:rPr>
                <w:rFonts w:hint="eastAsia" w:ascii="宋体" w:hAnsi="宋体"/>
                <w:sz w:val="24"/>
                <w:highlight w:val="none"/>
              </w:rPr>
              <w:t xml:space="preserve">预案全面完善，科学合理，可操作性强的得8分；预案基本完整，较合理、操作性一般的得5分；预案内容缺失，少量有操作性的得2分；不提供不得分。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Height w:val="3110"/>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5</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sz w:val="24"/>
                <w:highlight w:val="none"/>
              </w:rPr>
              <w:t xml:space="preserve">安全操作规程</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4</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1、登高作业安全规程</w:t>
            </w:r>
            <w:r/>
          </w:p>
          <w:p>
            <w:pPr>
              <w:rPr>
                <w:rFonts w:ascii="宋体" w:hAnsi="宋体"/>
                <w:sz w:val="24"/>
                <w:highlight w:val="none"/>
              </w:rPr>
            </w:pPr>
            <w:r>
              <w:rPr>
                <w:rFonts w:hint="eastAsia" w:ascii="宋体" w:hAnsi="宋体"/>
                <w:sz w:val="24"/>
                <w:highlight w:val="none"/>
              </w:rPr>
              <w:t xml:space="preserve">2、农药使用安全规程</w:t>
            </w:r>
            <w:r/>
          </w:p>
          <w:p>
            <w:pPr>
              <w:rPr>
                <w:rFonts w:ascii="宋体" w:hAnsi="宋体"/>
                <w:sz w:val="24"/>
                <w:highlight w:val="none"/>
              </w:rPr>
            </w:pPr>
            <w:r>
              <w:rPr>
                <w:rFonts w:hint="eastAsia" w:ascii="宋体" w:hAnsi="宋体"/>
                <w:sz w:val="24"/>
                <w:highlight w:val="none"/>
              </w:rPr>
              <w:t xml:space="preserve">3、机械使用安全规程</w:t>
            </w:r>
            <w:r/>
          </w:p>
          <w:p>
            <w:pPr>
              <w:rPr>
                <w:rFonts w:ascii="宋体" w:hAnsi="宋体"/>
                <w:sz w:val="24"/>
                <w:highlight w:val="none"/>
              </w:rPr>
            </w:pPr>
            <w:r>
              <w:rPr>
                <w:rFonts w:hint="eastAsia" w:ascii="宋体" w:hAnsi="宋体"/>
                <w:sz w:val="24"/>
                <w:highlight w:val="none"/>
              </w:rPr>
              <w:t xml:space="preserve">4、修剪过程安全规程</w:t>
            </w:r>
            <w:r/>
          </w:p>
          <w:p>
            <w:pPr>
              <w:rPr>
                <w:rFonts w:ascii="宋体" w:hAnsi="宋体"/>
                <w:sz w:val="24"/>
                <w:highlight w:val="none"/>
              </w:rPr>
            </w:pPr>
            <w:r>
              <w:rPr>
                <w:rFonts w:hint="eastAsia" w:ascii="宋体" w:hAnsi="宋体"/>
                <w:sz w:val="24"/>
                <w:highlight w:val="none"/>
              </w:rPr>
              <w:t xml:space="preserve">安全操作规程方案全面完善，针对性及可行性强得4分；方案基本完整，针对性及可行性一般的得3分；方案内容不完整，缺漏较多，少量具有可行性的得1分；不提供不得分。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Height w:val="90"/>
        </w:trPr>
        <w:tc>
          <w:tcPr>
            <w:tcW w:w="835" w:type="dxa"/>
            <w:vAlign w:val="center"/>
            <w:textDirection w:val="lrTb"/>
            <w:noWrap w:val="false"/>
          </w:tcPr>
          <w:p>
            <w:pPr>
              <w:ind w:firstLine="28"/>
              <w:jc w:val="center"/>
              <w:rPr>
                <w:sz w:val="24"/>
                <w:highlight w:val="none"/>
              </w:rPr>
            </w:pPr>
            <w:r>
              <w:rPr>
                <w:rFonts w:hint="eastAsia"/>
                <w:sz w:val="24"/>
                <w:highlight w:val="none"/>
              </w:rPr>
              <w:t xml:space="preserve">3</w:t>
            </w:r>
            <w:r/>
          </w:p>
        </w:tc>
        <w:tc>
          <w:tcPr>
            <w:tcW w:w="1462" w:type="dxa"/>
            <w:vAlign w:val="center"/>
            <w:textDirection w:val="lrTb"/>
            <w:noWrap w:val="false"/>
          </w:tcPr>
          <w:p>
            <w:pPr>
              <w:ind w:firstLine="28"/>
              <w:jc w:val="center"/>
              <w:rPr>
                <w:sz w:val="24"/>
                <w:highlight w:val="none"/>
              </w:rPr>
            </w:pPr>
            <w:r>
              <w:rPr>
                <w:rFonts w:hint="eastAsia"/>
                <w:sz w:val="24"/>
                <w:highlight w:val="none"/>
              </w:rPr>
              <w:t xml:space="preserve">客观分</w:t>
            </w:r>
            <w:r/>
          </w:p>
        </w:tc>
        <w:tc>
          <w:tcPr>
            <w:tcW w:w="913" w:type="dxa"/>
            <w:vAlign w:val="center"/>
            <w:textDirection w:val="lrTb"/>
            <w:noWrap w:val="false"/>
          </w:tcPr>
          <w:p>
            <w:pPr>
              <w:ind w:firstLine="28"/>
              <w:jc w:val="center"/>
              <w:rPr>
                <w:sz w:val="24"/>
                <w:highlight w:val="none"/>
              </w:rPr>
            </w:pPr>
            <w:r>
              <w:rPr>
                <w:rFonts w:hint="eastAsia"/>
                <w:sz w:val="24"/>
                <w:highlight w:val="none"/>
              </w:rPr>
              <w:t xml:space="preserve">20</w:t>
            </w:r>
            <w:r/>
          </w:p>
        </w:tc>
        <w:tc>
          <w:tcPr>
            <w:tcW w:w="4006" w:type="dxa"/>
            <w:vAlign w:val="center"/>
            <w:textDirection w:val="lrTb"/>
            <w:noWrap w:val="false"/>
          </w:tcPr>
          <w:p>
            <w:pPr>
              <w:rPr>
                <w:sz w:val="24"/>
                <w:highlight w:val="none"/>
              </w:rPr>
            </w:pPr>
            <w:r>
              <w:rPr>
                <w:sz w:val="24"/>
                <w:highlight w:val="none"/>
              </w:rPr>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3.1</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企业荣誉</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3</w:t>
            </w:r>
            <w:r/>
          </w:p>
        </w:tc>
        <w:tc>
          <w:tcPr>
            <w:tcW w:w="4006" w:type="dxa"/>
            <w:vAlign w:val="center"/>
            <w:textDirection w:val="lrTb"/>
            <w:noWrap w:val="false"/>
          </w:tcPr>
          <w:p>
            <w:pPr>
              <w:rPr>
                <w:sz w:val="24"/>
                <w:highlight w:val="none"/>
              </w:rPr>
            </w:pPr>
            <w:r>
              <w:rPr>
                <w:rFonts w:hint="eastAsia"/>
                <w:sz w:val="24"/>
                <w:highlight w:val="none"/>
              </w:rPr>
              <w:t xml:space="preserve">企业近 3 年 (本项目开标当日向前推算 3 年之日起至本项目开标当日止) 获得过政府职能部门颁发的有关绿化建设项目或绿化养护管理项目的荣誉或奖项的，有 1个得 3 分。</w:t>
            </w:r>
            <w:r/>
          </w:p>
        </w:tc>
        <w:tc>
          <w:tcPr>
            <w:tcW w:w="2812" w:type="dxa"/>
            <w:vAlign w:val="center"/>
            <w:textDirection w:val="lrTb"/>
            <w:noWrap w:val="false"/>
          </w:tcPr>
          <w:p>
            <w:pPr>
              <w:ind w:left="-38"/>
              <w:rPr>
                <w:rFonts w:ascii="宋体" w:hAnsi="宋体" w:cs="宋体"/>
                <w:sz w:val="24"/>
                <w:highlight w:val="none"/>
              </w:rPr>
            </w:pPr>
            <w:r>
              <w:rPr>
                <w:rFonts w:hint="eastAsia" w:ascii="宋体" w:hAnsi="宋体" w:cs="宋体"/>
                <w:sz w:val="24"/>
                <w:highlight w:val="none"/>
              </w:rPr>
              <w:t xml:space="preserve">须提供获奖证明材料</w:t>
            </w:r>
            <w:r>
              <w:rPr>
                <w:rFonts w:hint="eastAsia" w:ascii="宋体" w:hAnsi="宋体" w:cs="宋体"/>
                <w:sz w:val="24"/>
                <w:highlight w:val="none"/>
                <w:lang w:val="en-US" w:eastAsia="zh-CN"/>
              </w:rPr>
              <w:t xml:space="preserve">原件扫描件加盖公章</w:t>
            </w:r>
            <w:r>
              <w:rPr>
                <w:rFonts w:hint="eastAsia" w:ascii="宋体" w:hAnsi="宋体" w:cs="宋体"/>
                <w:sz w:val="24"/>
                <w:highlight w:val="none"/>
              </w:rPr>
              <w:t xml:space="preserve">，时间以获奖证明材料所载时间为准，不提供不得分。</w:t>
            </w:r>
            <w:r/>
          </w:p>
          <w:p>
            <w:pPr>
              <w:ind w:left="-38"/>
              <w:rPr>
                <w:rFonts w:ascii="宋体" w:hAnsi="宋体" w:cs="宋体"/>
                <w:sz w:val="24"/>
                <w:highlight w:val="none"/>
              </w:rPr>
            </w:pPr>
            <w:r>
              <w:rPr>
                <w:rFonts w:hint="eastAsia" w:ascii="宋体" w:hAnsi="宋体" w:cs="宋体"/>
                <w:sz w:val="24"/>
                <w:highlight w:val="none"/>
              </w:rPr>
              <w:t xml:space="preserve">同一个项目获得不同奖项的，仅计分一次。</w:t>
            </w:r>
            <w:r/>
          </w:p>
        </w:tc>
      </w:tr>
      <w:tr>
        <w:trPr>
          <w:cantSplit/>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3.2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企业业绩</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3</w:t>
            </w:r>
            <w:r/>
          </w:p>
        </w:tc>
        <w:tc>
          <w:tcPr>
            <w:tcBorders>
              <w:bottom w:val="single" w:color="auto" w:sz="4" w:space="0"/>
            </w:tcBorders>
            <w:tcW w:w="4006" w:type="dxa"/>
            <w:vAlign w:val="center"/>
            <w:textDirection w:val="lrTb"/>
            <w:noWrap w:val="false"/>
          </w:tcPr>
          <w:p>
            <w:pPr>
              <w:pStyle w:val="1083"/>
              <w:ind w:firstLine="0"/>
              <w:jc w:val="left"/>
              <w:rPr>
                <w:sz w:val="24"/>
                <w:highlight w:val="none"/>
              </w:rPr>
            </w:pPr>
            <w:r>
              <w:rPr>
                <w:rFonts w:hint="eastAsia"/>
                <w:sz w:val="24"/>
                <w:highlight w:val="none"/>
              </w:rPr>
              <w:t xml:space="preserve">企业自近</w:t>
            </w:r>
            <w:r>
              <w:rPr>
                <w:rFonts w:hint="eastAsia"/>
                <w:sz w:val="24"/>
                <w:highlight w:val="none"/>
                <w:lang w:val="en-US" w:eastAsia="zh-CN"/>
              </w:rPr>
              <w:t xml:space="preserve">3</w:t>
            </w:r>
            <w:r>
              <w:rPr>
                <w:rFonts w:hint="eastAsia"/>
                <w:sz w:val="24"/>
                <w:highlight w:val="none"/>
              </w:rPr>
              <w:t xml:space="preserve">年 (本项目开标当日向前推算 </w:t>
            </w:r>
            <w:r>
              <w:rPr>
                <w:rFonts w:hint="eastAsia"/>
                <w:sz w:val="24"/>
                <w:highlight w:val="none"/>
                <w:lang w:val="en-US" w:eastAsia="zh-CN"/>
              </w:rPr>
              <w:t xml:space="preserve">3</w:t>
            </w:r>
            <w:r>
              <w:rPr>
                <w:rFonts w:hint="eastAsia"/>
                <w:sz w:val="24"/>
                <w:highlight w:val="none"/>
              </w:rPr>
              <w:t xml:space="preserve">年之日起至本项目开标当日止) 以来承担过绿化养护项目或绿化工程建设业绩的，有 1个得 1分，本项最高3分。</w:t>
            </w:r>
            <w:r/>
          </w:p>
        </w:tc>
        <w:tc>
          <w:tcPr>
            <w:tcBorders>
              <w:bottom w:val="single" w:color="auto" w:sz="4" w:space="0"/>
            </w:tcBorders>
            <w:tcW w:w="2812" w:type="dxa"/>
            <w:vAlign w:val="center"/>
            <w:textDirection w:val="lrTb"/>
            <w:noWrap w:val="false"/>
          </w:tcPr>
          <w:p>
            <w:pPr>
              <w:pStyle w:val="1083"/>
              <w:ind w:firstLine="0"/>
              <w:rPr>
                <w:rFonts w:ascii="宋体" w:hAnsi="宋体" w:cs="宋体"/>
                <w:sz w:val="24"/>
                <w:szCs w:val="24"/>
                <w:highlight w:val="none"/>
              </w:rPr>
            </w:pPr>
            <w:r>
              <w:rPr>
                <w:rFonts w:hint="eastAsia" w:ascii="宋体" w:hAnsi="宋体" w:cs="宋体"/>
                <w:sz w:val="24"/>
                <w:szCs w:val="24"/>
                <w:highlight w:val="none"/>
              </w:rPr>
              <w:t xml:space="preserve">提供合同原件</w:t>
            </w:r>
            <w:r>
              <w:rPr>
                <w:rFonts w:hint="eastAsia" w:ascii="宋体" w:hAnsi="宋体" w:cs="宋体"/>
                <w:sz w:val="24"/>
                <w:szCs w:val="24"/>
                <w:highlight w:val="none"/>
                <w:lang w:val="en-US" w:eastAsia="zh-CN"/>
              </w:rPr>
              <w:t xml:space="preserve">扫描件加盖公章</w:t>
            </w:r>
            <w:r>
              <w:rPr>
                <w:rFonts w:hint="eastAsia" w:ascii="宋体" w:hAnsi="宋体" w:cs="宋体"/>
                <w:sz w:val="24"/>
                <w:szCs w:val="24"/>
                <w:highlight w:val="none"/>
              </w:rPr>
              <w:t xml:space="preserve">(时间以合同签订时间为准），未提供不得分</w:t>
            </w:r>
            <w:r/>
          </w:p>
        </w:tc>
      </w:tr>
      <w:tr>
        <w:trPr>
          <w:cantSplit/>
          <w:jc w:val="center"/>
          <w:trHeight w:val="996"/>
        </w:trPr>
        <w:tc>
          <w:tcPr>
            <w:tcW w:w="835" w:type="dxa"/>
            <w:vAlign w:val="center"/>
            <w:textDirection w:val="lrTb"/>
            <w:noWrap w:val="false"/>
          </w:tcPr>
          <w:p>
            <w:pPr>
              <w:ind w:firstLine="28"/>
              <w:jc w:val="center"/>
              <w:rPr>
                <w:sz w:val="24"/>
                <w:highlight w:val="none"/>
              </w:rPr>
            </w:pPr>
            <w:r>
              <w:rPr>
                <w:rFonts w:hint="eastAsia"/>
                <w:sz w:val="24"/>
                <w:highlight w:val="none"/>
              </w:rPr>
              <w:t xml:space="preserve">3.3</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安全管理人员</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3</w:t>
            </w:r>
            <w:r/>
          </w:p>
        </w:tc>
        <w:tc>
          <w:tcPr>
            <w:tcBorders>
              <w:top w:val="single" w:color="auto" w:sz="4" w:space="0"/>
            </w:tcBorders>
            <w:tcW w:w="4006" w:type="dxa"/>
            <w:vAlign w:val="center"/>
            <w:textDirection w:val="lrTb"/>
            <w:noWrap w:val="false"/>
          </w:tcPr>
          <w:p>
            <w:pPr>
              <w:rPr>
                <w:sz w:val="24"/>
                <w:highlight w:val="none"/>
              </w:rPr>
            </w:pPr>
            <w:r>
              <w:rPr>
                <w:rFonts w:hint="eastAsia"/>
                <w:sz w:val="24"/>
                <w:highlight w:val="none"/>
              </w:rPr>
              <w:t xml:space="preserve">为本项目配备安全管理人员的得 3 分</w:t>
            </w:r>
            <w:r/>
          </w:p>
        </w:tc>
        <w:tc>
          <w:tcPr>
            <w:tcBorders>
              <w:top w:val="single" w:color="auto" w:sz="4" w:space="0"/>
            </w:tcBorders>
            <w:tcW w:w="2812" w:type="dxa"/>
            <w:vAlign w:val="center"/>
            <w:textDirection w:val="lrTb"/>
            <w:noWrap w:val="false"/>
          </w:tcPr>
          <w:p>
            <w:pPr>
              <w:ind w:left="-38"/>
              <w:rPr>
                <w:rFonts w:hint="default" w:ascii="宋体" w:hAnsi="宋体" w:eastAsia="宋体" w:cs="宋体"/>
                <w:sz w:val="24"/>
                <w:highlight w:val="none"/>
                <w:lang w:val="en-US" w:eastAsia="zh-CN"/>
              </w:rPr>
            </w:pPr>
            <w:r>
              <w:rPr>
                <w:rFonts w:hint="eastAsia" w:ascii="宋体" w:hAnsi="宋体" w:cs="宋体"/>
                <w:sz w:val="24"/>
                <w:highlight w:val="none"/>
              </w:rPr>
              <w:t xml:space="preserve">提供安全员资格证书或安全生产培训合格证明材料</w:t>
            </w:r>
            <w:r>
              <w:rPr>
                <w:rFonts w:hint="eastAsia" w:ascii="宋体" w:hAnsi="宋体" w:cs="宋体"/>
                <w:sz w:val="24"/>
                <w:highlight w:val="none"/>
                <w:lang w:val="en-US" w:eastAsia="zh-CN"/>
              </w:rPr>
              <w:t xml:space="preserve">原件扫描件加盖公章，未提供的不得分。</w:t>
            </w:r>
            <w:r/>
          </w:p>
        </w:tc>
      </w:tr>
      <w:tr>
        <w:trPr>
          <w:cantSplit/>
          <w:jc w:val="center"/>
          <w:trHeight w:val="90"/>
        </w:trPr>
        <w:tc>
          <w:tcPr>
            <w:tcW w:w="835" w:type="dxa"/>
            <w:vAlign w:val="center"/>
            <w:textDirection w:val="lrTb"/>
            <w:noWrap w:val="false"/>
          </w:tcPr>
          <w:p>
            <w:pPr>
              <w:ind w:firstLine="28"/>
              <w:jc w:val="center"/>
              <w:rPr>
                <w:sz w:val="24"/>
                <w:highlight w:val="none"/>
              </w:rPr>
            </w:pPr>
            <w:r>
              <w:rPr>
                <w:rFonts w:hint="eastAsia"/>
                <w:sz w:val="24"/>
                <w:highlight w:val="none"/>
              </w:rPr>
              <w:t xml:space="preserve">3.4</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项目负责人</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5</w:t>
            </w:r>
            <w:r/>
          </w:p>
        </w:tc>
        <w:tc>
          <w:tcPr>
            <w:tcBorders>
              <w:bottom w:val="single" w:color="auto" w:sz="4" w:space="0"/>
            </w:tcBorders>
            <w:tcW w:w="4006" w:type="dxa"/>
            <w:vAlign w:val="center"/>
            <w:textDirection w:val="lrTb"/>
            <w:noWrap w:val="false"/>
          </w:tcPr>
          <w:p>
            <w:pPr>
              <w:pStyle w:val="1083"/>
              <w:ind w:firstLine="0"/>
              <w:rPr>
                <w:sz w:val="24"/>
                <w:highlight w:val="none"/>
              </w:rPr>
            </w:pPr>
            <w:r>
              <w:rPr>
                <w:rFonts w:hint="eastAsia"/>
                <w:sz w:val="24"/>
                <w:highlight w:val="none"/>
              </w:rPr>
              <w:t xml:space="preserve">拟派项目负责人具有高级工程师证书或园林工程师证书的得5分</w:t>
            </w:r>
            <w:r>
              <w:rPr>
                <w:rFonts w:hint="eastAsia"/>
                <w:sz w:val="24"/>
                <w:highlight w:val="none"/>
                <w:lang w:eastAsia="zh-CN"/>
              </w:rPr>
              <w:t xml:space="preserve">；</w:t>
            </w:r>
            <w:r>
              <w:rPr>
                <w:rFonts w:hint="eastAsia"/>
                <w:sz w:val="24"/>
                <w:highlight w:val="none"/>
                <w:lang w:val="en-US" w:eastAsia="zh-CN"/>
              </w:rPr>
              <w:t xml:space="preserve">具</w:t>
            </w:r>
            <w:r>
              <w:rPr>
                <w:rFonts w:hint="eastAsia"/>
                <w:sz w:val="24"/>
                <w:highlight w:val="none"/>
              </w:rPr>
              <w:t xml:space="preserve">有园林绿化岗位证书的得1分</w:t>
            </w:r>
            <w:r>
              <w:rPr>
                <w:rFonts w:hint="eastAsia"/>
                <w:sz w:val="24"/>
                <w:highlight w:val="none"/>
                <w:lang w:eastAsia="zh-CN"/>
              </w:rPr>
              <w:t xml:space="preserve">。</w:t>
            </w:r>
            <w:r>
              <w:rPr>
                <w:rFonts w:hint="eastAsia"/>
                <w:sz w:val="24"/>
                <w:highlight w:val="none"/>
              </w:rPr>
              <w:t xml:space="preserve">以上若未有证书不得分</w:t>
            </w:r>
            <w:r>
              <w:rPr>
                <w:rFonts w:hint="eastAsia"/>
                <w:sz w:val="24"/>
                <w:highlight w:val="none"/>
                <w:lang w:eastAsia="zh-CN"/>
              </w:rPr>
              <w:t xml:space="preserve">，</w:t>
            </w:r>
            <w:r>
              <w:rPr>
                <w:rFonts w:hint="eastAsia"/>
                <w:sz w:val="24"/>
                <w:highlight w:val="none"/>
                <w:lang w:val="en-US" w:eastAsia="zh-CN"/>
              </w:rPr>
              <w:t xml:space="preserve">满分5分</w:t>
            </w:r>
            <w:r>
              <w:rPr>
                <w:rFonts w:hint="eastAsia"/>
                <w:sz w:val="24"/>
                <w:highlight w:val="none"/>
              </w:rPr>
              <w:t xml:space="preserve">；</w:t>
            </w:r>
            <w:r/>
          </w:p>
        </w:tc>
        <w:tc>
          <w:tcPr>
            <w:tcBorders>
              <w:bottom w:val="single" w:color="auto" w:sz="4" w:space="0"/>
            </w:tcBorders>
            <w:tcW w:w="2812" w:type="dxa"/>
            <w:vAlign w:val="center"/>
            <w:textDirection w:val="lrTb"/>
            <w:noWrap w:val="false"/>
          </w:tcPr>
          <w:p>
            <w:pPr>
              <w:ind w:left="-38"/>
              <w:rPr>
                <w:rFonts w:ascii="宋体" w:hAnsi="宋体" w:cs="宋体"/>
                <w:sz w:val="24"/>
                <w:highlight w:val="none"/>
              </w:rPr>
            </w:pPr>
            <w:r>
              <w:rPr>
                <w:rFonts w:hint="eastAsia" w:ascii="宋体" w:hAnsi="宋体" w:cs="宋体"/>
                <w:sz w:val="24"/>
                <w:highlight w:val="none"/>
              </w:rPr>
              <w:t xml:space="preserve">提供证书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专业以职称证书为准，职称证书不体现专业的则提供毕业证书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原件</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和人员最近3个月任意一个月的社保扫描件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上传系统，未提供不得分</w:t>
            </w:r>
            <w:r/>
          </w:p>
        </w:tc>
      </w:tr>
      <w:tr>
        <w:trPr>
          <w:cantSplit/>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3.5</w:t>
            </w:r>
            <w:r/>
          </w:p>
        </w:tc>
        <w:tc>
          <w:tcPr>
            <w:tcW w:w="146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机械配备</w:t>
            </w:r>
            <w:r/>
          </w:p>
        </w:tc>
        <w:tc>
          <w:tcPr>
            <w:tcW w:w="913"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bottom w:val="single" w:color="auto" w:sz="4" w:space="0"/>
            </w:tcBorders>
            <w:tcW w:w="4006"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投标人自备洒水车、农用车、割灌机、水泵、吹风机、油锯、打药机、割草机、绿篱机中每配备一种机械的得1分，本项最高得6分。</w:t>
            </w:r>
            <w:r/>
          </w:p>
        </w:tc>
        <w:tc>
          <w:tcPr>
            <w:tcBorders>
              <w:top w:val="single" w:color="auto" w:sz="4" w:space="0"/>
              <w:bottom w:val="single" w:color="auto" w:sz="4" w:space="0"/>
            </w:tcBorders>
            <w:tcW w:w="2812" w:type="dxa"/>
            <w:vAlign w:val="center"/>
            <w:textDirection w:val="lrTb"/>
            <w:noWrap w:val="false"/>
          </w:tcPr>
          <w:p>
            <w:pPr>
              <w:ind w:left="-38"/>
              <w:rPr>
                <w:rFonts w:ascii="宋体" w:hAnsi="宋体" w:cs="宋体"/>
                <w:b/>
                <w:sz w:val="24"/>
                <w:highlight w:val="none"/>
              </w:rPr>
            </w:pPr>
            <w:r>
              <w:rPr>
                <w:rFonts w:hint="eastAsia" w:ascii="宋体" w:hAnsi="宋体" w:cs="宋体"/>
                <w:sz w:val="24"/>
                <w:highlight w:val="none"/>
              </w:rPr>
              <w:t xml:space="preserve">提供设备发票</w:t>
            </w:r>
            <w:r>
              <w:rPr>
                <w:rFonts w:hint="eastAsia" w:ascii="宋体" w:hAnsi="宋体" w:cs="宋体"/>
                <w:sz w:val="24"/>
                <w:highlight w:val="none"/>
                <w:lang w:val="en-US" w:eastAsia="zh-CN"/>
              </w:rPr>
              <w:t xml:space="preserve">原件扫描件</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上传系统，未提供不得分</w:t>
            </w:r>
            <w:r/>
          </w:p>
        </w:tc>
      </w:tr>
      <w:tr>
        <w:trPr>
          <w:jc w:val="center"/>
          <w:trHeight w:val="594"/>
        </w:trPr>
        <w:tc>
          <w:tcPr>
            <w:gridSpan w:val="2"/>
            <w:tcW w:w="2297" w:type="dxa"/>
            <w:vAlign w:val="center"/>
            <w:textDirection w:val="lrTb"/>
            <w:noWrap w:val="false"/>
          </w:tcPr>
          <w:p>
            <w:pPr>
              <w:ind w:firstLine="28"/>
              <w:jc w:val="center"/>
              <w:rPr>
                <w:sz w:val="24"/>
                <w:highlight w:val="none"/>
              </w:rPr>
            </w:pPr>
            <w:r>
              <w:rPr>
                <w:sz w:val="24"/>
                <w:highlight w:val="none"/>
              </w:rPr>
              <w:t xml:space="preserve">合计</w:t>
            </w:r>
            <w:r/>
          </w:p>
        </w:tc>
        <w:tc>
          <w:tcPr>
            <w:tcW w:w="913" w:type="dxa"/>
            <w:vAlign w:val="center"/>
            <w:textDirection w:val="lrTb"/>
            <w:noWrap w:val="false"/>
          </w:tcPr>
          <w:p>
            <w:pPr>
              <w:ind w:firstLine="28"/>
              <w:jc w:val="center"/>
              <w:rPr>
                <w:sz w:val="24"/>
                <w:highlight w:val="none"/>
              </w:rPr>
            </w:pPr>
            <w:r>
              <w:rPr>
                <w:sz w:val="24"/>
                <w:highlight w:val="none"/>
              </w:rPr>
              <w:t xml:space="preserve">100</w:t>
            </w:r>
            <w:r/>
          </w:p>
        </w:tc>
        <w:tc>
          <w:tcPr>
            <w:gridSpan w:val="2"/>
            <w:tcW w:w="6818" w:type="dxa"/>
            <w:vAlign w:val="center"/>
            <w:textDirection w:val="lrTb"/>
            <w:noWrap w:val="false"/>
          </w:tcPr>
          <w:p>
            <w:pPr>
              <w:rPr>
                <w:sz w:val="24"/>
                <w:highlight w:val="none"/>
              </w:rPr>
            </w:pPr>
            <w:r>
              <w:rPr>
                <w:sz w:val="24"/>
                <w:highlight w:val="none"/>
              </w:rPr>
            </w:r>
            <w:r/>
          </w:p>
        </w:tc>
      </w:tr>
    </w:tbl>
    <w:p>
      <w:pPr>
        <w:jc w:val="left"/>
        <w:widowControl/>
        <w:rPr>
          <w:rFonts w:hint="eastAsia"/>
          <w:b/>
          <w:sz w:val="24"/>
          <w:highlight w:val="none"/>
        </w:rPr>
      </w:pPr>
      <w:r>
        <w:rPr>
          <w:rFonts w:hint="eastAsia"/>
          <w:b/>
          <w:sz w:val="24"/>
          <w:highlight w:val="none"/>
        </w:rPr>
      </w:r>
      <w:r/>
    </w:p>
    <w:p>
      <w:pPr>
        <w:jc w:val="left"/>
        <w:widowControl/>
        <w:rPr>
          <w:rFonts w:hint="eastAsia"/>
          <w:b/>
          <w:sz w:val="24"/>
          <w:highlight w:val="none"/>
          <w:lang w:val="en-US" w:eastAsia="zh-CN"/>
        </w:rPr>
      </w:pPr>
      <w:r>
        <w:rPr>
          <w:rFonts w:hint="eastAsia"/>
          <w:b/>
          <w:sz w:val="24"/>
          <w:highlight w:val="none"/>
          <w:lang w:val="en-US" w:eastAsia="zh-CN"/>
        </w:rPr>
        <w:t xml:space="preserve">14标段：</w:t>
      </w:r>
      <w:r/>
    </w:p>
    <w:tbl>
      <w:tblPr>
        <w:tblStyle w:val="783"/>
        <w:tblpPr w:horzAnchor="page" w:tblpX="1379" w:vertAnchor="text" w:tblpY="386" w:leftFromText="180" w:topFromText="0" w:rightFromText="180" w:bottomFromText="0"/>
        <w:tblW w:w="48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454"/>
        <w:gridCol w:w="891"/>
        <w:gridCol w:w="4012"/>
        <w:gridCol w:w="2438"/>
      </w:tblGrid>
      <w:tr>
        <w:trPr>
          <w:trHeight w:val="454"/>
        </w:trPr>
        <w:tc>
          <w:tcPr>
            <w:tcW w:w="379"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763"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评分</w:t>
            </w:r>
            <w:r/>
          </w:p>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因素</w:t>
            </w:r>
            <w:r/>
          </w:p>
        </w:tc>
        <w:tc>
          <w:tcPr>
            <w:tcW w:w="468"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分值</w:t>
            </w:r>
            <w:r/>
          </w:p>
        </w:tc>
        <w:tc>
          <w:tcPr>
            <w:tcW w:w="2107"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评分标准</w:t>
            </w:r>
            <w:r/>
          </w:p>
        </w:tc>
        <w:tc>
          <w:tcPr>
            <w:tcW w:w="1280" w:type="pct"/>
            <w:vAlign w:val="center"/>
            <w:textDirection w:val="lrTb"/>
            <w:noWrap w:val="false"/>
          </w:tcPr>
          <w:p>
            <w:pPr>
              <w:jc w:val="both"/>
              <w:spacing w:before="0" w:after="0" w:line="300" w:lineRule="exact"/>
              <w:widowControl w:val="off"/>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说明</w:t>
            </w:r>
            <w:r/>
          </w:p>
        </w:tc>
      </w:tr>
      <w:tr>
        <w:trPr>
          <w:trHeight w:val="454"/>
        </w:trPr>
        <w:tc>
          <w:tcPr>
            <w:tcW w:w="379" w:type="pct"/>
            <w:vAlign w:val="center"/>
            <w:textDirection w:val="lrTb"/>
            <w:noWrap w:val="false"/>
          </w:tcPr>
          <w:p>
            <w:pPr>
              <w:ind w:firstLine="28"/>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1</w:t>
            </w:r>
            <w:r/>
          </w:p>
        </w:tc>
        <w:tc>
          <w:tcPr>
            <w:tcW w:w="763" w:type="pct"/>
            <w:vAlign w:val="center"/>
            <w:textDirection w:val="lrTb"/>
            <w:noWrap w:val="false"/>
          </w:tcPr>
          <w:p>
            <w:pPr>
              <w:ind w:firstLine="28"/>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价格分</w:t>
            </w:r>
            <w:r/>
          </w:p>
        </w:tc>
        <w:tc>
          <w:tcPr>
            <w:tcW w:w="468" w:type="pct"/>
            <w:vAlign w:val="center"/>
            <w:textDirection w:val="lrTb"/>
            <w:noWrap w:val="false"/>
          </w:tcPr>
          <w:p>
            <w:pPr>
              <w:ind w:firstLine="28"/>
              <w:jc w:val="center"/>
              <w:spacing w:line="300" w:lineRule="exact"/>
              <w:rPr>
                <w:rFonts w:eastAsia="宋体"/>
                <w:highlight w:val="none"/>
              </w:rPr>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0</w:t>
            </w:r>
            <w:r/>
          </w:p>
        </w:tc>
        <w:tc>
          <w:tcPr>
            <w:tcW w:w="2107"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满足</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文件要求且投标价格最低的投标报价为评标基准价，其价格分为满分。其他投标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的价格分统一按照下列公式计算：</w:t>
            </w:r>
            <w:r/>
          </w:p>
          <w:p>
            <w:pPr>
              <w:rPr>
                <w:rFonts w:ascii="宋体" w:hAnsi="宋体" w:eastAsia="宋体" w:cs="宋体"/>
                <w:szCs w:val="21"/>
                <w:highlight w:val="none"/>
              </w:rPr>
            </w:pPr>
            <w:r>
              <w:rPr>
                <w:rFonts w:hint="eastAsia" w:ascii="宋体" w:hAnsi="宋体" w:cs="宋体"/>
                <w:sz w:val="24"/>
                <w:highlight w:val="none"/>
              </w:rPr>
              <w:t xml:space="preserve">投标报价得分＝（评标基准价/投标报价）×分值。</w:t>
            </w:r>
            <w:r/>
          </w:p>
        </w:tc>
        <w:tc>
          <w:tcPr>
            <w:tcW w:w="1280" w:type="pct"/>
            <w:vAlign w:val="center"/>
            <w:textDirection w:val="lrTb"/>
            <w:noWrap w:val="false"/>
          </w:tcPr>
          <w:p>
            <w:pPr>
              <w:ind w:left="-38"/>
              <w:rPr>
                <w:rFonts w:ascii="宋体" w:hAnsi="宋体" w:eastAsia="宋体" w:cs="宋体"/>
                <w:szCs w:val="21"/>
                <w:highlight w:val="none"/>
              </w:rPr>
            </w:pPr>
            <w:r>
              <w:rPr>
                <w:rFonts w:hint="eastAsia"/>
                <w:sz w:val="24"/>
                <w:highlight w:val="none"/>
              </w:rPr>
              <w:t xml:space="preserve">此处投标报价指经过报价修正，及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报价</w:t>
            </w:r>
            <w:r/>
          </w:p>
        </w:tc>
      </w:tr>
      <w:tr>
        <w:trPr>
          <w:trHeight w:val="454"/>
        </w:trPr>
        <w:tc>
          <w:tcPr>
            <w:tcW w:w="379"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2</w:t>
            </w:r>
            <w:r/>
          </w:p>
        </w:tc>
        <w:tc>
          <w:tcPr>
            <w:tcW w:w="763"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主观分</w:t>
            </w:r>
            <w:r/>
          </w:p>
        </w:tc>
        <w:tc>
          <w:tcPr>
            <w:tcW w:w="468"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lang w:val="en-US" w:eastAsia="zh-CN"/>
              </w:rPr>
              <w:t xml:space="preserve">5</w:t>
            </w:r>
            <w:r>
              <w:rPr>
                <w:rFonts w:ascii="宋体" w:hAnsi="宋体" w:eastAsia="宋体" w:cs="宋体"/>
                <w:b/>
                <w:szCs w:val="21"/>
                <w:highlight w:val="none"/>
              </w:rPr>
              <w:t xml:space="preserve">0</w:t>
            </w:r>
            <w:r/>
          </w:p>
        </w:tc>
        <w:tc>
          <w:tcPr>
            <w:tcW w:w="2107" w:type="pct"/>
            <w:vAlign w:val="center"/>
            <w:textDirection w:val="lrTb"/>
            <w:noWrap w:val="false"/>
          </w:tcPr>
          <w:p>
            <w:pPr>
              <w:ind w:firstLine="420"/>
              <w:spacing w:line="300" w:lineRule="exact"/>
              <w:rPr>
                <w:rFonts w:ascii="宋体" w:hAnsi="宋体" w:eastAsia="宋体" w:cs="宋体"/>
                <w:szCs w:val="21"/>
                <w:highlight w:val="none"/>
              </w:rPr>
            </w:pPr>
            <w:r>
              <w:rPr>
                <w:rFonts w:ascii="宋体" w:hAnsi="宋体" w:eastAsia="宋体" w:cs="宋体"/>
                <w:szCs w:val="21"/>
                <w:highlight w:val="none"/>
              </w:rPr>
            </w:r>
            <w:r/>
          </w:p>
        </w:tc>
        <w:tc>
          <w:tcPr>
            <w:tcW w:w="1280" w:type="pct"/>
            <w:vAlign w:val="center"/>
            <w:textDirection w:val="lrTb"/>
            <w:noWrap w:val="false"/>
          </w:tcPr>
          <w:p>
            <w:pPr>
              <w:ind w:left="-38"/>
              <w:spacing w:line="300" w:lineRule="exact"/>
              <w:rPr>
                <w:rFonts w:ascii="宋体" w:hAnsi="宋体" w:eastAsia="宋体" w:cs="宋体"/>
                <w:szCs w:val="21"/>
                <w:highlight w:val="none"/>
              </w:rPr>
            </w:pPr>
            <w:r>
              <w:rPr>
                <w:rFonts w:ascii="宋体" w:hAnsi="宋体" w:eastAsia="宋体" w:cs="宋体"/>
                <w:szCs w:val="21"/>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eastAsia="zh-CN"/>
              </w:rPr>
              <w:t xml:space="preserve">绿雕</w:t>
            </w:r>
            <w:r>
              <w:rPr>
                <w:rFonts w:hint="eastAsia" w:ascii="宋体" w:hAnsi="宋体" w:cs="宋体"/>
                <w:sz w:val="24"/>
                <w:highlight w:val="none"/>
                <w:lang w:val="en-US" w:eastAsia="zh-CN"/>
              </w:rPr>
              <w:t xml:space="preserve">种植情况</w:t>
            </w:r>
            <w:r>
              <w:rPr>
                <w:rFonts w:hint="eastAsia" w:ascii="宋体" w:hAnsi="宋体" w:cs="宋体"/>
                <w:sz w:val="24"/>
                <w:highlight w:val="none"/>
              </w:rPr>
              <w:t xml:space="preserve">及施工组织方案</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15</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评委根据供应商提供的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种植情况和施工组织方案内容进行综合评审：</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种植情况优于招标人需求，施工组织方案合理、规范、全面，可行性较高的，得</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种植情况符合招标人需求，施工组织方案比较合理、规范、全面，具备可行性的，得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质量符合招标人需求，施工组织方案基本合理、规范，可行性一般的，得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质量基本符合招标人需求，施工组织方案合理、规范、可行性欠缺的，得5分；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eastAsia="zh-CN"/>
              </w:rPr>
              <w:t xml:space="preserve">绿雕</w:t>
            </w:r>
            <w:r>
              <w:rPr>
                <w:rFonts w:hint="eastAsia" w:ascii="宋体" w:hAnsi="宋体" w:cs="宋体"/>
                <w:sz w:val="24"/>
                <w:highlight w:val="none"/>
              </w:rPr>
              <w:t xml:space="preserve">养护方案</w:t>
            </w:r>
            <w:r/>
          </w:p>
        </w:tc>
        <w:tc>
          <w:tcPr>
            <w:tcW w:w="468" w:type="pct"/>
            <w:vAlign w:val="center"/>
            <w:textDirection w:val="lrTb"/>
            <w:noWrap w:val="false"/>
          </w:tcPr>
          <w:p>
            <w:pPr>
              <w:jc w:val="center"/>
              <w:rPr>
                <w:rFonts w:hint="default" w:ascii="宋体" w:hAnsi="宋体" w:cs="宋体"/>
                <w:sz w:val="24"/>
                <w:highlight w:val="none"/>
                <w:lang w:val="en-US"/>
              </w:rPr>
            </w:pPr>
            <w:r>
              <w:rPr>
                <w:rFonts w:hint="eastAsia" w:ascii="宋体" w:hAnsi="宋体" w:cs="宋体"/>
                <w:sz w:val="24"/>
                <w:highlight w:val="none"/>
                <w:lang w:val="en-US" w:eastAsia="zh-CN"/>
              </w:rPr>
              <w:t xml:space="preserve">15</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评委根据供应商在服务期内提供的</w:t>
            </w:r>
            <w:r>
              <w:rPr>
                <w:rFonts w:hint="eastAsia" w:ascii="宋体" w:hAnsi="宋体" w:cs="宋体"/>
                <w:sz w:val="24"/>
                <w:highlight w:val="none"/>
                <w:lang w:eastAsia="zh-CN"/>
              </w:rPr>
              <w:t xml:space="preserve">绿雕</w:t>
            </w:r>
            <w:r>
              <w:rPr>
                <w:rFonts w:hint="eastAsia" w:ascii="宋体" w:hAnsi="宋体" w:cs="宋体"/>
                <w:sz w:val="24"/>
                <w:highlight w:val="none"/>
              </w:rPr>
              <w:t xml:space="preserve">种植后的养护服务方案（根据开放式公园标准化要求进行作业、日常养护措施、巡查整改、台账记录）等内容进行综合评审：</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响应文件中提供的养护服务内容具体详尽、符合实际、切实可行的，得</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响应文件中提供的养护服务内容较具体、较符合实际、操作性较可行的，得1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响应文件中提供的养护服务内容不够具体、基本符合实际、操作性基本可行的，得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响应文件中提供的养护服务内容较少、操作性较弱的，得5分；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3</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临时</w:t>
            </w:r>
            <w:r/>
          </w:p>
          <w:p>
            <w:pPr>
              <w:rPr>
                <w:rFonts w:hint="eastAsia" w:ascii="宋体" w:hAnsi="宋体" w:cs="宋体"/>
                <w:sz w:val="24"/>
                <w:highlight w:val="none"/>
              </w:rPr>
            </w:pPr>
            <w:r>
              <w:rPr>
                <w:rFonts w:hint="eastAsia" w:ascii="宋体" w:hAnsi="宋体" w:cs="宋体"/>
                <w:sz w:val="24"/>
                <w:highlight w:val="none"/>
              </w:rPr>
              <w:t xml:space="preserve">布置</w:t>
            </w:r>
            <w:r/>
          </w:p>
        </w:tc>
        <w:tc>
          <w:tcPr>
            <w:tcW w:w="468" w:type="pct"/>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val="en-US" w:eastAsia="zh-CN"/>
              </w:rPr>
              <w:t xml:space="preserve">5</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评委根据供应商提供的接到招标人临时性布置任务时的应对方案，包括响应时间、完成</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布置的时间承诺、</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质量承诺等内容进行评审：</w:t>
            </w:r>
            <w:r/>
          </w:p>
          <w:p>
            <w:pPr>
              <w:rPr>
                <w:rFonts w:hint="eastAsia" w:ascii="宋体" w:hAnsi="宋体" w:cs="宋体"/>
                <w:sz w:val="24"/>
                <w:highlight w:val="none"/>
              </w:rPr>
            </w:pPr>
            <w:r>
              <w:rPr>
                <w:rFonts w:hint="eastAsia" w:ascii="宋体" w:hAnsi="宋体" w:cs="宋体"/>
                <w:sz w:val="24"/>
                <w:highlight w:val="none"/>
              </w:rPr>
              <w:t xml:space="preserve">措施方案具体、可行，基本满足项目实施要求的，得5分；</w:t>
            </w:r>
            <w:r/>
          </w:p>
          <w:p>
            <w:pPr>
              <w:rPr>
                <w:rFonts w:hint="eastAsia" w:ascii="宋体" w:hAnsi="宋体" w:cs="宋体"/>
                <w:sz w:val="24"/>
                <w:highlight w:val="none"/>
              </w:rPr>
            </w:pPr>
            <w:r>
              <w:rPr>
                <w:rFonts w:hint="eastAsia" w:ascii="宋体" w:hAnsi="宋体" w:cs="宋体"/>
                <w:sz w:val="24"/>
                <w:highlight w:val="none"/>
              </w:rPr>
              <w:t xml:space="preserve">措施方案较具体、可行，能基本满足项目实施要求的，得4分；</w:t>
            </w:r>
            <w:r/>
          </w:p>
          <w:p>
            <w:pPr>
              <w:rPr>
                <w:rFonts w:hint="eastAsia" w:ascii="宋体" w:hAnsi="宋体" w:cs="宋体"/>
                <w:sz w:val="24"/>
                <w:highlight w:val="none"/>
              </w:rPr>
            </w:pPr>
            <w:r>
              <w:rPr>
                <w:rFonts w:hint="eastAsia" w:ascii="宋体" w:hAnsi="宋体" w:cs="宋体"/>
                <w:sz w:val="24"/>
                <w:highlight w:val="none"/>
              </w:rPr>
              <w:t xml:space="preserve">措施方案内容较简单，对项目实施要求响应一般的，得3分；</w:t>
            </w:r>
            <w:r/>
          </w:p>
          <w:p>
            <w:pPr>
              <w:rPr>
                <w:rFonts w:hint="eastAsia" w:ascii="宋体" w:hAnsi="宋体" w:cs="宋体"/>
                <w:sz w:val="24"/>
                <w:highlight w:val="none"/>
              </w:rPr>
            </w:pPr>
            <w:r>
              <w:rPr>
                <w:rFonts w:hint="eastAsia" w:ascii="宋体" w:hAnsi="宋体" w:cs="宋体"/>
                <w:sz w:val="24"/>
                <w:highlight w:val="none"/>
              </w:rPr>
              <w:t xml:space="preserve">措施方案内容较差、无针对性或可行性较差的，得2分；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安全、文明管养措施与应急预案</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w:t>
            </w:r>
            <w:r/>
          </w:p>
        </w:tc>
        <w:tc>
          <w:tcPr>
            <w:tcW w:w="2107"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评委根据供应商针对本项目制定的安全、文明管养措施、定期有专人巡查</w:t>
            </w:r>
            <w:r>
              <w:rPr>
                <w:rFonts w:hint="eastAsia" w:ascii="宋体" w:hAnsi="宋体" w:cs="宋体"/>
                <w:sz w:val="24"/>
                <w:highlight w:val="none"/>
                <w:lang w:eastAsia="zh-CN"/>
              </w:rPr>
              <w:t xml:space="preserve">绿雕</w:t>
            </w:r>
            <w:r>
              <w:rPr>
                <w:rFonts w:hint="eastAsia" w:ascii="宋体" w:hAnsi="宋体" w:cs="宋体"/>
                <w:sz w:val="24"/>
                <w:highlight w:val="none"/>
              </w:rPr>
              <w:t xml:space="preserve">若发生破坏或侵占第一时间上报制度、拟定的灾害性天气和突发事件应急预案等内容进行综合评审：</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响应文件中针对以上各项措施要求提出的方案具体详实、应急预案具有有效的预防和补救措施，合理可行的，得10分；</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响应文件中针对以上各项措施要求提出的方案完整、应急预案具有较有效的预防和补救措施，较合理可行的，得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响应文件中针对以上各项措施要求提出的方案较完整、应急预案预防和补救措施一般，基本可行的，得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响应文件中针对以上各项措施要求提出的方案较少、应急预案预防和补救措施较差，可行性较差的，得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2.5</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tcW w:w="2107"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评委根据供应商针对迎接重大活动和检查评比的保障措施等进行综合评审：</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迎接重大活动和检查评比的保障措施等内容完整且具有较高可操作性的，得5分；</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迎接重大活动和检查评比的保障措施等内容比较完整且比较可行的，得4分；</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迎接重大活动和检查评比的保障措施等内容基本完整且基本可行的，得3分；</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迎接重大活动和检查评比的保障措施等内容不完整或不太可行的得2分；</w:t>
            </w:r>
            <w:r/>
          </w:p>
          <w:p>
            <w:pPr>
              <w:rPr>
                <w:rFonts w:hint="eastAsia" w:ascii="宋体" w:hAnsi="宋体" w:cs="宋体"/>
                <w:sz w:val="24"/>
                <w:highlight w:val="none"/>
              </w:rPr>
            </w:pPr>
            <w:r>
              <w:rPr>
                <w:rFonts w:hint="eastAsia" w:ascii="宋体" w:hAnsi="宋体" w:cs="宋体"/>
                <w:sz w:val="24"/>
                <w:highlight w:val="none"/>
              </w:rPr>
              <w:t xml:space="preserve">未提供的，不得分。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jc w:val="center"/>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w:t>
            </w:r>
            <w:r/>
          </w:p>
        </w:tc>
        <w:tc>
          <w:tcPr>
            <w:tcW w:w="763" w:type="pct"/>
            <w:vAlign w:val="center"/>
            <w:textDirection w:val="lrTb"/>
            <w:noWrap w:val="false"/>
          </w:tcPr>
          <w:p>
            <w:pPr>
              <w:jc w:val="center"/>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客观分</w:t>
            </w:r>
            <w:r/>
          </w:p>
        </w:tc>
        <w:tc>
          <w:tcPr>
            <w:tcW w:w="468" w:type="pct"/>
            <w:vAlign w:val="center"/>
            <w:textDirection w:val="lrTb"/>
            <w:noWrap w:val="false"/>
          </w:tcPr>
          <w:p>
            <w:pPr>
              <w:jc w:val="center"/>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20</w:t>
            </w:r>
            <w:r/>
          </w:p>
        </w:tc>
        <w:tc>
          <w:tcPr>
            <w:tcW w:w="2107" w:type="pct"/>
            <w:vAlign w:val="center"/>
            <w:textDirection w:val="lrTb"/>
            <w:noWrap w:val="false"/>
          </w:tcPr>
          <w:p>
            <w:pPr>
              <w:ind w:firstLine="420"/>
              <w:spacing w:line="300" w:lineRule="exact"/>
              <w:rPr>
                <w:rFonts w:ascii="宋体" w:hAnsi="宋体" w:eastAsia="宋体" w:cs="宋体"/>
                <w:szCs w:val="21"/>
                <w:highlight w:val="none"/>
              </w:rPr>
            </w:pPr>
            <w:r>
              <w:rPr>
                <w:rFonts w:ascii="宋体" w:hAnsi="宋体" w:eastAsia="宋体" w:cs="宋体"/>
                <w:szCs w:val="21"/>
                <w:highlight w:val="none"/>
              </w:rPr>
            </w:r>
            <w:r/>
          </w:p>
        </w:tc>
        <w:tc>
          <w:tcPr>
            <w:tcW w:w="1280" w:type="pct"/>
            <w:vAlign w:val="center"/>
            <w:textDirection w:val="lrTb"/>
            <w:noWrap w:val="false"/>
          </w:tcPr>
          <w:p>
            <w:pPr>
              <w:ind w:left="-38"/>
              <w:spacing w:line="300" w:lineRule="exact"/>
              <w:rPr>
                <w:rFonts w:ascii="宋体" w:hAnsi="宋体" w:eastAsia="宋体" w:cs="宋体"/>
                <w:szCs w:val="21"/>
                <w:highlight w:val="none"/>
              </w:rPr>
            </w:pPr>
            <w:r>
              <w:rPr>
                <w:rFonts w:ascii="宋体" w:hAnsi="宋体" w:eastAsia="宋体" w:cs="宋体"/>
                <w:szCs w:val="21"/>
                <w:highlight w:val="none"/>
              </w:rPr>
            </w:r>
            <w:r/>
          </w:p>
        </w:tc>
      </w:tr>
      <w:tr>
        <w:trPr>
          <w:trHeight w:val="454"/>
        </w:trPr>
        <w:tc>
          <w:tcPr>
            <w:tcW w:w="37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3.1</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val="en-US" w:eastAsia="zh-CN"/>
              </w:rPr>
              <w:t xml:space="preserve">类似项目</w:t>
            </w:r>
            <w:r>
              <w:rPr>
                <w:rFonts w:hint="eastAsia" w:ascii="宋体" w:hAnsi="宋体" w:cs="宋体"/>
                <w:sz w:val="24"/>
                <w:highlight w:val="none"/>
              </w:rPr>
              <w:t xml:space="preserve">业绩</w:t>
            </w:r>
            <w:r/>
          </w:p>
        </w:tc>
        <w:tc>
          <w:tcPr>
            <w:tcW w:w="46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6</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供应商提供自202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年1月1日至本项目招标公告发布之日止承接过的</w:t>
            </w:r>
            <w:r>
              <w:rPr>
                <w:rFonts w:hint="eastAsia" w:ascii="宋体" w:hAnsi="宋体" w:cs="宋体"/>
                <w:sz w:val="24"/>
                <w:highlight w:val="none"/>
                <w:lang w:eastAsia="zh-CN"/>
              </w:rPr>
              <w:t xml:space="preserve">绿雕</w:t>
            </w:r>
            <w:r>
              <w:rPr>
                <w:rFonts w:hint="eastAsia" w:ascii="宋体" w:hAnsi="宋体" w:cs="宋体"/>
                <w:sz w:val="24"/>
                <w:highlight w:val="none"/>
              </w:rPr>
              <w:t xml:space="preserve">种植养护项目业绩（时间以合同签订时间为准），有一个得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w:t>
            </w:r>
            <w:r>
              <w:rPr>
                <w:rFonts w:hint="eastAsia" w:ascii="宋体" w:hAnsi="宋体" w:cs="宋体"/>
                <w:sz w:val="24"/>
                <w:highlight w:val="none"/>
                <w:lang w:val="en-US" w:eastAsia="zh-CN"/>
              </w:rPr>
              <w:t xml:space="preserve">得</w:t>
            </w:r>
            <w:r>
              <w:rPr>
                <w:rFonts w:hint="eastAsia" w:ascii="宋体" w:hAnsi="宋体" w:cs="宋体"/>
                <w:sz w:val="24"/>
                <w:highlight w:val="none"/>
              </w:rPr>
              <w:t xml:space="preserve">6分。</w:t>
            </w:r>
            <w:r/>
          </w:p>
        </w:tc>
        <w:tc>
          <w:tcPr>
            <w:tcW w:w="1280" w:type="pct"/>
            <w:vAlign w:val="center"/>
            <w:textDirection w:val="lrTb"/>
            <w:noWrap w:val="false"/>
          </w:tcPr>
          <w:p>
            <w:pPr>
              <w:spacing w:line="300" w:lineRule="exact"/>
              <w:rPr>
                <w:rFonts w:ascii="宋体" w:hAnsi="宋体" w:eastAsia="宋体" w:cs="宋体"/>
                <w:szCs w:val="21"/>
                <w:highlight w:val="none"/>
              </w:rPr>
            </w:pP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文件中提供有效业绩完整合同原件的扫描件并加盖供应商公章</w:t>
            </w:r>
            <w:r>
              <w:rPr>
                <w:rFonts w:hint="eastAsia" w:ascii="宋体" w:hAnsi="宋体" w:cs="宋体"/>
                <w:sz w:val="24"/>
                <w:highlight w:val="none"/>
                <w:lang w:val="en-US" w:eastAsia="zh-CN"/>
              </w:rPr>
              <w:t xml:space="preserve">，未提供的不得分。</w:t>
            </w:r>
            <w:r/>
          </w:p>
        </w:tc>
      </w:tr>
      <w:tr>
        <w:trPr>
          <w:trHeight w:val="454"/>
        </w:trPr>
        <w:tc>
          <w:tcPr>
            <w:tcW w:w="379" w:type="pct"/>
            <w:vAlign w:val="center"/>
            <w:textDirection w:val="lrTb"/>
            <w:noWrap w:val="false"/>
          </w:tcPr>
          <w:p>
            <w:pP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3.2</w:t>
            </w:r>
            <w:r/>
          </w:p>
        </w:tc>
        <w:tc>
          <w:tcPr>
            <w:tcW w:w="763" w:type="pct"/>
            <w:vAlign w:val="center"/>
            <w:textDirection w:val="lrTb"/>
            <w:noWrap w:val="false"/>
          </w:tcPr>
          <w:p>
            <w:pP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管理体系认证</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9</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通过ISO质量体系认证、环境管理体系认证、职业健康安全管理体系认证，以上认证有一项得3分，最高得9分。</w:t>
            </w:r>
            <w:r/>
          </w:p>
        </w:tc>
        <w:tc>
          <w:tcPr>
            <w:tcW w:w="1280" w:type="pct"/>
            <w:vAlign w:val="center"/>
            <w:textDirection w:val="lrTb"/>
            <w:noWrap w:val="false"/>
          </w:tcPr>
          <w:p>
            <w:pPr>
              <w:spacing w:line="300" w:lineRule="exact"/>
              <w:rPr>
                <w:rFonts w:hint="default" w:ascii="宋体" w:hAnsi="宋体" w:eastAsia="宋体" w:cs="宋体"/>
                <w:szCs w:val="21"/>
                <w:highlight w:val="none"/>
                <w:lang w:val="en-US" w:eastAsia="zh-CN"/>
              </w:rPr>
            </w:pPr>
            <w:r>
              <w:rPr>
                <w:rFonts w:hint="eastAsia" w:ascii="宋体" w:hAnsi="宋体" w:cs="宋体"/>
                <w:sz w:val="24"/>
                <w:highlight w:val="none"/>
                <w:lang w:val="en-US" w:eastAsia="zh-CN"/>
              </w:rPr>
              <w:t xml:space="preserve">提供证书原件扫描件加盖公章，未提供的不得分。</w:t>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3</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w:t>
            </w:r>
            <w:r/>
          </w:p>
          <w:p>
            <w:pPr>
              <w:rPr>
                <w:rFonts w:hint="eastAsia" w:ascii="宋体" w:hAnsi="宋体" w:cs="宋体"/>
                <w:sz w:val="24"/>
                <w:highlight w:val="none"/>
              </w:rPr>
            </w:pPr>
            <w:r>
              <w:rPr>
                <w:rFonts w:hint="eastAsia" w:ascii="宋体" w:hAnsi="宋体" w:cs="宋体"/>
                <w:sz w:val="24"/>
                <w:highlight w:val="none"/>
              </w:rPr>
              <w:t xml:space="preserve">实力</w:t>
            </w:r>
            <w:r/>
          </w:p>
        </w:tc>
        <w:tc>
          <w:tcPr>
            <w:tcW w:w="468" w:type="pct"/>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val="en-US" w:eastAsia="zh-CN"/>
              </w:rPr>
              <w:t xml:space="preserve">2</w:t>
            </w:r>
            <w:r/>
          </w:p>
        </w:tc>
        <w:tc>
          <w:tcPr>
            <w:tcW w:w="2107"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承诺</w:t>
            </w:r>
            <w:r>
              <w:rPr>
                <w:rFonts w:hint="eastAsia" w:ascii="宋体" w:hAnsi="宋体" w:cs="宋体"/>
                <w:sz w:val="24"/>
                <w:highlight w:val="none"/>
              </w:rPr>
              <w:t xml:space="preserve">自</w:t>
            </w:r>
            <w:r>
              <w:rPr>
                <w:rFonts w:hint="eastAsia" w:ascii="宋体" w:hAnsi="宋体" w:cs="宋体"/>
                <w:sz w:val="24"/>
                <w:highlight w:val="none"/>
                <w:lang w:val="en-US" w:eastAsia="zh-CN"/>
              </w:rPr>
              <w:t xml:space="preserve">有运输车、洒水车、修剪机、打药机等设备</w:t>
            </w:r>
            <w:r>
              <w:rPr>
                <w:rFonts w:hint="eastAsia" w:ascii="宋体" w:hAnsi="宋体" w:cs="宋体"/>
                <w:sz w:val="24"/>
                <w:highlight w:val="none"/>
              </w:rPr>
              <w:t xml:space="preserve">用于本项目，本项得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tc>
        <w:tc>
          <w:tcPr>
            <w:tcW w:w="1280" w:type="pct"/>
            <w:vAlign w:val="center"/>
            <w:textDirection w:val="lrTb"/>
            <w:noWrap w:val="false"/>
          </w:tcPr>
          <w:p>
            <w:pPr>
              <w:spacing w:line="300" w:lineRule="exact"/>
              <w:rPr>
                <w:rFonts w:hint="default" w:ascii="宋体" w:hAnsi="宋体" w:eastAsia="宋体" w:cs="宋体"/>
                <w:szCs w:val="21"/>
                <w:highlight w:val="none"/>
                <w:lang w:val="en-US"/>
              </w:rPr>
            </w:pPr>
            <w:r>
              <w:rPr>
                <w:rFonts w:hint="eastAsia" w:ascii="宋体" w:hAnsi="宋体" w:cs="宋体"/>
                <w:sz w:val="24"/>
                <w:highlight w:val="none"/>
                <w:lang w:val="en-US" w:eastAsia="zh-CN"/>
              </w:rPr>
              <w:t xml:space="preserve">提供承诺函包括但不仅限于以上设备，加盖公章，未提供的不得分。</w:t>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人员配置、组织管理</w:t>
            </w:r>
            <w:r/>
          </w:p>
        </w:tc>
        <w:tc>
          <w:tcPr>
            <w:tcW w:w="468" w:type="pct"/>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val="en-US" w:eastAsia="zh-CN"/>
              </w:rPr>
              <w:t xml:space="preserve">3</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拟派项目负责人具备市政公用工程专业一级注册建造师证书或园林绿化高级工程师职称的得3分，具备市政公用工程专业二级注册建造师证书或园林绿化中级工程师职称的得2分，本项最高得3分。</w:t>
            </w:r>
            <w:r/>
          </w:p>
        </w:tc>
        <w:tc>
          <w:tcPr>
            <w:tcW w:w="1280" w:type="pct"/>
            <w:vAlign w:val="center"/>
            <w:textDirection w:val="lrTb"/>
            <w:noWrap w:val="false"/>
          </w:tcPr>
          <w:p>
            <w:pPr>
              <w:spacing w:line="300" w:lineRule="exact"/>
              <w:rPr>
                <w:rFonts w:ascii="宋体" w:hAnsi="宋体" w:eastAsia="宋体" w:cs="宋体"/>
                <w:szCs w:val="21"/>
                <w:highlight w:val="none"/>
              </w:rPr>
            </w:pPr>
            <w:r>
              <w:rPr>
                <w:rFonts w:hint="eastAsia" w:ascii="宋体" w:hAnsi="宋体" w:cs="宋体"/>
                <w:sz w:val="24"/>
                <w:highlight w:val="none"/>
              </w:rPr>
              <w:t xml:space="preserve">提供证书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专业以职称证书为准，职称证书不体现专业的则提供毕业证书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原件</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和人员最近3个月任意一个月的社保扫描件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上传系统，未提供不得分</w:t>
            </w:r>
            <w:r/>
          </w:p>
        </w:tc>
      </w:tr>
      <w:tr>
        <w:trPr>
          <w:trHeight w:val="454"/>
        </w:trPr>
        <w:tc>
          <w:tcPr>
            <w:gridSpan w:val="2"/>
            <w:tcW w:w="1143" w:type="pct"/>
            <w:vAlign w:val="center"/>
            <w:textDirection w:val="lrTb"/>
            <w:noWrap w:val="false"/>
          </w:tcPr>
          <w:p>
            <w:pPr>
              <w:ind w:firstLine="28"/>
              <w:jc w:val="center"/>
              <w:spacing w:line="300" w:lineRule="exact"/>
              <w:rPr>
                <w:rFonts w:ascii="宋体" w:hAnsi="宋体" w:eastAsia="宋体" w:cs="宋体"/>
                <w:szCs w:val="21"/>
                <w:highlight w:val="none"/>
              </w:rPr>
            </w:pPr>
            <w:r>
              <w:rPr>
                <w:rFonts w:hint="eastAsia" w:ascii="宋体" w:hAnsi="宋体" w:eastAsia="宋体" w:cs="宋体"/>
                <w:szCs w:val="21"/>
                <w:highlight w:val="none"/>
              </w:rPr>
              <w:t xml:space="preserve">合计</w:t>
            </w:r>
            <w:r/>
          </w:p>
        </w:tc>
        <w:tc>
          <w:tcPr>
            <w:tcW w:w="468"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100</w:t>
            </w:r>
            <w:r/>
          </w:p>
        </w:tc>
        <w:tc>
          <w:tcPr>
            <w:gridSpan w:val="2"/>
            <w:tcW w:w="3388" w:type="pct"/>
            <w:vAlign w:val="center"/>
            <w:textDirection w:val="lrTb"/>
            <w:noWrap w:val="false"/>
          </w:tcPr>
          <w:p>
            <w:pPr>
              <w:spacing w:line="300" w:lineRule="exact"/>
              <w:rPr>
                <w:rFonts w:ascii="宋体" w:hAnsi="宋体" w:eastAsia="宋体" w:cs="宋体"/>
                <w:szCs w:val="21"/>
                <w:highlight w:val="none"/>
              </w:rPr>
            </w:pPr>
            <w:r>
              <w:rPr>
                <w:rFonts w:ascii="宋体" w:hAnsi="宋体" w:eastAsia="宋体" w:cs="宋体"/>
                <w:szCs w:val="21"/>
                <w:highlight w:val="none"/>
              </w:rPr>
            </w:r>
            <w:r/>
          </w:p>
        </w:tc>
      </w:tr>
    </w:tbl>
    <w:p>
      <w:pPr>
        <w:jc w:val="left"/>
        <w:widowControl/>
        <w:rPr>
          <w:rFonts w:hint="default"/>
          <w:b/>
          <w:sz w:val="24"/>
          <w:highlight w:val="none"/>
          <w:lang w:val="en-US" w:eastAsia="zh-CN"/>
        </w:rPr>
      </w:pPr>
      <w:r>
        <w:rPr>
          <w:rFonts w:hint="default"/>
          <w:b/>
          <w:sz w:val="24"/>
          <w:highlight w:val="none"/>
          <w:lang w:val="en-US" w:eastAsia="zh-CN"/>
        </w:rPr>
      </w:r>
      <w:r/>
    </w:p>
    <w:p>
      <w:pPr>
        <w:jc w:val="left"/>
        <w:widowControl/>
        <w:rPr>
          <w:b/>
          <w:sz w:val="24"/>
          <w:highlight w:val="none"/>
        </w:rPr>
      </w:pPr>
      <w:r>
        <w:rPr>
          <w:rFonts w:hint="eastAsia"/>
          <w:b/>
          <w:sz w:val="24"/>
          <w:highlight w:val="none"/>
        </w:rPr>
        <w:t xml:space="preserve">注：本项目评分细则中需要提供的相关证明材料由投标</w:t>
      </w:r>
      <w:r>
        <w:rPr>
          <w:rFonts w:hint="eastAsia"/>
          <w:b/>
          <w:sz w:val="24"/>
          <w:highlight w:val="none"/>
          <w:lang w:val="en-US" w:eastAsia="zh-CN"/>
        </w:rPr>
        <w:t xml:space="preserve">人</w:t>
      </w:r>
      <w:r>
        <w:rPr>
          <w:rFonts w:hint="eastAsia"/>
          <w:b/>
          <w:sz w:val="24"/>
          <w:highlight w:val="none"/>
        </w:rPr>
        <w:t xml:space="preserve">自行提供，评审专家根据投标</w:t>
      </w:r>
      <w:r>
        <w:rPr>
          <w:rFonts w:hint="eastAsia"/>
          <w:b/>
          <w:sz w:val="24"/>
          <w:highlight w:val="none"/>
          <w:lang w:val="en-US" w:eastAsia="zh-CN"/>
        </w:rPr>
        <w:t xml:space="preserve">人</w:t>
      </w:r>
      <w:r>
        <w:rPr>
          <w:rFonts w:hint="eastAsia"/>
          <w:b/>
          <w:sz w:val="24"/>
          <w:highlight w:val="none"/>
        </w:rPr>
        <w:t xml:space="preserve">提供的相关证明材料进行评审，相关证明材料的全面性、有效性、完整性、真实性由投标</w:t>
      </w:r>
      <w:r>
        <w:rPr>
          <w:rFonts w:hint="eastAsia"/>
          <w:b/>
          <w:sz w:val="24"/>
          <w:highlight w:val="none"/>
          <w:lang w:val="en-US" w:eastAsia="zh-CN"/>
        </w:rPr>
        <w:t xml:space="preserve">人</w:t>
      </w:r>
      <w:r>
        <w:rPr>
          <w:rFonts w:hint="eastAsia"/>
          <w:b/>
          <w:sz w:val="24"/>
          <w:highlight w:val="none"/>
        </w:rPr>
        <w:t xml:space="preserve">自行负责。如发现投标</w:t>
      </w:r>
      <w:r>
        <w:rPr>
          <w:rFonts w:hint="eastAsia"/>
          <w:b/>
          <w:sz w:val="24"/>
          <w:highlight w:val="none"/>
          <w:lang w:val="en-US" w:eastAsia="zh-CN"/>
        </w:rPr>
        <w:t xml:space="preserve">人</w:t>
      </w:r>
      <w:r>
        <w:rPr>
          <w:rFonts w:hint="eastAsia"/>
          <w:b/>
          <w:sz w:val="24"/>
          <w:highlight w:val="none"/>
        </w:rPr>
        <w:t xml:space="preserve">涉嫌资料造假等，采购人将取消其中标资格，并保留进一步追究其法律责任的权利。</w:t>
      </w:r>
      <w:r/>
    </w:p>
    <w:p>
      <w:pPr>
        <w:jc w:val="center"/>
        <w:spacing w:line="360" w:lineRule="auto"/>
        <w:rPr>
          <w:b/>
          <w:sz w:val="36"/>
          <w:szCs w:val="36"/>
          <w:highlight w:val="none"/>
        </w:rPr>
        <w:outlineLvl w:val="0"/>
      </w:pPr>
      <w:r>
        <w:rPr>
          <w:b/>
          <w:sz w:val="24"/>
          <w:highlight w:val="none"/>
        </w:rPr>
        <w:br w:type="page" w:clear="all"/>
      </w:r>
      <w:bookmarkStart w:id="684" w:name="_Toc99301424"/>
      <w:r>
        <w:rPr>
          <w:b/>
          <w:sz w:val="36"/>
          <w:szCs w:val="36"/>
          <w:highlight w:val="none"/>
        </w:rPr>
        <w:t xml:space="preserve">第五章   采购需求</w:t>
      </w:r>
      <w:bookmarkEnd w:id="684"/>
      <w:r/>
      <w:r/>
    </w:p>
    <w:p>
      <w:pPr>
        <w:pStyle w:val="1083"/>
        <w:contextualSpacing/>
        <w:ind w:left="500" w:hanging="500"/>
        <w:spacing w:line="360" w:lineRule="auto"/>
        <w:rPr>
          <w:bCs/>
          <w:sz w:val="24"/>
          <w:highlight w:val="none"/>
        </w:rPr>
      </w:pPr>
      <w:r>
        <w:rPr>
          <w:bCs/>
          <w:sz w:val="24"/>
          <w:highlight w:val="none"/>
        </w:rPr>
        <w:t xml:space="preserve">一、</w:t>
      </w:r>
      <w:r>
        <w:rPr>
          <w:rFonts w:ascii="Times New Roman" w:hAnsi="Times New Roman"/>
          <w:b/>
          <w:sz w:val="24"/>
          <w:szCs w:val="24"/>
          <w:highlight w:val="none"/>
        </w:rPr>
        <w:t xml:space="preserve">采购标的</w:t>
      </w:r>
      <w:r/>
    </w:p>
    <w:p>
      <w:pPr>
        <w:pStyle w:val="1083"/>
        <w:contextualSpacing/>
        <w:ind w:left="500" w:hanging="500"/>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本项目共分</w:t>
      </w:r>
      <w:r>
        <w:rPr>
          <w:rFonts w:hint="eastAsia" w:ascii="Times New Roman" w:hAnsi="Times New Roman"/>
          <w:bCs/>
          <w:sz w:val="24"/>
          <w:szCs w:val="24"/>
          <w:highlight w:val="none"/>
          <w:lang w:val="en-US" w:eastAsia="zh-CN"/>
        </w:rPr>
        <w:t xml:space="preserve">14个标段</w:t>
      </w:r>
      <w:r>
        <w:rPr>
          <w:rFonts w:ascii="Times New Roman" w:hAnsi="Times New Roman"/>
          <w:bCs/>
          <w:sz w:val="24"/>
          <w:szCs w:val="24"/>
          <w:highlight w:val="none"/>
        </w:rPr>
        <w:t xml:space="preserve">：</w:t>
      </w:r>
      <w:r/>
    </w:p>
    <w:tbl>
      <w:tblPr>
        <w:tblStyle w:val="783"/>
        <w:tblW w:w="953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9"/>
        <w:gridCol w:w="4356"/>
        <w:gridCol w:w="1928"/>
        <w:gridCol w:w="2236"/>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4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控制价（万元）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半夜浜片区（昆仑北路以东）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200093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100.04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昆仑园区（竹箦河东—昆仑北路）</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202973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101.49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濑江新城片区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219248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109.62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芜申运河南岸（泓盛南路等）</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197313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201157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城北新区（S239以南、芜申运河以北）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212847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106.42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吴潭渡西片（S239以北、泓盛路以西）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211318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105.66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吴潭渡东片（S239以北、泓盛路以东）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188895</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94.45</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芜申运河北岸（龙山大道北）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183741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91.87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中关村大道沿线（含互通）</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200756</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蒋店片区（陶家河以西）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193480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96.74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创智园周边</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214482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107.24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239沿线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197570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园区绿雕养护</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75.93 </w:t>
            </w:r>
            <w:r/>
          </w:p>
        </w:tc>
      </w:tr>
    </w:tbl>
    <w:p>
      <w:pPr>
        <w:ind w:firstLine="480"/>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r>
      <w:r/>
    </w:p>
    <w:p>
      <w:pPr>
        <w:ind w:firstLine="480"/>
        <w:spacing w:line="360" w:lineRule="auto"/>
        <w:rPr>
          <w:sz w:val="24"/>
          <w:highlight w:val="none"/>
        </w:rPr>
      </w:pPr>
      <w:r>
        <w:rPr>
          <w:rFonts w:hint="eastAsia"/>
          <w:sz w:val="24"/>
          <w:highlight w:val="none"/>
          <w:lang w:val="en-US" w:eastAsia="zh-CN"/>
        </w:rPr>
        <w:t xml:space="preserve">01-13标段</w:t>
      </w:r>
      <w:r>
        <w:rPr>
          <w:rFonts w:hint="eastAsia"/>
          <w:sz w:val="24"/>
          <w:highlight w:val="none"/>
        </w:rPr>
        <w:t xml:space="preserve">服务内容包括但不限于对标段内树苗的整枝修剪、松土培根、追施肥料、病虫防治、花卉苗木的抗旱排涝、移苗补缺、草籽、化肥等养护用品的采购等</w:t>
      </w:r>
      <w:r>
        <w:rPr>
          <w:sz w:val="24"/>
          <w:highlight w:val="none"/>
        </w:rPr>
        <w:t xml:space="preserve">。</w:t>
      </w:r>
      <w:r/>
    </w:p>
    <w:p>
      <w:pPr>
        <w:ind w:firstLine="480"/>
        <w:spacing w:line="360" w:lineRule="auto"/>
        <w:rPr>
          <w:rFonts w:hint="eastAsia" w:eastAsia="宋体"/>
          <w:sz w:val="24"/>
          <w:highlight w:val="none"/>
          <w:lang w:val="en-US" w:eastAsia="zh-CN"/>
        </w:rPr>
      </w:pPr>
      <w:r>
        <w:rPr>
          <w:rFonts w:hint="eastAsia"/>
          <w:sz w:val="24"/>
          <w:highlight w:val="none"/>
          <w:lang w:val="en-US" w:eastAsia="zh-CN"/>
        </w:rPr>
        <w:t xml:space="preserve">14标段</w:t>
      </w:r>
      <w:r>
        <w:rPr>
          <w:rFonts w:hint="eastAsia"/>
          <w:sz w:val="24"/>
          <w:highlight w:val="none"/>
        </w:rPr>
        <w:t xml:space="preserve">服务内容</w:t>
      </w:r>
      <w:r>
        <w:rPr>
          <w:sz w:val="24"/>
          <w:highlight w:val="none"/>
        </w:rPr>
        <w:t xml:space="preserve">包括但不限于</w:t>
      </w:r>
      <w:r>
        <w:rPr>
          <w:rFonts w:hint="eastAsia"/>
          <w:sz w:val="24"/>
          <w:highlight w:val="none"/>
          <w:lang w:val="en-US" w:eastAsia="zh-CN"/>
        </w:rPr>
        <w:t xml:space="preserve">范围内</w:t>
      </w:r>
      <w:r>
        <w:rPr>
          <w:rFonts w:hint="eastAsia" w:ascii="宋体" w:hAnsi="宋体" w:cs="宋体"/>
          <w:b w:val="0"/>
          <w:bCs/>
          <w:sz w:val="24"/>
          <w:szCs w:val="24"/>
          <w:highlight w:val="none"/>
          <w:lang w:val="en-US" w:eastAsia="zh-CN"/>
        </w:rPr>
        <w:t xml:space="preserve">绿雕</w:t>
      </w:r>
      <w:r>
        <w:rPr>
          <w:rFonts w:hint="eastAsia" w:ascii="宋体" w:hAnsi="宋体" w:eastAsia="宋体" w:cs="宋体"/>
          <w:b w:val="0"/>
          <w:bCs/>
          <w:sz w:val="24"/>
          <w:szCs w:val="24"/>
          <w:highlight w:val="none"/>
        </w:rPr>
        <w:t xml:space="preserve">的</w:t>
      </w:r>
      <w:r>
        <w:rPr>
          <w:rFonts w:hint="eastAsia" w:ascii="宋体" w:hAnsi="宋体" w:eastAsia="宋体" w:cs="宋体"/>
          <w:b w:val="0"/>
          <w:bCs/>
          <w:sz w:val="24"/>
          <w:szCs w:val="24"/>
          <w:highlight w:val="none"/>
          <w:lang w:val="en-US" w:eastAsia="zh-CN"/>
        </w:rPr>
        <w:t xml:space="preserve">种植、养护</w:t>
      </w:r>
      <w:r>
        <w:rPr>
          <w:rFonts w:hint="eastAsia" w:ascii="宋体" w:hAnsi="宋体" w:eastAsia="宋体" w:cs="宋体"/>
          <w:b w:val="0"/>
          <w:bCs/>
          <w:sz w:val="24"/>
          <w:szCs w:val="24"/>
          <w:highlight w:val="none"/>
        </w:rPr>
        <w:t xml:space="preserve">等</w:t>
      </w:r>
      <w:r>
        <w:rPr>
          <w:rFonts w:hint="eastAsia" w:ascii="宋体" w:hAnsi="宋体" w:eastAsia="宋体" w:cs="宋体"/>
          <w:b w:val="0"/>
          <w:bCs/>
          <w:sz w:val="24"/>
          <w:szCs w:val="24"/>
          <w:highlight w:val="none"/>
          <w:lang w:eastAsia="zh-CN"/>
        </w:rPr>
        <w:t xml:space="preserve">。</w:t>
      </w:r>
      <w:r/>
    </w:p>
    <w:p>
      <w:pPr>
        <w:ind w:firstLine="480"/>
        <w:spacing w:line="360" w:lineRule="auto"/>
        <w:rPr>
          <w:sz w:val="24"/>
          <w:highlight w:val="none"/>
        </w:rPr>
      </w:pPr>
      <w:r>
        <w:rPr>
          <w:sz w:val="24"/>
          <w:highlight w:val="none"/>
        </w:rPr>
      </w:r>
      <w:r/>
    </w:p>
    <w:p>
      <w:pPr>
        <w:pStyle w:val="1083"/>
        <w:contextualSpacing/>
        <w:ind w:left="500" w:hanging="500"/>
        <w:spacing w:line="360" w:lineRule="auto"/>
        <w:rPr>
          <w:rFonts w:ascii="Times New Roman" w:hAnsi="Times New Roman"/>
          <w:b/>
          <w:sz w:val="24"/>
          <w:szCs w:val="24"/>
          <w:highlight w:val="none"/>
        </w:rPr>
      </w:pPr>
      <w:r>
        <w:rPr>
          <w:rFonts w:ascii="Times New Roman" w:hAnsi="Times New Roman"/>
          <w:b/>
          <w:sz w:val="24"/>
          <w:szCs w:val="24"/>
          <w:highlight w:val="none"/>
        </w:rPr>
        <w:t xml:space="preserve">二、商务要求</w:t>
      </w:r>
      <w:r/>
    </w:p>
    <w:p>
      <w:pPr>
        <w:contextualSpacing/>
        <w:spacing w:line="360" w:lineRule="auto"/>
        <w:rPr>
          <w:i/>
          <w:sz w:val="24"/>
          <w:highlight w:val="none"/>
        </w:rPr>
      </w:pPr>
      <w:r>
        <w:rPr>
          <w:sz w:val="24"/>
          <w:highlight w:val="none"/>
        </w:rPr>
        <w:t xml:space="preserve">1. </w:t>
      </w:r>
      <w:r>
        <w:rPr>
          <w:rFonts w:hint="eastAsia"/>
          <w:sz w:val="24"/>
          <w:highlight w:val="none"/>
        </w:rPr>
        <w:t xml:space="preserve">服务</w:t>
      </w:r>
      <w:r>
        <w:rPr>
          <w:sz w:val="24"/>
          <w:highlight w:val="none"/>
        </w:rPr>
        <w:t xml:space="preserve">期限和地点</w:t>
      </w:r>
      <w:r/>
    </w:p>
    <w:p>
      <w:pPr>
        <w:contextualSpacing/>
        <w:ind w:firstLine="480"/>
        <w:spacing w:line="360" w:lineRule="auto"/>
        <w:rPr>
          <w:rFonts w:hint="eastAsia" w:ascii="Times New Roman" w:eastAsia="宋体"/>
          <w:sz w:val="24"/>
          <w:highlight w:val="none"/>
          <w:lang w:val="en-US" w:eastAsia="zh-CN"/>
        </w:rPr>
      </w:pPr>
      <w:r>
        <w:rPr>
          <w:rFonts w:hint="eastAsia"/>
          <w:sz w:val="24"/>
          <w:highlight w:val="none"/>
        </w:rPr>
        <w:t xml:space="preserve">服务</w:t>
      </w:r>
      <w:r>
        <w:rPr>
          <w:sz w:val="24"/>
          <w:highlight w:val="none"/>
        </w:rPr>
        <w:t xml:space="preserve">期限</w:t>
      </w:r>
      <w:r>
        <w:rPr>
          <w:rFonts w:hint="eastAsia"/>
          <w:sz w:val="24"/>
          <w:highlight w:val="none"/>
        </w:rPr>
        <w:t xml:space="preserve">：</w:t>
      </w:r>
      <w:r>
        <w:rPr>
          <w:rFonts w:hint="eastAsia" w:eastAsia="宋体"/>
          <w:sz w:val="24"/>
          <w:highlight w:val="none"/>
          <w:lang w:eastAsia="zh-CN"/>
        </w:rPr>
        <w:t xml:space="preserve">01-13标段自合同签订之日起至202</w:t>
      </w:r>
      <w:r>
        <w:rPr>
          <w:rFonts w:hint="eastAsia"/>
          <w:sz w:val="24"/>
          <w:highlight w:val="none"/>
          <w:lang w:val="en-US" w:eastAsia="zh-CN"/>
        </w:rPr>
        <w:t xml:space="preserve">6</w:t>
      </w:r>
      <w:r>
        <w:rPr>
          <w:rFonts w:hint="eastAsia" w:eastAsia="宋体"/>
          <w:sz w:val="24"/>
          <w:highlight w:val="none"/>
          <w:lang w:eastAsia="zh-CN"/>
        </w:rPr>
        <w:t xml:space="preserve">年12月31日（含第一个月为试用养护期，由采购方组织月度考核汇总后评出年度考核分，考核排名在前七名的可续签下一年合同）。</w:t>
      </w:r>
      <w:r>
        <w:rPr>
          <w:rFonts w:hint="eastAsia" w:ascii="Times New Roman" w:eastAsia="宋体"/>
          <w:sz w:val="24"/>
          <w:highlight w:val="none"/>
          <w:lang w:val="en-US" w:eastAsia="zh-CN"/>
        </w:rPr>
        <w:t xml:space="preserve">14标段</w:t>
      </w:r>
      <w:r>
        <w:rPr>
          <w:rFonts w:hint="eastAsia" w:eastAsia="宋体"/>
          <w:sz w:val="24"/>
          <w:highlight w:val="none"/>
          <w:lang w:eastAsia="zh-CN"/>
        </w:rPr>
        <w:t xml:space="preserve">自合同签订之日起</w:t>
      </w:r>
      <w:r>
        <w:rPr>
          <w:rFonts w:hint="eastAsia" w:ascii="Times New Roman" w:eastAsia="宋体"/>
          <w:sz w:val="24"/>
          <w:highlight w:val="none"/>
          <w:lang w:val="en-US" w:eastAsia="zh-CN"/>
        </w:rPr>
        <w:t xml:space="preserve">1年。</w:t>
      </w:r>
      <w:r/>
    </w:p>
    <w:p>
      <w:pPr>
        <w:contextualSpacing/>
        <w:ind w:firstLine="480"/>
        <w:spacing w:line="360" w:lineRule="auto"/>
        <w:rPr>
          <w:sz w:val="24"/>
          <w:highlight w:val="none"/>
        </w:rPr>
      </w:pPr>
      <w:r>
        <w:rPr>
          <w:rFonts w:hint="eastAsia"/>
          <w:sz w:val="24"/>
          <w:highlight w:val="none"/>
        </w:rPr>
        <w:t xml:space="preserve">服务地点：溧阳市</w:t>
      </w:r>
      <w:r/>
    </w:p>
    <w:p>
      <w:pPr>
        <w:numPr>
          <w:ilvl w:val="0"/>
          <w:numId w:val="0"/>
        </w:numPr>
        <w:contextualSpacing/>
        <w:spacing w:line="360" w:lineRule="auto"/>
        <w:rPr>
          <w:rFonts w:hint="eastAsia" w:eastAsia="宋体"/>
          <w:sz w:val="24"/>
          <w:highlight w:val="none"/>
          <w:lang w:eastAsia="zh-CN"/>
        </w:rPr>
      </w:pPr>
      <w:r>
        <w:rPr>
          <w:rFonts w:ascii="Times New Roman" w:hAnsi="Times New Roman" w:eastAsia="宋体" w:cs="Times New Roman"/>
          <w:sz w:val="24"/>
          <w:szCs w:val="24"/>
          <w:highlight w:val="none"/>
          <w:lang w:val="en-US" w:eastAsia="zh-CN" w:bidi="ar-SA"/>
        </w:rPr>
        <w:t xml:space="preserve">2.</w:t>
      </w:r>
      <w:r>
        <w:rPr>
          <w:sz w:val="24"/>
          <w:highlight w:val="none"/>
        </w:rPr>
        <w:t xml:space="preserve">付款条件</w:t>
      </w:r>
      <w:r>
        <w:rPr>
          <w:rFonts w:hint="eastAsia"/>
          <w:sz w:val="24"/>
          <w:highlight w:val="none"/>
          <w:lang w:eastAsia="zh-CN"/>
        </w:rPr>
        <w:t xml:space="preserve">：</w:t>
      </w:r>
      <w:r/>
    </w:p>
    <w:p>
      <w:pPr>
        <w:numPr>
          <w:ilvl w:val="0"/>
          <w:numId w:val="0"/>
        </w:numPr>
        <w:contextualSpacing/>
        <w:spacing w:line="360" w:lineRule="auto"/>
        <w:rPr>
          <w:rFonts w:hint="default" w:eastAsia="宋体"/>
          <w:b/>
          <w:bCs/>
          <w:sz w:val="24"/>
          <w:highlight w:val="none"/>
          <w:lang w:val="en-US" w:eastAsia="zh-CN"/>
        </w:rPr>
      </w:pPr>
      <w:r>
        <w:rPr>
          <w:rFonts w:hint="eastAsia"/>
          <w:b/>
          <w:bCs/>
          <w:sz w:val="24"/>
          <w:highlight w:val="none"/>
          <w:lang w:val="en-US" w:eastAsia="zh-CN"/>
        </w:rPr>
        <w:t xml:space="preserve">01-13标段：</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eastAsia="zh-CN"/>
        </w:rPr>
        <w:t xml:space="preserve">绿化养护费用根据年度考核情况年底一次性付清（本次报价按照12个月的养护时间，最终结算按照实际养护时间。每月养护费用=投标报价总价/12）</w:t>
      </w:r>
      <w:r>
        <w:rPr>
          <w:rFonts w:hint="eastAsia" w:ascii="宋体" w:hAnsi="宋体" w:cs="宋体"/>
          <w:b w:val="0"/>
          <w:bCs w:val="0"/>
          <w:sz w:val="24"/>
          <w:highlight w:val="none"/>
        </w:rPr>
        <w:t xml:space="preserve">。</w:t>
      </w:r>
      <w:r/>
    </w:p>
    <w:p>
      <w:pPr>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14标段：</w:t>
      </w:r>
      <w:r/>
    </w:p>
    <w:p>
      <w:pPr>
        <w:numPr>
          <w:ilvl w:val="0"/>
          <w:numId w:val="0"/>
        </w:numPr>
        <w:ind w:firstLine="480"/>
        <w:spacing w:line="360" w:lineRule="auto"/>
        <w:rPr>
          <w:rFonts w:hint="eastAsia" w:ascii="宋体" w:hAnsi="宋体" w:cs="宋体"/>
          <w:b w:val="0"/>
          <w:bCs w:val="0"/>
          <w:sz w:val="24"/>
          <w:highlight w:val="none"/>
          <w:lang w:eastAsia="zh-CN"/>
        </w:rPr>
      </w:pPr>
      <w:r>
        <w:rPr>
          <w:rFonts w:hint="eastAsia" w:ascii="宋体" w:hAnsi="宋体" w:eastAsia="宋体" w:cs="宋体"/>
          <w:b w:val="0"/>
          <w:bCs w:val="0"/>
          <w:sz w:val="24"/>
          <w:szCs w:val="24"/>
          <w:highlight w:val="none"/>
          <w:lang w:val="en-US" w:eastAsia="zh-CN" w:bidi="ar-SA"/>
        </w:rPr>
        <w:t xml:space="preserve">1</w:t>
      </w:r>
      <w:r>
        <w:rPr>
          <w:rFonts w:hint="eastAsia" w:ascii="宋体" w:hAnsi="宋体" w:cs="宋体"/>
          <w:b w:val="0"/>
          <w:bCs w:val="0"/>
          <w:sz w:val="24"/>
          <w:szCs w:val="24"/>
          <w:highlight w:val="none"/>
          <w:lang w:val="en-US" w:eastAsia="zh-CN" w:bidi="ar-SA"/>
        </w:rPr>
        <w:t xml:space="preserve">、</w:t>
      </w:r>
      <w:r>
        <w:rPr>
          <w:rFonts w:hint="eastAsia" w:ascii="宋体" w:hAnsi="宋体" w:cs="宋体"/>
          <w:b w:val="0"/>
          <w:bCs w:val="0"/>
          <w:sz w:val="24"/>
          <w:highlight w:val="none"/>
        </w:rPr>
        <w:t xml:space="preserve">第一次换草竣工验收合格后支付合同价的20%</w:t>
      </w:r>
      <w:r>
        <w:rPr>
          <w:rFonts w:hint="eastAsia" w:ascii="宋体" w:hAnsi="宋体" w:cs="宋体"/>
          <w:b w:val="0"/>
          <w:bCs w:val="0"/>
          <w:sz w:val="24"/>
          <w:highlight w:val="none"/>
          <w:lang w:eastAsia="zh-CN"/>
        </w:rPr>
        <w:t xml:space="preserve">；</w:t>
      </w:r>
      <w:r/>
    </w:p>
    <w:p>
      <w:pPr>
        <w:numPr>
          <w:ilvl w:val="0"/>
          <w:numId w:val="0"/>
        </w:numPr>
        <w:ind w:firstLine="480"/>
        <w:spacing w:line="360" w:lineRule="auto"/>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2</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养护满半年草花成活率达100%付至合同价的50%</w:t>
      </w:r>
      <w:r>
        <w:rPr>
          <w:rFonts w:hint="eastAsia" w:ascii="宋体" w:hAnsi="宋体" w:cs="宋体"/>
          <w:b w:val="0"/>
          <w:bCs w:val="0"/>
          <w:sz w:val="24"/>
          <w:highlight w:val="none"/>
          <w:lang w:eastAsia="zh-CN"/>
        </w:rPr>
        <w:t xml:space="preserve">；</w:t>
      </w:r>
      <w:r/>
    </w:p>
    <w:p>
      <w:pPr>
        <w:numPr>
          <w:ilvl w:val="0"/>
          <w:numId w:val="0"/>
        </w:numPr>
        <w:ind w:firstLine="480"/>
        <w:spacing w:line="360" w:lineRule="auto"/>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3</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第二次换草竣工验收合格后付至合同价的70%</w:t>
      </w:r>
      <w:r>
        <w:rPr>
          <w:rFonts w:hint="eastAsia" w:ascii="宋体" w:hAnsi="宋体" w:cs="宋体"/>
          <w:b w:val="0"/>
          <w:bCs w:val="0"/>
          <w:sz w:val="24"/>
          <w:highlight w:val="none"/>
          <w:lang w:eastAsia="zh-CN"/>
        </w:rPr>
        <w:t xml:space="preserve">；</w:t>
      </w:r>
      <w:r/>
    </w:p>
    <w:p>
      <w:pPr>
        <w:numPr>
          <w:ilvl w:val="0"/>
          <w:numId w:val="0"/>
        </w:numPr>
        <w:ind w:firstLine="480"/>
        <w:spacing w:line="360" w:lineRule="auto"/>
        <w:rPr>
          <w:rFonts w:hint="eastAsia" w:ascii="宋体" w:hAnsi="宋体" w:cs="宋体"/>
          <w:b/>
          <w:bCs/>
          <w:sz w:val="24"/>
          <w:highlight w:val="none"/>
        </w:rPr>
      </w:pPr>
      <w:r>
        <w:rPr>
          <w:rFonts w:hint="eastAsia" w:ascii="宋体" w:hAnsi="宋体" w:cs="宋体"/>
          <w:b w:val="0"/>
          <w:bCs w:val="0"/>
          <w:sz w:val="24"/>
          <w:highlight w:val="none"/>
        </w:rPr>
        <w:t xml:space="preserve">4</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养护满半年草花成活率达100%付清。</w:t>
      </w:r>
      <w:r/>
    </w:p>
    <w:p>
      <w:pPr>
        <w:pStyle w:val="1083"/>
        <w:contextualSpacing/>
        <w:ind w:left="500" w:hanging="500"/>
        <w:spacing w:line="360" w:lineRule="auto"/>
        <w:rPr>
          <w:rFonts w:ascii="Times New Roman" w:hAnsi="Times New Roman"/>
          <w:b/>
          <w:sz w:val="24"/>
          <w:szCs w:val="24"/>
          <w:highlight w:val="none"/>
        </w:rPr>
      </w:pPr>
      <w:r>
        <w:rPr>
          <w:sz w:val="24"/>
          <w:highlight w:val="none"/>
        </w:rPr>
        <w:t xml:space="preserve">三、</w:t>
      </w:r>
      <w:r>
        <w:rPr>
          <w:rFonts w:ascii="Times New Roman" w:hAnsi="Times New Roman"/>
          <w:b/>
          <w:sz w:val="24"/>
          <w:szCs w:val="24"/>
          <w:highlight w:val="none"/>
        </w:rPr>
        <w:t xml:space="preserve">技术要求</w:t>
      </w:r>
      <w:r/>
    </w:p>
    <w:p>
      <w:pPr>
        <w:pStyle w:val="1083"/>
        <w:contextualSpacing/>
        <w:ind w:left="500" w:hanging="500"/>
        <w:spacing w:line="360" w:lineRule="auto"/>
        <w:rPr>
          <w:rFonts w:hint="default" w:ascii="Times New Roman" w:hAnsi="Times New Roman" w:eastAsia="宋体"/>
          <w:b/>
          <w:sz w:val="24"/>
          <w:szCs w:val="24"/>
          <w:highlight w:val="none"/>
          <w:lang w:val="en-US" w:eastAsia="zh-CN"/>
        </w:rPr>
      </w:pPr>
      <w:r>
        <w:rPr>
          <w:rFonts w:hint="eastAsia" w:ascii="Times New Roman" w:hAnsi="Times New Roman"/>
          <w:b/>
          <w:sz w:val="24"/>
          <w:szCs w:val="24"/>
          <w:highlight w:val="none"/>
          <w:lang w:val="en-US" w:eastAsia="zh-CN"/>
        </w:rPr>
        <w:t xml:space="preserve">01-13标段：</w:t>
      </w:r>
      <w:r/>
    </w:p>
    <w:p>
      <w:pPr>
        <w:spacing w:line="360" w:lineRule="auto"/>
        <w:rPr>
          <w:rFonts w:ascii="宋体" w:hAnsi="宋体" w:cs="宋体"/>
          <w:b/>
          <w:bCs/>
          <w:sz w:val="24"/>
          <w:highlight w:val="none"/>
        </w:rPr>
        <w:outlineLvl w:val="0"/>
      </w:pPr>
      <w:r>
        <w:rPr>
          <w:rFonts w:hint="eastAsia" w:ascii="宋体" w:hAnsi="宋体" w:cs="宋体"/>
          <w:b/>
          <w:bCs/>
          <w:sz w:val="24"/>
          <w:highlight w:val="none"/>
        </w:rPr>
        <w:t xml:space="preserve">（一）基本要求</w:t>
      </w:r>
      <w:r/>
    </w:p>
    <w:p>
      <w:pPr>
        <w:ind w:firstLine="480"/>
        <w:spacing w:line="360" w:lineRule="auto"/>
        <w:rPr>
          <w:rFonts w:ascii="宋体" w:hAnsi="宋体" w:eastAsia="宋体" w:cs="宋体"/>
          <w:sz w:val="24"/>
          <w:highlight w:val="none"/>
        </w:rPr>
        <w:outlineLvl w:val="0"/>
      </w:pPr>
      <w:r>
        <w:rPr>
          <w:rFonts w:hint="eastAsia" w:ascii="宋体" w:hAnsi="宋体" w:eastAsia="宋体" w:cs="宋体"/>
          <w:sz w:val="24"/>
          <w:highlight w:val="none"/>
        </w:rPr>
        <w:t xml:space="preserve">1、在进行劳动力测算时，投标人根据自身经验及现场情况等因素自行配置，但不得低于最低养护人数要求（每标段最低养护人数为10人），投标人需在投标报价中充分考虑该因素，一旦中标，投标报价不随人员配置数量增加而调整。</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、现有养护范围内的苗木发生无故缺失或死亡，由承包人按同品种同规格赔偿并包栽包活管理1 年。由于自然灾害和不可抗力原因造成的苗木缺损，由承包人向采购方提出书面申请，经采购方组织有关人员现场核实后再做处理决定。</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养护人员工资不得低于溧阳市最低工资标准（合同履行期限内，有新标准执行新标准），否则按无效投标文件处理，养护人员的工资待遇、降温补贴、保险、福利等，按照市里相关规定执行，对可能出现的劳资纠纷、民事责任等，一律由养护方自行处理解决，如造成上访或严重信访事件将追究养护单位责任。</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、意外险投保费用必须按规定缴纳，</w:t>
      </w:r>
      <w:r>
        <w:rPr>
          <w:rFonts w:hint="eastAsia" w:ascii="宋体" w:hAnsi="宋体" w:eastAsia="宋体" w:cs="宋体"/>
          <w:b/>
          <w:bCs/>
          <w:sz w:val="24"/>
          <w:highlight w:val="none"/>
        </w:rPr>
        <w:t xml:space="preserve">否则采购方将不签订合同</w:t>
      </w:r>
      <w:r>
        <w:rPr>
          <w:rFonts w:hint="eastAsia" w:ascii="宋体" w:hAnsi="宋体" w:eastAsia="宋体" w:cs="宋体"/>
          <w:sz w:val="24"/>
          <w:highlight w:val="none"/>
        </w:rPr>
        <w:t xml:space="preserve">。投标人可根据自身需求自行提高保险费标准，该费用已包含在投标总价中，结算不做调整。</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、投标人承接本项目必须配备的机械不得用于 2 个以上采购人（包含本项目采购人）。</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项目现场负责人包含在最低养护人数中</w:t>
      </w:r>
      <w:r>
        <w:rPr>
          <w:rFonts w:hint="eastAsia" w:ascii="宋体" w:hAnsi="宋体" w:eastAsia="宋体" w:cs="宋体"/>
          <w:sz w:val="24"/>
          <w:highlight w:val="none"/>
        </w:rPr>
        <w:t xml:space="preserve">，且必须为绿化工（或花卉工）或者绿化专业技术人员（人员资格认定标准：人社部门发证认定）、人员年龄在 18-60 周岁之间，为投标人的正式职工或者聘用人员，如需更换人员，需经采购方书面同意。</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、工作时间：上午6~7点—下午5~6点，由养护单位根据季节制定养护计划。</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b/>
          <w:bCs/>
          <w:color w:val="ff0000"/>
          <w:sz w:val="24"/>
          <w:highlight w:val="none"/>
        </w:rPr>
        <w:t xml:space="preserve">供应商须按</w:t>
      </w:r>
      <w:r>
        <w:rPr>
          <w:rFonts w:hint="eastAsia" w:ascii="宋体" w:hAnsi="宋体" w:cs="宋体"/>
          <w:b/>
          <w:bCs/>
          <w:color w:val="ff0000"/>
          <w:sz w:val="24"/>
          <w:highlight w:val="none"/>
          <w:lang w:val="en-US" w:eastAsia="zh-CN"/>
        </w:rPr>
        <w:t xml:space="preserve">招标</w:t>
      </w:r>
      <w:r>
        <w:rPr>
          <w:rFonts w:hint="eastAsia" w:ascii="宋体" w:hAnsi="宋体" w:eastAsia="宋体" w:cs="宋体"/>
          <w:b/>
          <w:bCs/>
          <w:color w:val="ff0000"/>
          <w:sz w:val="24"/>
          <w:highlight w:val="none"/>
        </w:rPr>
        <w:t xml:space="preserve">文件附件格式出具一份承诺书，并对相应内容进行承诺，否则按无效投标文件处理。</w:t>
      </w:r>
      <w:r/>
    </w:p>
    <w:p>
      <w:pPr>
        <w:ind w:firstLine="480"/>
        <w:spacing w:line="360" w:lineRule="auto"/>
        <w:rPr>
          <w:rFonts w:ascii="宋体" w:hAnsi="宋体" w:cs="宋体"/>
          <w:b/>
          <w:bCs/>
          <w:sz w:val="24"/>
          <w:highlight w:val="none"/>
        </w:rPr>
        <w:outlineLvl w:val="0"/>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、投标人必须承诺一旦中标，必须在中标通知书发出后 1 周内在溧阳市设有固定的办公经营场所，能够满足办公、停车、仓储等要求，提供相关产权证明或租赁合同等材料。</w:t>
      </w:r>
      <w:r>
        <w:rPr>
          <w:rFonts w:hint="eastAsia" w:ascii="宋体" w:hAnsi="宋体" w:eastAsia="宋体" w:cs="宋体"/>
          <w:b/>
          <w:bCs/>
          <w:sz w:val="24"/>
          <w:highlight w:val="none"/>
        </w:rPr>
        <w:t xml:space="preserve">否则，采购人有权取消其中标资格。</w:t>
      </w:r>
      <w:r/>
    </w:p>
    <w:p>
      <w:pPr>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（二）</w:t>
      </w:r>
      <w:r>
        <w:rPr>
          <w:rFonts w:ascii="宋体" w:hAnsi="宋体" w:cs="宋体"/>
          <w:b/>
          <w:bCs/>
          <w:spacing w:val="-2"/>
          <w:sz w:val="24"/>
          <w:highlight w:val="none"/>
        </w:rPr>
        <w:t xml:space="preserve">绿地管理要求</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08"/>
        <w:gridCol w:w="3742"/>
        <w:gridCol w:w="3490"/>
      </w:tblGrid>
      <w:tr>
        <w:trPr>
          <w:jc w:val="center"/>
        </w:trPr>
        <w:tc>
          <w:tcPr>
            <w:shd w:val="clear" w:color="auto" w:fill="auto"/>
            <w:tcW w:w="848" w:type="dxa"/>
            <w:vAlign w:val="center"/>
            <w:textDirection w:val="lrTb"/>
            <w:noWrap w:val="false"/>
          </w:tcPr>
          <w:p>
            <w:pPr>
              <w:jc w:val="center"/>
              <w:rPr>
                <w:rFonts w:ascii="Times New Roman" w:hAnsi="Times New Roman" w:eastAsia="宋体" w:cs="Times New Roman"/>
                <w:b/>
                <w:bCs/>
                <w:highlight w:val="none"/>
              </w:rPr>
            </w:pPr>
            <w:r>
              <w:rPr>
                <w:rFonts w:hint="eastAsia" w:ascii="宋体" w:hAnsi="宋体" w:eastAsia="宋体" w:cs="宋体"/>
                <w:b/>
                <w:bCs/>
                <w:spacing w:val="-20"/>
                <w:sz w:val="24"/>
                <w:highlight w:val="none"/>
              </w:rPr>
              <w:t xml:space="preserve">序号</w:t>
            </w:r>
            <w:r/>
          </w:p>
        </w:tc>
        <w:tc>
          <w:tcPr>
            <w:shd w:val="clear" w:color="auto" w:fill="auto"/>
            <w:tcW w:w="1208" w:type="dxa"/>
            <w:vAlign w:val="center"/>
            <w:textDirection w:val="lrTb"/>
            <w:noWrap w:val="false"/>
          </w:tcPr>
          <w:p>
            <w:pPr>
              <w:jc w:val="center"/>
              <w:rPr>
                <w:rFonts w:ascii="宋体" w:hAnsi="宋体" w:eastAsia="宋体" w:cs="宋体"/>
                <w:b/>
                <w:bCs/>
                <w:spacing w:val="-20"/>
                <w:sz w:val="24"/>
                <w:highlight w:val="none"/>
              </w:rPr>
            </w:pPr>
            <w:r>
              <w:rPr>
                <w:rFonts w:hint="eastAsia" w:ascii="宋体" w:hAnsi="宋体" w:eastAsia="宋体" w:cs="宋体"/>
                <w:b/>
                <w:bCs/>
                <w:spacing w:val="-20"/>
                <w:sz w:val="24"/>
                <w:highlight w:val="none"/>
              </w:rPr>
              <w:t xml:space="preserve">内容</w:t>
            </w:r>
            <w:r/>
          </w:p>
        </w:tc>
        <w:tc>
          <w:tcPr>
            <w:shd w:val="clear" w:color="auto" w:fill="auto"/>
            <w:tcW w:w="3742" w:type="dxa"/>
            <w:vAlign w:val="center"/>
            <w:textDirection w:val="lrTb"/>
            <w:noWrap w:val="false"/>
          </w:tcPr>
          <w:p>
            <w:pPr>
              <w:jc w:val="center"/>
              <w:rPr>
                <w:rFonts w:ascii="宋体" w:hAnsi="宋体" w:eastAsia="宋体" w:cs="宋体"/>
                <w:b/>
                <w:bCs/>
                <w:spacing w:val="-20"/>
                <w:sz w:val="24"/>
                <w:highlight w:val="none"/>
              </w:rPr>
            </w:pPr>
            <w:r>
              <w:rPr>
                <w:rFonts w:hint="eastAsia" w:ascii="宋体" w:hAnsi="宋体" w:eastAsia="宋体" w:cs="宋体"/>
                <w:b/>
                <w:bCs/>
                <w:spacing w:val="-20"/>
                <w:sz w:val="24"/>
                <w:highlight w:val="none"/>
              </w:rPr>
              <w:t xml:space="preserve">一 级</w:t>
            </w:r>
            <w:r/>
          </w:p>
        </w:tc>
        <w:tc>
          <w:tcPr>
            <w:shd w:val="clear" w:color="auto" w:fill="auto"/>
            <w:tcW w:w="3490" w:type="dxa"/>
            <w:vAlign w:val="center"/>
            <w:textDirection w:val="lrTb"/>
            <w:noWrap w:val="false"/>
          </w:tcPr>
          <w:p>
            <w:pPr>
              <w:jc w:val="center"/>
              <w:rPr>
                <w:rFonts w:ascii="宋体" w:hAnsi="宋体" w:eastAsia="宋体" w:cs="宋体"/>
                <w:b/>
                <w:bCs/>
                <w:spacing w:val="-20"/>
                <w:sz w:val="24"/>
                <w:highlight w:val="none"/>
              </w:rPr>
            </w:pPr>
            <w:r>
              <w:rPr>
                <w:rFonts w:hint="eastAsia" w:ascii="宋体" w:hAnsi="宋体" w:eastAsia="宋体" w:cs="宋体"/>
                <w:b/>
                <w:bCs/>
                <w:spacing w:val="-20"/>
                <w:sz w:val="24"/>
                <w:highlight w:val="none"/>
              </w:rPr>
              <w:t xml:space="preserve">二 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w:t>
            </w:r>
            <w:r/>
          </w:p>
        </w:tc>
        <w:tc>
          <w:tcPr>
            <w:shd w:val="clear" w:color="auto" w:fill="auto"/>
            <w:tcW w:w="1208" w:type="dxa"/>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乔灌木</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1、树木生长正常，不歪斜（造型树木除外）；</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2、乔木树形完美，主侧枝均匀，数量 适宜，内膛通风透光，无枯死枝、过密枝、下垂枝等；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3、花灌木开花及时，正常，花后修剪及时。</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4、乔木根部无萌蘖枝；</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5、无缺株、死树，无杂树，无明显杂草；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6、基本无病虫害危害迹象。</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1、树木生长正常，不歪斜（造型树木除外）；</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2、乔木树形基本完整，符合其自然特征，无明显的枯、死枝；</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3、花灌木开花及时，花后修剪及时； 4、无缺株、死树，无杂树，无藤本缠绕；</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5、无明显病虫害危害迹象；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绿篱色块地被</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1、生长茂盛，枝条茂密，密度适宜；</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2、生长季节修剪、追肥及时，修剪形态符合景观观赏要求；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3、无人为践踏、断行缺株现象；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4、基本无病虫害危害。</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1、生长良好；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2、生长季节及时修剪、追肥，修剪形态符合生长要求；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3、无人为践踏、断行缺株现象；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4、无明显病虫害危害。</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草坪</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1、草坪生长茂盛，景观效果好；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2、修剪及时，修剪高度符合要求；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3、草坪边缘线清晰（树穴、花坛交界处、其他植物间）；</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4、基本无杂草，基本无病虫害危害现象；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5、草坪集中空秃面积不超过 0.2 ㎡；</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6、绿地平整，无坑洼积水。</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1、草坪生长正常，无明显空秃，集中空秃面积不超过 0.5 ㎡；</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2、修剪及时，高度符合要求；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3、无阔叶杂草、大型野草等，杂草控制高度在 5 ㎝以下；</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4、无明显病虫害危害迹象；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5、绿地平整，无大面积的坑洼积水现象。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园林设施维护</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1、园林建构筑物、小品及各类便民设 施保持完好，无安全隐患、无破损现象，无乱涂写、乱张贴、乱涂刻现象；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2、设施损坏后修复及时；</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3、树木支撑桩位扎缚规范、有效。</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1、园林设施基本完好，有问题及时处理并上报；</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6</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卫生保洁</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1、绿地各类便民设施整洁，无陈旧积尘；</w:t>
            </w:r>
            <w:r/>
          </w:p>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w:t>
            </w:r>
            <w:r>
              <w:rPr>
                <w:rFonts w:ascii="宋体" w:hAnsi="宋体" w:eastAsia="宋体" w:cs="宋体"/>
                <w:spacing w:val="-2"/>
                <w:sz w:val="24"/>
                <w:highlight w:val="none"/>
              </w:rPr>
              <w:t xml:space="preserve">、绿地整洁，无枯枝落叶，无杂物、 无白色垃圾（树挂）、无建筑垃圾，垃圾日产日清。</w:t>
            </w:r>
            <w:r/>
          </w:p>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w:t>
            </w:r>
            <w:r>
              <w:rPr>
                <w:rFonts w:ascii="宋体" w:hAnsi="宋体" w:eastAsia="宋体" w:cs="宋体"/>
                <w:spacing w:val="-2"/>
                <w:sz w:val="24"/>
                <w:highlight w:val="none"/>
              </w:rPr>
              <w:t xml:space="preserve">、作业废弃物（如树枝、树叶、草屑等）、水面杂物， 日产日清。</w:t>
            </w:r>
            <w:r/>
          </w:p>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4</w:t>
            </w:r>
            <w:r>
              <w:rPr>
                <w:rFonts w:ascii="宋体" w:hAnsi="宋体" w:eastAsia="宋体" w:cs="宋体"/>
                <w:spacing w:val="-2"/>
                <w:sz w:val="24"/>
                <w:highlight w:val="none"/>
              </w:rPr>
              <w:t xml:space="preserve">、无卫生死角。</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1、绿地基本整洁，无枯枝落叶，无明显杂物、无白色垃圾、无建筑垃圾。</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2、作业废弃物（如树枝、树叶、草 屑等）、绿地内水面杂物，日产日清。</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3、无卫生死角。</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7</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绿地秩序</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1、无侵占毁绿行为和现象；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2、秩序良好，无乱堆乱放、晾晒衣物、无乱设摊和车辆乱停放现象；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3、对被破坏或其他原因引起的绿地损坏及时上报；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4、及时清运各种垃圾杂物等，严禁现场焚烧。</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1、无侵占毁绿行为和现象；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2、秩序良好，无乱堆乱放、晾晒衣物、无乱设摊和车辆乱停放现象；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3、对被破坏或其他原因引起的绿地损坏及时上报；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4、及时清运各种垃圾杂物等，严禁现场焚烧。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8</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人员要求</w:t>
            </w:r>
            <w:r/>
          </w:p>
        </w:tc>
        <w:tc>
          <w:tcPr>
            <w:shd w:val="clear" w:color="auto" w:fill="auto"/>
            <w:tcW w:w="3742"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1、上岗人员符合国家用工规定，常规养护工人数量符合规定；</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2、在岗人员统一着装，穿戴整齐，安全、规范、文明作业。</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1、上岗人员符合国家用工规定，常规养护工人数量符合规定；</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2、在岗人员统一着装，穿戴整齐，安全、规范、文明作业。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9</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组织管理</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1、绿化管理台账齐全，有专人负责；</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2、根据绿地情况，制定绿地养护技术措施及年度养护计划、月度工作计划等；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3、有应急抢险预案措施；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4、加强对职工培训，提高职工的技术水平；</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5、按照有关安全生产操作规程组织作业。</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1、绿化管理台账齐全，有专人负责；</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2、根据绿地情况，制定绿地养护技 术措施及年度养护计划、月度工作计划等；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3、有应急抢险预案措施；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4、加强对职工培训，提高职工的技术水平；</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5、按照有关安全生产操作规程组织作业。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其它</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1、工作时间为当日 7：00— 当日 18：00；</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2、绿地养护人员见具体标段。</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1、工作时间为当日 7：00—当日 18：00；</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2、绿地养护人员见具体标段。</w:t>
            </w:r>
            <w:r/>
          </w:p>
        </w:tc>
      </w:tr>
    </w:tbl>
    <w:p>
      <w:pPr>
        <w:spacing w:line="360" w:lineRule="auto"/>
        <w:rPr>
          <w:rFonts w:ascii="宋体" w:hAnsi="宋体" w:cs="宋体"/>
          <w:spacing w:val="-2"/>
          <w:sz w:val="24"/>
          <w:highlight w:val="none"/>
        </w:rPr>
        <w:outlineLvl w:val="0"/>
      </w:pPr>
      <w:r>
        <w:rPr>
          <w:rFonts w:ascii="宋体" w:hAnsi="宋体" w:cs="宋体"/>
          <w:spacing w:val="-2"/>
          <w:sz w:val="24"/>
          <w:highlight w:val="none"/>
        </w:rPr>
      </w:r>
      <w:r/>
    </w:p>
    <w:p>
      <w:pPr>
        <w:ind w:firstLine="711"/>
        <w:spacing w:line="360" w:lineRule="auto"/>
        <w:rPr>
          <w:rFonts w:ascii="宋体" w:hAnsi="宋体" w:eastAsia="宋体" w:cs="宋体"/>
          <w:b/>
          <w:bCs/>
          <w:spacing w:val="-2"/>
          <w:sz w:val="24"/>
          <w:highlight w:val="none"/>
        </w:rPr>
        <w:outlineLvl w:val="0"/>
      </w:pPr>
      <w:r>
        <w:rPr>
          <w:rFonts w:hint="eastAsia" w:ascii="宋体" w:hAnsi="宋体" w:eastAsia="宋体" w:cs="宋体"/>
          <w:b/>
          <w:bCs/>
          <w:spacing w:val="-2"/>
          <w:sz w:val="24"/>
          <w:highlight w:val="none"/>
        </w:rPr>
        <w:t xml:space="preserve">（三）</w:t>
      </w:r>
      <w:r>
        <w:rPr>
          <w:rFonts w:ascii="宋体" w:hAnsi="宋体" w:eastAsia="宋体" w:cs="宋体"/>
          <w:b/>
          <w:bCs/>
          <w:spacing w:val="-2"/>
          <w:sz w:val="24"/>
          <w:highlight w:val="none"/>
        </w:rPr>
        <w:t xml:space="preserve">管理及考核要求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1、绿地养护工作由江苏省溧阳高新技术产业开发区国有资产管理中心组织实施。考核实行百分制，当月考核综合评分分数低于 60 分为不合格。</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2、一个月的试用养护期是检验各单位养护成效的期限，是否签订养护合同，进入正式 养护期由江苏省溧阳高新技术产业开发区国有资产管理中心认定。如一个月的试用养护期 检验不合格，将不签订养护合同。中标单位不得以设备采购、人员招聘、办公经营场所租赁等任何理由向采购人提出经济补偿要求。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3、乙方在养护期内出现以下问题之一，养护合同将自动终止：</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（1）一养护年度中有连续两次月考核不合格的（考核评分 60 分以下）。</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（2）如在养护期内，发生重大质量、安全方面的责任事故，对绿化景观造成严重破坏或造 成严重社会影响的，采购人将取消其养护资格，扣除养护保证金，并依法继续向承包人追究相应法律和经济责任。</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（3）养护现场负责人随意更换的。</w:t>
      </w:r>
      <w:r/>
    </w:p>
    <w:p>
      <w:pPr>
        <w:ind w:firstLine="236"/>
        <w:spacing w:line="360" w:lineRule="auto"/>
        <w:rPr>
          <w:rFonts w:ascii="宋体" w:hAnsi="宋体" w:cs="宋体"/>
          <w:spacing w:val="-2"/>
          <w:sz w:val="24"/>
          <w:highlight w:val="none"/>
        </w:rPr>
        <w:outlineLvl w:val="0"/>
      </w:pPr>
      <w:r>
        <w:rPr>
          <w:rFonts w:ascii="宋体" w:hAnsi="宋体" w:eastAsia="宋体" w:cs="宋体"/>
          <w:spacing w:val="-2"/>
          <w:sz w:val="24"/>
          <w:highlight w:val="none"/>
        </w:rPr>
        <w:t xml:space="preserve">（4）养护合同进行转包的。被取消养护资格后，由参与竞价养护的第二名投标人获得优先养护资格，依次类推并同样采用以上方法考察单位养护能力。</w:t>
      </w:r>
      <w:r/>
    </w:p>
    <w:p>
      <w:pPr>
        <w:ind w:firstLine="474"/>
        <w:spacing w:line="360" w:lineRule="auto"/>
        <w:rPr>
          <w:rFonts w:ascii="宋体" w:hAnsi="宋体" w:cs="宋体"/>
          <w:b/>
          <w:bCs/>
          <w:spacing w:val="-2"/>
          <w:sz w:val="24"/>
          <w:highlight w:val="none"/>
        </w:rPr>
        <w:outlineLvl w:val="0"/>
      </w:pPr>
      <w:r>
        <w:rPr>
          <w:rFonts w:ascii="宋体" w:hAnsi="宋体" w:cs="宋体"/>
          <w:b/>
          <w:bCs/>
          <w:spacing w:val="-2"/>
          <w:sz w:val="24"/>
          <w:highlight w:val="none"/>
        </w:rPr>
        <w:t xml:space="preserve">4、</w:t>
      </w:r>
      <w:r>
        <w:rPr>
          <w:rFonts w:hint="eastAsia" w:ascii="宋体" w:hAnsi="宋体" w:cs="宋体"/>
          <w:b/>
          <w:bCs/>
          <w:spacing w:val="-2"/>
          <w:sz w:val="24"/>
          <w:highlight w:val="none"/>
          <w:lang w:eastAsia="zh-CN"/>
        </w:rPr>
        <w:t xml:space="preserve">绿化养护费用根据年度考核情况年底一次性付清（本次报价按照12个月的养护时间，最终结算按照实际养护时间。每月养护费用=投标报价总价/12）</w:t>
      </w:r>
      <w:r>
        <w:rPr>
          <w:rFonts w:ascii="宋体" w:hAnsi="宋体" w:cs="宋体"/>
          <w:b/>
          <w:bCs/>
          <w:spacing w:val="-2"/>
          <w:sz w:val="24"/>
          <w:highlight w:val="none"/>
        </w:rPr>
        <w:t xml:space="preserve">。</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5、绿化养护考核实施细则</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27"/>
        <w:gridCol w:w="3585"/>
        <w:gridCol w:w="3465"/>
        <w:gridCol w:w="745"/>
      </w:tblGrid>
      <w:tr>
        <w:trPr>
          <w:trHeight w:val="449"/>
        </w:trPr>
        <w:tc>
          <w:tcPr>
            <w:shd w:val="clear" w:color="auto" w:fill="auto"/>
            <w:tcW w:w="766"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shd w:val="clear" w:color="auto" w:fill="auto"/>
            <w:tcW w:w="727"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分值</w:t>
            </w:r>
            <w:r/>
          </w:p>
        </w:tc>
        <w:tc>
          <w:tcPr>
            <w:shd w:val="clear" w:color="auto" w:fill="auto"/>
            <w:tcW w:w="358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考核标准</w:t>
            </w:r>
            <w:r/>
          </w:p>
        </w:tc>
        <w:tc>
          <w:tcPr>
            <w:shd w:val="clear" w:color="auto" w:fill="auto"/>
            <w:tcW w:w="346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扣分细则</w:t>
            </w:r>
            <w:r/>
          </w:p>
        </w:tc>
        <w:tc>
          <w:tcPr>
            <w:shd w:val="clear" w:color="auto" w:fill="auto"/>
            <w:tcW w:w="74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w:t>
            </w:r>
            <w:r/>
          </w:p>
        </w:tc>
      </w:tr>
      <w:tr>
        <w:trPr>
          <w:trHeight w:val="1090"/>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卫生保洁</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1、花坛、树池、绿地内无白色垃圾、落叶、建筑垃圾；水面无漂浮物等。</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发现有陈旧垃圾、杂物扣 2 分/处；发现有卫生死角扣 5 分/处；发现园林设施及水体不整洁扣 1 分/处；垃圾当天不及时清运扣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824"/>
        </w:trPr>
        <w:tc>
          <w:tcPr>
            <w:shd w:val="clear" w:color="auto" w:fill="auto"/>
            <w:tcW w:w="766" w:type="dxa"/>
            <w:vAlign w:val="center"/>
            <w:vMerge w:val="continue"/>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shd w:val="clear" w:color="auto" w:fill="auto"/>
            <w:tcW w:w="727" w:type="dxa"/>
            <w:vAlign w:val="center"/>
            <w:vMerge w:val="continue"/>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2、生产垃圾日产日清，重点地段随产随清。</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草坪养护</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1、生长期长势好，草坪绿期长，抗旱浇水和雨后排水及时，保证绿化带内土壤松透湿润无退化现象。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未及时做好浇水、排水工作致草坪生长不良扣 1 分/处；修剪不合 格每平方扣 1 分；病虫害防治不 力造成危害影响景观的每平方扣 1 分；杂草明显、界线不清扣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2、修剪平整，冬绿型草坪高度不超过 10 厘米，夏绿型草坪高度不超过 6 厘米，休眠期前作较低修剪。</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3、草坪无病虫害，无空秃，有一定厚度，草根不裸露。</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4、无杂草，与绿篱色块、地被之间界线清晰。</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乔</w:t>
            </w:r>
            <w:r>
              <w:rPr>
                <w:rFonts w:ascii="宋体" w:hAnsi="宋体" w:eastAsia="宋体" w:cs="宋体"/>
                <w:spacing w:val="-2"/>
                <w:sz w:val="24"/>
                <w:highlight w:val="none"/>
              </w:rPr>
              <w:t xml:space="preserve">灌木养护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1、树木生长正常，无死树、断枝及明显枯死枝，无倾斜、歪倒现象，绿篱色块基本无空缺。</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管护不到位，未及时做好浇水、排水工作致苗木死亡的扣 5 分/处；歪斜树不及时扶正、死树、枯枝、断枝不及时处理扣 1分/株。修剪、清理不及时及修剪手法过重扣 1分/处；绿篱色块成片死亡未及时补缺到位扣 1 分/处。出现病虫害症状，防治不力的扣 1 分/ 次，造成严重危害的扣 2 分/次，造成一定范围植株死亡的扣 5 分/次。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发现明显杂草、杂树扣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2、树木的修剪符合景观观赏要求，乔木根部无萌孽枝，绿篱、色块修剪及时到位，垂直绿化牵引、绑扎到位。</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3、以生态农药采取根埋，注射等科学方法进行，严禁使用有机农药，冬季涂白规范整齐。</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4、绿地内无大型杂草、无缠绕性、攀缘性杂草，无乱牵乱挂现象，杂树、树桩清除及时。</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常规养护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1、年内施肥不少于二次，冬季基肥以有机肥为主，采取穴施、沟施法；季节施肥掌握在花前花后追肥。</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年内施肥不少于二次，冬季基肥以有机肥为主，采取穴施、沟施法；季节施肥掌握在花前花后追肥，少施一次扣 1 分，偷工减料扣 1 分；未对缺树缺苗及时进行补种补栽，每次扣 1 分；未做到苗木搭配均匀合理无空缺，色块内树苗均匀整齐无空壳花圃內搭配合理鲜艳漂亮，每次扣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2、根据原有乔灌木色块及花圃规划设计，对缺树缺苗进行补种补栽，做到苗木搭配均匀合理无空缺，色块内树 苗均匀整齐无空壳花圃內搭配合理鲜艳漂亮。</w:t>
            </w:r>
            <w:r/>
          </w:p>
        </w:tc>
        <w:tc>
          <w:tcPr>
            <w:shd w:val="clear" w:color="auto" w:fill="auto"/>
            <w:tcW w:w="3465"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绿地秩序</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1、绿地上有杂物堆放、乱停车、乱披挂、乱设摊、乱晾晒、乱焚烧生产垃圾的现象。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发现一辆扣 1 分，管养人员自己的车辆扣 2 分/辆,杂物堆放、乱披挂、乱晾晒扣 1 分/处，乱设置 扣 2 分/处，乱焚烧生产垃圾扣 3 分/处，扣完为止。绿地侵占、破坏设施未发现制止或发现未汇报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的扣 2 分/次。</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468"/>
        </w:trPr>
        <w:tc>
          <w:tcPr>
            <w:shd w:val="clear" w:color="auto" w:fill="auto"/>
            <w:tcW w:w="766" w:type="dxa"/>
            <w:vAlign w:val="center"/>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2、发现绿地侵占、偷盗苗木、破坏设施等现象，要立即制止，同时第一时间与采购人联系并汇报。</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案件处置</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1、案件发生后，处置人员把信息发往 该标段负责人，接收后应及时作收到回复。</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2、在规定时间内按相关要求处理好案件，如因处置不当，造成返工现象，有一个扣 1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3、按规范回复案件，即案件序号加两张处置后的照片。</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未及时回复的，每有一个扣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386"/>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现场考评</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被现场考评组直接扣分的，有一件扣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其他</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1、常规管理人员符合管养绿地要求，人员齐全，年龄符合规定。定职定岗，按规定着标志服装。</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上岗人员有缺少或不符合要求扣 5 分/人，聚众聊天、串岗离岗发 现 1 人扣 1 分；不着标志服装,每发现 1 人扣 1 分。未按作业安全操作规程进行登高、机械操作的发现一次扣 1 分。不服从采购人管理，未能按要求完成任务的一次扣 2 分。机械不按合同要求配备，少一台扣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2、安全要求，按绿化作业安全操作规程执行</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3、机械未按照合同要求配备</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textDirection w:val="lrTb"/>
            <w:noWrap w:val="false"/>
          </w:tcPr>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合计</w:t>
            </w:r>
            <w:r/>
          </w:p>
        </w:tc>
        <w:tc>
          <w:tcPr>
            <w:shd w:val="clear" w:color="auto" w:fill="auto"/>
            <w:tcW w:w="727" w:type="dxa"/>
            <w:vAlign w:val="center"/>
            <w:textDirection w:val="lrTb"/>
            <w:noWrap w:val="false"/>
          </w:tcPr>
          <w:p>
            <w:pPr>
              <w:jc w:val="center"/>
              <w:rPr>
                <w:rFonts w:ascii="宋体" w:hAnsi="宋体" w:eastAsia="宋体" w:cs="宋体"/>
                <w:sz w:val="24"/>
                <w:highlight w:val="none"/>
              </w:rPr>
            </w:pPr>
            <w:r>
              <w:rPr>
                <w:rFonts w:hint="eastAsia" w:ascii="Times New Roman" w:hAnsi="Times New Roman" w:eastAsia="宋体" w:cs="Times New Roman"/>
                <w:sz w:val="24"/>
                <w:highlight w:val="none"/>
              </w:rPr>
              <w:t xml:space="preserve">100</w:t>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465" w:type="dxa"/>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sz w:val="24"/>
                <w:highlight w:val="none"/>
              </w:rPr>
              <w:t xml:space="preserve">得分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jc w:val="center"/>
              <w:rPr>
                <w:rFonts w:ascii="Times New Roman" w:hAnsi="Times New Roman" w:eastAsia="宋体" w:cs="Times New Roman"/>
                <w:highlight w:val="none"/>
              </w:rPr>
            </w:pPr>
            <w:r>
              <w:rPr>
                <w:rFonts w:ascii="Times New Roman" w:hAnsi="Times New Roman" w:eastAsia="宋体" w:cs="Times New Roman"/>
                <w:sz w:val="24"/>
                <w:highlight w:val="none"/>
              </w:rPr>
              <w:t xml:space="preserve">特别条款</w:t>
            </w:r>
            <w:r/>
          </w:p>
        </w:tc>
        <w:tc>
          <w:tcPr>
            <w:gridSpan w:val="4"/>
            <w:shd w:val="clear" w:color="auto" w:fill="auto"/>
            <w:tcW w:w="852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1、被媒体曝光或受到各级领导通报批评的，发生一次扣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2、各部门发现的问题或者群众来信来访未能及时整改处理或回复处理不及时、不真实的，每次扣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3、城市长效管理，数字化城管中因管理出现扣分的，直接按实际扣分。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4、不服从采购人统一管理,未完成采购人安排的其他任务的，发生一次扣 5 分。</w:t>
            </w:r>
            <w:r/>
          </w:p>
        </w:tc>
      </w:tr>
    </w:tbl>
    <w:p>
      <w:pPr>
        <w:spacing w:line="360" w:lineRule="auto"/>
        <w:rPr>
          <w:rFonts w:ascii="宋体" w:hAnsi="宋体" w:cs="宋体"/>
          <w:spacing w:val="-2"/>
          <w:sz w:val="24"/>
          <w:highlight w:val="none"/>
        </w:rPr>
        <w:outlineLvl w:val="0"/>
      </w:pPr>
      <w:r>
        <w:rPr>
          <w:rFonts w:ascii="宋体" w:hAnsi="宋体" w:cs="宋体"/>
          <w:spacing w:val="-2"/>
          <w:sz w:val="24"/>
          <w:highlight w:val="none"/>
        </w:rPr>
      </w:r>
      <w:r/>
    </w:p>
    <w:p>
      <w:pPr>
        <w:ind w:firstLine="480"/>
        <w:jc w:val="left"/>
        <w:spacing w:line="360" w:lineRule="auto"/>
        <w:rPr>
          <w:rFonts w:hint="eastAsia"/>
          <w:sz w:val="24"/>
          <w:highlight w:val="none"/>
        </w:rPr>
        <w:outlineLvl w:val="0"/>
      </w:pPr>
      <w:r>
        <w:rPr>
          <w:rFonts w:hint="eastAsia"/>
          <w:sz w:val="24"/>
          <w:highlight w:val="none"/>
        </w:rPr>
        <w:t xml:space="preserve">日常考核时，对于人员上岗、着装、日常保洁、病虫害以及一些直接造成损害的问题直接扣分；其他问题按要求整改处理，在规定期限未能处理到位的进行扣分。月考核中，发现问题直接扣分。</w:t>
      </w:r>
      <w:r/>
    </w:p>
    <w:p>
      <w:pPr>
        <w:ind w:firstLine="480"/>
        <w:jc w:val="left"/>
        <w:spacing w:line="360" w:lineRule="auto"/>
        <w:rPr>
          <w:b/>
          <w:bCs/>
          <w:sz w:val="24"/>
          <w:highlight w:val="none"/>
        </w:rPr>
        <w:outlineLvl w:val="0"/>
      </w:pPr>
      <w:r>
        <w:rPr>
          <w:rFonts w:hint="eastAsia"/>
          <w:sz w:val="24"/>
          <w:highlight w:val="none"/>
        </w:rPr>
        <w:t xml:space="preserve">上述考核办法最终解释权归属江苏省溧阳高新技术产业开发区国有资产管理中心。《办法》内十项扣分和奖罚累加不保底，本着公正、公平、公开原则，每次扣分和奖罚都在中关村市政绿化养护群内公示，考核得分与年度养护经费挂钩。</w:t>
      </w:r>
      <w:r/>
    </w:p>
    <w:p>
      <w:pPr>
        <w:jc w:val="left"/>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（四）绿化养护管理奖惩办法</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1、绿化养护综合评分在 80 分以上者（含 80 分）按合同价正常结算当月养护经费；综合评分在 60（含）-80 分，按合同价 1/2 结算当月养护经费；综合评分在 60 分以下者，扣除当月养护经费。</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2、有下列情形之一的，合同采购人有权单方终止与乙方的养护合同，当月的养护经费不予结算：</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（1）未按</w:t>
      </w:r>
      <w:r>
        <w:rPr>
          <w:rFonts w:hint="eastAsia" w:ascii="宋体" w:hAnsi="宋体" w:cs="宋体"/>
          <w:spacing w:val="-2"/>
          <w:sz w:val="24"/>
          <w:highlight w:val="none"/>
          <w:lang w:val="en-US" w:eastAsia="zh-CN"/>
        </w:rPr>
        <w:t xml:space="preserve">招标</w:t>
      </w:r>
      <w:r>
        <w:rPr>
          <w:rFonts w:hint="eastAsia" w:ascii="宋体" w:hAnsi="宋体" w:cs="宋体"/>
          <w:spacing w:val="-2"/>
          <w:sz w:val="24"/>
          <w:highlight w:val="none"/>
        </w:rPr>
        <w:t xml:space="preserve">文件的要求组织养护工作的（如养护期间没有固定经营场所、机具非自有等）；</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（2）连续二次考核综合评分在 60 分以下的；</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（3）养护合同进行转包的；</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（4）因工人集体罢工、上访、群众举报和投诉等事件致使采购人名誉受损或其它损失的，除按考核要求扣分外，直接扣款 2000 元/次，情节特别严重的终止养护合同；</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3、绿化养护考核由日常考核巡查和月考核组成，由合同采购人组织实施。</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4、综合评分=100- 日常考核扣分×70%-月度考核扣分×30%－特别条款扣分。</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5、暴露出的同一问题采购人电话通知乙方两次后仍未整改到位，采购人将开出“整改通知书 ”，并在当月综合评分中扣除 5 分。</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6、日常检查过程中，出现下列情况时，除按规定扣分外，还需直接扣除养护经费：</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（1）现场负责人应按时按规定参加江苏省溧阳高新技术产业开发区国有资产管理中心组织的各项培训、会议；无故缺席的一次扣 500 元；每月到场22天，少一天扣2000元。</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（2）按合同规定的最低常规养护人数（10人）到岗到位，不足员时，按每人每天 200 元扣除；</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（3）处于失管状态的地块，采购人有权根据失管的严重程度，在扣分的基础上，直接扣除当月的养护费用；</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7、该措施中所指的扣款是每月考核综合评分扣款，承包人在结算资金时结清。</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8、如不当养护造成绿化损失或严重社会影响，如草坪杂化、乔木修剪过重、地被花境长势衰退或严重不良等由承包人负责更新，费用由承包人自行承担。</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9、应急管理：养护中标单位必须制定灾害性天气应急预案，建立一支稳定的应急抢险队伍，并保证有能力调配到高空作业车、大功率电锯等必须的应急设备，确保出现灾害性天气时，能够第一时间投入抢险救灾中，并服从采购人另行安排的其它范围内的应急抢险任务。</w:t>
      </w:r>
      <w:r/>
    </w:p>
    <w:p>
      <w:pPr>
        <w:ind w:firstLine="472"/>
        <w:jc w:val="left"/>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10、安全责任事故等风险问题：养护期内，承包人须加强安全生产管理，积极主动采取 防范措施，解除安全隐患，同时为养护工人购买保险等方式来规避风险。如养护标段中发 生安全事故、人员伤亡事件，由养护中标单位负责处理解决，处理过程中发生的费用（包括赔偿费用）由承包人承担。</w:t>
      </w:r>
      <w:r/>
    </w:p>
    <w:p>
      <w:pPr>
        <w:jc w:val="center"/>
        <w:spacing w:line="360" w:lineRule="auto"/>
        <w:rPr>
          <w:b/>
          <w:bCs/>
          <w:sz w:val="36"/>
          <w:szCs w:val="36"/>
          <w:highlight w:val="none"/>
        </w:rPr>
        <w:outlineLvl w:val="0"/>
      </w:pPr>
      <w:r>
        <w:rPr>
          <w:b/>
          <w:bCs/>
          <w:sz w:val="36"/>
          <w:szCs w:val="36"/>
          <w:highlight w:val="none"/>
        </w:rPr>
      </w:r>
      <w:r/>
    </w:p>
    <w:p>
      <w:pPr>
        <w:pStyle w:val="1083"/>
        <w:contextualSpacing/>
        <w:ind w:left="500" w:hanging="500"/>
        <w:spacing w:line="360" w:lineRule="auto"/>
        <w:rPr>
          <w:rFonts w:hint="eastAsia" w:ascii="Times New Roman" w:hAnsi="Times New Roman"/>
          <w:b/>
          <w:sz w:val="24"/>
          <w:szCs w:val="24"/>
          <w:highlight w:val="none"/>
          <w:lang w:val="en-US" w:eastAsia="zh-CN"/>
        </w:rPr>
      </w:pPr>
      <w:r>
        <w:rPr>
          <w:rFonts w:hint="eastAsia" w:ascii="Times New Roman" w:hAnsi="Times New Roman"/>
          <w:b/>
          <w:sz w:val="24"/>
          <w:szCs w:val="24"/>
          <w:highlight w:val="none"/>
          <w:lang w:val="en-US" w:eastAsia="zh-CN"/>
        </w:rPr>
        <w:t xml:space="preserve">14标段：</w:t>
      </w:r>
      <w:r/>
    </w:p>
    <w:p>
      <w:pPr>
        <w:contextualSpacing/>
        <w:ind w:firstLine="480"/>
        <w:spacing w:line="360" w:lineRule="auto"/>
        <w:widowControl/>
        <w:rPr>
          <w:rFonts w:hint="default" w:eastAsia="宋体"/>
          <w:b/>
          <w:bCs/>
          <w:color w:val="000000"/>
          <w:sz w:val="24"/>
          <w:highlight w:val="none"/>
          <w:lang w:val="en-US" w:eastAsia="zh-CN"/>
        </w:rPr>
      </w:pPr>
      <w:r>
        <w:rPr>
          <w:rFonts w:hint="eastAsia"/>
          <w:b/>
          <w:bCs/>
          <w:color w:val="000000"/>
          <w:sz w:val="24"/>
          <w:highlight w:val="none"/>
          <w:lang w:val="en-US" w:eastAsia="zh-CN"/>
        </w:rPr>
        <w:t xml:space="preserve">（一）绿雕养护内容：</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1、完成本项目绿雕花卉栽植更换、设施维护等作业。</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2、养护期内对竞争性磋商所列明的设施每天巡查，对破坏绿雕、影响绿化景观、环境卫生等行为予以制止，并及时上报和整改到位。接受第三方考核单位的养护全过程现场监管，对于采购人及第三方考核单位巡查下发的问题整改菜单，及时整改。</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3、完成项目范围内的应急抢险及消险工作。在消险过程中严格确保安全作业；对突发性事件的应急预案，以便应对突发性事件。</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4、完成项目范围内各类信访、投诉、举报的处理和整改；</w:t>
      </w:r>
      <w:r/>
    </w:p>
    <w:p>
      <w:pPr>
        <w:contextualSpacing/>
        <w:ind w:firstLine="480"/>
        <w:spacing w:line="360" w:lineRule="auto"/>
        <w:widowControl/>
        <w:rPr>
          <w:color w:val="000000"/>
          <w:sz w:val="24"/>
          <w:highlight w:val="none"/>
        </w:rPr>
      </w:pPr>
      <w:r>
        <w:rPr>
          <w:rFonts w:hint="eastAsia"/>
          <w:color w:val="000000"/>
          <w:sz w:val="24"/>
          <w:highlight w:val="none"/>
        </w:rPr>
        <w:t xml:space="preserve">5、完成采购人布置的其他临时性工作和指令性任务</w:t>
      </w:r>
      <w:r>
        <w:rPr>
          <w:color w:val="000000"/>
          <w:sz w:val="24"/>
          <w:highlight w:val="none"/>
        </w:rPr>
        <w:t xml:space="preserve">。</w:t>
      </w:r>
      <w:r/>
    </w:p>
    <w:p>
      <w:pPr>
        <w:contextualSpacing/>
        <w:ind w:firstLine="482"/>
        <w:spacing w:line="360" w:lineRule="auto"/>
        <w:widowControl/>
        <w:rPr>
          <w:b/>
          <w:bCs w:val="0"/>
          <w:color w:val="000000"/>
          <w:sz w:val="24"/>
          <w:highlight w:val="none"/>
        </w:rPr>
      </w:pPr>
      <w:r>
        <w:rPr>
          <w:rFonts w:hint="eastAsia"/>
          <w:b/>
          <w:bCs w:val="0"/>
          <w:color w:val="000000"/>
          <w:sz w:val="24"/>
          <w:highlight w:val="none"/>
          <w:lang w:eastAsia="zh-CN"/>
        </w:rPr>
        <w:t xml:space="preserve">（</w:t>
      </w:r>
      <w:r>
        <w:rPr>
          <w:rFonts w:hint="eastAsia"/>
          <w:b/>
          <w:bCs w:val="0"/>
          <w:color w:val="000000"/>
          <w:sz w:val="24"/>
          <w:highlight w:val="none"/>
          <w:lang w:val="en-US" w:eastAsia="zh-CN"/>
        </w:rPr>
        <w:t xml:space="preserve">二</w:t>
      </w:r>
      <w:r>
        <w:rPr>
          <w:rFonts w:hint="eastAsia"/>
          <w:b/>
          <w:bCs w:val="0"/>
          <w:color w:val="000000"/>
          <w:sz w:val="24"/>
          <w:highlight w:val="none"/>
          <w:lang w:eastAsia="zh-CN"/>
        </w:rPr>
        <w:t xml:space="preserve">）</w:t>
      </w:r>
      <w:r>
        <w:rPr>
          <w:rFonts w:hint="eastAsia"/>
          <w:b/>
          <w:bCs w:val="0"/>
          <w:color w:val="000000"/>
          <w:sz w:val="24"/>
          <w:highlight w:val="none"/>
        </w:rPr>
        <w:t xml:space="preserve">绿雕养护要求</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1</w:t>
      </w:r>
      <w:r>
        <w:rPr>
          <w:rFonts w:hint="eastAsia"/>
          <w:bCs/>
          <w:color w:val="000000"/>
          <w:sz w:val="24"/>
          <w:highlight w:val="none"/>
          <w:lang w:eastAsia="zh-CN"/>
        </w:rPr>
        <w:t xml:space="preserve">、</w:t>
      </w:r>
      <w:r>
        <w:rPr>
          <w:rFonts w:hint="eastAsia"/>
          <w:bCs/>
          <w:color w:val="000000"/>
          <w:sz w:val="24"/>
          <w:highlight w:val="none"/>
        </w:rPr>
        <w:t xml:space="preserve">绿雕整体更换2次。成交后按时组织更换成耐热性佳的夏季草种，入冬前更换成耐寒性佳的冬季草种，根据景观要求不定时补植，在重要节假日和重大活动接待期间，绿雕需按采购人要求统一更新。</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2</w:t>
      </w:r>
      <w:r>
        <w:rPr>
          <w:rFonts w:hint="eastAsia"/>
          <w:bCs/>
          <w:color w:val="000000"/>
          <w:sz w:val="24"/>
          <w:highlight w:val="none"/>
          <w:lang w:eastAsia="zh-CN"/>
        </w:rPr>
        <w:t xml:space="preserve">、</w:t>
      </w:r>
      <w:r>
        <w:rPr>
          <w:rFonts w:hint="eastAsia"/>
          <w:bCs/>
          <w:color w:val="000000"/>
          <w:sz w:val="24"/>
          <w:highlight w:val="none"/>
        </w:rPr>
        <w:t xml:space="preserve">养护方案切实可行，措施具体，针对性强。应根据植物习性、色彩要求进行更换，确保成活，达到效果。</w:t>
      </w:r>
      <w:r/>
    </w:p>
    <w:p>
      <w:pPr>
        <w:contextualSpacing/>
        <w:ind w:firstLine="480"/>
        <w:spacing w:line="360" w:lineRule="auto"/>
        <w:widowControl/>
        <w:rPr>
          <w:rFonts w:hint="eastAsia"/>
          <w:bCs/>
          <w:color w:val="000000"/>
          <w:sz w:val="24"/>
          <w:highlight w:val="none"/>
        </w:rPr>
      </w:pPr>
      <w:r>
        <w:rPr>
          <w:rFonts w:hint="eastAsia"/>
          <w:bCs/>
          <w:color w:val="000000"/>
          <w:sz w:val="24"/>
          <w:highlight w:val="none"/>
        </w:rPr>
        <w:t xml:space="preserve">3</w:t>
      </w:r>
      <w:r>
        <w:rPr>
          <w:rFonts w:hint="eastAsia"/>
          <w:bCs/>
          <w:color w:val="000000"/>
          <w:sz w:val="24"/>
          <w:highlight w:val="none"/>
          <w:lang w:eastAsia="zh-CN"/>
        </w:rPr>
        <w:t xml:space="preserve">、</w:t>
      </w:r>
      <w:r>
        <w:rPr>
          <w:rFonts w:hint="eastAsia"/>
          <w:bCs/>
          <w:color w:val="000000"/>
          <w:sz w:val="24"/>
          <w:highlight w:val="none"/>
        </w:rPr>
        <w:t xml:space="preserve">植物生长良好，无缺水萎蔫、无明显病虫害危害迹象。</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4</w:t>
      </w:r>
      <w:r>
        <w:rPr>
          <w:rFonts w:hint="eastAsia"/>
          <w:bCs/>
          <w:color w:val="000000"/>
          <w:sz w:val="24"/>
          <w:highlight w:val="none"/>
          <w:lang w:eastAsia="zh-CN"/>
        </w:rPr>
        <w:t xml:space="preserve">、</w:t>
      </w:r>
      <w:r>
        <w:rPr>
          <w:rFonts w:hint="eastAsia"/>
          <w:bCs/>
          <w:color w:val="000000"/>
          <w:sz w:val="24"/>
          <w:highlight w:val="none"/>
        </w:rPr>
        <w:t xml:space="preserve">植物修剪造型轮廓清晰、自然，高矮一致，表面平整。</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5</w:t>
      </w:r>
      <w:r>
        <w:rPr>
          <w:rFonts w:hint="eastAsia"/>
          <w:bCs/>
          <w:color w:val="000000"/>
          <w:sz w:val="24"/>
          <w:highlight w:val="none"/>
          <w:lang w:eastAsia="zh-CN"/>
        </w:rPr>
        <w:t xml:space="preserve">、</w:t>
      </w:r>
      <w:r>
        <w:rPr>
          <w:rFonts w:hint="eastAsia"/>
          <w:bCs/>
          <w:color w:val="000000"/>
          <w:sz w:val="24"/>
          <w:highlight w:val="none"/>
        </w:rPr>
        <w:t xml:space="preserve">植株枝叶分布均匀，无枯枝残叶，无影响观赏的空秃缺株。</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6</w:t>
      </w:r>
      <w:r>
        <w:rPr>
          <w:rFonts w:hint="eastAsia"/>
          <w:bCs/>
          <w:color w:val="000000"/>
          <w:sz w:val="24"/>
          <w:highlight w:val="none"/>
          <w:lang w:eastAsia="zh-CN"/>
        </w:rPr>
        <w:t xml:space="preserve">、</w:t>
      </w:r>
      <w:r>
        <w:rPr>
          <w:rFonts w:hint="eastAsia"/>
          <w:bCs/>
          <w:color w:val="000000"/>
          <w:sz w:val="24"/>
          <w:highlight w:val="none"/>
        </w:rPr>
        <w:t xml:space="preserve">表面无杂草、残花败叶，叶面干净整洁。</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7</w:t>
      </w:r>
      <w:r>
        <w:rPr>
          <w:rFonts w:hint="eastAsia"/>
          <w:bCs/>
          <w:color w:val="000000"/>
          <w:sz w:val="24"/>
          <w:highlight w:val="none"/>
          <w:lang w:eastAsia="zh-CN"/>
        </w:rPr>
        <w:t xml:space="preserve">、</w:t>
      </w:r>
      <w:r>
        <w:rPr>
          <w:rFonts w:hint="eastAsia"/>
          <w:bCs/>
          <w:color w:val="000000"/>
          <w:sz w:val="24"/>
          <w:highlight w:val="none"/>
        </w:rPr>
        <w:t xml:space="preserve">确保构件设施完好无损，整体安全牢固，无变型扭曲，无安全隐患。</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8</w:t>
      </w:r>
      <w:r>
        <w:rPr>
          <w:rFonts w:hint="eastAsia"/>
          <w:bCs/>
          <w:color w:val="000000"/>
          <w:sz w:val="24"/>
          <w:highlight w:val="none"/>
          <w:lang w:eastAsia="zh-CN"/>
        </w:rPr>
        <w:t xml:space="preserve">、</w:t>
      </w:r>
      <w:r>
        <w:rPr>
          <w:rFonts w:hint="eastAsia"/>
          <w:bCs/>
          <w:color w:val="000000"/>
          <w:sz w:val="24"/>
          <w:highlight w:val="none"/>
        </w:rPr>
        <w:t xml:space="preserve">部分品种或全部品种有衰败迹象时，应及时补植或更换。</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9</w:t>
      </w:r>
      <w:r>
        <w:rPr>
          <w:rFonts w:hint="eastAsia"/>
          <w:bCs/>
          <w:color w:val="000000"/>
          <w:sz w:val="24"/>
          <w:highlight w:val="none"/>
          <w:lang w:eastAsia="zh-CN"/>
        </w:rPr>
        <w:t xml:space="preserve">、</w:t>
      </w:r>
      <w:r>
        <w:rPr>
          <w:rFonts w:hint="eastAsia"/>
          <w:bCs/>
          <w:color w:val="000000"/>
          <w:sz w:val="24"/>
          <w:highlight w:val="none"/>
        </w:rPr>
        <w:t xml:space="preserve">绿雕本身及周边整洁卫生，无影响观瞻的杂物。</w:t>
      </w:r>
      <w:r/>
    </w:p>
    <w:p>
      <w:pPr>
        <w:contextualSpacing/>
        <w:ind w:firstLine="482"/>
        <w:spacing w:line="360" w:lineRule="auto"/>
        <w:widowControl/>
        <w:rPr>
          <w:rFonts w:hint="default"/>
          <w:bCs/>
          <w:color w:val="000000"/>
          <w:sz w:val="24"/>
          <w:highlight w:val="none"/>
          <w:lang w:val="en-US" w:eastAsia="zh-CN"/>
        </w:rPr>
      </w:pPr>
      <w:r>
        <w:rPr>
          <w:rFonts w:hint="eastAsia"/>
          <w:bCs/>
          <w:color w:val="000000"/>
          <w:sz w:val="24"/>
          <w:highlight w:val="none"/>
        </w:rPr>
        <w:t xml:space="preserve">10</w:t>
      </w:r>
      <w:r>
        <w:rPr>
          <w:rFonts w:hint="eastAsia"/>
          <w:bCs/>
          <w:color w:val="000000"/>
          <w:sz w:val="24"/>
          <w:highlight w:val="none"/>
          <w:lang w:eastAsia="zh-CN"/>
        </w:rPr>
        <w:t xml:space="preserve">、</w:t>
      </w:r>
      <w:r>
        <w:rPr>
          <w:rFonts w:hint="eastAsia"/>
          <w:bCs/>
          <w:color w:val="000000"/>
          <w:sz w:val="24"/>
          <w:highlight w:val="none"/>
        </w:rPr>
        <w:t xml:space="preserve">配合做好绿雕加固或拆除工作。</w:t>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spacing w:line="360" w:lineRule="auto"/>
        <w:rPr>
          <w:rFonts w:hint="eastAsia"/>
          <w:b/>
          <w:bCs/>
          <w:sz w:val="36"/>
          <w:szCs w:val="36"/>
          <w:highlight w:val="none"/>
        </w:rPr>
        <w:outlineLvl w:val="0"/>
      </w:pPr>
      <w:r>
        <w:rPr>
          <w:rFonts w:hint="eastAsia"/>
          <w:b/>
          <w:bCs/>
          <w:sz w:val="36"/>
          <w:szCs w:val="36"/>
          <w:highlight w:val="none"/>
        </w:rPr>
      </w:r>
      <w:r/>
    </w:p>
    <w:p>
      <w:pPr>
        <w:jc w:val="center"/>
        <w:spacing w:line="360" w:lineRule="auto"/>
        <w:rPr>
          <w:b/>
          <w:sz w:val="36"/>
          <w:szCs w:val="36"/>
          <w:highlight w:val="none"/>
        </w:rPr>
        <w:outlineLvl w:val="0"/>
      </w:pPr>
      <w:r>
        <w:rPr>
          <w:b/>
          <w:sz w:val="36"/>
          <w:szCs w:val="36"/>
          <w:highlight w:val="none"/>
        </w:rPr>
        <w:t xml:space="preserve"> </w:t>
      </w:r>
      <w:bookmarkStart w:id="685" w:name="_Toc99301425"/>
      <w:r/>
      <w:r/>
    </w:p>
    <w:p>
      <w:pPr>
        <w:rPr>
          <w:b/>
          <w:sz w:val="36"/>
          <w:szCs w:val="36"/>
          <w:highlight w:val="none"/>
        </w:rPr>
      </w:pPr>
      <w:r>
        <w:rPr>
          <w:b/>
          <w:sz w:val="36"/>
          <w:szCs w:val="36"/>
          <w:highlight w:val="none"/>
        </w:rPr>
        <w:br w:type="page" w:clear="all"/>
      </w:r>
      <w:r/>
    </w:p>
    <w:p>
      <w:pPr>
        <w:jc w:val="center"/>
        <w:spacing w:line="360" w:lineRule="auto"/>
        <w:rPr>
          <w:b/>
          <w:bCs/>
          <w:sz w:val="36"/>
          <w:szCs w:val="36"/>
          <w:highlight w:val="none"/>
        </w:rPr>
        <w:outlineLvl w:val="0"/>
      </w:pPr>
      <w:r>
        <w:rPr>
          <w:b/>
          <w:sz w:val="36"/>
          <w:szCs w:val="36"/>
          <w:highlight w:val="none"/>
        </w:rPr>
        <w:t xml:space="preserve">第六章   拟签订的合同文本</w:t>
      </w:r>
      <w:bookmarkEnd w:id="685"/>
      <w:r/>
      <w:r/>
    </w:p>
    <w:p>
      <w:pPr>
        <w:jc w:val="center"/>
        <w:spacing w:line="360" w:lineRule="auto"/>
        <w:rPr>
          <w:b/>
          <w:sz w:val="36"/>
          <w:szCs w:val="36"/>
          <w:highlight w:val="none"/>
        </w:rPr>
        <w:outlineLvl w:val="0"/>
      </w:pPr>
      <w:r>
        <w:rPr>
          <w:b/>
          <w:sz w:val="36"/>
          <w:szCs w:val="36"/>
          <w:highlight w:val="none"/>
        </w:rPr>
      </w:r>
      <w:r/>
    </w:p>
    <w:p>
      <w:pPr>
        <w:jc w:val="center"/>
        <w:spacing w:line="360" w:lineRule="auto"/>
        <w:rPr>
          <w:rFonts w:hint="default" w:eastAsia="宋体"/>
          <w:b/>
          <w:sz w:val="36"/>
          <w:szCs w:val="36"/>
          <w:highlight w:val="none"/>
          <w:lang w:val="en-US" w:eastAsia="zh-CN"/>
        </w:rPr>
        <w:outlineLvl w:val="0"/>
      </w:pPr>
      <w:r>
        <w:rPr>
          <w:rFonts w:hint="eastAsia"/>
          <w:b/>
          <w:sz w:val="36"/>
          <w:szCs w:val="36"/>
          <w:highlight w:val="none"/>
          <w:lang w:val="en-US" w:eastAsia="zh-CN"/>
        </w:rPr>
        <w:t xml:space="preserve">01-13标段</w:t>
      </w:r>
      <w:r/>
    </w:p>
    <w:p>
      <w:pPr>
        <w:jc w:val="center"/>
        <w:spacing w:line="360" w:lineRule="auto"/>
        <w:rPr>
          <w:b/>
          <w:sz w:val="36"/>
          <w:szCs w:val="36"/>
          <w:highlight w:val="none"/>
        </w:rPr>
        <w:outlineLvl w:val="0"/>
      </w:pPr>
      <w:r>
        <w:rPr>
          <w:rFonts w:hint="eastAsia"/>
          <w:b/>
          <w:sz w:val="36"/>
          <w:szCs w:val="36"/>
          <w:highlight w:val="none"/>
        </w:rPr>
        <w:t xml:space="preserve">政府采购合同</w:t>
      </w:r>
      <w:r/>
    </w:p>
    <w:p>
      <w:pPr>
        <w:jc w:val="center"/>
        <w:spacing w:line="360" w:lineRule="auto"/>
        <w:rPr>
          <w:sz w:val="18"/>
          <w:szCs w:val="18"/>
          <w:highlight w:val="none"/>
        </w:rPr>
        <w:outlineLvl w:val="0"/>
      </w:pPr>
      <w:r>
        <w:rPr>
          <w:rFonts w:hint="eastAsia"/>
          <w:b/>
          <w:sz w:val="36"/>
          <w:szCs w:val="36"/>
          <w:highlight w:val="none"/>
        </w:rPr>
        <w:t xml:space="preserve">（服务类）</w:t>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jc w:val="center"/>
        <w:spacing w:line="360" w:lineRule="auto"/>
        <w:rPr>
          <w:b/>
          <w:sz w:val="36"/>
          <w:szCs w:val="36"/>
          <w:highlight w:val="none"/>
        </w:rPr>
        <w:outlineLvl w:val="0"/>
      </w:pPr>
      <w:r>
        <w:rPr>
          <w:rFonts w:hint="eastAsia"/>
          <w:b/>
          <w:sz w:val="36"/>
          <w:szCs w:val="36"/>
          <w:highlight w:val="none"/>
        </w:rPr>
        <w:t xml:space="preserve">第一部分 合同书</w:t>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项目名称：</w:t>
      </w:r>
      <w:r>
        <w:rPr>
          <w:rFonts w:hint="eastAsia"/>
          <w:sz w:val="24"/>
          <w:highlight w:val="none"/>
          <w:lang w:eastAsia="zh-CN"/>
        </w:rPr>
        <w:t xml:space="preserve">2026年园区绿化养护项目</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甲方：江苏省溧阳高新技术产业开发区国有资产管理中心</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乙方：                                         </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签订地：溧阳市</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18"/>
          <w:szCs w:val="18"/>
          <w:highlight w:val="none"/>
        </w:rPr>
      </w:pPr>
      <w:r>
        <w:rPr>
          <w:rFonts w:hint="eastAsia"/>
          <w:sz w:val="24"/>
          <w:highlight w:val="none"/>
        </w:rPr>
        <w:t xml:space="preserve">签订日期：202</w:t>
      </w:r>
      <w:r>
        <w:rPr>
          <w:rFonts w:hint="eastAsia"/>
          <w:sz w:val="24"/>
          <w:highlight w:val="none"/>
          <w:lang w:val="en-US" w:eastAsia="zh-CN"/>
        </w:rPr>
        <w:t xml:space="preserve">6</w:t>
      </w:r>
      <w:bookmarkStart w:id="779" w:name="_GoBack"/>
      <w:r/>
      <w:bookmarkEnd w:id="779"/>
      <w:r>
        <w:rPr>
          <w:rFonts w:hint="eastAsia"/>
          <w:sz w:val="24"/>
          <w:highlight w:val="none"/>
        </w:rPr>
        <w:t xml:space="preserve"> 年        月        日</w:t>
      </w:r>
      <w:r/>
    </w:p>
    <w:p>
      <w:pPr>
        <w:jc w:val="center"/>
        <w:spacing w:line="360" w:lineRule="auto"/>
        <w:rPr>
          <w:b/>
          <w:sz w:val="36"/>
          <w:szCs w:val="36"/>
          <w:highlight w:val="none"/>
        </w:rPr>
        <w:outlineLvl w:val="0"/>
      </w:pPr>
      <w:r/>
      <w:bookmarkStart w:id="686" w:name="_Toc99301426"/>
      <w:r/>
      <w:r/>
    </w:p>
    <w:p>
      <w:pPr>
        <w:jc w:val="center"/>
        <w:spacing w:line="360" w:lineRule="auto"/>
        <w:rPr>
          <w:b/>
          <w:sz w:val="36"/>
          <w:szCs w:val="36"/>
          <w:highlight w:val="none"/>
        </w:rPr>
        <w:outlineLvl w:val="0"/>
      </w:pPr>
      <w:r>
        <w:rPr>
          <w:b/>
          <w:sz w:val="36"/>
          <w:szCs w:val="36"/>
          <w:highlight w:val="none"/>
        </w:rPr>
      </w:r>
      <w:r/>
    </w:p>
    <w:p>
      <w:pPr>
        <w:ind w:firstLine="480"/>
        <w:spacing w:line="360" w:lineRule="auto"/>
        <w:rPr>
          <w:bCs/>
          <w:sz w:val="24"/>
          <w:highlight w:val="none"/>
        </w:rPr>
        <w:outlineLvl w:val="0"/>
      </w:pPr>
      <w:r>
        <w:rPr>
          <w:rFonts w:hint="eastAsia"/>
          <w:bCs/>
          <w:sz w:val="24"/>
          <w:highlight w:val="none"/>
        </w:rPr>
        <w:t xml:space="preserve">根据</w:t>
      </w:r>
      <w:r>
        <w:rPr>
          <w:rFonts w:hint="eastAsia"/>
          <w:bCs/>
          <w:sz w:val="24"/>
          <w:highlight w:val="none"/>
          <w:lang w:eastAsia="zh-CN"/>
        </w:rPr>
        <w:t xml:space="preserve">2026年园区绿化养护项目</w:t>
      </w:r>
      <w:r>
        <w:rPr>
          <w:rFonts w:hint="eastAsia"/>
          <w:bCs/>
          <w:sz w:val="24"/>
          <w:highlight w:val="none"/>
          <w:lang w:val="en-US" w:eastAsia="zh-CN"/>
        </w:rPr>
        <w:t xml:space="preserve">招标</w:t>
      </w:r>
      <w:r>
        <w:rPr>
          <w:rFonts w:hint="eastAsia"/>
          <w:bCs/>
          <w:sz w:val="24"/>
          <w:highlight w:val="none"/>
        </w:rPr>
        <w:t xml:space="preserve">文件、谈判结果和中标通知书，甲方和乙方就 </w:t>
      </w:r>
      <w:r>
        <w:rPr>
          <w:rFonts w:hint="eastAsia"/>
          <w:bCs/>
          <w:sz w:val="24"/>
          <w:highlight w:val="none"/>
          <w:lang w:eastAsia="zh-CN"/>
        </w:rPr>
        <w:t xml:space="preserve">2026年园区绿化养护项目</w:t>
      </w:r>
      <w:r>
        <w:rPr>
          <w:rFonts w:hint="eastAsia"/>
          <w:bCs/>
          <w:sz w:val="24"/>
          <w:highlight w:val="none"/>
        </w:rPr>
        <w:t xml:space="preserve">的采购事宜，签订本协议。</w:t>
      </w:r>
      <w:r/>
    </w:p>
    <w:p>
      <w:pPr>
        <w:ind w:firstLine="480"/>
        <w:spacing w:line="360" w:lineRule="auto"/>
        <w:rPr>
          <w:bCs/>
          <w:sz w:val="24"/>
          <w:highlight w:val="none"/>
        </w:rPr>
        <w:outlineLvl w:val="0"/>
      </w:pPr>
      <w:r>
        <w:rPr>
          <w:rFonts w:hint="eastAsia"/>
          <w:bCs/>
          <w:sz w:val="24"/>
          <w:highlight w:val="none"/>
        </w:rPr>
        <w:t xml:space="preserve">一、项目概况及合同金额</w:t>
      </w:r>
      <w:r/>
    </w:p>
    <w:p>
      <w:pPr>
        <w:ind w:firstLine="480"/>
        <w:spacing w:line="360" w:lineRule="auto"/>
        <w:rPr>
          <w:bCs/>
          <w:sz w:val="24"/>
          <w:highlight w:val="none"/>
        </w:rPr>
        <w:outlineLvl w:val="0"/>
      </w:pPr>
      <w:r>
        <w:rPr>
          <w:rFonts w:hint="eastAsia"/>
          <w:bCs/>
          <w:sz w:val="24"/>
          <w:highlight w:val="none"/>
        </w:rPr>
        <w:t xml:space="preserve">1. 项目编号：                                   </w:t>
      </w:r>
      <w:r/>
    </w:p>
    <w:p>
      <w:pPr>
        <w:ind w:firstLine="480"/>
        <w:spacing w:line="360" w:lineRule="auto"/>
        <w:rPr>
          <w:bCs/>
          <w:sz w:val="24"/>
          <w:highlight w:val="none"/>
        </w:rPr>
        <w:outlineLvl w:val="0"/>
      </w:pPr>
      <w:r>
        <w:rPr>
          <w:rFonts w:hint="eastAsia"/>
          <w:bCs/>
          <w:sz w:val="24"/>
          <w:highlight w:val="none"/>
        </w:rPr>
        <w:t xml:space="preserve">2. 项目名称：                                    </w:t>
      </w:r>
      <w:r/>
    </w:p>
    <w:p>
      <w:pPr>
        <w:ind w:firstLine="480"/>
        <w:spacing w:line="360" w:lineRule="auto"/>
        <w:rPr>
          <w:bCs/>
          <w:sz w:val="24"/>
          <w:highlight w:val="none"/>
        </w:rPr>
        <w:outlineLvl w:val="0"/>
      </w:pPr>
      <w:r>
        <w:rPr>
          <w:rFonts w:hint="eastAsia"/>
          <w:bCs/>
          <w:sz w:val="24"/>
          <w:highlight w:val="none"/>
        </w:rPr>
        <w:t xml:space="preserve">3. 养护范围及内容：详见</w:t>
      </w:r>
      <w:r>
        <w:rPr>
          <w:rFonts w:hint="eastAsia"/>
          <w:bCs/>
          <w:sz w:val="24"/>
          <w:highlight w:val="none"/>
          <w:lang w:val="en-US" w:eastAsia="zh-CN"/>
        </w:rPr>
        <w:t xml:space="preserve">招标</w:t>
      </w:r>
      <w:r>
        <w:rPr>
          <w:rFonts w:hint="eastAsia"/>
          <w:bCs/>
          <w:sz w:val="24"/>
          <w:highlight w:val="none"/>
        </w:rPr>
        <w:t xml:space="preserve">文件</w:t>
      </w:r>
      <w:r/>
    </w:p>
    <w:p>
      <w:pPr>
        <w:ind w:firstLine="480"/>
        <w:spacing w:line="360" w:lineRule="auto"/>
        <w:rPr>
          <w:bCs/>
          <w:sz w:val="24"/>
          <w:highlight w:val="none"/>
        </w:rPr>
        <w:outlineLvl w:val="0"/>
      </w:pPr>
      <w:r>
        <w:rPr>
          <w:rFonts w:hint="eastAsia"/>
          <w:bCs/>
          <w:sz w:val="24"/>
          <w:highlight w:val="none"/>
        </w:rPr>
        <w:t xml:space="preserve">4. 合同金额：人民币</w:t>
      </w:r>
      <w:r>
        <w:rPr>
          <w:rFonts w:hint="eastAsia"/>
          <w:bCs/>
          <w:sz w:val="24"/>
          <w:highlight w:val="none"/>
          <w:u w:val="single"/>
        </w:rPr>
        <w:t xml:space="preserve">   </w:t>
      </w:r>
      <w:r>
        <w:rPr>
          <w:rFonts w:hint="eastAsia"/>
          <w:bCs/>
          <w:sz w:val="24"/>
          <w:highlight w:val="none"/>
        </w:rPr>
        <w:t xml:space="preserve">万元/年(大写：</w:t>
      </w:r>
      <w:r>
        <w:rPr>
          <w:rFonts w:hint="eastAsia"/>
          <w:bCs/>
          <w:sz w:val="24"/>
          <w:highlight w:val="none"/>
          <w:u w:val="single"/>
        </w:rPr>
        <w:t xml:space="preserve">   </w:t>
      </w:r>
      <w:r>
        <w:rPr>
          <w:rFonts w:hint="eastAsia"/>
          <w:bCs/>
          <w:sz w:val="24"/>
          <w:highlight w:val="none"/>
        </w:rPr>
        <w:t xml:space="preserve">元整/年 )</w:t>
      </w:r>
      <w:r/>
    </w:p>
    <w:p>
      <w:pPr>
        <w:ind w:firstLine="480"/>
        <w:spacing w:line="360" w:lineRule="auto"/>
        <w:rPr>
          <w:bCs/>
          <w:sz w:val="24"/>
          <w:highlight w:val="none"/>
        </w:rPr>
        <w:outlineLvl w:val="0"/>
      </w:pPr>
      <w:r>
        <w:rPr>
          <w:rFonts w:hint="eastAsia"/>
          <w:bCs/>
          <w:sz w:val="24"/>
          <w:highlight w:val="none"/>
        </w:rPr>
        <w:t xml:space="preserve">二、试用养护期</w:t>
      </w:r>
      <w:r/>
    </w:p>
    <w:p>
      <w:pPr>
        <w:ind w:firstLine="480"/>
        <w:spacing w:line="360" w:lineRule="auto"/>
        <w:rPr>
          <w:bCs/>
          <w:sz w:val="24"/>
          <w:highlight w:val="none"/>
        </w:rPr>
        <w:outlineLvl w:val="0"/>
      </w:pPr>
      <w:r>
        <w:rPr>
          <w:rFonts w:hint="eastAsia"/>
          <w:bCs/>
          <w:sz w:val="24"/>
          <w:highlight w:val="none"/>
        </w:rPr>
        <w:t xml:space="preserve">养护合同期限：自合同签订之日起至 202</w:t>
      </w:r>
      <w:r>
        <w:rPr>
          <w:rFonts w:hint="eastAsia"/>
          <w:bCs/>
          <w:sz w:val="24"/>
          <w:highlight w:val="none"/>
          <w:lang w:val="en-US" w:eastAsia="zh-CN"/>
        </w:rPr>
        <w:t xml:space="preserve">6</w:t>
      </w:r>
      <w:r>
        <w:rPr>
          <w:rFonts w:hint="eastAsia"/>
          <w:bCs/>
          <w:sz w:val="24"/>
          <w:highlight w:val="none"/>
        </w:rPr>
        <w:t xml:space="preserve"> 年 12 月 31 日（202</w:t>
      </w:r>
      <w:r>
        <w:rPr>
          <w:rFonts w:hint="eastAsia"/>
          <w:bCs/>
          <w:sz w:val="24"/>
          <w:highlight w:val="none"/>
          <w:lang w:val="en-US" w:eastAsia="zh-CN"/>
        </w:rPr>
        <w:t xml:space="preserve">6</w:t>
      </w:r>
      <w:r>
        <w:rPr>
          <w:rFonts w:hint="eastAsia"/>
          <w:bCs/>
          <w:sz w:val="24"/>
          <w:highlight w:val="none"/>
        </w:rPr>
        <w:t xml:space="preserve"> 年  月  日至 202</w:t>
      </w:r>
      <w:r>
        <w:rPr>
          <w:rFonts w:hint="eastAsia"/>
          <w:bCs/>
          <w:sz w:val="24"/>
          <w:highlight w:val="none"/>
          <w:lang w:val="en-US" w:eastAsia="zh-CN"/>
        </w:rPr>
        <w:t xml:space="preserve">6</w:t>
      </w:r>
      <w:r>
        <w:rPr>
          <w:rFonts w:hint="eastAsia"/>
          <w:bCs/>
          <w:sz w:val="24"/>
          <w:highlight w:val="none"/>
        </w:rPr>
        <w:t xml:space="preserve"> 年 12 月 31 日）。合同签订后第一个月为试用作业服务期，如考核不合格采购人有权终止合同，是否终止养护合同，进入后续养护期由江苏省溧阳高新技术产业开发区国有资产管理中心认定。中标单位不得以设备采购、人员招聘、办公经营场所租赁等任何理由向采购人提出经济补偿要求。</w:t>
      </w:r>
      <w:r/>
    </w:p>
    <w:p>
      <w:pPr>
        <w:ind w:firstLine="480"/>
        <w:spacing w:line="360" w:lineRule="auto"/>
        <w:rPr>
          <w:bCs/>
          <w:sz w:val="24"/>
          <w:highlight w:val="none"/>
        </w:rPr>
        <w:outlineLvl w:val="0"/>
      </w:pPr>
      <w:r>
        <w:rPr>
          <w:rFonts w:hint="eastAsia"/>
          <w:bCs/>
          <w:sz w:val="24"/>
          <w:highlight w:val="none"/>
        </w:rPr>
        <w:t xml:space="preserve">三、付款方式</w:t>
      </w:r>
      <w:r/>
    </w:p>
    <w:p>
      <w:pPr>
        <w:ind w:firstLine="480"/>
        <w:spacing w:line="360" w:lineRule="auto"/>
        <w:rPr>
          <w:bCs/>
          <w:sz w:val="24"/>
          <w:highlight w:val="none"/>
        </w:rPr>
        <w:outlineLvl w:val="0"/>
      </w:pPr>
      <w:r>
        <w:rPr>
          <w:rFonts w:hint="eastAsia"/>
          <w:bCs/>
          <w:sz w:val="24"/>
          <w:highlight w:val="none"/>
          <w:lang w:eastAsia="zh-CN"/>
        </w:rPr>
        <w:t xml:space="preserve">绿化养护费用根据年度考核情况年底一次性付清（本次报价按照12个月的养护时间，最终结算按照实际养护时间。每月养护费用=投标报价总价/12）</w:t>
      </w:r>
      <w:r>
        <w:rPr>
          <w:rFonts w:hint="eastAsia"/>
          <w:bCs/>
          <w:sz w:val="24"/>
          <w:highlight w:val="none"/>
        </w:rPr>
        <w:t xml:space="preserve">。</w:t>
      </w:r>
      <w:r/>
    </w:p>
    <w:p>
      <w:pPr>
        <w:ind w:firstLine="480"/>
        <w:spacing w:line="360" w:lineRule="auto"/>
        <w:rPr>
          <w:bCs/>
          <w:sz w:val="24"/>
          <w:highlight w:val="none"/>
        </w:rPr>
        <w:outlineLvl w:val="0"/>
      </w:pPr>
      <w:r>
        <w:rPr>
          <w:rFonts w:hint="eastAsia"/>
          <w:bCs/>
          <w:sz w:val="24"/>
          <w:highlight w:val="none"/>
        </w:rPr>
        <w:t xml:space="preserve">四、项目负责人</w:t>
      </w:r>
      <w:r/>
    </w:p>
    <w:p>
      <w:pPr>
        <w:ind w:firstLine="480"/>
        <w:spacing w:line="360" w:lineRule="auto"/>
        <w:rPr>
          <w:bCs/>
          <w:sz w:val="24"/>
          <w:highlight w:val="none"/>
        </w:rPr>
        <w:outlineLvl w:val="0"/>
      </w:pPr>
      <w:r>
        <w:rPr>
          <w:rFonts w:hint="eastAsia"/>
          <w:bCs/>
          <w:sz w:val="24"/>
          <w:highlight w:val="none"/>
        </w:rPr>
        <w:t xml:space="preserve">项目负责人：</w:t>
      </w:r>
      <w:r/>
    </w:p>
    <w:p>
      <w:pPr>
        <w:ind w:firstLine="480"/>
        <w:spacing w:line="360" w:lineRule="auto"/>
        <w:rPr>
          <w:bCs/>
          <w:sz w:val="24"/>
          <w:highlight w:val="none"/>
        </w:rPr>
        <w:outlineLvl w:val="0"/>
      </w:pPr>
      <w:r>
        <w:rPr>
          <w:rFonts w:hint="eastAsia"/>
          <w:bCs/>
          <w:sz w:val="24"/>
          <w:highlight w:val="none"/>
        </w:rPr>
        <w:t xml:space="preserve">履约担保：</w:t>
      </w:r>
      <w:r/>
    </w:p>
    <w:p>
      <w:pPr>
        <w:ind w:firstLine="480"/>
        <w:spacing w:line="360" w:lineRule="auto"/>
        <w:rPr>
          <w:bCs/>
          <w:sz w:val="24"/>
          <w:highlight w:val="none"/>
        </w:rPr>
        <w:outlineLvl w:val="0"/>
      </w:pPr>
      <w:r>
        <w:rPr>
          <w:rFonts w:hint="eastAsia"/>
          <w:bCs/>
          <w:sz w:val="24"/>
          <w:highlight w:val="none"/>
        </w:rPr>
        <w:t xml:space="preserve">乙方在签订合同前必须向甲方缴纳中标价 5%的履约担保。履约担保在合同履约完毕后两周内一次性退还（无息）。</w:t>
      </w:r>
      <w:r/>
    </w:p>
    <w:p>
      <w:pPr>
        <w:ind w:firstLine="480"/>
        <w:spacing w:line="360" w:lineRule="auto"/>
        <w:rPr>
          <w:bCs/>
          <w:sz w:val="24"/>
          <w:highlight w:val="none"/>
        </w:rPr>
        <w:outlineLvl w:val="0"/>
      </w:pPr>
      <w:r>
        <w:rPr>
          <w:rFonts w:hint="eastAsia"/>
          <w:bCs/>
          <w:sz w:val="24"/>
          <w:highlight w:val="none"/>
        </w:rPr>
        <w:t xml:space="preserve">五、绿地管理要求</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08"/>
        <w:gridCol w:w="3742"/>
        <w:gridCol w:w="3490"/>
      </w:tblGrid>
      <w:tr>
        <w:trPr>
          <w:jc w:val="center"/>
        </w:trPr>
        <w:tc>
          <w:tcPr>
            <w:shd w:val="clear" w:color="auto" w:fill="auto"/>
            <w:tcW w:w="848" w:type="dxa"/>
            <w:vAlign w:val="center"/>
            <w:textDirection w:val="lrTb"/>
            <w:noWrap w:val="false"/>
          </w:tcPr>
          <w:p>
            <w:pPr>
              <w:jc w:val="center"/>
              <w:rPr>
                <w:b/>
                <w:bCs/>
                <w:highlight w:val="none"/>
              </w:rPr>
            </w:pPr>
            <w:r>
              <w:rPr>
                <w:rFonts w:hint="eastAsia" w:ascii="宋体" w:hAnsi="宋体" w:cs="宋体"/>
                <w:b/>
                <w:bCs/>
                <w:spacing w:val="-20"/>
                <w:sz w:val="24"/>
                <w:highlight w:val="none"/>
              </w:rPr>
              <w:t xml:space="preserve">序号</w:t>
            </w:r>
            <w:r/>
          </w:p>
        </w:tc>
        <w:tc>
          <w:tcPr>
            <w:shd w:val="clear" w:color="auto" w:fill="auto"/>
            <w:tcW w:w="1208"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内容</w:t>
            </w:r>
            <w:r/>
          </w:p>
        </w:tc>
        <w:tc>
          <w:tcPr>
            <w:shd w:val="clear" w:color="auto" w:fill="auto"/>
            <w:tcW w:w="3742"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一 级</w:t>
            </w:r>
            <w:r/>
          </w:p>
        </w:tc>
        <w:tc>
          <w:tcPr>
            <w:shd w:val="clear" w:color="auto" w:fill="auto"/>
            <w:tcW w:w="3490"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二 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w:t>
            </w:r>
            <w:r/>
          </w:p>
        </w:tc>
        <w:tc>
          <w:tcPr>
            <w:shd w:val="clear" w:color="auto" w:fill="auto"/>
            <w:tcW w:w="1208" w:type="dxa"/>
            <w:vAlign w:val="center"/>
            <w:textDirection w:val="lrTb"/>
            <w:noWrap w:val="false"/>
          </w:tcPr>
          <w:p>
            <w:pPr>
              <w:jc w:val="center"/>
              <w:rPr>
                <w:highlight w:val="none"/>
              </w:rPr>
            </w:pPr>
            <w:r>
              <w:rPr>
                <w:highlight w:val="none"/>
              </w:rPr>
              <w:t xml:space="preserve">乔灌木</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2、乔木树形完美，主侧枝均匀，数量适宜，内膛通风透光，无枯死枝、过密枝、下垂枝等；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3、花灌木开花及时，正常，花后修剪及时。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4、乔木根部无萌蘖枝；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5、无缺株、死树，无杂树，无明显杂草；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6、基本无病虫害危害迹象。</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2、乔木树形基本完整，符合其自然特征，无明显的枯、死枝；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3、花灌木开花及时，花后修剪及时；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4、无缺株、死树，无杂树，无藤本缠绕；</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5、无明显病虫害危害迹象；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2</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绿篱色块地被</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1、生长茂盛，枝条茂密，密度适宜；</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2、生长季节修剪、追肥及时，修剪形态符合景观观赏要求；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4、基本无病虫害危害。</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1、生长良好；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2、生长季节及时修剪、追肥，修剪形态符合生长要求；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3</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草坪</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1、草坪生长茂盛，景观效果好；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2、修剪及时，修剪高度符合要求；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3、草坪边缘线清晰（树穴、花坛交界处、其他植物间）；</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4、基本无杂草，基本无病虫害危害现象；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5、草坪集中空秃面积不超过 0.2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6、绿地平整，无坑洼积水。</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1、草坪生长正常，无明显空秃，集中空秃面积不超过 0.5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3、无阔叶杂草、大型野草等，杂草控制高度在 5 ㎝以下；</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4、无明显病虫害危害迹象；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5、绿地平整，无大面积的坑洼积水现象。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5</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园林设施维护</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1、园林建构筑物、小品及各类便民设施保持完好，无安全隐患、无破损现象，无乱涂写、乱张贴、乱涂刻现象；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2、设施损坏后修复及时；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3、树木支撑桩位扎缚规范、有效。</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1、园林设施基本完好，有问题及时处理并上报；</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6</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卫生保洁</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1、绿地各类便民设施整洁，无陈旧积尘；</w:t>
            </w:r>
            <w:r/>
          </w:p>
          <w:p>
            <w:pP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2</w:t>
            </w:r>
            <w:r>
              <w:rPr>
                <w:rFonts w:ascii="宋体" w:hAnsi="宋体" w:cs="宋体"/>
                <w:spacing w:val="-2"/>
                <w:sz w:val="24"/>
                <w:highlight w:val="none"/>
              </w:rPr>
              <w:t xml:space="preserve">、绿地整洁，无枯枝落叶，无杂物、 无白色垃圾（树挂）、无建筑垃圾，垃圾日产日清。</w:t>
            </w:r>
            <w:r/>
          </w:p>
          <w:p>
            <w:pP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3</w:t>
            </w:r>
            <w:r>
              <w:rPr>
                <w:rFonts w:ascii="宋体" w:hAnsi="宋体" w:cs="宋体"/>
                <w:spacing w:val="-2"/>
                <w:sz w:val="24"/>
                <w:highlight w:val="none"/>
              </w:rPr>
              <w:t xml:space="preserve">、作业废弃物（如树枝、树叶、草屑等）、水面杂物， 日产日清。</w:t>
            </w:r>
            <w:r/>
          </w:p>
          <w:p>
            <w:pP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4</w:t>
            </w:r>
            <w:r>
              <w:rPr>
                <w:rFonts w:ascii="宋体" w:hAnsi="宋体" w:cs="宋体"/>
                <w:spacing w:val="-2"/>
                <w:sz w:val="24"/>
                <w:highlight w:val="none"/>
              </w:rPr>
              <w:t xml:space="preserve">、无卫生死角。</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1、绿地基本整洁，无枯枝落叶，无明显杂物、无白色垃圾、无建筑垃圾。</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2、作业废弃物（如树枝、树叶、草 屑等）、绿地内水面杂物，日产日清。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3、无卫生死角。</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7</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绿地秩序</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8</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人员要求</w:t>
            </w:r>
            <w:r/>
          </w:p>
        </w:tc>
        <w:tc>
          <w:tcPr>
            <w:shd w:val="clear" w:color="auto" w:fill="auto"/>
            <w:tcW w:w="3742"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9</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组织管理</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 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10</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其它</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 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r>
      <w:tr>
        <w:trPr>
          <w:jc w:val="center"/>
        </w:trPr>
        <w:tc>
          <w:tcPr>
            <w:shd w:val="clear" w:color="auto" w:fill="auto"/>
            <w:tcW w:w="848" w:type="dxa"/>
            <w:vAlign w:val="center"/>
            <w:textDirection w:val="lrTb"/>
            <w:noWrap w:val="false"/>
          </w:tcPr>
          <w:p>
            <w:pPr>
              <w:jc w:val="center"/>
              <w:rPr>
                <w:b/>
                <w:bCs/>
                <w:highlight w:val="none"/>
              </w:rPr>
            </w:pPr>
            <w:r>
              <w:rPr>
                <w:rFonts w:hint="eastAsia" w:ascii="宋体" w:hAnsi="宋体" w:cs="宋体"/>
                <w:b/>
                <w:bCs/>
                <w:spacing w:val="-20"/>
                <w:sz w:val="24"/>
                <w:highlight w:val="none"/>
              </w:rPr>
              <w:t xml:space="preserve">序号</w:t>
            </w:r>
            <w:r/>
          </w:p>
        </w:tc>
        <w:tc>
          <w:tcPr>
            <w:shd w:val="clear" w:color="auto" w:fill="auto"/>
            <w:tcW w:w="1208"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内容</w:t>
            </w:r>
            <w:r/>
          </w:p>
        </w:tc>
        <w:tc>
          <w:tcPr>
            <w:shd w:val="clear" w:color="auto" w:fill="auto"/>
            <w:tcW w:w="3742"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一 级</w:t>
            </w:r>
            <w:r/>
          </w:p>
        </w:tc>
        <w:tc>
          <w:tcPr>
            <w:shd w:val="clear" w:color="auto" w:fill="auto"/>
            <w:tcW w:w="3490"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二 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w:t>
            </w:r>
            <w:r/>
          </w:p>
        </w:tc>
        <w:tc>
          <w:tcPr>
            <w:shd w:val="clear" w:color="auto" w:fill="auto"/>
            <w:tcW w:w="1208" w:type="dxa"/>
            <w:vAlign w:val="center"/>
            <w:textDirection w:val="lrTb"/>
            <w:noWrap w:val="false"/>
          </w:tcPr>
          <w:p>
            <w:pPr>
              <w:jc w:val="center"/>
              <w:rPr>
                <w:highlight w:val="none"/>
              </w:rPr>
            </w:pPr>
            <w:r>
              <w:rPr>
                <w:highlight w:val="none"/>
              </w:rPr>
              <w:t xml:space="preserve">乔灌木</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2、乔木树形完美，主侧枝均匀，数量 适宜，内膛通风透光，无枯死枝、过密枝、下垂枝等；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3、花灌木开花及时，正常，花后修剪及时。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4、乔木根部无萌蘖枝；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5、无缺株、死树，无杂树，无明显杂草；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6、基本无病虫害危害迹象。</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2、乔木树形基本完整，符合其自然特征，无明显的枯、死枝；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3、花灌木开花及时，花后修剪及时；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4、无缺株、死树，无杂树，无藤本缠绕；</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5、无明显病虫害危害迹象；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2</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绿篱色块地被</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1、生长茂盛，枝条茂密，密度适宜；</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2、生长季节修剪、追肥及时，修剪形态符合景观观赏要求；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4、基本无病虫害危害。</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1、生长良好；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2、生长季节及时修剪、追肥，修剪形态符合生长要求；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3</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草坪</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1、草坪生长茂盛，景观效果好；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2、修剪及时，修剪高度符合要求；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3、草坪边缘线清晰（树穴、花坛交界处、其他植物间）；</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4、基本无杂草，基本无病虫害危害现象；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5、草坪集中空秃面积不超过 0.2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6、绿地平整，无坑洼积水。</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1、草坪生长正常，无明显空秃，集中空秃面积不超过 0.5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3、无阔叶杂草、大型野草等，杂草控制高度在 5 ㎝以下；</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4、无明显病虫害危害迹象；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5、绿地平整，无大面积的坑洼积水现象。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4</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水体</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1、水面无漂浮物，河内水草清理及时；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2、水生植物生长健壮，观赏期长，秋冬季按要求收割及时；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3、无垂钓、游泳现象；</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1、水面无漂浮物，河内水草清理及时；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2、水生植物生长良好，保持正常形态特征，无明显有害生物危害；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3、无垂钓、游泳现象；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5</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园林设施维护</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1、园林建构筑物、小品及各类便民设 施保持完好，无安全隐患、无破损现象，无乱涂写、乱张贴、乱涂刻现象；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2、设施损坏后修复及时；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3、供电照明管线等设施常年完整、正常运转；</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4、园路、铺装平整，无破损、无积水现象；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5、树木支撑桩位扎缚规范、有效。</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1、园林设施基本完好，有问题及时处理并上报；</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6</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卫生保洁</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1、公共厕所的保洁、灭杀到位，无臭味；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2、绿地各类便民设施整洁，无陈旧积尘；</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3、绿地整洁，无枯枝落叶，无杂物、 无白色垃圾（树挂）、无建筑垃圾，垃圾日产日清。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4、作业废弃物（如树枝、树叶、草屑等）、水面杂物， 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5、无卫生死角。</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1、绿地基本整洁，无枯枝落叶，无明显杂物、无白色垃圾、无建筑垃圾。</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2、作业废弃物（如树枝、树叶、草屑等）、绿地内水面杂物，日产日清。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3、无卫生死角。</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7</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绿地秩序</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8</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人员要求</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9</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组织管理</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 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10</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其它</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 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r>
    </w:tbl>
    <w:p>
      <w:pPr>
        <w:spacing w:line="360" w:lineRule="auto"/>
        <w:rPr>
          <w:bCs/>
          <w:sz w:val="24"/>
          <w:highlight w:val="none"/>
        </w:rPr>
        <w:outlineLvl w:val="0"/>
      </w:pPr>
      <w:r>
        <w:rPr>
          <w:bCs/>
          <w:sz w:val="24"/>
          <w:highlight w:val="none"/>
        </w:rPr>
      </w:r>
      <w:r/>
    </w:p>
    <w:p>
      <w:pPr>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六、</w:t>
      </w:r>
      <w:r>
        <w:rPr>
          <w:rFonts w:ascii="宋体" w:hAnsi="宋体" w:cs="宋体"/>
          <w:b/>
          <w:bCs/>
          <w:spacing w:val="-2"/>
          <w:sz w:val="24"/>
          <w:highlight w:val="none"/>
        </w:rPr>
        <w:t xml:space="preserve">管理及考核要求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1、绿地养护工作由江苏省溧阳高新技术产业开发区国有资产管理中心组织实施。考核实行百分制，当月考核综合评分分数低于 60 分为不合格。</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2、一个月的试用养护期是检验各单位养护成效的期限，是否签订养护合同，进入正式 养护期由江苏省溧阳高新技术产业开发区国有资产管理中心认定。如一个月的试用养护期 检验不合格，将不签订养护合同。中标单位不得以设备采购、人员招聘、办公经营场所租赁等任何理由向采购人提出经济补偿要求。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3、乙方在养护期内出现以下问题之一，养护合同将自动终止：</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（1）一养护年度中有连续两次月考核不合格的（考核评分 60 分以下）。</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（2）如在养护期内，发生重大质量、安全方面的责任事故，对绿化景观造成严重破坏或造 成严重社会影响的，采购人将取消其养护资格，扣除养护保证金，并依法继续向承包人追究相应法律和经济责任。</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（3）养护现场负责人随意更换的。</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（4）养护合同进行转包的。被取消养护资格后，由参与竞价养护的第二名投标人获得优先养护资格，依次类推并同样采用以上方法考察单位养护能力。</w:t>
      </w:r>
      <w:r/>
    </w:p>
    <w:p>
      <w:pPr>
        <w:spacing w:line="360" w:lineRule="auto"/>
        <w:rPr>
          <w:rFonts w:ascii="宋体" w:hAnsi="宋体" w:eastAsia="宋体" w:cs="宋体"/>
          <w:b/>
          <w:bCs/>
          <w:spacing w:val="-2"/>
          <w:sz w:val="24"/>
          <w:highlight w:val="none"/>
        </w:rPr>
        <w:outlineLvl w:val="0"/>
      </w:pPr>
      <w:r>
        <w:rPr>
          <w:rFonts w:ascii="宋体" w:hAnsi="宋体" w:eastAsia="宋体" w:cs="宋体"/>
          <w:b/>
          <w:bCs/>
          <w:spacing w:val="-2"/>
          <w:sz w:val="24"/>
          <w:highlight w:val="none"/>
        </w:rPr>
        <w:t xml:space="preserve">4、</w:t>
      </w:r>
      <w:r>
        <w:rPr>
          <w:rFonts w:hint="eastAsia" w:ascii="宋体" w:hAnsi="宋体" w:eastAsia="宋体" w:cs="宋体"/>
          <w:b/>
          <w:bCs/>
          <w:spacing w:val="-2"/>
          <w:sz w:val="24"/>
          <w:highlight w:val="none"/>
        </w:rPr>
        <w:t xml:space="preserve">绿化养护费用根据年度考核情况年底一次性付清（本次报价按照12个月的养护时间，最终结算按照实际养护时间。每月养护费用=投标报价总价/12）</w:t>
      </w:r>
      <w:r>
        <w:rPr>
          <w:rFonts w:ascii="宋体" w:hAnsi="宋体" w:eastAsia="宋体" w:cs="宋体"/>
          <w:b/>
          <w:bCs/>
          <w:spacing w:val="-2"/>
          <w:sz w:val="24"/>
          <w:highlight w:val="none"/>
        </w:rPr>
        <w:t xml:space="preserve">。</w:t>
      </w:r>
      <w:r/>
    </w:p>
    <w:p>
      <w:pPr>
        <w:spacing w:line="360" w:lineRule="auto"/>
        <w:rPr>
          <w:rFonts w:ascii="宋体" w:hAnsi="宋体" w:cs="宋体"/>
          <w:spacing w:val="-2"/>
          <w:sz w:val="24"/>
          <w:highlight w:val="none"/>
        </w:rPr>
        <w:outlineLvl w:val="0"/>
      </w:pPr>
      <w:r>
        <w:rPr>
          <w:rFonts w:ascii="宋体" w:hAnsi="宋体" w:eastAsia="宋体" w:cs="宋体"/>
          <w:spacing w:val="-2"/>
          <w:sz w:val="24"/>
          <w:highlight w:val="none"/>
        </w:rPr>
        <w:t xml:space="preserve">5、绿化养护考核实施细则</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27"/>
        <w:gridCol w:w="3585"/>
        <w:gridCol w:w="3465"/>
        <w:gridCol w:w="745"/>
      </w:tblGrid>
      <w:tr>
        <w:trPr>
          <w:trHeight w:val="449"/>
        </w:trPr>
        <w:tc>
          <w:tcPr>
            <w:shd w:val="clear" w:color="auto" w:fill="auto"/>
            <w:tcW w:w="766"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shd w:val="clear" w:color="auto" w:fill="auto"/>
            <w:tcW w:w="727"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分值</w:t>
            </w:r>
            <w:r/>
          </w:p>
        </w:tc>
        <w:tc>
          <w:tcPr>
            <w:shd w:val="clear" w:color="auto" w:fill="auto"/>
            <w:tcW w:w="358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考核标准</w:t>
            </w:r>
            <w:r/>
          </w:p>
        </w:tc>
        <w:tc>
          <w:tcPr>
            <w:shd w:val="clear" w:color="auto" w:fill="auto"/>
            <w:tcW w:w="346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扣分细则</w:t>
            </w:r>
            <w:r/>
          </w:p>
        </w:tc>
        <w:tc>
          <w:tcPr>
            <w:shd w:val="clear" w:color="auto" w:fill="auto"/>
            <w:tcW w:w="74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w:t>
            </w:r>
            <w:r/>
          </w:p>
        </w:tc>
      </w:tr>
      <w:tr>
        <w:trPr>
          <w:trHeight w:val="1090"/>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卫生保洁</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1、花坛、树池、绿地内无白色垃圾、落叶、建筑垃圾；水面无漂浮物等。</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发现有陈旧垃圾、杂物扣 2 分/处； 发现有卫生死角扣 5 分/处；发现 园林设施及水体不整洁扣 1 分/处；垃圾当天不及时清运扣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824"/>
        </w:trPr>
        <w:tc>
          <w:tcPr>
            <w:shd w:val="clear" w:color="auto" w:fill="auto"/>
            <w:tcW w:w="766" w:type="dxa"/>
            <w:vAlign w:val="center"/>
            <w:vMerge w:val="continue"/>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shd w:val="clear" w:color="auto" w:fill="auto"/>
            <w:tcW w:w="727" w:type="dxa"/>
            <w:vAlign w:val="center"/>
            <w:vMerge w:val="continue"/>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2、生产垃圾日产日清，重点地段随产随清。</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草坪养护</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1、生长期长势好，草坪绿期长，抗旱浇水和雨后排水及时，保证绿化带内土壤松透湿润无退化现象。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未及时做好浇水、排水工作致草坪生长不良扣 1 分/处；修剪不合 格每平方扣 1 分；病虫害防治不 力造成危害影响景观的每平方扣 1 分；杂草明显、界线不清扣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2、修剪平整，冬绿型草坪高度不超过 10 厘米，夏绿型草坪高度不超过 6 厘米，休眠期前作较低修剪。</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3、草坪无病虫害，无空秃，有一定厚度，草根不裸露。</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4、无杂草，与绿篱色块、地被之间界线清晰。</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乔</w:t>
            </w:r>
            <w:r>
              <w:rPr>
                <w:rFonts w:ascii="宋体" w:hAnsi="宋体" w:eastAsia="宋体" w:cs="宋体"/>
                <w:spacing w:val="-2"/>
                <w:sz w:val="24"/>
                <w:highlight w:val="none"/>
              </w:rPr>
              <w:t xml:space="preserve">灌木养护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1、树木生长正常，无死树、断枝及明 显枯死枝，无倾斜、歪倒现象，绿篱色块基本无空缺。</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管护不到位，未及时做好浇水、排水工作致苗木死亡的扣 5 分/处；歪斜树不及时扶正、死树、枯枝、断枝不及时处理扣 1分/株。修剪、清理不及时及修剪手法过重扣 1分/处；绿篱色块成片死亡未及时补缺到位扣 1 分/处。出现病虫害症状，防治不力的扣 1 分/ 次，造成严重危害的扣 2 分/次，造成一定范围植株死亡的扣 5 分/次。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发现明显杂草、杂树扣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2、树木的修剪符合景观观赏要求，乔木根部无萌孽枝，绿篱、色块修剪及时到位，垂直绿化牵引、绑扎到位。</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3、以生态农药采取根埋，注射等科学 方法进行，严禁使用有机农药，冬季涂白规范整齐。</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4、绿地内无大型杂草、无缠绕性、攀 缘性杂草，无乱牵乱挂现象，杂树、树桩清除及时。</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常规养护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1、年内施肥不少于二次，冬季基肥以 有机肥为主，采取穴施、沟施法；季节施肥掌握在花前花后追肥。</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年内施肥不少于二次，冬季基肥 以有机肥为主，采取穴施、沟施 法；季节施肥掌握在花前花后追 肥，少施一次扣 1 分，偷工减料扣 1 分；未对缺树缺苗及时进行 补种补栽，每次扣 1 分；未做到 苗木搭配均匀合理无空缺，色块内树苗均匀整齐无空壳花圃內搭配合理鲜艳漂亮，每次扣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2、根据原有乔灌木色块及花圃规划设计，对缺树缺苗进行补种补栽，做到苗木搭配均匀合理无空缺，色块内树 苗均匀整齐无空壳花圃內搭配合理鲜艳漂亮。</w:t>
            </w:r>
            <w:r/>
          </w:p>
        </w:tc>
        <w:tc>
          <w:tcPr>
            <w:shd w:val="clear" w:color="auto" w:fill="auto"/>
            <w:tcW w:w="3465"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绿地秩序</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1、绿地上有杂物堆放、乱停车、乱披挂、乱设摊、乱晾晒、乱焚烧生产垃圾的现象。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发现一辆扣 1 分，管养人员自己的车辆扣 2 分/辆,杂物堆放、乱披挂、乱晾晒扣 1 分/处，乱设置 扣 2 分/处，乱焚烧生产垃圾扣 3 分/处，扣完为止。绿地侵占、破坏设施未发现制止或发现未汇报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的扣 2 分/次。</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2、发现绿地侵占、偷盗苗木、破坏设施等现象，要立即制止，同时第一时间与采购人联系并汇报。</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案件处置</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1、案件发生后，处置人员把信息发往 该标段负责人，接收后应及时作收到回复。</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2、在规定时间内按相关要求处理好案 件，如因处置不当，造成返工现象，有一个扣 1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3、按规范回复案件，即案件序号加两张处置后的照片。</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未及时回复的，每有一个扣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386"/>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现场考评</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被现场考评组直接扣分的，有一件扣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其他</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1、常规管理人员符合管养绿地要求， 人员齐全，年龄符合规定。定职定岗，按规定着标志服装。</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上岗人员有缺少或不符合要求扣 5 分/人，聚众聊天、串岗离岗发 现 1 人扣 1 分；不着标志服装,每 发现 1 人扣 1 分。未按作业安全操作规程进行登高、机械操作的 发现一次扣 1 分。不服从采购人管理，未能按要求完成任务的一 次扣 2 分。机械不按合同要求配备，少一台扣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2、安全要求，按绿化作业安全操作规程执行</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3、机械未按照合同要求配备</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textDirection w:val="lrTb"/>
            <w:noWrap w:val="false"/>
          </w:tcPr>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合计</w:t>
            </w:r>
            <w:r/>
          </w:p>
        </w:tc>
        <w:tc>
          <w:tcPr>
            <w:shd w:val="clear" w:color="auto" w:fill="auto"/>
            <w:tcW w:w="727" w:type="dxa"/>
            <w:vAlign w:val="center"/>
            <w:textDirection w:val="lrTb"/>
            <w:noWrap w:val="false"/>
          </w:tcPr>
          <w:p>
            <w:pPr>
              <w:jc w:val="center"/>
              <w:rPr>
                <w:rFonts w:ascii="宋体" w:hAnsi="宋体" w:eastAsia="宋体" w:cs="宋体"/>
                <w:sz w:val="24"/>
                <w:highlight w:val="none"/>
              </w:rPr>
            </w:pPr>
            <w:r>
              <w:rPr>
                <w:rFonts w:hint="eastAsia" w:ascii="Times New Roman" w:hAnsi="Times New Roman" w:eastAsia="宋体" w:cs="Times New Roman"/>
                <w:sz w:val="24"/>
                <w:highlight w:val="none"/>
              </w:rPr>
              <w:t xml:space="preserve">100</w:t>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465" w:type="dxa"/>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sz w:val="24"/>
                <w:highlight w:val="none"/>
              </w:rPr>
              <w:t xml:space="preserve">得分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jc w:val="center"/>
              <w:rPr>
                <w:rFonts w:ascii="Times New Roman" w:hAnsi="Times New Roman" w:eastAsia="宋体" w:cs="Times New Roman"/>
                <w:highlight w:val="none"/>
              </w:rPr>
            </w:pPr>
            <w:r>
              <w:rPr>
                <w:rFonts w:ascii="Times New Roman" w:hAnsi="Times New Roman" w:eastAsia="宋体" w:cs="Times New Roman"/>
                <w:sz w:val="24"/>
                <w:highlight w:val="none"/>
              </w:rPr>
              <w:t xml:space="preserve">特别条款</w:t>
            </w:r>
            <w:r/>
          </w:p>
        </w:tc>
        <w:tc>
          <w:tcPr>
            <w:gridSpan w:val="4"/>
            <w:shd w:val="clear" w:color="auto" w:fill="auto"/>
            <w:tcW w:w="852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1、被媒体曝光或受到各级领导通报批评的，发生一次扣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2、各部门发现的问题或者群众来信来访未能及时整改处理或回复处理不及时、不真实的，每次扣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3、城市长效管理，数字化城管中因管理出现扣分的，直接按实际扣分。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4、不服从采购人统一管理,未完成采购人安排的其他任务的，发生一次扣 5 分。</w:t>
            </w:r>
            <w:r/>
          </w:p>
        </w:tc>
      </w:tr>
    </w:tbl>
    <w:p>
      <w:pPr>
        <w:spacing w:line="360" w:lineRule="auto"/>
        <w:rPr>
          <w:rFonts w:ascii="宋体" w:hAnsi="宋体" w:cs="宋体"/>
          <w:spacing w:val="-2"/>
          <w:sz w:val="24"/>
          <w:highlight w:val="none"/>
        </w:rPr>
        <w:outlineLvl w:val="0"/>
      </w:pPr>
      <w:r>
        <w:rPr>
          <w:rFonts w:ascii="宋体" w:hAnsi="宋体" w:cs="宋体"/>
          <w:spacing w:val="-2"/>
          <w:sz w:val="24"/>
          <w:highlight w:val="none"/>
        </w:rPr>
      </w:r>
      <w:r/>
    </w:p>
    <w:p>
      <w:pPr>
        <w:ind w:firstLine="480"/>
        <w:jc w:val="left"/>
        <w:spacing w:line="360" w:lineRule="auto"/>
        <w:rPr>
          <w:rFonts w:ascii="Times New Roman" w:hAnsi="Times New Roman" w:eastAsia="宋体" w:cs="Times New Roman"/>
          <w:sz w:val="24"/>
          <w:highlight w:val="none"/>
        </w:rPr>
        <w:outlineLvl w:val="0"/>
      </w:pPr>
      <w:r>
        <w:rPr>
          <w:rFonts w:hint="eastAsia" w:ascii="Times New Roman" w:hAnsi="Times New Roman" w:eastAsia="宋体" w:cs="Times New Roman"/>
          <w:sz w:val="24"/>
          <w:highlight w:val="none"/>
        </w:rPr>
        <w:t xml:space="preserve">日常考核时，对于人员上岗、着装、日常保洁、病虫害以及一些直接造成损害的问题直接扣分；其他问题按要求整改处理，在规定期限未能处理到位的进行扣分。月考核中，发现问题直接扣分。</w:t>
      </w:r>
      <w:r/>
    </w:p>
    <w:p>
      <w:pPr>
        <w:ind w:firstLine="480"/>
        <w:jc w:val="left"/>
        <w:spacing w:line="360" w:lineRule="auto"/>
        <w:rPr>
          <w:b/>
          <w:bCs/>
          <w:sz w:val="24"/>
          <w:highlight w:val="none"/>
        </w:rPr>
        <w:outlineLvl w:val="0"/>
      </w:pPr>
      <w:r>
        <w:rPr>
          <w:rFonts w:hint="eastAsia" w:ascii="Times New Roman" w:hAnsi="Times New Roman" w:eastAsia="宋体" w:cs="Times New Roman"/>
          <w:sz w:val="24"/>
          <w:highlight w:val="none"/>
        </w:rPr>
        <w:t xml:space="preserve">上述考核办法最终解释权归属江苏省溧阳高新技术产业开发区国有资产管理中心。《办法》内十项扣分和奖罚累加不保底，本着公正、公平、公开原则，每次扣分和奖罚都在中关村市政绿化养护群内公示，考核得分与年度养护经费挂钩。</w:t>
      </w:r>
      <w:r/>
    </w:p>
    <w:p>
      <w:pPr>
        <w:jc w:val="left"/>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七、绿化养护管理奖惩办法</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1、绿化养护综合评分在 80 分以上者（含 80 分）按合同价正常结算当月养护经费；综合评分在 60（含）-80 分，按合同价 1/2 结算当月养护经费；综合评分在 60 分以下者，扣除当月养护经费。</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2、有下列情形之一的，合同采购人有权单方终止与乙方的养护合同，当月的养护经费不予结算：</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（1）未按</w:t>
      </w:r>
      <w:r>
        <w:rPr>
          <w:rFonts w:hint="eastAsia" w:ascii="宋体" w:hAnsi="宋体" w:cs="宋体"/>
          <w:spacing w:val="-2"/>
          <w:sz w:val="24"/>
          <w:highlight w:val="none"/>
          <w:lang w:val="en-US" w:eastAsia="zh-CN"/>
        </w:rPr>
        <w:t xml:space="preserve">招标</w:t>
      </w:r>
      <w:r>
        <w:rPr>
          <w:rFonts w:hint="eastAsia" w:ascii="宋体" w:hAnsi="宋体" w:eastAsia="宋体" w:cs="宋体"/>
          <w:spacing w:val="-2"/>
          <w:sz w:val="24"/>
          <w:highlight w:val="none"/>
        </w:rPr>
        <w:t xml:space="preserve">文件的要求组织养护工作的（如养护期间没有固定经营场所、机具非自有等）；</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（2）连续二次考核综合评分在 60 分以下的；</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（3）养护合同进行转包的；</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（4）因工人集体罢工、上访、群众举报和投诉等事件致使采购人名誉受损或其它损失的，除按考核要求扣分外，直接扣款 2000 元/次，情节特别严重的终止养护合同；</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3、绿化养护考核由日常考核巡查和月考核组成，由合同采购人组织实施。</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4、综合评分=100- 日常考核扣分×70%-月度考核扣分×30%－特别条款扣分。</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5、暴露出的同一问题采购人电话通知乙方两次后仍未整改到位，采购人将开出“整改通知书 ”，并在当月综合评分中扣除 5 分。</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6、日常检查过程中，出现下列情况时，除按规定扣分外，还需直接扣除养护经费：</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（1）现场负责人应按时按规定参加江苏省溧阳高新技术产业开发区国有资产管理中心组织的各项培训、会议；无故缺席的一次扣 500 元；每月到场22天，少一天扣2000元。</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（2）按合同规定的最低常规养护人数（10人）到岗到位，不足员时，按每人每天 200 元扣除；</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（3）处于失管状态的地块，采购人有权根据失管的严重程度，在扣分的基础上，直接扣除当月的养护费用；</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7、该措施中所指的扣款是每月考核综合评分扣款，承包人在结算资金时结清。</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8、如不当养护造成绿化损失或严重社会影响，如草坪杂化、乔木修剪过重、地被花境长势衰退或严重不良等由承包人负责更新，费用由承包人自行承担。</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9、应急管理：养护中标单位必须制定灾害性天气应急预案，建立一支稳定的应急抢险队伍，并保证有能力调配到高空作业车、大功率电锯等必须的应急设备，确保出现灾害性天气时，能够第一时间投入抢险救灾中，并服从采购人另行安排的其它范围内的应急抢险任务。</w:t>
      </w:r>
      <w:r/>
    </w:p>
    <w:p>
      <w:pPr>
        <w:ind w:firstLine="472"/>
        <w:jc w:val="left"/>
        <w:spacing w:line="360" w:lineRule="auto"/>
        <w:rPr>
          <w:rFonts w:ascii="宋体" w:hAnsi="宋体" w:cs="宋体"/>
          <w:spacing w:val="-2"/>
          <w:sz w:val="24"/>
          <w:highlight w:val="none"/>
        </w:rPr>
        <w:outlineLvl w:val="0"/>
      </w:pPr>
      <w:r>
        <w:rPr>
          <w:rFonts w:hint="eastAsia" w:ascii="宋体" w:hAnsi="宋体" w:eastAsia="宋体" w:cs="宋体"/>
          <w:spacing w:val="-2"/>
          <w:sz w:val="24"/>
          <w:highlight w:val="none"/>
        </w:rPr>
        <w:t xml:space="preserve">10、安全责任事故等风险问题：养护期内，承包人须加强安全生产管理，积极主动采取 防范措施，解除安全隐患，同时为养护工人购买保险等方式来规避风险。如养护标段中发 生安全事故、人员伤亡事件，由养护中标单位负责处理解决，处理过程中发生的费用（包括赔偿费用）由承包人承担</w:t>
      </w:r>
      <w:r>
        <w:rPr>
          <w:rFonts w:hint="eastAsia" w:ascii="宋体" w:hAnsi="宋体" w:cs="宋体"/>
          <w:spacing w:val="-2"/>
          <w:sz w:val="24"/>
          <w:highlight w:val="none"/>
        </w:rPr>
        <w:t xml:space="preserve">。</w:t>
      </w:r>
      <w:r/>
    </w:p>
    <w:p>
      <w:pPr>
        <w:ind w:firstLine="480"/>
        <w:spacing w:line="360" w:lineRule="auto"/>
        <w:rPr>
          <w:bCs/>
          <w:sz w:val="24"/>
          <w:highlight w:val="none"/>
        </w:rPr>
        <w:outlineLvl w:val="0"/>
      </w:pPr>
      <w:r>
        <w:rPr>
          <w:rFonts w:hint="eastAsia"/>
          <w:bCs/>
          <w:sz w:val="24"/>
          <w:highlight w:val="none"/>
        </w:rPr>
        <w:t xml:space="preserve">八、其他条款</w:t>
      </w:r>
      <w:r/>
    </w:p>
    <w:p>
      <w:pPr>
        <w:ind w:firstLine="480"/>
        <w:spacing w:line="360" w:lineRule="auto"/>
        <w:rPr>
          <w:bCs/>
          <w:sz w:val="24"/>
          <w:highlight w:val="none"/>
        </w:rPr>
        <w:outlineLvl w:val="0"/>
      </w:pPr>
      <w:r>
        <w:rPr>
          <w:rFonts w:hint="eastAsia"/>
          <w:bCs/>
          <w:sz w:val="24"/>
          <w:highlight w:val="none"/>
        </w:rPr>
        <w:t xml:space="preserve">1、现有绿地内的苗木由于养护不到位发生缺失或死亡，由承包人按同品种同规格赔偿并包栽包活管理 1 年。由于自然灾害和不可抗力原因造成的苗木缺损，由承包人向溧阳市城市管理局提出书面申请，经溧阳市城市管理局组织有关人员现场核实后再做处理决定。</w:t>
      </w:r>
      <w:r/>
    </w:p>
    <w:p>
      <w:pPr>
        <w:ind w:firstLine="480"/>
        <w:spacing w:line="360" w:lineRule="auto"/>
        <w:rPr>
          <w:bCs/>
          <w:sz w:val="24"/>
          <w:highlight w:val="none"/>
        </w:rPr>
        <w:outlineLvl w:val="0"/>
      </w:pPr>
      <w:r>
        <w:rPr>
          <w:rFonts w:hint="eastAsia"/>
          <w:bCs/>
          <w:sz w:val="24"/>
          <w:highlight w:val="none"/>
        </w:rPr>
        <w:t xml:space="preserve">2、在合同履行过程中，若绿化养护面积出现重大变化时，以原合同综合平均单价和实际增减面积据实调整养护金额。</w:t>
      </w:r>
      <w:r/>
    </w:p>
    <w:p>
      <w:pPr>
        <w:ind w:firstLine="480"/>
        <w:spacing w:line="360" w:lineRule="auto"/>
        <w:rPr>
          <w:bCs/>
          <w:sz w:val="24"/>
          <w:highlight w:val="none"/>
        </w:rPr>
        <w:outlineLvl w:val="0"/>
      </w:pPr>
      <w:r>
        <w:rPr>
          <w:rFonts w:hint="eastAsia"/>
          <w:bCs/>
          <w:sz w:val="24"/>
          <w:highlight w:val="none"/>
        </w:rPr>
        <w:t xml:space="preserve">3、管理期内发生的一切费用包括园林建筑、喷泉、公厕、园路、广场、侧石、坐凳、果壳箱等所有设施的日常维护管理均由承包人承担。</w:t>
      </w:r>
      <w:r/>
    </w:p>
    <w:p>
      <w:pPr>
        <w:ind w:firstLine="480"/>
        <w:spacing w:line="360" w:lineRule="auto"/>
        <w:rPr>
          <w:bCs/>
          <w:sz w:val="24"/>
          <w:highlight w:val="none"/>
        </w:rPr>
        <w:outlineLvl w:val="0"/>
      </w:pPr>
      <w:r>
        <w:rPr>
          <w:rFonts w:hint="eastAsia"/>
          <w:bCs/>
          <w:sz w:val="24"/>
          <w:highlight w:val="none"/>
        </w:rPr>
        <w:t xml:space="preserve">4、税金结算办法：结算时按实际养护单位实际开具的增值税发票所缴纳税率结算。</w:t>
      </w:r>
      <w:r/>
    </w:p>
    <w:p>
      <w:pPr>
        <w:ind w:firstLine="480"/>
        <w:spacing w:line="360" w:lineRule="auto"/>
        <w:rPr>
          <w:bCs/>
          <w:sz w:val="24"/>
          <w:highlight w:val="none"/>
        </w:rPr>
        <w:outlineLvl w:val="0"/>
      </w:pPr>
      <w:r>
        <w:rPr>
          <w:rFonts w:hint="eastAsia"/>
          <w:bCs/>
          <w:sz w:val="24"/>
          <w:highlight w:val="none"/>
        </w:rPr>
        <w:t xml:space="preserve">九、合同生效及其它：</w:t>
      </w:r>
      <w:r/>
    </w:p>
    <w:p>
      <w:pPr>
        <w:ind w:firstLine="480"/>
        <w:spacing w:line="360" w:lineRule="auto"/>
        <w:rPr>
          <w:bCs/>
          <w:sz w:val="24"/>
          <w:highlight w:val="none"/>
        </w:rPr>
        <w:outlineLvl w:val="0"/>
      </w:pPr>
      <w:r>
        <w:rPr>
          <w:rFonts w:hint="eastAsia"/>
          <w:bCs/>
          <w:sz w:val="24"/>
          <w:highlight w:val="none"/>
        </w:rPr>
        <w:t xml:space="preserve">1、生效：本合同自三方签字盖章之日起成立，并依法生效。</w:t>
      </w:r>
      <w:r/>
    </w:p>
    <w:p>
      <w:pPr>
        <w:ind w:firstLine="480"/>
        <w:spacing w:line="360" w:lineRule="auto"/>
        <w:rPr>
          <w:bCs/>
          <w:sz w:val="24"/>
          <w:highlight w:val="none"/>
        </w:rPr>
        <w:outlineLvl w:val="0"/>
      </w:pPr>
      <w:r>
        <w:rPr>
          <w:rFonts w:hint="eastAsia"/>
          <w:bCs/>
          <w:sz w:val="24"/>
          <w:highlight w:val="none"/>
        </w:rPr>
        <w:t xml:space="preserve">2、下列文件均为本合同不可分割的部分：</w:t>
      </w:r>
      <w:r/>
    </w:p>
    <w:p>
      <w:pPr>
        <w:ind w:firstLine="480"/>
        <w:spacing w:line="360" w:lineRule="auto"/>
        <w:rPr>
          <w:bCs/>
          <w:sz w:val="24"/>
          <w:highlight w:val="none"/>
        </w:rPr>
        <w:outlineLvl w:val="0"/>
      </w:pPr>
      <w:r>
        <w:rPr>
          <w:rFonts w:hint="eastAsia"/>
          <w:bCs/>
          <w:sz w:val="24"/>
          <w:highlight w:val="none"/>
        </w:rPr>
        <w:t xml:space="preserve">1)合同书及补充协议，</w:t>
      </w:r>
      <w:r/>
    </w:p>
    <w:p>
      <w:pPr>
        <w:ind w:firstLine="480"/>
        <w:spacing w:line="360" w:lineRule="auto"/>
        <w:rPr>
          <w:bCs/>
          <w:sz w:val="24"/>
          <w:highlight w:val="none"/>
        </w:rPr>
        <w:outlineLvl w:val="0"/>
      </w:pPr>
      <w:r>
        <w:rPr>
          <w:rFonts w:hint="eastAsia"/>
          <w:bCs/>
          <w:sz w:val="24"/>
          <w:highlight w:val="none"/>
        </w:rPr>
        <w:t xml:space="preserve">2)中标通知书，</w:t>
      </w:r>
      <w:r/>
    </w:p>
    <w:p>
      <w:pPr>
        <w:ind w:firstLine="480"/>
        <w:spacing w:line="360" w:lineRule="auto"/>
        <w:rPr>
          <w:bCs/>
          <w:sz w:val="24"/>
          <w:highlight w:val="none"/>
        </w:rPr>
        <w:outlineLvl w:val="0"/>
      </w:pPr>
      <w:r>
        <w:rPr>
          <w:rFonts w:hint="eastAsia"/>
          <w:bCs/>
          <w:sz w:val="24"/>
          <w:highlight w:val="none"/>
        </w:rPr>
        <w:t xml:space="preserve">3)询标纪要(如有)，</w:t>
      </w:r>
      <w:r/>
    </w:p>
    <w:p>
      <w:pPr>
        <w:ind w:firstLine="480"/>
        <w:spacing w:line="360" w:lineRule="auto"/>
        <w:rPr>
          <w:bCs/>
          <w:sz w:val="24"/>
          <w:highlight w:val="none"/>
        </w:rPr>
        <w:outlineLvl w:val="0"/>
      </w:pPr>
      <w:r>
        <w:rPr>
          <w:rFonts w:hint="eastAsia"/>
          <w:bCs/>
          <w:sz w:val="24"/>
          <w:highlight w:val="none"/>
        </w:rPr>
        <w:t xml:space="preserve">4)甲乙双方签署的文件、电传、协商纪要等文件，</w:t>
      </w:r>
      <w:r/>
    </w:p>
    <w:p>
      <w:pPr>
        <w:ind w:firstLine="480"/>
        <w:spacing w:line="360" w:lineRule="auto"/>
        <w:rPr>
          <w:bCs/>
          <w:sz w:val="24"/>
          <w:highlight w:val="none"/>
        </w:rPr>
        <w:outlineLvl w:val="0"/>
      </w:pPr>
      <w:r>
        <w:rPr>
          <w:rFonts w:hint="eastAsia"/>
          <w:bCs/>
          <w:sz w:val="24"/>
          <w:highlight w:val="none"/>
        </w:rPr>
        <w:t xml:space="preserve">5)</w:t>
      </w:r>
      <w:r>
        <w:rPr>
          <w:rFonts w:hint="eastAsia"/>
          <w:bCs/>
          <w:sz w:val="24"/>
          <w:highlight w:val="none"/>
          <w:lang w:val="en-US" w:eastAsia="zh-CN"/>
        </w:rPr>
        <w:t xml:space="preserve">招标</w:t>
      </w:r>
      <w:r>
        <w:rPr>
          <w:rFonts w:hint="eastAsia"/>
          <w:bCs/>
          <w:sz w:val="24"/>
          <w:highlight w:val="none"/>
        </w:rPr>
        <w:t xml:space="preserve">文件及其补充文件，</w:t>
      </w:r>
      <w:r/>
    </w:p>
    <w:p>
      <w:pPr>
        <w:ind w:firstLine="480"/>
        <w:spacing w:line="360" w:lineRule="auto"/>
        <w:rPr>
          <w:bCs/>
          <w:sz w:val="24"/>
          <w:highlight w:val="none"/>
        </w:rPr>
        <w:outlineLvl w:val="0"/>
      </w:pPr>
      <w:r>
        <w:rPr>
          <w:rFonts w:hint="eastAsia"/>
          <w:bCs/>
          <w:sz w:val="24"/>
          <w:highlight w:val="none"/>
        </w:rPr>
        <w:t xml:space="preserve">6)投标文件及其补充文件。</w:t>
      </w:r>
      <w:r/>
    </w:p>
    <w:p>
      <w:pPr>
        <w:ind w:firstLine="480"/>
        <w:spacing w:line="360" w:lineRule="auto"/>
        <w:rPr>
          <w:bCs/>
          <w:sz w:val="24"/>
          <w:highlight w:val="none"/>
        </w:rPr>
        <w:outlineLvl w:val="0"/>
      </w:pPr>
      <w:r>
        <w:rPr>
          <w:rFonts w:hint="eastAsia"/>
          <w:bCs/>
          <w:sz w:val="24"/>
          <w:highlight w:val="none"/>
        </w:rPr>
        <w:t xml:space="preserve">十、合同份数：本合同一式陆份，甲方执贰份、乙方执贰份、代理机构执贰份。</w:t>
      </w:r>
      <w:r/>
    </w:p>
    <w:p>
      <w:pPr>
        <w:ind w:firstLine="480"/>
        <w:spacing w:line="360" w:lineRule="auto"/>
        <w:rPr>
          <w:bCs/>
          <w:sz w:val="24"/>
          <w:highlight w:val="none"/>
        </w:rPr>
        <w:outlineLvl w:val="0"/>
      </w:pPr>
      <w:r>
        <w:rPr>
          <w:rFonts w:hint="eastAsia"/>
          <w:bCs/>
          <w:sz w:val="24"/>
          <w:highlight w:val="none"/>
        </w:rPr>
        <w:t xml:space="preserve">注：最终以甲乙双方签订为准。</w:t>
      </w:r>
      <w:r/>
    </w:p>
    <w:p>
      <w:pPr>
        <w:ind w:firstLine="480"/>
        <w:spacing w:line="360" w:lineRule="auto"/>
        <w:rPr>
          <w:rFonts w:hint="eastAsia"/>
          <w:bCs/>
          <w:sz w:val="24"/>
          <w:highlight w:val="none"/>
        </w:rPr>
        <w:outlineLvl w:val="0"/>
      </w:pPr>
      <w:r>
        <w:rPr>
          <w:rFonts w:hint="eastAsia"/>
          <w:bCs/>
          <w:sz w:val="24"/>
          <w:highlight w:val="none"/>
        </w:rPr>
      </w:r>
      <w:r/>
    </w:p>
    <w:p>
      <w:pPr>
        <w:ind w:firstLine="480"/>
        <w:spacing w:line="360" w:lineRule="auto"/>
        <w:rPr>
          <w:rFonts w:hint="eastAsia"/>
          <w:bCs/>
          <w:sz w:val="24"/>
          <w:highlight w:val="none"/>
        </w:rPr>
        <w:outlineLvl w:val="0"/>
      </w:pPr>
      <w:r>
        <w:rPr>
          <w:rFonts w:hint="eastAsia"/>
          <w:bCs/>
          <w:sz w:val="24"/>
          <w:highlight w:val="none"/>
        </w:rPr>
      </w:r>
      <w:r/>
    </w:p>
    <w:p>
      <w:pPr>
        <w:ind w:firstLine="480"/>
        <w:spacing w:line="360" w:lineRule="auto"/>
        <w:rPr>
          <w:bCs/>
          <w:sz w:val="24"/>
          <w:highlight w:val="none"/>
        </w:rPr>
        <w:outlineLvl w:val="0"/>
      </w:pPr>
      <w:r>
        <w:rPr>
          <w:rFonts w:hint="eastAsia"/>
          <w:bCs/>
          <w:sz w:val="24"/>
          <w:highlight w:val="none"/>
        </w:rPr>
        <w:t xml:space="preserve">甲方：                                   乙方：</w:t>
      </w:r>
      <w:r/>
    </w:p>
    <w:p>
      <w:pPr>
        <w:ind w:firstLine="480"/>
        <w:spacing w:line="360" w:lineRule="auto"/>
        <w:rPr>
          <w:bCs/>
          <w:sz w:val="24"/>
          <w:highlight w:val="none"/>
        </w:rPr>
        <w:outlineLvl w:val="0"/>
      </w:pPr>
      <w:r>
        <w:rPr>
          <w:rFonts w:hint="eastAsia"/>
          <w:bCs/>
          <w:sz w:val="24"/>
          <w:highlight w:val="none"/>
        </w:rPr>
        <w:t xml:space="preserve">单位名称（章）：                         单位名称（章）：</w:t>
      </w:r>
      <w:r/>
    </w:p>
    <w:p>
      <w:pPr>
        <w:ind w:firstLine="480"/>
        <w:spacing w:line="360" w:lineRule="auto"/>
        <w:rPr>
          <w:bCs/>
          <w:sz w:val="24"/>
          <w:highlight w:val="none"/>
        </w:rPr>
        <w:outlineLvl w:val="0"/>
      </w:pPr>
      <w:r>
        <w:rPr>
          <w:rFonts w:hint="eastAsia"/>
          <w:bCs/>
          <w:sz w:val="24"/>
          <w:highlight w:val="none"/>
        </w:rPr>
        <w:t xml:space="preserve">单位地址：                               单位地址：</w:t>
      </w:r>
      <w:r/>
    </w:p>
    <w:p>
      <w:pPr>
        <w:ind w:firstLine="480"/>
        <w:spacing w:line="360" w:lineRule="auto"/>
        <w:rPr>
          <w:bCs/>
          <w:sz w:val="24"/>
          <w:highlight w:val="none"/>
        </w:rPr>
        <w:outlineLvl w:val="0"/>
      </w:pPr>
      <w:r>
        <w:rPr>
          <w:rFonts w:hint="eastAsia"/>
          <w:bCs/>
          <w:sz w:val="24"/>
          <w:highlight w:val="none"/>
        </w:rPr>
        <w:t xml:space="preserve">法定代表人：       委托代理人：           法定代表人：      委托代理人：</w:t>
      </w:r>
      <w:r/>
    </w:p>
    <w:p>
      <w:pPr>
        <w:ind w:firstLine="480"/>
        <w:spacing w:line="360" w:lineRule="auto"/>
        <w:rPr>
          <w:bCs/>
          <w:sz w:val="24"/>
          <w:highlight w:val="none"/>
        </w:rPr>
        <w:outlineLvl w:val="0"/>
      </w:pPr>
      <w:r>
        <w:rPr>
          <w:rFonts w:hint="eastAsia"/>
          <w:bCs/>
          <w:sz w:val="24"/>
          <w:highlight w:val="none"/>
        </w:rPr>
        <w:t xml:space="preserve">电话：                                   电话：            传真：</w:t>
      </w:r>
      <w:r/>
    </w:p>
    <w:p>
      <w:pPr>
        <w:ind w:firstLine="480"/>
        <w:spacing w:line="360" w:lineRule="auto"/>
        <w:rPr>
          <w:bCs/>
          <w:sz w:val="24"/>
          <w:highlight w:val="none"/>
        </w:rPr>
        <w:outlineLvl w:val="0"/>
      </w:pPr>
      <w:r>
        <w:rPr>
          <w:rFonts w:hint="eastAsia"/>
          <w:bCs/>
          <w:sz w:val="24"/>
          <w:highlight w:val="none"/>
        </w:rPr>
        <w:t xml:space="preserve">传真：                                   开户银行：        帐号：</w:t>
      </w:r>
      <w:r/>
    </w:p>
    <w:p>
      <w:pPr>
        <w:spacing w:line="360" w:lineRule="auto"/>
        <w:rPr>
          <w:bCs/>
          <w:sz w:val="24"/>
          <w:highlight w:val="none"/>
        </w:rPr>
        <w:outlineLvl w:val="0"/>
      </w:pPr>
      <w:r>
        <w:rPr>
          <w:bCs/>
          <w:sz w:val="24"/>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rFonts w:hint="eastAsia" w:ascii="宋体" w:hAnsi="宋体" w:eastAsia="宋体" w:cs="宋体"/>
          <w:b/>
          <w:bCs/>
          <w:spacing w:val="60"/>
          <w:sz w:val="48"/>
          <w:szCs w:val="48"/>
          <w:highlight w:val="none"/>
        </w:rPr>
      </w:pPr>
      <w:r>
        <w:rPr>
          <w:rFonts w:hint="eastAsia" w:ascii="宋体" w:hAnsi="宋体" w:eastAsia="宋体" w:cs="宋体"/>
          <w:b/>
          <w:bCs/>
          <w:spacing w:val="60"/>
          <w:sz w:val="48"/>
          <w:szCs w:val="48"/>
          <w:highlight w:val="none"/>
        </w:rPr>
        <w:t xml:space="preserve">政府采购合同</w:t>
      </w:r>
      <w:r/>
    </w:p>
    <w:p>
      <w:pPr>
        <w:jc w:val="cente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jc w:val="cente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jc w:val="center"/>
        <w:spacing w:line="360" w:lineRule="auto"/>
        <w:rPr>
          <w:rFonts w:hint="default"/>
          <w:b/>
          <w:sz w:val="36"/>
          <w:szCs w:val="36"/>
          <w:highlight w:val="none"/>
          <w:lang w:val="en-US" w:eastAsia="zh-CN"/>
        </w:rPr>
        <w:outlineLvl w:val="0"/>
      </w:pPr>
      <w:r>
        <w:rPr>
          <w:rFonts w:hint="eastAsia"/>
          <w:b/>
          <w:sz w:val="36"/>
          <w:szCs w:val="36"/>
          <w:highlight w:val="none"/>
          <w:lang w:val="en-US" w:eastAsia="zh-CN"/>
        </w:rPr>
        <w:t xml:space="preserve">14标段</w:t>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t xml:space="preserve">（服务类）</w:t>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t xml:space="preserve">第一部分 合同书</w:t>
      </w:r>
      <w:r/>
    </w:p>
    <w:p>
      <w:pPr>
        <w:jc w:val="left"/>
        <w:spacing w:line="360" w:lineRule="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ind w:left="960"/>
        <w:jc w:val="left"/>
        <w:spacing w:before="12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p>
    <w:p>
      <w:pPr>
        <w:ind w:left="960"/>
        <w:jc w:val="left"/>
        <w:keepLines w:val="0"/>
        <w:keepNext w:val="0"/>
        <w:pageBreakBefore w:val="0"/>
        <w:spacing w:afterAutospacing="0" w:line="480" w:lineRule="auto"/>
        <w:widowControl/>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 xml:space="preserve">甲    方</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p>
    <w:p>
      <w:pPr>
        <w:ind w:left="960"/>
        <w:jc w:val="left"/>
        <w:keepLines w:val="0"/>
        <w:keepNext w:val="0"/>
        <w:pageBreakBefore w:val="0"/>
        <w:spacing w:afterAutospacing="0" w:line="48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乙    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p>
    <w:p>
      <w:pPr>
        <w:ind w:firstLine="960"/>
        <w:jc w:val="left"/>
        <w:keepLines w:val="0"/>
        <w:keepNext w:val="0"/>
        <w:pageBreakBefore w:val="0"/>
        <w:spacing w:afterAutospacing="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订</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地：</w:t>
      </w:r>
      <w:r>
        <w:rPr>
          <w:rFonts w:hint="eastAsia" w:ascii="宋体" w:hAnsi="宋体" w:cs="宋体"/>
          <w:sz w:val="24"/>
          <w:szCs w:val="24"/>
          <w:highlight w:val="none"/>
          <w:u w:val="single"/>
          <w:lang w:val="en-US" w:eastAsia="zh-CN"/>
        </w:rPr>
        <w:t xml:space="preserve">溧阳市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96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2026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spacing w:line="440" w:lineRule="exact"/>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r>
      <w:r/>
    </w:p>
    <w:p>
      <w:pPr>
        <w:ind w:firstLine="480"/>
        <w:pageBreakBefore w:val="0"/>
        <w:spacing w:line="360" w:lineRule="auto"/>
        <w:widowControl w:val="off"/>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000000"/>
          <w:sz w:val="24"/>
          <w:highlight w:val="none"/>
          <w:u w:val="single"/>
          <w:lang w:val="en-US" w:eastAsia="zh-CN"/>
        </w:rPr>
        <w:t xml:space="preserve">2026</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val="en-US" w:eastAsia="zh-CN"/>
        </w:rPr>
        <w:t xml:space="preserve"> 江苏省溧阳高新技术产业开发区国有资产管理中心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公开招标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项目</w:t>
      </w:r>
      <w:r>
        <w:rPr>
          <w:rFonts w:hint="eastAsia" w:ascii="宋体" w:hAnsi="宋体" w:cs="宋体"/>
          <w:color w:val="auto"/>
          <w:sz w:val="24"/>
          <w:highlight w:val="none"/>
        </w:rPr>
        <w:t xml:space="preserve">进行了采购。经评标委员会评审，确定</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成交</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供应商。现于</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通知书发出之日起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内，按照</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文件确定的事项签订本合同。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lang w:val="en-US" w:eastAsia="zh-CN"/>
        </w:rPr>
        <w:t xml:space="preserve"> 江苏省溧阳高新技术产业开发区国有资产管理中心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成交</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(以下简称：乙方)协商一致，约定以下合同条</w:t>
      </w:r>
      <w:r>
        <w:rPr>
          <w:rFonts w:hint="eastAsia" w:ascii="宋体" w:hAnsi="宋体" w:eastAsia="宋体" w:cs="宋体"/>
          <w:b w:val="0"/>
          <w:bCs w:val="0"/>
          <w:color w:val="000000"/>
          <w:sz w:val="24"/>
          <w:highlight w:val="none"/>
          <w:lang w:val="zh-CN"/>
        </w:rPr>
        <w:t xml:space="preserve">款，以兹共同遵守、全面履行。</w:t>
      </w:r>
      <w:r/>
    </w:p>
    <w:p>
      <w:pPr>
        <w:ind w:firstLine="482"/>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val="en-US" w:eastAsia="zh-CN"/>
        </w:rPr>
        <w:t xml:space="preserve">1.1 合同组成部分</w:t>
      </w:r>
      <w:r>
        <w:rPr>
          <w:rFonts w:hint="eastAsia" w:ascii="宋体" w:hAnsi="宋体" w:eastAsia="宋体" w:cs="宋体"/>
          <w:b w:val="0"/>
          <w:bCs w:val="0"/>
          <w:color w:val="000000"/>
          <w:sz w:val="24"/>
          <w:szCs w:val="24"/>
          <w:highlight w:val="none"/>
        </w:rPr>
        <w:t xml:space="preserve"> </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文件确定的事项的前提下，组成本合同的多个文件的优先适用顺序如下：</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本合同及其补充合同、变更协议；</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 中标通知书；</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 投标文件（含澄清或者说明文件）；</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 招标文件（含澄清或者修改文件）；</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 其他相关</w:t>
      </w:r>
      <w:r>
        <w:rPr>
          <w:rFonts w:hint="eastAsia" w:ascii="宋体" w:hAnsi="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w:t>
      </w:r>
      <w:r/>
    </w:p>
    <w:p>
      <w:pPr>
        <w:ind w:firstLine="482"/>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val="en-US" w:eastAsia="zh-CN"/>
        </w:rPr>
        <w:t xml:space="preserve">1.2 标的</w:t>
      </w:r>
      <w:r>
        <w:rPr>
          <w:rFonts w:hint="eastAsia" w:ascii="宋体" w:hAnsi="宋体" w:eastAsia="宋体" w:cs="宋体"/>
          <w:b w:val="0"/>
          <w:bCs w:val="0"/>
          <w:color w:val="000000"/>
          <w:sz w:val="24"/>
          <w:szCs w:val="24"/>
          <w:highlight w:val="none"/>
        </w:rPr>
        <w:t xml:space="preserve"> </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标的名称：</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 标的数量：</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1.2.3 标的质量：</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2"/>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val="en-US" w:eastAsia="zh-CN"/>
        </w:rPr>
        <w:t xml:space="preserve">1.3 价款</w:t>
      </w:r>
      <w:r>
        <w:rPr>
          <w:rFonts w:hint="eastAsia" w:ascii="宋体" w:hAnsi="宋体" w:eastAsia="宋体" w:cs="宋体"/>
          <w:b w:val="0"/>
          <w:bCs w:val="0"/>
          <w:color w:val="000000"/>
          <w:sz w:val="24"/>
          <w:szCs w:val="24"/>
          <w:highlight w:val="none"/>
        </w:rPr>
        <w:t xml:space="preserve">  </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本合同总价为：￥           元（大写：                 元人民币）。</w:t>
      </w:r>
      <w:r/>
    </w:p>
    <w:p>
      <w:pPr>
        <w:ind w:firstLine="480"/>
        <w:jc w:val="left"/>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分项价格：</w:t>
      </w:r>
      <w:r>
        <w:rPr>
          <w:rFonts w:hint="eastAsia" w:ascii="宋体" w:hAnsi="宋体" w:cs="宋体"/>
          <w:b w:val="0"/>
          <w:bCs w:val="0"/>
          <w:color w:val="000000"/>
          <w:sz w:val="24"/>
          <w:szCs w:val="24"/>
          <w:highlight w:val="none"/>
          <w:lang w:val="en-US" w:eastAsia="zh-CN"/>
        </w:rPr>
        <w:t xml:space="preserve">详见分项报价表</w:t>
      </w:r>
      <w:r/>
    </w:p>
    <w:p>
      <w:pPr>
        <w:ind w:firstLine="482"/>
        <w:jc w:val="left"/>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1.4 付款方式和发票开具方式</w:t>
      </w:r>
      <w:r/>
    </w:p>
    <w:p>
      <w:pPr>
        <w:ind w:firstLine="480"/>
        <w:jc w:val="left"/>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1.4.1</w:t>
      </w:r>
      <w:r>
        <w:rPr>
          <w:rFonts w:hint="eastAsia" w:ascii="宋体" w:hAnsi="宋体" w:eastAsia="宋体" w:cs="宋体"/>
          <w:b w:val="0"/>
          <w:bCs w:val="0"/>
          <w:color w:val="000000"/>
          <w:sz w:val="24"/>
          <w:szCs w:val="24"/>
          <w:highlight w:val="none"/>
        </w:rPr>
        <w:t xml:space="preserve">合同签订之日起至合同期满后一次性付清。</w:t>
      </w:r>
      <w:r>
        <w:rPr>
          <w:rFonts w:hint="eastAsia" w:ascii="宋体" w:hAnsi="宋体" w:cs="宋体"/>
          <w:b w:val="0"/>
          <w:bCs w:val="0"/>
          <w:color w:val="000000"/>
          <w:sz w:val="24"/>
          <w:szCs w:val="24"/>
          <w:highlight w:val="none"/>
          <w:lang w:val="en-US" w:eastAsia="zh-CN"/>
        </w:rPr>
        <w:t xml:space="preserve">   </w:t>
      </w:r>
      <w:r/>
    </w:p>
    <w:p>
      <w:pPr>
        <w:ind w:firstLine="480"/>
        <w:jc w:val="left"/>
        <w:keepLines/>
        <w:keepNext/>
        <w:pageBreakBefore w:val="0"/>
        <w:spacing w:before="0" w:after="0" w:line="360" w:lineRule="auto"/>
        <w:widowControl w:val="off"/>
        <w:rPr>
          <w:rFonts w:hint="default" w:ascii="宋体" w:hAnsi="Times New Roman" w:eastAsia="宋体" w:cs="Times New Roman"/>
          <w:b/>
          <w:sz w:val="24"/>
          <w:szCs w:val="20"/>
          <w:highlight w:val="none"/>
          <w:u w:val="single"/>
          <w:lang w:val="en-US" w:eastAsia="zh-CN" w:bidi="ar-SA"/>
        </w:rPr>
        <w:outlineLvl w:val="2"/>
      </w:pPr>
      <w:r>
        <w:rPr>
          <w:rFonts w:hint="eastAsia" w:ascii="宋体" w:hAnsi="宋体" w:eastAsia="宋体" w:cs="宋体"/>
          <w:b w:val="0"/>
          <w:bCs w:val="0"/>
          <w:color w:val="000000"/>
          <w:sz w:val="24"/>
          <w:szCs w:val="24"/>
          <w:highlight w:val="none"/>
          <w:u w:val="none"/>
          <w:lang w:val="en-US" w:eastAsia="zh-CN" w:bidi="ar-SA"/>
        </w:rPr>
        <w:t xml:space="preserve">1.4.2发票开具方式：中标人需向采购人开具正规的增值税专用发票。</w:t>
      </w:r>
      <w:r/>
    </w:p>
    <w:p>
      <w:pPr>
        <w:ind w:firstLine="482"/>
        <w:jc w:val="left"/>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 履行期限、地点和方式</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 履行地点：</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 履行方式：</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2"/>
        <w:jc w:val="left"/>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违约责任</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b w:val="0"/>
          <w:bCs w:val="0"/>
          <w:color w:val="000000"/>
          <w:sz w:val="24"/>
          <w:szCs w:val="24"/>
          <w:highlight w:val="none"/>
          <w:u w:val="single"/>
        </w:rPr>
        <w:t xml:space="preserve">  0.1  </w:t>
      </w:r>
      <w:r>
        <w:rPr>
          <w:rFonts w:hint="eastAsia" w:ascii="宋体" w:hAnsi="宋体" w:eastAsia="宋体" w:cs="宋体"/>
          <w:b w:val="0"/>
          <w:bCs w:val="0"/>
          <w:color w:val="000000"/>
          <w:sz w:val="24"/>
          <w:szCs w:val="24"/>
          <w:highlight w:val="none"/>
        </w:rPr>
        <w:t xml:space="preserve">%计算，最高限额为本合同总价的</w:t>
      </w:r>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5  </w:t>
      </w:r>
      <w:r>
        <w:rPr>
          <w:rFonts w:hint="eastAsia" w:ascii="宋体" w:hAnsi="宋体" w:eastAsia="宋体" w:cs="宋体"/>
          <w:b w:val="0"/>
          <w:bCs w:val="0"/>
          <w:color w:val="000000"/>
          <w:sz w:val="24"/>
          <w:szCs w:val="24"/>
          <w:highlight w:val="none"/>
        </w:rPr>
        <w:t xml:space="preserve">%；迟延履行的违约金计算数额达到前述最高限额之日起，甲方有权在要求乙方支付违约金的同时，书面通知乙方解除本合同；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1.6.2 除不可抗力外，如果甲方没有按照本合同约定的付款方式付款，那么乙方可要求甲方支付违约金，违约金按每迟延付款一日的应付而未付款的  0.1  %计算，最高限额为本合同总价的</w:t>
      </w:r>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5   </w:t>
      </w:r>
      <w:r>
        <w:rPr>
          <w:rFonts w:hint="eastAsia" w:ascii="宋体" w:hAnsi="宋体" w:eastAsia="宋体" w:cs="宋体"/>
          <w:b w:val="0"/>
          <w:bCs w:val="0"/>
          <w:color w:val="000000"/>
          <w:sz w:val="24"/>
          <w:szCs w:val="24"/>
          <w:highlight w:val="none"/>
        </w:rPr>
        <w:t xml:space="preserve">%；迟延付款的违约金计算数额达到前述最高限额之日起，乙方有权在要求甲方支付违约金的同时，书面通知甲方解除本合同；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1.7</w:t>
      </w:r>
      <w:r>
        <w:rPr>
          <w:rFonts w:hint="eastAsia" w:ascii="宋体" w:hAnsi="宋体" w:eastAsia="宋体" w:cs="宋体"/>
          <w:b/>
          <w:bCs/>
          <w:color w:val="000000"/>
          <w:sz w:val="24"/>
          <w:szCs w:val="24"/>
          <w:highlight w:val="none"/>
        </w:rPr>
        <w:t xml:space="preserve"> 合同争议的解决</w:t>
      </w:r>
      <w:r/>
    </w:p>
    <w:p>
      <w:pPr>
        <w:contextualSpacing/>
        <w:ind w:firstLine="48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种方式解决：</w:t>
      </w:r>
      <w:r/>
    </w:p>
    <w:p>
      <w:pPr>
        <w:contextualSpacing/>
        <w:ind w:firstLine="48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 将争议提交</w:t>
      </w:r>
      <w:r>
        <w:rPr>
          <w:rFonts w:hint="eastAsia" w:ascii="宋体" w:hAnsi="宋体" w:cs="宋体"/>
          <w:b w:val="0"/>
          <w:bCs w:val="0"/>
          <w:color w:val="000000"/>
          <w:sz w:val="24"/>
          <w:szCs w:val="24"/>
          <w:highlight w:val="none"/>
          <w:u w:val="single"/>
          <w:lang w:val="en-US" w:eastAsia="zh-CN"/>
        </w:rPr>
        <w:t xml:space="preserve"> 溧阳市 </w:t>
      </w:r>
      <w:r>
        <w:rPr>
          <w:rFonts w:hint="eastAsia" w:ascii="宋体" w:hAnsi="宋体" w:eastAsia="宋体" w:cs="宋体"/>
          <w:b w:val="0"/>
          <w:bCs w:val="0"/>
          <w:color w:val="000000"/>
          <w:sz w:val="24"/>
          <w:szCs w:val="24"/>
          <w:highlight w:val="none"/>
        </w:rPr>
        <w:t xml:space="preserve">仲裁委员会依申请仲裁时其现行有效的仲裁规则裁决；</w:t>
      </w:r>
      <w:r/>
    </w:p>
    <w:p>
      <w:pPr>
        <w:contextualSpacing/>
        <w:ind w:firstLine="48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val="0"/>
          <w:bCs w:val="0"/>
          <w:color w:val="000000"/>
          <w:sz w:val="24"/>
          <w:szCs w:val="24"/>
          <w:highlight w:val="none"/>
        </w:rPr>
        <w:t xml:space="preserve">1.7.2 向</w:t>
      </w:r>
      <w:r>
        <w:rPr>
          <w:rFonts w:hint="eastAsia" w:ascii="宋体" w:hAnsi="宋体" w:cs="宋体"/>
          <w:b w:val="0"/>
          <w:bCs w:val="0"/>
          <w:color w:val="000000"/>
          <w:sz w:val="24"/>
          <w:szCs w:val="24"/>
          <w:highlight w:val="none"/>
          <w:u w:val="single"/>
          <w:lang w:val="en-US" w:eastAsia="zh-CN"/>
        </w:rPr>
        <w:t xml:space="preserve"> 溧阳市 </w:t>
      </w:r>
      <w:r>
        <w:rPr>
          <w:rFonts w:hint="eastAsia" w:ascii="宋体" w:hAnsi="宋体" w:eastAsia="宋体" w:cs="宋体"/>
          <w:b w:val="0"/>
          <w:bCs w:val="0"/>
          <w:color w:val="000000"/>
          <w:sz w:val="24"/>
          <w:szCs w:val="24"/>
          <w:highlight w:val="none"/>
        </w:rPr>
        <w:t xml:space="preserve">人民法院起诉。</w:t>
      </w:r>
      <w:r/>
    </w:p>
    <w:p>
      <w:pPr>
        <w:ind w:firstLine="482"/>
        <w:jc w:val="left"/>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1.8 合同生效</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本合同自双方当事人盖章或者签字时生效。</w:t>
      </w:r>
      <w:r/>
    </w:p>
    <w:p>
      <w:pPr>
        <w:ind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签订合同代表：                    签订合同代表：</w:t>
      </w:r>
      <w:r/>
    </w:p>
    <w:p>
      <w:pPr>
        <w:ind w:left="5759" w:hanging="52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 </w:t>
      </w:r>
      <w:r/>
    </w:p>
    <w:p>
      <w:pPr>
        <w:ind w:left="5039" w:hanging="45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电话号码：</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电话号码：</w:t>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center"/>
        <w:keepLines/>
        <w:keepNext/>
        <w:pageBreakBefore w:val="0"/>
        <w:spacing w:before="0" w:after="0" w:line="360" w:lineRule="auto"/>
        <w:widowControl w:val="off"/>
        <w:rPr>
          <w:rFonts w:hint="eastAsia" w:ascii="宋体" w:hAnsi="宋体" w:eastAsia="宋体" w:cs="宋体"/>
          <w:b/>
          <w:bCs w:val="0"/>
          <w:sz w:val="24"/>
          <w:szCs w:val="24"/>
          <w:highlight w:val="none"/>
          <w:u w:val="none"/>
          <w:lang w:val="en-US" w:eastAsia="zh-CN" w:bidi="ar-SA"/>
        </w:rPr>
        <w:outlineLvl w:val="2"/>
      </w:pPr>
      <w:r>
        <w:rPr>
          <w:rFonts w:hint="eastAsia" w:ascii="宋体" w:hAnsi="宋体" w:eastAsia="宋体" w:cs="宋体"/>
          <w:b/>
          <w:bCs w:val="0"/>
          <w:sz w:val="24"/>
          <w:szCs w:val="24"/>
          <w:highlight w:val="none"/>
          <w:u w:val="none"/>
          <w:lang w:val="en-US" w:eastAsia="zh-CN" w:bidi="ar-SA"/>
        </w:rPr>
        <w:t xml:space="preserve">第二部分 合同一般条款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 定义</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本合同中的下列词语应按以下内容进行解释：</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2.1.1 “合同”系指采购人和中标供应商签订的载明双方当事人所达成的协议，并包括所有的附件、附录和构成合同的其他文件。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 “合同价”系指根据合同约定，中标供应商在完全履行合同义务后，采购人应支付给中标供应商的价格。</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 “服务”系指中标供应商根据合同约定应向采购人履行的除货物和工程以外的其他政府采购对象，包括采购人自身需要的服务和向社会公众提供的公共服务。</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 “甲方”系指与中标供应商签署合同的采购人；采购人委托采购代理机构代表其与乙方签订合同的，采购人的授权委托书作为合同附件。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2.1.6 “现场”系指合同约定提供服务的地点。</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2.2 技术规范</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服务所应遵守的技术规范应与</w:t>
      </w:r>
      <w:r>
        <w:rPr>
          <w:rFonts w:hint="eastAsia" w:ascii="宋体" w:hAnsi="宋体" w:cs="宋体"/>
          <w:b w:val="0"/>
          <w:bCs/>
          <w:sz w:val="24"/>
          <w:szCs w:val="24"/>
          <w:highlight w:val="none"/>
          <w:u w:val="none"/>
          <w:lang w:val="en-US" w:eastAsia="zh-CN" w:bidi="ar-SA"/>
        </w:rPr>
        <w:t xml:space="preserve">招标</w:t>
      </w:r>
      <w:r>
        <w:rPr>
          <w:rFonts w:hint="eastAsia" w:ascii="宋体" w:hAnsi="宋体" w:eastAsia="宋体" w:cs="宋体"/>
          <w:b w:val="0"/>
          <w:bCs/>
          <w:sz w:val="24"/>
          <w:szCs w:val="24"/>
          <w:highlight w:val="none"/>
          <w:u w:val="none"/>
          <w:lang w:val="en-US" w:eastAsia="zh-CN" w:bidi="ar-SA"/>
        </w:rPr>
        <w:t xml:space="preserve">文件规定的技术规范和技术规范附件(如果有的话)及其技术规范偏差表(如果被甲方接受的话)相一致；如果</w:t>
      </w:r>
      <w:r>
        <w:rPr>
          <w:rFonts w:hint="eastAsia" w:ascii="宋体" w:hAnsi="宋体" w:cs="宋体"/>
          <w:b w:val="0"/>
          <w:bCs/>
          <w:sz w:val="24"/>
          <w:szCs w:val="24"/>
          <w:highlight w:val="none"/>
          <w:u w:val="none"/>
          <w:lang w:val="en-US" w:eastAsia="zh-CN" w:bidi="ar-SA"/>
        </w:rPr>
        <w:t xml:space="preserve">招标</w:t>
      </w:r>
      <w:r>
        <w:rPr>
          <w:rFonts w:hint="eastAsia" w:ascii="宋体" w:hAnsi="宋体" w:eastAsia="宋体" w:cs="宋体"/>
          <w:b w:val="0"/>
          <w:bCs/>
          <w:sz w:val="24"/>
          <w:szCs w:val="24"/>
          <w:highlight w:val="none"/>
          <w:u w:val="none"/>
          <w:lang w:val="en-US" w:eastAsia="zh-CN" w:bidi="ar-SA"/>
        </w:rPr>
        <w:t xml:space="preserve">文件中没有技术规范的相应说明，那么应以国家有关部门最新颁布的相应标准和规范为准。</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2.3 知识产权</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2.3.2 合同涉及技术成果的归属和收益的分成办法的，详见合同专用条款。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2.4 履约检查和问题反馈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2.4.2 合同履行期间，甲方有权将履行过程中出现的问题反馈给乙方，双方当事人应以书面形式约定需要完善和改进的内容。</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2.5 结算方式和付款条件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详见合同专用条款。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 技术资料和保密义务</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2.6.1 乙方有权依据合同约定和项目需要，向甲方了解有关情况，调阅有关资料等，甲方应予积极配合；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2.6.2 乙方有义务妥善保管和保护由甲方提供的前款信息和资料等；</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2.7 质量保证</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2.7.1 乙方应建立和完善履行合同的内部质量保证体系，并提供相关内部规章制度给甲方，以便甲方进行监督检查；</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2.7.2 乙方应保证履行合同的人员数量和素质、软件和硬件设备的配置、场地、环境和设施等满足全面履行合同的要求，并应接受甲方的监督检查。</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2.8 延迟履行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 不可抗力</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2.9.1如果任何一方遭遇法律规定的不可抗力，致使合同履行受阻时，履行合同的期限应予延长，延长的期限应相当于不可抗力所影响的时间；</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2.9.2 因不可抗力致使不能实现合同目的的，当事人可以解除合同；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2.9.3 因不可抗力致使合同有变更必要的，双方当事人应在合同专用条款约定时间内以书面形式变更合同；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2.9.4受不可抗力影响的一方在不可抗力发生后，应在合同专用条款约定时间内以书面形式通知对方当事人，并在合同专用条款约定时间内，将有关部门出具的证明文件送达对方当事人。</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2.10 税费</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与合同有关的一切税费，均按照中华人民共和国法律的相关规定缴纳。</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2.11 乙方破产</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 合同中止、终止</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2.12.1 双方当事人不得擅自中止或者终止合同；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2.12.2合同继续履行将损害国家利益和社会公共利益的，双方当事人应当中止或者终止合同。有过错的一方应当承担赔偿责任，双方当事人都有过错的，各自承担相应的责任。</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 检验和验收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2.13.1 乙方按照合同专用条款的约定，定期提交服务报告，甲方按照合同专用条款的约定进行定期验收；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2.13.3 检验和验收标准、程序等具体内容以及前述验收书的效力详见合同专用条款。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 通知和送达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2.14.1 任何一方因履行合同而以合同第一部分尾部所列明的</w:t>
      </w:r>
      <w:r>
        <w:rPr>
          <w:rFonts w:hint="eastAsia" w:ascii="宋体" w:hAnsi="宋体" w:eastAsia="宋体" w:cs="宋体"/>
          <w:b w:val="0"/>
          <w:bCs/>
          <w:sz w:val="24"/>
          <w:szCs w:val="24"/>
          <w:highlight w:val="none"/>
          <w:u w:val="single"/>
          <w:lang w:val="en-US" w:eastAsia="zh-CN" w:bidi="ar-SA"/>
        </w:rPr>
        <w:t xml:space="preserve">          </w:t>
      </w:r>
      <w:r>
        <w:rPr>
          <w:rFonts w:hint="eastAsia" w:ascii="宋体" w:hAnsi="宋体" w:eastAsia="宋体" w:cs="宋体"/>
          <w:b w:val="0"/>
          <w:bCs/>
          <w:sz w:val="24"/>
          <w:szCs w:val="24"/>
          <w:highlight w:val="none"/>
          <w:u w:val="none"/>
          <w:lang w:val="en-US" w:eastAsia="zh-CN" w:bidi="ar-SA"/>
        </w:rPr>
        <w:t xml:space="preserve">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2.14.2以当面交付方式送达的，交付之时视为送达；以电子邮件方式送达的，发出电子邮件之时视为送达；以传真方式送达的，发出传真之时视为送达；以邮寄方式送达的，邮件挂号寄出或者交邮之日之次日视为送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 合同使用的文字和适用的法律</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2.15.1 合同使用汉语书就、变更和解释；</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2.15.2 合同适用中华人民共和国法律。</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2.16 合同份数</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合同份数按合同专用条款规定，每份均具有同等法律效力。</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r>
      <w:r/>
    </w:p>
    <w:p>
      <w:pPr>
        <w:jc w:val="center"/>
        <w:keepLines/>
        <w:keepNext/>
        <w:pageBreakBefore w:val="0"/>
        <w:spacing w:before="0" w:after="0" w:line="360" w:lineRule="auto"/>
        <w:widowControl w:val="off"/>
        <w:rPr>
          <w:rFonts w:hint="eastAsia" w:ascii="宋体" w:hAnsi="宋体" w:eastAsia="宋体" w:cs="宋体"/>
          <w:b/>
          <w:bCs w:val="0"/>
          <w:sz w:val="24"/>
          <w:szCs w:val="24"/>
          <w:highlight w:val="none"/>
          <w:u w:val="none"/>
          <w:lang w:val="en-US" w:eastAsia="zh-CN" w:bidi="ar-SA"/>
        </w:rPr>
        <w:outlineLvl w:val="2"/>
      </w:pPr>
      <w:r>
        <w:rPr>
          <w:rFonts w:hint="eastAsia" w:ascii="宋体" w:hAnsi="宋体" w:eastAsia="宋体" w:cs="宋体"/>
          <w:b/>
          <w:bCs w:val="0"/>
          <w:sz w:val="24"/>
          <w:szCs w:val="24"/>
          <w:highlight w:val="none"/>
          <w:u w:val="none"/>
          <w:lang w:val="en-US" w:eastAsia="zh-CN" w:bidi="ar-SA"/>
        </w:rPr>
        <w:t xml:space="preserve">第三部分  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p>
      <w:pPr>
        <w:rPr>
          <w:rFonts w:hint="eastAsia" w:ascii="宋体" w:hAnsi="宋体" w:eastAsia="宋体" w:cs="宋体"/>
          <w:b w:val="0"/>
          <w:bCs/>
          <w:sz w:val="24"/>
          <w:szCs w:val="24"/>
          <w:highlight w:val="none"/>
          <w:u w:val="none"/>
        </w:rPr>
      </w:pPr>
      <w:r>
        <w:rPr>
          <w:rFonts w:hint="eastAsia" w:ascii="宋体" w:hAnsi="宋体" w:eastAsia="宋体" w:cs="宋体"/>
          <w:b w:val="0"/>
          <w:bCs/>
          <w:sz w:val="24"/>
          <w:szCs w:val="24"/>
          <w:highlight w:val="none"/>
          <w:u w:val="none"/>
        </w:rPr>
      </w:r>
      <w:r/>
    </w:p>
    <w:tbl>
      <w:tblPr>
        <w:tblStyle w:val="783"/>
        <w:tblW w:w="8430" w:type="dxa"/>
        <w:tblInd w:w="8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29"/>
      </w:tblGrid>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center"/>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条款号</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center"/>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约定内容</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88" w:lineRule="atLeast"/>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3.1</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88" w:lineRule="atLeas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本项目服务期限为自合同签订之日起一年，采购人指定地点</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3.2</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本项目为固定总价合同，超出服务清单工作量按合同总价结算，未完成服务清单工作量按实结算</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3.3</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份，甲方执</w:t>
            </w:r>
            <w:r>
              <w:rPr>
                <w:rFonts w:hint="eastAsia" w:ascii="宋体" w:hAnsi="宋体" w:eastAsia="宋体" w:cs="宋体"/>
                <w:sz w:val="24"/>
                <w:highlight w:val="none"/>
                <w:lang w:val="en-US" w:eastAsia="zh-CN"/>
              </w:rPr>
              <w:t xml:space="preserve">贰</w:t>
            </w:r>
            <w:r>
              <w:rPr>
                <w:rFonts w:hint="eastAsia" w:ascii="宋体" w:hAnsi="宋体" w:eastAsia="宋体" w:cs="宋体"/>
                <w:sz w:val="24"/>
                <w:highlight w:val="none"/>
              </w:rPr>
              <w:t xml:space="preserve">份，乙方执</w:t>
            </w:r>
            <w:r>
              <w:rPr>
                <w:rFonts w:hint="eastAsia" w:ascii="宋体" w:hAnsi="宋体" w:eastAsia="宋体" w:cs="宋体"/>
                <w:sz w:val="24"/>
                <w:highlight w:val="none"/>
                <w:lang w:val="en-US" w:eastAsia="zh-CN"/>
              </w:rPr>
              <w:t xml:space="preserve">贰</w:t>
            </w:r>
            <w:r>
              <w:rPr>
                <w:rFonts w:hint="eastAsia" w:ascii="宋体" w:hAnsi="宋体" w:eastAsia="宋体" w:cs="宋体"/>
                <w:sz w:val="24"/>
                <w:highlight w:val="none"/>
              </w:rPr>
              <w:t xml:space="preserve">份，具有同等法律效力。</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65"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65"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bl>
    <w:p>
      <w:pPr>
        <w:rPr>
          <w:rFonts w:hint="eastAsia"/>
          <w:highlight w:val="none"/>
        </w:rPr>
      </w:pPr>
      <w:r>
        <w:rPr>
          <w:rFonts w:hint="eastAsia"/>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spacing w:line="360" w:lineRule="auto"/>
        <w:rPr>
          <w:rFonts w:hint="eastAsia"/>
          <w:b/>
          <w:sz w:val="36"/>
          <w:szCs w:val="36"/>
          <w:highlight w:val="none"/>
        </w:rPr>
        <w:outlineLvl w:val="0"/>
      </w:pPr>
      <w:r>
        <w:rPr>
          <w:rFonts w:hint="eastAsia"/>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第七章   投标文件格式</w:t>
      </w:r>
      <w:bookmarkEnd w:id="686"/>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b/>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eastAsia="宋体" w:cs="Times New Roman"/>
          <w:b/>
          <w:sz w:val="24"/>
          <w:highlight w:val="none"/>
        </w:rPr>
        <w:t xml:space="preserve">投标无效</w:t>
      </w:r>
      <w:r>
        <w:rPr>
          <w:rFonts w:ascii="Times New Roman" w:hAnsi="Times New Roman" w:eastAsia="宋体" w:cs="Times New Roman"/>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ascii="Times New Roman" w:hAnsi="Times New Roman" w:eastAsia="宋体" w:cs="Times New Roman"/>
          <w:sz w:val="24"/>
          <w:highlight w:val="none"/>
        </w:rPr>
        <w:t xml:space="preserve">4、实行电子化不见面交易方式的，加盖公章、签名等均通过</w:t>
      </w:r>
      <w:r>
        <w:rPr>
          <w:rFonts w:ascii="Times New Roman" w:hAnsi="Times New Roman" w:eastAsia="宋体" w:cs="Times New Roman"/>
          <w:sz w:val="24"/>
          <w:highlight w:val="none"/>
        </w:rPr>
        <w:t xml:space="preserve">投标文件编制工具</w:t>
      </w:r>
      <w:r>
        <w:rPr>
          <w:rFonts w:hint="eastAsia" w:ascii="Times New Roman" w:hAnsi="Times New Roman" w:eastAsia="宋体" w:cs="Times New Roman"/>
          <w:sz w:val="24"/>
          <w:highlight w:val="none"/>
        </w:rPr>
        <w:t xml:space="preserve">加盖电子公章、</w:t>
      </w:r>
      <w:r>
        <w:rPr>
          <w:rFonts w:ascii="宋体" w:hAnsi="宋体" w:eastAsia="宋体" w:cs="Times New Roman"/>
          <w:color w:val="000000"/>
          <w:sz w:val="24"/>
          <w:szCs w:val="20"/>
          <w:highlight w:val="none"/>
        </w:rPr>
        <w:t xml:space="preserve">签字</w:t>
      </w:r>
      <w:r>
        <w:rPr>
          <w:rFonts w:hint="eastAsia" w:ascii="宋体" w:hAnsi="宋体" w:eastAsia="宋体" w:cs="Times New Roman"/>
          <w:color w:val="000000"/>
          <w:sz w:val="24"/>
          <w:szCs w:val="20"/>
          <w:highlight w:val="none"/>
        </w:rPr>
        <w:t xml:space="preserve">、签章</w:t>
      </w:r>
      <w:r>
        <w:rPr>
          <w:rFonts w:ascii="宋体" w:hAnsi="宋体" w:eastAsia="宋体" w:cs="Times New Roman"/>
          <w:color w:val="000000"/>
          <w:sz w:val="24"/>
          <w:szCs w:val="20"/>
          <w:highlight w:val="none"/>
        </w:rPr>
        <w:t xml:space="preserve">或</w:t>
      </w:r>
      <w:r>
        <w:rPr>
          <w:rFonts w:hint="eastAsia" w:ascii="宋体" w:hAnsi="宋体" w:eastAsia="宋体" w:cs="Times New Roman"/>
          <w:color w:val="000000"/>
          <w:sz w:val="24"/>
          <w:szCs w:val="20"/>
          <w:highlight w:val="none"/>
        </w:rPr>
        <w:t xml:space="preserve">印鉴</w:t>
      </w:r>
      <w:r>
        <w:rPr>
          <w:rFonts w:hint="eastAsia" w:ascii="Times New Roman" w:hAnsi="Times New Roman" w:eastAsia="宋体" w:cs="Times New Roman"/>
          <w:sz w:val="24"/>
          <w:highlight w:val="none"/>
        </w:rPr>
        <w:t xml:space="preserve">。</w:t>
      </w:r>
      <w:r/>
    </w:p>
    <w:p>
      <w:pPr>
        <w:jc w:val="left"/>
        <w:widowControl/>
        <w:rPr>
          <w:sz w:val="24"/>
          <w:highlight w:val="none"/>
        </w:rPr>
      </w:pPr>
      <w:r>
        <w:rPr>
          <w:sz w:val="24"/>
          <w:highlight w:val="none"/>
        </w:rPr>
        <w:br w:type="page" w:clear="all"/>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w:t>
      </w:r>
      <w:r>
        <w:rPr>
          <w:rFonts w:hint="eastAsia" w:ascii="宋体" w:hAnsi="宋体"/>
          <w:b/>
          <w:sz w:val="36"/>
          <w:highlight w:val="none"/>
          <w:lang w:val="en-US" w:eastAsia="zh-CN"/>
        </w:rPr>
        <w:t xml:space="preserve">人</w:t>
      </w:r>
      <w:r>
        <w:rPr>
          <w:rFonts w:hint="eastAsia" w:ascii="宋体" w:hAnsi="宋体"/>
          <w:b/>
          <w:sz w:val="36"/>
          <w:highlight w:val="none"/>
        </w:rPr>
        <w:t xml:space="preserve">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993"/>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w:t>
      </w:r>
      <w:r>
        <w:rPr>
          <w:rFonts w:hint="eastAsia" w:ascii="Times New Roman"/>
          <w:b w:val="0"/>
          <w:highlight w:val="none"/>
          <w:u w:val="none"/>
        </w:rPr>
        <w:t xml:space="preserve">投标</w:t>
      </w:r>
      <w:r>
        <w:rPr>
          <w:rFonts w:hint="eastAsia" w:ascii="Times New Roman"/>
          <w:b w:val="0"/>
          <w:highlight w:val="none"/>
          <w:u w:val="none"/>
          <w:lang w:val="en-US" w:eastAsia="zh-CN"/>
        </w:rPr>
        <w:t xml:space="preserve">人</w:t>
      </w:r>
      <w:r>
        <w:rPr>
          <w:rFonts w:ascii="Times New Roman"/>
          <w:b w:val="0"/>
          <w:highlight w:val="none"/>
          <w:u w:val="none"/>
        </w:rPr>
        <w:t xml:space="preserve">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w:t>
      </w:r>
      <w:r>
        <w:rPr>
          <w:rFonts w:hint="eastAsia" w:ascii="宋体" w:hAnsi="宋体" w:cs="宋体"/>
          <w:b/>
          <w:sz w:val="28"/>
          <w:szCs w:val="28"/>
          <w:highlight w:val="none"/>
          <w:lang w:val="en-US" w:eastAsia="zh-CN"/>
        </w:rPr>
        <w:t xml:space="preserve">人</w:t>
      </w:r>
      <w:r>
        <w:rPr>
          <w:rFonts w:hint="eastAsia" w:ascii="宋体" w:hAnsi="宋体" w:cs="宋体"/>
          <w:b/>
          <w:sz w:val="28"/>
          <w:szCs w:val="28"/>
          <w:highlight w:val="none"/>
        </w:rPr>
        <w:t xml:space="preserve">资格声明函</w:t>
      </w:r>
      <w:r/>
    </w:p>
    <w:p>
      <w:pPr>
        <w:pStyle w:val="992"/>
        <w:ind w:firstLine="480"/>
        <w:spacing w:line="460" w:lineRule="exact"/>
        <w:rPr>
          <w:highlight w:val="none"/>
        </w:rPr>
      </w:pPr>
      <w:r>
        <w:rPr>
          <w:highlight w:val="none"/>
        </w:rPr>
      </w:r>
      <w:r/>
    </w:p>
    <w:p>
      <w:pPr>
        <w:pStyle w:val="992"/>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rFonts w:hint="eastAsia"/>
          <w:highlight w:val="none"/>
        </w:rPr>
        <w:t xml:space="preserve">按照《中华人民共和国政府采购法》第二十二条和</w:t>
      </w:r>
      <w:r>
        <w:rPr>
          <w:rFonts w:hint="eastAsia"/>
          <w:highlight w:val="none"/>
          <w:lang w:val="en-US" w:eastAsia="zh-CN"/>
        </w:rPr>
        <w:t xml:space="preserve">招标</w:t>
      </w:r>
      <w:r>
        <w:rPr>
          <w:rFonts w:hint="eastAsia"/>
          <w:highlight w:val="none"/>
        </w:rPr>
        <w:t xml:space="preserve">文件的规定，我单位郑重声明如下：</w:t>
      </w:r>
      <w:r/>
    </w:p>
    <w:p>
      <w:pPr>
        <w:pStyle w:val="992"/>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p>
    <w:p>
      <w:pPr>
        <w:pStyle w:val="992"/>
        <w:ind w:firstLine="480"/>
        <w:spacing w:line="460" w:lineRule="exact"/>
        <w:rPr>
          <w:highlight w:val="none"/>
        </w:rPr>
      </w:pPr>
      <w:r>
        <w:rPr>
          <w:rFonts w:hint="eastAsia"/>
          <w:highlight w:val="none"/>
        </w:rPr>
        <w:t xml:space="preserve">二、我单位具有良好的商业信誉（指投标</w:t>
      </w:r>
      <w:r>
        <w:rPr>
          <w:rFonts w:hint="eastAsia"/>
          <w:highlight w:val="none"/>
          <w:lang w:val="en-US" w:eastAsia="zh-CN"/>
        </w:rPr>
        <w:t xml:space="preserve">人</w:t>
      </w:r>
      <w:r>
        <w:rPr>
          <w:rFonts w:hint="eastAsia"/>
          <w:highlight w:val="none"/>
        </w:rPr>
        <w:t xml:space="preserve">经营状况良好，无本资格声明第十条情形）和健全的财务会计制度。</w:t>
      </w:r>
      <w:r/>
    </w:p>
    <w:p>
      <w:pPr>
        <w:pStyle w:val="992"/>
        <w:ind w:firstLine="480"/>
        <w:spacing w:line="460" w:lineRule="exact"/>
        <w:rPr>
          <w:highlight w:val="none"/>
        </w:rPr>
      </w:pPr>
      <w:r>
        <w:rPr>
          <w:rFonts w:hint="eastAsia"/>
          <w:highlight w:val="none"/>
        </w:rPr>
        <w:t xml:space="preserve">三、我单位依法进行纳税和社会保险申报并实际履行了义务。</w:t>
      </w:r>
      <w:r/>
    </w:p>
    <w:p>
      <w:pPr>
        <w:pStyle w:val="992"/>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92"/>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92"/>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92"/>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2"/>
        <w:ind w:firstLine="480"/>
        <w:spacing w:line="460" w:lineRule="exact"/>
        <w:rPr>
          <w:highlight w:val="none"/>
        </w:rPr>
      </w:pPr>
      <w:r>
        <w:rPr>
          <w:rFonts w:hint="eastAsia"/>
          <w:highlight w:val="none"/>
        </w:rPr>
        <w:t xml:space="preserve">六、我单位具备法律、行政法规规定的其他条件。</w:t>
      </w:r>
      <w:r/>
    </w:p>
    <w:p>
      <w:pPr>
        <w:pStyle w:val="992"/>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992"/>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92"/>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92"/>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92"/>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w:t>
      </w:r>
      <w:r>
        <w:rPr>
          <w:rFonts w:hint="eastAsia"/>
          <w:highlight w:val="none"/>
        </w:rPr>
        <w:t xml:space="preserve">投标</w:t>
      </w:r>
      <w:r>
        <w:rPr>
          <w:rFonts w:hint="eastAsia"/>
          <w:highlight w:val="none"/>
          <w:lang w:val="en-US" w:eastAsia="zh-CN"/>
        </w:rPr>
        <w:t xml:space="preserve">人</w:t>
      </w:r>
      <w:r>
        <w:rPr>
          <w:highlight w:val="none"/>
        </w:rPr>
        <w:t xml:space="preserve">。</w:t>
      </w:r>
      <w:r/>
    </w:p>
    <w:p>
      <w:pPr>
        <w:pStyle w:val="992"/>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992"/>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92"/>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92"/>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rFonts w:hint="eastAsia"/>
          <w:highlight w:val="none"/>
        </w:rPr>
        <w:t xml:space="preserve">                                 投标</w:t>
      </w:r>
      <w:r>
        <w:rPr>
          <w:rFonts w:hint="eastAsia"/>
          <w:highlight w:val="none"/>
          <w:lang w:val="en-US" w:eastAsia="zh-CN"/>
        </w:rPr>
        <w:t xml:space="preserve">人</w:t>
      </w:r>
      <w:r>
        <w:rPr>
          <w:rFonts w:hint="eastAsia"/>
          <w:highlight w:val="none"/>
        </w:rPr>
        <w:t xml:space="preserve">：（加盖公章）</w:t>
      </w:r>
      <w:r/>
    </w:p>
    <w:p>
      <w:pPr>
        <w:pStyle w:val="992"/>
        <w:ind w:firstLine="480"/>
        <w:spacing w:line="460" w:lineRule="exact"/>
        <w:rPr>
          <w:highlight w:val="none"/>
        </w:rPr>
      </w:pPr>
      <w:r>
        <w:rPr>
          <w:rFonts w:hint="eastAsia"/>
          <w:highlight w:val="none"/>
        </w:rPr>
        <w:t xml:space="preserve">                                 法定代表人（或单位负责人）签字或盖章：</w:t>
      </w:r>
      <w:r/>
    </w:p>
    <w:p>
      <w:pPr>
        <w:pStyle w:val="992"/>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134" w:header="851" w:footer="851" w:gutter="0"/>
          <w:cols w:num="1" w:sep="0" w:space="720"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w:t>
      </w:r>
      <w:r/>
    </w:p>
    <w:p>
      <w:pPr>
        <w:spacing w:line="360" w:lineRule="auto"/>
        <w:rPr>
          <w:sz w:val="24"/>
          <w:szCs w:val="20"/>
          <w:highlight w:val="none"/>
        </w:rPr>
        <w:outlineLvl w:val="2"/>
      </w:pPr>
      <w:r>
        <w:rPr>
          <w:sz w:val="24"/>
          <w:szCs w:val="20"/>
          <w:highlight w:val="none"/>
        </w:rPr>
        <w:t xml:space="preserve">2-1中小企业声明函</w:t>
      </w:r>
      <w:r>
        <w:rPr>
          <w:b/>
          <w:bCs/>
          <w:highlight w:val="none"/>
        </w:rPr>
        <w:t xml:space="preserve">（实质性格式）</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（1）本项目专门面向中小企业采购，须提供《中小企业声明函》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rFonts w:hint="eastAsia"/>
          <w:sz w:val="24"/>
          <w:highlight w:val="none"/>
        </w:rPr>
        <w:t xml:space="preserve">（2）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spacing w:line="360" w:lineRule="auto"/>
        <w:rPr>
          <w:sz w:val="24"/>
          <w:highlight w:val="none"/>
        </w:rPr>
      </w:pPr>
      <w:r>
        <w:rPr>
          <w:sz w:val="24"/>
          <w:highlight w:val="none"/>
        </w:rPr>
      </w:r>
      <w:r/>
    </w:p>
    <w:p>
      <w:pPr>
        <w:jc w:val="center"/>
        <w:spacing w:before="240" w:after="240" w:line="360" w:lineRule="auto"/>
        <w:rPr>
          <w:b/>
          <w:bCs/>
          <w:sz w:val="36"/>
          <w:szCs w:val="36"/>
          <w:highlight w:val="none"/>
        </w:rPr>
      </w:pPr>
      <w:r>
        <w:rPr>
          <w:sz w:val="24"/>
          <w:highlight w:val="none"/>
        </w:rPr>
        <w:br w:type="page" w:clear="all"/>
      </w:r>
      <w:r>
        <w:rPr>
          <w:rFonts w:hint="eastAsia"/>
          <w:b/>
          <w:bCs/>
          <w:sz w:val="36"/>
          <w:szCs w:val="36"/>
          <w:highlight w:val="none"/>
        </w:rPr>
        <w:t xml:space="preserve">中小企业声明函（服务）格式</w:t>
      </w:r>
      <w:r/>
    </w:p>
    <w:p>
      <w:pPr>
        <w:ind w:firstLine="48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本公司（联合体）郑重申明,根据《政府采购促进中小企业发展管理办法》（财库【2020】46号）的规定，本公司（联合体）参加</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（采购单位名称）的</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hint="default" w:ascii="宋体" w:hAnsi="宋体" w:eastAsia="宋体" w:cs="楷体"/>
          <w:sz w:val="24"/>
          <w:szCs w:val="24"/>
          <w:highlight w:val="none"/>
          <w:u w:val="single"/>
        </w:rPr>
        <w:t xml:space="preserve">     </w:t>
      </w:r>
      <w:r>
        <w:rPr>
          <w:rFonts w:hint="default"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hint="default" w:ascii="宋体" w:hAnsi="宋体" w:eastAsia="宋体" w:cs="楷体"/>
          <w:sz w:val="24"/>
          <w:szCs w:val="24"/>
          <w:highlight w:val="none"/>
          <w:u w:val="single"/>
        </w:rPr>
        <w:t xml:space="preserve">     </w:t>
      </w:r>
      <w:r>
        <w:rPr>
          <w:rFonts w:hint="default"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highlight w:val="none"/>
        </w:rPr>
      </w:pPr>
      <w:r>
        <w:rPr>
          <w:rFonts w:hint="default" w:ascii="宋体" w:hAnsi="宋体" w:eastAsia="宋体" w:cs="楷体"/>
          <w:sz w:val="24"/>
          <w:szCs w:val="24"/>
          <w:highlight w:val="none"/>
        </w:rPr>
      </w:r>
      <w:r/>
    </w:p>
    <w:p>
      <w:pPr>
        <w:ind w:firstLine="480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供应商(盖章)：</w:t>
      </w:r>
      <w:r/>
    </w:p>
    <w:p>
      <w:pPr>
        <w:ind w:firstLine="480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日期：年 月 日</w:t>
      </w:r>
      <w:r/>
    </w:p>
    <w:p>
      <w:pPr>
        <w:spacing w:before="120" w:line="440" w:lineRule="exact"/>
        <w:tabs>
          <w:tab w:val="left" w:pos="567" w:leader="none"/>
        </w:tabs>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spacing w:before="120" w:line="440" w:lineRule="exact"/>
        <w:tabs>
          <w:tab w:val="left" w:pos="567" w:leader="none"/>
        </w:tabs>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spacing w:before="120" w:line="440" w:lineRule="exact"/>
        <w:tabs>
          <w:tab w:val="left" w:pos="567" w:leader="none"/>
        </w:tabs>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注：1、从业人员、营业收入和资产总额填报上一年度数据，无上一年度数据的新成立企业可不填报。</w:t>
      </w:r>
      <w:r/>
    </w:p>
    <w:p>
      <w:pPr>
        <w:jc w:val="left"/>
        <w:rPr>
          <w:sz w:val="24"/>
          <w:szCs w:val="21"/>
          <w:highlight w:val="none"/>
        </w:rPr>
      </w:pPr>
      <w:r>
        <w:rPr>
          <w:rFonts w:hint="eastAsia" w:ascii="宋体" w:hAnsi="宋体" w:eastAsia="宋体" w:cs="楷体"/>
          <w:sz w:val="24"/>
          <w:szCs w:val="24"/>
          <w:highlight w:val="none"/>
        </w:rPr>
        <w:t xml:space="preserve">2、中小企业划型标准规定参考《工信部联企业[2011]300号》</w:t>
      </w:r>
      <w:r/>
    </w:p>
    <w:p>
      <w:pPr>
        <w:jc w:val="left"/>
        <w:rPr>
          <w:sz w:val="24"/>
          <w:szCs w:val="21"/>
          <w:highlight w:val="none"/>
        </w:rPr>
      </w:pPr>
      <w:r>
        <w:rPr>
          <w:sz w:val="24"/>
          <w:szCs w:val="21"/>
          <w:highlight w:val="none"/>
        </w:rPr>
      </w:r>
      <w:r/>
    </w:p>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jc w:val="center"/>
        <w:spacing w:before="240" w:after="240" w:line="360" w:lineRule="auto"/>
        <w:rPr>
          <w:b/>
          <w:sz w:val="36"/>
          <w:szCs w:val="36"/>
          <w:highlight w:val="none"/>
        </w:rPr>
      </w:pPr>
      <w:r>
        <w:rPr>
          <w:rFonts w:hint="eastAsia"/>
          <w:b/>
          <w:bCs/>
          <w:sz w:val="36"/>
          <w:szCs w:val="36"/>
          <w:highlight w:val="none"/>
        </w:rPr>
        <w:t xml:space="preserve">残疾人福利性单位声明函格式</w:t>
      </w:r>
      <w:r>
        <w:rPr>
          <w:b/>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且本单位参加______单位的______项目采购活动由本单位提供服务。</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spacing w:line="360" w:lineRule="auto"/>
        <w:tabs>
          <w:tab w:val="left" w:pos="8280" w:leader="none"/>
        </w:tabs>
        <w:rPr>
          <w:sz w:val="24"/>
          <w:highlight w:val="none"/>
        </w:rPr>
        <w:sectPr>
          <w:headerReference w:type="even" r:id="rId10"/>
          <w:headerReference w:type="first" r:id="rId11"/>
          <w:footerReference w:type="even" r:id="rId16"/>
          <w:footerReference w:type="first" r:id="rId17"/>
          <w:footnotePr/>
          <w:endnotePr/>
          <w:type w:val="nextPage"/>
          <w:pgSz w:w="11907" w:h="16840" w:orient="portrait"/>
          <w:pgMar w:top="1418" w:right="1134" w:bottom="1418" w:left="1134" w:header="851" w:footer="851" w:gutter="0"/>
          <w:cols w:num="1" w:sep="0" w:space="720" w:equalWidth="1"/>
          <w:docGrid w:linePitch="360"/>
        </w:sectPr>
      </w:pPr>
      <w:r>
        <w:rPr>
          <w:sz w:val="24"/>
          <w:highlight w:val="none"/>
        </w:rPr>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ind w:left="719" w:hanging="240"/>
        <w:spacing w:line="360" w:lineRule="auto"/>
        <w:rPr>
          <w:sz w:val="24"/>
          <w:szCs w:val="20"/>
          <w:highlight w:val="none"/>
        </w:rPr>
      </w:pPr>
      <w:r>
        <w:rPr>
          <w:sz w:val="24"/>
          <w:szCs w:val="20"/>
          <w:highlight w:val="none"/>
        </w:rPr>
        <w:t xml:space="preserve">3-</w:t>
      </w:r>
      <w:r>
        <w:rPr>
          <w:rFonts w:hint="eastAsia"/>
          <w:sz w:val="24"/>
          <w:szCs w:val="20"/>
          <w:highlight w:val="none"/>
        </w:rPr>
        <w:t xml:space="preserve">3</w:t>
      </w:r>
      <w:r>
        <w:rPr>
          <w:sz w:val="24"/>
          <w:szCs w:val="20"/>
          <w:highlight w:val="none"/>
        </w:rPr>
        <w:t xml:space="preserve">其他特定资格要求</w:t>
      </w:r>
      <w:r>
        <w:rPr>
          <w:rFonts w:hint="eastAsia"/>
          <w:sz w:val="24"/>
          <w:szCs w:val="20"/>
          <w:highlight w:val="none"/>
        </w:rPr>
        <w:t xml:space="preserve">（</w:t>
      </w:r>
      <w:r>
        <w:rPr>
          <w:rFonts w:hint="eastAsia"/>
          <w:sz w:val="24"/>
          <w:szCs w:val="20"/>
          <w:highlight w:val="none"/>
          <w:lang w:val="en-US" w:eastAsia="zh-CN"/>
        </w:rPr>
        <w:t xml:space="preserve">如有</w:t>
      </w:r>
      <w:r>
        <w:rPr>
          <w:rFonts w:hint="eastAsia"/>
          <w:sz w:val="24"/>
          <w:szCs w:val="20"/>
          <w:highlight w:val="none"/>
        </w:rPr>
        <w:t xml:space="preserve">）</w:t>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jc w:val="center"/>
        <w:widowControl/>
        <w:rPr>
          <w:rFonts w:ascii="宋体" w:hAnsi="宋体"/>
          <w:b/>
          <w:sz w:val="32"/>
          <w:szCs w:val="32"/>
          <w:highlight w:val="none"/>
        </w:rPr>
      </w:pPr>
      <w:r>
        <w:rPr>
          <w:rFonts w:ascii="宋体" w:hAnsi="宋体"/>
          <w:b/>
          <w:sz w:val="32"/>
          <w:szCs w:val="32"/>
          <w:highlight w:val="none"/>
        </w:rPr>
        <w:t xml:space="preserve">二、商务技术文件格式</w:t>
      </w:r>
      <w:bookmarkStart w:id="687" w:name="_Toc127151556"/>
      <w:r/>
      <w:bookmarkStart w:id="688" w:name="_Toc520356217"/>
      <w:r/>
      <w:bookmarkStart w:id="689" w:name="_Toc150774761"/>
      <w:r/>
      <w:bookmarkStart w:id="690" w:name="_Toc150480794"/>
      <w:r/>
      <w:bookmarkStart w:id="691" w:name="_Toc195842921"/>
      <w:r/>
      <w:bookmarkStart w:id="692" w:name="_Toc226965829"/>
      <w:r/>
      <w:bookmarkStart w:id="693" w:name="_Ref467988698"/>
      <w:r/>
      <w:bookmarkStart w:id="694" w:name="_Toc226337252"/>
      <w:r/>
      <w:bookmarkStart w:id="695" w:name="_Toc142311058"/>
      <w:r/>
      <w:bookmarkStart w:id="696" w:name="_Toc226965746"/>
      <w:r/>
      <w:bookmarkStart w:id="697" w:name="_Toc480942349"/>
      <w:r/>
      <w:bookmarkStart w:id="698" w:name="_Toc226309800"/>
      <w:r/>
      <w:r/>
    </w:p>
    <w:p>
      <w:pPr>
        <w:jc w:val="center"/>
        <w:widowControl/>
        <w:rPr>
          <w:rFonts w:ascii="宋体" w:hAnsi="宋体"/>
          <w:b/>
          <w:sz w:val="32"/>
          <w:szCs w:val="32"/>
          <w:highlight w:val="none"/>
        </w:rPr>
      </w:pPr>
      <w:r>
        <w:rPr>
          <w:rFonts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w:t>
      </w:r>
      <w:r>
        <w:rPr>
          <w:rFonts w:hint="eastAsia"/>
          <w:sz w:val="24"/>
          <w:highlight w:val="none"/>
          <w:lang w:val="en-US" w:eastAsia="zh-CN"/>
        </w:rPr>
        <w:t xml:space="preserve">招标</w:t>
      </w:r>
      <w:r>
        <w:rPr>
          <w:rFonts w:hint="eastAsia"/>
          <w:sz w:val="24"/>
          <w:highlight w:val="none"/>
        </w:rPr>
        <w:t xml:space="preserve">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w:t>
      </w:r>
      <w:r>
        <w:rPr>
          <w:rFonts w:hint="eastAsia"/>
          <w:sz w:val="24"/>
          <w:szCs w:val="20"/>
          <w:highlight w:val="none"/>
          <w:lang w:val="en-US" w:eastAsia="zh-CN"/>
        </w:rPr>
        <w:t xml:space="preserve">招标</w:t>
      </w:r>
      <w:r>
        <w:rPr>
          <w:rFonts w:hint="eastAsia"/>
          <w:sz w:val="24"/>
          <w:szCs w:val="20"/>
          <w:highlight w:val="none"/>
        </w:rPr>
        <w:t xml:space="preserve">文件</w:t>
      </w:r>
      <w:r>
        <w:rPr>
          <w:sz w:val="24"/>
          <w:szCs w:val="20"/>
          <w:highlight w:val="none"/>
        </w:rPr>
        <w:t xml:space="preserve">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w:t>
      </w:r>
      <w:r>
        <w:rPr>
          <w:rFonts w:hint="eastAsia"/>
          <w:sz w:val="24"/>
          <w:szCs w:val="20"/>
          <w:highlight w:val="none"/>
          <w:lang w:val="en-US" w:eastAsia="zh-CN"/>
        </w:rPr>
        <w:t xml:space="preserve">招标</w:t>
      </w:r>
      <w:r>
        <w:rPr>
          <w:rFonts w:hint="eastAsia"/>
          <w:sz w:val="24"/>
          <w:szCs w:val="20"/>
          <w:highlight w:val="none"/>
        </w:rPr>
        <w:t xml:space="preserve">文件</w:t>
      </w:r>
      <w:r>
        <w:rPr>
          <w:sz w:val="24"/>
          <w:szCs w:val="20"/>
          <w:highlight w:val="none"/>
        </w:rPr>
        <w:t xml:space="preserve">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rFonts w:hint="eastAsia"/>
          <w:sz w:val="24"/>
          <w:szCs w:val="20"/>
          <w:highlight w:val="none"/>
        </w:rPr>
        <w:t xml:space="preserve">投标</w:t>
      </w:r>
      <w:r>
        <w:rPr>
          <w:rFonts w:hint="eastAsia"/>
          <w:sz w:val="24"/>
          <w:szCs w:val="20"/>
          <w:highlight w:val="none"/>
          <w:lang w:val="en-US" w:eastAsia="zh-CN"/>
        </w:rPr>
        <w:t xml:space="preserve">人</w:t>
      </w:r>
      <w:r>
        <w:rPr>
          <w:sz w:val="24"/>
          <w:szCs w:val="20"/>
          <w:highlight w:val="none"/>
        </w:rPr>
        <w:t xml:space="preserve">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99" w:name="_Hlt520356243"/>
      <w:r/>
      <w:bookmarkEnd w:id="699"/>
      <w:r/>
      <w:bookmarkStart w:id="700" w:name="_Hlt520355938"/>
      <w:r/>
      <w:bookmarkEnd w:id="700"/>
      <w:r>
        <w:rPr>
          <w:sz w:val="24"/>
          <w:highlight w:val="none"/>
        </w:rPr>
        <w:br w:type="page" w:clear="all"/>
      </w:r>
      <w:r/>
    </w:p>
    <w:p>
      <w:pPr>
        <w:jc w:val="left"/>
        <w:widowControl/>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20"/>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w:t>
      </w:r>
      <w:r>
        <w:rPr>
          <w:rFonts w:hint="eastAsia" w:ascii="宋体" w:hAnsi="宋体"/>
          <w:sz w:val="24"/>
          <w:highlight w:val="none"/>
          <w:lang w:val="en-US" w:eastAsia="zh-CN"/>
        </w:rPr>
        <w:t xml:space="preserve">人</w:t>
      </w:r>
      <w:r>
        <w:rPr>
          <w:rFonts w:hint="eastAsia" w:ascii="宋体" w:hAnsi="宋体"/>
          <w:sz w:val="24"/>
          <w:highlight w:val="none"/>
        </w:rPr>
        <w:t xml:space="preserve">：（加盖公章）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lang w:val="en-US" w:eastAsia="zh-CN"/>
        </w:rPr>
        <w:t xml:space="preserve">招标</w:t>
      </w:r>
      <w:r>
        <w:rPr>
          <w:rFonts w:hint="eastAsia" w:ascii="宋体" w:hAnsi="宋体"/>
          <w:sz w:val="24"/>
          <w:szCs w:val="20"/>
          <w:highlight w:val="none"/>
        </w:rPr>
        <w:t xml:space="preserve">文件</w:t>
      </w:r>
      <w:r>
        <w:rPr>
          <w:rFonts w:ascii="宋体" w:hAnsi="宋体"/>
          <w:sz w:val="24"/>
          <w:szCs w:val="20"/>
          <w:highlight w:val="none"/>
        </w:rPr>
        <w:t xml:space="preserve">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23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701" w:name="_Hlt520343000"/>
      <w:r/>
      <w:bookmarkEnd w:id="701"/>
      <w:r/>
      <w:bookmarkStart w:id="702" w:name="_Hlt520343392"/>
      <w:r/>
      <w:bookmarkEnd w:id="702"/>
      <w:r/>
      <w:bookmarkStart w:id="703" w:name="_Hlt520274407"/>
      <w:r/>
      <w:bookmarkEnd w:id="703"/>
      <w:r/>
      <w:bookmarkStart w:id="704" w:name="_Hlt520274065"/>
      <w:r/>
      <w:bookmarkEnd w:id="704"/>
      <w:r/>
      <w:bookmarkStart w:id="705" w:name="_Hlt520274393"/>
      <w:r/>
      <w:bookmarkEnd w:id="705"/>
      <w:r/>
      <w:bookmarkStart w:id="706" w:name="_Hlt520355504"/>
      <w:r/>
      <w:bookmarkEnd w:id="706"/>
      <w:r/>
      <w:bookmarkStart w:id="707" w:name="_Hlt520271212"/>
      <w:r/>
      <w:bookmarkEnd w:id="707"/>
      <w:r/>
      <w:bookmarkStart w:id="708" w:name="_Hlt520274121"/>
      <w:r/>
      <w:bookmarkEnd w:id="708"/>
      <w:r/>
      <w:bookmarkStart w:id="709" w:name="_Hlt520273711"/>
      <w:r/>
      <w:bookmarkEnd w:id="709"/>
      <w:r/>
      <w:bookmarkStart w:id="710" w:name="_Hlt520350918"/>
      <w:r/>
      <w:bookmarkEnd w:id="710"/>
      <w:r/>
      <w:bookmarkStart w:id="711" w:name="_Toc305158899"/>
      <w:r/>
      <w:bookmarkStart w:id="712" w:name="_Toc520356218"/>
      <w:r/>
      <w:bookmarkStart w:id="713" w:name="_Toc226965830"/>
      <w:r/>
      <w:bookmarkStart w:id="714" w:name="_Toc195842922"/>
      <w:r/>
      <w:bookmarkStart w:id="715" w:name="_Toc226965747"/>
      <w:r/>
      <w:bookmarkStart w:id="716" w:name="_Ref467988705"/>
      <w:r/>
      <w:bookmarkStart w:id="717" w:name="_Toc150774762"/>
      <w:r/>
      <w:bookmarkStart w:id="718" w:name="_Toc226337253"/>
      <w:r/>
      <w:bookmarkStart w:id="719" w:name="_Toc150480795"/>
      <w:r/>
      <w:bookmarkStart w:id="720" w:name="_Toc127151557"/>
      <w:r/>
      <w:bookmarkStart w:id="721" w:name="_Toc264969247"/>
      <w:r/>
      <w:bookmarkStart w:id="722" w:name="_Toc305158825"/>
      <w:r/>
      <w:bookmarkStart w:id="723" w:name="_Toc226309801"/>
      <w:r/>
      <w:bookmarkStart w:id="724" w:name="_Toc142311059"/>
      <w:r/>
      <w:bookmarkStart w:id="725" w:name="_Toc265228395"/>
      <w:r/>
      <w:bookmarkStart w:id="726" w:name="_Toc480942350"/>
      <w:r>
        <w:rPr>
          <w:sz w:val="24"/>
          <w:szCs w:val="20"/>
          <w:highlight w:val="none"/>
        </w:rPr>
        <w:br w:type="page" w:clear="all"/>
      </w:r>
      <w:r/>
    </w:p>
    <w:p>
      <w:pPr>
        <w:spacing w:line="360" w:lineRule="auto"/>
        <w:rPr>
          <w:sz w:val="24"/>
          <w:szCs w:val="20"/>
          <w:highlight w:val="none"/>
        </w:rPr>
        <w:outlineLvl w:val="2"/>
      </w:pPr>
      <w:r>
        <w:rPr>
          <w:rFonts w:hint="eastAsia"/>
          <w:sz w:val="24"/>
          <w:szCs w:val="20"/>
          <w:highlight w:val="none"/>
        </w:rPr>
        <w:t xml:space="preserve">4</w:t>
      </w:r>
      <w:r>
        <w:rPr>
          <w:sz w:val="24"/>
          <w:szCs w:val="20"/>
          <w:highlight w:val="none"/>
        </w:rPr>
        <w:t xml:space="preserve">  开标一览表</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sz w:val="24"/>
          <w:szCs w:val="20"/>
          <w:highlight w:val="none"/>
        </w:rPr>
        <w:t xml:space="preserve">（实质性格式）</w:t>
      </w:r>
      <w:r/>
    </w:p>
    <w:p>
      <w:pPr>
        <w:jc w:val="center"/>
        <w:spacing w:line="360" w:lineRule="exact"/>
        <w:rPr>
          <w:b/>
          <w:sz w:val="36"/>
          <w:szCs w:val="36"/>
          <w:highlight w:val="none"/>
        </w:rPr>
      </w:pPr>
      <w:r/>
      <w:bookmarkStart w:id="727" w:name="_Toc226337254"/>
      <w:r/>
      <w:bookmarkStart w:id="728" w:name="_Toc226965748"/>
      <w:r/>
      <w:bookmarkStart w:id="729" w:name="_Toc226309802"/>
      <w:r/>
      <w:bookmarkStart w:id="730" w:name="_Toc164608827"/>
      <w:r/>
      <w:bookmarkStart w:id="731" w:name="_Toc265228396"/>
      <w:r/>
      <w:bookmarkStart w:id="732" w:name="_Toc264969248"/>
      <w:r/>
      <w:bookmarkStart w:id="733" w:name="_Toc195842923"/>
      <w:r/>
      <w:bookmarkStart w:id="734" w:name="_Toc164608672"/>
      <w:r/>
      <w:bookmarkStart w:id="735" w:name="_Toc305158826"/>
      <w:r/>
      <w:bookmarkStart w:id="736" w:name="_Toc226965831"/>
      <w:r/>
      <w:bookmarkStart w:id="737" w:name="_Toc305158900"/>
      <w:r>
        <w:rPr>
          <w:rFonts w:hint="eastAsia"/>
          <w:b/>
          <w:sz w:val="36"/>
          <w:szCs w:val="36"/>
          <w:highlight w:val="none"/>
        </w:rPr>
        <w:t xml:space="preserve">开标一览表</w:t>
      </w:r>
      <w:bookmarkEnd w:id="727"/>
      <w:r/>
      <w:bookmarkEnd w:id="728"/>
      <w:r/>
      <w:bookmarkEnd w:id="729"/>
      <w:r/>
      <w:bookmarkEnd w:id="730"/>
      <w:r/>
      <w:bookmarkEnd w:id="731"/>
      <w:r/>
      <w:bookmarkEnd w:id="732"/>
      <w:r/>
      <w:bookmarkEnd w:id="733"/>
      <w:r/>
      <w:bookmarkEnd w:id="734"/>
      <w:r/>
      <w:bookmarkEnd w:id="735"/>
      <w:r/>
      <w:bookmarkEnd w:id="736"/>
      <w:r/>
      <w:bookmarkEnd w:id="73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w:t>
      </w:r>
      <w:r/>
    </w:p>
    <w:tbl>
      <w:tblPr>
        <w:tblStyle w:val="783"/>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92"/>
        <w:gridCol w:w="3586"/>
        <w:gridCol w:w="2115"/>
        <w:gridCol w:w="2111"/>
      </w:tblGrid>
      <w:tr>
        <w:trPr>
          <w:cantSplit/>
          <w:jc w:val="center"/>
          <w:trHeight w:val="567" w:hRule="exact"/>
        </w:trPr>
        <w:tc>
          <w:tcPr>
            <w:tcW w:w="613"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标段号</w:t>
            </w:r>
            <w:r/>
          </w:p>
        </w:tc>
        <w:tc>
          <w:tcPr>
            <w:tcW w:w="2013"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投标</w:t>
            </w:r>
            <w:r>
              <w:rPr>
                <w:rFonts w:hint="eastAsia"/>
                <w:b/>
                <w:sz w:val="24"/>
                <w:highlight w:val="none"/>
                <w:lang w:val="en-US" w:eastAsia="zh-CN"/>
              </w:rPr>
              <w:t xml:space="preserve">人</w:t>
            </w:r>
            <w:r>
              <w:rPr>
                <w:b/>
                <w:sz w:val="24"/>
                <w:highlight w:val="none"/>
              </w:rPr>
              <w:t xml:space="preserve">名称</w:t>
            </w:r>
            <w:r/>
          </w:p>
        </w:tc>
        <w:tc>
          <w:tcPr>
            <w:gridSpan w:val="2"/>
            <w:tcW w:w="2372" w:type="pct"/>
            <w:vAlign w:val="center"/>
            <w:textDirection w:val="lrTb"/>
            <w:noWrap w:val="false"/>
          </w:tcPr>
          <w:p>
            <w:pPr>
              <w:jc w:val="center"/>
              <w:tabs>
                <w:tab w:val="left" w:pos="5580" w:leader="none"/>
              </w:tabs>
              <w:rPr>
                <w:b/>
                <w:sz w:val="24"/>
                <w:highlight w:val="none"/>
              </w:rPr>
            </w:pPr>
            <w:r>
              <w:rPr>
                <w:b/>
                <w:sz w:val="24"/>
                <w:highlight w:val="none"/>
              </w:rPr>
              <w:t xml:space="preserve">投标报价</w:t>
            </w:r>
            <w:r>
              <w:rPr>
                <w:rFonts w:hint="eastAsia"/>
                <w:b/>
                <w:sz w:val="24"/>
                <w:highlight w:val="none"/>
              </w:rPr>
              <w:t xml:space="preserve">（元）</w:t>
            </w:r>
            <w:r/>
          </w:p>
        </w:tc>
      </w:tr>
      <w:tr>
        <w:trPr>
          <w:cantSplit/>
          <w:jc w:val="center"/>
          <w:trHeight w:val="567" w:hRule="exact"/>
        </w:trPr>
        <w:tc>
          <w:tcPr>
            <w:tcW w:w="613" w:type="pct"/>
            <w:vAlign w:val="center"/>
            <w:vMerge w:val="continue"/>
            <w:textDirection w:val="lrTb"/>
            <w:noWrap w:val="false"/>
          </w:tcPr>
          <w:p>
            <w:pPr>
              <w:jc w:val="center"/>
              <w:tabs>
                <w:tab w:val="left" w:pos="5580" w:leader="none"/>
              </w:tabs>
              <w:rPr>
                <w:sz w:val="24"/>
                <w:highlight w:val="none"/>
              </w:rPr>
            </w:pPr>
            <w:r>
              <w:rPr>
                <w:sz w:val="24"/>
                <w:highlight w:val="none"/>
              </w:rPr>
            </w:r>
            <w:r/>
          </w:p>
        </w:tc>
        <w:tc>
          <w:tcPr>
            <w:tcW w:w="2013" w:type="pct"/>
            <w:vAlign w:val="center"/>
            <w:vMerge w:val="continue"/>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b/>
                <w:sz w:val="24"/>
                <w:highlight w:val="none"/>
              </w:rPr>
            </w:pPr>
            <w:r>
              <w:rPr>
                <w:b/>
                <w:sz w:val="24"/>
                <w:highlight w:val="none"/>
              </w:rPr>
              <w:t xml:space="preserve">大写</w:t>
            </w:r>
            <w:r/>
          </w:p>
        </w:tc>
        <w:tc>
          <w:tcPr>
            <w:tcW w:w="1184" w:type="pct"/>
            <w:vAlign w:val="center"/>
            <w:textDirection w:val="lrTb"/>
            <w:noWrap w:val="false"/>
          </w:tcPr>
          <w:p>
            <w:pPr>
              <w:jc w:val="center"/>
              <w:tabs>
                <w:tab w:val="left" w:pos="5580" w:leader="none"/>
              </w:tabs>
              <w:rPr>
                <w:b/>
                <w:sz w:val="24"/>
                <w:highlight w:val="none"/>
              </w:rPr>
            </w:pPr>
            <w:r>
              <w:rPr>
                <w:b/>
                <w:sz w:val="24"/>
                <w:highlight w:val="none"/>
              </w:rPr>
              <w:t xml:space="preserve">小写</w:t>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1</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2</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3</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4</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5</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6</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7</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8</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9</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left"/>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sz w:val="24"/>
          <w:szCs w:val="20"/>
          <w:highlight w:val="none"/>
        </w:rPr>
      </w:pPr>
      <w:r>
        <w:rPr>
          <w:sz w:val="24"/>
          <w:highlight w:val="none"/>
        </w:rPr>
        <w:t xml:space="preserve">注：1</w:t>
      </w:r>
      <w:r>
        <w:rPr>
          <w:sz w:val="24"/>
          <w:szCs w:val="20"/>
          <w:highlight w:val="none"/>
        </w:rPr>
        <w:t xml:space="preserve">.此表中，每包的投标报价应和《投标分项报价表》中的总价相一致。</w:t>
      </w:r>
      <w:r/>
    </w:p>
    <w:p>
      <w:pPr>
        <w:ind w:firstLine="480"/>
        <w:tabs>
          <w:tab w:val="left" w:pos="5580" w:leader="none"/>
        </w:tabs>
        <w:rPr>
          <w:sz w:val="24"/>
          <w:szCs w:val="20"/>
          <w:highlight w:val="none"/>
        </w:rPr>
      </w:pPr>
      <w:r>
        <w:rPr>
          <w:sz w:val="24"/>
          <w:szCs w:val="20"/>
          <w:highlight w:val="none"/>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738" w:name="_Toc305158901"/>
      <w:r/>
      <w:bookmarkStart w:id="739" w:name="_Toc226965832"/>
      <w:r/>
      <w:bookmarkStart w:id="740" w:name="_Toc150774763"/>
      <w:r/>
      <w:bookmarkStart w:id="741" w:name="_Toc142311060"/>
      <w:r/>
      <w:bookmarkStart w:id="742" w:name="_Toc305158827"/>
      <w:r/>
      <w:bookmarkStart w:id="743" w:name="_Toc195842924"/>
      <w:r/>
      <w:bookmarkStart w:id="744" w:name="_Toc226337255"/>
      <w:r/>
      <w:bookmarkStart w:id="745" w:name="_Toc226309803"/>
      <w:r/>
      <w:bookmarkStart w:id="746" w:name="_Toc226965749"/>
      <w:r/>
      <w:bookmarkStart w:id="747" w:name="_Toc150480796"/>
      <w:r/>
      <w:bookmarkStart w:id="748" w:name="_Toc265228397"/>
      <w:r/>
      <w:bookmarkStart w:id="749" w:name="_Toc127151558"/>
      <w:r/>
      <w:bookmarkStart w:id="750" w:name="_Toc264969249"/>
      <w:r>
        <w:rPr>
          <w:sz w:val="24"/>
          <w:szCs w:val="20"/>
          <w:highlight w:val="none"/>
        </w:rPr>
        <w:br w:type="page" w:clear="all"/>
      </w:r>
      <w:r>
        <w:rPr>
          <w:rFonts w:hint="eastAsia"/>
          <w:sz w:val="24"/>
          <w:szCs w:val="20"/>
          <w:highlight w:val="none"/>
        </w:rPr>
        <w:t xml:space="preserve">5  分项报价表</w:t>
      </w:r>
      <w:r>
        <w:rPr>
          <w:sz w:val="24"/>
          <w:szCs w:val="20"/>
          <w:highlight w:val="none"/>
        </w:rPr>
        <w:t xml:space="preserve">（实质性格式）</w:t>
      </w:r>
      <w:r/>
    </w:p>
    <w:p>
      <w:pPr>
        <w:jc w:val="left"/>
        <w:widowControl/>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2"/>
          <w:szCs w:val="32"/>
          <w:highlight w:val="none"/>
        </w:rPr>
        <w:t xml:space="preserve">投标分项报价表</w:t>
      </w:r>
      <w:r/>
    </w:p>
    <w:p>
      <w:pPr>
        <w:jc w:val="left"/>
        <w:widowControl/>
        <w:rPr>
          <w:rFonts w:hint="default" w:eastAsia="宋体"/>
          <w:b/>
          <w:bCs/>
          <w:sz w:val="24"/>
          <w:szCs w:val="20"/>
          <w:highlight w:val="none"/>
          <w:lang w:val="en-US" w:eastAsia="zh-CN"/>
        </w:rPr>
      </w:pPr>
      <w:r>
        <w:rPr>
          <w:rFonts w:hint="eastAsia"/>
          <w:b/>
          <w:bCs/>
          <w:sz w:val="24"/>
          <w:szCs w:val="20"/>
          <w:highlight w:val="none"/>
          <w:lang w:val="en-US" w:eastAsia="zh-CN"/>
        </w:rPr>
        <w:t xml:space="preserve">01-13标段：</w:t>
      </w:r>
      <w:r/>
    </w:p>
    <w:p>
      <w:pPr>
        <w:jc w:val="left"/>
        <w:widowControl/>
        <w:rPr>
          <w:sz w:val="24"/>
          <w:szCs w:val="20"/>
          <w:highlight w:val="none"/>
        </w:rPr>
      </w:pPr>
      <w:r>
        <w:rPr>
          <w:rFonts w:hint="eastAsia"/>
          <w:sz w:val="24"/>
          <w:szCs w:val="20"/>
          <w:highlight w:val="none"/>
        </w:rPr>
        <w:t xml:space="preserve">项目名称：</w:t>
      </w:r>
      <w:r>
        <w:rPr>
          <w:rFonts w:hint="eastAsia"/>
          <w:sz w:val="24"/>
          <w:szCs w:val="20"/>
          <w:highlight w:val="none"/>
          <w:lang w:eastAsia="zh-CN"/>
        </w:rPr>
        <w:t xml:space="preserve">2026年园区绿化养护项目</w:t>
      </w:r>
      <w:r>
        <w:rPr>
          <w:rFonts w:hint="eastAsia"/>
          <w:sz w:val="24"/>
          <w:szCs w:val="20"/>
          <w:highlight w:val="none"/>
        </w:rPr>
        <w:t xml:space="preserve">（ </w:t>
      </w:r>
      <w:r>
        <w:rPr>
          <w:spacing w:val="-3"/>
          <w:highlight w:val="none"/>
          <w:u w:val="single"/>
          <w:lang w:eastAsia="zh-CN"/>
        </w:rPr>
        <w:t xml:space="preserve">    </w:t>
      </w:r>
      <w:r>
        <w:rPr>
          <w:rFonts w:hint="eastAsia"/>
          <w:sz w:val="24"/>
          <w:szCs w:val="20"/>
          <w:highlight w:val="none"/>
        </w:rPr>
        <w:t xml:space="preserve">标段）</w:t>
      </w:r>
      <w:r/>
    </w:p>
    <w:p>
      <w:pPr>
        <w:jc w:val="left"/>
        <w:widowControl/>
        <w:rPr>
          <w:sz w:val="24"/>
          <w:szCs w:val="20"/>
          <w:highlight w:val="none"/>
        </w:rPr>
      </w:pPr>
      <w:r>
        <w:rPr>
          <w:rFonts w:hint="eastAsia"/>
          <w:sz w:val="24"/>
          <w:szCs w:val="20"/>
          <w:highlight w:val="none"/>
        </w:rPr>
        <w:t xml:space="preserve">项目编号/包号：                    报价单位：人民币元</w:t>
      </w:r>
      <w:r/>
    </w:p>
    <w:tbl>
      <w:tblPr>
        <w:tblStyle w:val="78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5"/>
        <w:gridCol w:w="2165"/>
        <w:gridCol w:w="2214"/>
        <w:gridCol w:w="2048"/>
        <w:gridCol w:w="1512"/>
        <w:gridCol w:w="1011"/>
      </w:tblGrid>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rPr>
        <w:t xml:space="preserve">注：1.本表应按包分别填写。</w:t>
      </w:r>
      <w:r/>
    </w:p>
    <w:p>
      <w:pPr>
        <w:jc w:val="left"/>
        <w:widowControl/>
        <w:rPr>
          <w:rFonts w:hint="eastAsia"/>
          <w:sz w:val="24"/>
          <w:szCs w:val="20"/>
          <w:highlight w:val="none"/>
        </w:rPr>
      </w:pPr>
      <w:r>
        <w:rPr>
          <w:rFonts w:hint="eastAsia"/>
          <w:sz w:val="24"/>
          <w:szCs w:val="20"/>
          <w:highlight w:val="none"/>
        </w:rPr>
        <w:t xml:space="preserve">2.如果不提供分项报价将视为没有实质性响应招标文件。</w:t>
      </w:r>
      <w:r/>
    </w:p>
    <w:p>
      <w:pPr>
        <w:jc w:val="left"/>
        <w:widowControl/>
        <w:rPr>
          <w:rFonts w:hint="eastAsia"/>
          <w:sz w:val="24"/>
          <w:szCs w:val="20"/>
          <w:highlight w:val="none"/>
        </w:rPr>
      </w:pPr>
      <w:r>
        <w:rPr>
          <w:rFonts w:hint="eastAsia"/>
          <w:sz w:val="24"/>
          <w:szCs w:val="20"/>
          <w:highlight w:val="none"/>
        </w:rPr>
        <w:t xml:space="preserve">3.本表行数可以按照项目分项情况增加。</w:t>
      </w:r>
      <w:r/>
    </w:p>
    <w:p>
      <w:pPr>
        <w:jc w:val="left"/>
        <w:widowControl/>
        <w:rPr>
          <w:rFonts w:hint="eastAsia"/>
          <w:sz w:val="24"/>
          <w:szCs w:val="20"/>
          <w:highlight w:val="none"/>
        </w:rPr>
      </w:pPr>
      <w:r>
        <w:rPr>
          <w:rFonts w:hint="eastAsia"/>
          <w:sz w:val="24"/>
          <w:szCs w:val="20"/>
          <w:highlight w:val="none"/>
        </w:rPr>
        <w:t xml:space="preserve">4.上述各项的详细规格、技术参数如表格中填写不下的，可以逐项另页描述。</w:t>
      </w:r>
      <w:r/>
    </w:p>
    <w:p>
      <w:pPr>
        <w:jc w:val="left"/>
        <w:widowControl/>
        <w:rPr>
          <w:sz w:val="24"/>
          <w:szCs w:val="20"/>
          <w:highlight w:val="none"/>
        </w:rPr>
      </w:pPr>
      <w:r>
        <w:rPr>
          <w:sz w:val="24"/>
          <w:szCs w:val="20"/>
          <w:highlight w:val="none"/>
        </w:rPr>
      </w:r>
      <w:r/>
    </w:p>
    <w:p>
      <w:pPr>
        <w:spacing w:before="79" w:line="219" w:lineRule="auto"/>
        <w:rPr>
          <w:rFonts w:ascii="宋体" w:hAnsi="宋体" w:cs="宋体"/>
          <w:sz w:val="24"/>
          <w:highlight w:val="none"/>
        </w:rPr>
      </w:pPr>
      <w:r>
        <w:rPr>
          <w:rFonts w:ascii="宋体" w:hAnsi="宋体" w:cs="宋体"/>
          <w:spacing w:val="-2"/>
          <w:sz w:val="24"/>
          <w:highlight w:val="none"/>
        </w:rPr>
        <w:t xml:space="preserve">投标人名称（加盖公章</w:t>
      </w:r>
      <w:r>
        <w:rPr>
          <w:rFonts w:ascii="宋体" w:hAnsi="宋体" w:cs="宋体"/>
          <w:spacing w:val="3"/>
          <w:sz w:val="24"/>
          <w:highlight w:val="none"/>
        </w:rPr>
        <w:t xml:space="preserve">）：</w:t>
      </w:r>
      <w:r/>
    </w:p>
    <w:p>
      <w:pPr>
        <w:spacing w:before="155" w:line="439" w:lineRule="exact"/>
        <w:rPr>
          <w:rFonts w:ascii="宋体" w:hAnsi="宋体" w:cs="宋体"/>
          <w:sz w:val="24"/>
          <w:highlight w:val="none"/>
        </w:rPr>
      </w:pPr>
      <w:r>
        <w:rPr>
          <w:rFonts w:ascii="宋体" w:hAnsi="宋体" w:cs="宋体"/>
          <w:spacing w:val="-1"/>
          <w:position w:val="15"/>
          <w:sz w:val="24"/>
          <w:highlight w:val="none"/>
        </w:rPr>
        <w:t xml:space="preserve">法定代表人或授权委托人（签字或盖章</w:t>
      </w:r>
      <w:r>
        <w:rPr>
          <w:rFonts w:ascii="宋体" w:hAnsi="宋体" w:cs="宋体"/>
          <w:spacing w:val="2"/>
          <w:position w:val="15"/>
          <w:sz w:val="24"/>
          <w:highlight w:val="none"/>
        </w:rPr>
        <w:t xml:space="preserve">）：</w:t>
      </w:r>
      <w:r/>
    </w:p>
    <w:p>
      <w:pPr>
        <w:jc w:val="left"/>
        <w:widowControl/>
        <w:rPr>
          <w:sz w:val="24"/>
          <w:szCs w:val="20"/>
          <w:highlight w:val="none"/>
        </w:rPr>
      </w:pPr>
      <w:r>
        <w:rPr>
          <w:rFonts w:ascii="宋体" w:hAnsi="宋体" w:cs="宋体"/>
          <w:spacing w:val="-13"/>
          <w:sz w:val="24"/>
          <w:highlight w:val="none"/>
        </w:rPr>
        <w:t xml:space="preserve">日期：</w:t>
      </w:r>
      <w:r>
        <w:rPr>
          <w:rFonts w:ascii="宋体" w:hAnsi="宋体" w:cs="宋体"/>
          <w:spacing w:val="1"/>
          <w:sz w:val="24"/>
          <w:highlight w:val="none"/>
        </w:rPr>
        <w:t xml:space="preserve">       </w:t>
      </w:r>
      <w:r>
        <w:rPr>
          <w:rFonts w:ascii="宋体" w:hAnsi="宋体" w:cs="宋体"/>
          <w:spacing w:val="-13"/>
          <w:sz w:val="24"/>
          <w:highlight w:val="none"/>
        </w:rPr>
        <w:t xml:space="preserve">年</w:t>
      </w:r>
      <w:r>
        <w:rPr>
          <w:rFonts w:ascii="宋体" w:hAnsi="宋体" w:cs="宋体"/>
          <w:spacing w:val="2"/>
          <w:sz w:val="24"/>
          <w:highlight w:val="none"/>
        </w:rPr>
        <w:t xml:space="preserve">       </w:t>
      </w:r>
      <w:r>
        <w:rPr>
          <w:rFonts w:ascii="宋体" w:hAnsi="宋体" w:cs="宋体"/>
          <w:spacing w:val="-13"/>
          <w:sz w:val="24"/>
          <w:highlight w:val="none"/>
        </w:rPr>
        <w:t xml:space="preserve">月</w:t>
      </w:r>
      <w:r>
        <w:rPr>
          <w:rFonts w:ascii="宋体" w:hAnsi="宋体" w:cs="宋体"/>
          <w:spacing w:val="7"/>
          <w:sz w:val="24"/>
          <w:highlight w:val="none"/>
        </w:rPr>
        <w:t xml:space="preserve">       </w:t>
      </w:r>
      <w:r>
        <w:rPr>
          <w:rFonts w:ascii="宋体" w:hAnsi="宋体" w:cs="宋体"/>
          <w:spacing w:val="-13"/>
          <w:sz w:val="24"/>
          <w:highlight w:val="none"/>
        </w:rPr>
        <w:t xml:space="preserve">日</w:t>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rPr>
          <w:rFonts w:hint="eastAsia"/>
          <w:b/>
          <w:bCs/>
          <w:sz w:val="24"/>
          <w:szCs w:val="20"/>
          <w:highlight w:val="none"/>
          <w:lang w:val="en-US" w:eastAsia="zh-CN"/>
        </w:rPr>
      </w:pPr>
      <w:r>
        <w:rPr>
          <w:rFonts w:hint="eastAsia"/>
          <w:b/>
          <w:bCs/>
          <w:sz w:val="24"/>
          <w:szCs w:val="20"/>
          <w:highlight w:val="none"/>
          <w:lang w:val="en-US" w:eastAsia="zh-CN"/>
        </w:rPr>
        <w:br w:type="page" w:clear="all"/>
      </w:r>
      <w:r/>
    </w:p>
    <w:p>
      <w:pPr>
        <w:jc w:val="left"/>
        <w:widowControl/>
        <w:rPr>
          <w:rFonts w:hint="eastAsia"/>
          <w:b/>
          <w:bCs/>
          <w:sz w:val="24"/>
          <w:szCs w:val="20"/>
          <w:highlight w:val="none"/>
          <w:lang w:val="en-US" w:eastAsia="zh-CN"/>
        </w:rPr>
      </w:pPr>
      <w:r>
        <w:rPr>
          <w:rFonts w:hint="eastAsia"/>
          <w:b/>
          <w:bCs/>
          <w:sz w:val="24"/>
          <w:szCs w:val="20"/>
          <w:highlight w:val="none"/>
          <w:lang w:val="en-US" w:eastAsia="zh-CN"/>
        </w:rPr>
        <w:t xml:space="preserve">14标段：</w:t>
      </w:r>
      <w:r/>
    </w:p>
    <w:p>
      <w:pPr>
        <w:jc w:val="left"/>
        <w:widowControl/>
        <w:rPr>
          <w:sz w:val="24"/>
          <w:szCs w:val="20"/>
          <w:highlight w:val="none"/>
        </w:rPr>
      </w:pPr>
      <w:r>
        <w:rPr>
          <w:rFonts w:hint="eastAsia"/>
          <w:sz w:val="24"/>
          <w:szCs w:val="20"/>
          <w:highlight w:val="none"/>
        </w:rPr>
        <w:t xml:space="preserve">项目名称：</w:t>
      </w:r>
      <w:r>
        <w:rPr>
          <w:rFonts w:hint="eastAsia"/>
          <w:sz w:val="24"/>
          <w:szCs w:val="20"/>
          <w:highlight w:val="none"/>
          <w:lang w:eastAsia="zh-CN"/>
        </w:rPr>
        <w:t xml:space="preserve">2026年园区绿化养护项目</w:t>
      </w:r>
      <w:r>
        <w:rPr>
          <w:rFonts w:hint="eastAsia"/>
          <w:sz w:val="24"/>
          <w:szCs w:val="20"/>
          <w:highlight w:val="none"/>
        </w:rPr>
        <w:t xml:space="preserve">（</w:t>
      </w:r>
      <w:r>
        <w:rPr>
          <w:rFonts w:hint="eastAsia"/>
          <w:sz w:val="24"/>
          <w:szCs w:val="20"/>
          <w:highlight w:val="none"/>
          <w:lang w:val="en-US" w:eastAsia="zh-CN"/>
        </w:rPr>
        <w:t xml:space="preserve">14</w:t>
      </w:r>
      <w:r>
        <w:rPr>
          <w:rFonts w:hint="eastAsia"/>
          <w:sz w:val="24"/>
          <w:szCs w:val="20"/>
          <w:highlight w:val="none"/>
        </w:rPr>
        <w:t xml:space="preserve">标段）</w:t>
      </w:r>
      <w:r/>
    </w:p>
    <w:p>
      <w:pPr>
        <w:jc w:val="left"/>
        <w:widowControl/>
        <w:rPr>
          <w:rFonts w:hint="default"/>
          <w:b/>
          <w:sz w:val="36"/>
          <w:szCs w:val="36"/>
          <w:highlight w:val="none"/>
          <w:lang w:val="en-US" w:eastAsia="zh-CN"/>
        </w:rPr>
      </w:pPr>
      <w:r>
        <w:rPr>
          <w:rFonts w:hint="eastAsia"/>
          <w:sz w:val="24"/>
          <w:szCs w:val="20"/>
          <w:highlight w:val="none"/>
        </w:rPr>
        <w:t xml:space="preserve">项目编号/包号：                    报价单位：人民币元</w:t>
      </w:r>
      <w:r/>
    </w:p>
    <w:tbl>
      <w:tblPr>
        <w:tblStyle w:val="80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836"/>
        <w:gridCol w:w="3483"/>
        <w:gridCol w:w="1279"/>
        <w:gridCol w:w="1263"/>
        <w:gridCol w:w="1249"/>
      </w:tblGrid>
      <w:tr>
        <w:trPr>
          <w:trHeight w:val="454"/>
        </w:trPr>
        <w:tc>
          <w:tcPr>
            <w:tcW w:w="375"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序号</w:t>
            </w:r>
            <w:r/>
          </w:p>
        </w:tc>
        <w:tc>
          <w:tcPr>
            <w:tcW w:w="932"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分项名称</w:t>
            </w:r>
            <w:r/>
          </w:p>
        </w:tc>
        <w:tc>
          <w:tcPr>
            <w:tcW w:w="1768"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服务内容</w:t>
            </w:r>
            <w:r/>
          </w:p>
        </w:tc>
        <w:tc>
          <w:tcPr>
            <w:tcW w:w="649"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数量（㎡）</w:t>
            </w:r>
            <w:r/>
          </w:p>
        </w:tc>
        <w:tc>
          <w:tcPr>
            <w:tcW w:w="639"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单价（元）</w:t>
            </w:r>
            <w:r/>
          </w:p>
        </w:tc>
        <w:tc>
          <w:tcPr>
            <w:tcW w:w="634"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合价（元）</w:t>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w:t>
            </w:r>
            <w:r/>
          </w:p>
        </w:tc>
        <w:tc>
          <w:tcPr>
            <w:tcW w:w="932"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绿雕换草施工</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中关村互通处施工2次</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323</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w:t>
            </w:r>
            <w:r/>
          </w:p>
        </w:tc>
        <w:tc>
          <w:tcPr>
            <w:tcW w:w="932"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绿雕换草施工</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锂享广场罗马柱绿雕施工2次</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160</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w:t>
            </w:r>
            <w:r/>
          </w:p>
        </w:tc>
        <w:tc>
          <w:tcPr>
            <w:tcW w:w="932"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绿雕换草施工</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锂享广场扬帆起航施工2次</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177</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w:t>
            </w:r>
            <w:r/>
          </w:p>
        </w:tc>
        <w:tc>
          <w:tcPr>
            <w:tcW w:w="932" w:type="pct"/>
            <w:vAlign w:val="center"/>
            <w:textDirection w:val="lrTb"/>
            <w:noWrap w:val="false"/>
          </w:tcPr>
          <w:p>
            <w:pPr>
              <w:jc w:val="center"/>
              <w:rPr>
                <w:rFonts w:hint="default"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绿雕全年养护</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中关村互通处养护1年</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323</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w:t>
            </w:r>
            <w:r/>
          </w:p>
        </w:tc>
        <w:tc>
          <w:tcPr>
            <w:tcW w:w="932"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绿雕全年养护</w:t>
            </w:r>
            <w:r/>
          </w:p>
        </w:tc>
        <w:tc>
          <w:tcPr>
            <w:tcW w:w="1768"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锂享广场罗马柱绿雕养护1年</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160</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w:t>
            </w:r>
            <w:r/>
          </w:p>
        </w:tc>
        <w:tc>
          <w:tcPr>
            <w:tcW w:w="932"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绿雕全年养护</w:t>
            </w:r>
            <w:r/>
          </w:p>
        </w:tc>
        <w:tc>
          <w:tcPr>
            <w:tcW w:w="1768"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锂享广场扬帆起航养护1年</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177</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gridSpan w:val="5"/>
            <w:tcW w:w="436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总价</w:t>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bl>
    <w:p>
      <w:pPr>
        <w:jc w:val="left"/>
        <w:widowControl/>
        <w:rPr>
          <w:sz w:val="24"/>
          <w:szCs w:val="20"/>
          <w:highlight w:val="none"/>
        </w:rPr>
      </w:pPr>
      <w:r>
        <w:rPr>
          <w:rFonts w:hint="eastAsia"/>
          <w:sz w:val="24"/>
          <w:szCs w:val="20"/>
          <w:highlight w:val="none"/>
        </w:rPr>
        <w:t xml:space="preserve">注：1.本表应按包分别填写。</w:t>
      </w:r>
      <w:r/>
    </w:p>
    <w:p>
      <w:pPr>
        <w:jc w:val="left"/>
        <w:widowControl/>
        <w:rPr>
          <w:rFonts w:hint="eastAsia"/>
          <w:sz w:val="24"/>
          <w:szCs w:val="20"/>
          <w:highlight w:val="none"/>
        </w:rPr>
      </w:pPr>
      <w:r>
        <w:rPr>
          <w:rFonts w:hint="eastAsia"/>
          <w:sz w:val="24"/>
          <w:szCs w:val="20"/>
          <w:highlight w:val="none"/>
        </w:rPr>
        <w:t xml:space="preserve">2.如果不提供分项报价将视为没有实质性响应招标文件。</w:t>
      </w:r>
      <w:r/>
    </w:p>
    <w:p>
      <w:pPr>
        <w:jc w:val="left"/>
        <w:widowControl/>
        <w:rPr>
          <w:rFonts w:hint="eastAsia"/>
          <w:sz w:val="24"/>
          <w:szCs w:val="20"/>
          <w:highlight w:val="none"/>
        </w:rPr>
      </w:pPr>
      <w:r>
        <w:rPr>
          <w:rFonts w:hint="eastAsia"/>
          <w:sz w:val="24"/>
          <w:szCs w:val="20"/>
          <w:highlight w:val="none"/>
        </w:rPr>
        <w:t xml:space="preserve">3.本表行数可以按照项目分项情况增加。</w:t>
      </w:r>
      <w:r/>
    </w:p>
    <w:p>
      <w:pPr>
        <w:jc w:val="left"/>
        <w:widowControl/>
        <w:rPr>
          <w:rFonts w:hint="eastAsia"/>
          <w:sz w:val="24"/>
          <w:szCs w:val="20"/>
          <w:highlight w:val="none"/>
        </w:rPr>
      </w:pPr>
      <w:r>
        <w:rPr>
          <w:rFonts w:hint="eastAsia"/>
          <w:sz w:val="24"/>
          <w:szCs w:val="20"/>
          <w:highlight w:val="none"/>
        </w:rPr>
        <w:t xml:space="preserve">4.上述各项的详细规格、技术参数如表格中填写不下的，可以逐项另页描述。</w:t>
      </w:r>
      <w:bookmarkEnd w:id="738"/>
      <w:bookmarkEnd w:id="739"/>
      <w:bookmarkEnd w:id="740"/>
      <w:bookmarkEnd w:id="741"/>
      <w:bookmarkEnd w:id="742"/>
      <w:bookmarkEnd w:id="743"/>
      <w:bookmarkEnd w:id="744"/>
      <w:bookmarkEnd w:id="745"/>
      <w:bookmarkEnd w:id="746"/>
      <w:bookmarkEnd w:id="747"/>
      <w:bookmarkEnd w:id="748"/>
      <w:bookmarkEnd w:id="749"/>
      <w:bookmarkEnd w:id="750"/>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spacing w:before="79" w:line="219" w:lineRule="auto"/>
        <w:rPr>
          <w:rFonts w:ascii="宋体" w:hAnsi="宋体" w:cs="宋体"/>
          <w:sz w:val="24"/>
          <w:highlight w:val="none"/>
        </w:rPr>
      </w:pPr>
      <w:r/>
      <w:bookmarkStart w:id="751" w:name="_Toc150480798"/>
      <w:r/>
      <w:bookmarkStart w:id="752" w:name="_Toc305158904"/>
      <w:r/>
      <w:bookmarkStart w:id="753" w:name="_Toc305158830"/>
      <w:r/>
      <w:bookmarkStart w:id="754" w:name="_Toc226337258"/>
      <w:r/>
      <w:bookmarkStart w:id="755" w:name="_Toc226309806"/>
      <w:r/>
      <w:bookmarkStart w:id="756" w:name="_Toc195842927"/>
      <w:r/>
      <w:bookmarkStart w:id="757" w:name="_Toc127151562"/>
      <w:r/>
      <w:bookmarkStart w:id="758" w:name="_Toc142311062"/>
      <w:r/>
      <w:bookmarkStart w:id="759" w:name="_Toc265228400"/>
      <w:r/>
      <w:bookmarkStart w:id="760" w:name="_Toc264969252"/>
      <w:r/>
      <w:bookmarkStart w:id="761" w:name="_Toc150774765"/>
      <w:r/>
      <w:bookmarkStart w:id="762" w:name="_Toc226965752"/>
      <w:r/>
      <w:bookmarkStart w:id="763" w:name="_Toc226965835"/>
      <w:r/>
      <w:bookmarkStart w:id="764" w:name="_Toc226965834"/>
      <w:r/>
      <w:bookmarkStart w:id="765" w:name="_Toc226965751"/>
      <w:r/>
      <w:bookmarkStart w:id="766" w:name="_Toc305158903"/>
      <w:r/>
      <w:bookmarkStart w:id="767" w:name="_Toc226337257"/>
      <w:r/>
      <w:bookmarkStart w:id="768" w:name="_Toc265228399"/>
      <w:r/>
      <w:bookmarkStart w:id="769" w:name="_Toc142311061"/>
      <w:r/>
      <w:bookmarkStart w:id="770" w:name="_Toc264969251"/>
      <w:r/>
      <w:bookmarkStart w:id="771" w:name="_Toc195842926"/>
      <w:r/>
      <w:bookmarkStart w:id="772" w:name="_Toc150774764"/>
      <w:r/>
      <w:bookmarkStart w:id="773" w:name="_Toc305158829"/>
      <w:r/>
      <w:bookmarkStart w:id="774" w:name="_Toc226309805"/>
      <w:r/>
      <w:bookmarkStart w:id="775" w:name="_Toc127151561"/>
      <w:r/>
      <w:bookmarkStart w:id="776" w:name="_Toc150480797"/>
      <w:r>
        <w:rPr>
          <w:rFonts w:ascii="宋体" w:hAnsi="宋体" w:cs="宋体"/>
          <w:spacing w:val="-2"/>
          <w:sz w:val="24"/>
          <w:highlight w:val="none"/>
        </w:rPr>
        <w:t xml:space="preserve">投标人名称（加盖公章</w:t>
      </w:r>
      <w:r>
        <w:rPr>
          <w:rFonts w:ascii="宋体" w:hAnsi="宋体" w:cs="宋体"/>
          <w:spacing w:val="3"/>
          <w:sz w:val="24"/>
          <w:highlight w:val="none"/>
        </w:rPr>
        <w:t xml:space="preserve">）：</w:t>
      </w:r>
      <w:r/>
    </w:p>
    <w:p>
      <w:pPr>
        <w:spacing w:before="155" w:line="439" w:lineRule="exact"/>
        <w:rPr>
          <w:rFonts w:ascii="宋体" w:hAnsi="宋体" w:cs="宋体"/>
          <w:sz w:val="24"/>
          <w:highlight w:val="none"/>
        </w:rPr>
      </w:pPr>
      <w:r>
        <w:rPr>
          <w:rFonts w:ascii="宋体" w:hAnsi="宋体" w:cs="宋体"/>
          <w:spacing w:val="-1"/>
          <w:position w:val="15"/>
          <w:sz w:val="24"/>
          <w:highlight w:val="none"/>
        </w:rPr>
        <w:t xml:space="preserve">法定代表人或授权委托人（签字或盖章</w:t>
      </w:r>
      <w:r>
        <w:rPr>
          <w:rFonts w:ascii="宋体" w:hAnsi="宋体" w:cs="宋体"/>
          <w:spacing w:val="2"/>
          <w:position w:val="15"/>
          <w:sz w:val="24"/>
          <w:highlight w:val="none"/>
        </w:rPr>
        <w:t xml:space="preserve">）：</w:t>
      </w:r>
      <w:r/>
    </w:p>
    <w:p>
      <w:pPr>
        <w:jc w:val="left"/>
        <w:widowControl/>
        <w:rPr>
          <w:sz w:val="24"/>
          <w:szCs w:val="20"/>
          <w:highlight w:val="none"/>
        </w:rPr>
      </w:pPr>
      <w:r>
        <w:rPr>
          <w:rFonts w:ascii="宋体" w:hAnsi="宋体" w:cs="宋体"/>
          <w:spacing w:val="-13"/>
          <w:sz w:val="24"/>
          <w:highlight w:val="none"/>
        </w:rPr>
        <w:t xml:space="preserve">日期：</w:t>
      </w:r>
      <w:r>
        <w:rPr>
          <w:rFonts w:ascii="宋体" w:hAnsi="宋体" w:cs="宋体"/>
          <w:spacing w:val="1"/>
          <w:sz w:val="24"/>
          <w:highlight w:val="none"/>
        </w:rPr>
        <w:t xml:space="preserve">       </w:t>
      </w:r>
      <w:r>
        <w:rPr>
          <w:rFonts w:ascii="宋体" w:hAnsi="宋体" w:cs="宋体"/>
          <w:spacing w:val="-13"/>
          <w:sz w:val="24"/>
          <w:highlight w:val="none"/>
        </w:rPr>
        <w:t xml:space="preserve">年</w:t>
      </w:r>
      <w:r>
        <w:rPr>
          <w:rFonts w:ascii="宋体" w:hAnsi="宋体" w:cs="宋体"/>
          <w:spacing w:val="2"/>
          <w:sz w:val="24"/>
          <w:highlight w:val="none"/>
        </w:rPr>
        <w:t xml:space="preserve">       </w:t>
      </w:r>
      <w:r>
        <w:rPr>
          <w:rFonts w:ascii="宋体" w:hAnsi="宋体" w:cs="宋体"/>
          <w:spacing w:val="-13"/>
          <w:sz w:val="24"/>
          <w:highlight w:val="none"/>
        </w:rPr>
        <w:t xml:space="preserve">月</w:t>
      </w:r>
      <w:r>
        <w:rPr>
          <w:rFonts w:ascii="宋体" w:hAnsi="宋体" w:cs="宋体"/>
          <w:spacing w:val="7"/>
          <w:sz w:val="24"/>
          <w:highlight w:val="none"/>
        </w:rPr>
        <w:t xml:space="preserve">       </w:t>
      </w:r>
      <w:r>
        <w:rPr>
          <w:rFonts w:ascii="宋体" w:hAnsi="宋体" w:cs="宋体"/>
          <w:spacing w:val="-13"/>
          <w:sz w:val="24"/>
          <w:highlight w:val="none"/>
        </w:rPr>
        <w:t xml:space="preserve">日</w:t>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sz w:val="24"/>
          <w:szCs w:val="20"/>
          <w:highlight w:val="none"/>
        </w:rPr>
        <w:outlineLvl w:val="2"/>
      </w:pPr>
      <w:r>
        <w:rPr>
          <w:rFonts w:hint="eastAsia"/>
          <w:sz w:val="24"/>
          <w:szCs w:val="20"/>
          <w:highlight w:val="none"/>
        </w:rPr>
        <w:t xml:space="preserve">6</w:t>
      </w:r>
      <w:r>
        <w:rPr>
          <w:sz w:val="24"/>
          <w:szCs w:val="20"/>
          <w:highlight w:val="none"/>
        </w:rPr>
        <w:t xml:space="preserve">  合同条款偏离表</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sz w:val="24"/>
          <w:szCs w:val="20"/>
          <w:highlight w:val="none"/>
        </w:rPr>
        <w:t xml:space="preserve">（实质性格式）</w:t>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项目编号：_____________________     项目名称：_____________</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rFonts w:hint="eastAsia"/>
                <w:sz w:val="24"/>
                <w:szCs w:val="21"/>
                <w:highlight w:val="none"/>
                <w:lang w:val="en-US" w:eastAsia="zh-CN"/>
              </w:rPr>
              <w:t xml:space="preserve">招标</w:t>
            </w:r>
            <w:r>
              <w:rPr>
                <w:rFonts w:hint="eastAsia"/>
                <w:sz w:val="24"/>
                <w:szCs w:val="21"/>
                <w:highlight w:val="none"/>
              </w:rPr>
              <w:t xml:space="preserve">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rFonts w:hint="eastAsia"/>
                <w:sz w:val="24"/>
                <w:szCs w:val="21"/>
                <w:highlight w:val="none"/>
                <w:lang w:val="en-US" w:eastAsia="zh-CN"/>
              </w:rPr>
              <w:t xml:space="preserve">招标</w:t>
            </w:r>
            <w:r>
              <w:rPr>
                <w:rFonts w:hint="eastAsia"/>
                <w:sz w:val="24"/>
                <w:szCs w:val="21"/>
                <w:highlight w:val="none"/>
              </w:rPr>
              <w:t xml:space="preserve">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7</w:t>
      </w:r>
      <w:r>
        <w:rPr>
          <w:sz w:val="24"/>
          <w:szCs w:val="20"/>
          <w:highlight w:val="none"/>
        </w:rPr>
        <w:t xml:space="preserve">  </w:t>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sz w:val="24"/>
          <w:szCs w:val="20"/>
          <w:highlight w:val="none"/>
        </w:rPr>
        <w:t xml:space="preserve">采购需求偏离表（实质性格式）</w:t>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w:t>
      </w:r>
      <w:r/>
    </w:p>
    <w:tbl>
      <w:tblPr>
        <w:tblStyle w:val="78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项目采购需求</w:t>
            </w:r>
            <w:r>
              <w:rPr>
                <w:b/>
                <w:sz w:val="24"/>
                <w:highlight w:val="none"/>
              </w:rPr>
              <w:t xml:space="preserve">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条目号(页码)</w:t>
            </w:r>
            <w:r/>
          </w:p>
        </w:tc>
        <w:tc>
          <w:tcPr>
            <w:tcW w:w="2384" w:type="dxa"/>
            <w:vAlign w:val="center"/>
            <w:textDirection w:val="lrTb"/>
            <w:noWrap w:val="false"/>
          </w:tcPr>
          <w:p>
            <w:pPr>
              <w:jc w:val="center"/>
              <w:rPr>
                <w:sz w:val="24"/>
                <w:highlight w:val="none"/>
              </w:rPr>
            </w:pP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numPr>
          <w:ilvl w:val="0"/>
          <w:numId w:val="13"/>
        </w:numPr>
        <w:jc w:val="left"/>
        <w:tabs>
          <w:tab w:val="left" w:pos="1800" w:leader="none"/>
          <w:tab w:val="left" w:pos="5580" w:leader="none"/>
        </w:tabs>
        <w:rPr>
          <w:sz w:val="24"/>
          <w:highlight w:val="none"/>
        </w:rPr>
      </w:pPr>
      <w:r>
        <w:rPr>
          <w:sz w:val="24"/>
          <w:highlight w:val="none"/>
        </w:rPr>
        <w:t xml:space="preserve">对</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sz w:val="24"/>
          <w:highlight w:val="none"/>
        </w:rPr>
      </w:pPr>
      <w:r>
        <w:rPr>
          <w:sz w:val="24"/>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4"/>
          <w:szCs w:val="20"/>
          <w:highlight w:val="none"/>
        </w:rPr>
        <w:br w:type="page" w:clear="all"/>
      </w:r>
      <w:r/>
    </w:p>
    <w:p>
      <w:pPr>
        <w:rPr>
          <w:sz w:val="24"/>
          <w:szCs w:val="20"/>
          <w:highlight w:val="none"/>
        </w:rPr>
      </w:pPr>
      <w:r>
        <w:rPr>
          <w:rFonts w:hint="eastAsia" w:ascii="Times New Roman" w:hAnsi="Times New Roman" w:eastAsia="宋体" w:cs="Times New Roman"/>
          <w:color w:val="000000"/>
          <w:sz w:val="24"/>
          <w:szCs w:val="20"/>
          <w:highlight w:val="none"/>
          <w:lang w:val="en-US" w:eastAsia="zh-CN"/>
        </w:rPr>
        <w:t xml:space="preserve">8  </w:t>
      </w:r>
      <w:r>
        <w:rPr>
          <w:rFonts w:hint="eastAsia" w:ascii="Times New Roman" w:hAnsi="Times New Roman" w:eastAsia="宋体" w:cs="Times New Roman"/>
          <w:color w:val="000000"/>
          <w:sz w:val="24"/>
          <w:szCs w:val="20"/>
          <w:highlight w:val="none"/>
        </w:rPr>
        <w:t xml:space="preserve">项目实施方案</w:t>
      </w:r>
      <w:r/>
    </w:p>
    <w:p>
      <w:pPr>
        <w:rPr>
          <w:sz w:val="24"/>
          <w:szCs w:val="20"/>
          <w:highlight w:val="none"/>
        </w:rPr>
      </w:pPr>
      <w:r>
        <w:rPr>
          <w:sz w:val="24"/>
          <w:szCs w:val="20"/>
          <w:highlight w:val="none"/>
        </w:rPr>
      </w:r>
      <w:r/>
    </w:p>
    <w:p>
      <w:pPr>
        <w:rPr>
          <w:sz w:val="24"/>
          <w:szCs w:val="20"/>
          <w:highlight w:val="none"/>
        </w:rPr>
      </w:pPr>
      <w:r>
        <w:rPr>
          <w:sz w:val="24"/>
          <w:szCs w:val="20"/>
          <w:highlight w:val="none"/>
        </w:rPr>
      </w:r>
      <w:r/>
    </w:p>
    <w:p>
      <w:pPr>
        <w:rPr>
          <w:sz w:val="24"/>
          <w:szCs w:val="20"/>
          <w:highlight w:val="none"/>
        </w:rPr>
      </w:pPr>
      <w:r>
        <w:rPr>
          <w:rFonts w:hint="eastAsia"/>
          <w:sz w:val="24"/>
          <w:szCs w:val="20"/>
          <w:highlight w:val="none"/>
        </w:rPr>
        <w:t xml:space="preserve">9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83"/>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w:t>
      </w:r>
      <w:r>
        <w:rPr>
          <w:rFonts w:hint="eastAsia" w:ascii="宋体" w:hAnsi="宋体" w:cs="宋体"/>
          <w:b/>
          <w:sz w:val="24"/>
          <w:highlight w:val="none"/>
          <w:lang w:val="en-US" w:eastAsia="zh-CN"/>
        </w:rPr>
        <w:t xml:space="preserve">人</w:t>
      </w:r>
      <w:r>
        <w:rPr>
          <w:rFonts w:hint="eastAsia" w:ascii="宋体" w:hAnsi="宋体" w:cs="宋体"/>
          <w:b/>
          <w:sz w:val="24"/>
          <w:highlight w:val="none"/>
          <w:lang w:val="zh-CN"/>
        </w:rPr>
        <w:t xml:space="preserve">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2"/>
          <w:highlight w:val="none"/>
        </w:rPr>
      </w:pPr>
      <w:r/>
      <w:bookmarkStart w:id="777" w:name="_Toc288738839"/>
      <w:r/>
      <w:bookmarkStart w:id="778" w:name="_Toc288738397"/>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rFonts w:hint="eastAsia"/>
          <w:sz w:val="22"/>
          <w:highlight w:val="none"/>
        </w:rPr>
      </w:pPr>
      <w:r>
        <w:rPr>
          <w:rFonts w:hint="eastAsia"/>
          <w:sz w:val="22"/>
          <w:highlight w:val="none"/>
        </w:rPr>
      </w:r>
      <w:r/>
    </w:p>
    <w:p>
      <w:pPr>
        <w:rPr>
          <w:sz w:val="24"/>
          <w:szCs w:val="20"/>
          <w:highlight w:val="none"/>
        </w:rPr>
      </w:pPr>
      <w:r>
        <w:rPr>
          <w:rFonts w:hint="eastAsia"/>
          <w:sz w:val="24"/>
          <w:szCs w:val="20"/>
          <w:highlight w:val="none"/>
        </w:rPr>
        <w:t xml:space="preserve">10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77"/>
      <w:r/>
      <w:bookmarkEnd w:id="77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8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b/>
          <w:sz w:val="24"/>
          <w:highlight w:val="none"/>
        </w:rPr>
      </w:pPr>
      <w:r>
        <w:rPr>
          <w:b/>
          <w:sz w:val="24"/>
          <w:highlight w:val="none"/>
        </w:rPr>
      </w:r>
      <w:r/>
    </w:p>
    <w:p>
      <w:pPr>
        <w:spacing w:line="360" w:lineRule="auto"/>
        <w:rPr>
          <w:rFonts w:ascii="宋体" w:hAnsi="宋体"/>
          <w:sz w:val="24"/>
          <w:highlight w:val="none"/>
        </w:rPr>
      </w:pPr>
      <w:r>
        <w:rPr>
          <w:rFonts w:hint="eastAsia"/>
          <w:sz w:val="24"/>
          <w:szCs w:val="20"/>
          <w:highlight w:val="none"/>
        </w:rPr>
        <w:t xml:space="preserve">11  </w:t>
      </w:r>
      <w:r>
        <w:rPr>
          <w:rFonts w:hint="eastAsia" w:ascii="宋体" w:hAnsi="宋体"/>
          <w:sz w:val="24"/>
          <w:highlight w:val="none"/>
        </w:rPr>
        <w:t xml:space="preserve">投标承诺书</w:t>
      </w:r>
      <w:r>
        <w:rPr>
          <w:rFonts w:ascii="宋体" w:hAnsi="宋体"/>
          <w:sz w:val="24"/>
          <w:highlight w:val="none"/>
        </w:rPr>
        <w:t xml:space="preserve">（实质性格式）</w:t>
      </w:r>
      <w:r/>
    </w:p>
    <w:p>
      <w:pPr>
        <w:jc w:val="center"/>
        <w:spacing w:line="360" w:lineRule="auto"/>
        <w:rPr>
          <w:rFonts w:ascii="宋体" w:hAnsi="宋体"/>
          <w:sz w:val="24"/>
          <w:highlight w:val="none"/>
        </w:rPr>
      </w:pPr>
      <w:r>
        <w:rPr>
          <w:rFonts w:hint="eastAsia" w:ascii="宋体" w:hAnsi="宋体"/>
          <w:sz w:val="24"/>
          <w:highlight w:val="none"/>
        </w:rPr>
        <w:t xml:space="preserve">投 标 承 诺 书</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u w:val="single"/>
        </w:rPr>
      </w:pPr>
      <w:r>
        <w:rPr>
          <w:rFonts w:hint="eastAsia" w:ascii="宋体" w:hAnsi="宋体"/>
          <w:sz w:val="24"/>
          <w:highlight w:val="none"/>
          <w:u w:val="single"/>
        </w:rPr>
        <w:t xml:space="preserve">（采购人）：</w:t>
      </w:r>
      <w:r/>
    </w:p>
    <w:p>
      <w:pPr>
        <w:ind w:firstLine="480"/>
        <w:spacing w:line="360" w:lineRule="auto"/>
        <w:rPr>
          <w:rFonts w:ascii="宋体" w:hAnsi="宋体"/>
          <w:sz w:val="24"/>
          <w:highlight w:val="none"/>
        </w:rPr>
      </w:pPr>
      <w:r>
        <w:rPr>
          <w:rFonts w:hint="eastAsia" w:ascii="宋体" w:hAnsi="宋体"/>
          <w:sz w:val="24"/>
          <w:highlight w:val="none"/>
        </w:rPr>
        <w:t xml:space="preserve">我们参加贵单位组织的</w:t>
      </w:r>
      <w:r>
        <w:rPr>
          <w:rFonts w:hint="eastAsia" w:ascii="宋体" w:hAnsi="宋体"/>
          <w:sz w:val="24"/>
          <w:highlight w:val="none"/>
          <w:u w:val="single"/>
        </w:rPr>
        <w:t xml:space="preserve">                 （项目名称、标段号）</w:t>
      </w:r>
      <w:r>
        <w:rPr>
          <w:rFonts w:hint="eastAsia" w:ascii="宋体" w:hAnsi="宋体"/>
          <w:sz w:val="24"/>
          <w:highlight w:val="none"/>
        </w:rPr>
        <w:t xml:space="preserve"> 投标，我单位承诺：一旦我单位中标，</w:t>
      </w:r>
      <w:r/>
    </w:p>
    <w:p>
      <w:pPr>
        <w:ind w:firstLine="480"/>
        <w:spacing w:line="360" w:lineRule="auto"/>
        <w:rPr>
          <w:rFonts w:ascii="宋体" w:hAnsi="宋体"/>
          <w:sz w:val="24"/>
          <w:highlight w:val="none"/>
        </w:rPr>
      </w:pPr>
      <w:r>
        <w:rPr>
          <w:rFonts w:hint="eastAsia" w:ascii="宋体" w:hAnsi="宋体"/>
          <w:sz w:val="24"/>
          <w:highlight w:val="none"/>
        </w:rPr>
        <w:t xml:space="preserve">1、保证作业人员配备不低于</w:t>
      </w:r>
      <w:r>
        <w:rPr>
          <w:rFonts w:hint="eastAsia" w:ascii="宋体" w:hAnsi="宋体"/>
          <w:sz w:val="24"/>
          <w:highlight w:val="none"/>
          <w:lang w:val="en-US" w:eastAsia="zh-CN"/>
        </w:rPr>
        <w:t xml:space="preserve">中招标</w:t>
      </w:r>
      <w:r>
        <w:rPr>
          <w:rFonts w:hint="eastAsia" w:ascii="宋体" w:hAnsi="宋体"/>
          <w:sz w:val="24"/>
          <w:highlight w:val="none"/>
        </w:rPr>
        <w:t xml:space="preserve">文件要求（</w:t>
      </w:r>
      <w:r>
        <w:rPr>
          <w:rFonts w:hint="eastAsia" w:ascii="宋体" w:hAnsi="宋体"/>
          <w:sz w:val="24"/>
          <w:highlight w:val="none"/>
          <w:lang w:val="en-US" w:eastAsia="zh-CN"/>
        </w:rPr>
        <w:t xml:space="preserve">01-13标段</w:t>
      </w:r>
      <w:r>
        <w:rPr>
          <w:rFonts w:hint="eastAsia" w:ascii="宋体" w:hAnsi="宋体"/>
          <w:sz w:val="24"/>
          <w:highlight w:val="none"/>
        </w:rPr>
        <w:t xml:space="preserve">每标段最低配备10名养护人员）；</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、保证作业人员工资不低于溧阳市最低工资标准；</w:t>
      </w:r>
      <w:r/>
    </w:p>
    <w:p>
      <w:pPr>
        <w:ind w:firstLine="480"/>
        <w:spacing w:line="360" w:lineRule="auto"/>
        <w:rPr>
          <w:rFonts w:ascii="宋体" w:hAnsi="宋体"/>
          <w:sz w:val="24"/>
          <w:highlight w:val="none"/>
        </w:rPr>
      </w:pPr>
      <w:r>
        <w:rPr>
          <w:rFonts w:hint="eastAsia" w:ascii="宋体" w:hAnsi="宋体"/>
          <w:sz w:val="24"/>
          <w:highlight w:val="none"/>
        </w:rPr>
        <w:t xml:space="preserve">3、保证按时足额缴纳各项税费，支付“五金”、商业险、高温费、加班费、劳保费、过节费、补贴等及合同要求的其他人员费用，并建立职工有关档案。</w:t>
      </w:r>
      <w:r/>
    </w:p>
    <w:p>
      <w:pPr>
        <w:ind w:firstLine="480"/>
        <w:spacing w:line="360" w:lineRule="auto"/>
        <w:rPr>
          <w:rFonts w:ascii="宋体" w:hAnsi="宋体"/>
          <w:sz w:val="24"/>
          <w:highlight w:val="none"/>
        </w:rPr>
      </w:pPr>
      <w:r>
        <w:rPr>
          <w:rFonts w:hint="eastAsia" w:ascii="宋体" w:hAnsi="宋体"/>
          <w:sz w:val="24"/>
          <w:highlight w:val="none"/>
        </w:rPr>
        <w:t xml:space="preserve">4、保证按要求足额配置作业机具。</w:t>
      </w:r>
      <w:r/>
    </w:p>
    <w:p>
      <w:pPr>
        <w:ind w:firstLine="480"/>
        <w:spacing w:line="360" w:lineRule="auto"/>
        <w:rPr>
          <w:rFonts w:ascii="宋体" w:hAnsi="宋体"/>
          <w:sz w:val="24"/>
          <w:highlight w:val="none"/>
        </w:rPr>
      </w:pPr>
      <w:r>
        <w:rPr>
          <w:rFonts w:hint="eastAsia" w:ascii="宋体" w:hAnsi="宋体"/>
          <w:sz w:val="24"/>
          <w:highlight w:val="none"/>
        </w:rPr>
        <w:t xml:space="preserve">5、保证在中标通知书发出后1周内在溧阳市内具有能满足办公、仓储等要求的办公经营场所。</w:t>
      </w:r>
      <w:r/>
    </w:p>
    <w:p>
      <w:pPr>
        <w:ind w:firstLine="480"/>
        <w:spacing w:line="360" w:lineRule="auto"/>
        <w:rPr>
          <w:rFonts w:ascii="宋体" w:hAnsi="宋体"/>
          <w:sz w:val="24"/>
          <w:highlight w:val="none"/>
        </w:rPr>
      </w:pPr>
      <w:r>
        <w:rPr>
          <w:rFonts w:hint="eastAsia" w:ascii="宋体" w:hAnsi="宋体"/>
          <w:sz w:val="24"/>
          <w:highlight w:val="none"/>
        </w:rPr>
        <w:t xml:space="preserve">如违反上述承诺，我单位自愿承担违约责任，采购人有权拒绝支付费用，并有权进行经济处罚，直至解除合同。</w:t>
      </w:r>
      <w:r/>
    </w:p>
    <w:p>
      <w:pPr>
        <w:spacing w:line="360" w:lineRule="auto"/>
        <w:rPr>
          <w:rFonts w:ascii="宋体" w:hAnsi="宋体"/>
          <w:sz w:val="24"/>
          <w:highlight w:val="none"/>
        </w:rPr>
      </w:pPr>
      <w:r>
        <w:rPr>
          <w:rFonts w:ascii="宋体" w:hAnsi="宋体"/>
          <w:sz w:val="24"/>
          <w:highlight w:val="none"/>
        </w:rPr>
      </w:r>
      <w:r/>
    </w:p>
    <w:p>
      <w:pPr>
        <w:ind w:firstLine="480"/>
        <w:spacing w:line="360" w:lineRule="auto"/>
        <w:tabs>
          <w:tab w:val="left" w:pos="5025" w:leader="none"/>
        </w:tabs>
        <w:rPr>
          <w:sz w:val="24"/>
          <w:highlight w:val="none"/>
        </w:rPr>
      </w:pPr>
      <w:r>
        <w:rPr>
          <w:rFonts w:hint="eastAsia" w:ascii="宋体" w:hAnsi="宋体"/>
          <w:sz w:val="24"/>
          <w:highlight w:val="none"/>
        </w:rPr>
        <w:t xml:space="preserve">        </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投标</w:t>
      </w:r>
      <w:r>
        <w:rPr>
          <w:rFonts w:hint="eastAsia" w:ascii="宋体" w:hAnsi="宋体"/>
          <w:sz w:val="24"/>
          <w:highlight w:val="none"/>
          <w:lang w:val="en-US" w:eastAsia="zh-CN"/>
        </w:rPr>
        <w:t xml:space="preserve">人</w:t>
      </w:r>
      <w:r>
        <w:rPr>
          <w:rFonts w:ascii="宋体" w:hAnsi="宋体"/>
          <w:sz w:val="24"/>
          <w:highlight w:val="none"/>
        </w:rPr>
        <w:t xml:space="preserve">名称（加盖公章）：____________</w:t>
      </w:r>
      <w:r/>
    </w:p>
    <w:p>
      <w:pPr>
        <w:spacing w:line="360" w:lineRule="auto"/>
        <w:rPr>
          <w:rFonts w:ascii="宋体" w:hAnsi="宋体"/>
          <w:sz w:val="24"/>
          <w:highlight w:val="none"/>
        </w:rPr>
      </w:pPr>
      <w:r>
        <w:rPr>
          <w:rFonts w:hint="eastAsia" w:ascii="宋体" w:hAnsi="宋体"/>
          <w:sz w:val="24"/>
          <w:highlight w:val="none"/>
        </w:rPr>
        <w:t xml:space="preserve">                          法定代表人（签字或签章）：</w:t>
      </w:r>
      <w:r>
        <w:rPr>
          <w:rFonts w:ascii="宋体" w:hAnsi="宋体"/>
          <w:sz w:val="24"/>
          <w:highlight w:val="none"/>
        </w:rPr>
        <w:t xml:space="preserve">____________</w:t>
      </w:r>
      <w:r/>
    </w:p>
    <w:p>
      <w:pPr>
        <w:ind w:firstLine="3120"/>
        <w:spacing w:line="360" w:lineRule="auto"/>
        <w:rPr>
          <w:rFonts w:ascii="宋体" w:hAnsi="宋体"/>
          <w:sz w:val="24"/>
          <w:highlight w:val="none"/>
        </w:rPr>
      </w:pPr>
      <w:r>
        <w:rPr>
          <w:rFonts w:ascii="宋体" w:hAnsi="宋体"/>
          <w:sz w:val="24"/>
          <w:highlight w:val="none"/>
        </w:rPr>
        <w:t xml:space="preserve">日期：_____年______月______日   </w:t>
      </w:r>
      <w:r/>
    </w:p>
    <w:p>
      <w:pPr>
        <w:spacing w:line="360" w:lineRule="auto"/>
        <w:rPr>
          <w:rFonts w:ascii="宋体" w:hAnsi="宋体"/>
          <w:sz w:val="24"/>
          <w:highlight w:val="none"/>
        </w:rPr>
      </w:pPr>
      <w:r>
        <w:rPr>
          <w:rFonts w:ascii="宋体" w:hAnsi="宋体"/>
          <w:sz w:val="24"/>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rFonts w:hint="eastAsia"/>
          <w:sz w:val="24"/>
          <w:szCs w:val="20"/>
          <w:highlight w:val="none"/>
        </w:rPr>
        <w:t xml:space="preserve">12   </w:t>
      </w:r>
      <w:r>
        <w:rPr>
          <w:rFonts w:hint="default" w:ascii="Times New Roman" w:hAnsi="Times New Roman" w:eastAsia="宋体" w:cs="Times New Roman"/>
          <w:color w:val="000000"/>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8" w:right="1134" w:bottom="1418"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p>
  <w:p>
    <w:pPr>
      <w:pStyle w:val="103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p>
  <w:p>
    <w:pPr>
      <w:pStyle w:val="1037"/>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p>
  <w:p>
    <w:pPr>
      <w:pStyle w:val="1037"/>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rPr>
        <w:rFonts w:hint="default" w:eastAsia="宋体"/>
        <w:lang w:val="en-US" w:eastAsia="zh-CN"/>
      </w:rPr>
    </w:pPr>
    <w:r>
      <w:rPr>
        <w:rFonts w:hint="eastAsia"/>
        <w:lang w:val="en-US" w:eastAsia="zh-CN"/>
      </w:rPr>
      <w:t xml:space="preserve">溧阳普弘信工程项目管理有限公司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4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2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9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9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2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2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35"/>
      <w:isLgl w:val="false"/>
      <w:suff w:val="nothing"/>
      <w:lvlText w:val="%1.%2.%3.%4.%5.%6　"/>
      <w:lvlJc w:val="left"/>
      <w:pPr>
        <w:ind w:left="-25" w:firstLine="0"/>
      </w:pPr>
      <w:rPr>
        <w:rFonts w:ascii="Times New Roman" w:hAnsi="Times New Roman" w:eastAsia="宋体"/>
        <w:b/>
        <w:i w:val="0"/>
        <w:sz w:val="28"/>
      </w:rPr>
    </w:lvl>
    <w:lvl w:ilvl="6">
      <w:start w:val="1"/>
      <w:numFmt w:val="lowerLetter"/>
      <w:pStyle w:val="114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1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97"/>
      <w:isLgl w:val="false"/>
      <w:suff w:val="tab"/>
      <w:lvlText w:val="%1"/>
      <w:lvlJc w:val="left"/>
      <w:pPr>
        <w:ind w:left="680" w:hanging="680"/>
      </w:pPr>
      <w:rPr>
        <w:rFonts w:hint="eastAsia" w:ascii="宋体" w:hAnsi="宋体" w:eastAsia="宋体"/>
      </w:rPr>
    </w:lvl>
    <w:lvl w:ilvl="1">
      <w:start w:val="1"/>
      <w:numFmt w:val="decimal"/>
      <w:pStyle w:val="1198"/>
      <w:isLgl w:val="false"/>
      <w:suff w:val="tab"/>
      <w:lvlText w:val="%1.%2"/>
      <w:lvlJc w:val="left"/>
      <w:pPr>
        <w:ind w:left="851" w:hanging="851"/>
      </w:pPr>
      <w:rPr>
        <w:rFonts w:hint="eastAsia" w:ascii="宋体" w:hAnsi="宋体" w:eastAsia="宋体"/>
        <w:color w:val="000000"/>
      </w:rPr>
    </w:lvl>
    <w:lvl w:ilvl="2">
      <w:start w:val="1"/>
      <w:numFmt w:val="decimal"/>
      <w:pStyle w:val="11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9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9"/>
  </w:num>
  <w:num w:numId="11">
    <w:abstractNumId w:val="0"/>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84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43"/>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44"/>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45"/>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46"/>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847"/>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49"/>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50"/>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Caption"/>
    <w:basedOn w:val="772"/>
    <w:next w:val="772"/>
    <w:uiPriority w:val="35"/>
    <w:semiHidden/>
    <w:unhideWhenUsed/>
    <w:qFormat/>
    <w:pPr>
      <w:spacing w:line="276" w:lineRule="auto"/>
    </w:pPr>
    <w:rPr>
      <w:b/>
      <w:bCs/>
      <w:color w:val="4f81bd"/>
      <w:sz w:val="18"/>
      <w:szCs w:val="18"/>
    </w:rPr>
  </w:style>
  <w:style w:type="paragraph" w:styleId="786">
    <w:name w:val="toc 5"/>
    <w:basedOn w:val="772"/>
    <w:next w:val="772"/>
    <w:uiPriority w:val="39"/>
    <w:unhideWhenUsed/>
    <w:qFormat/>
    <w:pPr>
      <w:ind w:left="1134"/>
      <w:spacing w:after="57"/>
    </w:pPr>
  </w:style>
  <w:style w:type="paragraph" w:styleId="787">
    <w:name w:val="toc 3"/>
    <w:basedOn w:val="772"/>
    <w:next w:val="772"/>
    <w:uiPriority w:val="39"/>
    <w:unhideWhenUsed/>
    <w:qFormat/>
    <w:pPr>
      <w:ind w:left="567"/>
      <w:spacing w:after="57"/>
    </w:pPr>
  </w:style>
  <w:style w:type="paragraph" w:styleId="788">
    <w:name w:val="toc 8"/>
    <w:basedOn w:val="772"/>
    <w:next w:val="772"/>
    <w:uiPriority w:val="39"/>
    <w:unhideWhenUsed/>
    <w:qFormat/>
    <w:pPr>
      <w:ind w:left="1984"/>
      <w:spacing w:after="57"/>
    </w:pPr>
  </w:style>
  <w:style w:type="paragraph" w:styleId="789">
    <w:name w:val="endnote text"/>
    <w:basedOn w:val="772"/>
    <w:link w:val="988"/>
    <w:uiPriority w:val="99"/>
    <w:semiHidden/>
    <w:unhideWhenUsed/>
    <w:qFormat/>
    <w:rPr>
      <w:sz w:val="20"/>
    </w:rPr>
  </w:style>
  <w:style w:type="paragraph" w:styleId="790">
    <w:name w:val="Footer"/>
    <w:basedOn w:val="772"/>
    <w:link w:val="861"/>
    <w:uiPriority w:val="99"/>
    <w:unhideWhenUsed/>
    <w:qFormat/>
    <w:pPr>
      <w:tabs>
        <w:tab w:val="center" w:pos="7143" w:leader="none"/>
        <w:tab w:val="right" w:pos="14287" w:leader="none"/>
      </w:tabs>
    </w:pPr>
  </w:style>
  <w:style w:type="paragraph" w:styleId="791">
    <w:name w:val="Header"/>
    <w:basedOn w:val="772"/>
    <w:link w:val="859"/>
    <w:uiPriority w:val="99"/>
    <w:unhideWhenUsed/>
    <w:qFormat/>
    <w:pPr>
      <w:tabs>
        <w:tab w:val="center" w:pos="7143" w:leader="none"/>
        <w:tab w:val="right" w:pos="14287" w:leader="none"/>
      </w:tabs>
    </w:pPr>
  </w:style>
  <w:style w:type="paragraph" w:styleId="792">
    <w:name w:val="toc 1"/>
    <w:basedOn w:val="772"/>
    <w:next w:val="772"/>
    <w:uiPriority w:val="39"/>
    <w:unhideWhenUsed/>
    <w:qFormat/>
    <w:pPr>
      <w:spacing w:after="57"/>
    </w:pPr>
  </w:style>
  <w:style w:type="paragraph" w:styleId="793">
    <w:name w:val="toc 4"/>
    <w:basedOn w:val="772"/>
    <w:next w:val="772"/>
    <w:uiPriority w:val="39"/>
    <w:unhideWhenUsed/>
    <w:qFormat/>
    <w:pPr>
      <w:ind w:left="850"/>
      <w:spacing w:after="57"/>
    </w:pPr>
  </w:style>
  <w:style w:type="paragraph" w:styleId="794">
    <w:name w:val="Subtitle"/>
    <w:basedOn w:val="772"/>
    <w:next w:val="772"/>
    <w:link w:val="854"/>
    <w:uiPriority w:val="11"/>
    <w:qFormat/>
    <w:pPr>
      <w:spacing w:before="200" w:after="200"/>
    </w:pPr>
    <w:rPr>
      <w:sz w:val="24"/>
    </w:rPr>
  </w:style>
  <w:style w:type="paragraph" w:styleId="795">
    <w:name w:val="footnote text"/>
    <w:basedOn w:val="772"/>
    <w:link w:val="987"/>
    <w:uiPriority w:val="99"/>
    <w:semiHidden/>
    <w:unhideWhenUsed/>
    <w:qFormat/>
    <w:pPr>
      <w:spacing w:after="40"/>
    </w:pPr>
    <w:rPr>
      <w:sz w:val="18"/>
    </w:rPr>
  </w:style>
  <w:style w:type="paragraph" w:styleId="796">
    <w:name w:val="toc 6"/>
    <w:basedOn w:val="772"/>
    <w:next w:val="772"/>
    <w:uiPriority w:val="39"/>
    <w:unhideWhenUsed/>
    <w:qFormat/>
    <w:pPr>
      <w:ind w:left="1417"/>
      <w:spacing w:after="57"/>
    </w:pPr>
  </w:style>
  <w:style w:type="paragraph" w:styleId="797">
    <w:name w:val="table of figures"/>
    <w:basedOn w:val="772"/>
    <w:next w:val="772"/>
    <w:uiPriority w:val="99"/>
    <w:unhideWhenUsed/>
    <w:qFormat/>
  </w:style>
  <w:style w:type="paragraph" w:styleId="798">
    <w:name w:val="toc 2"/>
    <w:basedOn w:val="772"/>
    <w:next w:val="772"/>
    <w:uiPriority w:val="39"/>
    <w:unhideWhenUsed/>
    <w:qFormat/>
    <w:pPr>
      <w:ind w:left="283"/>
      <w:spacing w:after="57"/>
    </w:pPr>
  </w:style>
  <w:style w:type="paragraph" w:styleId="799">
    <w:name w:val="toc 9"/>
    <w:basedOn w:val="772"/>
    <w:next w:val="772"/>
    <w:uiPriority w:val="39"/>
    <w:unhideWhenUsed/>
    <w:qFormat/>
    <w:pPr>
      <w:ind w:left="2268"/>
      <w:spacing w:after="57"/>
    </w:pPr>
  </w:style>
  <w:style w:type="paragraph" w:styleId="800">
    <w:name w:val="Title"/>
    <w:basedOn w:val="772"/>
    <w:next w:val="772"/>
    <w:link w:val="853"/>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u w:val="single"/>
    </w:rPr>
  </w:style>
  <w:style w:type="character" w:styleId="804">
    <w:name w:val="footnote reference"/>
    <w:uiPriority w:val="99"/>
    <w:unhideWhenUsed/>
    <w:qFormat/>
    <w:rPr>
      <w:vertAlign w:val="superscript"/>
    </w:rPr>
  </w:style>
  <w:style w:type="character" w:styleId="805" w:customStyle="1">
    <w:name w:val="Heading 1 Char"/>
    <w:basedOn w:val="782"/>
    <w:uiPriority w:val="9"/>
    <w:qFormat/>
    <w:rPr>
      <w:rFonts w:ascii="Arial" w:hAnsi="Arial" w:eastAsia="Arial" w:cs="Arial"/>
      <w:sz w:val="40"/>
      <w:szCs w:val="40"/>
    </w:rPr>
  </w:style>
  <w:style w:type="character" w:styleId="806" w:customStyle="1">
    <w:name w:val="Heading 2 Char"/>
    <w:basedOn w:val="782"/>
    <w:uiPriority w:val="9"/>
    <w:qFormat/>
    <w:rPr>
      <w:rFonts w:ascii="Arial" w:hAnsi="Arial" w:eastAsia="Arial" w:cs="Arial"/>
      <w:sz w:val="34"/>
    </w:rPr>
  </w:style>
  <w:style w:type="character" w:styleId="807" w:customStyle="1">
    <w:name w:val="Heading 3 Char"/>
    <w:basedOn w:val="782"/>
    <w:uiPriority w:val="9"/>
    <w:qFormat/>
    <w:rPr>
      <w:rFonts w:ascii="Arial" w:hAnsi="Arial" w:eastAsia="Arial" w:cs="Arial"/>
      <w:sz w:val="30"/>
      <w:szCs w:val="30"/>
    </w:rPr>
  </w:style>
  <w:style w:type="character" w:styleId="808" w:customStyle="1">
    <w:name w:val="Heading 4 Char"/>
    <w:basedOn w:val="782"/>
    <w:uiPriority w:val="9"/>
    <w:qFormat/>
    <w:rPr>
      <w:rFonts w:ascii="Arial" w:hAnsi="Arial" w:eastAsia="Arial" w:cs="Arial"/>
      <w:b/>
      <w:bCs/>
      <w:sz w:val="26"/>
      <w:szCs w:val="26"/>
    </w:rPr>
  </w:style>
  <w:style w:type="character" w:styleId="809" w:customStyle="1">
    <w:name w:val="Heading 5 Char"/>
    <w:basedOn w:val="782"/>
    <w:uiPriority w:val="9"/>
    <w:qFormat/>
    <w:rPr>
      <w:rFonts w:ascii="Arial" w:hAnsi="Arial" w:eastAsia="Arial" w:cs="Arial"/>
      <w:b/>
      <w:bCs/>
      <w:sz w:val="24"/>
      <w:szCs w:val="24"/>
    </w:rPr>
  </w:style>
  <w:style w:type="character" w:styleId="810" w:customStyle="1">
    <w:name w:val="Heading 6 Char"/>
    <w:basedOn w:val="782"/>
    <w:uiPriority w:val="9"/>
    <w:qFormat/>
    <w:rPr>
      <w:rFonts w:ascii="Arial" w:hAnsi="Arial" w:eastAsia="Arial" w:cs="Arial"/>
      <w:b/>
      <w:bCs/>
      <w:sz w:val="22"/>
      <w:szCs w:val="22"/>
    </w:rPr>
  </w:style>
  <w:style w:type="character" w:styleId="811" w:customStyle="1">
    <w:name w:val="Heading 7 Char"/>
    <w:basedOn w:val="782"/>
    <w:uiPriority w:val="9"/>
    <w:qFormat/>
    <w:rPr>
      <w:rFonts w:ascii="Arial" w:hAnsi="Arial" w:eastAsia="Arial" w:cs="Arial"/>
      <w:b/>
      <w:bCs/>
      <w:i/>
      <w:iCs/>
      <w:sz w:val="22"/>
      <w:szCs w:val="22"/>
    </w:rPr>
  </w:style>
  <w:style w:type="character" w:styleId="812" w:customStyle="1">
    <w:name w:val="Heading 8 Char"/>
    <w:basedOn w:val="782"/>
    <w:uiPriority w:val="9"/>
    <w:qFormat/>
    <w:rPr>
      <w:rFonts w:ascii="Arial" w:hAnsi="Arial" w:eastAsia="Arial" w:cs="Arial"/>
      <w:i/>
      <w:iCs/>
      <w:sz w:val="22"/>
      <w:szCs w:val="22"/>
    </w:rPr>
  </w:style>
  <w:style w:type="character" w:styleId="813" w:customStyle="1">
    <w:name w:val="Heading 9 Char"/>
    <w:basedOn w:val="782"/>
    <w:uiPriority w:val="9"/>
    <w:qFormat/>
    <w:rPr>
      <w:rFonts w:ascii="Arial" w:hAnsi="Arial" w:eastAsia="Arial" w:cs="Arial"/>
      <w:i/>
      <w:iCs/>
      <w:sz w:val="21"/>
      <w:szCs w:val="21"/>
    </w:rPr>
  </w:style>
  <w:style w:type="character" w:styleId="814" w:customStyle="1">
    <w:name w:val="Title Char"/>
    <w:basedOn w:val="782"/>
    <w:uiPriority w:val="10"/>
    <w:qFormat/>
    <w:rPr>
      <w:sz w:val="48"/>
      <w:szCs w:val="48"/>
    </w:rPr>
  </w:style>
  <w:style w:type="character" w:styleId="815" w:customStyle="1">
    <w:name w:val="Subtitle Char"/>
    <w:basedOn w:val="782"/>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qFormat/>
    <w:rPr>
      <w:i/>
    </w:rPr>
  </w:style>
  <w:style w:type="character" w:styleId="818" w:customStyle="1">
    <w:name w:val="Header Char"/>
    <w:basedOn w:val="782"/>
    <w:uiPriority w:val="99"/>
    <w:qFormat/>
  </w:style>
  <w:style w:type="character" w:styleId="819" w:customStyle="1">
    <w:name w:val="Caption Char"/>
    <w:uiPriority w:val="99"/>
    <w:qFormat/>
  </w:style>
  <w:style w:type="table" w:styleId="820"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1"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7"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8"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character" w:styleId="842" w:customStyle="1">
    <w:name w:val="标题 1 字符"/>
    <w:link w:val="773"/>
    <w:uiPriority w:val="9"/>
    <w:qFormat/>
    <w:rPr>
      <w:rFonts w:ascii="Arial" w:hAnsi="Arial" w:eastAsia="Arial" w:cs="Arial"/>
      <w:sz w:val="40"/>
      <w:szCs w:val="40"/>
    </w:rPr>
  </w:style>
  <w:style w:type="character" w:styleId="843" w:customStyle="1">
    <w:name w:val="标题 2 字符"/>
    <w:link w:val="774"/>
    <w:uiPriority w:val="9"/>
    <w:qFormat/>
    <w:rPr>
      <w:rFonts w:ascii="Arial" w:hAnsi="Arial" w:eastAsia="Arial" w:cs="Arial"/>
      <w:sz w:val="34"/>
    </w:rPr>
  </w:style>
  <w:style w:type="character" w:styleId="844" w:customStyle="1">
    <w:name w:val="标题 3 字符"/>
    <w:link w:val="775"/>
    <w:uiPriority w:val="9"/>
    <w:qFormat/>
    <w:rPr>
      <w:rFonts w:ascii="Arial" w:hAnsi="Arial" w:eastAsia="Arial" w:cs="Arial"/>
      <w:sz w:val="30"/>
      <w:szCs w:val="30"/>
    </w:rPr>
  </w:style>
  <w:style w:type="character" w:styleId="845" w:customStyle="1">
    <w:name w:val="标题 4 字符"/>
    <w:link w:val="776"/>
    <w:uiPriority w:val="9"/>
    <w:qFormat/>
    <w:rPr>
      <w:rFonts w:ascii="Arial" w:hAnsi="Arial" w:eastAsia="Arial" w:cs="Arial"/>
      <w:b/>
      <w:bCs/>
      <w:sz w:val="26"/>
      <w:szCs w:val="26"/>
    </w:rPr>
  </w:style>
  <w:style w:type="character" w:styleId="846" w:customStyle="1">
    <w:name w:val="标题 5 字符"/>
    <w:link w:val="777"/>
    <w:uiPriority w:val="9"/>
    <w:qFormat/>
    <w:rPr>
      <w:rFonts w:ascii="Arial" w:hAnsi="Arial" w:eastAsia="Arial" w:cs="Arial"/>
      <w:b/>
      <w:bCs/>
      <w:sz w:val="24"/>
      <w:szCs w:val="24"/>
    </w:rPr>
  </w:style>
  <w:style w:type="character" w:styleId="847" w:customStyle="1">
    <w:name w:val="标题 6 字符"/>
    <w:link w:val="778"/>
    <w:uiPriority w:val="9"/>
    <w:qFormat/>
    <w:rPr>
      <w:rFonts w:ascii="Arial" w:hAnsi="Arial" w:eastAsia="Arial" w:cs="Arial"/>
      <w:b/>
      <w:bCs/>
      <w:sz w:val="22"/>
      <w:szCs w:val="22"/>
    </w:rPr>
  </w:style>
  <w:style w:type="character" w:styleId="848" w:customStyle="1">
    <w:name w:val="标题 7 字符"/>
    <w:link w:val="779"/>
    <w:uiPriority w:val="9"/>
    <w:qFormat/>
    <w:rPr>
      <w:rFonts w:ascii="Arial" w:hAnsi="Arial" w:eastAsia="Arial" w:cs="Arial"/>
      <w:b/>
      <w:bCs/>
      <w:i/>
      <w:iCs/>
      <w:sz w:val="22"/>
      <w:szCs w:val="22"/>
    </w:rPr>
  </w:style>
  <w:style w:type="character" w:styleId="849" w:customStyle="1">
    <w:name w:val="标题 8 字符"/>
    <w:link w:val="780"/>
    <w:uiPriority w:val="9"/>
    <w:qFormat/>
    <w:rPr>
      <w:rFonts w:ascii="Arial" w:hAnsi="Arial" w:eastAsia="Arial" w:cs="Arial"/>
      <w:i/>
      <w:iCs/>
      <w:sz w:val="22"/>
      <w:szCs w:val="22"/>
    </w:rPr>
  </w:style>
  <w:style w:type="character" w:styleId="850" w:customStyle="1">
    <w:name w:val="标题 9 字符"/>
    <w:link w:val="781"/>
    <w:uiPriority w:val="9"/>
    <w:qFormat/>
    <w:rPr>
      <w:rFonts w:ascii="Arial" w:hAnsi="Arial" w:eastAsia="Arial" w:cs="Arial"/>
      <w:i/>
      <w:iCs/>
      <w:sz w:val="21"/>
      <w:szCs w:val="21"/>
    </w:rPr>
  </w:style>
  <w:style w:type="paragraph" w:styleId="851">
    <w:name w:val="List Paragraph"/>
    <w:basedOn w:val="772"/>
    <w:uiPriority w:val="34"/>
    <w:qFormat/>
    <w:pPr>
      <w:contextualSpacing/>
      <w:ind w:left="720"/>
    </w:pPr>
  </w:style>
  <w:style w:type="paragraph" w:styleId="852">
    <w:name w:val="No Spacing"/>
    <w:uiPriority w:val="1"/>
    <w:qFormat/>
    <w:rPr>
      <w:rFonts w:hint="default" w:ascii="Times New Roman" w:hAnsi="Times New Roman" w:eastAsia="宋体" w:cs="Times New Roman"/>
      <w:lang w:val="en-US" w:eastAsia="zh-CN" w:bidi="ar-SA"/>
    </w:rPr>
  </w:style>
  <w:style w:type="character" w:styleId="853" w:customStyle="1">
    <w:name w:val="标题 字符"/>
    <w:link w:val="800"/>
    <w:uiPriority w:val="10"/>
    <w:qFormat/>
    <w:rPr>
      <w:sz w:val="48"/>
      <w:szCs w:val="48"/>
    </w:rPr>
  </w:style>
  <w:style w:type="character" w:styleId="854" w:customStyle="1">
    <w:name w:val="副标题 字符"/>
    <w:link w:val="794"/>
    <w:uiPriority w:val="11"/>
    <w:qFormat/>
    <w:rPr>
      <w:sz w:val="24"/>
      <w:szCs w:val="24"/>
    </w:rPr>
  </w:style>
  <w:style w:type="paragraph" w:styleId="855">
    <w:name w:val="Quote"/>
    <w:basedOn w:val="772"/>
    <w:next w:val="772"/>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72"/>
    <w:next w:val="772"/>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91"/>
    <w:uiPriority w:val="99"/>
    <w:qFormat/>
  </w:style>
  <w:style w:type="character" w:styleId="860" w:customStyle="1">
    <w:name w:val="Footer Char"/>
    <w:uiPriority w:val="99"/>
    <w:qFormat/>
  </w:style>
  <w:style w:type="character" w:styleId="861" w:customStyle="1">
    <w:name w:val="页脚 字符"/>
    <w:link w:val="790"/>
    <w:uiPriority w:val="99"/>
    <w:qFormat/>
  </w:style>
  <w:style w:type="table" w:styleId="8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5" w:customStyle="1">
    <w:name w:val="无格式表格 31"/>
    <w:uiPriority w:val="99"/>
    <w:qFormat/>
    <w:tblPr>
      <w:tblCellMar>
        <w:left w:w="0" w:type="dxa"/>
        <w:top w:w="0" w:type="dxa"/>
        <w:right w:w="0" w:type="dxa"/>
        <w:bottom w:w="0" w:type="dxa"/>
      </w:tblCellMar>
    </w:tblPr>
  </w:style>
  <w:style w:type="table" w:styleId="866" w:customStyle="1">
    <w:name w:val="无格式表格 41"/>
    <w:uiPriority w:val="99"/>
    <w:qFormat/>
    <w:tblPr>
      <w:tblCellMar>
        <w:left w:w="0" w:type="dxa"/>
        <w:top w:w="0" w:type="dxa"/>
        <w:right w:w="0" w:type="dxa"/>
        <w:bottom w:w="0" w:type="dxa"/>
      </w:tblCellMar>
    </w:tblPr>
  </w:style>
  <w:style w:type="table" w:styleId="867" w:customStyle="1">
    <w:name w:val="无格式表格 51"/>
    <w:uiPriority w:val="99"/>
    <w:qFormat/>
    <w:tblPr>
      <w:tblCellMar>
        <w:left w:w="0" w:type="dxa"/>
        <w:top w:w="0" w:type="dxa"/>
        <w:right w:w="0" w:type="dxa"/>
        <w:bottom w:w="0" w:type="dxa"/>
      </w:tblCellMar>
    </w:tblPr>
  </w:style>
  <w:style w:type="table" w:styleId="86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7" w:customStyle="1">
    <w:name w:val="清单表 1 浅色1"/>
    <w:uiPriority w:val="99"/>
    <w:qFormat/>
    <w:tblPr>
      <w:tblCellMar>
        <w:left w:w="0" w:type="dxa"/>
        <w:top w:w="0" w:type="dxa"/>
        <w:right w:w="0" w:type="dxa"/>
        <w:bottom w:w="0" w:type="dxa"/>
      </w:tblCellMar>
    </w:tblPr>
  </w:style>
  <w:style w:type="table" w:styleId="918" w:customStyle="1">
    <w:name w:val="List Table 1 Light - Accent 1"/>
    <w:uiPriority w:val="99"/>
    <w:qFormat/>
    <w:tblPr>
      <w:tblCellMar>
        <w:left w:w="0" w:type="dxa"/>
        <w:top w:w="0" w:type="dxa"/>
        <w:right w:w="0" w:type="dxa"/>
        <w:bottom w:w="0" w:type="dxa"/>
      </w:tblCellMar>
    </w:tblPr>
  </w:style>
  <w:style w:type="table" w:styleId="919" w:customStyle="1">
    <w:name w:val="List Table 1 Light - Accent 2"/>
    <w:uiPriority w:val="99"/>
    <w:qFormat/>
    <w:tblPr>
      <w:tblCellMar>
        <w:left w:w="0" w:type="dxa"/>
        <w:top w:w="0" w:type="dxa"/>
        <w:right w:w="0" w:type="dxa"/>
        <w:bottom w:w="0" w:type="dxa"/>
      </w:tblCellMar>
    </w:tblPr>
  </w:style>
  <w:style w:type="table" w:styleId="920" w:customStyle="1">
    <w:name w:val="List Table 1 Light - Accent 3"/>
    <w:uiPriority w:val="99"/>
    <w:qFormat/>
    <w:tblPr>
      <w:tblCellMar>
        <w:left w:w="0" w:type="dxa"/>
        <w:top w:w="0" w:type="dxa"/>
        <w:right w:w="0" w:type="dxa"/>
        <w:bottom w:w="0" w:type="dxa"/>
      </w:tblCellMar>
    </w:tblPr>
  </w:style>
  <w:style w:type="table" w:styleId="921" w:customStyle="1">
    <w:name w:val="List Table 1 Light - Accent 4"/>
    <w:uiPriority w:val="99"/>
    <w:qFormat/>
    <w:tblPr>
      <w:tblCellMar>
        <w:left w:w="0" w:type="dxa"/>
        <w:top w:w="0" w:type="dxa"/>
        <w:right w:w="0" w:type="dxa"/>
        <w:bottom w:w="0" w:type="dxa"/>
      </w:tblCellMar>
    </w:tblPr>
  </w:style>
  <w:style w:type="table" w:styleId="922" w:customStyle="1">
    <w:name w:val="List Table 1 Light - Accent 5"/>
    <w:uiPriority w:val="99"/>
    <w:qFormat/>
    <w:tblPr>
      <w:tblCellMar>
        <w:left w:w="0" w:type="dxa"/>
        <w:top w:w="0" w:type="dxa"/>
        <w:right w:w="0" w:type="dxa"/>
        <w:bottom w:w="0" w:type="dxa"/>
      </w:tblCellMar>
    </w:tblPr>
  </w:style>
  <w:style w:type="table" w:styleId="923" w:customStyle="1">
    <w:name w:val="List Table 1 Light - Accent 6"/>
    <w:uiPriority w:val="99"/>
    <w:qFormat/>
    <w:tblPr>
      <w:tblCellMar>
        <w:left w:w="0" w:type="dxa"/>
        <w:top w:w="0" w:type="dxa"/>
        <w:right w:w="0" w:type="dxa"/>
        <w:bottom w:w="0" w:type="dxa"/>
      </w:tblCellMar>
    </w:tblPr>
  </w:style>
  <w:style w:type="table" w:styleId="92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6" w:customStyle="1">
    <w:name w:val="Lined - Accent"/>
    <w:uiPriority w:val="99"/>
    <w:qFormat/>
    <w:rPr>
      <w:color w:val="404040"/>
    </w:rPr>
    <w:tblPr>
      <w:tblCellMar>
        <w:left w:w="0" w:type="dxa"/>
        <w:top w:w="0" w:type="dxa"/>
        <w:right w:w="0" w:type="dxa"/>
        <w:bottom w:w="0" w:type="dxa"/>
      </w:tblCellMar>
    </w:tblPr>
  </w:style>
  <w:style w:type="table" w:styleId="967" w:customStyle="1">
    <w:name w:val="Lined - Accent 1"/>
    <w:uiPriority w:val="99"/>
    <w:qFormat/>
    <w:rPr>
      <w:color w:val="404040"/>
    </w:rPr>
    <w:tblPr>
      <w:tblCellMar>
        <w:left w:w="0" w:type="dxa"/>
        <w:top w:w="0" w:type="dxa"/>
        <w:right w:w="0" w:type="dxa"/>
        <w:bottom w:w="0" w:type="dxa"/>
      </w:tblCellMar>
    </w:tblPr>
  </w:style>
  <w:style w:type="table" w:styleId="968" w:customStyle="1">
    <w:name w:val="Lined - Accent 2"/>
    <w:uiPriority w:val="99"/>
    <w:qFormat/>
    <w:rPr>
      <w:color w:val="404040"/>
    </w:rPr>
    <w:tblPr>
      <w:tblCellMar>
        <w:left w:w="0" w:type="dxa"/>
        <w:top w:w="0" w:type="dxa"/>
        <w:right w:w="0" w:type="dxa"/>
        <w:bottom w:w="0" w:type="dxa"/>
      </w:tblCellMar>
    </w:tblPr>
  </w:style>
  <w:style w:type="table" w:styleId="969" w:customStyle="1">
    <w:name w:val="Lined - Accent 3"/>
    <w:uiPriority w:val="99"/>
    <w:qFormat/>
    <w:rPr>
      <w:color w:val="404040"/>
    </w:rPr>
    <w:tblPr>
      <w:tblCellMar>
        <w:left w:w="0" w:type="dxa"/>
        <w:top w:w="0" w:type="dxa"/>
        <w:right w:w="0" w:type="dxa"/>
        <w:bottom w:w="0" w:type="dxa"/>
      </w:tblCellMar>
    </w:tblPr>
  </w:style>
  <w:style w:type="table" w:styleId="970" w:customStyle="1">
    <w:name w:val="Lined - Accent 4"/>
    <w:uiPriority w:val="99"/>
    <w:qFormat/>
    <w:rPr>
      <w:color w:val="404040"/>
    </w:rPr>
    <w:tblPr>
      <w:tblCellMar>
        <w:left w:w="0" w:type="dxa"/>
        <w:top w:w="0" w:type="dxa"/>
        <w:right w:w="0" w:type="dxa"/>
        <w:bottom w:w="0" w:type="dxa"/>
      </w:tblCellMar>
    </w:tblPr>
  </w:style>
  <w:style w:type="table" w:styleId="971" w:customStyle="1">
    <w:name w:val="Lined - Accent 5"/>
    <w:uiPriority w:val="99"/>
    <w:qFormat/>
    <w:rPr>
      <w:color w:val="404040"/>
    </w:rPr>
    <w:tblPr>
      <w:tblCellMar>
        <w:left w:w="0" w:type="dxa"/>
        <w:top w:w="0" w:type="dxa"/>
        <w:right w:w="0" w:type="dxa"/>
        <w:bottom w:w="0" w:type="dxa"/>
      </w:tblCellMar>
    </w:tblPr>
  </w:style>
  <w:style w:type="table" w:styleId="972" w:customStyle="1">
    <w:name w:val="Lined - Accent 6"/>
    <w:uiPriority w:val="99"/>
    <w:qFormat/>
    <w:rPr>
      <w:color w:val="404040"/>
    </w:rPr>
    <w:tblPr>
      <w:tblCellMar>
        <w:left w:w="0" w:type="dxa"/>
        <w:top w:w="0" w:type="dxa"/>
        <w:right w:w="0" w:type="dxa"/>
        <w:bottom w:w="0" w:type="dxa"/>
      </w:tblCellMar>
    </w:tblPr>
  </w:style>
  <w:style w:type="table" w:styleId="97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7" w:customStyle="1">
    <w:name w:val="脚注文本 字符"/>
    <w:link w:val="795"/>
    <w:uiPriority w:val="99"/>
    <w:qFormat/>
    <w:rPr>
      <w:sz w:val="18"/>
    </w:rPr>
  </w:style>
  <w:style w:type="character" w:styleId="988" w:customStyle="1">
    <w:name w:val="尾注文本 字符"/>
    <w:link w:val="789"/>
    <w:uiPriority w:val="99"/>
    <w:qFormat/>
    <w:rPr>
      <w:sz w:val="20"/>
    </w:rPr>
  </w:style>
  <w:style w:type="paragraph" w:styleId="989" w:customStyle="1">
    <w:name w:val="TOC 标题1"/>
    <w:uiPriority w:val="39"/>
    <w:unhideWhenUsed/>
    <w:qFormat/>
    <w:rPr>
      <w:rFonts w:hint="default" w:ascii="Times New Roman" w:hAnsi="Times New Roman" w:eastAsia="宋体" w:cs="Times New Roman"/>
      <w:lang w:val="en-US" w:eastAsia="zh-CN" w:bidi="ar-SA"/>
    </w:rPr>
  </w:style>
  <w:style w:type="paragraph" w:styleId="990" w:customStyle="1">
    <w:name w:val="标题 11"/>
    <w:basedOn w:val="772"/>
    <w:next w:val="772"/>
    <w:link w:val="1002"/>
    <w:uiPriority w:val="0"/>
    <w:qFormat/>
    <w:pPr>
      <w:jc w:val="center"/>
      <w:keepLines/>
      <w:keepNext/>
      <w:spacing w:before="240" w:after="120" w:line="300" w:lineRule="auto"/>
      <w:outlineLvl w:val="0"/>
    </w:pPr>
    <w:rPr>
      <w:rFonts w:ascii="宋体"/>
      <w:b/>
      <w:sz w:val="32"/>
      <w:szCs w:val="20"/>
    </w:rPr>
  </w:style>
  <w:style w:type="paragraph" w:styleId="991" w:customStyle="1">
    <w:name w:val="标题 21"/>
    <w:basedOn w:val="772"/>
    <w:next w:val="992"/>
    <w:link w:val="1003"/>
    <w:uiPriority w:val="0"/>
    <w:qFormat/>
    <w:pPr>
      <w:jc w:val="center"/>
      <w:keepLines/>
      <w:keepNext/>
      <w:spacing w:before="120" w:line="300" w:lineRule="auto"/>
      <w:outlineLvl w:val="1"/>
    </w:pPr>
    <w:rPr>
      <w:rFonts w:ascii="Arial" w:hAnsi="Arial" w:eastAsia="黑体"/>
      <w:b/>
      <w:sz w:val="30"/>
      <w:szCs w:val="20"/>
    </w:rPr>
  </w:style>
  <w:style w:type="paragraph" w:styleId="992" w:customStyle="1">
    <w:name w:val="正文缩进11"/>
    <w:basedOn w:val="772"/>
    <w:link w:val="1004"/>
    <w:uiPriority w:val="0"/>
    <w:qFormat/>
    <w:pPr>
      <w:ind w:firstLine="420"/>
      <w:jc w:val="left"/>
    </w:pPr>
    <w:rPr>
      <w:rFonts w:ascii="宋体"/>
      <w:sz w:val="24"/>
    </w:rPr>
  </w:style>
  <w:style w:type="paragraph" w:styleId="993" w:customStyle="1">
    <w:name w:val="标题 31"/>
    <w:basedOn w:val="772"/>
    <w:next w:val="992"/>
    <w:link w:val="1005"/>
    <w:uiPriority w:val="0"/>
    <w:qFormat/>
    <w:pPr>
      <w:jc w:val="left"/>
      <w:keepLines/>
      <w:keepNext/>
      <w:spacing w:before="360" w:after="120"/>
      <w:outlineLvl w:val="2"/>
    </w:pPr>
    <w:rPr>
      <w:rFonts w:ascii="宋体"/>
      <w:b/>
      <w:sz w:val="24"/>
      <w:szCs w:val="20"/>
      <w:u w:val="single"/>
    </w:rPr>
  </w:style>
  <w:style w:type="paragraph" w:styleId="994" w:customStyle="1">
    <w:name w:val="标题 41"/>
    <w:basedOn w:val="772"/>
    <w:next w:val="772"/>
    <w:link w:val="1006"/>
    <w:uiPriority w:val="0"/>
    <w:qFormat/>
    <w:pPr>
      <w:keepLines/>
      <w:keepNext/>
      <w:spacing w:before="280" w:after="290" w:line="376" w:lineRule="atLeast"/>
      <w:outlineLvl w:val="3"/>
    </w:pPr>
    <w:rPr>
      <w:rFonts w:ascii="Arial" w:hAnsi="Arial" w:eastAsia="黑体"/>
      <w:b/>
      <w:sz w:val="28"/>
      <w:szCs w:val="20"/>
    </w:rPr>
  </w:style>
  <w:style w:type="paragraph" w:styleId="995" w:customStyle="1">
    <w:name w:val="标题 51"/>
    <w:basedOn w:val="772"/>
    <w:next w:val="772"/>
    <w:link w:val="1007"/>
    <w:uiPriority w:val="0"/>
    <w:qFormat/>
    <w:pPr>
      <w:keepLines/>
      <w:keepNext/>
      <w:spacing w:before="280" w:after="290" w:line="376" w:lineRule="atLeast"/>
      <w:outlineLvl w:val="4"/>
    </w:pPr>
    <w:rPr>
      <w:b/>
      <w:sz w:val="28"/>
      <w:szCs w:val="20"/>
    </w:rPr>
  </w:style>
  <w:style w:type="paragraph" w:styleId="996" w:customStyle="1">
    <w:name w:val="标题 61"/>
    <w:basedOn w:val="772"/>
    <w:next w:val="772"/>
    <w:link w:val="1008"/>
    <w:uiPriority w:val="0"/>
    <w:qFormat/>
    <w:pPr>
      <w:keepLines/>
      <w:keepNext/>
      <w:spacing w:before="240" w:after="64" w:line="320" w:lineRule="atLeast"/>
      <w:outlineLvl w:val="5"/>
    </w:pPr>
    <w:rPr>
      <w:rFonts w:ascii="Arial" w:hAnsi="Arial" w:eastAsia="黑体"/>
      <w:b/>
      <w:sz w:val="24"/>
      <w:szCs w:val="20"/>
    </w:rPr>
  </w:style>
  <w:style w:type="paragraph" w:styleId="997" w:customStyle="1">
    <w:name w:val="标题 71"/>
    <w:basedOn w:val="772"/>
    <w:next w:val="772"/>
    <w:link w:val="1009"/>
    <w:uiPriority w:val="0"/>
    <w:qFormat/>
    <w:pPr>
      <w:keepLines/>
      <w:keepNext/>
      <w:spacing w:before="240" w:after="64" w:line="320" w:lineRule="atLeast"/>
      <w:outlineLvl w:val="6"/>
    </w:pPr>
    <w:rPr>
      <w:b/>
      <w:sz w:val="24"/>
      <w:szCs w:val="20"/>
    </w:rPr>
  </w:style>
  <w:style w:type="paragraph" w:styleId="998" w:customStyle="1">
    <w:name w:val="标题 81"/>
    <w:basedOn w:val="772"/>
    <w:next w:val="772"/>
    <w:link w:val="1010"/>
    <w:uiPriority w:val="0"/>
    <w:qFormat/>
    <w:pPr>
      <w:keepLines/>
      <w:keepNext/>
      <w:spacing w:before="240" w:after="64" w:line="320" w:lineRule="atLeast"/>
      <w:outlineLvl w:val="7"/>
    </w:pPr>
    <w:rPr>
      <w:rFonts w:ascii="Arial" w:hAnsi="Arial" w:eastAsia="黑体"/>
      <w:sz w:val="24"/>
      <w:szCs w:val="20"/>
    </w:rPr>
  </w:style>
  <w:style w:type="paragraph" w:styleId="999" w:customStyle="1">
    <w:name w:val="标题 91"/>
    <w:basedOn w:val="772"/>
    <w:next w:val="772"/>
    <w:link w:val="1011"/>
    <w:uiPriority w:val="0"/>
    <w:qFormat/>
    <w:pPr>
      <w:keepLines/>
      <w:keepNext/>
      <w:spacing w:before="240" w:after="64" w:line="320" w:lineRule="atLeast"/>
      <w:outlineLvl w:val="8"/>
    </w:pPr>
    <w:rPr>
      <w:rFonts w:ascii="Arial" w:hAnsi="Arial" w:eastAsia="黑体"/>
      <w:szCs w:val="20"/>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标题 1 Char"/>
    <w:link w:val="990"/>
    <w:uiPriority w:val="0"/>
    <w:qFormat/>
    <w:rPr>
      <w:rFonts w:ascii="宋体"/>
      <w:b/>
      <w:sz w:val="32"/>
    </w:rPr>
  </w:style>
  <w:style w:type="character" w:styleId="1003" w:customStyle="1">
    <w:name w:val="标题 2 Char1"/>
    <w:link w:val="991"/>
    <w:uiPriority w:val="0"/>
    <w:qFormat/>
    <w:rPr>
      <w:rFonts w:ascii="Arial" w:hAnsi="Arial" w:eastAsia="黑体"/>
      <w:b/>
      <w:sz w:val="30"/>
      <w:lang w:val="en-US" w:eastAsia="zh-CN" w:bidi="ar-SA"/>
    </w:rPr>
  </w:style>
  <w:style w:type="character" w:styleId="1004" w:customStyle="1">
    <w:name w:val="正文缩进 Char1"/>
    <w:link w:val="992"/>
    <w:uiPriority w:val="0"/>
    <w:qFormat/>
    <w:rPr>
      <w:rFonts w:ascii="宋体" w:eastAsia="宋体"/>
      <w:sz w:val="24"/>
      <w:szCs w:val="24"/>
      <w:lang w:val="en-US" w:eastAsia="zh-CN" w:bidi="ar-SA"/>
    </w:rPr>
  </w:style>
  <w:style w:type="character" w:styleId="1005" w:customStyle="1">
    <w:name w:val="标题 3 Char1"/>
    <w:link w:val="993"/>
    <w:uiPriority w:val="0"/>
    <w:qFormat/>
    <w:rPr>
      <w:rFonts w:ascii="宋体" w:eastAsia="宋体"/>
      <w:b/>
      <w:sz w:val="24"/>
      <w:u w:val="single"/>
      <w:lang w:val="en-US" w:eastAsia="zh-CN" w:bidi="ar-SA"/>
    </w:rPr>
  </w:style>
  <w:style w:type="character" w:styleId="1006" w:customStyle="1">
    <w:name w:val="标题 4 Char"/>
    <w:link w:val="994"/>
    <w:uiPriority w:val="0"/>
    <w:qFormat/>
    <w:rPr>
      <w:rFonts w:ascii="Arial" w:hAnsi="Arial" w:eastAsia="黑体"/>
      <w:b/>
      <w:sz w:val="28"/>
    </w:rPr>
  </w:style>
  <w:style w:type="character" w:styleId="1007" w:customStyle="1">
    <w:name w:val="标题 5 Char"/>
    <w:link w:val="995"/>
    <w:uiPriority w:val="0"/>
    <w:qFormat/>
    <w:rPr>
      <w:b/>
      <w:sz w:val="28"/>
    </w:rPr>
  </w:style>
  <w:style w:type="character" w:styleId="1008" w:customStyle="1">
    <w:name w:val="标题 6 Char"/>
    <w:link w:val="996"/>
    <w:uiPriority w:val="0"/>
    <w:qFormat/>
    <w:rPr>
      <w:rFonts w:ascii="Arial" w:hAnsi="Arial" w:eastAsia="黑体"/>
      <w:b/>
      <w:sz w:val="24"/>
    </w:rPr>
  </w:style>
  <w:style w:type="character" w:styleId="1009" w:customStyle="1">
    <w:name w:val="标题 7 Char"/>
    <w:link w:val="997"/>
    <w:uiPriority w:val="0"/>
    <w:qFormat/>
    <w:rPr>
      <w:b/>
      <w:sz w:val="24"/>
    </w:rPr>
  </w:style>
  <w:style w:type="character" w:styleId="1010" w:customStyle="1">
    <w:name w:val="标题 8 Char"/>
    <w:link w:val="998"/>
    <w:uiPriority w:val="0"/>
    <w:qFormat/>
    <w:rPr>
      <w:rFonts w:ascii="Arial" w:hAnsi="Arial" w:eastAsia="黑体"/>
      <w:sz w:val="24"/>
    </w:rPr>
  </w:style>
  <w:style w:type="character" w:styleId="1011" w:customStyle="1">
    <w:name w:val="标题 9 Char"/>
    <w:link w:val="999"/>
    <w:uiPriority w:val="0"/>
    <w:qFormat/>
    <w:rPr>
      <w:rFonts w:ascii="Arial" w:hAnsi="Arial" w:eastAsia="黑体"/>
      <w:sz w:val="21"/>
    </w:rPr>
  </w:style>
  <w:style w:type="paragraph" w:styleId="1012" w:customStyle="1">
    <w:name w:val="目录 71"/>
    <w:basedOn w:val="772"/>
    <w:next w:val="772"/>
    <w:uiPriority w:val="0"/>
    <w:qFormat/>
    <w:pPr>
      <w:ind w:left="2520"/>
    </w:pPr>
  </w:style>
  <w:style w:type="paragraph" w:styleId="1013" w:customStyle="1">
    <w:name w:val="题注1"/>
    <w:basedOn w:val="772"/>
    <w:next w:val="772"/>
    <w:uiPriority w:val="0"/>
    <w:qFormat/>
    <w:pPr>
      <w:spacing w:line="480" w:lineRule="auto"/>
    </w:pPr>
    <w:rPr>
      <w:rFonts w:ascii="华文中宋" w:hAnsi="华文中宋" w:eastAsia="华文中宋"/>
      <w:sz w:val="36"/>
      <w:szCs w:val="20"/>
    </w:rPr>
  </w:style>
  <w:style w:type="paragraph" w:styleId="1014" w:customStyle="1">
    <w:name w:val="文档结构图1"/>
    <w:basedOn w:val="772"/>
    <w:link w:val="1015"/>
    <w:uiPriority w:val="0"/>
    <w:qFormat/>
    <w:pPr>
      <w:shd w:val="clear" w:color="auto" w:fill="000080"/>
    </w:pPr>
  </w:style>
  <w:style w:type="character" w:styleId="1015" w:customStyle="1">
    <w:name w:val="文档结构图 Char"/>
    <w:link w:val="1014"/>
    <w:uiPriority w:val="0"/>
    <w:qFormat/>
    <w:rPr>
      <w:sz w:val="21"/>
      <w:szCs w:val="24"/>
      <w:shd w:val="clear" w:color="auto" w:fill="000080"/>
    </w:rPr>
  </w:style>
  <w:style w:type="paragraph" w:styleId="1016" w:customStyle="1">
    <w:name w:val="批注文字1"/>
    <w:basedOn w:val="772"/>
    <w:link w:val="1017"/>
    <w:uiPriority w:val="99"/>
    <w:qFormat/>
    <w:pPr>
      <w:jc w:val="left"/>
    </w:pPr>
  </w:style>
  <w:style w:type="character" w:styleId="1017" w:customStyle="1">
    <w:name w:val="批注文字 Char1"/>
    <w:link w:val="1016"/>
    <w:uiPriority w:val="99"/>
    <w:qFormat/>
    <w:rPr>
      <w:sz w:val="21"/>
      <w:szCs w:val="24"/>
    </w:rPr>
  </w:style>
  <w:style w:type="paragraph" w:styleId="1018" w:customStyle="1">
    <w:name w:val="正文文本 31"/>
    <w:basedOn w:val="772"/>
    <w:link w:val="1019"/>
    <w:uiPriority w:val="0"/>
    <w:qFormat/>
    <w:pPr>
      <w:spacing w:after="120"/>
    </w:pPr>
    <w:rPr>
      <w:sz w:val="16"/>
      <w:szCs w:val="16"/>
    </w:rPr>
  </w:style>
  <w:style w:type="character" w:styleId="1019" w:customStyle="1">
    <w:name w:val="正文文本 3 Char"/>
    <w:link w:val="1018"/>
    <w:uiPriority w:val="0"/>
    <w:qFormat/>
    <w:rPr>
      <w:sz w:val="16"/>
      <w:szCs w:val="16"/>
    </w:rPr>
  </w:style>
  <w:style w:type="paragraph" w:styleId="1020" w:customStyle="1">
    <w:name w:val="正文文本1"/>
    <w:basedOn w:val="772"/>
    <w:next w:val="772"/>
    <w:link w:val="1021"/>
    <w:uiPriority w:val="0"/>
    <w:qFormat/>
    <w:pPr>
      <w:spacing w:before="120" w:line="22" w:lineRule="atLeast"/>
      <w:tabs>
        <w:tab w:val="left" w:pos="567" w:leader="none"/>
      </w:tabs>
    </w:pPr>
    <w:rPr>
      <w:rFonts w:ascii="宋体" w:hAnsi="宋体"/>
      <w:sz w:val="24"/>
    </w:rPr>
  </w:style>
  <w:style w:type="character" w:styleId="1021" w:customStyle="1">
    <w:name w:val="正文文本 Char"/>
    <w:link w:val="1020"/>
    <w:uiPriority w:val="0"/>
    <w:qFormat/>
    <w:rPr>
      <w:rFonts w:ascii="宋体" w:hAnsi="宋体"/>
      <w:sz w:val="24"/>
      <w:szCs w:val="24"/>
    </w:rPr>
  </w:style>
  <w:style w:type="paragraph" w:styleId="1022" w:customStyle="1">
    <w:name w:val="正文文本缩进11"/>
    <w:basedOn w:val="772"/>
    <w:link w:val="1023"/>
    <w:uiPriority w:val="0"/>
    <w:qFormat/>
    <w:pPr>
      <w:ind w:firstLine="570"/>
      <w:spacing w:line="360" w:lineRule="auto"/>
    </w:pPr>
    <w:rPr>
      <w:sz w:val="24"/>
    </w:rPr>
  </w:style>
  <w:style w:type="character" w:styleId="1023" w:customStyle="1">
    <w:name w:val="正文文本缩进 Char2"/>
    <w:link w:val="1022"/>
    <w:uiPriority w:val="0"/>
    <w:qFormat/>
    <w:rPr>
      <w:rFonts w:eastAsia="宋体"/>
      <w:sz w:val="24"/>
      <w:szCs w:val="24"/>
      <w:lang w:val="en-US" w:eastAsia="zh-CN" w:bidi="ar-SA"/>
    </w:rPr>
  </w:style>
  <w:style w:type="paragraph" w:styleId="1024" w:customStyle="1">
    <w:name w:val="列表 21"/>
    <w:basedOn w:val="772"/>
    <w:uiPriority w:val="0"/>
    <w:qFormat/>
    <w:pPr>
      <w:ind w:left="100" w:hanging="200"/>
    </w:pPr>
  </w:style>
  <w:style w:type="paragraph" w:styleId="1025" w:customStyle="1">
    <w:name w:val="文本块1"/>
    <w:basedOn w:val="772"/>
    <w:uiPriority w:val="0"/>
    <w:qFormat/>
    <w:pPr>
      <w:ind w:left="480" w:right="-341" w:firstLine="513"/>
      <w:widowControl/>
    </w:pPr>
    <w:rPr>
      <w:sz w:val="24"/>
      <w:szCs w:val="20"/>
    </w:rPr>
  </w:style>
  <w:style w:type="paragraph" w:styleId="1026" w:customStyle="1">
    <w:name w:val="目录 51"/>
    <w:basedOn w:val="772"/>
    <w:next w:val="772"/>
    <w:uiPriority w:val="0"/>
    <w:qFormat/>
    <w:pPr>
      <w:ind w:left="1680"/>
    </w:pPr>
  </w:style>
  <w:style w:type="paragraph" w:styleId="1027" w:customStyle="1">
    <w:name w:val="目录 31"/>
    <w:basedOn w:val="772"/>
    <w:next w:val="772"/>
    <w:uiPriority w:val="39"/>
    <w:qFormat/>
    <w:pPr>
      <w:ind w:left="840"/>
    </w:pPr>
  </w:style>
  <w:style w:type="paragraph" w:styleId="1028" w:customStyle="1">
    <w:name w:val="纯文本1"/>
    <w:basedOn w:val="772"/>
    <w:next w:val="992"/>
    <w:link w:val="1029"/>
    <w:uiPriority w:val="0"/>
    <w:qFormat/>
    <w:rPr>
      <w:rFonts w:hint="eastAsia" w:ascii="宋体" w:hAnsi="Courier New"/>
      <w:szCs w:val="20"/>
    </w:rPr>
  </w:style>
  <w:style w:type="character" w:styleId="1029" w:customStyle="1">
    <w:name w:val="纯文本 Char"/>
    <w:link w:val="1028"/>
    <w:uiPriority w:val="0"/>
    <w:qFormat/>
    <w:rPr>
      <w:rFonts w:hint="eastAsia" w:ascii="宋体" w:hAnsi="Courier New" w:eastAsia="宋体" w:cs="宋体"/>
      <w:sz w:val="21"/>
    </w:rPr>
  </w:style>
  <w:style w:type="paragraph" w:styleId="1030" w:customStyle="1">
    <w:name w:val="目录 81"/>
    <w:basedOn w:val="772"/>
    <w:next w:val="772"/>
    <w:uiPriority w:val="0"/>
    <w:qFormat/>
    <w:pPr>
      <w:ind w:left="2940"/>
    </w:pPr>
  </w:style>
  <w:style w:type="paragraph" w:styleId="1031" w:customStyle="1">
    <w:name w:val="日期1"/>
    <w:basedOn w:val="772"/>
    <w:next w:val="772"/>
    <w:link w:val="1032"/>
    <w:uiPriority w:val="0"/>
    <w:qFormat/>
    <w:pPr>
      <w:ind w:left="100"/>
    </w:pPr>
    <w:rPr>
      <w:rFonts w:ascii="仿宋_GB2312" w:hAnsi="宋体" w:eastAsia="仿宋_GB2312"/>
      <w:color w:val="000000"/>
      <w:sz w:val="24"/>
    </w:rPr>
  </w:style>
  <w:style w:type="character" w:styleId="1032" w:customStyle="1">
    <w:name w:val="日期 Char"/>
    <w:link w:val="1031"/>
    <w:uiPriority w:val="0"/>
    <w:qFormat/>
    <w:rPr>
      <w:rFonts w:ascii="仿宋_GB2312" w:hAnsi="宋体" w:eastAsia="仿宋_GB2312"/>
      <w:color w:val="000000"/>
      <w:sz w:val="24"/>
      <w:szCs w:val="24"/>
    </w:rPr>
  </w:style>
  <w:style w:type="paragraph" w:styleId="1033" w:customStyle="1">
    <w:name w:val="正文文本缩进 21"/>
    <w:basedOn w:val="772"/>
    <w:link w:val="1034"/>
    <w:uiPriority w:val="0"/>
    <w:qFormat/>
    <w:pPr>
      <w:ind w:firstLine="480"/>
    </w:pPr>
    <w:rPr>
      <w:rFonts w:ascii="仿宋_GB2312" w:eastAsia="仿宋_GB2312"/>
      <w:sz w:val="24"/>
    </w:rPr>
  </w:style>
  <w:style w:type="character" w:styleId="1034" w:customStyle="1">
    <w:name w:val="正文文本缩进 2 Char"/>
    <w:link w:val="1033"/>
    <w:uiPriority w:val="0"/>
    <w:qFormat/>
    <w:rPr>
      <w:rFonts w:ascii="仿宋_GB2312" w:eastAsia="仿宋_GB2312"/>
      <w:sz w:val="24"/>
      <w:szCs w:val="24"/>
    </w:rPr>
  </w:style>
  <w:style w:type="paragraph" w:styleId="1035" w:customStyle="1">
    <w:name w:val="批注框文本1"/>
    <w:basedOn w:val="772"/>
    <w:link w:val="1036"/>
    <w:uiPriority w:val="0"/>
    <w:qFormat/>
    <w:rPr>
      <w:sz w:val="18"/>
      <w:szCs w:val="18"/>
    </w:rPr>
  </w:style>
  <w:style w:type="character" w:styleId="1036" w:customStyle="1">
    <w:name w:val="批注框文本 Char"/>
    <w:link w:val="1035"/>
    <w:uiPriority w:val="0"/>
    <w:qFormat/>
    <w:rPr>
      <w:sz w:val="18"/>
      <w:szCs w:val="18"/>
    </w:rPr>
  </w:style>
  <w:style w:type="paragraph" w:styleId="1037" w:customStyle="1">
    <w:name w:val="页脚1"/>
    <w:basedOn w:val="772"/>
    <w:link w:val="1038"/>
    <w:uiPriority w:val="99"/>
    <w:qFormat/>
    <w:pPr>
      <w:jc w:val="left"/>
      <w:tabs>
        <w:tab w:val="center" w:pos="4153" w:leader="none"/>
        <w:tab w:val="right" w:pos="8306" w:leader="none"/>
      </w:tabs>
    </w:pPr>
    <w:rPr>
      <w:rFonts w:ascii="宋体"/>
      <w:sz w:val="18"/>
      <w:szCs w:val="20"/>
    </w:rPr>
  </w:style>
  <w:style w:type="character" w:styleId="1038" w:customStyle="1">
    <w:name w:val="页脚 Char1"/>
    <w:link w:val="1037"/>
    <w:uiPriority w:val="99"/>
    <w:qFormat/>
    <w:rPr>
      <w:rFonts w:ascii="宋体" w:eastAsia="宋体"/>
      <w:sz w:val="18"/>
      <w:lang w:val="en-US" w:eastAsia="zh-CN" w:bidi="ar-SA"/>
    </w:rPr>
  </w:style>
  <w:style w:type="paragraph" w:styleId="1039" w:customStyle="1">
    <w:name w:val="页眉1"/>
    <w:basedOn w:val="772"/>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1"/>
    <w:link w:val="1039"/>
    <w:uiPriority w:val="0"/>
    <w:qFormat/>
    <w:rPr>
      <w:rFonts w:eastAsia="宋体"/>
      <w:sz w:val="18"/>
      <w:szCs w:val="18"/>
      <w:lang w:val="en-US" w:eastAsia="zh-CN" w:bidi="ar-SA"/>
    </w:rPr>
  </w:style>
  <w:style w:type="paragraph" w:styleId="1041" w:customStyle="1">
    <w:name w:val="目录 11"/>
    <w:basedOn w:val="772"/>
    <w:next w:val="772"/>
    <w:uiPriority w:val="39"/>
    <w:qFormat/>
    <w:pPr>
      <w:spacing w:line="300" w:lineRule="auto"/>
      <w:tabs>
        <w:tab w:val="left" w:pos="1050" w:leader="none"/>
        <w:tab w:val="right" w:pos="8937" w:leader="dot"/>
      </w:tabs>
    </w:pPr>
    <w:rPr>
      <w:rFonts w:ascii="宋体" w:hAnsi="宋体"/>
      <w:b/>
      <w:sz w:val="24"/>
    </w:rPr>
  </w:style>
  <w:style w:type="paragraph" w:styleId="1042" w:customStyle="1">
    <w:name w:val="目录 41"/>
    <w:basedOn w:val="772"/>
    <w:next w:val="772"/>
    <w:uiPriority w:val="0"/>
    <w:qFormat/>
    <w:pPr>
      <w:ind w:left="1260"/>
    </w:pPr>
  </w:style>
  <w:style w:type="paragraph" w:styleId="1043" w:customStyle="1">
    <w:name w:val="目录 61"/>
    <w:basedOn w:val="772"/>
    <w:next w:val="772"/>
    <w:uiPriority w:val="0"/>
    <w:qFormat/>
    <w:pPr>
      <w:ind w:left="2100"/>
    </w:pPr>
  </w:style>
  <w:style w:type="paragraph" w:styleId="1044" w:customStyle="1">
    <w:name w:val="正文文本缩进 31"/>
    <w:basedOn w:val="772"/>
    <w:link w:val="1045"/>
    <w:uiPriority w:val="0"/>
    <w:qFormat/>
    <w:pPr>
      <w:ind w:left="720" w:firstLine="480"/>
      <w:jc w:val="left"/>
      <w:spacing w:before="120" w:line="22" w:lineRule="atLeast"/>
    </w:pPr>
    <w:rPr>
      <w:rFonts w:ascii="宋体"/>
      <w:sz w:val="24"/>
      <w:szCs w:val="20"/>
    </w:rPr>
  </w:style>
  <w:style w:type="character" w:styleId="1045" w:customStyle="1">
    <w:name w:val="正文文本缩进 3 Char"/>
    <w:link w:val="1044"/>
    <w:uiPriority w:val="0"/>
    <w:qFormat/>
    <w:rPr>
      <w:rFonts w:ascii="宋体"/>
      <w:sz w:val="24"/>
    </w:rPr>
  </w:style>
  <w:style w:type="paragraph" w:styleId="1046" w:customStyle="1">
    <w:name w:val="目录 21"/>
    <w:basedOn w:val="772"/>
    <w:next w:val="772"/>
    <w:uiPriority w:val="39"/>
    <w:qFormat/>
    <w:pPr>
      <w:ind w:left="420"/>
      <w:spacing w:line="312" w:lineRule="auto"/>
      <w:tabs>
        <w:tab w:val="right" w:pos="8937" w:leader="dot"/>
      </w:tabs>
    </w:pPr>
  </w:style>
  <w:style w:type="paragraph" w:styleId="1047" w:customStyle="1">
    <w:name w:val="目录 91"/>
    <w:basedOn w:val="772"/>
    <w:next w:val="772"/>
    <w:uiPriority w:val="0"/>
    <w:qFormat/>
    <w:pPr>
      <w:ind w:left="3360"/>
    </w:pPr>
  </w:style>
  <w:style w:type="paragraph" w:styleId="1048" w:customStyle="1">
    <w:name w:val="HTML 预设格式1"/>
    <w:basedOn w:val="772"/>
    <w:link w:val="10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9" w:customStyle="1">
    <w:name w:val="HTML 预设格式 Char"/>
    <w:link w:val="1048"/>
    <w:uiPriority w:val="0"/>
    <w:qFormat/>
    <w:rPr>
      <w:rFonts w:ascii="宋体" w:hAnsi="宋体" w:cs="宋体"/>
      <w:sz w:val="24"/>
      <w:szCs w:val="24"/>
    </w:rPr>
  </w:style>
  <w:style w:type="paragraph" w:styleId="1050" w:customStyle="1">
    <w:name w:val="普通(网站)1"/>
    <w:basedOn w:val="772"/>
    <w:uiPriority w:val="99"/>
    <w:unhideWhenUsed/>
    <w:qFormat/>
    <w:pPr>
      <w:jc w:val="left"/>
      <w:spacing w:before="100" w:beforeAutospacing="1" w:after="100" w:afterAutospacing="1"/>
      <w:widowControl/>
    </w:pPr>
    <w:rPr>
      <w:rFonts w:ascii="宋体" w:hAnsi="宋体" w:cs="宋体"/>
      <w:sz w:val="24"/>
    </w:rPr>
  </w:style>
  <w:style w:type="paragraph" w:styleId="1051" w:customStyle="1">
    <w:name w:val="索引 11"/>
    <w:basedOn w:val="772"/>
    <w:next w:val="772"/>
    <w:uiPriority w:val="0"/>
    <w:qFormat/>
    <w:rPr>
      <w:szCs w:val="20"/>
    </w:rPr>
  </w:style>
  <w:style w:type="paragraph" w:styleId="1052" w:customStyle="1">
    <w:name w:val="标题1"/>
    <w:basedOn w:val="772"/>
    <w:link w:val="1053"/>
    <w:uiPriority w:val="0"/>
    <w:qFormat/>
    <w:pPr>
      <w:jc w:val="center"/>
      <w:outlineLvl w:val="0"/>
    </w:pPr>
    <w:rPr>
      <w:b/>
      <w:sz w:val="32"/>
      <w:szCs w:val="20"/>
    </w:rPr>
  </w:style>
  <w:style w:type="character" w:styleId="1053" w:customStyle="1">
    <w:name w:val="标题 Char1"/>
    <w:link w:val="1052"/>
    <w:uiPriority w:val="0"/>
    <w:qFormat/>
    <w:rPr>
      <w:b/>
      <w:sz w:val="32"/>
    </w:rPr>
  </w:style>
  <w:style w:type="paragraph" w:styleId="1054" w:customStyle="1">
    <w:name w:val="批注主题1"/>
    <w:basedOn w:val="1016"/>
    <w:next w:val="1016"/>
    <w:link w:val="1055"/>
    <w:uiPriority w:val="0"/>
    <w:qFormat/>
    <w:rPr>
      <w:b/>
      <w:bCs/>
    </w:rPr>
  </w:style>
  <w:style w:type="character" w:styleId="1055" w:customStyle="1">
    <w:name w:val="批注主题 Char"/>
    <w:link w:val="1054"/>
    <w:uiPriority w:val="0"/>
    <w:qFormat/>
    <w:rPr>
      <w:rFonts w:ascii="Times New Roman" w:hAnsi="Times New Roman" w:eastAsia="宋体" w:cs="Times New Roman"/>
      <w:b/>
      <w:bCs/>
      <w:sz w:val="21"/>
      <w:szCs w:val="24"/>
      <w:lang w:val="en-US" w:eastAsia="zh-CN" w:bidi="ar-SA"/>
    </w:rPr>
  </w:style>
  <w:style w:type="character" w:styleId="1056" w:customStyle="1">
    <w:name w:val="批注文字 字符"/>
    <w:uiPriority w:val="99"/>
    <w:qFormat/>
    <w:rPr>
      <w:rFonts w:ascii="Times New Roman" w:hAnsi="Times New Roman" w:eastAsia="宋体" w:cs="Times New Roman"/>
      <w:sz w:val="24"/>
      <w:lang w:val="en-US" w:eastAsia="zh-CN" w:bidi="ar-SA"/>
    </w:rPr>
  </w:style>
  <w:style w:type="paragraph" w:styleId="1057" w:customStyle="1">
    <w:name w:val="正文首行缩进 21"/>
    <w:basedOn w:val="1022"/>
    <w:link w:val="1058"/>
    <w:uiPriority w:val="0"/>
    <w:qFormat/>
    <w:pPr>
      <w:ind w:left="420" w:firstLine="420"/>
      <w:spacing w:after="120" w:line="480" w:lineRule="exact"/>
    </w:pPr>
    <w:rPr>
      <w:szCs w:val="20"/>
    </w:rPr>
  </w:style>
  <w:style w:type="character" w:styleId="1058" w:customStyle="1">
    <w:name w:val="正文首行缩进 2 Char"/>
    <w:link w:val="1057"/>
    <w:uiPriority w:val="0"/>
    <w:qFormat/>
    <w:rPr>
      <w:rFonts w:eastAsia="宋体"/>
      <w:sz w:val="24"/>
      <w:szCs w:val="24"/>
      <w:lang w:val="en-US" w:eastAsia="zh-CN" w:bidi="ar-SA"/>
    </w:rPr>
  </w:style>
  <w:style w:type="table" w:styleId="1059" w:customStyle="1">
    <w:name w:val="网格型1"/>
    <w:basedOn w:val="1001"/>
    <w:uiPriority w:val="39"/>
    <w:qFormat/>
    <w:tblPr/>
  </w:style>
  <w:style w:type="table" w:styleId="1060" w:customStyle="1">
    <w:name w:val="中等深浅网格 1 - 强调文字颜色 21"/>
    <w:basedOn w:val="1001"/>
    <w:uiPriority w:val="0"/>
    <w:qFormat/>
    <w:rPr>
      <w:sz w:val="21"/>
      <w:szCs w:val="24"/>
    </w:rPr>
    <w:tblPr/>
  </w:style>
  <w:style w:type="character" w:styleId="1061" w:customStyle="1">
    <w:name w:val="要点1"/>
    <w:uiPriority w:val="0"/>
    <w:qFormat/>
    <w:rPr>
      <w:b/>
      <w:bCs/>
    </w:rPr>
  </w:style>
  <w:style w:type="character" w:styleId="1062" w:customStyle="1">
    <w:name w:val="页码1"/>
    <w:uiPriority w:val="0"/>
    <w:qFormat/>
  </w:style>
  <w:style w:type="character" w:styleId="1063" w:customStyle="1">
    <w:name w:val="访问过的超链接1"/>
    <w:uiPriority w:val="0"/>
    <w:qFormat/>
    <w:rPr>
      <w:color w:val="800080"/>
      <w:u w:val="single"/>
    </w:rPr>
  </w:style>
  <w:style w:type="character" w:styleId="1064" w:customStyle="1">
    <w:name w:val="强调1"/>
    <w:uiPriority w:val="0"/>
    <w:qFormat/>
    <w:rPr>
      <w:color w:val="cc0033"/>
    </w:rPr>
  </w:style>
  <w:style w:type="character" w:styleId="1065" w:customStyle="1">
    <w:name w:val="超链接1"/>
    <w:uiPriority w:val="99"/>
    <w:qFormat/>
    <w:rPr>
      <w:color w:val="0000ff"/>
      <w:u w:val="single"/>
    </w:rPr>
  </w:style>
  <w:style w:type="character" w:styleId="1066" w:customStyle="1">
    <w:name w:val="批注引用1"/>
    <w:uiPriority w:val="99"/>
    <w:qFormat/>
    <w:rPr>
      <w:sz w:val="21"/>
      <w:szCs w:val="21"/>
    </w:rPr>
  </w:style>
  <w:style w:type="character" w:styleId="1067" w:customStyle="1">
    <w:name w:val="HTML 引文1"/>
    <w:uiPriority w:val="0"/>
    <w:qFormat/>
    <w:rPr>
      <w:i/>
      <w:iCs/>
    </w:rPr>
  </w:style>
  <w:style w:type="character" w:styleId="1068" w:customStyle="1">
    <w:name w:val="c21"/>
    <w:uiPriority w:val="0"/>
    <w:qFormat/>
    <w:rPr>
      <w:rFonts w:ascii="ˎ̥" w:hAnsi="ˎ̥"/>
      <w:color w:val="000000"/>
      <w:sz w:val="20"/>
      <w:szCs w:val="20"/>
      <w:u w:val="none"/>
    </w:rPr>
  </w:style>
  <w:style w:type="character" w:styleId="1069" w:customStyle="1">
    <w:name w:val="title4"/>
    <w:uiPriority w:val="0"/>
    <w:qFormat/>
    <w:rPr>
      <w:b/>
      <w:bCs/>
      <w:color w:val="1d87b3"/>
      <w:sz w:val="15"/>
      <w:szCs w:val="15"/>
    </w:rPr>
  </w:style>
  <w:style w:type="character" w:styleId="1070" w:customStyle="1">
    <w:name w:val="标题 2 Char Char"/>
    <w:uiPriority w:val="0"/>
    <w:qFormat/>
    <w:rPr>
      <w:rFonts w:ascii="Arial" w:hAnsi="Arial" w:eastAsia="黑体"/>
      <w:b/>
      <w:bCs/>
      <w:sz w:val="32"/>
      <w:szCs w:val="32"/>
      <w:lang w:val="en-US" w:eastAsia="zh-CN" w:bidi="ar-SA"/>
    </w:rPr>
  </w:style>
  <w:style w:type="character" w:styleId="1071" w:customStyle="1">
    <w:name w:val="black1"/>
    <w:uiPriority w:val="0"/>
    <w:qFormat/>
    <w:rPr>
      <w:color w:val="000000"/>
    </w:rPr>
  </w:style>
  <w:style w:type="character" w:styleId="1072" w:customStyle="1">
    <w:name w:val="street-address"/>
    <w:uiPriority w:val="0"/>
    <w:qFormat/>
  </w:style>
  <w:style w:type="character" w:styleId="1073" w:customStyle="1">
    <w:name w:val="locality"/>
    <w:uiPriority w:val="0"/>
    <w:qFormat/>
  </w:style>
  <w:style w:type="character" w:styleId="1074" w:customStyle="1">
    <w:name w:val="正文文本缩进 Char1"/>
    <w:link w:val="1075"/>
    <w:uiPriority w:val="0"/>
    <w:qFormat/>
    <w:rPr>
      <w:rFonts w:ascii="宋体" w:hAnsi="宋体" w:eastAsia="宋体"/>
      <w:sz w:val="24"/>
      <w:szCs w:val="24"/>
      <w:lang w:bidi="ar-SA"/>
    </w:rPr>
  </w:style>
  <w:style w:type="paragraph" w:styleId="1075" w:customStyle="1">
    <w:name w:val="正文文本缩进1"/>
    <w:basedOn w:val="772"/>
    <w:link w:val="1074"/>
    <w:uiPriority w:val="0"/>
    <w:qFormat/>
    <w:pPr>
      <w:ind w:firstLine="480"/>
      <w:spacing w:line="480" w:lineRule="exact"/>
    </w:pPr>
    <w:rPr>
      <w:rFonts w:ascii="宋体" w:hAnsi="宋体"/>
      <w:sz w:val="24"/>
    </w:rPr>
  </w:style>
  <w:style w:type="character" w:styleId="1076" w:customStyle="1">
    <w:name w:val="Char Char11"/>
    <w:uiPriority w:val="0"/>
    <w:qFormat/>
    <w:rPr>
      <w:rFonts w:ascii="宋体" w:eastAsia="宋体"/>
      <w:b/>
      <w:sz w:val="24"/>
      <w:u w:val="single"/>
      <w:lang w:val="en-US" w:eastAsia="zh-CN" w:bidi="ar-SA"/>
    </w:rPr>
  </w:style>
  <w:style w:type="character" w:styleId="1077" w:customStyle="1">
    <w:name w:val="txt"/>
    <w:uiPriority w:val="0"/>
    <w:qFormat/>
  </w:style>
  <w:style w:type="character" w:styleId="1078" w:customStyle="1">
    <w:name w:val="正文缩进 Char Char"/>
    <w:link w:val="1079"/>
    <w:uiPriority w:val="0"/>
    <w:qFormat/>
    <w:rPr>
      <w:rFonts w:ascii="宋体" w:eastAsia="宋体"/>
      <w:color w:val="000000"/>
      <w:sz w:val="28"/>
      <w:lang w:bidi="ar-SA"/>
    </w:rPr>
  </w:style>
  <w:style w:type="paragraph" w:styleId="1079" w:customStyle="1">
    <w:name w:val="正文缩进1"/>
    <w:basedOn w:val="772"/>
    <w:link w:val="1078"/>
    <w:uiPriority w:val="0"/>
    <w:qFormat/>
    <w:pPr>
      <w:ind w:firstLine="567"/>
      <w:spacing w:line="480" w:lineRule="exact"/>
      <w:widowControl/>
    </w:pPr>
    <w:rPr>
      <w:rFonts w:ascii="宋体"/>
      <w:color w:val="000000"/>
      <w:sz w:val="28"/>
      <w:szCs w:val="20"/>
    </w:rPr>
  </w:style>
  <w:style w:type="character" w:styleId="1080" w:customStyle="1">
    <w:name w:val="普通文字1 Char1"/>
    <w:uiPriority w:val="0"/>
    <w:qFormat/>
    <w:rPr>
      <w:rFonts w:ascii="宋体" w:hAnsi="Courier New" w:eastAsia="宋体"/>
      <w:sz w:val="21"/>
      <w:lang w:val="en-US" w:eastAsia="zh-CN" w:bidi="ar-SA"/>
    </w:rPr>
  </w:style>
  <w:style w:type="character" w:styleId="1081" w:customStyle="1">
    <w:name w:val="chanpin1"/>
    <w:uiPriority w:val="0"/>
    <w:qFormat/>
    <w:rPr>
      <w:rFonts w:ascii="ˎ̥" w:hAnsi="ˎ̥"/>
      <w:color w:val="000000"/>
      <w:sz w:val="20"/>
      <w:szCs w:val="20"/>
      <w:u w:val="none"/>
    </w:rPr>
  </w:style>
  <w:style w:type="character" w:styleId="1082" w:customStyle="1">
    <w:name w:val="列出段落 Char1"/>
    <w:link w:val="1083"/>
    <w:uiPriority w:val="34"/>
    <w:qFormat/>
    <w:rPr>
      <w:rFonts w:ascii="Calibri" w:hAnsi="Calibri" w:eastAsia="宋体"/>
      <w:sz w:val="21"/>
      <w:szCs w:val="22"/>
      <w:lang w:val="en-US" w:eastAsia="zh-CN" w:bidi="ar-SA"/>
    </w:rPr>
  </w:style>
  <w:style w:type="paragraph" w:styleId="1083" w:customStyle="1">
    <w:name w:val="列出段落"/>
    <w:basedOn w:val="772"/>
    <w:link w:val="1082"/>
    <w:uiPriority w:val="34"/>
    <w:qFormat/>
    <w:pPr>
      <w:ind w:firstLine="420"/>
    </w:pPr>
    <w:rPr>
      <w:rFonts w:ascii="Calibri" w:hAnsi="Calibri"/>
      <w:szCs w:val="22"/>
    </w:rPr>
  </w:style>
  <w:style w:type="character" w:styleId="1084" w:customStyle="1">
    <w:name w:val="标题 3 Char Char"/>
    <w:uiPriority w:val="0"/>
    <w:qFormat/>
    <w:rPr>
      <w:rFonts w:eastAsia="宋体"/>
      <w:b/>
      <w:bCs/>
      <w:sz w:val="32"/>
      <w:szCs w:val="32"/>
      <w:lang w:val="en-US" w:eastAsia="zh-CN" w:bidi="ar-SA"/>
    </w:rPr>
  </w:style>
  <w:style w:type="character" w:styleId="1085" w:customStyle="1">
    <w:name w:val="段1 Char"/>
    <w:uiPriority w:val="0"/>
    <w:qFormat/>
    <w:rPr>
      <w:rFonts w:ascii="宋体" w:eastAsia="宋体"/>
      <w:sz w:val="24"/>
      <w:lang w:val="en-US" w:eastAsia="zh-CN" w:bidi="ar-SA"/>
    </w:rPr>
  </w:style>
  <w:style w:type="character" w:styleId="1086" w:customStyle="1">
    <w:name w:val="chanpin拷贝"/>
    <w:uiPriority w:val="0"/>
    <w:qFormat/>
  </w:style>
  <w:style w:type="character" w:styleId="1087" w:customStyle="1">
    <w:name w:val="纯文本 Char1"/>
    <w:uiPriority w:val="0"/>
    <w:qFormat/>
    <w:rPr>
      <w:rFonts w:ascii="宋体" w:hAnsi="Courier New" w:eastAsia="宋体"/>
      <w:sz w:val="21"/>
      <w:lang w:val="en-US" w:eastAsia="zh-CN" w:bidi="ar-SA"/>
    </w:rPr>
  </w:style>
  <w:style w:type="character" w:styleId="1088" w:customStyle="1">
    <w:name w:val="apple-style-span"/>
    <w:uiPriority w:val="0"/>
    <w:qFormat/>
    <w:rPr>
      <w:rFonts w:cs="Times New Roman"/>
    </w:rPr>
  </w:style>
  <w:style w:type="paragraph" w:styleId="1089" w:customStyle="1">
    <w:name w:val="二级条标题"/>
    <w:basedOn w:val="1090"/>
    <w:next w:val="77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0" w:customStyle="1">
    <w:name w:val="一级条标题"/>
    <w:basedOn w:val="1091"/>
    <w:next w:val="772"/>
    <w:uiPriority w:val="0"/>
    <w:qFormat/>
    <w:pPr>
      <w:numPr>
        <w:ilvl w:val="1"/>
      </w:numPr>
      <w:ind w:left="0" w:hanging="840"/>
      <w:tabs>
        <w:tab w:val="left" w:pos="360" w:leader="none"/>
        <w:tab w:val="left" w:pos="840" w:leader="none"/>
      </w:tabs>
      <w:outlineLvl w:val="1"/>
    </w:pPr>
  </w:style>
  <w:style w:type="paragraph" w:styleId="1091" w:customStyle="1">
    <w:name w:val="章标题"/>
    <w:next w:val="77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92" w:customStyle="1">
    <w:name w:val="font7"/>
    <w:basedOn w:val="772"/>
    <w:uiPriority w:val="0"/>
    <w:qFormat/>
    <w:pPr>
      <w:jc w:val="left"/>
      <w:spacing w:before="100" w:beforeAutospacing="1" w:after="100" w:afterAutospacing="1"/>
      <w:widowControl/>
    </w:pPr>
    <w:rPr>
      <w:rFonts w:eastAsia="Arial Unicode MS"/>
      <w:b/>
      <w:bCs/>
      <w:color w:val="000000"/>
      <w:sz w:val="20"/>
      <w:szCs w:val="20"/>
    </w:rPr>
  </w:style>
  <w:style w:type="paragraph" w:styleId="1093" w:customStyle="1">
    <w:name w:val="字元 字元"/>
    <w:basedOn w:val="772"/>
    <w:uiPriority w:val="0"/>
    <w:qFormat/>
    <w:rPr>
      <w:rFonts w:ascii="Tahoma" w:hAnsi="Tahoma"/>
      <w:sz w:val="24"/>
      <w:szCs w:val="20"/>
    </w:rPr>
  </w:style>
  <w:style w:type="paragraph" w:styleId="1094" w:customStyle="1">
    <w:name w:val="Char3 Char Char Char"/>
    <w:basedOn w:val="772"/>
    <w:uiPriority w:val="0"/>
    <w:qFormat/>
    <w:rPr>
      <w:rFonts w:ascii="Tahoma" w:hAnsi="Tahoma"/>
      <w:sz w:val="24"/>
      <w:szCs w:val="20"/>
    </w:rPr>
  </w:style>
  <w:style w:type="paragraph" w:styleId="1095" w:customStyle="1">
    <w:name w:val="font6"/>
    <w:basedOn w:val="772"/>
    <w:uiPriority w:val="0"/>
    <w:qFormat/>
    <w:pPr>
      <w:jc w:val="left"/>
      <w:spacing w:before="100" w:beforeAutospacing="1" w:after="100" w:afterAutospacing="1"/>
      <w:widowControl/>
    </w:pPr>
    <w:rPr>
      <w:rFonts w:ascii="宋体" w:hAnsi="宋体" w:cs="宋体"/>
      <w:sz w:val="20"/>
      <w:szCs w:val="20"/>
    </w:rPr>
  </w:style>
  <w:style w:type="paragraph" w:styleId="1096" w:customStyle="1">
    <w:name w:val="项目编号2"/>
    <w:basedOn w:val="1097"/>
    <w:uiPriority w:val="0"/>
    <w:qFormat/>
    <w:pPr>
      <w:numPr>
        <w:numId w:val="2"/>
      </w:numPr>
    </w:pPr>
  </w:style>
  <w:style w:type="paragraph" w:styleId="1097" w:customStyle="1">
    <w:name w:val="项目编号1"/>
    <w:basedOn w:val="772"/>
    <w:uiPriority w:val="0"/>
    <w:qFormat/>
    <w:pPr>
      <w:numPr>
        <w:ilvl w:val="0"/>
        <w:numId w:val="3"/>
      </w:numPr>
      <w:spacing w:before="100" w:beforeAutospacing="1" w:after="100" w:afterAutospacing="1" w:line="360" w:lineRule="auto"/>
    </w:pPr>
    <w:rPr>
      <w:sz w:val="24"/>
    </w:rPr>
  </w:style>
  <w:style w:type="paragraph" w:styleId="1098" w:customStyle="1">
    <w:name w:val="图中文字"/>
    <w:basedOn w:val="772"/>
    <w:uiPriority w:val="0"/>
    <w:qFormat/>
    <w:pPr>
      <w:jc w:val="center"/>
      <w:spacing w:line="0" w:lineRule="atLeast"/>
    </w:pPr>
    <w:rPr>
      <w:sz w:val="24"/>
      <w:szCs w:val="20"/>
    </w:rPr>
  </w:style>
  <w:style w:type="paragraph" w:styleId="1099" w:customStyle="1">
    <w:name w:val="xl46"/>
    <w:basedOn w:val="77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0" w:customStyle="1">
    <w:name w:val="xl2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customStyle="1">
    <w:name w:val="Char2"/>
    <w:basedOn w:val="772"/>
    <w:uiPriority w:val="0"/>
    <w:qFormat/>
    <w:rPr>
      <w:rFonts w:ascii="Tahoma" w:hAnsi="Tahoma"/>
      <w:sz w:val="24"/>
      <w:szCs w:val="20"/>
    </w:rPr>
  </w:style>
  <w:style w:type="paragraph" w:styleId="1102" w:customStyle="1">
    <w:name w:val="xl35"/>
    <w:basedOn w:val="77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xl52"/>
    <w:basedOn w:val="7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5" w:customStyle="1">
    <w:name w:val="xl43"/>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6" w:customStyle="1">
    <w:name w:val="background1"/>
    <w:basedOn w:val="772"/>
    <w:uiPriority w:val="0"/>
    <w:qFormat/>
    <w:pPr>
      <w:jc w:val="left"/>
      <w:spacing w:before="100" w:beforeAutospacing="1" w:after="100" w:afterAutospacing="1"/>
      <w:widowControl/>
    </w:pPr>
    <w:rPr>
      <w:rFonts w:ascii="宋体" w:hAnsi="宋体" w:cs="宋体"/>
      <w:sz w:val="24"/>
    </w:rPr>
  </w:style>
  <w:style w:type="paragraph" w:styleId="1107" w:customStyle="1">
    <w:name w:val="Char Char Char Char Char Char Char"/>
    <w:basedOn w:val="772"/>
    <w:uiPriority w:val="0"/>
    <w:qFormat/>
    <w:pPr>
      <w:ind w:firstLine="200"/>
      <w:spacing w:line="360" w:lineRule="auto"/>
    </w:pPr>
    <w:rPr>
      <w:rFonts w:eastAsia="仿宋_GB2312"/>
      <w:sz w:val="24"/>
    </w:rPr>
  </w:style>
  <w:style w:type="paragraph" w:styleId="1108" w:customStyle="1">
    <w:name w:val="xl3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9" w:customStyle="1">
    <w:name w:val="xl36"/>
    <w:basedOn w:val="77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0" w:customStyle="1">
    <w:name w:val="正文 + 宋体"/>
    <w:basedOn w:val="772"/>
    <w:uiPriority w:val="0"/>
    <w:qFormat/>
    <w:pPr>
      <w:ind w:left="360" w:hanging="360"/>
      <w:jc w:val="left"/>
      <w:widowControl/>
    </w:pPr>
    <w:rPr>
      <w:rFonts w:ascii="宋体" w:hAnsi="宋体" w:cs="宋体"/>
      <w:b/>
      <w:bCs/>
      <w:color w:val="000000"/>
      <w:sz w:val="18"/>
      <w:szCs w:val="18"/>
    </w:rPr>
  </w:style>
  <w:style w:type="paragraph" w:styleId="1111" w:customStyle="1">
    <w:name w:val="正文列项_数字"/>
    <w:basedOn w:val="77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2" w:customStyle="1">
    <w:name w:val="xl3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customStyle="1">
    <w:name w:val="xl37"/>
    <w:basedOn w:val="77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customStyle="1">
    <w:name w:val="xl32"/>
    <w:basedOn w:val="7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customStyle="1">
    <w:name w:val="font8"/>
    <w:basedOn w:val="772"/>
    <w:uiPriority w:val="0"/>
    <w:qFormat/>
    <w:pPr>
      <w:jc w:val="left"/>
      <w:spacing w:before="100" w:beforeAutospacing="1" w:after="100" w:afterAutospacing="1"/>
      <w:widowControl/>
    </w:pPr>
    <w:rPr>
      <w:sz w:val="36"/>
      <w:szCs w:val="36"/>
    </w:rPr>
  </w:style>
  <w:style w:type="paragraph" w:styleId="1116" w:customStyle="1">
    <w:name w:val="Char"/>
    <w:basedOn w:val="772"/>
    <w:uiPriority w:val="0"/>
    <w:qFormat/>
    <w:pPr>
      <w:tabs>
        <w:tab w:val="left" w:pos="360" w:leader="none"/>
      </w:tabs>
    </w:pPr>
    <w:rPr>
      <w:sz w:val="24"/>
    </w:rPr>
  </w:style>
  <w:style w:type="paragraph" w:styleId="1117" w:customStyle="1">
    <w:name w:val="Char Char Char Char Char Char Char Char Char Char Char Char Char Char Char Char"/>
    <w:basedOn w:val="772"/>
    <w:uiPriority w:val="0"/>
    <w:qFormat/>
    <w:pPr>
      <w:jc w:val="center"/>
      <w:spacing w:after="160" w:line="240" w:lineRule="exact"/>
      <w:widowControl/>
    </w:pPr>
    <w:rPr>
      <w:rFonts w:ascii="宋体" w:hAnsi="宋体"/>
      <w:b/>
      <w:sz w:val="30"/>
      <w:szCs w:val="30"/>
      <w:lang w:eastAsia="en-US"/>
    </w:rPr>
  </w:style>
  <w:style w:type="paragraph" w:styleId="1118" w:customStyle="1">
    <w:name w:val="xl4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9" w:customStyle="1">
    <w:name w:val="Char Char1 Char Char Char Char Char Char"/>
    <w:basedOn w:val="772"/>
    <w:uiPriority w:val="0"/>
    <w:qFormat/>
    <w:pPr>
      <w:jc w:val="left"/>
      <w:spacing w:after="160" w:line="240" w:lineRule="exact"/>
      <w:widowControl/>
    </w:pPr>
    <w:rPr>
      <w:rFonts w:ascii="Verdana" w:hAnsi="Verdana" w:eastAsia="仿宋_GB2312"/>
      <w:sz w:val="24"/>
      <w:szCs w:val="20"/>
      <w:lang w:eastAsia="en-US"/>
    </w:rPr>
  </w:style>
  <w:style w:type="paragraph" w:styleId="1120" w:customStyle="1">
    <w:name w:val="Char Char1"/>
    <w:basedOn w:val="1014"/>
    <w:uiPriority w:val="0"/>
    <w:qFormat/>
    <w:rPr>
      <w:rFonts w:ascii="Tahoma" w:hAnsi="Tahoma"/>
      <w:sz w:val="24"/>
    </w:rPr>
  </w:style>
  <w:style w:type="paragraph" w:styleId="1121" w:customStyle="1">
    <w:name w:val="xl2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2" w:customStyle="1">
    <w:name w:val="xl3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customStyle="1">
    <w:name w:val="xl41"/>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4" w:customStyle="1">
    <w:name w:val="样式 宋体 五号 行距: 单倍行距"/>
    <w:basedOn w:val="772"/>
    <w:uiPriority w:val="0"/>
    <w:qFormat/>
    <w:pPr>
      <w:jc w:val="left"/>
    </w:pPr>
    <w:rPr>
      <w:rFonts w:ascii="宋体" w:hAnsi="宋体"/>
      <w:szCs w:val="20"/>
    </w:rPr>
  </w:style>
  <w:style w:type="paragraph" w:styleId="1125" w:customStyle="1">
    <w:name w:val="Char1 Char Char Char1"/>
    <w:basedOn w:val="772"/>
    <w:uiPriority w:val="0"/>
    <w:qFormat/>
    <w:rPr>
      <w:rFonts w:ascii="Tahoma" w:hAnsi="Tahoma" w:cs="仿宋_GB2312"/>
      <w:sz w:val="24"/>
      <w:szCs w:val="28"/>
    </w:rPr>
  </w:style>
  <w:style w:type="paragraph" w:styleId="1126" w:customStyle="1">
    <w:name w:val="四级条标题"/>
    <w:basedOn w:val="1127"/>
    <w:next w:val="772"/>
    <w:uiPriority w:val="0"/>
    <w:qFormat/>
    <w:pPr>
      <w:numPr>
        <w:ilvl w:val="4"/>
      </w:numPr>
      <w:ind w:left="0" w:hanging="840"/>
      <w:tabs>
        <w:tab w:val="left" w:pos="360" w:leader="none"/>
        <w:tab w:val="left" w:pos="840" w:leader="none"/>
      </w:tabs>
      <w:outlineLvl w:val="4"/>
    </w:pPr>
  </w:style>
  <w:style w:type="paragraph" w:styleId="1127" w:customStyle="1">
    <w:name w:val="三级条标题"/>
    <w:basedOn w:val="1089"/>
    <w:next w:val="772"/>
    <w:uiPriority w:val="0"/>
    <w:qFormat/>
    <w:pPr>
      <w:numPr>
        <w:ilvl w:val="3"/>
        <w:numId w:val="1"/>
      </w:numPr>
      <w:ind w:left="0" w:hanging="840"/>
      <w:outlineLvl w:val="3"/>
    </w:pPr>
  </w:style>
  <w:style w:type="paragraph" w:styleId="112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29" w:customStyle="1">
    <w:name w:val="样式 标题 2 + 宋体 五号 行距: 单倍行距"/>
    <w:basedOn w:val="991"/>
    <w:uiPriority w:val="0"/>
    <w:qFormat/>
    <w:pPr>
      <w:numPr>
        <w:ilvl w:val="1"/>
        <w:numId w:val="4"/>
      </w:numPr>
      <w:jc w:val="left"/>
      <w:spacing w:before="260" w:after="260" w:line="240" w:lineRule="auto"/>
    </w:pPr>
    <w:rPr>
      <w:rFonts w:ascii="宋体" w:hAnsi="宋体" w:eastAsia="宋体"/>
      <w:bCs/>
      <w:sz w:val="21"/>
    </w:rPr>
  </w:style>
  <w:style w:type="paragraph" w:styleId="1130" w:customStyle="1">
    <w:name w:val="List Paragraph1"/>
    <w:basedOn w:val="772"/>
    <w:uiPriority w:val="0"/>
    <w:qFormat/>
    <w:pPr>
      <w:ind w:firstLine="420"/>
    </w:pPr>
    <w:rPr>
      <w:rFonts w:ascii="Calibri" w:hAnsi="Calibri"/>
      <w:szCs w:val="22"/>
    </w:rPr>
  </w:style>
  <w:style w:type="paragraph" w:styleId="1131" w:customStyle="1">
    <w:name w:val="项目符号1"/>
    <w:basedOn w:val="1132"/>
    <w:uiPriority w:val="0"/>
    <w:qFormat/>
    <w:pPr>
      <w:ind w:left="-25" w:firstLine="0"/>
    </w:pPr>
  </w:style>
  <w:style w:type="paragraph" w:styleId="1132" w:customStyle="1">
    <w:name w:val="正文文本样式"/>
    <w:basedOn w:val="772"/>
    <w:uiPriority w:val="0"/>
    <w:qFormat/>
    <w:pPr>
      <w:ind w:firstLine="482"/>
      <w:spacing w:line="360" w:lineRule="auto"/>
    </w:pPr>
    <w:rPr>
      <w:rFonts w:cs="宋体"/>
      <w:sz w:val="24"/>
      <w:szCs w:val="20"/>
    </w:rPr>
  </w:style>
  <w:style w:type="paragraph" w:styleId="1133" w:customStyle="1">
    <w:name w:val="xl2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4" w:customStyle="1">
    <w:name w:val="font5"/>
    <w:basedOn w:val="772"/>
    <w:uiPriority w:val="0"/>
    <w:qFormat/>
    <w:pPr>
      <w:jc w:val="left"/>
      <w:spacing w:before="100" w:beforeAutospacing="1" w:after="100" w:afterAutospacing="1"/>
      <w:widowControl/>
    </w:pPr>
    <w:rPr>
      <w:rFonts w:ascii="宋体" w:hAnsi="宋体" w:cs="宋体"/>
      <w:sz w:val="18"/>
      <w:szCs w:val="18"/>
    </w:rPr>
  </w:style>
  <w:style w:type="paragraph" w:styleId="1135" w:customStyle="1">
    <w:name w:val="五级条标题"/>
    <w:basedOn w:val="1126"/>
    <w:next w:val="772"/>
    <w:uiPriority w:val="0"/>
    <w:qFormat/>
    <w:pPr>
      <w:numPr>
        <w:ilvl w:val="5"/>
      </w:numPr>
      <w:ind w:left="0" w:hanging="840"/>
      <w:outlineLvl w:val="5"/>
    </w:pPr>
  </w:style>
  <w:style w:type="paragraph" w:styleId="1136" w:customStyle="1">
    <w:name w:val="xl4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7" w:customStyle="1">
    <w:name w:val="文档正文"/>
    <w:basedOn w:val="772"/>
    <w:uiPriority w:val="0"/>
    <w:qFormat/>
    <w:pPr>
      <w:spacing w:before="120" w:after="120" w:line="180" w:lineRule="auto"/>
    </w:pPr>
    <w:rPr>
      <w:rFonts w:ascii="Arial" w:hAnsi="Arial"/>
      <w:szCs w:val="20"/>
    </w:rPr>
  </w:style>
  <w:style w:type="paragraph" w:styleId="1138" w:customStyle="1">
    <w:name w:val="xl33"/>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customStyle="1">
    <w:name w:val="xl42"/>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0" w:customStyle="1">
    <w:name w:val="Char Char Char1 Char"/>
    <w:basedOn w:val="772"/>
    <w:uiPriority w:val="0"/>
    <w:qFormat/>
    <w:rPr>
      <w:rFonts w:ascii="Tahoma" w:hAnsi="Tahoma"/>
      <w:sz w:val="24"/>
      <w:szCs w:val="20"/>
    </w:rPr>
  </w:style>
  <w:style w:type="paragraph" w:styleId="1141" w:customStyle="1">
    <w:name w:val="xl44"/>
    <w:basedOn w:val="7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2" w:customStyle="1">
    <w:name w:val="1名"/>
    <w:basedOn w:val="772"/>
    <w:uiPriority w:val="0"/>
    <w:qFormat/>
    <w:pPr>
      <w:numPr>
        <w:ilvl w:val="0"/>
        <w:numId w:val="5"/>
      </w:numPr>
      <w:spacing w:before="120"/>
    </w:pPr>
    <w:rPr>
      <w:rFonts w:ascii="宋体"/>
      <w:sz w:val="28"/>
      <w:szCs w:val="20"/>
    </w:rPr>
  </w:style>
  <w:style w:type="paragraph" w:styleId="1143" w:customStyle="1">
    <w:name w:val="font9"/>
    <w:basedOn w:val="77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4" w:customStyle="1">
    <w:name w:val="Char Char Char1 Char1"/>
    <w:basedOn w:val="772"/>
    <w:uiPriority w:val="0"/>
    <w:qFormat/>
    <w:rPr>
      <w:rFonts w:ascii="Tahoma" w:hAnsi="Tahoma"/>
      <w:sz w:val="24"/>
      <w:szCs w:val="20"/>
    </w:rPr>
  </w:style>
  <w:style w:type="paragraph" w:styleId="1145" w:customStyle="1">
    <w:name w:val="Char Char Char Char Char Char Char Char Char Char"/>
    <w:basedOn w:val="772"/>
    <w:uiPriority w:val="0"/>
    <w:qFormat/>
  </w:style>
  <w:style w:type="paragraph" w:styleId="1146" w:customStyle="1">
    <w:name w:val="Char Char1 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147" w:customStyle="1">
    <w:name w:val="Char1"/>
    <w:basedOn w:val="772"/>
    <w:uiPriority w:val="0"/>
    <w:qFormat/>
    <w:pPr>
      <w:tabs>
        <w:tab w:val="left" w:pos="360" w:leader="none"/>
      </w:tabs>
    </w:pPr>
    <w:rPr>
      <w:sz w:val="24"/>
    </w:rPr>
  </w:style>
  <w:style w:type="paragraph" w:styleId="1148" w:customStyle="1">
    <w:name w:val="正文列项_字母"/>
    <w:basedOn w:val="77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49" w:customStyle="1">
    <w:name w:val="xl2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xl47"/>
    <w:basedOn w:val="7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1" w:customStyle="1">
    <w:name w:val="默认段落字体 Para Char Char Char Char"/>
    <w:basedOn w:val="772"/>
    <w:uiPriority w:val="0"/>
    <w:qFormat/>
    <w:rPr>
      <w:rFonts w:ascii="Arial" w:hAnsi="Arial" w:cs="Arial"/>
      <w:szCs w:val="21"/>
    </w:rPr>
  </w:style>
  <w:style w:type="paragraph" w:styleId="1152" w:customStyle="1">
    <w:name w:val="xl4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3" w:customStyle="1">
    <w:name w:val="xl31"/>
    <w:basedOn w:val="7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4" w:customStyle="1">
    <w:name w:val="xl5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customStyle="1">
    <w:name w:val="Char Char Char"/>
    <w:basedOn w:val="772"/>
    <w:uiPriority w:val="0"/>
    <w:qFormat/>
    <w:rPr>
      <w:rFonts w:ascii="Tahoma" w:hAnsi="Tahoma"/>
      <w:sz w:val="24"/>
      <w:szCs w:val="20"/>
    </w:rPr>
  </w:style>
  <w:style w:type="paragraph" w:styleId="1156" w:customStyle="1">
    <w:name w:val="xl5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7" w:customStyle="1">
    <w:name w:val="缺省文本"/>
    <w:basedOn w:val="772"/>
    <w:uiPriority w:val="0"/>
    <w:qFormat/>
    <w:pPr>
      <w:jc w:val="left"/>
    </w:pPr>
    <w:rPr>
      <w:sz w:val="24"/>
    </w:rPr>
  </w:style>
  <w:style w:type="paragraph" w:styleId="1158" w:customStyle="1">
    <w:name w:val="Char Char Char1"/>
    <w:basedOn w:val="772"/>
    <w:uiPriority w:val="0"/>
    <w:qFormat/>
    <w:rPr>
      <w:rFonts w:ascii="Tahoma" w:hAnsi="Tahoma"/>
      <w:sz w:val="24"/>
      <w:szCs w:val="20"/>
    </w:rPr>
  </w:style>
  <w:style w:type="paragraph" w:styleId="1159" w:customStyle="1">
    <w:name w:val="Char Char Char Char Char Char Char1"/>
    <w:basedOn w:val="772"/>
    <w:uiPriority w:val="0"/>
    <w:qFormat/>
    <w:pPr>
      <w:ind w:firstLine="200"/>
      <w:spacing w:line="360" w:lineRule="auto"/>
    </w:pPr>
    <w:rPr>
      <w:rFonts w:eastAsia="仿宋_GB2312"/>
      <w:sz w:val="24"/>
    </w:rPr>
  </w:style>
  <w:style w:type="paragraph" w:styleId="1160" w:customStyle="1">
    <w:name w:val="xl51"/>
    <w:basedOn w:val="7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customStyle="1">
    <w:name w:val="样式21"/>
    <w:basedOn w:val="1051"/>
    <w:uiPriority w:val="0"/>
    <w:qFormat/>
    <w:pPr>
      <w:jc w:val="center"/>
      <w:spacing w:line="360" w:lineRule="auto"/>
    </w:pPr>
    <w:rPr>
      <w:sz w:val="24"/>
    </w:rPr>
  </w:style>
  <w:style w:type="paragraph" w:styleId="1162" w:customStyle="1">
    <w:name w:val="xl24"/>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4" w:customStyle="1">
    <w:name w:val="正文 + 楷体_GB2312"/>
    <w:basedOn w:val="772"/>
    <w:uiPriority w:val="0"/>
    <w:qFormat/>
    <w:pPr>
      <w:jc w:val="left"/>
      <w:widowControl/>
    </w:pPr>
    <w:rPr>
      <w:rFonts w:ascii="楷体_GB2312" w:eastAsia="楷体_GB2312" w:cs="Arial"/>
      <w:sz w:val="24"/>
    </w:rPr>
  </w:style>
  <w:style w:type="paragraph" w:styleId="1165" w:customStyle="1">
    <w:name w:val="xl3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6" w:customStyle="1">
    <w:name w:val="1 Char Char Char Char"/>
    <w:basedOn w:val="772"/>
    <w:uiPriority w:val="0"/>
    <w:qFormat/>
    <w:rPr>
      <w:rFonts w:ascii="Tahoma" w:hAnsi="Tahoma"/>
      <w:sz w:val="24"/>
      <w:szCs w:val="20"/>
    </w:rPr>
  </w:style>
  <w:style w:type="paragraph" w:styleId="116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68" w:customStyle="1">
    <w:name w:val="列出段落1"/>
    <w:basedOn w:val="772"/>
    <w:uiPriority w:val="0"/>
    <w:qFormat/>
    <w:pPr>
      <w:ind w:firstLine="420"/>
    </w:pPr>
    <w:rPr>
      <w:rFonts w:ascii="Calibri" w:hAnsi="Calibri"/>
      <w:szCs w:val="22"/>
    </w:rPr>
  </w:style>
  <w:style w:type="paragraph" w:styleId="1169" w:customStyle="1">
    <w:name w:val="default"/>
    <w:basedOn w:val="772"/>
    <w:uiPriority w:val="0"/>
    <w:qFormat/>
    <w:pPr>
      <w:jc w:val="left"/>
      <w:spacing w:before="100" w:beforeAutospacing="1" w:after="100" w:afterAutospacing="1"/>
      <w:widowControl/>
    </w:pPr>
    <w:rPr>
      <w:rFonts w:ascii="宋体" w:hAnsi="宋体" w:cs="宋体"/>
      <w:sz w:val="24"/>
    </w:rPr>
  </w:style>
  <w:style w:type="paragraph" w:styleId="1170" w:customStyle="1">
    <w:name w:val="字元 字元1"/>
    <w:basedOn w:val="772"/>
    <w:uiPriority w:val="0"/>
    <w:qFormat/>
    <w:rPr>
      <w:rFonts w:ascii="Tahoma" w:hAnsi="Tahoma"/>
      <w:sz w:val="24"/>
      <w:szCs w:val="20"/>
    </w:rPr>
  </w:style>
  <w:style w:type="paragraph" w:styleId="1171" w:customStyle="1">
    <w:name w:val="_Style 160"/>
    <w:uiPriority w:val="0"/>
    <w:qFormat/>
    <w:rPr>
      <w:rFonts w:hint="default" w:ascii="Times New Roman" w:hAnsi="Times New Roman" w:eastAsia="宋体" w:cs="Times New Roman"/>
      <w:sz w:val="21"/>
      <w:szCs w:val="24"/>
      <w:lang w:val="en-US" w:eastAsia="zh-CN" w:bidi="ar-SA"/>
    </w:rPr>
  </w:style>
  <w:style w:type="paragraph" w:styleId="1172" w:customStyle="1">
    <w:name w:val="项目编号3"/>
    <w:basedOn w:val="1132"/>
    <w:uiPriority w:val="0"/>
    <w:qFormat/>
    <w:pPr>
      <w:numPr>
        <w:ilvl w:val="0"/>
        <w:numId w:val="6"/>
      </w:numPr>
    </w:pPr>
  </w:style>
  <w:style w:type="paragraph" w:styleId="1173" w:customStyle="1">
    <w:name w:val="Char21"/>
    <w:basedOn w:val="772"/>
    <w:uiPriority w:val="0"/>
    <w:qFormat/>
    <w:rPr>
      <w:rFonts w:ascii="Tahoma" w:hAnsi="Tahoma"/>
      <w:sz w:val="24"/>
      <w:szCs w:val="20"/>
    </w:rPr>
  </w:style>
  <w:style w:type="paragraph" w:styleId="1174" w:customStyle="1">
    <w:name w:val="表格文字"/>
    <w:basedOn w:val="1022"/>
    <w:uiPriority w:val="0"/>
    <w:qFormat/>
    <w:pPr>
      <w:ind w:firstLine="0"/>
      <w:spacing w:before="20" w:after="20" w:line="240" w:lineRule="auto"/>
    </w:pPr>
    <w:rPr>
      <w:rFonts w:ascii="Century Gothic" w:hAnsi="Century Gothic"/>
      <w:sz w:val="20"/>
      <w:szCs w:val="20"/>
    </w:rPr>
  </w:style>
  <w:style w:type="paragraph" w:styleId="1175" w:customStyle="1">
    <w:name w:val="Char Char Char Char Char Char Char Char Char Char1"/>
    <w:basedOn w:val="772"/>
    <w:uiPriority w:val="0"/>
    <w:qFormat/>
    <w:rPr>
      <w:rFonts w:ascii="宋体" w:hAnsi="宋体" w:cs="Courier New"/>
      <w:sz w:val="32"/>
      <w:szCs w:val="32"/>
    </w:rPr>
  </w:style>
  <w:style w:type="paragraph" w:styleId="1176" w:customStyle="1">
    <w:name w:val="正文文本样式 加粗"/>
    <w:basedOn w:val="1132"/>
    <w:uiPriority w:val="0"/>
    <w:qFormat/>
    <w:rPr>
      <w:b/>
    </w:rPr>
  </w:style>
  <w:style w:type="paragraph" w:styleId="1177" w:customStyle="1">
    <w:name w:val="Char2 Char Char Char Char Char Char"/>
    <w:basedOn w:val="772"/>
    <w:uiPriority w:val="0"/>
    <w:qFormat/>
    <w:pPr>
      <w:jc w:val="center"/>
      <w:spacing w:line="400" w:lineRule="exact"/>
      <w:widowControl/>
    </w:pPr>
  </w:style>
  <w:style w:type="paragraph" w:styleId="1178" w:customStyle="1">
    <w:name w:val="Char Char4"/>
    <w:basedOn w:val="772"/>
    <w:uiPriority w:val="0"/>
    <w:qFormat/>
    <w:pPr>
      <w:jc w:val="center"/>
      <w:spacing w:line="400" w:lineRule="exact"/>
      <w:widowControl/>
    </w:pPr>
  </w:style>
  <w:style w:type="paragraph" w:styleId="1179" w:customStyle="1">
    <w:name w:val="Char3 Char Char Char1"/>
    <w:basedOn w:val="772"/>
    <w:uiPriority w:val="0"/>
    <w:qFormat/>
    <w:rPr>
      <w:rFonts w:ascii="Tahoma" w:hAnsi="Tahoma"/>
      <w:sz w:val="24"/>
      <w:szCs w:val="20"/>
    </w:rPr>
  </w:style>
  <w:style w:type="paragraph" w:styleId="118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22222222222222"/>
    <w:basedOn w:val="772"/>
    <w:uiPriority w:val="0"/>
    <w:qFormat/>
    <w:pPr>
      <w:ind w:firstLine="480"/>
      <w:jc w:val="left"/>
      <w:spacing w:line="360" w:lineRule="auto"/>
      <w:widowControl/>
    </w:pPr>
    <w:rPr>
      <w:color w:val="ff0000"/>
      <w:sz w:val="24"/>
      <w:szCs w:val="20"/>
    </w:rPr>
  </w:style>
  <w:style w:type="character" w:styleId="1182" w:customStyle="1">
    <w:name w:val="中等深浅网格 1 - 强调文字颜色 2 Char"/>
    <w:link w:val="1183"/>
    <w:uiPriority w:val="0"/>
    <w:qFormat/>
    <w:rPr>
      <w:sz w:val="21"/>
      <w:szCs w:val="24"/>
      <w:lang w:val="zh-CN" w:eastAsia="zh-CN" w:bidi="ar-SA"/>
    </w:rPr>
  </w:style>
  <w:style w:type="paragraph" w:styleId="1183" w:customStyle="1">
    <w:name w:val="1"/>
    <w:link w:val="1182"/>
    <w:uiPriority w:val="0"/>
    <w:qFormat/>
    <w:rPr>
      <w:rFonts w:hint="default" w:ascii="Times New Roman" w:hAnsi="Times New Roman" w:eastAsia="宋体" w:cs="Times New Roman"/>
      <w:sz w:val="21"/>
      <w:szCs w:val="24"/>
      <w:lang w:val="zh-CN" w:eastAsia="zh-CN" w:bidi="ar-SA"/>
    </w:rPr>
  </w:style>
  <w:style w:type="paragraph" w:styleId="1184" w:customStyle="1">
    <w:name w:val="图文"/>
    <w:basedOn w:val="772"/>
    <w:uiPriority w:val="0"/>
    <w:qFormat/>
    <w:pPr>
      <w:spacing w:after="50" w:line="360" w:lineRule="auto"/>
    </w:pPr>
    <w:rPr>
      <w:sz w:val="24"/>
    </w:rPr>
  </w:style>
  <w:style w:type="paragraph" w:styleId="1185" w:customStyle="1">
    <w:name w:val="xl23"/>
    <w:basedOn w:val="772"/>
    <w:uiPriority w:val="0"/>
    <w:qFormat/>
    <w:pPr>
      <w:spacing w:before="100" w:beforeAutospacing="1" w:after="100" w:afterAutospacing="1" w:line="360" w:lineRule="auto"/>
      <w:widowControl/>
    </w:pPr>
    <w:rPr>
      <w:sz w:val="24"/>
      <w:szCs w:val="20"/>
    </w:rPr>
  </w:style>
  <w:style w:type="paragraph" w:styleId="1186" w:customStyle="1">
    <w:name w:val="正文表格"/>
    <w:basedOn w:val="772"/>
    <w:link w:val="1187"/>
    <w:uiPriority w:val="0"/>
    <w:qFormat/>
    <w:pPr>
      <w:jc w:val="left"/>
    </w:pPr>
    <w:rPr>
      <w:rFonts w:ascii="宋体" w:hAnsi="宋体"/>
      <w:color w:val="000000"/>
      <w:szCs w:val="21"/>
    </w:rPr>
  </w:style>
  <w:style w:type="character" w:styleId="1187" w:customStyle="1">
    <w:name w:val="正文表格 Char"/>
    <w:link w:val="1186"/>
    <w:uiPriority w:val="0"/>
    <w:qFormat/>
    <w:rPr>
      <w:rFonts w:ascii="宋体" w:hAnsi="宋体"/>
      <w:color w:val="000000"/>
      <w:sz w:val="21"/>
      <w:szCs w:val="21"/>
    </w:rPr>
  </w:style>
  <w:style w:type="paragraph" w:styleId="1188" w:customStyle="1">
    <w:name w:val="正文重点"/>
    <w:basedOn w:val="772"/>
    <w:link w:val="1189"/>
    <w:uiPriority w:val="0"/>
    <w:qFormat/>
    <w:pPr>
      <w:ind w:firstLine="482"/>
      <w:jc w:val="left"/>
      <w:spacing w:line="360" w:lineRule="auto"/>
    </w:pPr>
    <w:rPr>
      <w:b/>
      <w:sz w:val="24"/>
      <w:szCs w:val="20"/>
    </w:rPr>
  </w:style>
  <w:style w:type="character" w:styleId="1189" w:customStyle="1">
    <w:name w:val="正文重点 Char"/>
    <w:link w:val="1188"/>
    <w:uiPriority w:val="0"/>
    <w:qFormat/>
    <w:rPr>
      <w:b/>
      <w:sz w:val="24"/>
    </w:rPr>
  </w:style>
  <w:style w:type="paragraph" w:styleId="1190" w:customStyle="1">
    <w:name w:val="标题1-附件"/>
    <w:basedOn w:val="990"/>
    <w:uiPriority w:val="0"/>
    <w:qFormat/>
    <w:pPr>
      <w:jc w:val="left"/>
    </w:pPr>
    <w:rPr>
      <w:sz w:val="24"/>
      <w:szCs w:val="24"/>
    </w:rPr>
  </w:style>
  <w:style w:type="paragraph" w:styleId="1191" w:customStyle="1">
    <w:name w:val="正文小标题"/>
    <w:basedOn w:val="772"/>
    <w:next w:val="992"/>
    <w:link w:val="1192"/>
    <w:uiPriority w:val="0"/>
    <w:qFormat/>
    <w:pPr>
      <w:ind w:firstLine="482"/>
      <w:jc w:val="left"/>
      <w:spacing w:before="312" w:after="312"/>
    </w:pPr>
    <w:rPr>
      <w:rFonts w:ascii="宋体" w:hAnsi="宋体"/>
      <w:b/>
      <w:i/>
      <w:color w:val="ff0000"/>
      <w:sz w:val="24"/>
      <w:szCs w:val="20"/>
    </w:rPr>
  </w:style>
  <w:style w:type="character" w:styleId="1192" w:customStyle="1">
    <w:name w:val="正文小标题 Char"/>
    <w:link w:val="1191"/>
    <w:uiPriority w:val="0"/>
    <w:qFormat/>
    <w:rPr>
      <w:rFonts w:ascii="宋体" w:hAnsi="宋体"/>
      <w:b/>
      <w:i/>
      <w:color w:val="ff0000"/>
      <w:sz w:val="24"/>
    </w:rPr>
  </w:style>
  <w:style w:type="paragraph" w:styleId="1193" w:customStyle="1">
    <w:name w:val="正文大标题"/>
    <w:basedOn w:val="1191"/>
    <w:next w:val="992"/>
    <w:link w:val="1194"/>
    <w:uiPriority w:val="0"/>
    <w:qFormat/>
    <w:pPr>
      <w:jc w:val="center"/>
    </w:pPr>
    <w:rPr>
      <w:i w:val="0"/>
      <w:color w:val="000000"/>
      <w:sz w:val="28"/>
      <w:szCs w:val="21"/>
    </w:rPr>
  </w:style>
  <w:style w:type="character" w:styleId="1194" w:customStyle="1">
    <w:name w:val="正文大标题 Char"/>
    <w:link w:val="1193"/>
    <w:uiPriority w:val="0"/>
    <w:qFormat/>
    <w:rPr>
      <w:rFonts w:ascii="宋体" w:hAnsi="宋体"/>
      <w:b/>
      <w:color w:val="000000"/>
      <w:sz w:val="28"/>
      <w:szCs w:val="21"/>
    </w:rPr>
  </w:style>
  <w:style w:type="paragraph" w:styleId="1195" w:customStyle="1">
    <w:name w:val="注释"/>
    <w:basedOn w:val="772"/>
    <w:link w:val="1196"/>
    <w:uiPriority w:val="0"/>
    <w:qFormat/>
    <w:pPr>
      <w:ind w:left="420" w:hanging="420"/>
      <w:jc w:val="left"/>
    </w:pPr>
    <w:rPr>
      <w:rFonts w:ascii="宋体" w:hAnsi="宋体"/>
      <w:szCs w:val="21"/>
    </w:rPr>
  </w:style>
  <w:style w:type="character" w:styleId="1196" w:customStyle="1">
    <w:name w:val="注释 Char"/>
    <w:link w:val="1195"/>
    <w:uiPriority w:val="0"/>
    <w:qFormat/>
    <w:rPr>
      <w:rFonts w:ascii="宋体" w:hAnsi="宋体"/>
      <w:sz w:val="21"/>
      <w:szCs w:val="21"/>
    </w:rPr>
  </w:style>
  <w:style w:type="paragraph" w:styleId="1197" w:customStyle="1">
    <w:name w:val="正文须知-1级"/>
    <w:basedOn w:val="772"/>
    <w:next w:val="772"/>
    <w:uiPriority w:val="0"/>
    <w:qFormat/>
    <w:pPr>
      <w:numPr>
        <w:ilvl w:val="0"/>
        <w:numId w:val="7"/>
      </w:numPr>
      <w:spacing w:line="300" w:lineRule="auto"/>
    </w:pPr>
    <w:rPr>
      <w:rFonts w:ascii="宋体" w:hAnsi="Calibri"/>
      <w:sz w:val="24"/>
      <w:szCs w:val="21"/>
    </w:rPr>
  </w:style>
  <w:style w:type="paragraph" w:styleId="1198" w:customStyle="1">
    <w:name w:val="正文须知-2级"/>
    <w:basedOn w:val="772"/>
    <w:uiPriority w:val="0"/>
    <w:qFormat/>
    <w:pPr>
      <w:numPr>
        <w:ilvl w:val="1"/>
        <w:numId w:val="7"/>
      </w:numPr>
      <w:spacing w:line="300" w:lineRule="auto"/>
    </w:pPr>
    <w:rPr>
      <w:rFonts w:ascii="宋体" w:hAnsi="Calibri"/>
      <w:sz w:val="24"/>
      <w:szCs w:val="21"/>
    </w:rPr>
  </w:style>
  <w:style w:type="paragraph" w:styleId="1199" w:customStyle="1">
    <w:name w:val="正文须知-3级"/>
    <w:basedOn w:val="772"/>
    <w:uiPriority w:val="0"/>
    <w:qFormat/>
    <w:pPr>
      <w:numPr>
        <w:ilvl w:val="2"/>
        <w:numId w:val="7"/>
      </w:numPr>
      <w:ind w:hanging="355"/>
      <w:spacing w:line="300" w:lineRule="auto"/>
    </w:pPr>
    <w:rPr>
      <w:rFonts w:ascii="宋体" w:hAnsi="Calibri"/>
      <w:sz w:val="24"/>
      <w:szCs w:val="21"/>
    </w:rPr>
  </w:style>
  <w:style w:type="character" w:styleId="1200" w:customStyle="1">
    <w:name w:val="纯文本 字符"/>
    <w:uiPriority w:val="99"/>
    <w:qFormat/>
    <w:rPr>
      <w:rFonts w:ascii="宋体" w:hAnsi="Courier New" w:eastAsia="宋体" w:cs="Times New Roman"/>
      <w:sz w:val="21"/>
      <w:szCs w:val="21"/>
      <w:lang w:val="en-US" w:eastAsia="zh-CN" w:bidi="ar-SA"/>
    </w:rPr>
  </w:style>
  <w:style w:type="paragraph" w:styleId="1201" w:customStyle="1">
    <w:name w:val="表格1"/>
    <w:basedOn w:val="772"/>
    <w:uiPriority w:val="0"/>
    <w:qFormat/>
    <w:pPr>
      <w:ind w:firstLine="480"/>
      <w:jc w:val="center"/>
    </w:pPr>
    <w:rPr>
      <w:sz w:val="24"/>
      <w:szCs w:val="20"/>
    </w:rPr>
  </w:style>
  <w:style w:type="character" w:styleId="1202" w:customStyle="1">
    <w:name w:val="纯文本 字符1"/>
    <w:uiPriority w:val="0"/>
    <w:qFormat/>
    <w:rPr>
      <w:rFonts w:ascii="宋体" w:hAnsi="Courier New"/>
    </w:rPr>
  </w:style>
  <w:style w:type="character" w:styleId="1203" w:customStyle="1">
    <w:name w:val="bjh-p"/>
    <w:uiPriority w:val="0"/>
    <w:qFormat/>
  </w:style>
  <w:style w:type="paragraph" w:styleId="1204" w:customStyle="1">
    <w:name w:val="无标题条"/>
    <w:next w:val="772"/>
    <w:uiPriority w:val="0"/>
    <w:qFormat/>
    <w:pPr>
      <w:jc w:val="both"/>
    </w:pPr>
    <w:rPr>
      <w:rFonts w:hint="default" w:ascii="Times New Roman" w:hAnsi="Times New Roman" w:eastAsia="宋体" w:cs="Times New Roman"/>
      <w:sz w:val="21"/>
      <w:lang w:val="en-US" w:eastAsia="zh-CN" w:bidi="ar-SA"/>
    </w:rPr>
  </w:style>
  <w:style w:type="character" w:styleId="1205" w:customStyle="1">
    <w:name w:val="正文格式 Char"/>
    <w:link w:val="1206"/>
    <w:uiPriority w:val="0"/>
    <w:qFormat/>
    <w:rPr>
      <w:rFonts w:ascii="宋体" w:hAnsi="宋体"/>
      <w:sz w:val="24"/>
      <w:szCs w:val="24"/>
      <w:lang w:val="en-GB"/>
    </w:rPr>
  </w:style>
  <w:style w:type="paragraph" w:styleId="1206" w:customStyle="1">
    <w:name w:val="正文格式"/>
    <w:basedOn w:val="772"/>
    <w:link w:val="1205"/>
    <w:uiPriority w:val="0"/>
    <w:qFormat/>
    <w:pPr>
      <w:ind w:firstLine="480"/>
      <w:spacing w:line="360" w:lineRule="auto"/>
    </w:pPr>
    <w:rPr>
      <w:rFonts w:ascii="宋体" w:hAnsi="宋体"/>
      <w:sz w:val="24"/>
      <w:lang w:val="en-GB"/>
    </w:rPr>
  </w:style>
  <w:style w:type="character" w:styleId="1207" w:customStyle="1">
    <w:name w:val="标题 3 Char"/>
    <w:uiPriority w:val="0"/>
    <w:qFormat/>
    <w:rPr>
      <w:rFonts w:ascii="宋体" w:eastAsia="宋体"/>
      <w:b/>
      <w:sz w:val="24"/>
      <w:u w:val="single"/>
      <w:lang w:val="en-US" w:eastAsia="zh-CN" w:bidi="ar-SA"/>
    </w:rPr>
  </w:style>
  <w:style w:type="character" w:styleId="1208" w:customStyle="1">
    <w:name w:val="正文缩进 Char"/>
    <w:uiPriority w:val="0"/>
    <w:qFormat/>
    <w:rPr>
      <w:rFonts w:ascii="宋体" w:eastAsia="宋体"/>
      <w:sz w:val="24"/>
      <w:szCs w:val="24"/>
      <w:lang w:val="en-US" w:eastAsia="zh-CN" w:bidi="ar-SA"/>
    </w:rPr>
  </w:style>
  <w:style w:type="character" w:styleId="1209" w:customStyle="1">
    <w:name w:val="Char Char111"/>
    <w:uiPriority w:val="0"/>
    <w:qFormat/>
    <w:rPr>
      <w:rFonts w:ascii="宋体" w:eastAsia="宋体"/>
      <w:b/>
      <w:sz w:val="24"/>
      <w:u w:val="single"/>
      <w:lang w:val="en-US" w:eastAsia="zh-CN" w:bidi="ar-SA"/>
    </w:rPr>
  </w:style>
  <w:style w:type="character" w:styleId="1210" w:customStyle="1">
    <w:name w:val="正文文本缩进 Char"/>
    <w:uiPriority w:val="0"/>
    <w:qFormat/>
    <w:rPr>
      <w:rFonts w:eastAsia="宋体"/>
      <w:sz w:val="24"/>
      <w:szCs w:val="24"/>
      <w:lang w:val="en-US" w:eastAsia="zh-CN" w:bidi="ar-SA"/>
    </w:rPr>
  </w:style>
  <w:style w:type="character" w:styleId="1211" w:customStyle="1">
    <w:name w:val="列出段落 Char"/>
    <w:uiPriority w:val="0"/>
    <w:qFormat/>
    <w:rPr>
      <w:rFonts w:ascii="Calibri" w:hAnsi="Calibri" w:eastAsia="宋体"/>
      <w:sz w:val="21"/>
      <w:szCs w:val="22"/>
      <w:lang w:val="en-US" w:eastAsia="zh-CN" w:bidi="ar-SA"/>
    </w:rPr>
  </w:style>
  <w:style w:type="character" w:styleId="1212" w:customStyle="1">
    <w:name w:val="页眉 Char"/>
    <w:uiPriority w:val="0"/>
    <w:qFormat/>
    <w:rPr>
      <w:rFonts w:eastAsia="宋体"/>
      <w:sz w:val="18"/>
      <w:szCs w:val="18"/>
      <w:lang w:val="en-US" w:eastAsia="zh-CN" w:bidi="ar-SA"/>
    </w:rPr>
  </w:style>
  <w:style w:type="character" w:styleId="1213" w:customStyle="1">
    <w:name w:val="标题 2 Char"/>
    <w:uiPriority w:val="0"/>
    <w:qFormat/>
    <w:rPr>
      <w:rFonts w:ascii="Arial" w:hAnsi="Arial" w:eastAsia="黑体"/>
      <w:b/>
      <w:sz w:val="30"/>
      <w:lang w:val="en-US" w:eastAsia="zh-CN" w:bidi="ar-SA"/>
    </w:rPr>
  </w:style>
  <w:style w:type="paragraph" w:styleId="1214" w:customStyle="1">
    <w:name w:val="字元 字元2"/>
    <w:basedOn w:val="772"/>
    <w:uiPriority w:val="0"/>
    <w:qFormat/>
    <w:rPr>
      <w:rFonts w:ascii="Tahoma" w:hAnsi="Tahoma"/>
      <w:sz w:val="24"/>
      <w:szCs w:val="20"/>
    </w:rPr>
  </w:style>
  <w:style w:type="paragraph" w:styleId="1215" w:customStyle="1">
    <w:name w:val="Char3 Char Char Char2"/>
    <w:basedOn w:val="772"/>
    <w:uiPriority w:val="0"/>
    <w:qFormat/>
    <w:rPr>
      <w:rFonts w:ascii="Tahoma" w:hAnsi="Tahoma"/>
      <w:sz w:val="24"/>
      <w:szCs w:val="20"/>
    </w:rPr>
  </w:style>
  <w:style w:type="paragraph" w:styleId="1216" w:customStyle="1">
    <w:name w:val="正文文本缩进2"/>
    <w:basedOn w:val="772"/>
    <w:uiPriority w:val="0"/>
    <w:qFormat/>
    <w:pPr>
      <w:ind w:firstLine="480"/>
      <w:spacing w:line="480" w:lineRule="exact"/>
    </w:pPr>
    <w:rPr>
      <w:rFonts w:ascii="宋体" w:hAnsi="宋体"/>
      <w:sz w:val="24"/>
      <w:lang w:val="zh-CN"/>
    </w:rPr>
  </w:style>
  <w:style w:type="paragraph" w:styleId="1217" w:customStyle="1">
    <w:name w:val="Char3"/>
    <w:basedOn w:val="772"/>
    <w:uiPriority w:val="0"/>
    <w:qFormat/>
    <w:pPr>
      <w:tabs>
        <w:tab w:val="left" w:pos="360" w:leader="none"/>
      </w:tabs>
    </w:pPr>
    <w:rPr>
      <w:sz w:val="24"/>
    </w:rPr>
  </w:style>
  <w:style w:type="paragraph" w:styleId="1218" w:customStyle="1">
    <w:name w:val="Char Char Char Char Char Char Char Char Char Char Char Char Char Char Char Char1"/>
    <w:basedOn w:val="772"/>
    <w:uiPriority w:val="0"/>
    <w:qFormat/>
    <w:pPr>
      <w:jc w:val="center"/>
      <w:spacing w:after="160" w:line="240" w:lineRule="exact"/>
      <w:widowControl/>
    </w:pPr>
    <w:rPr>
      <w:rFonts w:ascii="宋体" w:hAnsi="宋体"/>
      <w:b/>
      <w:sz w:val="30"/>
      <w:szCs w:val="30"/>
      <w:lang w:eastAsia="en-US"/>
    </w:rPr>
  </w:style>
  <w:style w:type="paragraph" w:styleId="1219" w:customStyle="1">
    <w:name w:val="Char Char1 Char Char Char Char Char Char1"/>
    <w:basedOn w:val="772"/>
    <w:uiPriority w:val="0"/>
    <w:qFormat/>
    <w:pPr>
      <w:jc w:val="left"/>
      <w:spacing w:after="160" w:line="240" w:lineRule="exact"/>
      <w:widowControl/>
    </w:pPr>
    <w:rPr>
      <w:rFonts w:ascii="Verdana" w:hAnsi="Verdana" w:eastAsia="仿宋_GB2312"/>
      <w:sz w:val="24"/>
      <w:szCs w:val="20"/>
      <w:lang w:eastAsia="en-US"/>
    </w:rPr>
  </w:style>
  <w:style w:type="paragraph" w:styleId="1220" w:customStyle="1">
    <w:name w:val="列出段落2"/>
    <w:basedOn w:val="772"/>
    <w:uiPriority w:val="0"/>
    <w:qFormat/>
    <w:pPr>
      <w:ind w:firstLine="420"/>
    </w:pPr>
    <w:rPr>
      <w:rFonts w:ascii="Calibri" w:hAnsi="Calibri"/>
      <w:szCs w:val="22"/>
    </w:rPr>
  </w:style>
  <w:style w:type="paragraph" w:styleId="1221" w:customStyle="1">
    <w:name w:val="Char Char Char1 Char2"/>
    <w:basedOn w:val="772"/>
    <w:uiPriority w:val="0"/>
    <w:qFormat/>
    <w:rPr>
      <w:rFonts w:ascii="Tahoma" w:hAnsi="Tahoma"/>
      <w:sz w:val="24"/>
      <w:szCs w:val="20"/>
    </w:rPr>
  </w:style>
  <w:style w:type="paragraph" w:styleId="1222" w:customStyle="1">
    <w:name w:val="Char Char Char2"/>
    <w:basedOn w:val="772"/>
    <w:uiPriority w:val="0"/>
    <w:qFormat/>
    <w:rPr>
      <w:rFonts w:ascii="Tahoma" w:hAnsi="Tahoma"/>
      <w:sz w:val="24"/>
      <w:szCs w:val="20"/>
    </w:rPr>
  </w:style>
  <w:style w:type="paragraph" w:styleId="1223" w:customStyle="1">
    <w:name w:val="Char Char Char Char Char Char Char2"/>
    <w:basedOn w:val="772"/>
    <w:uiPriority w:val="0"/>
    <w:qFormat/>
    <w:pPr>
      <w:ind w:firstLine="200"/>
      <w:spacing w:line="360" w:lineRule="auto"/>
    </w:pPr>
    <w:rPr>
      <w:rFonts w:eastAsia="仿宋_GB2312"/>
      <w:sz w:val="24"/>
    </w:rPr>
  </w:style>
  <w:style w:type="paragraph" w:styleId="1224" w:customStyle="1">
    <w:name w:val="正文缩进2"/>
    <w:basedOn w:val="772"/>
    <w:uiPriority w:val="0"/>
    <w:qFormat/>
    <w:pPr>
      <w:ind w:firstLine="567"/>
      <w:spacing w:line="480" w:lineRule="exact"/>
      <w:widowControl/>
    </w:pPr>
    <w:rPr>
      <w:rFonts w:ascii="宋体"/>
      <w:color w:val="000000"/>
      <w:sz w:val="28"/>
      <w:szCs w:val="20"/>
      <w:lang w:val="zh-CN"/>
    </w:rPr>
  </w:style>
  <w:style w:type="paragraph" w:styleId="1225" w:customStyle="1">
    <w:name w:val="修订1"/>
    <w:uiPriority w:val="0"/>
    <w:qFormat/>
    <w:rPr>
      <w:rFonts w:hint="default" w:ascii="Times New Roman" w:hAnsi="Times New Roman" w:eastAsia="宋体" w:cs="Times New Roman"/>
      <w:sz w:val="21"/>
      <w:szCs w:val="24"/>
      <w:lang w:val="en-US" w:eastAsia="zh-CN" w:bidi="ar-SA"/>
    </w:rPr>
  </w:style>
  <w:style w:type="paragraph" w:styleId="1226" w:customStyle="1">
    <w:name w:val="Char22"/>
    <w:basedOn w:val="772"/>
    <w:uiPriority w:val="0"/>
    <w:qFormat/>
    <w:rPr>
      <w:rFonts w:ascii="Tahoma" w:hAnsi="Tahoma"/>
      <w:sz w:val="24"/>
      <w:szCs w:val="20"/>
    </w:rPr>
  </w:style>
  <w:style w:type="paragraph" w:styleId="1227" w:customStyle="1">
    <w:name w:val="Char Char Char Char Char Char Char Char Char Char2"/>
    <w:basedOn w:val="772"/>
    <w:uiPriority w:val="0"/>
    <w:qFormat/>
    <w:rPr>
      <w:rFonts w:ascii="宋体" w:hAnsi="宋体" w:cs="Courier New"/>
      <w:sz w:val="32"/>
      <w:szCs w:val="32"/>
    </w:rPr>
  </w:style>
  <w:style w:type="paragraph" w:styleId="1228" w:customStyle="1">
    <w:name w:val="Char2 Char Char Char Char Char Char1"/>
    <w:basedOn w:val="772"/>
    <w:uiPriority w:val="0"/>
    <w:qFormat/>
    <w:pPr>
      <w:jc w:val="center"/>
      <w:spacing w:line="400" w:lineRule="exact"/>
      <w:widowControl/>
    </w:pPr>
  </w:style>
  <w:style w:type="character" w:styleId="1229" w:customStyle="1">
    <w:name w:val="页脚 Char"/>
    <w:uiPriority w:val="0"/>
    <w:qFormat/>
    <w:rPr>
      <w:rFonts w:ascii="宋体" w:eastAsia="宋体"/>
      <w:sz w:val="18"/>
      <w:lang w:val="en-US" w:eastAsia="zh-CN" w:bidi="ar-SA"/>
    </w:rPr>
  </w:style>
  <w:style w:type="paragraph" w:styleId="1230" w:customStyle="1">
    <w:name w:val="Char Char41"/>
    <w:basedOn w:val="772"/>
    <w:uiPriority w:val="0"/>
    <w:qFormat/>
    <w:pPr>
      <w:jc w:val="center"/>
      <w:spacing w:line="400" w:lineRule="exact"/>
      <w:widowControl/>
    </w:pPr>
  </w:style>
  <w:style w:type="character" w:styleId="1231" w:customStyle="1">
    <w:name w:val="批注文字 Char"/>
    <w:uiPriority w:val="99"/>
    <w:qFormat/>
    <w:rPr>
      <w:sz w:val="21"/>
      <w:szCs w:val="24"/>
    </w:rPr>
  </w:style>
  <w:style w:type="character" w:styleId="1232" w:customStyle="1">
    <w:name w:val="标题 Char"/>
    <w:uiPriority w:val="0"/>
    <w:qFormat/>
    <w:rPr>
      <w:b/>
      <w:sz w:val="32"/>
    </w:rPr>
  </w:style>
  <w:style w:type="paragraph" w:styleId="1233" w:customStyle="1">
    <w:name w:val="图例"/>
    <w:basedOn w:val="772"/>
    <w:uiPriority w:val="0"/>
    <w:qFormat/>
    <w:pPr>
      <w:jc w:val="center"/>
      <w:spacing w:before="120" w:after="120" w:line="360" w:lineRule="auto"/>
    </w:pPr>
    <w:rPr>
      <w:rFonts w:eastAsia="仿宋_GB2312"/>
      <w:b/>
      <w:sz w:val="24"/>
      <w:szCs w:val="20"/>
    </w:rPr>
  </w:style>
  <w:style w:type="table" w:styleId="123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35" w:customStyle="1">
    <w:name w:val="Table Paragraph"/>
    <w:basedOn w:val="772"/>
    <w:uiPriority w:val="1"/>
    <w:qFormat/>
    <w:pPr>
      <w:jc w:val="left"/>
    </w:pPr>
    <w:rPr>
      <w:rFonts w:ascii="宋体" w:hAnsi="宋体" w:cs="宋体"/>
      <w:sz w:val="22"/>
      <w:szCs w:val="22"/>
      <w:lang w:eastAsia="en-US"/>
    </w:rPr>
  </w:style>
  <w:style w:type="paragraph" w:styleId="1236" w:customStyle="1">
    <w:name w:val="成文日期"/>
    <w:basedOn w:val="772"/>
    <w:link w:val="1237"/>
    <w:uiPriority w:val="0"/>
    <w:qFormat/>
    <w:pPr>
      <w:ind w:right="400" w:firstLine="200"/>
      <w:jc w:val="right"/>
      <w:spacing w:line="570" w:lineRule="exact"/>
    </w:pPr>
    <w:rPr>
      <w:rFonts w:ascii="仿宋_GB2312" w:eastAsia="仿宋_GB2312"/>
      <w:sz w:val="32"/>
      <w:szCs w:val="20"/>
    </w:rPr>
  </w:style>
  <w:style w:type="character" w:styleId="1237" w:customStyle="1">
    <w:name w:val="成文日期 Char"/>
    <w:link w:val="1236"/>
    <w:uiPriority w:val="0"/>
    <w:qFormat/>
    <w:rPr>
      <w:rFonts w:ascii="仿宋_GB2312" w:eastAsia="仿宋_GB2312"/>
      <w:sz w:val="32"/>
    </w:rPr>
  </w:style>
  <w:style w:type="paragraph" w:styleId="1238"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1239" w:customStyle="1">
    <w:name w:val="NormalCharacter1"/>
    <w:uiPriority w:val="0"/>
    <w:semiHidden/>
    <w:qFormat/>
  </w:style>
  <w:style w:type="paragraph" w:styleId="1240" w:customStyle="1">
    <w:name w:val="Table Text"/>
    <w:basedOn w:val="772"/>
    <w:uiPriority w:val="0"/>
    <w:semiHidden/>
    <w:qFormat/>
    <w:rPr>
      <w:rFonts w:ascii="宋体" w:hAnsi="宋体" w:cs="宋体"/>
      <w:sz w:val="24"/>
      <w:lang w:eastAsia="en-US"/>
    </w:rPr>
  </w:style>
  <w:style w:type="paragraph" w:styleId="1241" w:customStyle="1">
    <w:name w:val="标题 211"/>
    <w:next w:val="772"/>
    <w:uiPriority w:val="0"/>
    <w:qFormat/>
    <w:pPr>
      <w:jc w:val="center"/>
      <w:keepLines/>
      <w:keepNext/>
      <w:spacing w:before="120" w:line="300" w:lineRule="auto"/>
      <w:widowControl w:val="off"/>
      <w:outlineLvl w:val="1"/>
    </w:pPr>
    <w:rPr>
      <w:rFonts w:hint="default" w:ascii="Arial" w:hAnsi="Arial" w:eastAsia="黑体" w:cs="Times New Roman"/>
      <w:b/>
      <w:sz w:val="30"/>
      <w:szCs w:val="20"/>
      <w:lang w:val="en-US" w:eastAsia="zh-CN" w:bidi="ar-SA"/>
    </w:rPr>
  </w:style>
  <w:style w:type="numbering" w:styleId="21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潘可婧</cp:lastModifiedBy>
  <cp:revision>18</cp:revision>
  <dcterms:created xsi:type="dcterms:W3CDTF">2022-05-30T08:08:00Z</dcterms:created>
  <dcterms:modified xsi:type="dcterms:W3CDTF">2026-02-26T07:22:27Z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E04641BF61984144B2B82DBBE9CF8551_12</vt:lpwstr>
  </property>
  <property fmtid="{D5CDD505-2E9C-101B-9397-08002B2CF9AE}" pid="4" name="KSOTemplateDocerSaveRecord">
    <vt:lpwstr>eyJoZGlkIjoiZDU1NDE1OWRmM2RjZTlkNDQwYjJmYjc4ODNhMmRlNTMiLCJ1c2VySWQiOiIxMDM1MzM0NTI4In0=</vt:lpwstr>
  </property>
</Properties>
</file>