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A0293C">
      <w:pPr>
        <w:spacing w:line="360" w:lineRule="auto"/>
        <w:ind w:firstLine="160"/>
        <w:rPr>
          <w:rFonts w:hint="eastAsia" w:ascii="CESI黑体-GB2312" w:hAnsi="CESI黑体-GB2312" w:eastAsia="CESI黑体-GB2312" w:cs="CESI黑体-GB2312"/>
          <w:color w:val="000000" w:themeColor="text1"/>
          <w:sz w:val="32"/>
          <w:szCs w:val="32"/>
          <w:highlight w:val="none"/>
          <w14:textFill>
            <w14:solidFill>
              <w14:schemeClr w14:val="tx1"/>
            </w14:solidFill>
          </w14:textFill>
        </w:rPr>
      </w:pPr>
      <w:r>
        <w:rPr>
          <w:rFonts w:hint="eastAsia" w:ascii="CESI黑体-GB2312" w:hAnsi="CESI黑体-GB2312" w:eastAsia="CESI黑体-GB2312" w:cs="CESI黑体-GB2312"/>
          <w:color w:val="000000" w:themeColor="text1"/>
          <w:sz w:val="32"/>
          <w:szCs w:val="32"/>
          <w:highlight w:val="none"/>
          <w14:textFill>
            <w14:solidFill>
              <w14:schemeClr w14:val="tx1"/>
            </w14:solidFill>
          </w14:textFill>
        </w:rPr>
        <w:t xml:space="preserve"> </w:t>
      </w:r>
    </w:p>
    <w:p w14:paraId="60D4C98B">
      <w:pPr>
        <w:spacing w:line="360" w:lineRule="auto"/>
        <w:ind w:firstLine="300"/>
        <w:rPr>
          <w:color w:val="000000" w:themeColor="text1"/>
          <w:sz w:val="60"/>
          <w:szCs w:val="60"/>
          <w:highlight w:val="none"/>
          <w14:textFill>
            <w14:solidFill>
              <w14:schemeClr w14:val="tx1"/>
            </w14:solidFill>
          </w14:textFill>
        </w:rPr>
      </w:pPr>
    </w:p>
    <w:p w14:paraId="62E69DFD">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60"/>
          <w:szCs w:val="60"/>
          <w:highlight w:val="none"/>
          <w14:textFill>
            <w14:solidFill>
              <w14:schemeClr w14:val="tx1"/>
            </w14:solidFill>
          </w14:textFill>
        </w:rPr>
      </w:pPr>
      <w:r>
        <w:rPr>
          <w:rFonts w:ascii="宋体" w:hAnsi="宋体"/>
          <w:b/>
          <w:color w:val="000000" w:themeColor="text1"/>
          <w:spacing w:val="114"/>
          <w:sz w:val="60"/>
          <w:szCs w:val="60"/>
          <w:highlight w:val="none"/>
          <w14:textFill>
            <w14:solidFill>
              <w14:schemeClr w14:val="tx1"/>
            </w14:solidFill>
          </w14:textFill>
        </w:rPr>
        <w:t>常州市政府采购项</w:t>
      </w:r>
      <w:r>
        <w:rPr>
          <w:rFonts w:ascii="宋体" w:hAnsi="宋体"/>
          <w:b/>
          <w:color w:val="000000" w:themeColor="text1"/>
          <w:sz w:val="60"/>
          <w:szCs w:val="60"/>
          <w:highlight w:val="none"/>
          <w14:textFill>
            <w14:solidFill>
              <w14:schemeClr w14:val="tx1"/>
            </w14:solidFill>
          </w14:textFill>
        </w:rPr>
        <w:t>目</w:t>
      </w:r>
    </w:p>
    <w:p w14:paraId="095B2A6B">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60"/>
          <w:szCs w:val="60"/>
          <w:highlight w:val="none"/>
          <w14:textFill>
            <w14:solidFill>
              <w14:schemeClr w14:val="tx1"/>
            </w14:solidFill>
          </w14:textFill>
        </w:rPr>
      </w:pPr>
      <w:r>
        <w:rPr>
          <w:rFonts w:hint="eastAsia" w:ascii="宋体" w:hAnsi="宋体"/>
          <w:b/>
          <w:color w:val="000000" w:themeColor="text1"/>
          <w:spacing w:val="151"/>
          <w:sz w:val="60"/>
          <w:szCs w:val="60"/>
          <w:highlight w:val="none"/>
          <w14:textFill>
            <w14:solidFill>
              <w14:schemeClr w14:val="tx1"/>
            </w14:solidFill>
          </w14:textFill>
        </w:rPr>
        <w:t>竞争性磋商文</w:t>
      </w:r>
      <w:r>
        <w:rPr>
          <w:rFonts w:hint="eastAsia" w:ascii="宋体" w:hAnsi="宋体"/>
          <w:b/>
          <w:color w:val="000000" w:themeColor="text1"/>
          <w:spacing w:val="4"/>
          <w:sz w:val="60"/>
          <w:szCs w:val="60"/>
          <w:highlight w:val="none"/>
          <w14:textFill>
            <w14:solidFill>
              <w14:schemeClr w14:val="tx1"/>
            </w14:solidFill>
          </w14:textFill>
        </w:rPr>
        <w:t>件</w:t>
      </w:r>
    </w:p>
    <w:p w14:paraId="3208DE2B">
      <w:pPr>
        <w:keepNext w:val="0"/>
        <w:keepLines w:val="0"/>
        <w:pageBreakBefore w:val="0"/>
        <w:widowControl w:val="0"/>
        <w:tabs>
          <w:tab w:val="left" w:pos="5609"/>
        </w:tabs>
        <w:kinsoku/>
        <w:wordWrap/>
        <w:overflowPunct/>
        <w:topLinePunct w:val="0"/>
        <w:autoSpaceDE/>
        <w:autoSpaceDN/>
        <w:bidi w:val="0"/>
        <w:adjustRightInd/>
        <w:snapToGrid/>
        <w:spacing w:line="600" w:lineRule="auto"/>
        <w:jc w:val="left"/>
        <w:textAlignment w:val="auto"/>
        <w:rPr>
          <w:rFonts w:ascii="宋体" w:hAnsi="宋体"/>
          <w:bCs/>
          <w:color w:val="000000" w:themeColor="text1"/>
          <w:sz w:val="36"/>
          <w:szCs w:val="36"/>
          <w:highlight w:val="none"/>
          <w14:textFill>
            <w14:solidFill>
              <w14:schemeClr w14:val="tx1"/>
            </w14:solidFill>
          </w14:textFill>
        </w:rPr>
      </w:pPr>
    </w:p>
    <w:p w14:paraId="2C2A5D7E">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项目名称：</w:t>
      </w:r>
      <w:r>
        <w:rPr>
          <w:rFonts w:hint="eastAsia" w:ascii="宋体" w:hAnsi="宋体"/>
          <w:bCs/>
          <w:color w:val="000000" w:themeColor="text1"/>
          <w:sz w:val="36"/>
          <w:szCs w:val="36"/>
          <w:highlight w:val="none"/>
          <w:lang w:eastAsia="zh-CN"/>
          <w14:textFill>
            <w14:solidFill>
              <w14:schemeClr w14:val="tx1"/>
            </w14:solidFill>
          </w14:textFill>
        </w:rPr>
        <w:t>集镇零星维修费率招标</w:t>
      </w:r>
    </w:p>
    <w:p w14:paraId="3C2F138B">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eastAsia="宋体"/>
          <w:bCs/>
          <w:color w:val="auto"/>
          <w:sz w:val="36"/>
          <w:szCs w:val="36"/>
          <w:highlight w:val="none"/>
          <w:lang w:eastAsia="zh-CN"/>
        </w:rPr>
      </w:pPr>
      <w:r>
        <w:rPr>
          <w:bCs/>
          <w:color w:val="auto"/>
          <w:sz w:val="36"/>
          <w:szCs w:val="36"/>
          <w:highlight w:val="none"/>
        </w:rPr>
        <w:t>项目编</w:t>
      </w:r>
      <w:r>
        <w:rPr>
          <w:rFonts w:ascii="Times New Roman" w:hAnsi="Times New Roman" w:eastAsia="宋体" w:cs="Times New Roman"/>
          <w:bCs/>
          <w:color w:val="auto"/>
          <w:sz w:val="36"/>
          <w:szCs w:val="36"/>
          <w:highlight w:val="none"/>
        </w:rPr>
        <w:t>号</w:t>
      </w:r>
      <w:r>
        <w:rPr>
          <w:rFonts w:hint="eastAsia" w:ascii="Times New Roman" w:hAnsi="Times New Roman" w:eastAsia="宋体" w:cs="Times New Roman"/>
          <w:bCs/>
          <w:color w:val="auto"/>
          <w:sz w:val="36"/>
          <w:szCs w:val="36"/>
          <w:highlight w:val="none"/>
        </w:rPr>
        <w:t>/包号</w:t>
      </w:r>
      <w:r>
        <w:rPr>
          <w:bCs/>
          <w:color w:val="auto"/>
          <w:sz w:val="36"/>
          <w:szCs w:val="36"/>
          <w:highlight w:val="none"/>
        </w:rPr>
        <w:t>：</w:t>
      </w:r>
      <w:r>
        <w:rPr>
          <w:rFonts w:hint="eastAsia"/>
          <w:bCs/>
          <w:color w:val="auto"/>
          <w:sz w:val="36"/>
          <w:szCs w:val="36"/>
          <w:highlight w:val="none"/>
          <w:lang w:eastAsia="zh-CN"/>
        </w:rPr>
        <w:t>JSZC-320413-HSGS-C2026-0005</w:t>
      </w:r>
    </w:p>
    <w:p w14:paraId="445F2FDA">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采 购 人：</w:t>
      </w:r>
      <w:r>
        <w:rPr>
          <w:rFonts w:hint="eastAsia" w:ascii="宋体" w:hAnsi="宋体"/>
          <w:bCs/>
          <w:color w:val="000000" w:themeColor="text1"/>
          <w:sz w:val="36"/>
          <w:szCs w:val="36"/>
          <w:highlight w:val="none"/>
          <w:lang w:eastAsia="zh-CN"/>
          <w14:textFill>
            <w14:solidFill>
              <w14:schemeClr w14:val="tx1"/>
            </w14:solidFill>
          </w14:textFill>
        </w:rPr>
        <w:t>常州市金坛区朱林镇人民政府</w:t>
      </w:r>
    </w:p>
    <w:p w14:paraId="17CB25E5">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bCs/>
          <w:color w:val="000000" w:themeColor="text1"/>
          <w:sz w:val="36"/>
          <w:szCs w:val="36"/>
          <w:highlight w:val="none"/>
          <w:lang w:eastAsia="zh-CN"/>
          <w14:textFill>
            <w14:solidFill>
              <w14:schemeClr w14:val="tx1"/>
            </w14:solidFill>
          </w14:textFill>
        </w:rPr>
        <w:sectPr>
          <w:headerReference r:id="rId3" w:type="default"/>
          <w:footerReference r:id="rId4" w:type="default"/>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6"/>
          <w:szCs w:val="36"/>
          <w:highlight w:val="none"/>
          <w14:textFill>
            <w14:solidFill>
              <w14:schemeClr w14:val="tx1"/>
            </w14:solidFill>
          </w14:textFill>
        </w:rPr>
        <w:t>采购</w:t>
      </w:r>
      <w:r>
        <w:rPr>
          <w:rFonts w:ascii="宋体" w:hAnsi="宋体"/>
          <w:bCs/>
          <w:color w:val="000000" w:themeColor="text1"/>
          <w:sz w:val="36"/>
          <w:szCs w:val="36"/>
          <w:highlight w:val="none"/>
          <w14:textFill>
            <w14:solidFill>
              <w14:schemeClr w14:val="tx1"/>
            </w14:solidFill>
          </w14:textFill>
        </w:rPr>
        <w:t>代理机构：</w:t>
      </w:r>
      <w:r>
        <w:rPr>
          <w:rFonts w:hint="eastAsia" w:ascii="宋体" w:hAnsi="宋体"/>
          <w:bCs/>
          <w:color w:val="000000" w:themeColor="text1"/>
          <w:sz w:val="36"/>
          <w:szCs w:val="36"/>
          <w:highlight w:val="none"/>
          <w:lang w:eastAsia="zh-CN"/>
          <w14:textFill>
            <w14:solidFill>
              <w14:schemeClr w14:val="tx1"/>
            </w14:solidFill>
          </w14:textFill>
        </w:rPr>
        <w:t>江苏华溯工程项目管理有限公司</w:t>
      </w:r>
    </w:p>
    <w:p w14:paraId="29343096">
      <w:pPr>
        <w:widowControl/>
        <w:jc w:val="center"/>
        <w:rPr>
          <w:rFonts w:hint="eastAsia"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t>目录</w:t>
      </w:r>
    </w:p>
    <w:p w14:paraId="675BD869">
      <w:pPr>
        <w:pStyle w:val="19"/>
        <w:tabs>
          <w:tab w:val="right" w:leader="dot" w:pos="8296"/>
        </w:tabs>
        <w:spacing w:after="0" w:line="480" w:lineRule="auto"/>
        <w:ind w:left="0" w:right="0" w:firstLine="0"/>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TOC \o "1-1" \h \z \u </w:instrTex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"_Toc123719645" </w:instrTex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第一章</w:t>
      </w:r>
      <w:r>
        <w:rPr>
          <w:rStyle w:val="3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采购邀请</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36226BAC">
      <w:pPr>
        <w:pStyle w:val="19"/>
        <w:tabs>
          <w:tab w:val="right" w:leader="dot" w:pos="8296"/>
        </w:tabs>
        <w:spacing w:after="0" w:line="480" w:lineRule="auto"/>
        <w:ind w:left="0" w:right="0" w:firstLine="0"/>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"_Toc123719646" </w:instrTex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第二章</w:t>
      </w:r>
      <w:r>
        <w:rPr>
          <w:rStyle w:val="3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供应商须知</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1E840076">
      <w:pPr>
        <w:pStyle w:val="19"/>
        <w:tabs>
          <w:tab w:val="right" w:leader="dot" w:pos="8296"/>
        </w:tabs>
        <w:spacing w:after="0" w:line="480" w:lineRule="auto"/>
        <w:ind w:left="0" w:right="0" w:firstLine="0"/>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"_Toc123719647" </w:instrTex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第三章</w:t>
      </w:r>
      <w:r>
        <w:rPr>
          <w:rStyle w:val="3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评审程序、评审方法和评审标准</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5FD8CD1E">
      <w:pPr>
        <w:pStyle w:val="19"/>
        <w:tabs>
          <w:tab w:val="right" w:leader="dot" w:pos="8296"/>
        </w:tabs>
        <w:spacing w:after="0" w:line="480" w:lineRule="auto"/>
        <w:ind w:left="0" w:right="0" w:firstLine="0"/>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"_Toc123719648" </w:instrTex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第四章</w:t>
      </w:r>
      <w:r>
        <w:rPr>
          <w:rStyle w:val="3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采购需求</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4A91BD36">
      <w:pPr>
        <w:pStyle w:val="19"/>
        <w:tabs>
          <w:tab w:val="right" w:leader="dot" w:pos="8296"/>
        </w:tabs>
        <w:spacing w:after="0" w:line="480" w:lineRule="auto"/>
        <w:ind w:left="0" w:right="0" w:firstLine="0"/>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"_Toc123719649" </w:instrTex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第五章</w:t>
      </w:r>
      <w:r>
        <w:rPr>
          <w:rStyle w:val="3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合同草案条款</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7B368144">
      <w:pPr>
        <w:pStyle w:val="19"/>
        <w:tabs>
          <w:tab w:val="right" w:leader="dot" w:pos="8296"/>
        </w:tabs>
        <w:spacing w:after="0" w:line="480" w:lineRule="auto"/>
        <w:ind w:left="0" w:right="0" w:firstLine="0"/>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begin"/>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instrText xml:space="preserve"> HYPERLINK \l "_Toc123719650" </w:instrTex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separate"/>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第六章</w:t>
      </w:r>
      <w:r>
        <w:rPr>
          <w:rStyle w:val="33"/>
          <w:rFonts w:hint="eastAsia" w:ascii="Times New Roman" w:hAnsi="Times New Roman" w:eastAsia="宋体" w:cs="Times New Roman"/>
          <w:b/>
          <w:color w:val="000000" w:themeColor="text1"/>
          <w:sz w:val="32"/>
          <w:szCs w:val="22"/>
          <w:highlight w:val="none"/>
          <w:lang w:val="en-US" w:eastAsia="zh-CN"/>
          <w14:textFill>
            <w14:solidFill>
              <w14:schemeClr w14:val="tx1"/>
            </w14:solidFill>
          </w14:textFill>
        </w:rPr>
        <w:t xml:space="preserve"> </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t>响应文件格式</w:t>
      </w: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16C85AF6">
      <w:pPr>
        <w:pStyle w:val="19"/>
        <w:tabs>
          <w:tab w:val="right" w:leader="dot" w:pos="8296"/>
        </w:tabs>
        <w:spacing w:after="0" w:line="480" w:lineRule="auto"/>
        <w:ind w:left="0" w:right="0" w:firstLine="0"/>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pPr>
      <w:r>
        <w:rPr>
          <w:rStyle w:val="33"/>
          <w:rFonts w:hint="eastAsia" w:ascii="Times New Roman" w:hAnsi="Times New Roman" w:eastAsia="宋体" w:cs="Times New Roman"/>
          <w:b/>
          <w:color w:val="000000" w:themeColor="text1"/>
          <w:sz w:val="32"/>
          <w:szCs w:val="22"/>
          <w:highlight w:val="none"/>
          <w14:textFill>
            <w14:solidFill>
              <w14:schemeClr w14:val="tx1"/>
            </w14:solidFill>
          </w14:textFill>
        </w:rPr>
        <w:fldChar w:fldCharType="end"/>
      </w:r>
    </w:p>
    <w:p w14:paraId="30D767C0">
      <w:pPr>
        <w:pStyle w:val="235"/>
        <w:spacing w:line="360" w:lineRule="auto"/>
        <w:rPr>
          <w:b w:val="0"/>
          <w:color w:val="000000" w:themeColor="text1"/>
          <w:sz w:val="36"/>
          <w:szCs w:val="36"/>
          <w:highlight w:val="none"/>
          <w14:textFill>
            <w14:solidFill>
              <w14:schemeClr w14:val="tx1"/>
            </w14:solidFill>
          </w14:textFill>
        </w:rPr>
      </w:pPr>
    </w:p>
    <w:p w14:paraId="03F78D21">
      <w:pPr>
        <w:spacing w:line="360" w:lineRule="auto"/>
        <w:jc w:val="center"/>
        <w:outlineLvl w:val="0"/>
        <w:rPr>
          <w:b/>
          <w:color w:val="000000" w:themeColor="text1"/>
          <w:sz w:val="36"/>
          <w:szCs w:val="36"/>
          <w:highlight w:val="none"/>
          <w14:textFill>
            <w14:solidFill>
              <w14:schemeClr w14:val="tx1"/>
            </w14:solidFill>
          </w14:textFill>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134" w:header="851" w:footer="851" w:gutter="0"/>
          <w:pgNumType w:start="1"/>
          <w:cols w:space="1701" w:num="1"/>
          <w:titlePg/>
          <w:docGrid w:linePitch="360" w:charSpace="0"/>
        </w:sectPr>
      </w:pPr>
      <w:r>
        <w:rPr>
          <w:b/>
          <w:color w:val="000000" w:themeColor="text1"/>
          <w:sz w:val="36"/>
          <w:szCs w:val="36"/>
          <w:highlight w:val="none"/>
          <w14:textFill>
            <w14:solidFill>
              <w14:schemeClr w14:val="tx1"/>
            </w14:solidFill>
          </w14:textFill>
        </w:rPr>
        <w:br w:type="page" w:clear="all"/>
      </w:r>
    </w:p>
    <w:p w14:paraId="5D30D438">
      <w:pPr>
        <w:spacing w:line="360" w:lineRule="auto"/>
        <w:jc w:val="center"/>
        <w:outlineLvl w:val="0"/>
        <w:rPr>
          <w:b/>
          <w:color w:val="000000" w:themeColor="text1"/>
          <w:sz w:val="36"/>
          <w:szCs w:val="36"/>
          <w:highlight w:val="none"/>
          <w14:textFill>
            <w14:solidFill>
              <w14:schemeClr w14:val="tx1"/>
            </w14:solidFill>
          </w14:textFill>
        </w:rPr>
      </w:pPr>
      <w:bookmarkStart w:id="0" w:name="_Toc104818925"/>
      <w:r>
        <w:rPr>
          <w:b/>
          <w:color w:val="000000" w:themeColor="text1"/>
          <w:sz w:val="36"/>
          <w:szCs w:val="36"/>
          <w:highlight w:val="none"/>
          <w14:textFill>
            <w14:solidFill>
              <w14:schemeClr w14:val="tx1"/>
            </w14:solidFill>
          </w14:textFill>
        </w:rPr>
        <w:t>第一章   采购邀请</w:t>
      </w:r>
      <w:bookmarkEnd w:id="0"/>
      <w:bookmarkStart w:id="1" w:name="_Toc28359079"/>
      <w:bookmarkStart w:id="2" w:name="_Toc28359002"/>
      <w:bookmarkStart w:id="3" w:name="_Toc35393790"/>
      <w:bookmarkStart w:id="4" w:name="_Toc35393621"/>
      <w:bookmarkStart w:id="5" w:name="_Hlk24379207"/>
    </w:p>
    <w:p w14:paraId="3144871E">
      <w:pPr>
        <w:pStyle w:val="18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一、项目基本情况</w:t>
      </w:r>
      <w:bookmarkEnd w:id="1"/>
      <w:bookmarkEnd w:id="2"/>
      <w:bookmarkEnd w:id="3"/>
      <w:bookmarkEnd w:id="4"/>
    </w:p>
    <w:p w14:paraId="48671C63">
      <w:pPr>
        <w:spacing w:line="360" w:lineRule="auto"/>
        <w:ind w:firstLine="480"/>
        <w:rPr>
          <w:rFonts w:hint="eastAsia" w:ascii="Times New Roman" w:hAnsi="Times New Roman" w:eastAsia="宋体" w:cs="Times New Roman"/>
          <w:color w:val="000000" w:themeColor="text1"/>
          <w:sz w:val="24"/>
          <w:highlight w:val="none"/>
          <w:u w:val="none"/>
          <w:lang w:eastAsia="zh-CN"/>
          <w14:textFill>
            <w14:solidFill>
              <w14:schemeClr w14:val="tx1"/>
            </w14:solidFill>
          </w14:textFill>
        </w:rPr>
      </w:pPr>
      <w:r>
        <w:rPr>
          <w:rFonts w:hint="eastAsia" w:ascii="Times New Roman" w:hAnsi="Times New Roman" w:eastAsia="宋体" w:cs="Times New Roman"/>
          <w:color w:val="000000" w:themeColor="text1"/>
          <w:sz w:val="24"/>
          <w:highlight w:val="none"/>
          <w:u w:val="none"/>
          <w14:textFill>
            <w14:solidFill>
              <w14:schemeClr w14:val="tx1"/>
            </w14:solidFill>
          </w14:textFill>
        </w:rPr>
        <w:t>1.项目编号/包号：</w:t>
      </w:r>
      <w:r>
        <w:rPr>
          <w:rFonts w:hint="eastAsia" w:cs="Times New Roman"/>
          <w:color w:val="000000" w:themeColor="text1"/>
          <w:sz w:val="24"/>
          <w:highlight w:val="none"/>
          <w:u w:val="none"/>
          <w:lang w:eastAsia="zh-CN"/>
          <w14:textFill>
            <w14:solidFill>
              <w14:schemeClr w14:val="tx1"/>
            </w14:solidFill>
          </w14:textFill>
        </w:rPr>
        <w:t>JSZC-320413-HSGS-C2026-0005</w:t>
      </w:r>
    </w:p>
    <w:p w14:paraId="45ABE1BC">
      <w:pPr>
        <w:spacing w:line="360" w:lineRule="auto"/>
        <w:ind w:firstLine="480"/>
        <w:rPr>
          <w:rFonts w:hint="eastAsia"/>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2.项目名称：</w:t>
      </w:r>
      <w:r>
        <w:rPr>
          <w:rFonts w:hint="eastAsia"/>
          <w:color w:val="000000" w:themeColor="text1"/>
          <w:sz w:val="24"/>
          <w:highlight w:val="none"/>
          <w:lang w:eastAsia="zh-CN"/>
          <w14:textFill>
            <w14:solidFill>
              <w14:schemeClr w14:val="tx1"/>
            </w14:solidFill>
          </w14:textFill>
        </w:rPr>
        <w:t>集镇零星维修费率招标</w:t>
      </w:r>
    </w:p>
    <w:p w14:paraId="403DF946">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3.采购方式：</w:t>
      </w:r>
      <w:r>
        <w:rPr>
          <w:color w:val="000000" w:themeColor="text1"/>
          <w:sz w:val="24"/>
          <w:highlight w:val="none"/>
          <w:u w:val="single"/>
          <w14:textFill>
            <w14:solidFill>
              <w14:schemeClr w14:val="tx1"/>
            </w14:solidFill>
          </w14:textFill>
        </w:rPr>
        <w:t>竞争性磋商</w:t>
      </w:r>
    </w:p>
    <w:bookmarkEnd w:id="5"/>
    <w:p w14:paraId="7AD4A56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4.项目预算金额：</w:t>
      </w:r>
      <w:r>
        <w:rPr>
          <w:rFonts w:hint="eastAsia" w:cs="Times New Roman"/>
          <w:color w:val="000000" w:themeColor="text1"/>
          <w:sz w:val="24"/>
          <w:highlight w:val="none"/>
          <w:u w:val="single"/>
          <w:lang w:val="en-US" w:eastAsia="zh-CN"/>
          <w14:textFill>
            <w14:solidFill>
              <w14:schemeClr w14:val="tx1"/>
            </w14:solidFill>
          </w14:textFill>
        </w:rPr>
        <w:t>312万元</w:t>
      </w:r>
    </w:p>
    <w:p w14:paraId="14BCAF45">
      <w:pPr>
        <w:spacing w:line="360" w:lineRule="auto"/>
        <w:ind w:firstLine="480"/>
        <w:rPr>
          <w:rFonts w:ascii="Times New Roman" w:hAnsi="Times New Roman" w:cs="Times New Roman"/>
          <w:color w:val="0000FF"/>
          <w:sz w:val="24"/>
          <w:highlight w:val="none"/>
        </w:rPr>
      </w:pPr>
      <w:r>
        <w:rPr>
          <w:rFonts w:ascii="Times New Roman" w:hAnsi="Times New Roman" w:cs="Times New Roman"/>
          <w:color w:val="0000FF"/>
          <w:sz w:val="24"/>
          <w:highlight w:val="none"/>
        </w:rPr>
        <w:t>5.</w:t>
      </w:r>
      <w:r>
        <w:rPr>
          <w:rFonts w:hint="eastAsia" w:eastAsia="宋体"/>
          <w:color w:val="0000FF"/>
          <w:sz w:val="24"/>
          <w:lang w:eastAsia="zh-CN"/>
        </w:rPr>
        <w:t>最高限制单价</w:t>
      </w:r>
      <w:r>
        <w:rPr>
          <w:rFonts w:hint="eastAsia"/>
          <w:color w:val="0000FF"/>
          <w:sz w:val="24"/>
          <w:lang w:eastAsia="zh-CN"/>
        </w:rPr>
        <w:t>：</w:t>
      </w:r>
      <w:r>
        <w:rPr>
          <w:rFonts w:hint="eastAsia" w:ascii="Times New Roman" w:hAnsi="Times New Roman" w:cs="Times New Roman"/>
          <w:color w:val="0000FF"/>
          <w:sz w:val="24"/>
          <w:highlight w:val="none"/>
          <w:lang w:val="en-US" w:eastAsia="zh-CN"/>
        </w:rPr>
        <w:t>1</w:t>
      </w:r>
      <w:r>
        <w:rPr>
          <w:rFonts w:hint="eastAsia" w:cs="Times New Roman"/>
          <w:color w:val="0000FF"/>
          <w:sz w:val="24"/>
          <w:highlight w:val="none"/>
          <w:lang w:val="en-US" w:eastAsia="zh-CN"/>
        </w:rPr>
        <w:t>5</w:t>
      </w:r>
      <w:r>
        <w:rPr>
          <w:rFonts w:hint="eastAsia" w:ascii="Times New Roman" w:hAnsi="Times New Roman" w:cs="Times New Roman"/>
          <w:color w:val="0000FF"/>
          <w:sz w:val="24"/>
          <w:highlight w:val="none"/>
          <w:lang w:val="en-US" w:eastAsia="zh-CN"/>
        </w:rPr>
        <w:t>.00%≤优惠率</w:t>
      </w:r>
      <w:r>
        <w:rPr>
          <w:rFonts w:hint="eastAsia" w:ascii="Times New Roman" w:hAnsi="Times New Roman" w:eastAsia="宋体" w:cs="Times New Roman"/>
          <w:color w:val="0000FF"/>
          <w:sz w:val="24"/>
          <w:lang w:val="en-US" w:eastAsia="zh-CN"/>
        </w:rPr>
        <w:t>（采购清单中</w:t>
      </w:r>
      <w:r>
        <w:rPr>
          <w:rFonts w:hint="eastAsia" w:cs="Times New Roman"/>
          <w:color w:val="0000FF"/>
          <w:sz w:val="24"/>
          <w:lang w:val="en-US" w:eastAsia="zh-CN"/>
        </w:rPr>
        <w:t>投标供应商</w:t>
      </w:r>
      <w:r>
        <w:rPr>
          <w:rFonts w:hint="eastAsia" w:ascii="Times New Roman" w:hAnsi="Times New Roman" w:eastAsia="宋体" w:cs="Times New Roman"/>
          <w:color w:val="0000FF"/>
          <w:sz w:val="24"/>
          <w:lang w:val="en-US" w:eastAsia="zh-CN"/>
        </w:rPr>
        <w:t>的</w:t>
      </w:r>
      <w:r>
        <w:rPr>
          <w:rFonts w:hint="eastAsia" w:cs="Times New Roman"/>
          <w:color w:val="0000FF"/>
          <w:sz w:val="24"/>
          <w:lang w:val="en-US" w:eastAsia="zh-CN"/>
        </w:rPr>
        <w:t>投标</w:t>
      </w:r>
      <w:r>
        <w:rPr>
          <w:rFonts w:hint="eastAsia" w:ascii="Times New Roman" w:hAnsi="Times New Roman" w:eastAsia="宋体" w:cs="Times New Roman"/>
          <w:color w:val="0000FF"/>
          <w:sz w:val="24"/>
          <w:lang w:val="en-US" w:eastAsia="zh-CN"/>
        </w:rPr>
        <w:t>下浮比例）</w:t>
      </w:r>
      <w:r>
        <w:rPr>
          <w:rFonts w:hint="eastAsia" w:ascii="Times New Roman" w:hAnsi="Times New Roman" w:cs="Times New Roman"/>
          <w:color w:val="0000FF"/>
          <w:sz w:val="24"/>
          <w:highlight w:val="none"/>
          <w:lang w:val="en-US" w:eastAsia="zh-CN"/>
        </w:rPr>
        <w:t>＜100.00%</w:t>
      </w:r>
    </w:p>
    <w:p w14:paraId="6E00FC3F">
      <w:pPr>
        <w:spacing w:line="360" w:lineRule="auto"/>
        <w:ind w:firstLine="480"/>
        <w:rPr>
          <w:rFonts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00" w:themeColor="text1"/>
          <w:sz w:val="24"/>
          <w:highlight w:val="none"/>
          <w:lang w:val="en-US" w:eastAsia="zh-CN"/>
          <w14:textFill>
            <w14:solidFill>
              <w14:schemeClr w14:val="tx1"/>
            </w14:solidFill>
          </w14:textFill>
        </w:rPr>
        <w:t>6.</w:t>
      </w:r>
      <w:r>
        <w:rPr>
          <w:rFonts w:ascii="Times New Roman" w:hAnsi="Times New Roman" w:cs="Times New Roman"/>
          <w:color w:val="000000" w:themeColor="text1"/>
          <w:sz w:val="24"/>
          <w:highlight w:val="none"/>
          <w14:textFill>
            <w14:solidFill>
              <w14:schemeClr w14:val="tx1"/>
            </w14:solidFill>
          </w14:textFill>
        </w:rPr>
        <w:t>采购需求：</w:t>
      </w:r>
    </w:p>
    <w:tbl>
      <w:tblPr>
        <w:tblStyle w:val="29"/>
        <w:tblW w:w="5001" w:type="pct"/>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2"/>
        <w:gridCol w:w="3296"/>
        <w:gridCol w:w="1816"/>
        <w:gridCol w:w="1140"/>
        <w:gridCol w:w="2833"/>
      </w:tblGrid>
      <w:tr w14:paraId="7A970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391" w:type="dxa"/>
            <w:noWrap w:val="0"/>
            <w:vAlign w:val="center"/>
          </w:tcPr>
          <w:p w14:paraId="5CB88F14">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包号</w:t>
            </w:r>
          </w:p>
        </w:tc>
        <w:tc>
          <w:tcPr>
            <w:tcW w:w="1671" w:type="dxa"/>
            <w:noWrap w:val="0"/>
            <w:vAlign w:val="center"/>
          </w:tcPr>
          <w:p w14:paraId="4D250C6C">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标的名称</w:t>
            </w:r>
          </w:p>
        </w:tc>
        <w:tc>
          <w:tcPr>
            <w:tcW w:w="921" w:type="dxa"/>
            <w:noWrap w:val="0"/>
            <w:vAlign w:val="center"/>
          </w:tcPr>
          <w:p w14:paraId="71446BAE">
            <w:pPr>
              <w:pageBreakBefore w:val="0"/>
              <w:kinsoku/>
              <w:wordWrap/>
              <w:overflowPunct/>
              <w:topLinePunct w:val="0"/>
              <w:bidi w:val="0"/>
              <w:spacing w:line="440" w:lineRule="exact"/>
              <w:jc w:val="center"/>
              <w:textAlignment w:val="auto"/>
              <w:rPr>
                <w:b/>
                <w:bCs w:val="0"/>
                <w:color w:val="0000FF"/>
                <w:sz w:val="24"/>
                <w:szCs w:val="24"/>
              </w:rPr>
            </w:pPr>
            <w:r>
              <w:rPr>
                <w:b/>
                <w:bCs w:val="0"/>
                <w:color w:val="0000FF"/>
                <w:sz w:val="24"/>
                <w:szCs w:val="24"/>
              </w:rPr>
              <w:t>采购包预算金额</w:t>
            </w:r>
          </w:p>
          <w:p w14:paraId="742668E4">
            <w:pPr>
              <w:pageBreakBefore w:val="0"/>
              <w:kinsoku/>
              <w:wordWrap/>
              <w:overflowPunct/>
              <w:topLinePunct w:val="0"/>
              <w:bidi w:val="0"/>
              <w:spacing w:line="440" w:lineRule="exact"/>
              <w:jc w:val="center"/>
              <w:textAlignment w:val="auto"/>
              <w:rPr>
                <w:b/>
                <w:bCs w:val="0"/>
                <w:color w:val="0000FF"/>
                <w:szCs w:val="21"/>
                <w:highlight w:val="none"/>
              </w:rPr>
            </w:pPr>
            <w:r>
              <w:rPr>
                <w:b/>
                <w:bCs w:val="0"/>
                <w:color w:val="0000FF"/>
                <w:sz w:val="24"/>
                <w:szCs w:val="24"/>
              </w:rPr>
              <w:t>（万元）</w:t>
            </w:r>
          </w:p>
        </w:tc>
        <w:tc>
          <w:tcPr>
            <w:tcW w:w="578" w:type="dxa"/>
            <w:noWrap w:val="0"/>
            <w:vAlign w:val="center"/>
          </w:tcPr>
          <w:p w14:paraId="6D4890E6">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数量</w:t>
            </w:r>
          </w:p>
        </w:tc>
        <w:tc>
          <w:tcPr>
            <w:tcW w:w="1437" w:type="dxa"/>
            <w:noWrap w:val="0"/>
            <w:vAlign w:val="center"/>
          </w:tcPr>
          <w:p w14:paraId="6E8A3332">
            <w:pPr>
              <w:jc w:val="center"/>
              <w:rPr>
                <w:b/>
                <w:bCs w:val="0"/>
                <w:color w:val="000000" w:themeColor="text1"/>
                <w:szCs w:val="21"/>
                <w:highlight w:val="none"/>
                <w14:textFill>
                  <w14:solidFill>
                    <w14:schemeClr w14:val="tx1"/>
                  </w14:solidFill>
                </w14:textFill>
              </w:rPr>
            </w:pPr>
            <w:r>
              <w:rPr>
                <w:b/>
                <w:bCs w:val="0"/>
                <w:color w:val="000000" w:themeColor="text1"/>
                <w:szCs w:val="21"/>
                <w:highlight w:val="none"/>
                <w14:textFill>
                  <w14:solidFill>
                    <w14:schemeClr w14:val="tx1"/>
                  </w14:solidFill>
                </w14:textFill>
              </w:rPr>
              <w:t>简要技术需求或服务要求</w:t>
            </w:r>
          </w:p>
        </w:tc>
      </w:tr>
      <w:tr w14:paraId="304BB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91" w:type="dxa"/>
            <w:noWrap w:val="0"/>
            <w:vAlign w:val="center"/>
          </w:tcPr>
          <w:p w14:paraId="65AC0119">
            <w:pPr>
              <w:jc w:val="center"/>
              <w:rPr>
                <w:bCs/>
                <w:color w:val="000000" w:themeColor="text1"/>
                <w:szCs w:val="21"/>
                <w:highlight w:val="none"/>
                <w14:textFill>
                  <w14:solidFill>
                    <w14:schemeClr w14:val="tx1"/>
                  </w14:solidFill>
                </w14:textFill>
              </w:rPr>
            </w:pPr>
            <w:r>
              <w:rPr>
                <w:bCs/>
                <w:color w:val="000000" w:themeColor="text1"/>
                <w:szCs w:val="21"/>
                <w:highlight w:val="none"/>
                <w14:textFill>
                  <w14:solidFill>
                    <w14:schemeClr w14:val="tx1"/>
                  </w14:solidFill>
                </w14:textFill>
              </w:rPr>
              <w:t>01</w:t>
            </w:r>
          </w:p>
        </w:tc>
        <w:tc>
          <w:tcPr>
            <w:tcW w:w="1671" w:type="dxa"/>
            <w:noWrap w:val="0"/>
            <w:vAlign w:val="center"/>
          </w:tcPr>
          <w:p w14:paraId="3AD13896">
            <w:pPr>
              <w:jc w:val="center"/>
              <w:rPr>
                <w:rFonts w:hint="eastAsia" w:eastAsia="宋体"/>
                <w:bCs/>
                <w:color w:val="000000" w:themeColor="text1"/>
                <w:szCs w:val="21"/>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集镇零星维修费率招标</w:t>
            </w:r>
          </w:p>
        </w:tc>
        <w:tc>
          <w:tcPr>
            <w:tcW w:w="921" w:type="dxa"/>
            <w:noWrap w:val="0"/>
            <w:vAlign w:val="center"/>
          </w:tcPr>
          <w:p w14:paraId="0C56E9D9">
            <w:pPr>
              <w:pageBreakBefore w:val="0"/>
              <w:kinsoku/>
              <w:wordWrap/>
              <w:overflowPunct/>
              <w:topLinePunct w:val="0"/>
              <w:bidi w:val="0"/>
              <w:spacing w:line="440" w:lineRule="exact"/>
              <w:jc w:val="center"/>
              <w:textAlignment w:val="auto"/>
              <w:rPr>
                <w:rFonts w:hint="default" w:eastAsia="宋体"/>
                <w:bCs/>
                <w:color w:val="0000FF"/>
                <w:szCs w:val="21"/>
                <w:highlight w:val="none"/>
                <w:lang w:val="en-US" w:eastAsia="zh-CN"/>
              </w:rPr>
            </w:pPr>
            <w:r>
              <w:rPr>
                <w:rFonts w:hint="eastAsia" w:ascii="宋体" w:hAnsi="宋体" w:cs="宋体"/>
                <w:bCs/>
                <w:color w:val="0000FF"/>
                <w:sz w:val="24"/>
                <w:szCs w:val="24"/>
                <w:lang w:val="en-US" w:eastAsia="zh-CN"/>
              </w:rPr>
              <w:t>312</w:t>
            </w:r>
          </w:p>
        </w:tc>
        <w:tc>
          <w:tcPr>
            <w:tcW w:w="578" w:type="dxa"/>
            <w:noWrap w:val="0"/>
            <w:vAlign w:val="center"/>
          </w:tcPr>
          <w:p w14:paraId="09551E33">
            <w:pPr>
              <w:jc w:val="center"/>
              <w:rPr>
                <w:rFonts w:eastAsia="宋体"/>
                <w:bCs/>
                <w:color w:val="000000" w:themeColor="text1"/>
                <w:szCs w:val="21"/>
                <w:highlight w:val="none"/>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1</w:t>
            </w:r>
          </w:p>
        </w:tc>
        <w:tc>
          <w:tcPr>
            <w:tcW w:w="1437" w:type="dxa"/>
            <w:noWrap w:val="0"/>
            <w:vAlign w:val="center"/>
          </w:tcPr>
          <w:p w14:paraId="040A03CC">
            <w:pPr>
              <w:jc w:val="center"/>
              <w:rPr>
                <w:rFonts w:eastAsia="宋体"/>
                <w:color w:val="000000" w:themeColor="text1"/>
                <w:szCs w:val="21"/>
                <w:highlight w:val="none"/>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详见采购需求</w:t>
            </w:r>
          </w:p>
        </w:tc>
      </w:tr>
    </w:tbl>
    <w:p w14:paraId="09712BC0">
      <w:pPr>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7.</w:t>
      </w:r>
      <w:r>
        <w:rPr>
          <w:color w:val="000000" w:themeColor="text1"/>
          <w:sz w:val="24"/>
          <w:highlight w:val="none"/>
          <w14:textFill>
            <w14:solidFill>
              <w14:schemeClr w14:val="tx1"/>
            </w14:solidFill>
          </w14:textFill>
        </w:rPr>
        <w:t>合同履行期限：</w:t>
      </w:r>
      <w:r>
        <w:rPr>
          <w:rFonts w:hint="eastAsia"/>
          <w:color w:val="000000" w:themeColor="text1"/>
          <w:sz w:val="24"/>
          <w:highlight w:val="none"/>
          <w:lang w:val="en-US" w:eastAsia="zh-CN"/>
          <w14:textFill>
            <w14:solidFill>
              <w14:schemeClr w14:val="tx1"/>
            </w14:solidFill>
          </w14:textFill>
        </w:rPr>
        <w:t>1年</w:t>
      </w:r>
      <w:r>
        <w:rPr>
          <w:rFonts w:hint="eastAsia"/>
          <w:color w:val="000000" w:themeColor="text1"/>
          <w:sz w:val="24"/>
          <w:highlight w:val="none"/>
          <w14:textFill>
            <w14:solidFill>
              <w14:schemeClr w14:val="tx1"/>
            </w14:solidFill>
          </w14:textFill>
        </w:rPr>
        <w:t>（以</w:t>
      </w:r>
      <w:r>
        <w:rPr>
          <w:rFonts w:hint="eastAsia"/>
          <w:color w:val="000000" w:themeColor="text1"/>
          <w:sz w:val="24"/>
          <w:highlight w:val="none"/>
          <w:lang w:eastAsia="zh-CN"/>
          <w14:textFill>
            <w14:solidFill>
              <w14:schemeClr w14:val="tx1"/>
            </w14:solidFill>
          </w14:textFill>
        </w:rPr>
        <w:t>采购</w:t>
      </w:r>
      <w:r>
        <w:rPr>
          <w:rFonts w:hint="eastAsia"/>
          <w:color w:val="000000" w:themeColor="text1"/>
          <w:sz w:val="24"/>
          <w:highlight w:val="none"/>
          <w14:textFill>
            <w14:solidFill>
              <w14:schemeClr w14:val="tx1"/>
            </w14:solidFill>
          </w14:textFill>
        </w:rPr>
        <w:t>人发出的第一次书面任务通知单视为开工），本合同范围内的每一单项工程的工期根据</w:t>
      </w:r>
      <w:r>
        <w:rPr>
          <w:rFonts w:hint="eastAsia"/>
          <w:color w:val="000000" w:themeColor="text1"/>
          <w:sz w:val="24"/>
          <w:highlight w:val="none"/>
          <w:lang w:eastAsia="zh-CN"/>
          <w14:textFill>
            <w14:solidFill>
              <w14:schemeClr w14:val="tx1"/>
            </w14:solidFill>
          </w14:textFill>
        </w:rPr>
        <w:t>采购</w:t>
      </w:r>
      <w:r>
        <w:rPr>
          <w:rFonts w:hint="eastAsia"/>
          <w:color w:val="000000" w:themeColor="text1"/>
          <w:sz w:val="24"/>
          <w:highlight w:val="none"/>
          <w14:textFill>
            <w14:solidFill>
              <w14:schemeClr w14:val="tx1"/>
            </w14:solidFill>
          </w14:textFill>
        </w:rPr>
        <w:t>人要求，当合同履行时间达一年或合同履行价款经</w:t>
      </w:r>
      <w:r>
        <w:rPr>
          <w:rFonts w:hint="eastAsia"/>
          <w:color w:val="000000" w:themeColor="text1"/>
          <w:sz w:val="24"/>
          <w:highlight w:val="none"/>
          <w:lang w:eastAsia="zh-CN"/>
          <w14:textFill>
            <w14:solidFill>
              <w14:schemeClr w14:val="tx1"/>
            </w14:solidFill>
          </w14:textFill>
        </w:rPr>
        <w:t>采购</w:t>
      </w:r>
      <w:r>
        <w:rPr>
          <w:rFonts w:hint="eastAsia"/>
          <w:color w:val="000000" w:themeColor="text1"/>
          <w:sz w:val="24"/>
          <w:highlight w:val="none"/>
          <w14:textFill>
            <w14:solidFill>
              <w14:schemeClr w14:val="tx1"/>
            </w14:solidFill>
          </w14:textFill>
        </w:rPr>
        <w:t>人委托的第三方</w:t>
      </w:r>
      <w:r>
        <w:rPr>
          <w:rFonts w:hint="eastAsia"/>
          <w:color w:val="000000" w:themeColor="text1"/>
          <w:sz w:val="24"/>
          <w:highlight w:val="none"/>
          <w:lang w:eastAsia="zh-CN"/>
          <w14:textFill>
            <w14:solidFill>
              <w14:schemeClr w14:val="tx1"/>
            </w14:solidFill>
          </w14:textFill>
        </w:rPr>
        <w:t>造价咨询机构</w:t>
      </w:r>
      <w:r>
        <w:rPr>
          <w:rFonts w:hint="eastAsia"/>
          <w:color w:val="000000" w:themeColor="text1"/>
          <w:sz w:val="24"/>
          <w:highlight w:val="none"/>
          <w14:textFill>
            <w14:solidFill>
              <w14:schemeClr w14:val="tx1"/>
            </w14:solidFill>
          </w14:textFill>
        </w:rPr>
        <w:t>审计后审定价达到</w:t>
      </w:r>
      <w:r>
        <w:rPr>
          <w:rFonts w:hint="eastAsia"/>
          <w:color w:val="000000" w:themeColor="text1"/>
          <w:sz w:val="24"/>
          <w:highlight w:val="none"/>
          <w:lang w:val="en-US" w:eastAsia="zh-CN"/>
          <w14:textFill>
            <w14:solidFill>
              <w14:schemeClr w14:val="tx1"/>
            </w14:solidFill>
          </w14:textFill>
        </w:rPr>
        <w:t>312</w:t>
      </w:r>
      <w:r>
        <w:rPr>
          <w:rFonts w:hint="eastAsia"/>
          <w:color w:val="000000" w:themeColor="text1"/>
          <w:sz w:val="24"/>
          <w:highlight w:val="none"/>
          <w14:textFill>
            <w14:solidFill>
              <w14:schemeClr w14:val="tx1"/>
            </w14:solidFill>
          </w14:textFill>
        </w:rPr>
        <w:t>万元时，合同自动终止。</w:t>
      </w:r>
    </w:p>
    <w:p w14:paraId="7483E1E5">
      <w:pPr>
        <w:spacing w:line="360" w:lineRule="auto"/>
        <w:ind w:firstLine="480"/>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8.</w:t>
      </w:r>
      <w:r>
        <w:rPr>
          <w:rFonts w:hint="eastAsia"/>
          <w:color w:val="000000" w:themeColor="text1"/>
          <w:sz w:val="24"/>
          <w:highlight w:val="none"/>
          <w14:textFill>
            <w14:solidFill>
              <w14:schemeClr w14:val="tx1"/>
            </w14:solidFill>
          </w14:textFill>
        </w:rPr>
        <w:t>本项目是否接受联合体：</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 xml:space="preserve">是  </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否。</w:t>
      </w:r>
    </w:p>
    <w:p w14:paraId="6B86F0EB">
      <w:pPr>
        <w:pStyle w:val="18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6" w:name="_Toc28359080"/>
      <w:bookmarkStart w:id="7" w:name="_Toc28359003"/>
      <w:bookmarkStart w:id="8" w:name="_Toc35393791"/>
      <w:bookmarkStart w:id="9" w:name="_Toc35393622"/>
      <w:r>
        <w:rPr>
          <w:rFonts w:ascii="Times New Roman" w:hAnsi="Times New Roman" w:eastAsia="宋体"/>
          <w:color w:val="000000" w:themeColor="text1"/>
          <w:sz w:val="24"/>
          <w:szCs w:val="24"/>
          <w:highlight w:val="none"/>
          <w14:textFill>
            <w14:solidFill>
              <w14:schemeClr w14:val="tx1"/>
            </w14:solidFill>
          </w14:textFill>
        </w:rPr>
        <w:t>二、申请人的资格要求（须同时满足）</w:t>
      </w:r>
      <w:bookmarkEnd w:id="6"/>
      <w:bookmarkEnd w:id="7"/>
      <w:bookmarkEnd w:id="8"/>
      <w:bookmarkEnd w:id="9"/>
    </w:p>
    <w:p w14:paraId="33217276">
      <w:pPr>
        <w:spacing w:line="360" w:lineRule="auto"/>
        <w:ind w:firstLine="480"/>
        <w:rPr>
          <w:rFonts w:hint="eastAsia"/>
          <w:color w:val="000000" w:themeColor="text1"/>
          <w:sz w:val="24"/>
          <w:highlight w:val="none"/>
          <w14:textFill>
            <w14:solidFill>
              <w14:schemeClr w14:val="tx1"/>
            </w14:solidFill>
          </w14:textFill>
        </w:rPr>
      </w:pPr>
      <w:bookmarkStart w:id="10" w:name="_Toc28359081"/>
      <w:bookmarkStart w:id="11" w:name="_Toc28359004"/>
      <w:r>
        <w:rPr>
          <w:color w:val="000000" w:themeColor="text1"/>
          <w:sz w:val="24"/>
          <w:highlight w:val="none"/>
          <w14:textFill>
            <w14:solidFill>
              <w14:schemeClr w14:val="tx1"/>
            </w14:solidFill>
          </w14:textFill>
        </w:rPr>
        <w:t>1.满足《中华人民共和国政府采购法》第二十二条规定</w:t>
      </w:r>
      <w:r>
        <w:rPr>
          <w:rFonts w:hint="eastAsia"/>
          <w:color w:val="000000" w:themeColor="text1"/>
          <w:sz w:val="24"/>
          <w:highlight w:val="none"/>
          <w14:textFill>
            <w14:solidFill>
              <w14:schemeClr w14:val="tx1"/>
            </w14:solidFill>
          </w14:textFill>
        </w:rPr>
        <w:t>以及下列情形：</w:t>
      </w:r>
    </w:p>
    <w:p w14:paraId="14E2EC79">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1.1未被“信用中国”网站（WWW.creditchina.gov.cn）或“中国政府采购网”网站（www.ccgp.gov.cn）列入失信被执行人、重大税收违法案件当事人名单、政府采购严重失信行为记录名单；</w:t>
      </w:r>
    </w:p>
    <w:p w14:paraId="7E2A6BC0">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1.2单位负责人为同一人或者存在直接控股、管理关系的不同供应商（包含法定代表人为同一个人的两个及两个以上法人，母公司、全资子公司及其控股公司），不得参加同一合同项下的政府采购活动。</w:t>
      </w:r>
    </w:p>
    <w:p w14:paraId="774F9818">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2.落实政府采购政策需满足的资格要求：</w:t>
      </w:r>
    </w:p>
    <w:p w14:paraId="5AEC132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 中小企业政策</w:t>
      </w: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本项目专门面向中小企业预留采购份额。</w:t>
      </w:r>
    </w:p>
    <w:p w14:paraId="20743A3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2.2 </w:t>
      </w:r>
      <w:r>
        <w:rPr>
          <w:rFonts w:hint="eastAsia"/>
          <w:color w:val="000000" w:themeColor="text1"/>
          <w:sz w:val="24"/>
          <w:highlight w:val="none"/>
          <w:lang w:eastAsia="zh-CN"/>
          <w14:textFill>
            <w14:solidFill>
              <w14:schemeClr w14:val="tx1"/>
            </w14:solidFill>
          </w14:textFill>
        </w:rPr>
        <w:t>其他</w:t>
      </w:r>
      <w:r>
        <w:rPr>
          <w:color w:val="000000" w:themeColor="text1"/>
          <w:sz w:val="24"/>
          <w:highlight w:val="none"/>
          <w14:textFill>
            <w14:solidFill>
              <w14:schemeClr w14:val="tx1"/>
            </w14:solidFill>
          </w14:textFill>
        </w:rPr>
        <w:t>落实政府采购政策的资格要求（如有）：</w:t>
      </w:r>
      <w:r>
        <w:rPr>
          <w:rFonts w:hint="eastAsia"/>
          <w:color w:val="000000" w:themeColor="text1"/>
          <w:sz w:val="24"/>
          <w:highlight w:val="none"/>
          <w:u w:val="single"/>
          <w14:textFill>
            <w14:solidFill>
              <w14:schemeClr w14:val="tx1"/>
            </w14:solidFill>
          </w14:textFill>
        </w:rPr>
        <w:t xml:space="preserve">  /  </w:t>
      </w:r>
      <w:r>
        <w:rPr>
          <w:rFonts w:hint="eastAsia"/>
          <w:color w:val="000000" w:themeColor="text1"/>
          <w:sz w:val="24"/>
          <w:highlight w:val="none"/>
          <w14:textFill>
            <w14:solidFill>
              <w14:schemeClr w14:val="tx1"/>
            </w14:solidFill>
          </w14:textFill>
        </w:rPr>
        <w:t>。</w:t>
      </w:r>
    </w:p>
    <w:p w14:paraId="5AA87C3A">
      <w:pPr>
        <w:spacing w:line="360" w:lineRule="auto"/>
        <w:ind w:firstLine="480"/>
        <w:rPr>
          <w:i/>
          <w:iCs/>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3.本项目的特定资格要求：</w:t>
      </w:r>
    </w:p>
    <w:p w14:paraId="2E4FE441">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3.1本项目是否接受分支机构参与响应：</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 xml:space="preserve">是   </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否；</w:t>
      </w:r>
    </w:p>
    <w:p w14:paraId="5867DA96">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 本项目是否属于政府购买服务：</w:t>
      </w:r>
    </w:p>
    <w:p w14:paraId="0F63B1D3">
      <w:pPr>
        <w:tabs>
          <w:tab w:val="left" w:pos="900"/>
          <w:tab w:val="left" w:pos="1134"/>
          <w:tab w:val="left" w:pos="1589"/>
          <w:tab w:val="left" w:pos="5521"/>
        </w:tabs>
        <w:spacing w:line="360" w:lineRule="auto"/>
        <w:ind w:left="991" w:firstLine="2"/>
        <w:rPr>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否</w:t>
      </w:r>
    </w:p>
    <w:p w14:paraId="719EB067">
      <w:pPr>
        <w:tabs>
          <w:tab w:val="left" w:pos="900"/>
          <w:tab w:val="left" w:pos="1134"/>
          <w:tab w:val="left" w:pos="1589"/>
          <w:tab w:val="left" w:pos="5521"/>
        </w:tabs>
        <w:spacing w:line="360" w:lineRule="auto"/>
        <w:ind w:left="991" w:firstLine="2"/>
        <w:rPr>
          <w:color w:val="000000" w:themeColor="text1"/>
          <w:sz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是，公益一类事业单位、使用事业编制且由财政拨款保障的群团组织，不得作为承接主体；</w:t>
      </w:r>
    </w:p>
    <w:p w14:paraId="70EC6B34">
      <w:pPr>
        <w:tabs>
          <w:tab w:val="left" w:pos="900"/>
          <w:tab w:val="left" w:pos="1134"/>
          <w:tab w:val="left" w:pos="1589"/>
          <w:tab w:val="left" w:pos="5521"/>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3.3其他特定资格要求：</w:t>
      </w:r>
    </w:p>
    <w:bookmarkEnd w:id="10"/>
    <w:bookmarkEnd w:id="11"/>
    <w:p w14:paraId="2FCBE3CE">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u w:val="single"/>
          <w:lang w:eastAsia="zh-CN"/>
          <w14:textFill>
            <w14:solidFill>
              <w14:schemeClr w14:val="tx1"/>
            </w14:solidFill>
          </w14:textFill>
        </w:rPr>
      </w:pPr>
      <w:bookmarkStart w:id="12" w:name="_Toc35393623"/>
      <w:bookmarkStart w:id="13" w:name="_Toc35393792"/>
      <w:r>
        <w:rPr>
          <w:rFonts w:hint="eastAsia" w:ascii="宋体" w:hAnsi="宋体" w:eastAsia="宋体" w:cs="宋体"/>
          <w:color w:val="000000" w:themeColor="text1"/>
          <w:sz w:val="24"/>
          <w:szCs w:val="24"/>
          <w:highlight w:val="none"/>
          <w:u w:val="single"/>
          <w14:textFill>
            <w14:solidFill>
              <w14:schemeClr w14:val="tx1"/>
            </w14:solidFill>
          </w14:textFill>
        </w:rPr>
        <w:t>1、具备市政公用工程施工总承包三级及以上资质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p>
    <w:p w14:paraId="2E89B7F4">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2、项目负责人须具备市政公用工程二级（含）以上注册建造师资格及行政主管部门核发的安全生产考核合格证（B证）。</w:t>
      </w:r>
    </w:p>
    <w:p w14:paraId="49F65A5D">
      <w:pPr>
        <w:pStyle w:val="185"/>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三、获取采购文件</w:t>
      </w:r>
      <w:bookmarkEnd w:id="12"/>
      <w:bookmarkEnd w:id="13"/>
    </w:p>
    <w:p w14:paraId="6AE0AA2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1.时间：</w:t>
      </w:r>
      <w:r>
        <w:rPr>
          <w:rFonts w:hint="eastAsia"/>
          <w:color w:val="000000" w:themeColor="text1"/>
          <w:sz w:val="24"/>
          <w:highlight w:val="none"/>
          <w:lang w:bidi="ar"/>
          <w14:textFill>
            <w14:solidFill>
              <w14:schemeClr w14:val="tx1"/>
            </w14:solidFill>
          </w14:textFill>
        </w:rPr>
        <w:t>自本公告发布之日</w:t>
      </w:r>
      <w:r>
        <w:rPr>
          <w:rFonts w:hint="eastAsia"/>
          <w:color w:val="000000" w:themeColor="text1"/>
          <w:sz w:val="24"/>
          <w:highlight w:val="none"/>
          <w:lang w:val="en-US" w:eastAsia="zh-CN" w:bidi="ar"/>
          <w14:textFill>
            <w14:solidFill>
              <w14:schemeClr w14:val="tx1"/>
            </w14:solidFill>
          </w14:textFill>
        </w:rPr>
        <w:t>起5个工作日</w:t>
      </w:r>
      <w:r>
        <w:rPr>
          <w:color w:val="000000" w:themeColor="text1"/>
          <w:sz w:val="24"/>
          <w:highlight w:val="none"/>
          <w:lang w:bidi="ar"/>
          <w14:textFill>
            <w14:solidFill>
              <w14:schemeClr w14:val="tx1"/>
            </w14:solidFill>
          </w14:textFill>
        </w:rPr>
        <w:t>。</w:t>
      </w:r>
    </w:p>
    <w:p w14:paraId="4937C047">
      <w:pPr>
        <w:spacing w:line="360" w:lineRule="auto"/>
        <w:ind w:firstLine="480"/>
        <w:rPr>
          <w:rFonts w:hint="eastAsia" w:eastAsia="宋体"/>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2.地点：</w:t>
      </w:r>
      <w:r>
        <w:rPr>
          <w:rFonts w:hint="eastAsia"/>
          <w:sz w:val="24"/>
          <w:highlight w:val="none"/>
          <w:lang w:val="en-US" w:eastAsia="zh-CN" w:bidi="ar"/>
        </w:rPr>
        <w:t>苏采云政府采购一体化平台（网址：</w:t>
      </w:r>
      <w:r>
        <w:rPr>
          <w:rFonts w:hint="eastAsia"/>
          <w:sz w:val="24"/>
          <w:highlight w:val="none"/>
          <w:lang w:val="en-US" w:eastAsia="zh-CN" w:bidi="ar"/>
        </w:rPr>
        <w:fldChar w:fldCharType="begin"/>
      </w:r>
      <w:r>
        <w:rPr>
          <w:rFonts w:hint="eastAsia"/>
          <w:sz w:val="24"/>
          <w:highlight w:val="none"/>
          <w:lang w:val="en-US" w:eastAsia="zh-CN" w:bidi="ar"/>
        </w:rPr>
        <w:instrText xml:space="preserve"> HYPERLINK "http://jszfcg.jsczt.cn/jszc/login）" </w:instrText>
      </w:r>
      <w:r>
        <w:rPr>
          <w:rFonts w:hint="eastAsia"/>
          <w:sz w:val="24"/>
          <w:highlight w:val="none"/>
          <w:lang w:val="en-US" w:eastAsia="zh-CN" w:bidi="ar"/>
        </w:rPr>
        <w:fldChar w:fldCharType="separate"/>
      </w:r>
      <w:r>
        <w:rPr>
          <w:rStyle w:val="33"/>
          <w:rFonts w:hint="eastAsia"/>
          <w:sz w:val="24"/>
          <w:highlight w:val="none"/>
          <w:lang w:val="en-US" w:eastAsia="zh-CN" w:bidi="ar"/>
        </w:rPr>
        <w:t>http://jszfcg.jsczt.cn/jszc/login）</w:t>
      </w:r>
      <w:r>
        <w:rPr>
          <w:rFonts w:hint="eastAsia"/>
          <w:sz w:val="24"/>
          <w:highlight w:val="none"/>
          <w:lang w:val="en-US" w:eastAsia="zh-CN" w:bidi="ar"/>
        </w:rPr>
        <w:fldChar w:fldCharType="end"/>
      </w:r>
    </w:p>
    <w:p w14:paraId="3601F42E">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3.方式：</w:t>
      </w:r>
      <w:r>
        <w:rPr>
          <w:rFonts w:hint="eastAsia"/>
          <w:sz w:val="24"/>
          <w:highlight w:val="none"/>
          <w:lang w:val="en-US" w:eastAsia="zh-CN" w:bidi="ar"/>
        </w:rPr>
        <w:t>供应商完成注册并办理CA证书后登录苏采云政府采购一体化平台，下载本项目电子版磋商文件。</w:t>
      </w:r>
    </w:p>
    <w:p w14:paraId="4C65DC77">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4.售价：0元。</w:t>
      </w:r>
    </w:p>
    <w:p w14:paraId="5D0F6E8E">
      <w:pPr>
        <w:pStyle w:val="185"/>
        <w:widowControl/>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4" w:name="_Toc28359082"/>
      <w:bookmarkStart w:id="15" w:name="_Toc35393793"/>
      <w:bookmarkStart w:id="16" w:name="_Toc28359005"/>
      <w:bookmarkStart w:id="17" w:name="_Toc35393624"/>
      <w:r>
        <w:rPr>
          <w:rFonts w:ascii="Times New Roman" w:hAnsi="Times New Roman" w:eastAsia="宋体"/>
          <w:color w:val="000000" w:themeColor="text1"/>
          <w:sz w:val="24"/>
          <w:szCs w:val="24"/>
          <w:highlight w:val="none"/>
          <w14:textFill>
            <w14:solidFill>
              <w14:schemeClr w14:val="tx1"/>
            </w14:solidFill>
          </w14:textFill>
        </w:rPr>
        <w:t>四、</w:t>
      </w:r>
      <w:bookmarkEnd w:id="14"/>
      <w:bookmarkEnd w:id="15"/>
      <w:bookmarkEnd w:id="16"/>
      <w:bookmarkEnd w:id="17"/>
      <w:r>
        <w:rPr>
          <w:rFonts w:ascii="Times New Roman" w:hAnsi="Times New Roman" w:eastAsia="宋体"/>
          <w:color w:val="000000" w:themeColor="text1"/>
          <w:sz w:val="24"/>
          <w:szCs w:val="24"/>
          <w:highlight w:val="none"/>
          <w14:textFill>
            <w14:solidFill>
              <w14:schemeClr w14:val="tx1"/>
            </w14:solidFill>
          </w14:textFill>
        </w:rPr>
        <w:t>响应文件提交</w:t>
      </w:r>
    </w:p>
    <w:p w14:paraId="3A2CFE29">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截止时间：</w:t>
      </w:r>
      <w:r>
        <w:rPr>
          <w:rFonts w:hint="eastAsia"/>
          <w:color w:val="000000" w:themeColor="text1"/>
          <w:sz w:val="24"/>
          <w:highlight w:val="none"/>
          <w:u w:val="single"/>
          <w:lang w:val="en-US" w:eastAsia="zh-CN"/>
          <w14:textFill>
            <w14:solidFill>
              <w14:schemeClr w14:val="tx1"/>
            </w14:solidFill>
          </w14:textFill>
        </w:rPr>
        <w:t>2026</w:t>
      </w:r>
      <w:r>
        <w:rPr>
          <w:color w:val="000000" w:themeColor="text1"/>
          <w:sz w:val="24"/>
          <w:highlight w:val="none"/>
          <w:u w:val="single"/>
          <w:lang w:bidi="ar"/>
          <w14:textFill>
            <w14:solidFill>
              <w14:schemeClr w14:val="tx1"/>
            </w14:solidFill>
          </w14:textFill>
        </w:rPr>
        <w:t>年</w:t>
      </w:r>
      <w:r>
        <w:rPr>
          <w:rFonts w:hint="eastAsia"/>
          <w:color w:val="000000" w:themeColor="text1"/>
          <w:sz w:val="24"/>
          <w:highlight w:val="none"/>
          <w:u w:val="single"/>
          <w:lang w:val="en-US" w:eastAsia="zh-CN" w:bidi="ar"/>
          <w14:textFill>
            <w14:solidFill>
              <w14:schemeClr w14:val="tx1"/>
            </w14:solidFill>
          </w14:textFill>
        </w:rPr>
        <w:t>02</w:t>
      </w:r>
      <w:r>
        <w:rPr>
          <w:color w:val="000000" w:themeColor="text1"/>
          <w:sz w:val="24"/>
          <w:highlight w:val="none"/>
          <w:u w:val="single"/>
          <w:lang w:bidi="ar"/>
          <w14:textFill>
            <w14:solidFill>
              <w14:schemeClr w14:val="tx1"/>
            </w14:solidFill>
          </w14:textFill>
        </w:rPr>
        <w:t>月</w:t>
      </w:r>
      <w:r>
        <w:rPr>
          <w:rFonts w:hint="eastAsia"/>
          <w:color w:val="000000" w:themeColor="text1"/>
          <w:sz w:val="24"/>
          <w:highlight w:val="none"/>
          <w:u w:val="single"/>
          <w:lang w:val="en-US" w:eastAsia="zh-CN"/>
          <w14:textFill>
            <w14:solidFill>
              <w14:schemeClr w14:val="tx1"/>
            </w14:solidFill>
          </w14:textFill>
        </w:rPr>
        <w:t>11</w:t>
      </w:r>
      <w:r>
        <w:rPr>
          <w:color w:val="000000" w:themeColor="text1"/>
          <w:sz w:val="24"/>
          <w:highlight w:val="none"/>
          <w:u w:val="single"/>
          <w:lang w:bidi="ar"/>
          <w14:textFill>
            <w14:solidFill>
              <w14:schemeClr w14:val="tx1"/>
            </w14:solidFill>
          </w14:textFill>
        </w:rPr>
        <w:t>日</w:t>
      </w:r>
      <w:r>
        <w:rPr>
          <w:rFonts w:hint="eastAsia"/>
          <w:color w:val="000000" w:themeColor="text1"/>
          <w:sz w:val="24"/>
          <w:highlight w:val="none"/>
          <w:u w:val="single"/>
          <w:lang w:val="en-US" w:eastAsia="zh-CN" w:bidi="ar"/>
          <w14:textFill>
            <w14:solidFill>
              <w14:schemeClr w14:val="tx1"/>
            </w14:solidFill>
          </w14:textFill>
        </w:rPr>
        <w:t>10</w:t>
      </w:r>
      <w:r>
        <w:rPr>
          <w:color w:val="000000" w:themeColor="text1"/>
          <w:sz w:val="24"/>
          <w:highlight w:val="none"/>
          <w:u w:val="single"/>
          <w:lang w:bidi="ar"/>
          <w14:textFill>
            <w14:solidFill>
              <w14:schemeClr w14:val="tx1"/>
            </w14:solidFill>
          </w14:textFill>
        </w:rPr>
        <w:t>点</w:t>
      </w:r>
      <w:r>
        <w:rPr>
          <w:rFonts w:hint="eastAsia"/>
          <w:color w:val="000000" w:themeColor="text1"/>
          <w:sz w:val="24"/>
          <w:highlight w:val="none"/>
          <w:u w:val="single"/>
          <w:lang w:val="en-US" w:eastAsia="zh-CN" w:bidi="ar"/>
          <w14:textFill>
            <w14:solidFill>
              <w14:schemeClr w14:val="tx1"/>
            </w14:solidFill>
          </w14:textFill>
        </w:rPr>
        <w:t>00</w:t>
      </w:r>
      <w:r>
        <w:rPr>
          <w:color w:val="000000" w:themeColor="text1"/>
          <w:sz w:val="24"/>
          <w:highlight w:val="none"/>
          <w:u w:val="single"/>
          <w:lang w:bidi="ar"/>
          <w14:textFill>
            <w14:solidFill>
              <w14:schemeClr w14:val="tx1"/>
            </w14:solidFill>
          </w14:textFill>
        </w:rPr>
        <w:t>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24A9C586">
      <w:pPr>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color w:val="000000" w:themeColor="text1"/>
          <w:sz w:val="24"/>
          <w:highlight w:val="none"/>
          <w:lang w:val="en-US" w:eastAsia="zh-CN" w:bidi="ar"/>
          <w14:textFill>
            <w14:solidFill>
              <w14:schemeClr w14:val="tx1"/>
            </w14:solidFill>
          </w14:textFill>
        </w:rPr>
        <w:t>本项目采用远程“不见面”开标方式，无需到现场提交，请供应商在开标时间截止前提前登入苏采云政府采购一体化平台（网址：http://jszfcg.jsczt.cn/jszc/login）提交电子版</w:t>
      </w:r>
      <w:r>
        <w:rPr>
          <w:color w:val="000000" w:themeColor="text1"/>
          <w:sz w:val="24"/>
          <w:highlight w:val="none"/>
          <w:lang w:bidi="ar"/>
          <w14:textFill>
            <w14:solidFill>
              <w14:schemeClr w14:val="tx1"/>
            </w14:solidFill>
          </w14:textFill>
        </w:rPr>
        <w:t>响应文件。</w:t>
      </w:r>
    </w:p>
    <w:p w14:paraId="1BD54E23">
      <w:pPr>
        <w:pStyle w:val="18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五、开启</w:t>
      </w:r>
    </w:p>
    <w:p w14:paraId="6CDA78D7">
      <w:pPr>
        <w:spacing w:line="360" w:lineRule="auto"/>
        <w:ind w:firstLine="480"/>
        <w:rPr>
          <w:bCs/>
          <w:color w:val="000000" w:themeColor="text1"/>
          <w:sz w:val="24"/>
          <w:highlight w:val="none"/>
          <w:u w:val="single"/>
          <w14:textFill>
            <w14:solidFill>
              <w14:schemeClr w14:val="tx1"/>
            </w14:solidFill>
          </w14:textFill>
        </w:rPr>
      </w:pPr>
      <w:r>
        <w:rPr>
          <w:color w:val="000000" w:themeColor="text1"/>
          <w:sz w:val="24"/>
          <w:highlight w:val="none"/>
          <w:lang w:bidi="ar"/>
          <w14:textFill>
            <w14:solidFill>
              <w14:schemeClr w14:val="tx1"/>
            </w14:solidFill>
          </w14:textFill>
        </w:rPr>
        <w:t>时间：</w:t>
      </w:r>
      <w:r>
        <w:rPr>
          <w:rFonts w:hint="eastAsia"/>
          <w:color w:val="000000" w:themeColor="text1"/>
          <w:sz w:val="24"/>
          <w:highlight w:val="none"/>
          <w:u w:val="single"/>
          <w:lang w:val="en-US" w:eastAsia="zh-CN"/>
          <w14:textFill>
            <w14:solidFill>
              <w14:schemeClr w14:val="tx1"/>
            </w14:solidFill>
          </w14:textFill>
        </w:rPr>
        <w:t>2026年02月11日10点00分</w:t>
      </w:r>
      <w:r>
        <w:rPr>
          <w:bCs/>
          <w:color w:val="000000" w:themeColor="text1"/>
          <w:sz w:val="24"/>
          <w:highlight w:val="none"/>
          <w:lang w:bidi="ar"/>
          <w14:textFill>
            <w14:solidFill>
              <w14:schemeClr w14:val="tx1"/>
            </w14:solidFill>
          </w14:textFill>
        </w:rPr>
        <w:t>（北京时间）</w:t>
      </w:r>
      <w:r>
        <w:rPr>
          <w:iCs/>
          <w:color w:val="000000" w:themeColor="text1"/>
          <w:sz w:val="24"/>
          <w:highlight w:val="none"/>
          <w:lang w:bidi="ar"/>
          <w14:textFill>
            <w14:solidFill>
              <w14:schemeClr w14:val="tx1"/>
            </w14:solidFill>
          </w14:textFill>
        </w:rPr>
        <w:t>。</w:t>
      </w:r>
    </w:p>
    <w:p w14:paraId="4DB5EA8F">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bidi="ar"/>
          <w14:textFill>
            <w14:solidFill>
              <w14:schemeClr w14:val="tx1"/>
            </w14:solidFill>
          </w14:textFill>
        </w:rPr>
        <w:t>地点：</w:t>
      </w:r>
      <w:r>
        <w:rPr>
          <w:rFonts w:hint="eastAsia" w:ascii="宋体" w:hAnsi="宋体"/>
          <w:color w:val="000000" w:themeColor="text1"/>
          <w:sz w:val="24"/>
          <w:highlight w:val="none"/>
          <w:u w:val="single"/>
          <w14:textFill>
            <w14:solidFill>
              <w14:schemeClr w14:val="tx1"/>
            </w14:solidFill>
          </w14:textFill>
        </w:rPr>
        <w:t>本项目采用不见面交易方式，无需到现场提交，供应商登录</w:t>
      </w:r>
      <w:r>
        <w:rPr>
          <w:rFonts w:hint="eastAsia" w:ascii="宋体" w:hAnsi="宋体"/>
          <w:color w:val="000000" w:themeColor="text1"/>
          <w:sz w:val="24"/>
          <w:highlight w:val="none"/>
          <w:u w:val="single"/>
          <w:lang w:eastAsia="zh-CN"/>
          <w14:textFill>
            <w14:solidFill>
              <w14:schemeClr w14:val="tx1"/>
            </w14:solidFill>
          </w14:textFill>
        </w:rPr>
        <w:t>“苏采云”政府采购一体化平台</w:t>
      </w:r>
      <w:r>
        <w:rPr>
          <w:rFonts w:hint="eastAsia" w:ascii="宋体" w:hAnsi="宋体"/>
          <w:color w:val="000000" w:themeColor="text1"/>
          <w:sz w:val="24"/>
          <w:highlight w:val="none"/>
          <w:u w:val="single"/>
          <w14:textFill>
            <w14:solidFill>
              <w14:schemeClr w14:val="tx1"/>
            </w14:solidFill>
          </w14:textFill>
        </w:rPr>
        <w:t>供应商端，通过系统在线提交电子响应文件。</w:t>
      </w:r>
    </w:p>
    <w:p w14:paraId="14389599">
      <w:pPr>
        <w:pStyle w:val="18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18" w:name="_Toc28359084"/>
      <w:bookmarkStart w:id="19" w:name="_Toc28359007"/>
      <w:bookmarkStart w:id="20" w:name="_Toc35393625"/>
      <w:bookmarkStart w:id="21" w:name="_Toc35393794"/>
      <w:r>
        <w:rPr>
          <w:rFonts w:ascii="Times New Roman" w:hAnsi="Times New Roman" w:eastAsia="宋体"/>
          <w:color w:val="000000" w:themeColor="text1"/>
          <w:sz w:val="24"/>
          <w:szCs w:val="24"/>
          <w:highlight w:val="none"/>
          <w14:textFill>
            <w14:solidFill>
              <w14:schemeClr w14:val="tx1"/>
            </w14:solidFill>
          </w14:textFill>
        </w:rPr>
        <w:t>六、公告期限</w:t>
      </w:r>
      <w:bookmarkEnd w:id="18"/>
      <w:bookmarkEnd w:id="19"/>
      <w:bookmarkEnd w:id="20"/>
      <w:bookmarkEnd w:id="21"/>
    </w:p>
    <w:p w14:paraId="381B67A8">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个工作日。</w:t>
      </w:r>
    </w:p>
    <w:p w14:paraId="6E314ADA">
      <w:pPr>
        <w:pStyle w:val="18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bookmarkStart w:id="22" w:name="_Toc35393626"/>
      <w:bookmarkStart w:id="23" w:name="_Toc35393795"/>
      <w:r>
        <w:rPr>
          <w:rFonts w:ascii="Times New Roman" w:hAnsi="Times New Roman" w:eastAsia="宋体"/>
          <w:color w:val="000000" w:themeColor="text1"/>
          <w:sz w:val="24"/>
          <w:szCs w:val="24"/>
          <w:highlight w:val="none"/>
          <w14:textFill>
            <w14:solidFill>
              <w14:schemeClr w14:val="tx1"/>
            </w14:solidFill>
          </w14:textFill>
        </w:rPr>
        <w:t>七、其他补充事宜</w:t>
      </w:r>
      <w:bookmarkEnd w:id="22"/>
      <w:bookmarkEnd w:id="23"/>
    </w:p>
    <w:p w14:paraId="5D1CF7BF">
      <w:pPr>
        <w:spacing w:line="360" w:lineRule="auto"/>
        <w:ind w:firstLine="480" w:firstLineChars="200"/>
        <w:rPr>
          <w:color w:val="000000" w:themeColor="text1"/>
          <w:sz w:val="24"/>
          <w:highlight w:val="none"/>
          <w:lang w:bidi="ar"/>
          <w14:textFill>
            <w14:solidFill>
              <w14:schemeClr w14:val="tx1"/>
            </w14:solidFill>
          </w14:textFill>
        </w:rPr>
      </w:pPr>
      <w:bookmarkStart w:id="24" w:name="_Toc28359085"/>
      <w:bookmarkStart w:id="25" w:name="_Toc35393627"/>
      <w:bookmarkStart w:id="26" w:name="_Toc28359008"/>
      <w:bookmarkStart w:id="27" w:name="_Toc35393796"/>
      <w:r>
        <w:rPr>
          <w:rFonts w:hint="eastAsia" w:ascii="Times New Roman" w:hAnsi="Times New Roman"/>
          <w:color w:val="000000" w:themeColor="text1"/>
          <w:kern w:val="2"/>
          <w:sz w:val="24"/>
          <w:szCs w:val="24"/>
          <w:highlight w:val="none"/>
          <w:lang w:val="en-US" w:eastAsia="zh-CN" w:bidi="ar"/>
          <w14:textFill>
            <w14:solidFill>
              <w14:schemeClr w14:val="tx1"/>
            </w14:solidFill>
          </w14:textFill>
        </w:rPr>
        <w:t>1</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kern w:val="2"/>
          <w:sz w:val="24"/>
          <w:szCs w:val="24"/>
          <w:highlight w:val="none"/>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42D48842">
      <w:pPr>
        <w:spacing w:line="360" w:lineRule="auto"/>
        <w:ind w:firstLine="480" w:firstLineChars="200"/>
        <w:rPr>
          <w:color w:val="000000" w:themeColor="text1"/>
          <w:sz w:val="24"/>
          <w:highlight w:val="none"/>
          <w:lang w:bidi="ar"/>
          <w14:textFill>
            <w14:solidFill>
              <w14:schemeClr w14:val="tx1"/>
            </w14:solidFill>
          </w14:textFill>
        </w:rPr>
      </w:pPr>
      <w:r>
        <w:rPr>
          <w:rFonts w:hint="eastAsia" w:ascii="Times New Roman" w:hAnsi="Times New Roman"/>
          <w:color w:val="000000" w:themeColor="text1"/>
          <w:kern w:val="2"/>
          <w:sz w:val="24"/>
          <w:szCs w:val="24"/>
          <w:highlight w:val="none"/>
          <w:lang w:val="en-US" w:eastAsia="zh-CN" w:bidi="ar"/>
          <w14:textFill>
            <w14:solidFill>
              <w14:schemeClr w14:val="tx1"/>
            </w14:solidFill>
          </w14:textFill>
        </w:rPr>
        <w:t>2</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kern w:val="2"/>
          <w:sz w:val="24"/>
          <w:szCs w:val="24"/>
          <w:highlight w:val="none"/>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0FA96A84">
      <w:pPr>
        <w:spacing w:line="360" w:lineRule="auto"/>
        <w:ind w:firstLine="480" w:firstLineChars="200"/>
        <w:rPr>
          <w:rFonts w:hint="eastAsia" w:ascii="Times New Roman" w:hAnsi="Times New Roman"/>
          <w:color w:val="000000" w:themeColor="text1"/>
          <w:kern w:val="2"/>
          <w:sz w:val="24"/>
          <w:szCs w:val="24"/>
          <w:highlight w:val="none"/>
          <w:lang w:bidi="ar"/>
          <w14:textFill>
            <w14:solidFill>
              <w14:schemeClr w14:val="tx1"/>
            </w14:solidFill>
          </w14:textFill>
        </w:rPr>
      </w:pPr>
      <w:r>
        <w:rPr>
          <w:rFonts w:hint="eastAsia" w:ascii="Times New Roman" w:hAnsi="Times New Roman"/>
          <w:color w:val="000000" w:themeColor="text1"/>
          <w:kern w:val="2"/>
          <w:sz w:val="24"/>
          <w:szCs w:val="24"/>
          <w:highlight w:val="none"/>
          <w:lang w:val="en-US" w:eastAsia="zh-CN" w:bidi="ar"/>
          <w14:textFill>
            <w14:solidFill>
              <w14:schemeClr w14:val="tx1"/>
            </w14:solidFill>
          </w14:textFill>
        </w:rPr>
        <w:t>3</w:t>
      </w:r>
      <w:r>
        <w:rPr>
          <w:rFonts w:hint="eastAsia"/>
          <w:color w:val="000000" w:themeColor="text1"/>
          <w:sz w:val="24"/>
          <w:highlight w:val="none"/>
          <w:lang w:bidi="ar"/>
          <w14:textFill>
            <w14:solidFill>
              <w14:schemeClr w14:val="tx1"/>
            </w14:solidFill>
          </w14:textFill>
        </w:rPr>
        <w:t>．</w:t>
      </w:r>
      <w:r>
        <w:rPr>
          <w:rFonts w:hint="eastAsia" w:ascii="Times New Roman" w:hAnsi="Times New Roman"/>
          <w:color w:val="000000" w:themeColor="text1"/>
          <w:kern w:val="2"/>
          <w:sz w:val="24"/>
          <w:szCs w:val="24"/>
          <w:highlight w:val="none"/>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0EA162E">
      <w:pPr>
        <w:spacing w:line="360" w:lineRule="auto"/>
        <w:ind w:firstLine="480" w:firstLineChars="200"/>
        <w:rPr>
          <w:rFonts w:hint="eastAsia" w:ascii="Times New Roman" w:hAnsi="Times New Roman"/>
          <w:color w:val="000000" w:themeColor="text1"/>
          <w:kern w:val="2"/>
          <w:sz w:val="24"/>
          <w:szCs w:val="24"/>
          <w:highlight w:val="none"/>
          <w:lang w:bidi="ar"/>
          <w14:textFill>
            <w14:solidFill>
              <w14:schemeClr w14:val="tx1"/>
            </w14:solidFill>
          </w14:textFill>
        </w:rPr>
      </w:pPr>
      <w:r>
        <w:rPr>
          <w:rFonts w:hint="eastAsia"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4.关于江苏省政府采购履约验收管理办法：根据《关于印发江苏省政府采购履约验收管理办法的通知》（苏财规[2024]7号）</w:t>
      </w:r>
      <w:r>
        <w:rPr>
          <w:rFonts w:hint="eastAsia" w:ascii="Times New Roman" w:hAnsi="Times New Roman" w:eastAsia="宋体" w:cs="Times New Roman"/>
          <w:color w:val="000000" w:themeColor="text1"/>
          <w:kern w:val="2"/>
          <w:sz w:val="24"/>
          <w:szCs w:val="24"/>
          <w:highlight w:val="none"/>
          <w:lang w:bidi="ar"/>
          <w14:textFill>
            <w14:solidFill>
              <w14:schemeClr w14:val="tx1"/>
            </w14:solidFill>
          </w14:textFill>
        </w:rPr>
        <w:t>等有关文件精神</w:t>
      </w:r>
      <w:r>
        <w:rPr>
          <w:rFonts w:hint="eastAsia" w:ascii="Times New Roman" w:hAnsi="Times New Roman" w:eastAsia="宋体" w:cs="Times New Roman"/>
          <w:color w:val="000000" w:themeColor="text1"/>
          <w:kern w:val="2"/>
          <w:sz w:val="24"/>
          <w:szCs w:val="24"/>
          <w:highlight w:val="none"/>
          <w:lang w:eastAsia="zh-CN" w:bidi="ar"/>
          <w14:textFill>
            <w14:solidFill>
              <w14:schemeClr w14:val="tx1"/>
            </w14:solidFill>
          </w14:textFill>
        </w:rPr>
        <w:t>执行。</w:t>
      </w:r>
    </w:p>
    <w:p w14:paraId="309C0165">
      <w:pPr>
        <w:pStyle w:val="185"/>
        <w:spacing w:before="0" w:line="360" w:lineRule="auto"/>
        <w:jc w:val="lef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八、对本项目提出询问，请按以下方式联系。</w:t>
      </w:r>
      <w:bookmarkEnd w:id="24"/>
      <w:bookmarkEnd w:id="25"/>
      <w:bookmarkEnd w:id="26"/>
      <w:bookmarkEnd w:id="27"/>
    </w:p>
    <w:p w14:paraId="269CD5F3">
      <w:pPr>
        <w:widowControl/>
        <w:spacing w:line="360" w:lineRule="auto"/>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w:t>
      </w:r>
      <w:r>
        <w:rPr>
          <w:b/>
          <w:color w:val="000000" w:themeColor="text1"/>
          <w:sz w:val="24"/>
          <w:highlight w:val="none"/>
          <w14:textFill>
            <w14:solidFill>
              <w14:schemeClr w14:val="tx1"/>
            </w14:solidFill>
          </w14:textFill>
        </w:rPr>
        <w:t>1.采购人信息</w:t>
      </w:r>
    </w:p>
    <w:p w14:paraId="6A758098">
      <w:pPr>
        <w:spacing w:line="360" w:lineRule="auto"/>
        <w:ind w:left="1079" w:hanging="300"/>
        <w:jc w:val="left"/>
        <w:rPr>
          <w:rFonts w:hint="eastAsia" w:cs="Times New Roman"/>
          <w:sz w:val="24"/>
          <w:highlight w:val="none"/>
          <w:u w:val="single"/>
          <w:lang w:val="en-US" w:eastAsia="zh-CN"/>
        </w:rPr>
      </w:pPr>
      <w:bookmarkStart w:id="28" w:name="_Toc28359009"/>
      <w:bookmarkStart w:id="29" w:name="_Toc28359086"/>
      <w:r>
        <w:rPr>
          <w:rFonts w:ascii="Times New Roman" w:hAnsi="Times New Roman" w:eastAsia="宋体" w:cs="Times New Roman"/>
          <w:sz w:val="24"/>
          <w:highlight w:val="none"/>
        </w:rPr>
        <w:t>名    称：</w:t>
      </w:r>
      <w:r>
        <w:rPr>
          <w:rFonts w:hint="eastAsia" w:cs="Times New Roman"/>
          <w:sz w:val="24"/>
          <w:highlight w:val="none"/>
          <w:u w:val="single"/>
          <w:lang w:val="en-US" w:eastAsia="zh-CN"/>
        </w:rPr>
        <w:t>常州市金坛区朱林镇人民政府</w:t>
      </w:r>
    </w:p>
    <w:p w14:paraId="4769A802">
      <w:pPr>
        <w:spacing w:line="360" w:lineRule="auto"/>
        <w:ind w:left="1079" w:hanging="300"/>
        <w:jc w:val="left"/>
        <w:rPr>
          <w:rFonts w:hint="default"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地    址：</w:t>
      </w:r>
      <w:r>
        <w:rPr>
          <w:rFonts w:hint="eastAsia" w:ascii="Times New Roman" w:hAnsi="Times New Roman" w:eastAsia="宋体" w:cs="Times New Roman"/>
          <w:sz w:val="24"/>
          <w:highlight w:val="none"/>
          <w:u w:val="single"/>
          <w:lang w:val="en-US" w:eastAsia="zh-CN"/>
        </w:rPr>
        <w:t xml:space="preserve"> 常州市金坛区朱林镇 </w:t>
      </w:r>
    </w:p>
    <w:p w14:paraId="7212912D">
      <w:pPr>
        <w:spacing w:line="360" w:lineRule="auto"/>
        <w:ind w:left="1079" w:hanging="300"/>
        <w:jc w:val="left"/>
        <w:rPr>
          <w:rFonts w:hint="default" w:ascii="Times New Roman" w:hAnsi="Times New Roman" w:eastAsia="宋体" w:cs="Times New Roman"/>
          <w:sz w:val="24"/>
          <w:highlight w:val="none"/>
          <w:u w:val="single"/>
          <w:lang w:val="en-US" w:eastAsia="zh-CN"/>
        </w:rPr>
      </w:pPr>
      <w:r>
        <w:rPr>
          <w:rFonts w:ascii="Times New Roman" w:hAnsi="Times New Roman" w:eastAsia="宋体" w:cs="Times New Roman"/>
          <w:sz w:val="24"/>
          <w:highlight w:val="none"/>
        </w:rPr>
        <w:t>联系方式：</w:t>
      </w:r>
      <w:r>
        <w:rPr>
          <w:rFonts w:hint="eastAsia" w:ascii="Times New Roman" w:hAnsi="Times New Roman" w:eastAsia="宋体" w:cs="Times New Roman"/>
          <w:sz w:val="24"/>
          <w:highlight w:val="none"/>
          <w:u w:val="single"/>
          <w:lang w:val="zh-TW" w:eastAsia="zh-CN"/>
        </w:rPr>
        <w:t>0519</w:t>
      </w:r>
      <w:r>
        <w:rPr>
          <w:rFonts w:hint="eastAsia" w:cs="Times New Roman"/>
          <w:sz w:val="24"/>
          <w:highlight w:val="none"/>
          <w:u w:val="single"/>
          <w:lang w:val="en-US" w:eastAsia="zh-CN"/>
        </w:rPr>
        <w:t>-</w:t>
      </w:r>
      <w:r>
        <w:rPr>
          <w:rFonts w:hint="eastAsia" w:ascii="Times New Roman" w:hAnsi="Times New Roman" w:eastAsia="宋体" w:cs="Times New Roman"/>
          <w:sz w:val="24"/>
          <w:highlight w:val="none"/>
          <w:u w:val="single"/>
          <w:lang w:val="zh-TW" w:eastAsia="zh-CN"/>
        </w:rPr>
        <w:t>82625059</w:t>
      </w:r>
    </w:p>
    <w:p w14:paraId="4D2C5218">
      <w:pPr>
        <w:spacing w:line="360" w:lineRule="auto"/>
        <w:ind w:left="1078" w:hanging="299"/>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2.采购代理机构信息</w:t>
      </w:r>
      <w:bookmarkEnd w:id="28"/>
      <w:bookmarkEnd w:id="29"/>
    </w:p>
    <w:p w14:paraId="25D34200">
      <w:pPr>
        <w:spacing w:line="360" w:lineRule="auto"/>
        <w:ind w:left="1076" w:hanging="297"/>
        <w:jc w:val="left"/>
        <w:rPr>
          <w:color w:val="000000" w:themeColor="text1"/>
          <w:sz w:val="24"/>
          <w:highlight w:val="none"/>
          <w14:textFill>
            <w14:solidFill>
              <w14:schemeClr w14:val="tx1"/>
            </w14:solidFill>
          </w14:textFill>
        </w:rPr>
      </w:pPr>
      <w:bookmarkStart w:id="30" w:name="_Toc28359087"/>
      <w:bookmarkStart w:id="31" w:name="_Toc28359010"/>
      <w:r>
        <w:rPr>
          <w:color w:val="000000" w:themeColor="text1"/>
          <w:sz w:val="24"/>
          <w:highlight w:val="none"/>
          <w14:textFill>
            <w14:solidFill>
              <w14:schemeClr w14:val="tx1"/>
            </w14:solidFill>
          </w14:textFill>
        </w:rPr>
        <w:t>名    称：</w:t>
      </w:r>
      <w:r>
        <w:rPr>
          <w:rFonts w:hint="eastAsia" w:cs="Times New Roman"/>
          <w:color w:val="000000" w:themeColor="text1"/>
          <w:sz w:val="24"/>
          <w:highlight w:val="none"/>
          <w:u w:val="single"/>
          <w:lang w:eastAsia="zh-CN"/>
          <w14:textFill>
            <w14:solidFill>
              <w14:schemeClr w14:val="tx1"/>
            </w14:solidFill>
          </w14:textFill>
        </w:rPr>
        <w:t>江苏华溯工程项目管理有限公司</w:t>
      </w:r>
    </w:p>
    <w:p w14:paraId="726E0637">
      <w:pPr>
        <w:spacing w:line="360" w:lineRule="auto"/>
        <w:ind w:left="1076" w:hanging="297"/>
        <w:jc w:val="left"/>
        <w:rPr>
          <w:rFonts w:hint="eastAsia" w:eastAsia="宋体"/>
          <w:color w:val="000000" w:themeColor="text1"/>
          <w:sz w:val="24"/>
          <w:highlight w:val="none"/>
          <w:lang w:eastAsia="zh-CN"/>
          <w14:textFill>
            <w14:solidFill>
              <w14:schemeClr w14:val="tx1"/>
            </w14:solidFill>
          </w14:textFill>
        </w:rPr>
      </w:pPr>
      <w:r>
        <w:rPr>
          <w:color w:val="000000" w:themeColor="text1"/>
          <w:sz w:val="24"/>
          <w:highlight w:val="none"/>
          <w14:textFill>
            <w14:solidFill>
              <w14:schemeClr w14:val="tx1"/>
            </w14:solidFill>
          </w14:textFill>
        </w:rPr>
        <w:t>地    址：</w:t>
      </w:r>
      <w:r>
        <w:rPr>
          <w:rFonts w:hint="eastAsia"/>
          <w:color w:val="000000" w:themeColor="text1"/>
          <w:sz w:val="24"/>
          <w:highlight w:val="none"/>
          <w:u w:val="single"/>
          <w:lang w:eastAsia="zh-CN"/>
          <w14:textFill>
            <w14:solidFill>
              <w14:schemeClr w14:val="tx1"/>
            </w14:solidFill>
          </w14:textFill>
        </w:rPr>
        <w:t>常州市金坛区金胜东路19号</w:t>
      </w:r>
    </w:p>
    <w:p w14:paraId="2492471B">
      <w:pPr>
        <w:spacing w:line="360" w:lineRule="auto"/>
        <w:ind w:left="1076" w:hanging="297"/>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联系方式：</w:t>
      </w:r>
      <w:r>
        <w:rPr>
          <w:rFonts w:hint="eastAsia"/>
          <w:color w:val="000000" w:themeColor="text1"/>
          <w:sz w:val="24"/>
          <w:highlight w:val="none"/>
          <w:u w:val="single"/>
          <w:lang w:eastAsia="zh-CN"/>
          <w14:textFill>
            <w14:solidFill>
              <w14:schemeClr w14:val="tx1"/>
            </w14:solidFill>
          </w14:textFill>
        </w:rPr>
        <w:t>0519-82807908</w:t>
      </w:r>
    </w:p>
    <w:p w14:paraId="2390716F">
      <w:pPr>
        <w:spacing w:line="360" w:lineRule="auto"/>
        <w:ind w:left="1078" w:hanging="299"/>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3.项目联系方式</w:t>
      </w:r>
      <w:bookmarkEnd w:id="30"/>
      <w:bookmarkEnd w:id="31"/>
    </w:p>
    <w:p w14:paraId="40BD1CE4">
      <w:pPr>
        <w:pStyle w:val="222"/>
        <w:spacing w:line="360" w:lineRule="auto"/>
        <w:ind w:left="1076" w:hanging="297"/>
        <w:rPr>
          <w:rFonts w:ascii="Times New Roman" w:hAnsi="Times New Roman"/>
          <w:color w:val="000000" w:themeColor="text1"/>
          <w:sz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项目联系人：</w:t>
      </w:r>
      <w:r>
        <w:rPr>
          <w:rFonts w:hint="eastAsia" w:ascii="Times New Roman" w:hAnsi="Times New Roman"/>
          <w:color w:val="000000" w:themeColor="text1"/>
          <w:sz w:val="24"/>
          <w:szCs w:val="24"/>
          <w:highlight w:val="none"/>
          <w:u w:val="single"/>
          <w:lang w:eastAsia="zh-CN"/>
          <w14:textFill>
            <w14:solidFill>
              <w14:schemeClr w14:val="tx1"/>
            </w14:solidFill>
          </w14:textFill>
        </w:rPr>
        <w:t>刘女士</w:t>
      </w:r>
    </w:p>
    <w:p w14:paraId="0D3E294E">
      <w:pPr>
        <w:pStyle w:val="222"/>
        <w:spacing w:line="360" w:lineRule="auto"/>
        <w:ind w:left="1076" w:hanging="297"/>
        <w:jc w:val="both"/>
        <w:rPr>
          <w:rFonts w:hint="eastAsia"/>
          <w:color w:val="000000" w:themeColor="text1"/>
          <w:sz w:val="24"/>
          <w:highlight w:val="none"/>
          <w:u w:val="single"/>
          <w:lang w:eastAsia="zh-CN"/>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电      话：</w:t>
      </w:r>
      <w:r>
        <w:rPr>
          <w:rFonts w:hint="eastAsia"/>
          <w:color w:val="000000" w:themeColor="text1"/>
          <w:sz w:val="24"/>
          <w:highlight w:val="none"/>
          <w:u w:val="single"/>
          <w:lang w:eastAsia="zh-CN"/>
          <w14:textFill>
            <w14:solidFill>
              <w14:schemeClr w14:val="tx1"/>
            </w14:solidFill>
          </w14:textFill>
        </w:rPr>
        <w:t>0519-82807908</w:t>
      </w:r>
      <w:bookmarkStart w:id="32" w:name="_Toc104818926"/>
      <w:bookmarkStart w:id="33" w:name="_Toc305158854"/>
      <w:bookmarkStart w:id="34" w:name="_Toc150774783"/>
      <w:bookmarkStart w:id="35" w:name="_Toc226965856"/>
      <w:bookmarkStart w:id="36" w:name="_Toc512937850"/>
      <w:bookmarkStart w:id="37" w:name="_Toc127151777"/>
      <w:bookmarkStart w:id="38" w:name="_Toc264969275"/>
      <w:bookmarkStart w:id="39" w:name="_Toc265228423"/>
      <w:bookmarkStart w:id="40" w:name="_Toc195842950"/>
      <w:bookmarkStart w:id="41" w:name="_Toc305158928"/>
      <w:bookmarkStart w:id="42" w:name="_Toc353825548"/>
      <w:bookmarkStart w:id="43" w:name="_Toc127161488"/>
      <w:bookmarkStart w:id="44" w:name="_Toc353873938"/>
    </w:p>
    <w:p w14:paraId="115B7E05">
      <w:pPr>
        <w:pStyle w:val="222"/>
        <w:spacing w:line="360" w:lineRule="auto"/>
        <w:ind w:left="1048" w:leftChars="499" w:firstLine="2367" w:firstLineChars="655"/>
        <w:jc w:val="both"/>
        <w:rPr>
          <w:b/>
          <w:color w:val="000000" w:themeColor="text1"/>
          <w:sz w:val="36"/>
          <w:szCs w:val="36"/>
          <w:highlight w:val="none"/>
          <w14:textFill>
            <w14:solidFill>
              <w14:schemeClr w14:val="tx1"/>
            </w14:solidFill>
          </w14:textFill>
        </w:rPr>
      </w:pPr>
    </w:p>
    <w:p w14:paraId="1A331C8F">
      <w:pPr>
        <w:pStyle w:val="222"/>
        <w:spacing w:line="360" w:lineRule="auto"/>
        <w:ind w:left="1048" w:leftChars="499" w:firstLine="2367" w:firstLineChars="655"/>
        <w:jc w:val="both"/>
        <w:rPr>
          <w:b/>
          <w:color w:val="000000" w:themeColor="text1"/>
          <w:sz w:val="36"/>
          <w:szCs w:val="36"/>
          <w:highlight w:val="none"/>
          <w14:textFill>
            <w14:solidFill>
              <w14:schemeClr w14:val="tx1"/>
            </w14:solidFill>
          </w14:textFill>
        </w:rPr>
      </w:pPr>
    </w:p>
    <w:p w14:paraId="6D3A0024">
      <w:pPr>
        <w:pStyle w:val="222"/>
        <w:spacing w:line="360" w:lineRule="auto"/>
        <w:ind w:left="1048" w:leftChars="499" w:firstLine="2367" w:firstLineChars="655"/>
        <w:jc w:val="both"/>
        <w:rPr>
          <w:b/>
          <w:color w:val="000000" w:themeColor="text1"/>
          <w:sz w:val="32"/>
          <w:szCs w:val="32"/>
          <w:highlight w:val="none"/>
          <w14:textFill>
            <w14:solidFill>
              <w14:schemeClr w14:val="tx1"/>
            </w14:solidFill>
          </w14:textFill>
        </w:rPr>
      </w:pPr>
      <w:r>
        <w:rPr>
          <w:b/>
          <w:color w:val="000000" w:themeColor="text1"/>
          <w:sz w:val="36"/>
          <w:szCs w:val="36"/>
          <w:highlight w:val="none"/>
          <w14:textFill>
            <w14:solidFill>
              <w14:schemeClr w14:val="tx1"/>
            </w14:solidFill>
          </w14:textFill>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14:paraId="4CCB4C21">
      <w:pPr>
        <w:pStyle w:val="185"/>
        <w:tabs>
          <w:tab w:val="center" w:pos="4592"/>
          <w:tab w:val="left" w:pos="7860"/>
        </w:tabs>
        <w:spacing w:before="0" w:line="360" w:lineRule="auto"/>
        <w:rPr>
          <w:rFonts w:ascii="Times New Roman" w:hAnsi="Times New Roman" w:eastAsia="宋体"/>
          <w:b w:val="0"/>
          <w:color w:val="000000" w:themeColor="text1"/>
          <w:sz w:val="28"/>
          <w:highlight w:val="none"/>
          <w14:textFill>
            <w14:solidFill>
              <w14:schemeClr w14:val="tx1"/>
            </w14:solidFill>
          </w14:textFill>
        </w:rPr>
      </w:pPr>
      <w:bookmarkStart w:id="45" w:name="_Toc151193689"/>
      <w:bookmarkStart w:id="46" w:name="_Toc195842884"/>
      <w:bookmarkStart w:id="47" w:name="_Toc226337215"/>
      <w:bookmarkStart w:id="48" w:name="_Toc151193761"/>
      <w:bookmarkStart w:id="49" w:name="_Toc226965792"/>
      <w:bookmarkStart w:id="50" w:name="_Toc151193907"/>
      <w:bookmarkStart w:id="51" w:name="_Toc142311021"/>
      <w:bookmarkStart w:id="52" w:name="_Toc226965709"/>
      <w:bookmarkStart w:id="53" w:name="_Toc150774619"/>
      <w:bookmarkStart w:id="54" w:name="_Toc149720812"/>
      <w:bookmarkStart w:id="55" w:name="_Toc151190146"/>
      <w:bookmarkStart w:id="56" w:name="_Toc127151519"/>
      <w:bookmarkStart w:id="57" w:name="_Toc164608788"/>
      <w:bookmarkStart w:id="58" w:name="_Toc164229214"/>
      <w:bookmarkStart w:id="59" w:name="_Toc151193617"/>
      <w:bookmarkStart w:id="60" w:name="_Toc150509270"/>
      <w:bookmarkStart w:id="61" w:name="_Toc164229360"/>
      <w:bookmarkStart w:id="62" w:name="_Toc150774724"/>
      <w:bookmarkStart w:id="63" w:name="_Toc151193833"/>
      <w:bookmarkStart w:id="64" w:name="_Toc150480757"/>
      <w:bookmarkStart w:id="65" w:name="_Toc127161433"/>
      <w:bookmarkStart w:id="66" w:name="_Toc127151720"/>
      <w:bookmarkStart w:id="67" w:name="_Toc164351613"/>
      <w:bookmarkStart w:id="68" w:name="_Toc520356144"/>
      <w:bookmarkStart w:id="69" w:name="_Toc164608633"/>
      <w:bookmarkStart w:id="70" w:name="_Toc226309763"/>
      <w:r>
        <w:rPr>
          <w:rFonts w:ascii="Times New Roman" w:hAnsi="Times New Roman" w:eastAsia="宋体"/>
          <w:color w:val="000000" w:themeColor="text1"/>
          <w:sz w:val="28"/>
          <w:highlight w:val="none"/>
          <w14:textFill>
            <w14:solidFill>
              <w14:schemeClr w14:val="tx1"/>
            </w14:solidFill>
          </w14:textFill>
        </w:rPr>
        <w:t>供应商须知资料表</w:t>
      </w:r>
    </w:p>
    <w:p w14:paraId="79433D51">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本表是对供应商须知的具体补充和修改，如有矛盾，均以本资料表为准。标记“</w:t>
      </w:r>
      <w:r>
        <w:rPr>
          <w:b/>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”的选项意为适用于本项目，标记“</w:t>
      </w:r>
      <w:r>
        <w:rPr>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”的选项意为不适用于本项目。</w:t>
      </w:r>
    </w:p>
    <w:tbl>
      <w:tblPr>
        <w:tblStyle w:val="2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30EF4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11776722">
            <w:pPr>
              <w:jc w:val="center"/>
              <w:rPr>
                <w:b/>
                <w:bCs/>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条款号</w:t>
            </w:r>
          </w:p>
        </w:tc>
        <w:tc>
          <w:tcPr>
            <w:tcW w:w="1701" w:type="dxa"/>
            <w:noWrap w:val="0"/>
            <w:vAlign w:val="center"/>
          </w:tcPr>
          <w:p w14:paraId="58A2C90E">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条目</w:t>
            </w:r>
          </w:p>
        </w:tc>
        <w:tc>
          <w:tcPr>
            <w:tcW w:w="7253" w:type="dxa"/>
            <w:noWrap w:val="0"/>
            <w:vAlign w:val="center"/>
          </w:tcPr>
          <w:p w14:paraId="2F636015">
            <w:pPr>
              <w:jc w:val="center"/>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内容</w:t>
            </w:r>
          </w:p>
        </w:tc>
      </w:tr>
      <w:tr w14:paraId="6226F3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988" w:type="dxa"/>
            <w:noWrap w:val="0"/>
            <w:vAlign w:val="center"/>
          </w:tcPr>
          <w:p w14:paraId="045E119C">
            <w:pPr>
              <w:pStyle w:val="222"/>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w:t>
            </w:r>
          </w:p>
        </w:tc>
        <w:tc>
          <w:tcPr>
            <w:tcW w:w="1701" w:type="dxa"/>
            <w:noWrap w:val="0"/>
            <w:vAlign w:val="center"/>
          </w:tcPr>
          <w:p w14:paraId="073B1A6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w:t>
            </w:r>
          </w:p>
        </w:tc>
        <w:tc>
          <w:tcPr>
            <w:tcW w:w="7253" w:type="dxa"/>
            <w:noWrap w:val="0"/>
            <w:vAlign w:val="center"/>
          </w:tcPr>
          <w:p w14:paraId="2E5F0B26">
            <w:pPr>
              <w:jc w:val="left"/>
              <w:rPr>
                <w:rFonts w:hint="eastAsia" w:eastAsia="宋体"/>
                <w:color w:val="000000" w:themeColor="text1"/>
                <w:sz w:val="24"/>
                <w:highlight w:val="none"/>
                <w:u w:val="single"/>
                <w:lang w:eastAsia="zh-CN"/>
                <w14:textFill>
                  <w14:solidFill>
                    <w14:schemeClr w14:val="tx1"/>
                  </w14:solidFill>
                </w14:textFill>
              </w:rPr>
            </w:pPr>
            <w:r>
              <w:rPr>
                <w:color w:val="000000" w:themeColor="text1"/>
                <w:sz w:val="24"/>
                <w:highlight w:val="none"/>
                <w14:textFill>
                  <w14:solidFill>
                    <w14:schemeClr w14:val="tx1"/>
                  </w14:solidFill>
                </w14:textFill>
              </w:rPr>
              <w:t>项目属性：</w:t>
            </w:r>
            <w:r>
              <w:rPr>
                <w:rFonts w:hint="eastAsia"/>
                <w:color w:val="000000" w:themeColor="text1"/>
                <w:highlight w:val="none"/>
                <w:lang w:eastAsia="zh-CN"/>
                <w14:textFill>
                  <w14:solidFill>
                    <w14:schemeClr w14:val="tx1"/>
                  </w14:solidFill>
                </w14:textFill>
              </w:rPr>
              <w:t>☑</w:t>
            </w:r>
            <w:r>
              <w:rPr>
                <w:rFonts w:hint="eastAsia"/>
                <w:color w:val="000000" w:themeColor="text1"/>
                <w:sz w:val="24"/>
                <w:highlight w:val="none"/>
                <w:lang w:eastAsia="zh-CN"/>
                <w14:textFill>
                  <w14:solidFill>
                    <w14:schemeClr w14:val="tx1"/>
                  </w14:solidFill>
                </w14:textFill>
              </w:rPr>
              <w:t>工程</w:t>
            </w:r>
          </w:p>
        </w:tc>
      </w:tr>
      <w:tr w14:paraId="00CDD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88" w:type="dxa"/>
            <w:vMerge w:val="restart"/>
            <w:noWrap w:val="0"/>
            <w:vAlign w:val="center"/>
          </w:tcPr>
          <w:p w14:paraId="6154E667">
            <w:pPr>
              <w:pStyle w:val="222"/>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2</w:t>
            </w:r>
          </w:p>
        </w:tc>
        <w:tc>
          <w:tcPr>
            <w:tcW w:w="1701" w:type="dxa"/>
            <w:noWrap w:val="0"/>
            <w:vAlign w:val="center"/>
          </w:tcPr>
          <w:p w14:paraId="0D93F95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w:t>
            </w:r>
          </w:p>
        </w:tc>
        <w:tc>
          <w:tcPr>
            <w:tcW w:w="7253" w:type="dxa"/>
            <w:noWrap w:val="0"/>
            <w:vAlign w:val="center"/>
          </w:tcPr>
          <w:p w14:paraId="5F6DC3FA">
            <w:pPr>
              <w:jc w:val="left"/>
              <w:rPr>
                <w:rFonts w:ascii="Times New Roman" w:hAnsi="Times New Roman"/>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不组织</w:t>
            </w:r>
          </w:p>
        </w:tc>
      </w:tr>
      <w:tr w14:paraId="23AD3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988" w:type="dxa"/>
            <w:vMerge w:val="continue"/>
            <w:noWrap w:val="0"/>
            <w:vAlign w:val="center"/>
          </w:tcPr>
          <w:p w14:paraId="7A37DF00">
            <w:pPr>
              <w:pStyle w:val="222"/>
              <w:jc w:val="center"/>
              <w:rPr>
                <w:rFonts w:ascii="Times New Roman" w:hAnsi="Times New Roman"/>
                <w:color w:val="000000"/>
                <w:sz w:val="24"/>
                <w:szCs w:val="24"/>
                <w:highlight w:val="none"/>
              </w:rPr>
            </w:pPr>
          </w:p>
        </w:tc>
        <w:tc>
          <w:tcPr>
            <w:tcW w:w="1701" w:type="dxa"/>
            <w:noWrap w:val="0"/>
            <w:vAlign w:val="center"/>
          </w:tcPr>
          <w:p w14:paraId="66153F8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磋商前答疑会</w:t>
            </w:r>
          </w:p>
        </w:tc>
        <w:tc>
          <w:tcPr>
            <w:tcW w:w="7253" w:type="dxa"/>
            <w:noWrap w:val="0"/>
            <w:vAlign w:val="center"/>
          </w:tcPr>
          <w:p w14:paraId="51D619F2">
            <w:pPr>
              <w:jc w:val="left"/>
              <w:rPr>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不召开</w:t>
            </w:r>
          </w:p>
        </w:tc>
      </w:tr>
      <w:tr w14:paraId="430EC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988" w:type="dxa"/>
            <w:noWrap w:val="0"/>
            <w:vAlign w:val="center"/>
          </w:tcPr>
          <w:p w14:paraId="4A0AD9B8">
            <w:pPr>
              <w:pStyle w:val="222"/>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3</w:t>
            </w:r>
          </w:p>
        </w:tc>
        <w:tc>
          <w:tcPr>
            <w:tcW w:w="1701" w:type="dxa"/>
            <w:noWrap w:val="0"/>
            <w:vAlign w:val="center"/>
          </w:tcPr>
          <w:p w14:paraId="2E8BB56E">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标的所属行业</w:t>
            </w:r>
          </w:p>
        </w:tc>
        <w:tc>
          <w:tcPr>
            <w:tcW w:w="7253" w:type="dxa"/>
            <w:noWrap w:val="0"/>
            <w:vAlign w:val="center"/>
          </w:tcPr>
          <w:p w14:paraId="43BDC090">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本项目采购标的对应的中小企业划分标准所属行业：</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lang w:val="en-US" w:eastAsia="zh-CN"/>
                <w14:textFill>
                  <w14:solidFill>
                    <w14:schemeClr w14:val="tx1"/>
                  </w14:solidFill>
                </w14:textFill>
              </w:rPr>
              <w:t>建筑业</w:t>
            </w:r>
            <w:r>
              <w:rPr>
                <w:rFonts w:hint="eastAsia"/>
                <w:color w:val="000000" w:themeColor="text1"/>
                <w:sz w:val="24"/>
                <w:highlight w:val="none"/>
                <w:u w:val="single"/>
                <w14:textFill>
                  <w14:solidFill>
                    <w14:schemeClr w14:val="tx1"/>
                  </w14:solidFill>
                </w14:textFill>
              </w:rPr>
              <w:t>。</w:t>
            </w:r>
          </w:p>
        </w:tc>
      </w:tr>
      <w:tr w14:paraId="6651B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5626BED0">
            <w:pPr>
              <w:pStyle w:val="222"/>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4</w:t>
            </w:r>
          </w:p>
        </w:tc>
        <w:tc>
          <w:tcPr>
            <w:tcW w:w="1701" w:type="dxa"/>
            <w:noWrap w:val="0"/>
            <w:vAlign w:val="center"/>
          </w:tcPr>
          <w:p w14:paraId="6C831177">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w:t>
            </w:r>
          </w:p>
        </w:tc>
        <w:tc>
          <w:tcPr>
            <w:tcW w:w="7253" w:type="dxa"/>
            <w:noWrap w:val="0"/>
            <w:vAlign w:val="center"/>
          </w:tcPr>
          <w:p w14:paraId="5AAEF78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报价的特殊规定：</w:t>
            </w:r>
          </w:p>
          <w:p w14:paraId="32D88E06">
            <w:pPr>
              <w:jc w:val="left"/>
              <w:rPr>
                <w:rFonts w:eastAsia="宋体"/>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有，具体情形：</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本项目采用二轮报价，响应文件中书面报价为首轮报价（首轮不唱标），第二轮报价不得</w:t>
            </w:r>
            <w:r>
              <w:rPr>
                <w:rFonts w:hint="eastAsia" w:cs="Times New Roman"/>
                <w:color w:val="000000" w:themeColor="text1"/>
                <w:sz w:val="24"/>
                <w:highlight w:val="none"/>
                <w:u w:val="single"/>
                <w:lang w:val="en-US" w:eastAsia="zh-CN"/>
                <w14:textFill>
                  <w14:solidFill>
                    <w14:schemeClr w14:val="tx1"/>
                  </w14:solidFill>
                </w14:textFill>
              </w:rPr>
              <w:t>低于</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首轮报价，第二轮报价即为最终报价；否则作无效报价文件处理。</w:t>
            </w:r>
          </w:p>
        </w:tc>
      </w:tr>
      <w:tr w14:paraId="780B4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988" w:type="dxa"/>
            <w:noWrap w:val="0"/>
            <w:vAlign w:val="center"/>
          </w:tcPr>
          <w:p w14:paraId="5521E3BE">
            <w:pPr>
              <w:pStyle w:val="222"/>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5</w:t>
            </w:r>
          </w:p>
        </w:tc>
        <w:tc>
          <w:tcPr>
            <w:tcW w:w="1701" w:type="dxa"/>
            <w:noWrap w:val="0"/>
            <w:vAlign w:val="center"/>
          </w:tcPr>
          <w:p w14:paraId="3F12850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tc>
        <w:tc>
          <w:tcPr>
            <w:tcW w:w="7253" w:type="dxa"/>
            <w:noWrap w:val="0"/>
            <w:vAlign w:val="center"/>
          </w:tcPr>
          <w:p w14:paraId="32D94767">
            <w:pPr>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免收</w:t>
            </w:r>
          </w:p>
        </w:tc>
      </w:tr>
      <w:tr w14:paraId="6D482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DC01C08">
            <w:pPr>
              <w:pStyle w:val="222"/>
              <w:jc w:val="center"/>
              <w:rPr>
                <w:rFonts w:hint="eastAsia" w:ascii="Times New Roman" w:hAnsi="Times New Roman" w:eastAsia="宋体"/>
                <w:color w:val="0000FF"/>
                <w:sz w:val="24"/>
                <w:szCs w:val="24"/>
                <w:highlight w:val="none"/>
              </w:rPr>
            </w:pPr>
            <w:r>
              <w:rPr>
                <w:rFonts w:hint="eastAsia" w:ascii="Times New Roman" w:hAnsi="Times New Roman"/>
                <w:color w:val="0000FF"/>
                <w:sz w:val="24"/>
                <w:szCs w:val="24"/>
                <w:highlight w:val="none"/>
                <w:lang w:val="en-US" w:eastAsia="zh-CN"/>
              </w:rPr>
              <w:t>6</w:t>
            </w:r>
          </w:p>
        </w:tc>
        <w:tc>
          <w:tcPr>
            <w:tcW w:w="1701" w:type="dxa"/>
            <w:noWrap w:val="0"/>
            <w:vAlign w:val="center"/>
          </w:tcPr>
          <w:p w14:paraId="29103914">
            <w:pPr>
              <w:jc w:val="center"/>
              <w:rPr>
                <w:rFonts w:hint="eastAsia" w:eastAsia="宋体"/>
                <w:color w:val="0000FF"/>
                <w:sz w:val="24"/>
                <w:highlight w:val="none"/>
              </w:rPr>
            </w:pPr>
            <w:r>
              <w:rPr>
                <w:rFonts w:hint="eastAsia"/>
                <w:color w:val="0000FF"/>
                <w:sz w:val="24"/>
                <w:highlight w:val="none"/>
                <w:lang w:eastAsia="zh-CN"/>
              </w:rPr>
              <w:t>履约保证金</w:t>
            </w:r>
          </w:p>
        </w:tc>
        <w:tc>
          <w:tcPr>
            <w:tcW w:w="7253" w:type="dxa"/>
            <w:noWrap w:val="0"/>
            <w:vAlign w:val="center"/>
          </w:tcPr>
          <w:p w14:paraId="1D0821BE">
            <w:pPr>
              <w:jc w:val="left"/>
              <w:rPr>
                <w:rFonts w:hint="eastAsia"/>
                <w:color w:val="0000FF"/>
                <w:sz w:val="24"/>
                <w:highlight w:val="none"/>
              </w:rPr>
            </w:pPr>
            <w:r>
              <w:rPr>
                <w:rFonts w:hint="eastAsia"/>
                <w:color w:val="0000FF"/>
                <w:sz w:val="24"/>
                <w:highlight w:val="none"/>
              </w:rPr>
              <w:t>本项目履约保证金</w:t>
            </w:r>
            <w:r>
              <w:rPr>
                <w:rFonts w:hint="eastAsia"/>
                <w:color w:val="0000FF"/>
                <w:sz w:val="24"/>
                <w:highlight w:val="none"/>
                <w:lang w:eastAsia="zh-CN"/>
              </w:rPr>
              <w:t>为</w:t>
            </w:r>
            <w:r>
              <w:rPr>
                <w:rFonts w:hint="eastAsia"/>
                <w:color w:val="0000FF"/>
                <w:sz w:val="24"/>
                <w:highlight w:val="none"/>
                <w:u w:val="single"/>
                <w:lang w:val="en-US" w:eastAsia="zh-CN"/>
              </w:rPr>
              <w:t>312万元*</w:t>
            </w:r>
            <w:r>
              <w:rPr>
                <w:rFonts w:hint="eastAsia"/>
                <w:color w:val="0000FF"/>
                <w:sz w:val="24"/>
                <w:highlight w:val="none"/>
                <w:u w:val="single"/>
              </w:rPr>
              <w:t>5%</w:t>
            </w:r>
            <w:r>
              <w:rPr>
                <w:rFonts w:hint="eastAsia"/>
                <w:color w:val="0000FF"/>
                <w:sz w:val="24"/>
                <w:highlight w:val="none"/>
              </w:rPr>
              <w:t>（中标供应商自主选择以支票、汇票、本票、保函</w:t>
            </w:r>
            <w:r>
              <w:rPr>
                <w:rFonts w:hint="eastAsia"/>
                <w:color w:val="0000FF"/>
                <w:sz w:val="24"/>
                <w:highlight w:val="none"/>
                <w:lang w:eastAsia="zh-CN"/>
              </w:rPr>
              <w:t>、</w:t>
            </w:r>
            <w:r>
              <w:rPr>
                <w:rFonts w:hint="eastAsia"/>
                <w:color w:val="0000FF"/>
                <w:sz w:val="24"/>
                <w:highlight w:val="none"/>
                <w:lang w:val="en-US" w:eastAsia="zh-CN"/>
              </w:rPr>
              <w:t>转账</w:t>
            </w:r>
            <w:r>
              <w:rPr>
                <w:rFonts w:hint="eastAsia"/>
                <w:color w:val="0000FF"/>
                <w:sz w:val="24"/>
                <w:highlight w:val="none"/>
              </w:rPr>
              <w:t>等非现金形式缴纳或递交），采购人将在终验完毕后返还中标供应商履约保证金。</w:t>
            </w:r>
          </w:p>
        </w:tc>
      </w:tr>
      <w:tr w14:paraId="790CD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4704ADF">
            <w:pPr>
              <w:pStyle w:val="222"/>
              <w:jc w:val="center"/>
              <w:rPr>
                <w:rFonts w:hint="eastAsia"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7</w:t>
            </w:r>
          </w:p>
        </w:tc>
        <w:tc>
          <w:tcPr>
            <w:tcW w:w="1701" w:type="dxa"/>
            <w:noWrap w:val="0"/>
            <w:vAlign w:val="center"/>
          </w:tcPr>
          <w:p w14:paraId="78EAAE4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7253" w:type="dxa"/>
            <w:noWrap w:val="0"/>
            <w:vAlign w:val="center"/>
          </w:tcPr>
          <w:p w14:paraId="1E3F28E4">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自提交响应文件的截止之日起算</w:t>
            </w:r>
            <w:r>
              <w:rPr>
                <w:rFonts w:hint="eastAsia"/>
                <w:color w:val="000000" w:themeColor="text1"/>
                <w:sz w:val="24"/>
                <w:highlight w:val="none"/>
                <w:u w:val="single"/>
                <w14:textFill>
                  <w14:solidFill>
                    <w14:schemeClr w14:val="tx1"/>
                  </w14:solidFill>
                </w14:textFill>
              </w:rPr>
              <w:t xml:space="preserve"> 60 </w:t>
            </w:r>
            <w:r>
              <w:rPr>
                <w:color w:val="000000" w:themeColor="text1"/>
                <w:sz w:val="24"/>
                <w:highlight w:val="none"/>
                <w14:textFill>
                  <w14:solidFill>
                    <w14:schemeClr w14:val="tx1"/>
                  </w14:solidFill>
                </w14:textFill>
              </w:rPr>
              <w:t>日历天。</w:t>
            </w:r>
          </w:p>
        </w:tc>
      </w:tr>
      <w:tr w14:paraId="6064D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5E05F19">
            <w:pPr>
              <w:pStyle w:val="222"/>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8</w:t>
            </w:r>
          </w:p>
        </w:tc>
        <w:tc>
          <w:tcPr>
            <w:tcW w:w="1701" w:type="dxa"/>
            <w:noWrap w:val="0"/>
            <w:vAlign w:val="center"/>
          </w:tcPr>
          <w:p w14:paraId="6F3E5DDC">
            <w:pPr>
              <w:jc w:val="center"/>
              <w:rPr>
                <w:rFonts w:hint="eastAsia"/>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份数</w:t>
            </w:r>
          </w:p>
        </w:tc>
        <w:tc>
          <w:tcPr>
            <w:tcW w:w="7253" w:type="dxa"/>
            <w:noWrap w:val="0"/>
            <w:vAlign w:val="center"/>
          </w:tcPr>
          <w:p w14:paraId="3C2A4BC4">
            <w:pPr>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无需提供纸质</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响应文件</w:t>
            </w:r>
            <w:r>
              <w:rPr>
                <w:rFonts w:hint="eastAsia" w:ascii="Times New Roman" w:hAnsi="Times New Roman" w:eastAsia="宋体" w:cs="Times New Roman"/>
                <w:color w:val="000000" w:themeColor="text1"/>
                <w:sz w:val="24"/>
                <w:highlight w:val="none"/>
                <w14:textFill>
                  <w14:solidFill>
                    <w14:schemeClr w14:val="tx1"/>
                  </w14:solidFill>
                </w14:textFill>
              </w:rPr>
              <w:t>。</w:t>
            </w:r>
          </w:p>
          <w:p w14:paraId="524064FF">
            <w:pPr>
              <w:jc w:val="left"/>
              <w:rPr>
                <w:rFonts w:hint="eastAsia"/>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lang w:eastAsia="zh-CN"/>
                <w14:textFill>
                  <w14:solidFill>
                    <w14:schemeClr w14:val="tx1"/>
                  </w14:solidFill>
                </w14:textFill>
              </w:rPr>
              <w:t>中标供应商</w:t>
            </w:r>
            <w:r>
              <w:rPr>
                <w:rFonts w:hint="eastAsia" w:ascii="Times New Roman" w:hAnsi="Times New Roman" w:eastAsia="宋体" w:cs="Times New Roman"/>
                <w:color w:val="000000" w:themeColor="text1"/>
                <w:sz w:val="24"/>
                <w:highlight w:val="none"/>
                <w14:textFill>
                  <w14:solidFill>
                    <w14:schemeClr w14:val="tx1"/>
                  </w14:solidFill>
                </w14:textFill>
              </w:rPr>
              <w:t>在领取中标通知书前须向</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采购人</w:t>
            </w:r>
            <w:r>
              <w:rPr>
                <w:rFonts w:hint="eastAsia" w:ascii="Times New Roman" w:hAnsi="Times New Roman" w:eastAsia="宋体" w:cs="Times New Roman"/>
                <w:color w:val="000000" w:themeColor="text1"/>
                <w:sz w:val="24"/>
                <w:highlight w:val="none"/>
                <w14:textFill>
                  <w14:solidFill>
                    <w14:schemeClr w14:val="tx1"/>
                  </w14:solidFill>
                </w14:textFill>
              </w:rPr>
              <w:t>额外提供从电子化招投标系统打印出的与投标所报电子文件一致的纸质投标书</w:t>
            </w:r>
            <w:r>
              <w:rPr>
                <w:rFonts w:hint="eastAsia" w:ascii="Times New Roman" w:hAnsi="Times New Roman" w:eastAsia="宋体" w:cs="Times New Roman"/>
                <w:color w:val="000000" w:themeColor="text1"/>
                <w:sz w:val="24"/>
                <w:highlight w:val="none"/>
                <w:u w:val="single"/>
                <w:lang w:val="en-US" w:eastAsia="zh-CN"/>
                <w14:textFill>
                  <w14:solidFill>
                    <w14:schemeClr w14:val="tx1"/>
                  </w14:solidFill>
                </w14:textFill>
              </w:rPr>
              <w:t xml:space="preserve">  3  </w:t>
            </w:r>
            <w:r>
              <w:rPr>
                <w:rFonts w:hint="eastAsia" w:ascii="Times New Roman" w:hAnsi="Times New Roman" w:eastAsia="宋体" w:cs="Times New Roman"/>
                <w:color w:val="000000" w:themeColor="text1"/>
                <w:sz w:val="24"/>
                <w:highlight w:val="none"/>
                <w14:textFill>
                  <w14:solidFill>
                    <w14:schemeClr w14:val="tx1"/>
                  </w14:solidFill>
                </w14:textFill>
              </w:rPr>
              <w:t>份，并按要求签字盖章。</w:t>
            </w:r>
          </w:p>
        </w:tc>
      </w:tr>
      <w:tr w14:paraId="06DB2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EC25BEF">
            <w:pPr>
              <w:pStyle w:val="222"/>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9</w:t>
            </w:r>
          </w:p>
        </w:tc>
        <w:tc>
          <w:tcPr>
            <w:tcW w:w="1701" w:type="dxa"/>
            <w:noWrap w:val="0"/>
            <w:vAlign w:val="center"/>
          </w:tcPr>
          <w:p w14:paraId="50B8AEF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w:t>
            </w:r>
          </w:p>
        </w:tc>
        <w:tc>
          <w:tcPr>
            <w:tcW w:w="7253" w:type="dxa"/>
            <w:noWrap w:val="0"/>
            <w:vAlign w:val="center"/>
          </w:tcPr>
          <w:p w14:paraId="656CDFAB">
            <w:pPr>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本项目是否允许分包： </w:t>
            </w:r>
            <w:r>
              <w:rPr>
                <w:rFonts w:hint="eastAsia"/>
                <w:color w:val="000000" w:themeColor="text1"/>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不允许</w:t>
            </w:r>
          </w:p>
        </w:tc>
      </w:tr>
      <w:tr w14:paraId="6F72B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41ACF82">
            <w:pPr>
              <w:pStyle w:val="222"/>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10</w:t>
            </w:r>
          </w:p>
        </w:tc>
        <w:tc>
          <w:tcPr>
            <w:tcW w:w="1701" w:type="dxa"/>
            <w:noWrap w:val="0"/>
            <w:vAlign w:val="center"/>
          </w:tcPr>
          <w:p w14:paraId="449CF52F">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tc>
        <w:tc>
          <w:tcPr>
            <w:tcW w:w="7253" w:type="dxa"/>
            <w:noWrap w:val="0"/>
            <w:vAlign w:val="center"/>
          </w:tcPr>
          <w:p w14:paraId="4E23E408">
            <w:pPr>
              <w:jc w:val="left"/>
              <w:rPr>
                <w:rFonts w:hint="eastAsia" w:eastAsia="宋体"/>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询问送达形式：</w:t>
            </w:r>
            <w:r>
              <w:rPr>
                <w:rFonts w:hint="eastAsia"/>
                <w:color w:val="000000" w:themeColor="text1"/>
                <w:sz w:val="24"/>
                <w:highlight w:val="none"/>
                <w:u w:val="single"/>
                <w14:textFill>
                  <w14:solidFill>
                    <w14:schemeClr w14:val="tx1"/>
                  </w14:solidFill>
                </w14:textFill>
              </w:rPr>
              <w:t>书面</w:t>
            </w:r>
            <w:r>
              <w:rPr>
                <w:rFonts w:hint="eastAsia"/>
                <w:color w:val="000000" w:themeColor="text1"/>
                <w:sz w:val="24"/>
                <w:highlight w:val="none"/>
                <w:u w:val="single"/>
                <w:lang w:val="en-US" w:eastAsia="zh-CN"/>
                <w14:textFill>
                  <w14:solidFill>
                    <w14:schemeClr w14:val="tx1"/>
                  </w14:solidFill>
                </w14:textFill>
              </w:rPr>
              <w:t>形式</w:t>
            </w:r>
          </w:p>
        </w:tc>
      </w:tr>
      <w:tr w14:paraId="105F08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DD93719">
            <w:pPr>
              <w:pStyle w:val="222"/>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11</w:t>
            </w:r>
          </w:p>
        </w:tc>
        <w:tc>
          <w:tcPr>
            <w:tcW w:w="1701" w:type="dxa"/>
            <w:noWrap w:val="0"/>
            <w:vAlign w:val="center"/>
          </w:tcPr>
          <w:p w14:paraId="77A39178">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联系方式</w:t>
            </w:r>
          </w:p>
        </w:tc>
        <w:tc>
          <w:tcPr>
            <w:tcW w:w="7253" w:type="dxa"/>
            <w:noWrap w:val="0"/>
            <w:vAlign w:val="center"/>
          </w:tcPr>
          <w:p w14:paraId="1DACB1C0">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接收询问和质疑的联系方式</w:t>
            </w:r>
          </w:p>
          <w:p w14:paraId="593D580E">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联系部门：</w:t>
            </w:r>
            <w:r>
              <w:rPr>
                <w:rFonts w:hint="eastAsia" w:cs="Times New Roman"/>
                <w:color w:val="000000" w:themeColor="text1"/>
                <w:sz w:val="24"/>
                <w:highlight w:val="none"/>
                <w:u w:val="single"/>
                <w:lang w:eastAsia="zh-CN"/>
                <w14:textFill>
                  <w14:solidFill>
                    <w14:schemeClr w14:val="tx1"/>
                  </w14:solidFill>
                </w14:textFill>
              </w:rPr>
              <w:t>江苏华溯工程项目管理有限公司</w:t>
            </w:r>
            <w:r>
              <w:rPr>
                <w:rFonts w:hint="eastAsia" w:ascii="Times New Roman" w:hAnsi="Times New Roman" w:eastAsia="宋体" w:cs="Times New Roman"/>
                <w:color w:val="000000" w:themeColor="text1"/>
                <w:sz w:val="24"/>
                <w:highlight w:val="none"/>
                <w:u w:val="single"/>
                <w:lang w:eastAsia="zh-CN"/>
                <w14:textFill>
                  <w14:solidFill>
                    <w14:schemeClr w14:val="tx1"/>
                  </w14:solidFill>
                </w14:textFill>
              </w:rPr>
              <w:t>；</w:t>
            </w:r>
          </w:p>
          <w:p w14:paraId="662E7807">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联系电话：</w:t>
            </w:r>
            <w:r>
              <w:rPr>
                <w:rFonts w:hint="eastAsia"/>
                <w:color w:val="000000" w:themeColor="text1"/>
                <w:sz w:val="24"/>
                <w:highlight w:val="none"/>
                <w:u w:val="single"/>
                <w:lang w:val="en-US" w:eastAsia="zh-CN"/>
                <w14:textFill>
                  <w14:solidFill>
                    <w14:schemeClr w14:val="tx1"/>
                  </w14:solidFill>
                </w14:textFill>
              </w:rPr>
              <w:t>0519-82807908</w:t>
            </w:r>
            <w:r>
              <w:rPr>
                <w:color w:val="000000" w:themeColor="text1"/>
                <w:sz w:val="24"/>
                <w:highlight w:val="none"/>
                <w14:textFill>
                  <w14:solidFill>
                    <w14:schemeClr w14:val="tx1"/>
                  </w14:solidFill>
                </w14:textFill>
              </w:rPr>
              <w:t>；</w:t>
            </w:r>
          </w:p>
          <w:p w14:paraId="0D50E1EF">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通讯地址：</w:t>
            </w:r>
            <w:r>
              <w:rPr>
                <w:rFonts w:hint="eastAsia"/>
                <w:color w:val="000000" w:themeColor="text1"/>
                <w:sz w:val="24"/>
                <w:highlight w:val="none"/>
                <w:u w:val="single"/>
                <w14:textFill>
                  <w14:solidFill>
                    <w14:schemeClr w14:val="tx1"/>
                  </w14:solidFill>
                </w14:textFill>
              </w:rPr>
              <w:t>常州市</w:t>
            </w:r>
            <w:r>
              <w:rPr>
                <w:rFonts w:hint="eastAsia"/>
                <w:color w:val="000000" w:themeColor="text1"/>
                <w:sz w:val="24"/>
                <w:highlight w:val="none"/>
                <w:u w:val="single"/>
                <w:lang w:val="en-US" w:eastAsia="zh-CN"/>
                <w14:textFill>
                  <w14:solidFill>
                    <w14:schemeClr w14:val="tx1"/>
                  </w14:solidFill>
                </w14:textFill>
              </w:rPr>
              <w:t>金坛区金胜东路19号</w:t>
            </w:r>
            <w:r>
              <w:rPr>
                <w:rFonts w:hint="eastAsia"/>
                <w:color w:val="000000" w:themeColor="text1"/>
                <w:sz w:val="24"/>
                <w:highlight w:val="none"/>
                <w:u w:val="single"/>
                <w14:textFill>
                  <w14:solidFill>
                    <w14:schemeClr w14:val="tx1"/>
                  </w14:solidFill>
                </w14:textFill>
              </w:rPr>
              <w:t>3楼</w:t>
            </w:r>
            <w:r>
              <w:rPr>
                <w:color w:val="000000" w:themeColor="text1"/>
                <w:sz w:val="24"/>
                <w:highlight w:val="none"/>
                <w14:textFill>
                  <w14:solidFill>
                    <w14:schemeClr w14:val="tx1"/>
                  </w14:solidFill>
                </w14:textFill>
              </w:rPr>
              <w:t>。</w:t>
            </w:r>
          </w:p>
        </w:tc>
      </w:tr>
      <w:tr w14:paraId="523FA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E65CD6">
            <w:pPr>
              <w:pStyle w:val="222"/>
              <w:jc w:val="center"/>
              <w:rPr>
                <w:rFonts w:ascii="Times New Roman" w:hAnsi="Times New Roman" w:eastAsia="宋体"/>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val="en-US" w:eastAsia="zh-CN"/>
                <w14:textFill>
                  <w14:solidFill>
                    <w14:schemeClr w14:val="tx1"/>
                  </w14:solidFill>
                </w14:textFill>
              </w:rPr>
              <w:t>12</w:t>
            </w:r>
          </w:p>
        </w:tc>
        <w:tc>
          <w:tcPr>
            <w:tcW w:w="1701" w:type="dxa"/>
            <w:noWrap w:val="0"/>
            <w:vAlign w:val="center"/>
          </w:tcPr>
          <w:p w14:paraId="1ECFE4D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tc>
        <w:tc>
          <w:tcPr>
            <w:tcW w:w="7253" w:type="dxa"/>
            <w:noWrap w:val="0"/>
            <w:vAlign w:val="center"/>
          </w:tcPr>
          <w:p w14:paraId="02930462">
            <w:pPr>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采购人</w:t>
            </w:r>
            <w:r>
              <w:rPr>
                <w:rFonts w:hint="eastAsia"/>
                <w:color w:val="000000" w:themeColor="text1"/>
                <w:sz w:val="24"/>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成交供应商</w:t>
            </w:r>
          </w:p>
          <w:p w14:paraId="2605F829">
            <w:pPr>
              <w:jc w:val="left"/>
              <w:rPr>
                <w:color w:val="000000" w:themeColor="text1"/>
                <w:sz w:val="24"/>
                <w:highlight w:val="none"/>
                <w14:textFill>
                  <w14:solidFill>
                    <w14:schemeClr w14:val="tx1"/>
                  </w14:solidFill>
                </w14:textFill>
              </w:rPr>
            </w:pPr>
            <w:r>
              <w:rPr>
                <w:sz w:val="24"/>
                <w:highlight w:val="none"/>
              </w:rPr>
              <w:t>收费标准</w:t>
            </w:r>
            <w:r>
              <w:rPr>
                <w:color w:val="000000"/>
                <w:sz w:val="24"/>
                <w:highlight w:val="none"/>
              </w:rPr>
              <w:t>：</w:t>
            </w:r>
            <w:r>
              <w:rPr>
                <w:rFonts w:hint="eastAsia"/>
                <w:color w:val="000000"/>
                <w:sz w:val="24"/>
                <w:highlight w:val="none"/>
                <w:u w:val="single"/>
                <w:lang w:val="en-GB" w:eastAsia="zh-CN"/>
              </w:rPr>
              <w:t>中标价的3‰，不足6000元按6000元计取</w:t>
            </w:r>
            <w:r>
              <w:rPr>
                <w:rFonts w:hint="eastAsia" w:ascii="Times New Roman" w:eastAsia="宋体"/>
                <w:color w:val="000000"/>
                <w:sz w:val="24"/>
                <w:highlight w:val="none"/>
                <w:u w:val="single"/>
                <w:lang w:val="en-US" w:eastAsia="zh-CN"/>
              </w:rPr>
              <w:t>，</w:t>
            </w:r>
            <w:r>
              <w:rPr>
                <w:rFonts w:hint="eastAsia"/>
                <w:color w:val="000000"/>
                <w:sz w:val="24"/>
                <w:highlight w:val="none"/>
                <w:u w:val="single"/>
              </w:rPr>
              <w:t>中标单位在</w:t>
            </w:r>
            <w:r>
              <w:rPr>
                <w:rFonts w:hint="eastAsia"/>
                <w:color w:val="000000" w:themeColor="text1"/>
                <w:sz w:val="24"/>
                <w:highlight w:val="none"/>
                <w:u w:val="single"/>
                <w14:textFill>
                  <w14:solidFill>
                    <w14:schemeClr w14:val="tx1"/>
                  </w14:solidFill>
                </w14:textFill>
              </w:rPr>
              <w:t>领取</w:t>
            </w:r>
            <w:r>
              <w:rPr>
                <w:rFonts w:hint="eastAsia"/>
                <w:color w:val="000000" w:themeColor="text1"/>
                <w:sz w:val="24"/>
                <w:highlight w:val="none"/>
                <w:u w:val="single"/>
                <w:lang w:val="en-US" w:eastAsia="zh-CN"/>
                <w14:textFill>
                  <w14:solidFill>
                    <w14:schemeClr w14:val="tx1"/>
                  </w14:solidFill>
                </w14:textFill>
              </w:rPr>
              <w:t>中标通知书</w:t>
            </w:r>
            <w:r>
              <w:rPr>
                <w:rFonts w:hint="eastAsia"/>
                <w:color w:val="000000" w:themeColor="text1"/>
                <w:sz w:val="24"/>
                <w:highlight w:val="none"/>
                <w:u w:val="single"/>
                <w14:textFill>
                  <w14:solidFill>
                    <w14:schemeClr w14:val="tx1"/>
                  </w14:solidFill>
                </w14:textFill>
              </w:rPr>
              <w:t>时一次性支付给招标代理单位，投标单位在报价时应综合考虑。</w:t>
            </w:r>
          </w:p>
        </w:tc>
      </w:tr>
    </w:tbl>
    <w:p w14:paraId="4B7D66A3">
      <w:pPr>
        <w:pStyle w:val="437"/>
        <w:rPr>
          <w:color w:val="000000" w:themeColor="text1"/>
          <w:highlight w:val="none"/>
          <w14:textFill>
            <w14:solidFill>
              <w14:schemeClr w14:val="tx1"/>
            </w14:solidFill>
          </w14:textFill>
        </w:rPr>
        <w:sectPr>
          <w:footerReference r:id="rId11" w:type="first"/>
          <w:footerReference r:id="rId10" w:type="default"/>
          <w:pgSz w:w="11907" w:h="16840"/>
          <w:pgMar w:top="1418" w:right="1134" w:bottom="1418" w:left="1134" w:header="851" w:footer="851" w:gutter="0"/>
          <w:pgNumType w:start="1"/>
          <w:cols w:space="1701" w:num="1"/>
          <w:titlePg/>
          <w:docGrid w:linePitch="360" w:charSpace="0"/>
        </w:sectPr>
      </w:pPr>
    </w:p>
    <w:p w14:paraId="0375F63A">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供应商须知</w:t>
      </w:r>
    </w:p>
    <w:p w14:paraId="228072C1">
      <w:pPr>
        <w:pStyle w:val="185"/>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71" w:name="_Toc127151518"/>
      <w:bookmarkStart w:id="72" w:name="_Toc520356143"/>
      <w:r>
        <w:rPr>
          <w:rFonts w:ascii="Times New Roman" w:hAnsi="Times New Roman" w:eastAsia="宋体"/>
          <w:color w:val="000000" w:themeColor="text1"/>
          <w:sz w:val="28"/>
          <w:highlight w:val="none"/>
          <w14:textFill>
            <w14:solidFill>
              <w14:schemeClr w14:val="tx1"/>
            </w14:solidFill>
          </w14:textFill>
        </w:rPr>
        <w:tab/>
      </w:r>
      <w:bookmarkStart w:id="73" w:name="_Toc151190145"/>
      <w:bookmarkStart w:id="74" w:name="_Toc265228356"/>
      <w:bookmarkStart w:id="75" w:name="_Toc151193832"/>
      <w:bookmarkStart w:id="76" w:name="_Toc226337214"/>
      <w:bookmarkStart w:id="77" w:name="_Toc150480756"/>
      <w:bookmarkStart w:id="78" w:name="_Toc226309762"/>
      <w:bookmarkStart w:id="79" w:name="_Toc226965791"/>
      <w:bookmarkStart w:id="80" w:name="_Toc226965708"/>
      <w:bookmarkStart w:id="81" w:name="_Toc151193616"/>
      <w:bookmarkStart w:id="82" w:name="_Toc150509269"/>
      <w:bookmarkStart w:id="83" w:name="_Toc151193760"/>
      <w:bookmarkStart w:id="84" w:name="_Toc151193688"/>
      <w:bookmarkStart w:id="85" w:name="_Toc195842883"/>
      <w:bookmarkStart w:id="86" w:name="_Toc151193906"/>
      <w:bookmarkStart w:id="87" w:name="_Toc305158860"/>
      <w:bookmarkStart w:id="88" w:name="_Toc264969208"/>
      <w:bookmarkStart w:id="89" w:name="_Toc150774723"/>
      <w:bookmarkStart w:id="90" w:name="_Toc305158786"/>
      <w:bookmarkStart w:id="91" w:name="_Toc142311020"/>
      <w:bookmarkStart w:id="92" w:name="_Toc150774618"/>
      <w:r>
        <w:rPr>
          <w:rFonts w:ascii="Times New Roman" w:hAnsi="Times New Roman" w:eastAsia="宋体"/>
          <w:color w:val="000000" w:themeColor="text1"/>
          <w:sz w:val="28"/>
          <w:highlight w:val="none"/>
          <w14:textFill>
            <w14:solidFill>
              <w14:schemeClr w14:val="tx1"/>
            </w14:solidFill>
          </w14:textFill>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Times New Roman" w:hAnsi="Times New Roman" w:eastAsia="宋体"/>
          <w:color w:val="000000" w:themeColor="text1"/>
          <w:sz w:val="28"/>
          <w:highlight w:val="none"/>
          <w14:textFill>
            <w14:solidFill>
              <w14:schemeClr w14:val="tx1"/>
            </w14:solidFill>
          </w14:textFill>
        </w:rPr>
        <w:tab/>
      </w:r>
    </w:p>
    <w:p w14:paraId="0AB19EB3">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93" w:name="_Toc305158787"/>
      <w:bookmarkStart w:id="94" w:name="_Toc265228357"/>
      <w:bookmarkStart w:id="95" w:name="_Toc305158861"/>
      <w:bookmarkStart w:id="96" w:name="_Toc264969209"/>
      <w:r>
        <w:rPr>
          <w:color w:val="000000" w:themeColor="text1"/>
          <w:sz w:val="24"/>
          <w:highlight w:val="none"/>
          <w14:textFill>
            <w14:solidFill>
              <w14:schemeClr w14:val="tx1"/>
            </w14:solidFill>
          </w14:textFill>
        </w:rPr>
        <w:t>采购人、采购代理机构、供应商</w:t>
      </w:r>
      <w:bookmarkEnd w:id="93"/>
      <w:bookmarkEnd w:id="94"/>
      <w:bookmarkEnd w:id="95"/>
      <w:bookmarkEnd w:id="96"/>
      <w:r>
        <w:rPr>
          <w:color w:val="000000" w:themeColor="text1"/>
          <w:sz w:val="24"/>
          <w:highlight w:val="none"/>
          <w14:textFill>
            <w14:solidFill>
              <w14:schemeClr w14:val="tx1"/>
            </w14:solidFill>
          </w14:textFill>
        </w:rPr>
        <w:t>、联合体</w:t>
      </w:r>
    </w:p>
    <w:p w14:paraId="1D4C94BB">
      <w:pPr>
        <w:numPr>
          <w:ilvl w:val="1"/>
          <w:numId w:val="8"/>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6464D107">
      <w:pPr>
        <w:numPr>
          <w:ilvl w:val="1"/>
          <w:numId w:val="8"/>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供应商（也称“申请人”）：指向采购人提供货物、工程或者服务的法人、其他组织或者自然人。</w:t>
      </w:r>
    </w:p>
    <w:p w14:paraId="2C2476E4">
      <w:pPr>
        <w:numPr>
          <w:ilvl w:val="1"/>
          <w:numId w:val="8"/>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4E58C340">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97" w:name="_Toc226337216"/>
      <w:bookmarkStart w:id="98" w:name="_Toc151193618"/>
      <w:bookmarkStart w:id="99" w:name="_Toc151193762"/>
      <w:bookmarkStart w:id="100" w:name="_Toc151193834"/>
      <w:bookmarkStart w:id="101" w:name="_Toc164608789"/>
      <w:bookmarkStart w:id="102" w:name="_Toc226965793"/>
      <w:bookmarkStart w:id="103" w:name="_Toc127151520"/>
      <w:bookmarkStart w:id="104" w:name="_Toc164229215"/>
      <w:bookmarkStart w:id="105" w:name="_Toc164351614"/>
      <w:bookmarkStart w:id="106" w:name="_Toc151193690"/>
      <w:bookmarkStart w:id="107" w:name="_Toc305158788"/>
      <w:bookmarkStart w:id="108" w:name="_Toc195842885"/>
      <w:bookmarkStart w:id="109" w:name="_Toc226965710"/>
      <w:bookmarkStart w:id="110" w:name="_Toc127161434"/>
      <w:bookmarkStart w:id="111" w:name="_Toc142311022"/>
      <w:bookmarkStart w:id="112" w:name="_Toc150774620"/>
      <w:bookmarkStart w:id="113" w:name="_Toc127151721"/>
      <w:bookmarkStart w:id="114" w:name="_Toc149720813"/>
      <w:bookmarkStart w:id="115" w:name="_Toc265228358"/>
      <w:bookmarkStart w:id="116" w:name="_Toc150774725"/>
      <w:bookmarkStart w:id="117" w:name="_Toc151190147"/>
      <w:bookmarkStart w:id="118" w:name="_Toc226309764"/>
      <w:bookmarkStart w:id="119" w:name="_Toc264969210"/>
      <w:bookmarkStart w:id="120" w:name="_Toc164608634"/>
      <w:bookmarkStart w:id="121" w:name="_Toc150509271"/>
      <w:bookmarkStart w:id="122" w:name="_Toc151193908"/>
      <w:bookmarkStart w:id="123" w:name="_Toc305158862"/>
      <w:bookmarkStart w:id="124" w:name="_Toc164229361"/>
      <w:bookmarkStart w:id="125" w:name="_Toc150480758"/>
      <w:r>
        <w:rPr>
          <w:color w:val="000000" w:themeColor="text1"/>
          <w:sz w:val="24"/>
          <w:highlight w:val="none"/>
          <w14:textFill>
            <w14:solidFill>
              <w14:schemeClr w14:val="tx1"/>
            </w14:solidFill>
          </w14:textFill>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color w:val="000000" w:themeColor="text1"/>
          <w:sz w:val="24"/>
          <w:highlight w:val="none"/>
          <w14:textFill>
            <w14:solidFill>
              <w14:schemeClr w14:val="tx1"/>
            </w14:solidFill>
          </w14:textFill>
        </w:rPr>
        <w:t>、项目属性、科研仪器设备采购</w:t>
      </w:r>
    </w:p>
    <w:p w14:paraId="0BE94379">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72C4CFF9">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290394B2">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679D785A">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现场考察、磋商前答疑会</w:t>
      </w:r>
    </w:p>
    <w:p w14:paraId="465EACA6">
      <w:pPr>
        <w:numPr>
          <w:ilvl w:val="1"/>
          <w:numId w:val="8"/>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126" w:name="_Toc151193764"/>
      <w:bookmarkStart w:id="127" w:name="_Toc264969212"/>
      <w:bookmarkStart w:id="128" w:name="_Toc142311024"/>
      <w:bookmarkStart w:id="129" w:name="_Toc265228360"/>
      <w:bookmarkStart w:id="130" w:name="_Toc226309766"/>
      <w:bookmarkStart w:id="131" w:name="_Toc150774727"/>
      <w:bookmarkStart w:id="132" w:name="_Toc151190149"/>
      <w:bookmarkStart w:id="133" w:name="_Toc305158790"/>
      <w:bookmarkStart w:id="134" w:name="_Toc127151522"/>
      <w:bookmarkStart w:id="135" w:name="_Toc151193620"/>
      <w:bookmarkStart w:id="136" w:name="_Toc305158864"/>
      <w:bookmarkStart w:id="137" w:name="_Toc150509273"/>
      <w:bookmarkStart w:id="138" w:name="_Toc151193836"/>
      <w:bookmarkStart w:id="139" w:name="_Toc226965712"/>
      <w:bookmarkStart w:id="140" w:name="_Toc151193692"/>
      <w:bookmarkStart w:id="141" w:name="_Toc226965795"/>
      <w:bookmarkStart w:id="142" w:name="_Toc520356146"/>
      <w:bookmarkStart w:id="143" w:name="_Toc150774622"/>
      <w:bookmarkStart w:id="144" w:name="_Toc151193910"/>
      <w:bookmarkStart w:id="145" w:name="_Toc150480760"/>
      <w:bookmarkStart w:id="146" w:name="_Toc226337218"/>
      <w:bookmarkStart w:id="147" w:name="_Toc195842887"/>
    </w:p>
    <w:p w14:paraId="65286F0D">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5BE76519">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政府采购政策（包括但不限于下列具体政策要求）</w:t>
      </w:r>
    </w:p>
    <w:p w14:paraId="12CCF1B1">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1F6E4AE3">
      <w:pPr>
        <w:numPr>
          <w:ilvl w:val="2"/>
          <w:numId w:val="8"/>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574ACAF">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6B38A966">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2993D32A">
      <w:pPr>
        <w:pStyle w:val="293"/>
        <w:numPr>
          <w:ilvl w:val="0"/>
          <w:numId w:val="9"/>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23918C51">
      <w:pPr>
        <w:pStyle w:val="293"/>
        <w:numPr>
          <w:ilvl w:val="0"/>
          <w:numId w:val="9"/>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89DB9A7">
      <w:pPr>
        <w:pStyle w:val="293"/>
        <w:numPr>
          <w:ilvl w:val="0"/>
          <w:numId w:val="9"/>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6EF63EAE">
      <w:pPr>
        <w:pStyle w:val="293"/>
        <w:numPr>
          <w:ilvl w:val="0"/>
          <w:numId w:val="9"/>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D8C2772">
      <w:pPr>
        <w:pStyle w:val="293"/>
        <w:numPr>
          <w:ilvl w:val="1"/>
          <w:numId w:val="9"/>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652F530A">
      <w:pPr>
        <w:pStyle w:val="293"/>
        <w:numPr>
          <w:ilvl w:val="1"/>
          <w:numId w:val="9"/>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7C93F59">
      <w:pPr>
        <w:pStyle w:val="293"/>
        <w:numPr>
          <w:ilvl w:val="2"/>
          <w:numId w:val="9"/>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6902A6FE">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5192C36">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5B5B91E1">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31CB5BEA">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14:paraId="38011847">
      <w:pPr>
        <w:tabs>
          <w:tab w:val="left" w:pos="1980"/>
        </w:tabs>
        <w:spacing w:line="360" w:lineRule="auto"/>
        <w:ind w:left="28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A99259B">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763D5583">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19319AAB">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756C47">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13A4F6E5">
      <w:pPr>
        <w:pStyle w:val="293"/>
        <w:numPr>
          <w:ilvl w:val="2"/>
          <w:numId w:val="9"/>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2ED57C0">
      <w:pPr>
        <w:pStyle w:val="293"/>
        <w:numPr>
          <w:ilvl w:val="2"/>
          <w:numId w:val="9"/>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542122A3">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32F4ADF4">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4D8CD5C5">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3357FE72">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4C707291">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7D0243E4">
      <w:pPr>
        <w:numPr>
          <w:ilvl w:val="3"/>
          <w:numId w:val="9"/>
        </w:numPr>
        <w:tabs>
          <w:tab w:val="left" w:pos="1980"/>
          <w:tab w:val="left" w:pos="2035"/>
          <w:tab w:val="left" w:pos="2885"/>
          <w:tab w:val="left" w:pos="2977"/>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4050B14">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本项目是否专门面向中小企业预留采购份额见第一章《采购邀请》。</w:t>
      </w:r>
    </w:p>
    <w:p w14:paraId="2CCC4393">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4CEDC4C3">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3C17631B">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p>
    <w:p w14:paraId="12080C18">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C8E6AB2">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E90E598">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0FFED355">
      <w:pPr>
        <w:numPr>
          <w:ilvl w:val="2"/>
          <w:numId w:val="8"/>
        </w:numPr>
        <w:spacing w:line="360" w:lineRule="auto"/>
        <w:rPr>
          <w:rFonts w:hint="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4919EEEE">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4BE95A5">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p>
    <w:p w14:paraId="7A457B55">
      <w:pPr>
        <w:numPr>
          <w:ilvl w:val="2"/>
          <w:numId w:val="8"/>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5861320C">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p>
    <w:p w14:paraId="21F8C7B9">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90E563C">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972D8D9">
      <w:pPr>
        <w:numPr>
          <w:ilvl w:val="1"/>
          <w:numId w:val="8"/>
        </w:numPr>
        <w:tabs>
          <w:tab w:val="left" w:pos="1080"/>
          <w:tab w:val="left" w:pos="2014"/>
        </w:tabs>
        <w:spacing w:line="360" w:lineRule="auto"/>
        <w:ind w:left="1080" w:hanging="72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p>
    <w:p w14:paraId="6B010836">
      <w:pPr>
        <w:numPr>
          <w:ilvl w:val="2"/>
          <w:numId w:val="8"/>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7772262">
      <w:pPr>
        <w:numPr>
          <w:ilvl w:val="1"/>
          <w:numId w:val="8"/>
        </w:numPr>
        <w:tabs>
          <w:tab w:val="left" w:pos="1080"/>
          <w:tab w:val="left" w:pos="2014"/>
        </w:tabs>
        <w:spacing w:line="360" w:lineRule="auto"/>
        <w:ind w:left="1080" w:hanging="72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绿色采购政策</w:t>
      </w:r>
    </w:p>
    <w:p w14:paraId="3F194520">
      <w:pPr>
        <w:numPr>
          <w:ilvl w:val="2"/>
          <w:numId w:val="8"/>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 绿色数据中心政策 </w:t>
      </w:r>
    </w:p>
    <w:p w14:paraId="76B37A1D">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2F8EE53">
      <w:pPr>
        <w:numPr>
          <w:ilvl w:val="2"/>
          <w:numId w:val="8"/>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推广应用绿色建材</w:t>
      </w:r>
    </w:p>
    <w:p w14:paraId="333DB01B">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749EE704">
      <w:pPr>
        <w:numPr>
          <w:ilvl w:val="2"/>
          <w:numId w:val="8"/>
        </w:numPr>
        <w:tabs>
          <w:tab w:val="left" w:pos="2014"/>
        </w:tabs>
        <w:spacing w:line="360" w:lineRule="auto"/>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优先使用低挥发性有机化合物产品</w:t>
      </w:r>
    </w:p>
    <w:p w14:paraId="1E4DC676">
      <w:pPr>
        <w:numPr>
          <w:ilvl w:val="0"/>
          <w:numId w:val="0"/>
        </w:numPr>
        <w:tabs>
          <w:tab w:val="left" w:pos="2014"/>
        </w:tabs>
        <w:spacing w:line="360" w:lineRule="auto"/>
        <w:ind w:left="10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响应人</w:t>
      </w:r>
      <w:r>
        <w:rPr>
          <w:rFonts w:hint="eastAsia" w:ascii="Times New Roman" w:hAnsi="Times New Roman" w:eastAsia="宋体" w:cs="Times New Roman"/>
          <w:color w:val="000000" w:themeColor="text1"/>
          <w:sz w:val="24"/>
          <w:highlight w:val="none"/>
          <w14:textFill>
            <w14:solidFill>
              <w14:schemeClr w14:val="tx1"/>
            </w14:solidFill>
          </w14:textFill>
        </w:rPr>
        <w:t>应当提供符合国家和江苏省相关VOCs 含量限制标准的产品；属于推荐性标准的，应当在采购文件中载明低VOCs的优惠幅度、评审标准等，以体现优先采购。</w:t>
      </w:r>
    </w:p>
    <w:p w14:paraId="4644986A">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响应费用</w:t>
      </w:r>
    </w:p>
    <w:p w14:paraId="586F1F78">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048D8CAE">
      <w:pPr>
        <w:tabs>
          <w:tab w:val="left" w:pos="1080"/>
        </w:tabs>
        <w:spacing w:line="360" w:lineRule="auto"/>
        <w:ind w:left="1080"/>
        <w:rPr>
          <w:color w:val="000000" w:themeColor="text1"/>
          <w:sz w:val="28"/>
          <w:highlight w:val="none"/>
          <w14:textFill>
            <w14:solidFill>
              <w14:schemeClr w14:val="tx1"/>
            </w14:solidFill>
          </w14:textFill>
        </w:rPr>
      </w:pPr>
      <w:bookmarkStart w:id="148" w:name="_1.8_计量单位"/>
      <w:bookmarkEnd w:id="148"/>
    </w:p>
    <w:p w14:paraId="5340C06B">
      <w:pPr>
        <w:pStyle w:val="185"/>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6327312F">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149" w:name="_Toc127151724"/>
      <w:bookmarkStart w:id="150" w:name="_Toc127161437"/>
      <w:bookmarkStart w:id="151" w:name="_Toc164608637"/>
      <w:bookmarkStart w:id="152" w:name="_Toc127151523"/>
      <w:bookmarkStart w:id="153" w:name="_Toc195842888"/>
      <w:bookmarkStart w:id="154" w:name="_Toc151193837"/>
      <w:bookmarkStart w:id="155" w:name="_Toc226309767"/>
      <w:bookmarkStart w:id="156" w:name="_Toc150774623"/>
      <w:bookmarkStart w:id="157" w:name="_Toc164229218"/>
      <w:bookmarkStart w:id="158" w:name="_Toc151193621"/>
      <w:bookmarkStart w:id="159" w:name="_Toc305158791"/>
      <w:bookmarkStart w:id="160" w:name="_Toc164351617"/>
      <w:bookmarkStart w:id="161" w:name="_Toc226965796"/>
      <w:bookmarkStart w:id="162" w:name="_Toc142311025"/>
      <w:bookmarkStart w:id="163" w:name="_Toc164608792"/>
      <w:bookmarkStart w:id="164" w:name="_Toc226337219"/>
      <w:bookmarkStart w:id="165" w:name="_Toc150509274"/>
      <w:bookmarkStart w:id="166" w:name="_Toc151193765"/>
      <w:bookmarkStart w:id="167" w:name="_Toc151193693"/>
      <w:bookmarkStart w:id="168" w:name="_Toc265228361"/>
      <w:bookmarkStart w:id="169" w:name="_Toc150774728"/>
      <w:bookmarkStart w:id="170" w:name="_Toc150480761"/>
      <w:bookmarkStart w:id="171" w:name="_Toc164229364"/>
      <w:bookmarkStart w:id="172" w:name="_Toc226965713"/>
      <w:bookmarkStart w:id="173" w:name="_Toc305158865"/>
      <w:bookmarkStart w:id="174" w:name="_Toc151193911"/>
      <w:bookmarkStart w:id="175" w:name="_Toc151190150"/>
      <w:bookmarkStart w:id="176" w:name="_Toc149720816"/>
      <w:bookmarkStart w:id="177" w:name="_Toc264969213"/>
      <w:bookmarkStart w:id="178" w:name="_Toc520356147"/>
      <w:r>
        <w:rPr>
          <w:color w:val="000000" w:themeColor="text1"/>
          <w:sz w:val="24"/>
          <w:highlight w:val="none"/>
          <w14:textFill>
            <w14:solidFill>
              <w14:schemeClr w14:val="tx1"/>
            </w14:solidFill>
          </w14:textFill>
        </w:rPr>
        <w:t>竞争性磋商文件构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color w:val="000000" w:themeColor="text1"/>
          <w:sz w:val="24"/>
          <w:highlight w:val="none"/>
          <w14:textFill>
            <w14:solidFill>
              <w14:schemeClr w14:val="tx1"/>
            </w14:solidFill>
          </w14:textFill>
        </w:rPr>
        <w:t>成</w:t>
      </w:r>
    </w:p>
    <w:p w14:paraId="5DEA96E0">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68C8A2AD">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采购邀请</w:t>
      </w:r>
    </w:p>
    <w:p w14:paraId="5B8264D8">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141AA965">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31F36910">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18C858CB">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合同草案条款</w:t>
      </w:r>
    </w:p>
    <w:p w14:paraId="44EB58A9">
      <w:pPr>
        <w:numPr>
          <w:ilvl w:val="0"/>
          <w:numId w:val="10"/>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响应文件格式</w:t>
      </w:r>
    </w:p>
    <w:p w14:paraId="26622CEA">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72EB9A7">
      <w:pPr>
        <w:numPr>
          <w:ilvl w:val="0"/>
          <w:numId w:val="8"/>
        </w:numPr>
        <w:tabs>
          <w:tab w:val="left" w:pos="1080"/>
          <w:tab w:val="left" w:pos="2014"/>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对竞争性磋商文件的澄清或修改</w:t>
      </w:r>
    </w:p>
    <w:p w14:paraId="57CA3CBC">
      <w:pPr>
        <w:numPr>
          <w:ilvl w:val="1"/>
          <w:numId w:val="8"/>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4A3FCC66">
      <w:pPr>
        <w:numPr>
          <w:ilvl w:val="1"/>
          <w:numId w:val="8"/>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p>
    <w:p w14:paraId="32B67C52">
      <w:pPr>
        <w:tabs>
          <w:tab w:val="left" w:pos="1080"/>
          <w:tab w:val="left" w:pos="1561"/>
        </w:tabs>
        <w:spacing w:line="360" w:lineRule="auto"/>
        <w:ind w:left="1080"/>
        <w:rPr>
          <w:color w:val="000000" w:themeColor="text1"/>
          <w:sz w:val="28"/>
          <w:highlight w:val="none"/>
          <w14:textFill>
            <w14:solidFill>
              <w14:schemeClr w14:val="tx1"/>
            </w14:solidFill>
          </w14:textFill>
        </w:rPr>
      </w:pPr>
      <w:bookmarkStart w:id="179" w:name="_Toc516367020"/>
      <w:bookmarkStart w:id="180" w:name="_Toc226337222"/>
      <w:bookmarkStart w:id="181" w:name="_Toc150509277"/>
      <w:bookmarkStart w:id="182" w:name="_Toc142311028"/>
      <w:bookmarkStart w:id="183" w:name="_Toc127151526"/>
      <w:bookmarkStart w:id="184" w:name="_Toc151193768"/>
      <w:bookmarkStart w:id="185" w:name="_Toc151190153"/>
      <w:bookmarkStart w:id="186" w:name="_Toc305158794"/>
      <w:bookmarkStart w:id="187" w:name="_Toc226309770"/>
      <w:bookmarkStart w:id="188" w:name="_Toc195842891"/>
      <w:bookmarkStart w:id="189" w:name="_Toc305158868"/>
      <w:bookmarkStart w:id="190" w:name="_Toc520356150"/>
      <w:bookmarkStart w:id="191" w:name="_Toc265228364"/>
      <w:bookmarkStart w:id="192" w:name="_Toc150480764"/>
      <w:bookmarkStart w:id="193" w:name="_Toc226965799"/>
      <w:bookmarkStart w:id="194" w:name="_Toc264969216"/>
      <w:bookmarkStart w:id="195" w:name="_Toc151193914"/>
      <w:bookmarkStart w:id="196" w:name="_Toc150774731"/>
      <w:bookmarkStart w:id="197" w:name="_Toc226965716"/>
      <w:bookmarkStart w:id="198" w:name="_Toc151193696"/>
      <w:bookmarkStart w:id="199" w:name="_Toc150774626"/>
      <w:bookmarkStart w:id="200" w:name="_Toc151193624"/>
      <w:bookmarkStart w:id="201" w:name="_Toc151193840"/>
    </w:p>
    <w:p w14:paraId="7E2C2F65">
      <w:pPr>
        <w:pStyle w:val="185"/>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79"/>
      <w:r>
        <w:rPr>
          <w:rFonts w:ascii="Times New Roman" w:hAnsi="Times New Roman" w:eastAsia="宋体"/>
          <w:color w:val="000000" w:themeColor="text1"/>
          <w:sz w:val="28"/>
          <w:highlight w:val="none"/>
          <w14:textFill>
            <w14:solidFill>
              <w14:schemeClr w14:val="tx1"/>
            </w14:solidFill>
          </w14:textFill>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223A6A6">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02" w:name="_Toc226337223"/>
      <w:bookmarkStart w:id="203" w:name="_Toc151193915"/>
      <w:bookmarkStart w:id="204" w:name="_Toc127161441"/>
      <w:bookmarkStart w:id="205" w:name="_Toc150774627"/>
      <w:bookmarkStart w:id="206" w:name="_Toc164351621"/>
      <w:bookmarkStart w:id="207" w:name="_Toc195842892"/>
      <w:bookmarkStart w:id="208" w:name="_Toc150509278"/>
      <w:bookmarkStart w:id="209" w:name="_Toc127151728"/>
      <w:bookmarkStart w:id="210" w:name="_Toc151193697"/>
      <w:bookmarkStart w:id="211" w:name="_Toc516367021"/>
      <w:bookmarkStart w:id="212" w:name="_Toc150480765"/>
      <w:bookmarkStart w:id="213" w:name="_Toc151190154"/>
      <w:bookmarkStart w:id="214" w:name="_Toc520356151"/>
      <w:bookmarkStart w:id="215" w:name="_Toc265228365"/>
      <w:bookmarkStart w:id="216" w:name="_Toc127151527"/>
      <w:bookmarkStart w:id="217" w:name="_Toc164229368"/>
      <w:bookmarkStart w:id="218" w:name="_Toc226965800"/>
      <w:bookmarkStart w:id="219" w:name="_Toc164608641"/>
      <w:bookmarkStart w:id="220" w:name="_Toc142311029"/>
      <w:bookmarkStart w:id="221" w:name="_Toc305158795"/>
      <w:bookmarkStart w:id="222" w:name="_Toc164229222"/>
      <w:bookmarkStart w:id="223" w:name="_Toc151193769"/>
      <w:bookmarkStart w:id="224" w:name="_Toc151193841"/>
      <w:bookmarkStart w:id="225" w:name="_Toc305158869"/>
      <w:bookmarkStart w:id="226" w:name="_Toc226965717"/>
      <w:bookmarkStart w:id="227" w:name="_Toc150774732"/>
      <w:bookmarkStart w:id="228" w:name="_Toc226309771"/>
      <w:bookmarkStart w:id="229" w:name="_Toc149720820"/>
      <w:bookmarkStart w:id="230" w:name="_Toc164608796"/>
      <w:bookmarkStart w:id="231" w:name="_Toc264969217"/>
      <w:bookmarkStart w:id="232" w:name="_Toc151193625"/>
      <w:r>
        <w:rPr>
          <w:color w:val="000000" w:themeColor="text1"/>
          <w:sz w:val="24"/>
          <w:highlight w:val="none"/>
          <w14:textFill>
            <w14:solidFill>
              <w14:schemeClr w14:val="tx1"/>
            </w14:solidFill>
          </w14:textFill>
        </w:rPr>
        <w:t>响应范围、竞争性磋商文件中计量单位的使用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color w:val="000000" w:themeColor="text1"/>
          <w:sz w:val="24"/>
          <w:highlight w:val="none"/>
          <w14:textFill>
            <w14:solidFill>
              <w14:schemeClr w14:val="tx1"/>
            </w14:solidFill>
          </w14:textFill>
        </w:rPr>
        <w:t>及磋商语言</w:t>
      </w:r>
    </w:p>
    <w:p w14:paraId="4CD429E4">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26D57FD5">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3800DC1C">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B4CF67F">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33" w:name="_Toc516367022"/>
      <w:bookmarkStart w:id="234" w:name="_Ref467306676"/>
      <w:bookmarkStart w:id="235" w:name="_Ref467306195"/>
      <w:bookmarkStart w:id="236" w:name="_Toc127151528"/>
      <w:bookmarkStart w:id="237" w:name="_Toc150774628"/>
      <w:bookmarkStart w:id="238" w:name="_Toc226965718"/>
      <w:bookmarkStart w:id="239" w:name="_Toc164229369"/>
      <w:bookmarkStart w:id="240" w:name="_Toc305158870"/>
      <w:bookmarkStart w:id="241" w:name="_Toc151193698"/>
      <w:bookmarkStart w:id="242" w:name="_Toc127161442"/>
      <w:bookmarkStart w:id="243" w:name="_Toc226309772"/>
      <w:bookmarkStart w:id="244" w:name="_Toc264969218"/>
      <w:bookmarkStart w:id="245" w:name="_Toc151193770"/>
      <w:bookmarkStart w:id="246" w:name="_Toc150480766"/>
      <w:bookmarkStart w:id="247" w:name="_Toc151193916"/>
      <w:bookmarkStart w:id="248" w:name="_Toc151190155"/>
      <w:bookmarkStart w:id="249" w:name="_Toc151193842"/>
      <w:bookmarkStart w:id="250" w:name="_Toc164229223"/>
      <w:bookmarkStart w:id="251" w:name="_Toc520356152"/>
      <w:bookmarkStart w:id="252" w:name="_Toc195842893"/>
      <w:bookmarkStart w:id="253" w:name="_Toc305158796"/>
      <w:bookmarkStart w:id="254" w:name="_Toc127151729"/>
      <w:bookmarkStart w:id="255" w:name="_Toc164351622"/>
      <w:bookmarkStart w:id="256" w:name="_Toc226965801"/>
      <w:bookmarkStart w:id="257" w:name="_Toc164608642"/>
      <w:bookmarkStart w:id="258" w:name="_Toc150774733"/>
      <w:bookmarkStart w:id="259" w:name="_Toc226337224"/>
      <w:bookmarkStart w:id="260" w:name="_Toc151193626"/>
      <w:bookmarkStart w:id="261" w:name="_Toc265228366"/>
      <w:bookmarkStart w:id="262" w:name="_Toc142311030"/>
      <w:bookmarkStart w:id="263" w:name="_Toc164608797"/>
      <w:bookmarkStart w:id="264" w:name="_Toc150509279"/>
      <w:bookmarkStart w:id="265" w:name="_Toc149720821"/>
      <w:r>
        <w:rPr>
          <w:color w:val="000000" w:themeColor="text1"/>
          <w:sz w:val="24"/>
          <w:highlight w:val="none"/>
          <w14:textFill>
            <w14:solidFill>
              <w14:schemeClr w14:val="tx1"/>
            </w14:solidFill>
          </w14:textFill>
        </w:rPr>
        <w:t>响应文件</w:t>
      </w:r>
      <w:bookmarkEnd w:id="233"/>
      <w:bookmarkEnd w:id="234"/>
      <w:bookmarkEnd w:id="235"/>
      <w:r>
        <w:rPr>
          <w:color w:val="000000" w:themeColor="text1"/>
          <w:sz w:val="24"/>
          <w:highlight w:val="none"/>
          <w14:textFill>
            <w14:solidFill>
              <w14:schemeClr w14:val="tx1"/>
            </w14:solidFill>
          </w14:textFill>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3AC0A82B">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66"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697CF2B1">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50CB94E1">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0C8579C4">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AC134C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66"/>
    </w:p>
    <w:p w14:paraId="1ADF3D54">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67" w:name="_Toc151193628"/>
      <w:bookmarkStart w:id="268" w:name="_Toc127151731"/>
      <w:bookmarkStart w:id="269" w:name="_Toc127151530"/>
      <w:bookmarkStart w:id="270" w:name="_Toc151190157"/>
      <w:bookmarkStart w:id="271" w:name="_Toc164229225"/>
      <w:bookmarkStart w:id="272" w:name="_Toc164608644"/>
      <w:bookmarkStart w:id="273" w:name="_Toc164351624"/>
      <w:bookmarkStart w:id="274" w:name="_Toc164229371"/>
      <w:bookmarkStart w:id="275" w:name="_Toc151193772"/>
      <w:bookmarkStart w:id="276" w:name="_Toc164608799"/>
      <w:bookmarkStart w:id="277" w:name="_Toc150509281"/>
      <w:bookmarkStart w:id="278" w:name="_Toc150480768"/>
      <w:bookmarkStart w:id="279" w:name="_Toc149720823"/>
      <w:bookmarkStart w:id="280" w:name="_Toc151193844"/>
      <w:bookmarkStart w:id="281" w:name="_Toc150774735"/>
      <w:bookmarkStart w:id="282" w:name="_Toc127161444"/>
      <w:bookmarkStart w:id="283" w:name="_Toc151193918"/>
      <w:bookmarkStart w:id="284" w:name="_Toc142311032"/>
      <w:bookmarkStart w:id="285" w:name="_Toc520356155"/>
      <w:bookmarkStart w:id="286" w:name="_Toc195842895"/>
      <w:bookmarkStart w:id="287" w:name="_Toc150774630"/>
      <w:bookmarkStart w:id="288" w:name="_Toc151193700"/>
      <w:r>
        <w:rPr>
          <w:color w:val="000000" w:themeColor="text1"/>
          <w:sz w:val="24"/>
          <w:highlight w:val="none"/>
          <w14:textFill>
            <w14:solidFill>
              <w14:schemeClr w14:val="tx1"/>
            </w14:solidFill>
          </w14:textFill>
        </w:rPr>
        <w:t>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7517ABBF">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03E8D974">
      <w:pPr>
        <w:numPr>
          <w:ilvl w:val="1"/>
          <w:numId w:val="8"/>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4569DD5A">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25E9CFF">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目的全部相关工程或服务费用。</w:t>
      </w:r>
    </w:p>
    <w:p w14:paraId="7BE583A1">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689B8962">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239A64E7">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磋商保证金</w:t>
      </w:r>
    </w:p>
    <w:p w14:paraId="616B1621">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4D55A418">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p w14:paraId="36350310">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BFF0DD3">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289" w:name="_Toc150480771"/>
      <w:bookmarkStart w:id="290" w:name="_Toc265228371"/>
      <w:bookmarkStart w:id="291" w:name="_Toc151193921"/>
      <w:bookmarkStart w:id="292" w:name="_Toc164608802"/>
      <w:bookmarkStart w:id="293" w:name="_Toc150774738"/>
      <w:bookmarkStart w:id="294" w:name="_Toc149720826"/>
      <w:bookmarkStart w:id="295" w:name="_Toc164229228"/>
      <w:bookmarkStart w:id="296" w:name="_Toc151193703"/>
      <w:bookmarkStart w:id="297" w:name="_Toc164351627"/>
      <w:bookmarkStart w:id="298" w:name="_Toc127161447"/>
      <w:bookmarkStart w:id="299" w:name="_Toc127151533"/>
      <w:bookmarkStart w:id="300" w:name="_Toc520356158"/>
      <w:bookmarkStart w:id="301" w:name="_Toc127151734"/>
      <w:bookmarkStart w:id="302" w:name="_Toc142311035"/>
      <w:bookmarkStart w:id="303" w:name="_Toc226965723"/>
      <w:bookmarkStart w:id="304" w:name="_Toc150509284"/>
      <w:bookmarkStart w:id="305" w:name="_Toc164608647"/>
      <w:bookmarkStart w:id="306" w:name="_Toc305158801"/>
      <w:bookmarkStart w:id="307" w:name="_Toc226337229"/>
      <w:bookmarkStart w:id="308" w:name="_Toc151193847"/>
      <w:bookmarkStart w:id="309" w:name="_Toc164229374"/>
      <w:bookmarkStart w:id="310" w:name="_Toc305158875"/>
      <w:bookmarkStart w:id="311" w:name="_Toc150774633"/>
      <w:bookmarkStart w:id="312" w:name="_Toc151193775"/>
      <w:bookmarkStart w:id="313" w:name="_Toc151190160"/>
      <w:bookmarkStart w:id="314" w:name="_Toc264969223"/>
      <w:bookmarkStart w:id="315" w:name="_Toc226965806"/>
      <w:bookmarkStart w:id="316" w:name="_Toc195842898"/>
      <w:bookmarkStart w:id="317" w:name="_Toc226309777"/>
      <w:bookmarkStart w:id="318" w:name="_Toc151193631"/>
      <w:r>
        <w:rPr>
          <w:color w:val="000000" w:themeColor="text1"/>
          <w:sz w:val="24"/>
          <w:highlight w:val="none"/>
          <w14:textFill>
            <w14:solidFill>
              <w14:schemeClr w14:val="tx1"/>
            </w14:solidFill>
          </w14:textFill>
        </w:rPr>
        <w:t>响应文件的签署</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Pr>
          <w:color w:val="000000" w:themeColor="text1"/>
          <w:sz w:val="24"/>
          <w:highlight w:val="none"/>
          <w14:textFill>
            <w14:solidFill>
              <w14:schemeClr w14:val="tx1"/>
            </w14:solidFill>
          </w14:textFill>
        </w:rPr>
        <w:t>、盖章</w:t>
      </w:r>
    </w:p>
    <w:p w14:paraId="23C3A28A">
      <w:pPr>
        <w:numPr>
          <w:ilvl w:val="1"/>
          <w:numId w:val="8"/>
        </w:numPr>
        <w:tabs>
          <w:tab w:val="left" w:pos="1080"/>
        </w:tabs>
        <w:spacing w:line="360" w:lineRule="auto"/>
        <w:rPr>
          <w:color w:val="000000" w:themeColor="text1"/>
          <w:sz w:val="24"/>
          <w:highlight w:val="none"/>
          <w14:textFill>
            <w14:solidFill>
              <w14:schemeClr w14:val="tx1"/>
            </w14:solidFill>
          </w14:textFill>
        </w:rPr>
      </w:pPr>
      <w:bookmarkStart w:id="319" w:name="_Toc305158876"/>
      <w:bookmarkStart w:id="320" w:name="_Toc150480772"/>
      <w:bookmarkStart w:id="321" w:name="_Toc142311036"/>
      <w:bookmarkStart w:id="322" w:name="_Toc226309778"/>
      <w:bookmarkStart w:id="323" w:name="_Toc150774634"/>
      <w:bookmarkStart w:id="324" w:name="_Toc151193848"/>
      <w:bookmarkStart w:id="325" w:name="_Toc150509285"/>
      <w:bookmarkStart w:id="326" w:name="_Toc265228372"/>
      <w:bookmarkStart w:id="327" w:name="_Toc520356159"/>
      <w:bookmarkStart w:id="328" w:name="_Toc151193776"/>
      <w:bookmarkStart w:id="329" w:name="_Toc127151534"/>
      <w:bookmarkStart w:id="330" w:name="_Toc151193922"/>
      <w:bookmarkStart w:id="331" w:name="_Toc226337230"/>
      <w:bookmarkStart w:id="332" w:name="_Toc305158802"/>
      <w:bookmarkStart w:id="333" w:name="_Toc195842899"/>
      <w:bookmarkStart w:id="334" w:name="_Toc150774739"/>
      <w:bookmarkStart w:id="335" w:name="_Toc151190161"/>
      <w:bookmarkStart w:id="336" w:name="_Toc151193704"/>
      <w:bookmarkStart w:id="337" w:name="_Toc226965807"/>
      <w:bookmarkStart w:id="338" w:name="_Toc264969224"/>
      <w:bookmarkStart w:id="339" w:name="_Toc226965724"/>
      <w:bookmarkStart w:id="340" w:name="_Toc151193632"/>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638D9FE8">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通过投标文件编制工具加盖电子签章。</w:t>
      </w:r>
    </w:p>
    <w:p w14:paraId="6594AC73">
      <w:pPr>
        <w:tabs>
          <w:tab w:val="left" w:pos="900"/>
          <w:tab w:val="left" w:pos="1080"/>
        </w:tabs>
        <w:spacing w:line="360" w:lineRule="auto"/>
        <w:ind w:left="357"/>
        <w:rPr>
          <w:color w:val="000000" w:themeColor="text1"/>
          <w:highlight w:val="none"/>
          <w14:textFill>
            <w14:solidFill>
              <w14:schemeClr w14:val="tx1"/>
            </w14:solidFill>
          </w14:textFill>
        </w:rPr>
      </w:pPr>
    </w:p>
    <w:p w14:paraId="1CA1EF7D">
      <w:pPr>
        <w:pStyle w:val="185"/>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69539B90">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41" w:name="_Toc151193849"/>
      <w:bookmarkStart w:id="342" w:name="_Toc164608649"/>
      <w:bookmarkStart w:id="343" w:name="_Toc151193705"/>
      <w:bookmarkStart w:id="344" w:name="_Toc520356160"/>
      <w:bookmarkStart w:id="345" w:name="_Toc150774635"/>
      <w:bookmarkStart w:id="346" w:name="_Toc226309779"/>
      <w:bookmarkStart w:id="347" w:name="_Toc226965725"/>
      <w:bookmarkStart w:id="348" w:name="_Toc264969225"/>
      <w:bookmarkStart w:id="349" w:name="_Toc150480773"/>
      <w:bookmarkStart w:id="350" w:name="_Toc305158877"/>
      <w:bookmarkStart w:id="351" w:name="_Toc127151535"/>
      <w:bookmarkStart w:id="352" w:name="_Toc150774740"/>
      <w:bookmarkStart w:id="353" w:name="_Toc127151736"/>
      <w:bookmarkStart w:id="354" w:name="_Toc149720828"/>
      <w:bookmarkStart w:id="355" w:name="_Toc265228373"/>
      <w:bookmarkStart w:id="356" w:name="_Toc142311037"/>
      <w:bookmarkStart w:id="357" w:name="_Toc226965808"/>
      <w:bookmarkStart w:id="358" w:name="_Toc164608804"/>
      <w:bookmarkStart w:id="359" w:name="_Toc151193923"/>
      <w:bookmarkStart w:id="360" w:name="_Toc164351629"/>
      <w:bookmarkStart w:id="361" w:name="_Toc305158803"/>
      <w:bookmarkStart w:id="362" w:name="_Toc150509286"/>
      <w:bookmarkStart w:id="363" w:name="_Toc164229376"/>
      <w:bookmarkStart w:id="364" w:name="_Toc195842900"/>
      <w:bookmarkStart w:id="365" w:name="_Toc127161449"/>
      <w:bookmarkStart w:id="366" w:name="_Toc151193633"/>
      <w:bookmarkStart w:id="367" w:name="_Toc226337231"/>
      <w:bookmarkStart w:id="368" w:name="_Toc151190162"/>
      <w:bookmarkStart w:id="369" w:name="_Toc151193777"/>
      <w:bookmarkStart w:id="370" w:name="_Toc164229230"/>
      <w:r>
        <w:rPr>
          <w:color w:val="000000" w:themeColor="text1"/>
          <w:sz w:val="24"/>
          <w:highlight w:val="none"/>
          <w14:textFill>
            <w14:solidFill>
              <w14:schemeClr w14:val="tx1"/>
            </w14:solidFill>
          </w14:textFill>
        </w:rPr>
        <w:t>响应文件的</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color w:val="000000" w:themeColor="text1"/>
          <w:sz w:val="24"/>
          <w:highlight w:val="none"/>
          <w14:textFill>
            <w14:solidFill>
              <w14:schemeClr w14:val="tx1"/>
            </w14:solidFill>
          </w14:textFill>
        </w:rPr>
        <w:t>提交</w:t>
      </w:r>
    </w:p>
    <w:p w14:paraId="344BF60A">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。供应商根据竞争性磋商文件及</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供应商操作手册要求编制、生成并提交电子响应文件。</w:t>
      </w:r>
    </w:p>
    <w:p w14:paraId="4949FB68">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17045C19">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371" w:name="_Toc164229377"/>
      <w:bookmarkStart w:id="372" w:name="_Toc150480774"/>
      <w:bookmarkStart w:id="373" w:name="_Toc149720829"/>
      <w:bookmarkStart w:id="374" w:name="_Toc265228374"/>
      <w:bookmarkStart w:id="375" w:name="_Toc150509287"/>
      <w:bookmarkStart w:id="376" w:name="_Toc151193924"/>
      <w:bookmarkStart w:id="377" w:name="_Toc127151737"/>
      <w:bookmarkStart w:id="378" w:name="_Toc151193706"/>
      <w:bookmarkStart w:id="379" w:name="_Toc151193634"/>
      <w:bookmarkStart w:id="380" w:name="_Toc195842901"/>
      <w:bookmarkStart w:id="381" w:name="_Toc127151536"/>
      <w:bookmarkStart w:id="382" w:name="_Toc151193850"/>
      <w:bookmarkStart w:id="383" w:name="_Toc164608650"/>
      <w:bookmarkStart w:id="384" w:name="_Toc150774636"/>
      <w:bookmarkStart w:id="385" w:name="_Toc164229231"/>
      <w:bookmarkStart w:id="386" w:name="_Toc142311038"/>
      <w:bookmarkStart w:id="387" w:name="_Toc127161450"/>
      <w:bookmarkStart w:id="388" w:name="_Toc150774741"/>
      <w:bookmarkStart w:id="389" w:name="_Toc305158804"/>
      <w:bookmarkStart w:id="390" w:name="_Toc520356161"/>
      <w:bookmarkStart w:id="391" w:name="_Toc164351630"/>
      <w:bookmarkStart w:id="392" w:name="_Toc164608805"/>
      <w:bookmarkStart w:id="393" w:name="_Toc226965809"/>
      <w:bookmarkStart w:id="394" w:name="_Toc151190163"/>
      <w:bookmarkStart w:id="395" w:name="_Toc151193778"/>
      <w:bookmarkStart w:id="396" w:name="_Toc264969226"/>
      <w:bookmarkStart w:id="397" w:name="_Toc226965726"/>
      <w:bookmarkStart w:id="398" w:name="_Toc226309780"/>
      <w:bookmarkStart w:id="399" w:name="_Toc226337232"/>
      <w:bookmarkStart w:id="400" w:name="_Toc305158878"/>
      <w:r>
        <w:rPr>
          <w:color w:val="000000" w:themeColor="text1"/>
          <w:sz w:val="24"/>
          <w:highlight w:val="none"/>
          <w14:textFill>
            <w14:solidFill>
              <w14:schemeClr w14:val="tx1"/>
            </w14:solidFill>
          </w14:textFill>
        </w:rPr>
        <w:t>响应文件截止</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color w:val="000000" w:themeColor="text1"/>
          <w:sz w:val="24"/>
          <w:highlight w:val="none"/>
          <w14:textFill>
            <w14:solidFill>
              <w14:schemeClr w14:val="tx1"/>
            </w14:solidFill>
          </w14:textFill>
        </w:rPr>
        <w:t>时间</w:t>
      </w:r>
    </w:p>
    <w:p w14:paraId="358DAA19">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供应商应在竞争性磋商文件要求提交响应文件截止时间前，将电子响应文件提交至</w:t>
      </w:r>
      <w:r>
        <w:rPr>
          <w:rFonts w:hint="eastAsia"/>
          <w:color w:val="000000" w:themeColor="text1"/>
          <w:sz w:val="24"/>
          <w:highlight w:val="none"/>
          <w:lang w:eastAsia="zh-CN"/>
          <w14:textFill>
            <w14:solidFill>
              <w14:schemeClr w14:val="tx1"/>
            </w14:solidFill>
          </w14:textFill>
        </w:rPr>
        <w:t>“苏采云”政府采购一体化平台供应商端</w:t>
      </w:r>
      <w:r>
        <w:rPr>
          <w:color w:val="000000" w:themeColor="text1"/>
          <w:sz w:val="24"/>
          <w:highlight w:val="none"/>
          <w14:textFill>
            <w14:solidFill>
              <w14:schemeClr w14:val="tx1"/>
            </w14:solidFill>
          </w14:textFill>
        </w:rPr>
        <w:t>。</w:t>
      </w:r>
    </w:p>
    <w:p w14:paraId="166AEE8F">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01" w:name="_Toc164608651"/>
      <w:bookmarkStart w:id="402" w:name="_Toc149720830"/>
      <w:bookmarkStart w:id="403" w:name="_Toc164229232"/>
      <w:bookmarkStart w:id="404" w:name="_Toc195842902"/>
      <w:bookmarkStart w:id="405" w:name="_Toc151193851"/>
      <w:bookmarkStart w:id="406" w:name="_Toc150774742"/>
      <w:bookmarkStart w:id="407" w:name="_Toc127151738"/>
      <w:bookmarkStart w:id="408" w:name="_Toc127161451"/>
      <w:bookmarkStart w:id="409" w:name="_Toc305158805"/>
      <w:bookmarkStart w:id="410" w:name="_Toc142311039"/>
      <w:bookmarkStart w:id="411" w:name="_Toc226965810"/>
      <w:bookmarkStart w:id="412" w:name="_Toc265228375"/>
      <w:bookmarkStart w:id="413" w:name="_Toc151193635"/>
      <w:bookmarkStart w:id="414" w:name="_Toc226965727"/>
      <w:bookmarkStart w:id="415" w:name="_Toc150480775"/>
      <w:bookmarkStart w:id="416" w:name="_Toc226309781"/>
      <w:bookmarkStart w:id="417" w:name="_Toc151193779"/>
      <w:bookmarkStart w:id="418" w:name="_Toc164229378"/>
      <w:bookmarkStart w:id="419" w:name="_Toc305158879"/>
      <w:bookmarkStart w:id="420" w:name="_Toc150774637"/>
      <w:bookmarkStart w:id="421" w:name="_Toc151193925"/>
      <w:bookmarkStart w:id="422" w:name="_Toc127151537"/>
      <w:bookmarkStart w:id="423" w:name="_Toc151193707"/>
      <w:bookmarkStart w:id="424" w:name="_Toc264969227"/>
      <w:bookmarkStart w:id="425" w:name="_Toc520356162"/>
      <w:bookmarkStart w:id="426" w:name="_Toc164608806"/>
      <w:bookmarkStart w:id="427" w:name="_Toc150509288"/>
      <w:bookmarkStart w:id="428" w:name="_Toc226337233"/>
      <w:bookmarkStart w:id="429" w:name="_Toc151190164"/>
      <w:bookmarkStart w:id="430" w:name="_Toc164351631"/>
      <w:r>
        <w:rPr>
          <w:color w:val="000000" w:themeColor="text1"/>
          <w:sz w:val="24"/>
          <w:highlight w:val="none"/>
          <w14:textFill>
            <w14:solidFill>
              <w14:schemeClr w14:val="tx1"/>
            </w14:solidFill>
          </w14:textFill>
        </w:rPr>
        <w:t>响应文件的修改与撤回</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165E2454">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p>
    <w:p w14:paraId="329C39EA">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016ABCAA">
      <w:pPr>
        <w:tabs>
          <w:tab w:val="left" w:pos="900"/>
          <w:tab w:val="left" w:pos="1080"/>
          <w:tab w:val="left" w:pos="1589"/>
        </w:tabs>
        <w:spacing w:line="360" w:lineRule="auto"/>
        <w:ind w:left="357"/>
        <w:rPr>
          <w:color w:val="000000" w:themeColor="text1"/>
          <w:sz w:val="24"/>
          <w:highlight w:val="none"/>
          <w14:textFill>
            <w14:solidFill>
              <w14:schemeClr w14:val="tx1"/>
            </w14:solidFill>
          </w14:textFill>
        </w:rPr>
      </w:pPr>
    </w:p>
    <w:p w14:paraId="6CA36613">
      <w:pPr>
        <w:pStyle w:val="185"/>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31" w:name="_Toc150774638"/>
      <w:bookmarkStart w:id="432" w:name="_Toc520356163"/>
      <w:bookmarkStart w:id="433" w:name="_Toc264969228"/>
      <w:bookmarkStart w:id="434" w:name="_Toc150774743"/>
      <w:bookmarkStart w:id="435" w:name="_Toc127151538"/>
      <w:bookmarkStart w:id="436" w:name="_Toc151193708"/>
      <w:bookmarkStart w:id="437" w:name="_Toc150509289"/>
      <w:bookmarkStart w:id="438" w:name="_Toc265228376"/>
      <w:bookmarkStart w:id="439" w:name="_Toc142311040"/>
      <w:bookmarkStart w:id="440" w:name="_Toc151193926"/>
      <w:bookmarkStart w:id="441" w:name="_Toc151193852"/>
      <w:bookmarkStart w:id="442" w:name="_Toc226965811"/>
      <w:bookmarkStart w:id="443" w:name="_Toc150480776"/>
      <w:bookmarkStart w:id="444" w:name="_Toc305158806"/>
      <w:bookmarkStart w:id="445" w:name="_Toc195842903"/>
      <w:bookmarkStart w:id="446" w:name="_Toc226965728"/>
      <w:bookmarkStart w:id="447" w:name="_Toc226309782"/>
      <w:bookmarkStart w:id="448" w:name="_Toc151190165"/>
      <w:bookmarkStart w:id="449" w:name="_Toc305158880"/>
      <w:bookmarkStart w:id="450" w:name="_Toc226337234"/>
      <w:bookmarkStart w:id="451" w:name="_Toc151193780"/>
      <w:bookmarkStart w:id="452" w:name="_Toc151193636"/>
      <w:r>
        <w:rPr>
          <w:rFonts w:ascii="Times New Roman" w:hAnsi="Times New Roman" w:eastAsia="宋体"/>
          <w:color w:val="000000" w:themeColor="text1"/>
          <w:sz w:val="28"/>
          <w:highlight w:val="none"/>
          <w14:textFill>
            <w14:solidFill>
              <w14:schemeClr w14:val="tx1"/>
            </w14:solidFill>
          </w14:textFill>
        </w:rPr>
        <w:t xml:space="preserve">五   </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ascii="Times New Roman" w:hAnsi="Times New Roman" w:eastAsia="宋体"/>
          <w:color w:val="000000" w:themeColor="text1"/>
          <w:sz w:val="28"/>
          <w:highlight w:val="none"/>
          <w14:textFill>
            <w14:solidFill>
              <w14:schemeClr w14:val="tx1"/>
            </w14:solidFill>
          </w14:textFill>
        </w:rPr>
        <w:t>评审</w:t>
      </w:r>
    </w:p>
    <w:p w14:paraId="60B4EB37">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w:t>
      </w:r>
      <w:r>
        <w:rPr>
          <w:rFonts w:hint="eastAsia"/>
          <w:color w:val="000000" w:themeColor="text1"/>
          <w:sz w:val="24"/>
          <w:highlight w:val="none"/>
          <w14:textFill>
            <w14:solidFill>
              <w14:schemeClr w14:val="tx1"/>
            </w14:solidFill>
          </w14:textFill>
        </w:rPr>
        <w:t>解密与</w:t>
      </w:r>
      <w:r>
        <w:rPr>
          <w:color w:val="000000" w:themeColor="text1"/>
          <w:sz w:val="24"/>
          <w:highlight w:val="none"/>
          <w14:textFill>
            <w14:solidFill>
              <w14:schemeClr w14:val="tx1"/>
            </w14:solidFill>
          </w14:textFill>
        </w:rPr>
        <w:t>开启</w:t>
      </w:r>
    </w:p>
    <w:p w14:paraId="78CCA465">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66B3D4DA">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采用不见面招</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22D44DD7">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743271A7">
      <w:pPr>
        <w:numPr>
          <w:ilvl w:val="1"/>
          <w:numId w:val="8"/>
        </w:numPr>
        <w:tabs>
          <w:tab w:val="left" w:pos="1080"/>
          <w:tab w:val="left" w:pos="2014"/>
        </w:tabs>
        <w:spacing w:line="360" w:lineRule="auto"/>
        <w:ind w:left="1077" w:hanging="720"/>
        <w:rPr>
          <w:rFonts w:hint="eastAsia"/>
          <w:color w:val="000000" w:themeColor="text1"/>
          <w:sz w:val="24"/>
          <w:highlight w:val="none"/>
          <w14:textFill>
            <w14:solidFill>
              <w14:schemeClr w14:val="tx1"/>
            </w14:solidFill>
          </w14:textFill>
        </w:rPr>
      </w:pPr>
      <w:bookmarkStart w:id="453" w:name="_Toc520356165"/>
      <w:r>
        <w:rPr>
          <w:color w:val="000000" w:themeColor="text1"/>
          <w:sz w:val="24"/>
          <w:highlight w:val="none"/>
          <w14:textFill>
            <w14:solidFill>
              <w14:schemeClr w14:val="tx1"/>
            </w14:solidFill>
          </w14:textFill>
        </w:rPr>
        <w:t>本项目不公开报价。</w:t>
      </w:r>
    </w:p>
    <w:p w14:paraId="3401709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202B3489">
      <w:pPr>
        <w:numPr>
          <w:ilvl w:val="1"/>
          <w:numId w:val="8"/>
        </w:numPr>
        <w:tabs>
          <w:tab w:val="left" w:pos="1080"/>
          <w:tab w:val="left" w:pos="2014"/>
        </w:tabs>
        <w:spacing w:line="360" w:lineRule="auto"/>
        <w:ind w:left="1077" w:hanging="72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1B1DC43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w:t>
      </w:r>
      <w:r>
        <w:rPr>
          <w:rFonts w:hint="eastAsia"/>
          <w:color w:val="000000" w:themeColor="text1"/>
          <w:sz w:val="24"/>
          <w:highlight w:val="none"/>
          <w:lang w:eastAsia="zh-CN" w:bidi="ar"/>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77CBD86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1E31C7F2">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1195954C">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187481D3">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2DA66446">
      <w:pPr>
        <w:tabs>
          <w:tab w:val="left" w:pos="1080"/>
          <w:tab w:val="left" w:pos="1589"/>
          <w:tab w:val="left" w:pos="2014"/>
        </w:tabs>
        <w:spacing w:line="360" w:lineRule="auto"/>
        <w:ind w:left="357" w:firstLine="840"/>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6B961EBA">
      <w:pPr>
        <w:tabs>
          <w:tab w:val="left" w:pos="993"/>
          <w:tab w:val="left" w:pos="1589"/>
          <w:tab w:val="left" w:pos="20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p>
    <w:bookmarkEnd w:id="453"/>
    <w:p w14:paraId="08434117">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w:t>
      </w:r>
    </w:p>
    <w:p w14:paraId="38AD0B46">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454" w:name="_Toc520356166"/>
    </w:p>
    <w:p w14:paraId="4563D939">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54"/>
      <w:bookmarkStart w:id="455" w:name="_Toc520356169"/>
    </w:p>
    <w:p w14:paraId="08610169">
      <w:pPr>
        <w:numPr>
          <w:ilvl w:val="0"/>
          <w:numId w:val="8"/>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1ECE419F">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05238489">
      <w:pPr>
        <w:tabs>
          <w:tab w:val="left" w:pos="360"/>
          <w:tab w:val="left" w:pos="1080"/>
        </w:tabs>
        <w:spacing w:line="360" w:lineRule="auto"/>
        <w:ind w:left="1080"/>
        <w:rPr>
          <w:color w:val="000000" w:themeColor="text1"/>
          <w:sz w:val="24"/>
          <w:highlight w:val="none"/>
          <w14:textFill>
            <w14:solidFill>
              <w14:schemeClr w14:val="tx1"/>
            </w14:solidFill>
          </w14:textFill>
        </w:rPr>
      </w:pPr>
    </w:p>
    <w:p w14:paraId="7559F7EF">
      <w:pPr>
        <w:pStyle w:val="185"/>
        <w:spacing w:before="0" w:line="360" w:lineRule="auto"/>
        <w:rPr>
          <w:rFonts w:ascii="Times New Roman" w:hAnsi="Times New Roman" w:eastAsia="宋体"/>
          <w:color w:val="000000" w:themeColor="text1"/>
          <w:sz w:val="28"/>
          <w:highlight w:val="none"/>
          <w14:textFill>
            <w14:solidFill>
              <w14:schemeClr w14:val="tx1"/>
            </w14:solidFill>
          </w14:textFill>
        </w:rPr>
      </w:pPr>
      <w:bookmarkStart w:id="456" w:name="_Toc195842910"/>
      <w:bookmarkStart w:id="457" w:name="_Toc265228383"/>
      <w:bookmarkStart w:id="458" w:name="_Toc150480783"/>
      <w:bookmarkStart w:id="459" w:name="_Toc305158887"/>
      <w:bookmarkStart w:id="460" w:name="_Toc150774750"/>
      <w:bookmarkStart w:id="461" w:name="_Toc151193715"/>
      <w:bookmarkStart w:id="462" w:name="_Toc150509296"/>
      <w:bookmarkStart w:id="463" w:name="_Toc151193643"/>
      <w:bookmarkStart w:id="464" w:name="_Toc264969235"/>
      <w:bookmarkStart w:id="465" w:name="_Toc150774645"/>
      <w:bookmarkStart w:id="466" w:name="_Toc305158813"/>
      <w:bookmarkStart w:id="467" w:name="_Toc226965735"/>
      <w:bookmarkStart w:id="468" w:name="_Toc151193787"/>
      <w:bookmarkStart w:id="469" w:name="_Toc151190172"/>
      <w:bookmarkStart w:id="470" w:name="_Toc151193933"/>
      <w:bookmarkStart w:id="471" w:name="_Toc226309789"/>
      <w:bookmarkStart w:id="472" w:name="_Toc127151545"/>
      <w:bookmarkStart w:id="473" w:name="_Toc151193859"/>
      <w:bookmarkStart w:id="474" w:name="_Toc226337241"/>
      <w:bookmarkStart w:id="475" w:name="_Toc226965818"/>
      <w:bookmarkStart w:id="476" w:name="_Toc142311047"/>
      <w:r>
        <w:rPr>
          <w:rFonts w:ascii="Times New Roman" w:hAnsi="Times New Roman" w:eastAsia="宋体"/>
          <w:color w:val="000000" w:themeColor="text1"/>
          <w:sz w:val="28"/>
          <w:highlight w:val="none"/>
          <w14:textFill>
            <w14:solidFill>
              <w14:schemeClr w14:val="tx1"/>
            </w14:solidFill>
          </w14:textFill>
        </w:rPr>
        <w:t xml:space="preserve">六   </w:t>
      </w:r>
      <w:bookmarkEnd w:id="455"/>
      <w:r>
        <w:rPr>
          <w:rFonts w:ascii="Times New Roman" w:hAnsi="Times New Roman" w:eastAsia="宋体"/>
          <w:color w:val="000000" w:themeColor="text1"/>
          <w:sz w:val="28"/>
          <w:highlight w:val="none"/>
          <w14:textFill>
            <w14:solidFill>
              <w14:schemeClr w14:val="tx1"/>
            </w14:solidFill>
          </w14:textFill>
        </w:rPr>
        <w:t>确定</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rFonts w:ascii="Times New Roman" w:hAnsi="Times New Roman" w:eastAsia="宋体"/>
          <w:color w:val="000000" w:themeColor="text1"/>
          <w:sz w:val="28"/>
          <w:highlight w:val="none"/>
          <w14:textFill>
            <w14:solidFill>
              <w14:schemeClr w14:val="tx1"/>
            </w14:solidFill>
          </w14:textFill>
        </w:rPr>
        <w:t>成交</w:t>
      </w:r>
    </w:p>
    <w:p w14:paraId="6C924DE7">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477" w:name="_Toc164608816"/>
      <w:bookmarkStart w:id="478" w:name="_Toc150509298"/>
      <w:bookmarkStart w:id="479" w:name="_Toc195842912"/>
      <w:bookmarkStart w:id="480" w:name="_Toc151193645"/>
      <w:bookmarkStart w:id="481" w:name="_Toc305158889"/>
      <w:bookmarkStart w:id="482" w:name="_Toc226309791"/>
      <w:bookmarkStart w:id="483" w:name="_Toc151193717"/>
      <w:bookmarkStart w:id="484" w:name="_Toc150774647"/>
      <w:bookmarkStart w:id="485" w:name="_Toc164608661"/>
      <w:bookmarkStart w:id="486" w:name="_Toc226965820"/>
      <w:bookmarkStart w:id="487" w:name="_Toc164229388"/>
      <w:bookmarkStart w:id="488" w:name="_Toc164351641"/>
      <w:bookmarkStart w:id="489" w:name="_Toc150774752"/>
      <w:bookmarkStart w:id="490" w:name="_Toc151190174"/>
      <w:bookmarkStart w:id="491" w:name="_Toc127161461"/>
      <w:bookmarkStart w:id="492" w:name="_Toc127151748"/>
      <w:bookmarkStart w:id="493" w:name="_Toc151193935"/>
      <w:bookmarkStart w:id="494" w:name="_Toc150480785"/>
      <w:bookmarkStart w:id="495" w:name="_Toc265228385"/>
      <w:bookmarkStart w:id="496" w:name="_Toc226337243"/>
      <w:bookmarkStart w:id="497" w:name="_Toc142311049"/>
      <w:bookmarkStart w:id="498" w:name="_Toc151193789"/>
      <w:bookmarkStart w:id="499" w:name="_Toc305158815"/>
      <w:bookmarkStart w:id="500" w:name="_Toc264969237"/>
      <w:bookmarkStart w:id="501" w:name="_Toc127151547"/>
      <w:bookmarkStart w:id="502" w:name="_Toc151193861"/>
      <w:bookmarkStart w:id="503" w:name="_Toc164229242"/>
      <w:bookmarkStart w:id="504" w:name="_Toc149720840"/>
      <w:bookmarkStart w:id="505" w:name="_Toc226965737"/>
      <w:r>
        <w:rPr>
          <w:color w:val="000000" w:themeColor="text1"/>
          <w:sz w:val="24"/>
          <w:highlight w:val="none"/>
          <w14:textFill>
            <w14:solidFill>
              <w14:schemeClr w14:val="tx1"/>
            </w14:solidFill>
          </w14:textFill>
        </w:rPr>
        <w:t>确定成交供应商</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0C6FFA6">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592C30CD">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06" w:name="_Toc305158891"/>
      <w:bookmarkStart w:id="507" w:name="_Toc305158817"/>
      <w:bookmarkStart w:id="508" w:name="_Toc265228387"/>
      <w:bookmarkStart w:id="509" w:name="_Toc164229244"/>
      <w:bookmarkStart w:id="510" w:name="_Toc151193719"/>
      <w:bookmarkStart w:id="511" w:name="_Toc127151549"/>
      <w:bookmarkStart w:id="512" w:name="_Toc164229390"/>
      <w:bookmarkStart w:id="513" w:name="_Toc151190176"/>
      <w:bookmarkStart w:id="514" w:name="_Toc226965739"/>
      <w:bookmarkStart w:id="515" w:name="_Toc151193863"/>
      <w:bookmarkStart w:id="516" w:name="_Toc264969239"/>
      <w:bookmarkStart w:id="517" w:name="_Toc150480787"/>
      <w:bookmarkStart w:id="518" w:name="_Toc150774649"/>
      <w:bookmarkStart w:id="519" w:name="_Toc164608663"/>
      <w:bookmarkStart w:id="520" w:name="_Toc127161463"/>
      <w:bookmarkStart w:id="521" w:name="_Toc195842914"/>
      <w:bookmarkStart w:id="522" w:name="_Toc226337245"/>
      <w:bookmarkStart w:id="523" w:name="_Toc226309793"/>
      <w:bookmarkStart w:id="524" w:name="_Toc151193647"/>
      <w:bookmarkStart w:id="525" w:name="_Toc151193791"/>
      <w:bookmarkStart w:id="526" w:name="_Toc150509300"/>
      <w:bookmarkStart w:id="527" w:name="_Toc142311051"/>
      <w:bookmarkStart w:id="528" w:name="_Toc127151750"/>
      <w:bookmarkStart w:id="529" w:name="_Toc226965822"/>
      <w:bookmarkStart w:id="530" w:name="_Toc164351643"/>
      <w:bookmarkStart w:id="531" w:name="_Toc150774754"/>
      <w:bookmarkStart w:id="532" w:name="_Toc164608818"/>
      <w:bookmarkStart w:id="533" w:name="_Toc151193937"/>
      <w:bookmarkStart w:id="534" w:name="_Toc149720842"/>
      <w:bookmarkStart w:id="535" w:name="_Ref467307090"/>
      <w:bookmarkStart w:id="536" w:name="_Toc520356176"/>
      <w:bookmarkStart w:id="537" w:name="_Ref467306425"/>
      <w:r>
        <w:rPr>
          <w:color w:val="000000" w:themeColor="text1"/>
          <w:sz w:val="24"/>
          <w:highlight w:val="none"/>
          <w14:textFill>
            <w14:solidFill>
              <w14:schemeClr w14:val="tx1"/>
            </w14:solidFill>
          </w14:textFill>
        </w:rPr>
        <w:t>成交公告与成交通知书</w:t>
      </w:r>
      <w:bookmarkEnd w:id="506"/>
      <w:bookmarkEnd w:id="507"/>
    </w:p>
    <w:p w14:paraId="6FC8430F">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78FDE6BE">
      <w:pPr>
        <w:numPr>
          <w:ilvl w:val="1"/>
          <w:numId w:val="8"/>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6EB2B921">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终止</w:t>
      </w:r>
    </w:p>
    <w:p w14:paraId="565860FA">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7F305AAE">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5A3810F5">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48780A98">
      <w:pPr>
        <w:numPr>
          <w:ilvl w:val="2"/>
          <w:numId w:val="8"/>
        </w:numPr>
        <w:spacing w:line="360" w:lineRule="auto"/>
        <w:rPr>
          <w:rFonts w:hint="eastAsia"/>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82114E7">
      <w:pPr>
        <w:numPr>
          <w:ilvl w:val="2"/>
          <w:numId w:val="8"/>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14:paraId="3C4B92BC">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bookmarkStart w:id="538" w:name="_Ref467306377"/>
      <w:bookmarkStart w:id="539" w:name="_Toc151193864"/>
      <w:bookmarkStart w:id="540" w:name="_Toc150480788"/>
      <w:bookmarkStart w:id="541" w:name="_Toc150774755"/>
      <w:bookmarkStart w:id="542" w:name="_Toc226965823"/>
      <w:bookmarkStart w:id="543" w:name="_Toc164351644"/>
      <w:bookmarkStart w:id="544" w:name="_Toc142311052"/>
      <w:bookmarkStart w:id="545" w:name="_Toc164229391"/>
      <w:bookmarkStart w:id="546" w:name="_Toc264969240"/>
      <w:bookmarkStart w:id="547" w:name="_Toc151193648"/>
      <w:bookmarkStart w:id="548" w:name="_Toc151193938"/>
      <w:bookmarkStart w:id="549" w:name="_Toc226337246"/>
      <w:bookmarkStart w:id="550" w:name="_Toc150774650"/>
      <w:bookmarkStart w:id="551" w:name="_Toc164608819"/>
      <w:bookmarkStart w:id="552" w:name="_Toc195842915"/>
      <w:bookmarkStart w:id="553" w:name="_Toc305158818"/>
      <w:bookmarkStart w:id="554" w:name="_Toc226309794"/>
      <w:bookmarkStart w:id="555" w:name="_Toc520356175"/>
      <w:bookmarkStart w:id="556" w:name="_Toc150509301"/>
      <w:bookmarkStart w:id="557" w:name="_Toc265228388"/>
      <w:bookmarkStart w:id="558" w:name="_Toc226965740"/>
      <w:bookmarkStart w:id="559" w:name="_Toc151190177"/>
      <w:bookmarkStart w:id="560" w:name="_Toc151193720"/>
      <w:bookmarkStart w:id="561" w:name="_Toc127151751"/>
      <w:bookmarkStart w:id="562" w:name="_Toc305158892"/>
      <w:bookmarkStart w:id="563" w:name="_Ref467306978"/>
      <w:bookmarkStart w:id="564" w:name="_Toc164229245"/>
      <w:bookmarkStart w:id="565" w:name="_Toc151193792"/>
      <w:bookmarkStart w:id="566" w:name="_Toc127151550"/>
      <w:bookmarkStart w:id="567" w:name="_Toc149720843"/>
      <w:bookmarkStart w:id="568" w:name="_Toc127161464"/>
      <w:bookmarkStart w:id="569" w:name="_Toc164608664"/>
      <w:bookmarkStart w:id="570" w:name="_Ref467307062"/>
      <w:bookmarkStart w:id="571" w:name="_Ref467307204"/>
      <w:r>
        <w:rPr>
          <w:color w:val="000000" w:themeColor="text1"/>
          <w:sz w:val="24"/>
          <w:highlight w:val="none"/>
          <w14:textFill>
            <w14:solidFill>
              <w14:schemeClr w14:val="tx1"/>
            </w14:solidFill>
          </w14:textFill>
        </w:rPr>
        <w:t>签订合同</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14:paraId="3585D451">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3AFB30E0">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987405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6CA80A50">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4CC89CC0">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p>
    <w:bookmarkEnd w:id="535"/>
    <w:bookmarkEnd w:id="536"/>
    <w:bookmarkEnd w:id="537"/>
    <w:p w14:paraId="29C719A6">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询问与质疑</w:t>
      </w:r>
    </w:p>
    <w:p w14:paraId="11365760">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513128A0">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7141DDD5">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700BB3DC">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6BF44D89">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77EBC51">
      <w:pPr>
        <w:numPr>
          <w:ilvl w:val="2"/>
          <w:numId w:val="8"/>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481B066F">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"http://gks.mof.gov.cn/ztztz/zhengfucaigouguanli/201802/t20180201_2804589.htm" </w:instrText>
      </w:r>
      <w:r>
        <w:rPr>
          <w:color w:val="000000" w:themeColor="text1"/>
          <w:highlight w:val="none"/>
          <w14:textFill>
            <w14:solidFill>
              <w14:schemeClr w14:val="tx1"/>
            </w14:solidFill>
          </w14:textFill>
        </w:rPr>
        <w:fldChar w:fldCharType="separate"/>
      </w:r>
      <w:r>
        <w:rPr>
          <w:rStyle w:val="263"/>
          <w:color w:val="000000" w:themeColor="text1"/>
          <w:highlight w:val="none"/>
          <w14:textFill>
            <w14:solidFill>
              <w14:schemeClr w14:val="tx1"/>
            </w14:solidFill>
          </w14:textFill>
        </w:rPr>
        <w:t>http://gk</w:t>
      </w:r>
      <w:bookmarkStart w:id="572" w:name="_Hlt100654014"/>
      <w:r>
        <w:rPr>
          <w:rStyle w:val="263"/>
          <w:color w:val="000000" w:themeColor="text1"/>
          <w:highlight w:val="none"/>
          <w14:textFill>
            <w14:solidFill>
              <w14:schemeClr w14:val="tx1"/>
            </w14:solidFill>
          </w14:textFill>
        </w:rPr>
        <w:t>s</w:t>
      </w:r>
      <w:bookmarkEnd w:id="572"/>
      <w:r>
        <w:rPr>
          <w:rStyle w:val="263"/>
          <w:color w:val="000000" w:themeColor="text1"/>
          <w:highlight w:val="none"/>
          <w14:textFill>
            <w14:solidFill>
              <w14:schemeClr w14:val="tx1"/>
            </w14:solidFill>
          </w14:textFill>
        </w:rPr>
        <w:t>.m</w:t>
      </w:r>
      <w:bookmarkStart w:id="573" w:name="_Hlt100653994"/>
      <w:bookmarkStart w:id="574" w:name="_Hlt100653993"/>
      <w:r>
        <w:rPr>
          <w:rStyle w:val="263"/>
          <w:color w:val="000000" w:themeColor="text1"/>
          <w:highlight w:val="none"/>
          <w14:textFill>
            <w14:solidFill>
              <w14:schemeClr w14:val="tx1"/>
            </w14:solidFill>
          </w14:textFill>
        </w:rPr>
        <w:t>o</w:t>
      </w:r>
      <w:bookmarkEnd w:id="573"/>
      <w:bookmarkEnd w:id="574"/>
      <w:bookmarkStart w:id="575" w:name="_Hlt101169156"/>
      <w:r>
        <w:rPr>
          <w:rStyle w:val="263"/>
          <w:color w:val="000000" w:themeColor="text1"/>
          <w:highlight w:val="none"/>
          <w14:textFill>
            <w14:solidFill>
              <w14:schemeClr w14:val="tx1"/>
            </w14:solidFill>
          </w14:textFill>
        </w:rPr>
        <w:t>f</w:t>
      </w:r>
      <w:bookmarkEnd w:id="575"/>
      <w:r>
        <w:rPr>
          <w:rStyle w:val="263"/>
          <w:color w:val="000000" w:themeColor="text1"/>
          <w:highlight w:val="none"/>
          <w14:textFill>
            <w14:solidFill>
              <w14:schemeClr w14:val="tx1"/>
            </w14:solidFill>
          </w14:textFill>
        </w:rPr>
        <w:t>.gov.cn/ztztz/zhengfucaigouguanli/201802/t20180201_2804589.htm</w:t>
      </w:r>
      <w:r>
        <w:rPr>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05DF1F3D">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307B069F">
      <w:pPr>
        <w:numPr>
          <w:ilvl w:val="2"/>
          <w:numId w:val="8"/>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60E829C5">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19E7DC8D">
      <w:pPr>
        <w:numPr>
          <w:ilvl w:val="0"/>
          <w:numId w:val="8"/>
        </w:numPr>
        <w:tabs>
          <w:tab w:val="left" w:pos="360"/>
        </w:tabs>
        <w:spacing w:line="360" w:lineRule="auto"/>
        <w:ind w:left="357" w:hanging="357"/>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代理费</w:t>
      </w:r>
    </w:p>
    <w:p w14:paraId="27B6B231">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542CC0FA">
      <w:pPr>
        <w:tabs>
          <w:tab w:val="left" w:pos="1080"/>
          <w:tab w:val="left" w:pos="2014"/>
        </w:tabs>
        <w:spacing w:line="360" w:lineRule="auto"/>
        <w:ind w:left="357"/>
        <w:rPr>
          <w:color w:val="000000" w:themeColor="text1"/>
          <w:sz w:val="24"/>
          <w:highlight w:val="none"/>
          <w14:textFill>
            <w14:solidFill>
              <w14:schemeClr w14:val="tx1"/>
            </w14:solidFill>
          </w14:textFill>
        </w:rPr>
      </w:pPr>
      <w:bookmarkStart w:id="576" w:name="_Toc265228392"/>
      <w:bookmarkStart w:id="577" w:name="_Toc142311056"/>
      <w:bookmarkStart w:id="578" w:name="_Toc150774759"/>
      <w:bookmarkStart w:id="579" w:name="_Toc264969244"/>
      <w:bookmarkStart w:id="580" w:name="_Toc226337250"/>
      <w:bookmarkStart w:id="581" w:name="_Toc305158896"/>
      <w:bookmarkStart w:id="582" w:name="_Toc127151554"/>
      <w:bookmarkStart w:id="583" w:name="_Toc353873934"/>
      <w:bookmarkStart w:id="584" w:name="_Toc353873664"/>
      <w:bookmarkStart w:id="585" w:name="_Toc226965827"/>
      <w:bookmarkStart w:id="586" w:name="_Toc353825544"/>
      <w:bookmarkStart w:id="587" w:name="_Toc305158822"/>
      <w:bookmarkStart w:id="588" w:name="_Toc150480792"/>
    </w:p>
    <w:p w14:paraId="6AED9353">
      <w:pPr>
        <w:numPr>
          <w:ilvl w:val="1"/>
          <w:numId w:val="8"/>
        </w:numPr>
        <w:tabs>
          <w:tab w:val="left" w:pos="1080"/>
          <w:tab w:val="left" w:pos="2014"/>
        </w:tabs>
        <w:spacing w:line="360" w:lineRule="auto"/>
        <w:ind w:left="1077" w:hanging="720"/>
        <w:rPr>
          <w:color w:val="000000" w:themeColor="text1"/>
          <w:sz w:val="24"/>
          <w:highlight w:val="none"/>
          <w14:textFill>
            <w14:solidFill>
              <w14:schemeClr w14:val="tx1"/>
            </w14:solidFill>
          </w14:textFill>
        </w:rPr>
        <w:sectPr>
          <w:footerReference r:id="rId12" w:type="even"/>
          <w:pgSz w:w="11907" w:h="16840"/>
          <w:pgMar w:top="1417" w:right="1134" w:bottom="1417" w:left="1134" w:header="851" w:footer="851" w:gutter="0"/>
          <w:cols w:space="1701" w:num="1"/>
          <w:docGrid w:linePitch="360" w:charSpace="0"/>
        </w:sectPr>
      </w:pPr>
    </w:p>
    <w:p w14:paraId="24EEC19D">
      <w:pPr>
        <w:spacing w:line="360" w:lineRule="auto"/>
        <w:jc w:val="center"/>
        <w:outlineLvl w:val="0"/>
        <w:rPr>
          <w:b/>
          <w:color w:val="000000" w:themeColor="text1"/>
          <w:sz w:val="36"/>
          <w:szCs w:val="36"/>
          <w:highlight w:val="none"/>
          <w14:textFill>
            <w14:solidFill>
              <w14:schemeClr w14:val="tx1"/>
            </w14:solidFill>
          </w14:textFill>
        </w:rPr>
      </w:pPr>
      <w:bookmarkStart w:id="589" w:name="_Toc104818927"/>
      <w:r>
        <w:rPr>
          <w:b/>
          <w:color w:val="000000" w:themeColor="text1"/>
          <w:sz w:val="36"/>
          <w:szCs w:val="36"/>
          <w:highlight w:val="none"/>
          <w14:textFill>
            <w14:solidFill>
              <w14:schemeClr w14:val="tx1"/>
            </w14:solidFill>
          </w14:textFill>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b/>
          <w:color w:val="000000" w:themeColor="text1"/>
          <w:sz w:val="36"/>
          <w:szCs w:val="36"/>
          <w:highlight w:val="none"/>
          <w14:textFill>
            <w14:solidFill>
              <w14:schemeClr w14:val="tx1"/>
            </w14:solidFill>
          </w14:textFill>
        </w:rPr>
        <w:t>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589"/>
      <w:bookmarkStart w:id="590" w:name="_Toc487900382"/>
    </w:p>
    <w:p w14:paraId="11722A35">
      <w:pPr>
        <w:pStyle w:val="185"/>
        <w:spacing w:before="0" w:line="360" w:lineRule="auto"/>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0"/>
    <w:p w14:paraId="646FE9CF">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bookmarkStart w:id="591" w:name="_Toc164229236"/>
      <w:bookmarkStart w:id="592" w:name="_Toc226337237"/>
      <w:bookmarkStart w:id="593" w:name="_Toc150774641"/>
      <w:bookmarkStart w:id="594" w:name="_Toc127151742"/>
      <w:bookmarkStart w:id="595" w:name="_Toc150774746"/>
      <w:bookmarkStart w:id="596" w:name="_Toc164608810"/>
      <w:bookmarkStart w:id="597" w:name="_Toc151193783"/>
      <w:bookmarkStart w:id="598" w:name="_Toc151193711"/>
      <w:bookmarkStart w:id="599" w:name="_Toc195842906"/>
      <w:bookmarkStart w:id="600" w:name="_Toc265228379"/>
      <w:bookmarkStart w:id="601" w:name="_Toc226309785"/>
      <w:bookmarkStart w:id="602" w:name="_Toc305158883"/>
      <w:bookmarkStart w:id="603" w:name="_Toc151193639"/>
      <w:bookmarkStart w:id="604" w:name="_Toc151193855"/>
      <w:bookmarkStart w:id="605" w:name="_Toc151190168"/>
      <w:bookmarkStart w:id="606" w:name="_Toc149720834"/>
      <w:bookmarkStart w:id="607" w:name="_Toc142311043"/>
      <w:bookmarkStart w:id="608" w:name="_Toc226965814"/>
      <w:bookmarkStart w:id="609" w:name="_Toc164608655"/>
      <w:bookmarkStart w:id="610" w:name="_Toc305158809"/>
      <w:bookmarkStart w:id="611" w:name="_Toc264969231"/>
      <w:bookmarkStart w:id="612" w:name="_Toc150480779"/>
      <w:bookmarkStart w:id="613" w:name="_Toc127151541"/>
      <w:bookmarkStart w:id="614" w:name="_Toc164351635"/>
      <w:bookmarkStart w:id="615" w:name="_Toc226965731"/>
      <w:bookmarkStart w:id="616" w:name="_Toc164229382"/>
      <w:bookmarkStart w:id="617" w:name="_Toc150509292"/>
      <w:bookmarkStart w:id="618" w:name="_Toc127161455"/>
      <w:bookmarkStart w:id="619" w:name="_Toc151193929"/>
      <w:bookmarkStart w:id="620" w:name="_Toc353873941"/>
      <w:bookmarkStart w:id="621" w:name="_Toc353825551"/>
      <w:bookmarkStart w:id="622" w:name="_Toc142311057"/>
      <w:bookmarkStart w:id="623" w:name="_Toc305158897"/>
      <w:bookmarkStart w:id="624" w:name="_Toc264969245"/>
      <w:bookmarkStart w:id="625" w:name="_Toc353825545"/>
      <w:bookmarkStart w:id="626" w:name="_Toc226337251"/>
      <w:bookmarkStart w:id="627" w:name="_Toc353873665"/>
      <w:bookmarkStart w:id="628" w:name="_Toc353873935"/>
      <w:bookmarkStart w:id="629" w:name="_Toc305158823"/>
      <w:bookmarkStart w:id="630" w:name="_Toc226965828"/>
      <w:bookmarkStart w:id="631" w:name="_Toc150774760"/>
      <w:bookmarkStart w:id="632" w:name="_Toc265228393"/>
      <w:bookmarkStart w:id="633" w:name="_Toc195842920"/>
      <w:bookmarkStart w:id="634" w:name="_Toc127151555"/>
      <w:bookmarkStart w:id="635" w:name="_Toc150480793"/>
      <w:r>
        <w:rPr>
          <w:color w:val="000000" w:themeColor="text1"/>
          <w:sz w:val="24"/>
          <w:highlight w:val="none"/>
          <w14:textFill>
            <w14:solidFill>
              <w14:schemeClr w14:val="tx1"/>
            </w14:solidFill>
          </w14:textFill>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color w:val="000000" w:themeColor="text1"/>
          <w:sz w:val="24"/>
          <w:highlight w:val="none"/>
          <w14:textFill>
            <w14:solidFill>
              <w14:schemeClr w14:val="tx1"/>
            </w14:solidFill>
          </w14:textFill>
        </w:rPr>
        <w:t>资格性检查和符合性审查</w:t>
      </w:r>
    </w:p>
    <w:p w14:paraId="61E46F33">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5C311F22">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1496D179">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《资格性检查要求》见下表：</w:t>
      </w:r>
    </w:p>
    <w:p w14:paraId="3F0B0D1C">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29"/>
        <w:tblW w:w="93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1"/>
        <w:gridCol w:w="1620"/>
        <w:gridCol w:w="5342"/>
        <w:gridCol w:w="1750"/>
      </w:tblGrid>
      <w:tr w14:paraId="5E30C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trPr>
        <w:tc>
          <w:tcPr>
            <w:tcW w:w="342" w:type="dxa"/>
            <w:noWrap w:val="0"/>
            <w:vAlign w:val="center"/>
          </w:tcPr>
          <w:p w14:paraId="6F95490B">
            <w:pPr>
              <w:tabs>
                <w:tab w:val="left" w:pos="1080"/>
              </w:tabs>
              <w:jc w:val="center"/>
              <w:rPr>
                <w:b/>
                <w:color w:val="000000" w:themeColor="text1"/>
                <w:sz w:val="24"/>
                <w:highlight w:val="none"/>
                <w14:textFill>
                  <w14:solidFill>
                    <w14:schemeClr w14:val="tx1"/>
                  </w14:solidFill>
                </w14:textFill>
              </w:rPr>
            </w:pPr>
            <w:bookmarkStart w:id="636" w:name="_Hlt487972895"/>
            <w:bookmarkEnd w:id="636"/>
            <w:r>
              <w:rPr>
                <w:b/>
                <w:color w:val="000000" w:themeColor="text1"/>
                <w:sz w:val="24"/>
                <w:highlight w:val="none"/>
                <w14:textFill>
                  <w14:solidFill>
                    <w14:schemeClr w14:val="tx1"/>
                  </w14:solidFill>
                </w14:textFill>
              </w:rPr>
              <w:t>序号</w:t>
            </w:r>
          </w:p>
        </w:tc>
        <w:tc>
          <w:tcPr>
            <w:tcW w:w="866" w:type="dxa"/>
            <w:noWrap w:val="0"/>
            <w:vAlign w:val="center"/>
          </w:tcPr>
          <w:p w14:paraId="77ADCC8C">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855" w:type="dxa"/>
            <w:noWrap w:val="0"/>
            <w:vAlign w:val="center"/>
          </w:tcPr>
          <w:p w14:paraId="053FCCF1">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935" w:type="dxa"/>
            <w:noWrap w:val="0"/>
            <w:vAlign w:val="center"/>
          </w:tcPr>
          <w:p w14:paraId="4C14F89A">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0F99B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5FD83BE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866" w:type="dxa"/>
            <w:noWrap w:val="0"/>
            <w:vAlign w:val="center"/>
          </w:tcPr>
          <w:p w14:paraId="19C017A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满足《中华人民共和国政府采购法》第二十二条规定及法律法规的其他规定</w:t>
            </w:r>
          </w:p>
        </w:tc>
        <w:tc>
          <w:tcPr>
            <w:tcW w:w="2855" w:type="dxa"/>
            <w:noWrap w:val="0"/>
            <w:vAlign w:val="center"/>
          </w:tcPr>
          <w:p w14:paraId="0A22A13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具体规定见第一章《采购邀请》</w:t>
            </w:r>
          </w:p>
        </w:tc>
        <w:tc>
          <w:tcPr>
            <w:tcW w:w="935" w:type="dxa"/>
            <w:noWrap w:val="0"/>
            <w:vAlign w:val="center"/>
          </w:tcPr>
          <w:p w14:paraId="7F739112">
            <w:pPr>
              <w:tabs>
                <w:tab w:val="left" w:pos="1080"/>
              </w:tabs>
              <w:rPr>
                <w:color w:val="000000" w:themeColor="text1"/>
                <w:sz w:val="24"/>
                <w:highlight w:val="none"/>
                <w14:textFill>
                  <w14:solidFill>
                    <w14:schemeClr w14:val="tx1"/>
                  </w14:solidFill>
                </w14:textFill>
              </w:rPr>
            </w:pPr>
          </w:p>
        </w:tc>
      </w:tr>
      <w:tr w14:paraId="2E2AD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342" w:type="dxa"/>
            <w:noWrap w:val="0"/>
            <w:vAlign w:val="center"/>
          </w:tcPr>
          <w:p w14:paraId="160F9929">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866" w:type="dxa"/>
            <w:noWrap w:val="0"/>
            <w:vAlign w:val="center"/>
          </w:tcPr>
          <w:p w14:paraId="2B168797">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供应商资格声明函</w:t>
            </w:r>
          </w:p>
        </w:tc>
        <w:tc>
          <w:tcPr>
            <w:tcW w:w="2855" w:type="dxa"/>
            <w:noWrap w:val="0"/>
            <w:vAlign w:val="center"/>
          </w:tcPr>
          <w:p w14:paraId="5313007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文件要求的《</w:t>
            </w:r>
            <w:r>
              <w:rPr>
                <w:rFonts w:hint="eastAsia"/>
                <w:color w:val="000000" w:themeColor="text1"/>
                <w:sz w:val="24"/>
                <w:highlight w:val="none"/>
                <w14:textFill>
                  <w14:solidFill>
                    <w14:schemeClr w14:val="tx1"/>
                  </w14:solidFill>
                </w14:textFill>
              </w:rPr>
              <w:t>供应商资格声明函</w:t>
            </w:r>
            <w:r>
              <w:rPr>
                <w:color w:val="000000" w:themeColor="text1"/>
                <w:sz w:val="24"/>
                <w:highlight w:val="none"/>
                <w14:textFill>
                  <w14:solidFill>
                    <w14:schemeClr w14:val="tx1"/>
                  </w14:solidFill>
                </w14:textFill>
              </w:rPr>
              <w:t>》。</w:t>
            </w:r>
          </w:p>
        </w:tc>
        <w:tc>
          <w:tcPr>
            <w:tcW w:w="935" w:type="dxa"/>
            <w:noWrap w:val="0"/>
            <w:vAlign w:val="center"/>
          </w:tcPr>
          <w:p w14:paraId="1FDC69E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56D52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63B997FD">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p>
        </w:tc>
        <w:tc>
          <w:tcPr>
            <w:tcW w:w="866" w:type="dxa"/>
            <w:noWrap w:val="0"/>
            <w:vAlign w:val="center"/>
          </w:tcPr>
          <w:p w14:paraId="5C8E7C8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供应商信用记录</w:t>
            </w:r>
          </w:p>
        </w:tc>
        <w:tc>
          <w:tcPr>
            <w:tcW w:w="2855" w:type="dxa"/>
            <w:noWrap w:val="0"/>
            <w:vAlign w:val="center"/>
          </w:tcPr>
          <w:p w14:paraId="342ECEE5">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查询渠道：信用中国网站和中国政府采购网（www.creditchina.gov.cn、www.ccgp.gov.cn）；</w:t>
            </w:r>
          </w:p>
          <w:p w14:paraId="606894BB">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截止时点：提交响应文件截止时间以后、</w:t>
            </w:r>
            <w:r>
              <w:rPr>
                <w:rFonts w:hint="eastAsia"/>
                <w:color w:val="000000" w:themeColor="text1"/>
                <w:sz w:val="24"/>
                <w:highlight w:val="none"/>
                <w14:textFill>
                  <w14:solidFill>
                    <w14:schemeClr w14:val="tx1"/>
                  </w14:solidFill>
                </w14:textFill>
              </w:rPr>
              <w:t>资格审查阶段采购人或采购代理机构</w:t>
            </w:r>
            <w:r>
              <w:rPr>
                <w:color w:val="000000" w:themeColor="text1"/>
                <w:sz w:val="24"/>
                <w:highlight w:val="none"/>
                <w14:textFill>
                  <w14:solidFill>
                    <w14:schemeClr w14:val="tx1"/>
                  </w14:solidFill>
                </w14:textFill>
              </w:rPr>
              <w:t>的实际查询时间；</w:t>
            </w:r>
          </w:p>
          <w:p w14:paraId="039BC81C">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65DE851B">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。联合体形式响应的，联合体成员存在不良信用记录，视同联合体存在不良信用记录。</w:t>
            </w:r>
          </w:p>
        </w:tc>
        <w:tc>
          <w:tcPr>
            <w:tcW w:w="935" w:type="dxa"/>
            <w:noWrap w:val="0"/>
            <w:vAlign w:val="center"/>
          </w:tcPr>
          <w:p w14:paraId="3EC7F5FB">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无须供应商提供，由采购人查询。</w:t>
            </w:r>
          </w:p>
        </w:tc>
      </w:tr>
      <w:tr w14:paraId="0F58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58A6B9B3">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866" w:type="dxa"/>
            <w:noWrap w:val="0"/>
            <w:vAlign w:val="center"/>
          </w:tcPr>
          <w:p w14:paraId="6540A10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855" w:type="dxa"/>
            <w:noWrap w:val="0"/>
            <w:vAlign w:val="center"/>
          </w:tcPr>
          <w:p w14:paraId="5E8C77D4">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具体要求见第一章《采购邀请》</w:t>
            </w:r>
          </w:p>
        </w:tc>
        <w:tc>
          <w:tcPr>
            <w:tcW w:w="935" w:type="dxa"/>
            <w:noWrap w:val="0"/>
            <w:vAlign w:val="center"/>
          </w:tcPr>
          <w:p w14:paraId="04A21381">
            <w:pPr>
              <w:tabs>
                <w:tab w:val="left" w:pos="1080"/>
              </w:tabs>
              <w:rPr>
                <w:color w:val="000000" w:themeColor="text1"/>
                <w:sz w:val="24"/>
                <w:highlight w:val="none"/>
                <w14:textFill>
                  <w14:solidFill>
                    <w14:schemeClr w14:val="tx1"/>
                  </w14:solidFill>
                </w14:textFill>
              </w:rPr>
            </w:pPr>
          </w:p>
        </w:tc>
      </w:tr>
      <w:tr w14:paraId="5D4E5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62EEBE07">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866" w:type="dxa"/>
            <w:noWrap w:val="0"/>
            <w:vAlign w:val="center"/>
          </w:tcPr>
          <w:p w14:paraId="4E30D99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中小企业声明函</w:t>
            </w:r>
          </w:p>
        </w:tc>
        <w:tc>
          <w:tcPr>
            <w:tcW w:w="2855" w:type="dxa"/>
            <w:noWrap w:val="0"/>
            <w:vAlign w:val="center"/>
          </w:tcPr>
          <w:p w14:paraId="05131F20">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1、供应商单独参与磋商的，应提供中小企业声明函；如为监狱企业或残疾人福利性单位，不必提供中小企业声明函，但须按注1或注2要求提供证明材料。</w:t>
            </w:r>
          </w:p>
          <w:p w14:paraId="0DCAD22B">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1FB7E99A">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注1：监狱企业须提供由省级以上监狱管理局（常州市含教育矫治局）、戒毒管理局（含新疆生产建设兵团）出具的属于监狱企业的证明文件。</w:t>
            </w:r>
          </w:p>
          <w:p w14:paraId="1DFFD83A">
            <w:pPr>
              <w:tabs>
                <w:tab w:val="left" w:pos="1080"/>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注2：残疾人福利性单位须按磋商文件要求提供《残疾人福利性单位声明函》。</w:t>
            </w:r>
          </w:p>
        </w:tc>
        <w:tc>
          <w:tcPr>
            <w:tcW w:w="935" w:type="dxa"/>
            <w:noWrap w:val="0"/>
            <w:vAlign w:val="center"/>
          </w:tcPr>
          <w:p w14:paraId="373330A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格式见《响应文件格式》</w:t>
            </w:r>
          </w:p>
        </w:tc>
      </w:tr>
      <w:tr w14:paraId="40392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7B3E508D">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2-3</w:t>
            </w:r>
          </w:p>
        </w:tc>
        <w:tc>
          <w:tcPr>
            <w:tcW w:w="866" w:type="dxa"/>
            <w:noWrap w:val="0"/>
            <w:vAlign w:val="center"/>
          </w:tcPr>
          <w:p w14:paraId="01953B3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855" w:type="dxa"/>
            <w:noWrap w:val="0"/>
            <w:vAlign w:val="center"/>
          </w:tcPr>
          <w:p w14:paraId="10CC072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4688164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r w14:paraId="7C6F3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422FE03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866" w:type="dxa"/>
            <w:noWrap w:val="0"/>
            <w:vAlign w:val="center"/>
          </w:tcPr>
          <w:p w14:paraId="6A3468E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855" w:type="dxa"/>
            <w:noWrap w:val="0"/>
            <w:vAlign w:val="center"/>
          </w:tcPr>
          <w:p w14:paraId="09B9C0B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6192BB98">
            <w:pPr>
              <w:tabs>
                <w:tab w:val="left" w:pos="1080"/>
              </w:tabs>
              <w:rPr>
                <w:color w:val="000000" w:themeColor="text1"/>
                <w:sz w:val="24"/>
                <w:highlight w:val="none"/>
                <w14:textFill>
                  <w14:solidFill>
                    <w14:schemeClr w14:val="tx1"/>
                  </w14:solidFill>
                </w14:textFill>
              </w:rPr>
            </w:pPr>
          </w:p>
        </w:tc>
      </w:tr>
      <w:tr w14:paraId="0372A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3117B444">
            <w:pPr>
              <w:tabs>
                <w:tab w:val="left" w:pos="1080"/>
              </w:tabs>
              <w:jc w:val="center"/>
              <w:rPr>
                <w:color w:val="000000" w:themeColor="text1"/>
                <w:sz w:val="24"/>
                <w:highlight w:val="none"/>
                <w14:textFill>
                  <w14:solidFill>
                    <w14:schemeClr w14:val="tx1"/>
                  </w14:solidFill>
                </w14:textFill>
              </w:rPr>
            </w:pPr>
            <w:r>
              <w:rPr>
                <w:rFonts w:asciiTheme="minorEastAsia" w:hAnsiTheme="minorEastAsia" w:eastAsiaTheme="minorEastAsia"/>
                <w:szCs w:val="21"/>
                <w:highlight w:val="none"/>
              </w:rPr>
              <w:t>3-1</w:t>
            </w:r>
          </w:p>
        </w:tc>
        <w:tc>
          <w:tcPr>
            <w:tcW w:w="866" w:type="dxa"/>
            <w:noWrap w:val="0"/>
            <w:vAlign w:val="center"/>
          </w:tcPr>
          <w:p w14:paraId="138B615E">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是否接受联合体响应</w:t>
            </w:r>
          </w:p>
        </w:tc>
        <w:tc>
          <w:tcPr>
            <w:tcW w:w="2855" w:type="dxa"/>
            <w:noWrap w:val="0"/>
            <w:vAlign w:val="center"/>
          </w:tcPr>
          <w:p w14:paraId="33C84CFC">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p>
          <w:p w14:paraId="01DB56FD">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2、联合体各成员单位均须提供本表中序号1-1、1-2的证明文件。</w:t>
            </w:r>
          </w:p>
          <w:p w14:paraId="55B89E67">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3、本表序号3-2项规定的其他特定资格要求中的每一小项要求，联合体各方中至少应当有一方符合本表中其他资格要求并提供证明文件。</w:t>
            </w:r>
          </w:p>
          <w:p w14:paraId="14845CC7">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4、联合体中有同类资质的供应商按照联合体分工承担相同工作的，应当按照资质等级较低的供应商确定资质等级。</w:t>
            </w:r>
          </w:p>
          <w:p w14:paraId="3D070375">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5、以联合体形式参加政府采购活动的，联合体各方不得再单独参加或者与其他供应商另外组成联合体参加同一合同项下的政府采购活动。</w:t>
            </w:r>
          </w:p>
          <w:p w14:paraId="1864AB89">
            <w:pPr>
              <w:tabs>
                <w:tab w:val="left" w:pos="1080"/>
              </w:tabs>
              <w:rPr>
                <w:rFonts w:hint="default" w:ascii="Times New Roman" w:hAnsi="Times New Roman" w:eastAsia="宋体" w:cs="Times New Roman"/>
                <w:bCs/>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6、若联合体中任一成员单位中途退出，则该联合体的响应无效。</w:t>
            </w:r>
          </w:p>
        </w:tc>
        <w:tc>
          <w:tcPr>
            <w:tcW w:w="935" w:type="dxa"/>
            <w:noWrap w:val="0"/>
            <w:vAlign w:val="center"/>
          </w:tcPr>
          <w:p w14:paraId="637E80FB">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14:textFill>
                  <w14:solidFill>
                    <w14:schemeClr w14:val="tx1"/>
                  </w14:solidFill>
                </w14:textFill>
              </w:rPr>
              <w:t>提供《联合协议》原件的电子件</w:t>
            </w:r>
          </w:p>
          <w:p w14:paraId="52ECE997">
            <w:pPr>
              <w:tabs>
                <w:tab w:val="left" w:pos="1080"/>
              </w:tabs>
              <w:rPr>
                <w:rFonts w:hint="eastAsia" w:ascii="Times New Roman" w:hAnsi="Times New Roman" w:eastAsia="宋体" w:cs="Times New Roman"/>
                <w:bCs/>
                <w:color w:val="000000" w:themeColor="text1"/>
                <w:sz w:val="24"/>
                <w:highlight w:val="none"/>
                <w14:textFill>
                  <w14:solidFill>
                    <w14:schemeClr w14:val="tx1"/>
                  </w14:solidFill>
                </w14:textFill>
              </w:rPr>
            </w:pPr>
          </w:p>
        </w:tc>
      </w:tr>
      <w:tr w14:paraId="1EE6D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342" w:type="dxa"/>
            <w:noWrap w:val="0"/>
            <w:vAlign w:val="center"/>
          </w:tcPr>
          <w:p w14:paraId="03DE7FC1">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3-2</w:t>
            </w:r>
          </w:p>
        </w:tc>
        <w:tc>
          <w:tcPr>
            <w:tcW w:w="866" w:type="dxa"/>
            <w:noWrap w:val="0"/>
            <w:vAlign w:val="center"/>
          </w:tcPr>
          <w:p w14:paraId="3568A3D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855" w:type="dxa"/>
            <w:noWrap w:val="0"/>
            <w:vAlign w:val="center"/>
          </w:tcPr>
          <w:p w14:paraId="764007E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35" w:type="dxa"/>
            <w:noWrap w:val="0"/>
            <w:vAlign w:val="center"/>
          </w:tcPr>
          <w:p w14:paraId="206909C5">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提供证明文件的电子件或电子证照</w:t>
            </w:r>
          </w:p>
        </w:tc>
      </w:tr>
    </w:tbl>
    <w:p w14:paraId="3732570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2FEA7F30">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《符合性审查要求》见下表：</w:t>
      </w:r>
    </w:p>
    <w:p w14:paraId="665967C9">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29"/>
        <w:tblW w:w="45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0"/>
        <w:gridCol w:w="1764"/>
        <w:gridCol w:w="6546"/>
      </w:tblGrid>
      <w:tr w14:paraId="12691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2EAF43DA">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75" w:type="dxa"/>
            <w:noWrap w:val="0"/>
            <w:vAlign w:val="center"/>
          </w:tcPr>
          <w:p w14:paraId="4AA04EBD">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3620" w:type="dxa"/>
            <w:noWrap w:val="0"/>
            <w:vAlign w:val="center"/>
          </w:tcPr>
          <w:p w14:paraId="49B4443F">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63FCD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F3013DF">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75" w:type="dxa"/>
            <w:noWrap w:val="0"/>
            <w:vAlign w:val="center"/>
          </w:tcPr>
          <w:p w14:paraId="79B0B36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响应函、法定代表人资格证明书和政府采购供应商信用承诺书</w:t>
            </w:r>
          </w:p>
        </w:tc>
        <w:tc>
          <w:tcPr>
            <w:tcW w:w="3620" w:type="dxa"/>
            <w:noWrap w:val="0"/>
            <w:vAlign w:val="center"/>
          </w:tcPr>
          <w:p w14:paraId="31EB81A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响应函、法定代表人资格证明书和政府采购供应商信用承诺书</w:t>
            </w:r>
            <w:r>
              <w:rPr>
                <w:color w:val="000000" w:themeColor="text1"/>
                <w:sz w:val="24"/>
                <w:highlight w:val="none"/>
                <w14:textFill>
                  <w14:solidFill>
                    <w14:schemeClr w14:val="tx1"/>
                  </w14:solidFill>
                </w14:textFill>
              </w:rPr>
              <w:t>；</w:t>
            </w:r>
          </w:p>
        </w:tc>
      </w:tr>
      <w:tr w14:paraId="1E58E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DC4F65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75" w:type="dxa"/>
            <w:noWrap w:val="0"/>
            <w:vAlign w:val="center"/>
          </w:tcPr>
          <w:p w14:paraId="369C6E6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3620" w:type="dxa"/>
            <w:noWrap w:val="0"/>
            <w:vAlign w:val="center"/>
          </w:tcPr>
          <w:p w14:paraId="6B33D875">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5CA0C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DBF6F94">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75" w:type="dxa"/>
            <w:noWrap w:val="0"/>
            <w:vAlign w:val="center"/>
          </w:tcPr>
          <w:p w14:paraId="02DC75A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3620" w:type="dxa"/>
            <w:noWrap w:val="0"/>
            <w:vAlign w:val="center"/>
          </w:tcPr>
          <w:p w14:paraId="6721CE8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超过磋商文件中规定的项目/采购包预算金额或者项目/采购包最高限价；</w:t>
            </w:r>
          </w:p>
        </w:tc>
      </w:tr>
      <w:tr w14:paraId="72C6A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D3E1CF7">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75" w:type="dxa"/>
            <w:noWrap w:val="0"/>
            <w:vAlign w:val="center"/>
          </w:tcPr>
          <w:p w14:paraId="49608C8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3620" w:type="dxa"/>
            <w:noWrap w:val="0"/>
            <w:vAlign w:val="center"/>
          </w:tcPr>
          <w:p w14:paraId="3AE6DE0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66B6B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9DE006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75" w:type="dxa"/>
            <w:noWrap w:val="0"/>
            <w:vAlign w:val="center"/>
          </w:tcPr>
          <w:p w14:paraId="27D1508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3620" w:type="dxa"/>
            <w:noWrap w:val="0"/>
            <w:vAlign w:val="center"/>
          </w:tcPr>
          <w:p w14:paraId="5D41A4E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164CF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07E179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75" w:type="dxa"/>
            <w:noWrap w:val="0"/>
            <w:vAlign w:val="center"/>
          </w:tcPr>
          <w:p w14:paraId="6A64E2D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3620" w:type="dxa"/>
            <w:noWrap w:val="0"/>
            <w:vAlign w:val="center"/>
          </w:tcPr>
          <w:p w14:paraId="5244FB2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3D4A0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97F301C">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75" w:type="dxa"/>
            <w:noWrap w:val="0"/>
            <w:vAlign w:val="center"/>
          </w:tcPr>
          <w:p w14:paraId="55963171">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3620" w:type="dxa"/>
            <w:noWrap w:val="0"/>
            <w:vAlign w:val="center"/>
          </w:tcPr>
          <w:p w14:paraId="7428EFD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1C950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545BD98">
            <w:pPr>
              <w:widowControl/>
              <w:jc w:val="center"/>
              <w:rPr>
                <w:rFonts w:hint="eastAsia"/>
                <w:color w:val="000000" w:themeColor="text1"/>
                <w:sz w:val="24"/>
                <w:highlight w:val="none"/>
                <w14:textFill>
                  <w14:solidFill>
                    <w14:schemeClr w14:val="tx1"/>
                  </w14:solidFill>
                </w14:textFill>
              </w:rPr>
            </w:pPr>
            <w:r>
              <w:rPr>
                <w:rFonts w:asciiTheme="minorEastAsia" w:hAnsiTheme="minorEastAsia" w:eastAsiaTheme="minorEastAsia"/>
                <w:szCs w:val="21"/>
                <w:highlight w:val="none"/>
              </w:rPr>
              <w:t>8</w:t>
            </w:r>
          </w:p>
        </w:tc>
        <w:tc>
          <w:tcPr>
            <w:tcW w:w="975" w:type="dxa"/>
            <w:noWrap w:val="0"/>
            <w:vAlign w:val="center"/>
          </w:tcPr>
          <w:p w14:paraId="2A4DBFE3">
            <w:pPr>
              <w:widowControl/>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★号条款响应</w:t>
            </w:r>
          </w:p>
        </w:tc>
        <w:tc>
          <w:tcPr>
            <w:tcW w:w="3620" w:type="dxa"/>
            <w:noWrap w:val="0"/>
            <w:vAlign w:val="center"/>
          </w:tcPr>
          <w:p w14:paraId="49314B85">
            <w:pPr>
              <w:widowControl/>
              <w:jc w:val="left"/>
              <w:rPr>
                <w:rFonts w:hint="eastAsia" w:ascii="Times New Roman" w:hAnsi="Times New Roman" w:eastAsia="宋体" w:cs="Times New Roman"/>
                <w:color w:val="000000" w:themeColor="text1"/>
                <w:sz w:val="24"/>
                <w:highlight w:val="none"/>
                <w14:textFill>
                  <w14:solidFill>
                    <w14:schemeClr w14:val="tx1"/>
                  </w14:solidFill>
                </w14:textFill>
              </w:rPr>
            </w:pPr>
            <w:r>
              <w:rPr>
                <w:rFonts w:ascii="Times New Roman" w:hAnsi="Times New Roman" w:eastAsia="宋体" w:cs="Times New Roman"/>
                <w:color w:val="000000" w:themeColor="text1"/>
                <w:sz w:val="24"/>
                <w:highlight w:val="none"/>
                <w14:textFill>
                  <w14:solidFill>
                    <w14:schemeClr w14:val="tx1"/>
                  </w14:solidFill>
                </w14:textFill>
              </w:rPr>
              <w:t>响应文件满足磋商文件第五章《采购需求》中★号条款要求的；</w:t>
            </w:r>
          </w:p>
        </w:tc>
      </w:tr>
      <w:tr w14:paraId="66BCC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015E5F5">
            <w:pPr>
              <w:widowControl/>
              <w:jc w:val="center"/>
              <w:rPr>
                <w:rFonts w:hint="eastAsia" w:eastAsia="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9</w:t>
            </w:r>
          </w:p>
        </w:tc>
        <w:tc>
          <w:tcPr>
            <w:tcW w:w="975" w:type="dxa"/>
            <w:noWrap w:val="0"/>
            <w:vAlign w:val="center"/>
          </w:tcPr>
          <w:p w14:paraId="7BD0AC1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3620" w:type="dxa"/>
            <w:noWrap w:val="0"/>
            <w:vAlign w:val="center"/>
          </w:tcPr>
          <w:p w14:paraId="6427430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r>
      <w:tr w14:paraId="6843B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5C1F2BE">
            <w:pPr>
              <w:widowControl/>
              <w:jc w:val="center"/>
              <w:rPr>
                <w:rFonts w:hint="default" w:eastAsia="宋体"/>
                <w:color w:val="000000" w:themeColor="text1"/>
                <w:sz w:val="24"/>
                <w:highlight w:val="none"/>
                <w:lang w:val="en-US"/>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10</w:t>
            </w:r>
          </w:p>
        </w:tc>
        <w:tc>
          <w:tcPr>
            <w:tcW w:w="975" w:type="dxa"/>
            <w:noWrap w:val="0"/>
            <w:vAlign w:val="center"/>
          </w:tcPr>
          <w:p w14:paraId="4E8B6E7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w:t>
            </w:r>
          </w:p>
          <w:p w14:paraId="7731399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dxa"/>
            <w:noWrap w:val="0"/>
            <w:vAlign w:val="center"/>
          </w:tcPr>
          <w:p w14:paraId="3B3720E3">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按磋商文件规定签订并提供分包意向协议原件的电子件的；</w:t>
            </w:r>
            <w:r>
              <w:rPr>
                <w:rFonts w:hint="eastAsia"/>
                <w:color w:val="000000" w:themeColor="text1"/>
                <w:sz w:val="24"/>
                <w:highlight w:val="none"/>
                <w14:textFill>
                  <w14:solidFill>
                    <w14:schemeClr w14:val="tx1"/>
                  </w14:solidFill>
                </w14:textFill>
              </w:rPr>
              <w:t>（如有）</w:t>
            </w:r>
          </w:p>
        </w:tc>
      </w:tr>
      <w:tr w14:paraId="6512B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5908FE1">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1</w:t>
            </w:r>
          </w:p>
        </w:tc>
        <w:tc>
          <w:tcPr>
            <w:tcW w:w="975" w:type="dxa"/>
            <w:noWrap w:val="0"/>
            <w:vAlign w:val="center"/>
          </w:tcPr>
          <w:p w14:paraId="7C9E13A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3620" w:type="dxa"/>
            <w:noWrap w:val="0"/>
            <w:vAlign w:val="center"/>
          </w:tcPr>
          <w:p w14:paraId="00244AFC">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228A7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B444344">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2</w:t>
            </w:r>
          </w:p>
        </w:tc>
        <w:tc>
          <w:tcPr>
            <w:tcW w:w="975" w:type="dxa"/>
            <w:noWrap w:val="0"/>
            <w:vAlign w:val="center"/>
          </w:tcPr>
          <w:p w14:paraId="47AB5B2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42D401B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dxa"/>
            <w:noWrap w:val="0"/>
            <w:vAlign w:val="center"/>
          </w:tcPr>
          <w:p w14:paraId="6688B25F">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r>
      <w:tr w14:paraId="5CF8B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621A9C0">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975" w:type="dxa"/>
            <w:noWrap w:val="0"/>
            <w:vAlign w:val="center"/>
          </w:tcPr>
          <w:p w14:paraId="70EAB0B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3620" w:type="dxa"/>
            <w:noWrap w:val="0"/>
            <w:vAlign w:val="center"/>
          </w:tcPr>
          <w:p w14:paraId="6962452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5826FCC5">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78A681A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响应产品如涉及计算机信息系统安全专用产品的，须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公安部颁发的计算机信息系统安全专用产品销售许可证；</w:t>
            </w:r>
          </w:p>
          <w:p w14:paraId="0C405AC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7CBF7A7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65665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53509FD">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4</w:t>
            </w:r>
          </w:p>
        </w:tc>
        <w:tc>
          <w:tcPr>
            <w:tcW w:w="975" w:type="dxa"/>
            <w:noWrap w:val="0"/>
            <w:vAlign w:val="center"/>
          </w:tcPr>
          <w:p w14:paraId="5BB6456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3620" w:type="dxa"/>
            <w:noWrap w:val="0"/>
            <w:vAlign w:val="center"/>
          </w:tcPr>
          <w:p w14:paraId="3FF1D57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4C935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108FD9B">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5</w:t>
            </w:r>
          </w:p>
        </w:tc>
        <w:tc>
          <w:tcPr>
            <w:tcW w:w="975" w:type="dxa"/>
            <w:noWrap w:val="0"/>
            <w:vAlign w:val="center"/>
          </w:tcPr>
          <w:p w14:paraId="1F8EAA0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3620" w:type="dxa"/>
            <w:noWrap w:val="0"/>
            <w:vAlign w:val="center"/>
          </w:tcPr>
          <w:p w14:paraId="43EBC53F">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r>
      <w:tr w14:paraId="0700E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6B45C11">
            <w:pPr>
              <w:widowControl/>
              <w:jc w:val="center"/>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6</w:t>
            </w:r>
          </w:p>
        </w:tc>
        <w:tc>
          <w:tcPr>
            <w:tcW w:w="975" w:type="dxa"/>
            <w:noWrap w:val="0"/>
            <w:vAlign w:val="center"/>
          </w:tcPr>
          <w:p w14:paraId="460DFAC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3620" w:type="dxa"/>
            <w:noWrap w:val="0"/>
            <w:vAlign w:val="center"/>
          </w:tcPr>
          <w:p w14:paraId="42366F4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48995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3B6ED718">
            <w:pPr>
              <w:widowControl/>
              <w:jc w:val="center"/>
              <w:rPr>
                <w:rFonts w:hint="eastAsia" w:eastAsia="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rFonts w:hint="eastAsia"/>
                <w:color w:val="000000" w:themeColor="text1"/>
                <w:sz w:val="24"/>
                <w:highlight w:val="none"/>
                <w:lang w:val="en-US" w:eastAsia="zh-CN"/>
                <w14:textFill>
                  <w14:solidFill>
                    <w14:schemeClr w14:val="tx1"/>
                  </w14:solidFill>
                </w14:textFill>
              </w:rPr>
              <w:t>7</w:t>
            </w:r>
          </w:p>
        </w:tc>
        <w:tc>
          <w:tcPr>
            <w:tcW w:w="975" w:type="dxa"/>
            <w:noWrap w:val="0"/>
            <w:vAlign w:val="center"/>
          </w:tcPr>
          <w:p w14:paraId="28E4C4F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3620" w:type="dxa"/>
            <w:noWrap w:val="0"/>
            <w:vAlign w:val="center"/>
          </w:tcPr>
          <w:p w14:paraId="3B68379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bl>
    <w:p w14:paraId="5E4BD736">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磋商、响应文件有关事项的澄清、说明或者更正和最终报价</w:t>
      </w:r>
    </w:p>
    <w:p w14:paraId="17575685">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44E59C11">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192F9533">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以书面形式同时通知所有参加磋商的供应商。</w:t>
      </w:r>
    </w:p>
    <w:p w14:paraId="2920E23B">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837A1C9">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5A7D036A">
      <w:pPr>
        <w:tabs>
          <w:tab w:val="left" w:pos="1980"/>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磋商小组</w:t>
      </w:r>
      <w:r>
        <w:rPr>
          <w:color w:val="000000" w:themeColor="text1"/>
          <w:sz w:val="24"/>
          <w:highlight w:val="none"/>
          <w14:textFill>
            <w14:solidFill>
              <w14:schemeClr w14:val="tx1"/>
            </w14:solidFill>
          </w14:textFill>
        </w:rPr>
        <w:t>会将</w:t>
      </w:r>
      <w:r>
        <w:rPr>
          <w:rFonts w:hint="eastAsia"/>
          <w:color w:val="000000" w:themeColor="text1"/>
          <w:sz w:val="24"/>
          <w:highlight w:val="none"/>
          <w14:textFill>
            <w14:solidFill>
              <w14:schemeClr w14:val="tx1"/>
            </w14:solidFill>
          </w14:textFill>
        </w:rPr>
        <w:t>通过</w:t>
      </w:r>
      <w:r>
        <w:rPr>
          <w:rFonts w:hint="eastAsia"/>
          <w:color w:val="000000" w:themeColor="text1"/>
          <w:sz w:val="24"/>
          <w:highlight w:val="none"/>
          <w:lang w:eastAsia="zh-CN"/>
          <w14:textFill>
            <w14:solidFill>
              <w14:schemeClr w14:val="tx1"/>
            </w14:solidFill>
          </w14:textFill>
        </w:rPr>
        <w:t>“苏采云”政府采购一体化平台供应商端</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以书面形式要求</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4AA66D0D">
      <w:pPr>
        <w:numPr>
          <w:ilvl w:val="1"/>
          <w:numId w:val="11"/>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磋商结束后，磋商小组将要求所有实质性响应的供应商在规定时间内</w:t>
      </w:r>
      <w:r>
        <w:rPr>
          <w:rFonts w:hint="eastAsia"/>
          <w:b/>
          <w:color w:val="000000" w:themeColor="text1"/>
          <w:sz w:val="24"/>
          <w:highlight w:val="none"/>
          <w14:textFill>
            <w14:solidFill>
              <w14:schemeClr w14:val="tx1"/>
            </w14:solidFill>
          </w14:textFill>
        </w:rPr>
        <w:t>通过</w:t>
      </w:r>
      <w:r>
        <w:rPr>
          <w:rFonts w:hint="eastAsia"/>
          <w:b/>
          <w:color w:val="000000" w:themeColor="text1"/>
          <w:sz w:val="24"/>
          <w:highlight w:val="none"/>
          <w:lang w:eastAsia="zh-CN"/>
          <w14:textFill>
            <w14:solidFill>
              <w14:schemeClr w14:val="tx1"/>
            </w14:solidFill>
          </w14:textFill>
        </w:rPr>
        <w:t>“苏采云”政府采购一体化平台供应商端</w:t>
      </w:r>
      <w:r>
        <w:rPr>
          <w:rFonts w:hint="eastAsia"/>
          <w:b/>
          <w:color w:val="000000" w:themeColor="text1"/>
          <w:sz w:val="24"/>
          <w:highlight w:val="none"/>
          <w14:textFill>
            <w14:solidFill>
              <w14:schemeClr w14:val="tx1"/>
            </w14:solidFill>
          </w14:textFill>
        </w:rPr>
        <w:t>系统</w:t>
      </w:r>
      <w:r>
        <w:rPr>
          <w:b/>
          <w:color w:val="000000" w:themeColor="text1"/>
          <w:sz w:val="24"/>
          <w:highlight w:val="none"/>
          <w14:textFill>
            <w14:solidFill>
              <w14:schemeClr w14:val="tx1"/>
            </w14:solidFill>
          </w14:textFill>
        </w:rPr>
        <w:t>提交最</w:t>
      </w:r>
      <w:r>
        <w:rPr>
          <w:rFonts w:hint="eastAsia"/>
          <w:b/>
          <w:color w:val="000000" w:themeColor="text1"/>
          <w:sz w:val="24"/>
          <w:highlight w:val="none"/>
          <w14:textFill>
            <w14:solidFill>
              <w14:schemeClr w14:val="tx1"/>
            </w14:solidFill>
          </w14:textFill>
        </w:rPr>
        <w:t>终</w:t>
      </w:r>
      <w:r>
        <w:rPr>
          <w:b/>
          <w:color w:val="000000" w:themeColor="text1"/>
          <w:sz w:val="24"/>
          <w:highlight w:val="none"/>
          <w14:textFill>
            <w14:solidFill>
              <w14:schemeClr w14:val="tx1"/>
            </w14:solidFill>
          </w14:textFill>
        </w:rPr>
        <w:t>报价</w:t>
      </w:r>
      <w:r>
        <w:rPr>
          <w:rFonts w:hint="eastAsia"/>
          <w:b/>
          <w:color w:val="000000" w:themeColor="text1"/>
          <w:sz w:val="24"/>
          <w:highlight w:val="none"/>
          <w:lang w:eastAsia="zh-CN"/>
          <w14:textFill>
            <w14:solidFill>
              <w14:schemeClr w14:val="tx1"/>
            </w14:solidFill>
          </w14:textFill>
        </w:rPr>
        <w:t>。</w:t>
      </w:r>
    </w:p>
    <w:p w14:paraId="5641507E">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38778CE8">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最终报价是供应商响应文件的有效组成部分。</w:t>
      </w:r>
    </w:p>
    <w:p w14:paraId="0B5867B6">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已提交响应文件的供应商，在提交最终报价之前，可以根据磋商情况退出磋商。</w:t>
      </w:r>
    </w:p>
    <w:p w14:paraId="189C0511">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最终报价的算术修正及政策调整</w:t>
      </w:r>
    </w:p>
    <w:p w14:paraId="2B7B4795">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D9A3F29">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最终报价出现前后不一致的，按照下列规定修正：</w:t>
      </w:r>
    </w:p>
    <w:p w14:paraId="3E505BFF">
      <w:pPr>
        <w:numPr>
          <w:ilvl w:val="2"/>
          <w:numId w:val="1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竞争性磋商文件对于报价修正是否另有规定：</w:t>
      </w:r>
    </w:p>
    <w:p w14:paraId="13F39620">
      <w:pPr>
        <w:tabs>
          <w:tab w:val="left" w:pos="1080"/>
          <w:tab w:val="left" w:pos="1589"/>
          <w:tab w:val="left" w:pos="2035"/>
          <w:tab w:val="left" w:pos="2114"/>
        </w:tabs>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w:t>
      </w:r>
    </w:p>
    <w:p w14:paraId="052481BE">
      <w:p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w:t>
      </w:r>
      <w:r>
        <w:rPr>
          <w:color w:val="000000" w:themeColor="text1"/>
          <w:sz w:val="24"/>
          <w:highlight w:val="none"/>
          <w14:textFill>
            <w14:solidFill>
              <w14:schemeClr w14:val="tx1"/>
            </w14:solidFill>
          </w14:textFill>
        </w:rPr>
        <w:t>无，按下述3.2.2-3.2.5项规定修正。</w:t>
      </w:r>
    </w:p>
    <w:p w14:paraId="60F121E0">
      <w:pPr>
        <w:numPr>
          <w:ilvl w:val="2"/>
          <w:numId w:val="1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1E996E4D">
      <w:pPr>
        <w:numPr>
          <w:ilvl w:val="2"/>
          <w:numId w:val="1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18034C5A">
      <w:pPr>
        <w:numPr>
          <w:ilvl w:val="2"/>
          <w:numId w:val="1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3C10A810">
      <w:pPr>
        <w:numPr>
          <w:ilvl w:val="2"/>
          <w:numId w:val="1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77490A77">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1924C5E2">
      <w:pPr>
        <w:numPr>
          <w:ilvl w:val="2"/>
          <w:numId w:val="1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报价给予</w:t>
      </w:r>
      <w:r>
        <w:rPr>
          <w:rFonts w:hint="eastAsia"/>
          <w:color w:val="000000" w:themeColor="text1"/>
          <w:sz w:val="24"/>
          <w:highlight w:val="none"/>
          <w14:textFill>
            <w14:solidFill>
              <w14:schemeClr w14:val="tx1"/>
            </w14:solidFill>
          </w14:textFill>
        </w:rPr>
        <w:t>20</w:t>
      </w:r>
      <w:r>
        <w:rPr>
          <w:color w:val="000000" w:themeColor="text1"/>
          <w:sz w:val="24"/>
          <w:highlight w:val="none"/>
          <w14:textFill>
            <w14:solidFill>
              <w14:schemeClr w14:val="tx1"/>
            </w14:solidFill>
          </w14:textFill>
        </w:rPr>
        <w:t>%的扣除，用扣除后的价格参加评审。</w:t>
      </w:r>
    </w:p>
    <w:p w14:paraId="6F108F51">
      <w:pPr>
        <w:numPr>
          <w:ilvl w:val="2"/>
          <w:numId w:val="1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组成联合体或者允许大中型企业向一家或者多家</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分包的采购项目，对于联合协议或者分包意向协议约定</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的合同份额占到合同总金额 30%以上的联合体或者大中型企业的报价给予</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%的扣除，用扣除后的价格参加评审。</w:t>
      </w:r>
    </w:p>
    <w:p w14:paraId="41AFBF50">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1470599D">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293D5DA5">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0930DD0E">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681E7F20">
      <w:pPr>
        <w:numPr>
          <w:ilvl w:val="2"/>
          <w:numId w:val="1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残疾人福利性单位按竞争性磋商文件要求提供了《残疾人福利性单位声明函》（见附件）的，视同小微企业。</w:t>
      </w:r>
    </w:p>
    <w:p w14:paraId="24BFB497">
      <w:pPr>
        <w:numPr>
          <w:ilvl w:val="2"/>
          <w:numId w:val="11"/>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1590DBEB">
      <w:pPr>
        <w:numPr>
          <w:ilvl w:val="2"/>
          <w:numId w:val="11"/>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其他为落实政府采购政策实施的优先采购：__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____。</w:t>
      </w:r>
    </w:p>
    <w:p w14:paraId="72DE7C41">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磋商环节及提交最终报价后如出现以下情况的，供应商的</w:t>
      </w:r>
      <w:r>
        <w:rPr>
          <w:b/>
          <w:color w:val="000000" w:themeColor="text1"/>
          <w:sz w:val="24"/>
          <w:highlight w:val="none"/>
          <w14:textFill>
            <w14:solidFill>
              <w14:schemeClr w14:val="tx1"/>
            </w14:solidFill>
          </w14:textFill>
        </w:rPr>
        <w:t>响应文件无效</w:t>
      </w:r>
      <w:r>
        <w:rPr>
          <w:color w:val="000000" w:themeColor="text1"/>
          <w:sz w:val="24"/>
          <w:highlight w:val="none"/>
          <w14:textFill>
            <w14:solidFill>
              <w14:schemeClr w14:val="tx1"/>
            </w14:solidFill>
          </w14:textFill>
        </w:rPr>
        <w:t>：</w:t>
      </w:r>
    </w:p>
    <w:p w14:paraId="22C7C5DD">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供应商对实质性变动不予确认的；</w:t>
      </w:r>
    </w:p>
    <w:p w14:paraId="0DCED658">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47E62BC9">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未按照磋商小组规定的时间、逾期提交最终报价的；</w:t>
      </w:r>
    </w:p>
    <w:p w14:paraId="19B91B49">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如供应商的最终报价超过竞争性磋商文件中规定的项目/采购包预算金额或者项目/采购包最高限价的；</w:t>
      </w:r>
    </w:p>
    <w:p w14:paraId="13564BB1">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响应文件中出现可选择性或可调整的报价的（竞争性磋商文件另有规定的除外）；</w:t>
      </w:r>
    </w:p>
    <w:p w14:paraId="209D645C">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最终报价出现前后不一致，供应商对修正后的报价不予确认的；</w:t>
      </w:r>
    </w:p>
    <w:p w14:paraId="18176F5A">
      <w:pPr>
        <w:numPr>
          <w:ilvl w:val="1"/>
          <w:numId w:val="1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____。</w:t>
      </w:r>
    </w:p>
    <w:bookmarkEnd w:id="620"/>
    <w:bookmarkEnd w:id="621"/>
    <w:p w14:paraId="74673866">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评审方法和评审标准</w:t>
      </w:r>
    </w:p>
    <w:p w14:paraId="1A006EA1">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811E1C2">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竞争性磋商文件中没有规定的评审标准不得作为评审依据。</w:t>
      </w:r>
    </w:p>
    <w:p w14:paraId="7B5FE560">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非政府强制采购的节能产品或环境标志产品，依据品目清单和认证证书实施政府优先采购。优先采购的具体规定（如涉及）____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w:t>
      </w:r>
    </w:p>
    <w:p w14:paraId="5E52E797">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4"/>
          <w:highlight w:val="none"/>
          <w:lang w:val="en-US" w:eastAsia="zh-CN"/>
          <w14:textFill>
            <w14:solidFill>
              <w14:schemeClr w14:val="tx1"/>
            </w14:solidFill>
          </w14:textFill>
        </w:rPr>
        <w:t>/</w:t>
      </w:r>
      <w:r>
        <w:rPr>
          <w:color w:val="000000" w:themeColor="text1"/>
          <w:sz w:val="24"/>
          <w:highlight w:val="none"/>
          <w14:textFill>
            <w14:solidFill>
              <w14:schemeClr w14:val="tx1"/>
            </w14:solidFill>
          </w14:textFill>
        </w:rPr>
        <w:t>___。</w:t>
      </w:r>
    </w:p>
    <w:p w14:paraId="6CD0F622">
      <w:pPr>
        <w:numPr>
          <w:ilvl w:val="1"/>
          <w:numId w:val="11"/>
        </w:numPr>
        <w:tabs>
          <w:tab w:val="left" w:pos="1080"/>
          <w:tab w:val="left" w:pos="1872"/>
        </w:tabs>
        <w:spacing w:line="360" w:lineRule="auto"/>
        <w:ind w:left="1077" w:hanging="720"/>
        <w:rPr>
          <w:rFonts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cs="Times New Roman"/>
          <w:color w:val="0000FF"/>
          <w:sz w:val="24"/>
          <w:highlight w:val="none"/>
          <w:lang w:val="en-US" w:eastAsia="zh-CN"/>
        </w:rPr>
        <w:t>评标委员会应针对投标文件进行政府采购异常低价审查：</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（一）评审过程中出现下列情形之一的，评审委员会应当启动异常低价投标审查程序：</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（1）投标报价低于采购项目预算50%的，即投标报价&lt;采购项目预算×50% ；</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（2）投标报价低于采购项目最高限价45%的，即投标报价&lt;采购项目最高限价×45% ；</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FF"/>
          <w:sz w:val="24"/>
          <w:highlight w:val="none"/>
          <w:lang w:val="en-US" w:eastAsia="zh-CN"/>
        </w:rPr>
        <w:t>（3）评标委员会认定的供应商报价过低、有可能影响产品质量或者不能诚信履约的其他情形。</w:t>
      </w:r>
      <w:r>
        <w:rPr>
          <w:rFonts w:hint="eastAsia" w:ascii="Times New Roman" w:hAnsi="Times New Roman" w:cs="Times New Roman"/>
          <w:color w:val="0000FF"/>
          <w:sz w:val="24"/>
          <w:highlight w:val="none"/>
          <w:lang w:val="en-US" w:eastAsia="zh-CN"/>
        </w:rPr>
        <w:br w:type="textWrapping"/>
      </w:r>
      <w:r>
        <w:rPr>
          <w:rFonts w:hint="eastAsia" w:ascii="Times New Roman" w:hAnsi="Times New Roman" w:cs="Times New Roman"/>
          <w:color w:val="000000" w:themeColor="text1"/>
          <w:sz w:val="24"/>
          <w:highlight w:val="none"/>
          <w:lang w:val="en-US" w:eastAsia="zh-CN"/>
          <w14:textFill>
            <w14:solidFill>
              <w14:schemeClr w14:val="tx1"/>
            </w14:solidFill>
          </w14:textFill>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14:paraId="660F9654">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确定</w:t>
      </w:r>
      <w:bookmarkStart w:id="637" w:name="_Toc264969236"/>
      <w:bookmarkStart w:id="638" w:name="_Toc151193860"/>
      <w:bookmarkStart w:id="639" w:name="_Toc164351640"/>
      <w:bookmarkStart w:id="640" w:name="_Toc305158888"/>
      <w:bookmarkStart w:id="641" w:name="_Toc151193788"/>
      <w:bookmarkStart w:id="642" w:name="_Toc226337242"/>
      <w:bookmarkStart w:id="643" w:name="_Toc164229241"/>
      <w:bookmarkStart w:id="644" w:name="_Ref467307010"/>
      <w:bookmarkStart w:id="645" w:name="_Toc127151747"/>
      <w:bookmarkStart w:id="646" w:name="_Toc195842911"/>
      <w:bookmarkStart w:id="647" w:name="_Toc305158814"/>
      <w:bookmarkStart w:id="648" w:name="_Toc142311048"/>
      <w:bookmarkStart w:id="649" w:name="_Toc127161460"/>
      <w:bookmarkStart w:id="650" w:name="_Toc149720839"/>
      <w:bookmarkStart w:id="651" w:name="_Toc265228384"/>
      <w:bookmarkStart w:id="652" w:name="_Toc151193644"/>
      <w:bookmarkStart w:id="653" w:name="_Toc150480784"/>
      <w:bookmarkStart w:id="654" w:name="_Toc164608815"/>
      <w:bookmarkStart w:id="655" w:name="_Toc226309790"/>
      <w:bookmarkStart w:id="656" w:name="_Toc150774751"/>
      <w:bookmarkStart w:id="657" w:name="_Toc151190173"/>
      <w:bookmarkStart w:id="658" w:name="_Toc164608660"/>
      <w:bookmarkStart w:id="659" w:name="_Toc226965736"/>
      <w:bookmarkStart w:id="660" w:name="_Toc150509297"/>
      <w:bookmarkStart w:id="661" w:name="_Toc151193716"/>
      <w:bookmarkStart w:id="662" w:name="_Toc226965819"/>
      <w:bookmarkStart w:id="663" w:name="_Toc150774646"/>
      <w:bookmarkStart w:id="664" w:name="_Toc164229387"/>
      <w:bookmarkStart w:id="665" w:name="_Toc127151546"/>
      <w:bookmarkStart w:id="666" w:name="_Toc151193934"/>
      <w:bookmarkStart w:id="667" w:name="_Toc520356170"/>
      <w:r>
        <w:rPr>
          <w:color w:val="000000" w:themeColor="text1"/>
          <w:sz w:val="24"/>
          <w:highlight w:val="none"/>
          <w14:textFill>
            <w14:solidFill>
              <w14:schemeClr w14:val="tx1"/>
            </w14:solidFill>
          </w14:textFill>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14:paraId="2E894ED1">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8D31D42">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w:t>
      </w:r>
      <w:r>
        <w:rPr>
          <w:rFonts w:hint="eastAsia"/>
          <w:color w:val="000000" w:themeColor="text1"/>
          <w:sz w:val="24"/>
          <w:szCs w:val="20"/>
          <w:highlight w:val="none"/>
          <w:lang w:eastAsia="zh-CN"/>
          <w14:textFill>
            <w14:solidFill>
              <w14:schemeClr w14:val="tx1"/>
            </w14:solidFill>
          </w14:textFill>
        </w:rPr>
        <w:t>为两家</w:t>
      </w:r>
      <w:r>
        <w:rPr>
          <w:color w:val="000000" w:themeColor="text1"/>
          <w:sz w:val="24"/>
          <w:szCs w:val="20"/>
          <w:highlight w:val="none"/>
          <w14:textFill>
            <w14:solidFill>
              <w14:schemeClr w14:val="tx1"/>
            </w14:solidFill>
          </w14:textFill>
        </w:rPr>
        <w:t>，则依次推荐二名供应商为成交候选供应商），并编写评审报告。</w:t>
      </w:r>
    </w:p>
    <w:p w14:paraId="2CE649EE">
      <w:pPr>
        <w:numPr>
          <w:ilvl w:val="1"/>
          <w:numId w:val="1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47E0267B">
      <w:pPr>
        <w:numPr>
          <w:ilvl w:val="0"/>
          <w:numId w:val="11"/>
        </w:numPr>
        <w:tabs>
          <w:tab w:val="left" w:pos="360"/>
        </w:tabs>
        <w:spacing w:line="360" w:lineRule="auto"/>
        <w:outlineLvl w:val="1"/>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报告违法行为</w:t>
      </w:r>
    </w:p>
    <w:p w14:paraId="43731562">
      <w:pPr>
        <w:keepNext w:val="0"/>
        <w:keepLines w:val="0"/>
        <w:pageBreakBefore w:val="0"/>
        <w:widowControl/>
        <w:numPr>
          <w:ilvl w:val="1"/>
          <w:numId w:val="11"/>
        </w:numPr>
        <w:tabs>
          <w:tab w:val="left" w:pos="1080"/>
          <w:tab w:val="left" w:pos="1872"/>
        </w:tabs>
        <w:spacing w:line="360" w:lineRule="auto"/>
        <w:ind w:left="0" w:firstLine="480"/>
        <w:jc w:val="left"/>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b/>
          <w:color w:val="000000" w:themeColor="text1"/>
          <w:sz w:val="24"/>
          <w:highlight w:val="none"/>
          <w14:textFill>
            <w14:solidFill>
              <w14:schemeClr w14:val="tx1"/>
            </w14:solidFill>
          </w14:textFill>
        </w:rPr>
        <w:br w:type="page" w:clear="all"/>
      </w:r>
      <w:r>
        <w:rPr>
          <w:rFonts w:hint="eastAsia"/>
          <w:b/>
          <w:color w:val="000000" w:themeColor="text1"/>
          <w:sz w:val="24"/>
          <w:highlight w:val="none"/>
          <w:lang w:val="en-US" w:eastAsia="zh-CN"/>
          <w14:textFill>
            <w14:solidFill>
              <w14:schemeClr w14:val="tx1"/>
            </w14:solidFill>
          </w14:textFill>
        </w:rPr>
        <w:t xml:space="preserve">                                    </w:t>
      </w:r>
      <w:r>
        <w:rPr>
          <w:b/>
          <w:color w:val="000000" w:themeColor="text1"/>
          <w:sz w:val="24"/>
          <w:highlight w:val="none"/>
          <w14:textFill>
            <w14:solidFill>
              <w14:schemeClr w14:val="tx1"/>
            </w14:solidFill>
          </w14:textFill>
        </w:rPr>
        <w:t>二、评</w:t>
      </w:r>
      <w:r>
        <w:rPr>
          <w:rFonts w:hint="eastAsia"/>
          <w:b/>
          <w:color w:val="000000" w:themeColor="text1"/>
          <w:sz w:val="24"/>
          <w:highlight w:val="none"/>
          <w14:textFill>
            <w14:solidFill>
              <w14:schemeClr w14:val="tx1"/>
            </w14:solidFill>
          </w14:textFill>
        </w:rPr>
        <w:t>审</w:t>
      </w:r>
      <w:r>
        <w:rPr>
          <w:b/>
          <w:color w:val="000000" w:themeColor="text1"/>
          <w:sz w:val="24"/>
          <w:highlight w:val="none"/>
          <w14:textFill>
            <w14:solidFill>
              <w14:schemeClr w14:val="tx1"/>
            </w14:solidFill>
          </w14:textFill>
        </w:rPr>
        <w:t>标准</w:t>
      </w:r>
    </w:p>
    <w:tbl>
      <w:tblPr>
        <w:tblStyle w:val="29"/>
        <w:tblW w:w="10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1698"/>
        <w:gridCol w:w="738"/>
        <w:gridCol w:w="6678"/>
        <w:gridCol w:w="957"/>
      </w:tblGrid>
      <w:tr w14:paraId="41C9B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785" w:type="dxa"/>
            <w:noWrap w:val="0"/>
            <w:vAlign w:val="center"/>
          </w:tcPr>
          <w:p w14:paraId="00719968">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序号</w:t>
            </w:r>
          </w:p>
        </w:tc>
        <w:tc>
          <w:tcPr>
            <w:tcW w:w="1698" w:type="dxa"/>
            <w:noWrap w:val="0"/>
            <w:vAlign w:val="center"/>
          </w:tcPr>
          <w:p w14:paraId="001CEDAB">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评分因素</w:t>
            </w:r>
          </w:p>
        </w:tc>
        <w:tc>
          <w:tcPr>
            <w:tcW w:w="738" w:type="dxa"/>
            <w:noWrap w:val="0"/>
            <w:vAlign w:val="center"/>
          </w:tcPr>
          <w:p w14:paraId="19F3839E">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分值</w:t>
            </w:r>
          </w:p>
        </w:tc>
        <w:tc>
          <w:tcPr>
            <w:tcW w:w="6678" w:type="dxa"/>
            <w:noWrap w:val="0"/>
            <w:vAlign w:val="center"/>
          </w:tcPr>
          <w:p w14:paraId="1534985A">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评分标准</w:t>
            </w:r>
          </w:p>
        </w:tc>
        <w:tc>
          <w:tcPr>
            <w:tcW w:w="957" w:type="dxa"/>
            <w:noWrap w:val="0"/>
            <w:vAlign w:val="center"/>
          </w:tcPr>
          <w:p w14:paraId="45234078">
            <w:pPr>
              <w:pStyle w:val="459"/>
              <w:keepNext w:val="0"/>
              <w:keepLines w:val="0"/>
              <w:pageBreakBefore w:val="0"/>
              <w:widowControl w:val="0"/>
              <w:spacing w:before="0" w:beforeAutospacing="0" w:after="0" w:afterAutospacing="0"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说明</w:t>
            </w:r>
          </w:p>
        </w:tc>
      </w:tr>
      <w:tr w14:paraId="4A594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360F56D4">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1</w:t>
            </w:r>
          </w:p>
        </w:tc>
        <w:tc>
          <w:tcPr>
            <w:tcW w:w="1698" w:type="dxa"/>
            <w:noWrap w:val="0"/>
            <w:vAlign w:val="center"/>
          </w:tcPr>
          <w:p w14:paraId="7632293F">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价格分</w:t>
            </w:r>
          </w:p>
        </w:tc>
        <w:tc>
          <w:tcPr>
            <w:tcW w:w="738" w:type="dxa"/>
            <w:noWrap w:val="0"/>
            <w:vAlign w:val="center"/>
          </w:tcPr>
          <w:p w14:paraId="55FC6F39">
            <w:pPr>
              <w:keepNext w:val="0"/>
              <w:keepLines w:val="0"/>
              <w:pageBreakBefore w:val="0"/>
              <w:spacing w:line="240" w:lineRule="auto"/>
              <w:ind w:left="0" w:firstLine="28"/>
              <w:jc w:val="center"/>
              <w:rPr>
                <w:rFonts w:hint="default"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eastAsia="zh-CN" w:bidi="ar"/>
                <w14:textFill>
                  <w14:solidFill>
                    <w14:schemeClr w14:val="tx1"/>
                  </w14:solidFill>
                </w14:textFill>
              </w:rPr>
              <w:t>50</w:t>
            </w:r>
          </w:p>
        </w:tc>
        <w:tc>
          <w:tcPr>
            <w:tcW w:w="6678" w:type="dxa"/>
            <w:noWrap w:val="0"/>
            <w:vAlign w:val="center"/>
          </w:tcPr>
          <w:p w14:paraId="34A8FFEC">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采用低价优先法计算，即满足磋商文件要求且最终</w:t>
            </w:r>
            <w:r>
              <w:rPr>
                <w:rFonts w:hint="eastAsia" w:ascii="宋体" w:hAnsi="宋体" w:eastAsia="宋体" w:cs="宋体"/>
                <w:sz w:val="24"/>
                <w:highlight w:val="none"/>
              </w:rPr>
              <w:t>优惠率</w:t>
            </w:r>
            <w:r>
              <w:rPr>
                <w:rFonts w:hint="eastAsia" w:ascii="宋体" w:hAnsi="宋体" w:eastAsia="宋体" w:cs="宋体"/>
                <w:sz w:val="24"/>
                <w:highlight w:val="none"/>
                <w:lang w:eastAsia="zh-CN"/>
              </w:rPr>
              <w:t>报价</w:t>
            </w:r>
            <w:r>
              <w:rPr>
                <w:rFonts w:hint="eastAsia" w:ascii="宋体" w:hAnsi="宋体" w:eastAsia="宋体" w:cs="宋体"/>
                <w:color w:val="auto"/>
                <w:sz w:val="24"/>
                <w:szCs w:val="24"/>
                <w:highlight w:val="none"/>
                <w:lang w:val="en-US" w:eastAsia="zh-CN"/>
              </w:rPr>
              <w:t>最</w:t>
            </w:r>
            <w:r>
              <w:rPr>
                <w:rFonts w:hint="eastAsia" w:ascii="宋体" w:hAnsi="宋体" w:cs="宋体"/>
                <w:color w:val="auto"/>
                <w:sz w:val="24"/>
                <w:szCs w:val="24"/>
                <w:highlight w:val="none"/>
                <w:lang w:val="en-US" w:eastAsia="zh-CN"/>
              </w:rPr>
              <w:t>高</w:t>
            </w:r>
            <w:r>
              <w:rPr>
                <w:rFonts w:hint="eastAsia" w:ascii="宋体" w:hAnsi="宋体" w:eastAsia="宋体" w:cs="宋体"/>
                <w:color w:val="auto"/>
                <w:sz w:val="24"/>
                <w:szCs w:val="24"/>
                <w:highlight w:val="none"/>
                <w:lang w:val="en-US" w:eastAsia="zh-CN"/>
              </w:rPr>
              <w:t>的</w:t>
            </w:r>
            <w:r>
              <w:rPr>
                <w:rFonts w:hint="eastAsia" w:ascii="宋体" w:hAnsi="宋体" w:eastAsia="宋体" w:cs="宋体"/>
                <w:sz w:val="24"/>
                <w:highlight w:val="none"/>
              </w:rPr>
              <w:t>优惠率</w:t>
            </w:r>
            <w:r>
              <w:rPr>
                <w:rFonts w:hint="eastAsia" w:ascii="宋体" w:hAnsi="宋体" w:eastAsia="宋体" w:cs="宋体"/>
                <w:color w:val="auto"/>
                <w:sz w:val="24"/>
                <w:szCs w:val="24"/>
                <w:highlight w:val="none"/>
                <w:lang w:val="en-US" w:eastAsia="zh-CN"/>
              </w:rPr>
              <w:t>为磋商基准</w:t>
            </w:r>
            <w:r>
              <w:rPr>
                <w:rFonts w:hint="eastAsia" w:ascii="宋体" w:hAnsi="宋体" w:eastAsia="宋体" w:cs="宋体"/>
                <w:sz w:val="24"/>
                <w:highlight w:val="none"/>
              </w:rPr>
              <w:t>优惠率</w:t>
            </w:r>
            <w:r>
              <w:rPr>
                <w:rFonts w:hint="eastAsia" w:ascii="宋体" w:hAnsi="宋体" w:eastAsia="宋体" w:cs="宋体"/>
                <w:color w:val="auto"/>
                <w:sz w:val="24"/>
                <w:szCs w:val="24"/>
                <w:highlight w:val="none"/>
                <w:lang w:val="en-US" w:eastAsia="zh-CN"/>
              </w:rPr>
              <w:t>，其价格分为满分。其他响应人的价格分统一按照下列公式计算（小数点保留两位）：</w:t>
            </w:r>
          </w:p>
          <w:p w14:paraId="01D22073">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磋商报价得分=</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磋商基准</w:t>
            </w:r>
            <w:r>
              <w:rPr>
                <w:rFonts w:hint="eastAsia" w:ascii="宋体" w:hAnsi="宋体" w:eastAsia="宋体" w:cs="宋体"/>
                <w:sz w:val="24"/>
                <w:highlight w:val="none"/>
              </w:rPr>
              <w:t>优惠率</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最终</w:t>
            </w:r>
            <w:r>
              <w:rPr>
                <w:rFonts w:hint="eastAsia" w:ascii="宋体" w:hAnsi="宋体" w:eastAsia="宋体" w:cs="宋体"/>
                <w:sz w:val="24"/>
                <w:highlight w:val="none"/>
              </w:rPr>
              <w:t>优惠率</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×分值。</w:t>
            </w:r>
          </w:p>
        </w:tc>
        <w:tc>
          <w:tcPr>
            <w:tcW w:w="957" w:type="dxa"/>
            <w:noWrap w:val="0"/>
            <w:vAlign w:val="center"/>
          </w:tcPr>
          <w:p w14:paraId="4FE224EA">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98D3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85" w:type="dxa"/>
            <w:noWrap w:val="0"/>
            <w:vAlign w:val="center"/>
          </w:tcPr>
          <w:p w14:paraId="59966EAC">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2</w:t>
            </w:r>
          </w:p>
        </w:tc>
        <w:tc>
          <w:tcPr>
            <w:tcW w:w="1698" w:type="dxa"/>
            <w:noWrap w:val="0"/>
            <w:vAlign w:val="center"/>
          </w:tcPr>
          <w:p w14:paraId="128F5E39">
            <w:pPr>
              <w:keepNext w:val="0"/>
              <w:keepLines w:val="0"/>
              <w:pageBreakBefore w:val="0"/>
              <w:spacing w:line="240" w:lineRule="auto"/>
              <w:ind w:left="0" w:firstLine="28"/>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bidi="ar"/>
                <w14:textFill>
                  <w14:solidFill>
                    <w14:schemeClr w14:val="tx1"/>
                  </w14:solidFill>
                </w14:textFill>
              </w:rPr>
              <w:t>主观分</w:t>
            </w:r>
          </w:p>
        </w:tc>
        <w:tc>
          <w:tcPr>
            <w:tcW w:w="738" w:type="dxa"/>
            <w:noWrap w:val="0"/>
            <w:vAlign w:val="center"/>
          </w:tcPr>
          <w:p w14:paraId="667D6A68">
            <w:pPr>
              <w:keepNext w:val="0"/>
              <w:keepLines w:val="0"/>
              <w:pageBreakBefore w:val="0"/>
              <w:spacing w:line="240" w:lineRule="auto"/>
              <w:ind w:left="0" w:firstLine="28"/>
              <w:jc w:val="center"/>
              <w:rPr>
                <w:rFonts w:hint="default"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36</w:t>
            </w:r>
          </w:p>
        </w:tc>
        <w:tc>
          <w:tcPr>
            <w:tcW w:w="6678" w:type="dxa"/>
            <w:noWrap w:val="0"/>
            <w:vAlign w:val="center"/>
          </w:tcPr>
          <w:p w14:paraId="79394768">
            <w:pPr>
              <w:pStyle w:val="459"/>
              <w:keepNext w:val="0"/>
              <w:keepLines w:val="0"/>
              <w:pageBreakBefore w:val="0"/>
              <w:widowControl w:val="0"/>
              <w:spacing w:before="0" w:beforeAutospacing="0" w:after="0" w:afterAutospacing="0" w:line="240" w:lineRule="auto"/>
              <w:ind w:left="0" w:firstLine="570"/>
              <w:jc w:val="both"/>
              <w:rPr>
                <w:rFonts w:hint="eastAsia" w:ascii="宋体" w:hAnsi="宋体" w:eastAsia="宋体" w:cs="宋体"/>
                <w:color w:val="000000" w:themeColor="text1"/>
                <w:sz w:val="21"/>
                <w:szCs w:val="21"/>
                <w:highlight w:val="none"/>
                <w14:textFill>
                  <w14:solidFill>
                    <w14:schemeClr w14:val="tx1"/>
                  </w14:solidFill>
                </w14:textFill>
              </w:rPr>
            </w:pPr>
          </w:p>
        </w:tc>
        <w:tc>
          <w:tcPr>
            <w:tcW w:w="957" w:type="dxa"/>
            <w:noWrap w:val="0"/>
            <w:vAlign w:val="center"/>
          </w:tcPr>
          <w:p w14:paraId="40953C21">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FA71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jc w:val="center"/>
        </w:trPr>
        <w:tc>
          <w:tcPr>
            <w:tcW w:w="785" w:type="dxa"/>
            <w:noWrap w:val="0"/>
            <w:vAlign w:val="center"/>
          </w:tcPr>
          <w:p w14:paraId="328997B9">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1698" w:type="dxa"/>
            <w:noWrap w:val="0"/>
            <w:vAlign w:val="center"/>
          </w:tcPr>
          <w:p w14:paraId="66C89E7E">
            <w:pPr>
              <w:keepNext w:val="0"/>
              <w:keepLines w:val="0"/>
              <w:pageBreakBefore w:val="0"/>
              <w:spacing w:line="400" w:lineRule="exact"/>
              <w:rPr>
                <w:rFonts w:hint="eastAsia" w:ascii="宋体" w:hAnsi="宋体" w:eastAsia="宋体" w:cs="宋体"/>
                <w:color w:val="auto"/>
                <w:sz w:val="24"/>
                <w:szCs w:val="24"/>
                <w:highlight w:val="none"/>
                <w:lang w:val="en-US" w:eastAsia="zh-CN"/>
              </w:rPr>
            </w:pPr>
            <w:r>
              <w:rPr>
                <w:rFonts w:hint="eastAsia" w:ascii="方正仿宋_GB2312" w:hAnsi="方正仿宋_GB2312" w:eastAsia="方正仿宋_GB2312" w:cs="方正仿宋_GB2312"/>
                <w:sz w:val="28"/>
                <w:szCs w:val="28"/>
                <w:highlight w:val="none"/>
              </w:rPr>
              <w:t>维保措施</w:t>
            </w:r>
          </w:p>
        </w:tc>
        <w:tc>
          <w:tcPr>
            <w:tcW w:w="738" w:type="dxa"/>
            <w:noWrap w:val="0"/>
            <w:vAlign w:val="center"/>
          </w:tcPr>
          <w:p w14:paraId="2FC99ACE">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78" w:type="dxa"/>
            <w:noWrap w:val="0"/>
            <w:vAlign w:val="center"/>
          </w:tcPr>
          <w:p w14:paraId="6037DB5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（一）评分内容：投标人提供的维保措施方案包含</w:t>
            </w:r>
            <w:r>
              <w:rPr>
                <w:rFonts w:hint="eastAsia" w:ascii="宋体" w:hAnsi="宋体" w:eastAsia="宋体" w:cs="宋体"/>
                <w:kern w:val="0"/>
                <w:sz w:val="24"/>
                <w:szCs w:val="24"/>
                <w:lang w:val="en-US" w:eastAsia="zh-CN"/>
              </w:rPr>
              <w:t>但不限于</w:t>
            </w:r>
            <w:r>
              <w:rPr>
                <w:rFonts w:hint="eastAsia" w:ascii="宋体" w:hAnsi="宋体" w:eastAsia="宋体" w:cs="宋体"/>
                <w:kern w:val="0"/>
                <w:sz w:val="24"/>
                <w:szCs w:val="24"/>
              </w:rPr>
              <w:t>以下内容：</w:t>
            </w:r>
          </w:p>
          <w:p w14:paraId="75BCB283">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（1）针对本项目内容养护服务要求</w:t>
            </w:r>
            <w:r>
              <w:rPr>
                <w:rFonts w:hint="eastAsia" w:ascii="宋体" w:hAnsi="宋体" w:eastAsia="宋体" w:cs="宋体"/>
                <w:kern w:val="0"/>
                <w:sz w:val="24"/>
                <w:szCs w:val="24"/>
                <w:lang w:eastAsia="zh-CN"/>
              </w:rPr>
              <w:t>；</w:t>
            </w:r>
          </w:p>
          <w:p w14:paraId="24D20749">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（2）提供主要维护和维修保证措施（市政道路、桥梁、管道、路灯、景观照明等）等方案</w:t>
            </w:r>
            <w:r>
              <w:rPr>
                <w:rFonts w:hint="eastAsia" w:ascii="宋体" w:hAnsi="宋体" w:eastAsia="宋体" w:cs="宋体"/>
                <w:kern w:val="0"/>
                <w:sz w:val="24"/>
                <w:szCs w:val="24"/>
                <w:lang w:eastAsia="zh-CN"/>
              </w:rPr>
              <w:t>；</w:t>
            </w:r>
          </w:p>
          <w:p w14:paraId="31A9AE5F">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1.考察以上内容，每满足任意一项内容得</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%，最高得</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 xml:space="preserve">0%。 </w:t>
            </w:r>
          </w:p>
          <w:p w14:paraId="4EDDA32F">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2.在上述基础上，专家根据各投标人的具体响应内容按照量化的评审因素指标进一步评审。</w:t>
            </w:r>
          </w:p>
          <w:p w14:paraId="0A77F44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（1）方案整体科学合理、针对性强、可操作性强，评审为优加</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0%； </w:t>
            </w:r>
          </w:p>
          <w:p w14:paraId="4A58AA8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（2）方案较合理、有一定针对性、一定可操作性，评审为良加</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0%；</w:t>
            </w:r>
          </w:p>
          <w:p w14:paraId="09CAEA9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 xml:space="preserve">（3）方案不尽合理、针对性一般、可操作性一般，评审为中加5%； </w:t>
            </w:r>
          </w:p>
          <w:p w14:paraId="4345BF49">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szCs w:val="24"/>
              </w:rPr>
              <w:t>（4）方案不合理、无针对性、无可操作性，评审为差的，不加分。</w:t>
            </w:r>
          </w:p>
        </w:tc>
        <w:tc>
          <w:tcPr>
            <w:tcW w:w="957" w:type="dxa"/>
            <w:noWrap w:val="0"/>
            <w:vAlign w:val="center"/>
          </w:tcPr>
          <w:p w14:paraId="5561CF77">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76FE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1D92862D">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1698" w:type="dxa"/>
            <w:noWrap w:val="0"/>
            <w:vAlign w:val="center"/>
          </w:tcPr>
          <w:p w14:paraId="4ACCD6F4">
            <w:pPr>
              <w:keepNext w:val="0"/>
              <w:keepLines w:val="0"/>
              <w:pageBreakBefore w:val="0"/>
              <w:spacing w:line="400" w:lineRule="exact"/>
              <w:rPr>
                <w:rFonts w:hint="eastAsia" w:ascii="宋体" w:hAnsi="宋体" w:eastAsia="宋体" w:cs="宋体"/>
                <w:color w:val="auto"/>
                <w:sz w:val="24"/>
                <w:szCs w:val="24"/>
                <w:highlight w:val="none"/>
                <w:lang w:val="en-US" w:eastAsia="zh-CN"/>
              </w:rPr>
            </w:pPr>
            <w:r>
              <w:rPr>
                <w:rFonts w:hint="eastAsia" w:ascii="方正仿宋_GB2312" w:hAnsi="方正仿宋_GB2312" w:eastAsia="方正仿宋_GB2312" w:cs="方正仿宋_GB2312"/>
                <w:sz w:val="28"/>
                <w:szCs w:val="28"/>
                <w:highlight w:val="none"/>
              </w:rPr>
              <w:t>管理措施</w:t>
            </w:r>
          </w:p>
        </w:tc>
        <w:tc>
          <w:tcPr>
            <w:tcW w:w="738" w:type="dxa"/>
            <w:noWrap w:val="0"/>
            <w:vAlign w:val="center"/>
          </w:tcPr>
          <w:p w14:paraId="35E3C091">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78" w:type="dxa"/>
            <w:noWrap w:val="0"/>
            <w:vAlign w:val="center"/>
          </w:tcPr>
          <w:p w14:paraId="0506339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（一）评分内容：投标人提供的管理措施</w:t>
            </w:r>
            <w:r>
              <w:rPr>
                <w:rFonts w:hint="eastAsia" w:ascii="宋体" w:hAnsi="宋体" w:eastAsia="宋体" w:cs="宋体"/>
                <w:kern w:val="0"/>
                <w:sz w:val="24"/>
                <w:szCs w:val="24"/>
                <w:lang w:val="en-US" w:eastAsia="zh-CN"/>
              </w:rPr>
              <w:t>方案</w:t>
            </w:r>
            <w:r>
              <w:rPr>
                <w:rFonts w:hint="eastAsia" w:ascii="宋体" w:hAnsi="宋体" w:eastAsia="宋体" w:cs="宋体"/>
                <w:kern w:val="0"/>
                <w:sz w:val="24"/>
                <w:szCs w:val="24"/>
              </w:rPr>
              <w:t>包含</w:t>
            </w:r>
            <w:r>
              <w:rPr>
                <w:rFonts w:hint="eastAsia" w:ascii="宋体" w:hAnsi="宋体" w:eastAsia="宋体" w:cs="宋体"/>
                <w:kern w:val="0"/>
                <w:sz w:val="24"/>
                <w:szCs w:val="24"/>
                <w:lang w:val="en-US" w:eastAsia="zh-CN"/>
              </w:rPr>
              <w:t>但不限于</w:t>
            </w:r>
            <w:r>
              <w:rPr>
                <w:rFonts w:hint="eastAsia" w:ascii="宋体" w:hAnsi="宋体" w:eastAsia="宋体" w:cs="宋体"/>
                <w:kern w:val="0"/>
                <w:sz w:val="24"/>
                <w:szCs w:val="24"/>
              </w:rPr>
              <w:t>以下内容：</w:t>
            </w:r>
          </w:p>
          <w:p w14:paraId="517706F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（1）针对本项目内容以及保证施工质量要求</w:t>
            </w:r>
            <w:r>
              <w:rPr>
                <w:rFonts w:hint="eastAsia" w:ascii="宋体" w:hAnsi="宋体" w:eastAsia="宋体" w:cs="宋体"/>
                <w:kern w:val="0"/>
                <w:sz w:val="24"/>
                <w:szCs w:val="24"/>
                <w:lang w:eastAsia="zh-CN"/>
              </w:rPr>
              <w:t>；</w:t>
            </w:r>
          </w:p>
          <w:p w14:paraId="422E89D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（2）提供质量管理措施（组织、技术、工期、安全文明等）</w:t>
            </w:r>
            <w:r>
              <w:rPr>
                <w:rFonts w:hint="eastAsia" w:ascii="宋体" w:hAnsi="宋体" w:eastAsia="宋体" w:cs="宋体"/>
                <w:kern w:val="0"/>
                <w:sz w:val="24"/>
                <w:szCs w:val="24"/>
                <w:lang w:eastAsia="zh-CN"/>
              </w:rPr>
              <w:t>；</w:t>
            </w:r>
          </w:p>
          <w:p w14:paraId="7944233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1.考察以上内容，每满足任意一项内容得</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%，最高得</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 xml:space="preserve">0%。 </w:t>
            </w:r>
          </w:p>
          <w:p w14:paraId="1F28894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2.在上述基础上，专家根据各投标人的具体响应内容按照量化的评审因素指标进一步评审。</w:t>
            </w:r>
          </w:p>
          <w:p w14:paraId="576A71B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（1）方案整体科学合理、针对性强、可操作性强，评审为优加</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0%； </w:t>
            </w:r>
          </w:p>
          <w:p w14:paraId="17CC11E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（2）方案较合理、有一定针对性、一定可操作性，评审为良加</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0%；</w:t>
            </w:r>
          </w:p>
          <w:p w14:paraId="7C6E923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 xml:space="preserve">（3）方案不尽合理、针对性一般、可操作性一般，评审为中加5%； </w:t>
            </w:r>
          </w:p>
          <w:p w14:paraId="518A4D54">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szCs w:val="24"/>
              </w:rPr>
              <w:t>（4）方案不合理、无针对性、无可操作性，评审为差的，不加分。</w:t>
            </w:r>
          </w:p>
        </w:tc>
        <w:tc>
          <w:tcPr>
            <w:tcW w:w="957" w:type="dxa"/>
            <w:noWrap w:val="0"/>
            <w:vAlign w:val="center"/>
          </w:tcPr>
          <w:p w14:paraId="56C204BD">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F3CC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45B5356C">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1698" w:type="dxa"/>
            <w:noWrap w:val="0"/>
            <w:vAlign w:val="center"/>
          </w:tcPr>
          <w:p w14:paraId="3ACEDBE1">
            <w:pPr>
              <w:keepNext w:val="0"/>
              <w:keepLines w:val="0"/>
              <w:pageBreakBefore w:val="0"/>
              <w:spacing w:line="400" w:lineRule="exact"/>
              <w:rPr>
                <w:rFonts w:hint="eastAsia" w:ascii="宋体" w:hAnsi="宋体" w:eastAsia="宋体" w:cs="宋体"/>
                <w:color w:val="auto"/>
                <w:sz w:val="24"/>
                <w:szCs w:val="24"/>
                <w:highlight w:val="none"/>
                <w:lang w:val="en-US" w:eastAsia="zh-CN"/>
              </w:rPr>
            </w:pPr>
            <w:r>
              <w:rPr>
                <w:rFonts w:hint="eastAsia" w:ascii="方正仿宋_GB2312" w:hAnsi="方正仿宋_GB2312" w:eastAsia="方正仿宋_GB2312" w:cs="方正仿宋_GB2312"/>
                <w:sz w:val="28"/>
                <w:szCs w:val="28"/>
                <w:highlight w:val="none"/>
              </w:rPr>
              <w:t>日常巡查方案</w:t>
            </w:r>
          </w:p>
        </w:tc>
        <w:tc>
          <w:tcPr>
            <w:tcW w:w="738" w:type="dxa"/>
            <w:noWrap w:val="0"/>
            <w:vAlign w:val="center"/>
          </w:tcPr>
          <w:p w14:paraId="2227EF9E">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78" w:type="dxa"/>
            <w:noWrap w:val="0"/>
            <w:vAlign w:val="center"/>
          </w:tcPr>
          <w:p w14:paraId="2DC7BD1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（一）评分内容：投标人提供的日常巡查方案包含</w:t>
            </w:r>
            <w:r>
              <w:rPr>
                <w:rFonts w:hint="eastAsia" w:ascii="宋体" w:hAnsi="宋体" w:eastAsia="宋体" w:cs="宋体"/>
                <w:kern w:val="0"/>
                <w:sz w:val="24"/>
                <w:szCs w:val="24"/>
                <w:lang w:val="en-US" w:eastAsia="zh-CN"/>
              </w:rPr>
              <w:t>但不限于</w:t>
            </w:r>
            <w:r>
              <w:rPr>
                <w:rFonts w:hint="eastAsia" w:ascii="宋体" w:hAnsi="宋体" w:eastAsia="宋体" w:cs="宋体"/>
                <w:kern w:val="0"/>
                <w:sz w:val="24"/>
                <w:szCs w:val="24"/>
              </w:rPr>
              <w:t>以下内容：</w:t>
            </w:r>
          </w:p>
          <w:p w14:paraId="6E9A045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（1）针对本项目养护内容</w:t>
            </w:r>
            <w:r>
              <w:rPr>
                <w:rFonts w:hint="eastAsia" w:ascii="宋体" w:hAnsi="宋体" w:eastAsia="宋体" w:cs="宋体"/>
                <w:kern w:val="0"/>
                <w:sz w:val="24"/>
                <w:szCs w:val="24"/>
                <w:lang w:eastAsia="zh-CN"/>
              </w:rPr>
              <w:t>；</w:t>
            </w:r>
          </w:p>
          <w:p w14:paraId="7B5A4288">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（2）提供日常巡查的措施方案（含巡查方法、措施及巡查资料上传等）</w:t>
            </w:r>
            <w:r>
              <w:rPr>
                <w:rFonts w:hint="eastAsia" w:ascii="宋体" w:hAnsi="宋体" w:eastAsia="宋体" w:cs="宋体"/>
                <w:kern w:val="0"/>
                <w:sz w:val="24"/>
                <w:szCs w:val="24"/>
                <w:lang w:eastAsia="zh-CN"/>
              </w:rPr>
              <w:t>；</w:t>
            </w:r>
          </w:p>
          <w:p w14:paraId="3DD697B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1.考察以上内容，每满足任意一项内容得</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%，最高得</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 xml:space="preserve">0%。 </w:t>
            </w:r>
          </w:p>
          <w:p w14:paraId="6381C56F">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2.在上述基础上，专家根据各投标人的具体响应内容按照量化的评审因素指标进一步评审。</w:t>
            </w:r>
          </w:p>
          <w:p w14:paraId="7817E47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（1）方案整体科学合理、针对性强、可操作性强，评审为优加</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0%； </w:t>
            </w:r>
          </w:p>
          <w:p w14:paraId="2C78592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（2）方案较合理、有一定针对性、一定可操作性，评审为良加</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0%；</w:t>
            </w:r>
          </w:p>
          <w:p w14:paraId="3020E04D">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 xml:space="preserve">（3）方案不尽合理、针对性一般、可操作性一般，评审为中加5%； </w:t>
            </w:r>
          </w:p>
          <w:p w14:paraId="5D2CB6D5">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szCs w:val="24"/>
              </w:rPr>
              <w:t>（4）方案不合理、无针对性、无可操作性，评审为差的，不加分。</w:t>
            </w:r>
          </w:p>
        </w:tc>
        <w:tc>
          <w:tcPr>
            <w:tcW w:w="957" w:type="dxa"/>
            <w:noWrap w:val="0"/>
            <w:vAlign w:val="center"/>
          </w:tcPr>
          <w:p w14:paraId="573D50BB">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74E2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4C72C2B4">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698" w:type="dxa"/>
            <w:noWrap w:val="0"/>
            <w:vAlign w:val="center"/>
          </w:tcPr>
          <w:p w14:paraId="2FE4DBBC">
            <w:pPr>
              <w:keepNext w:val="0"/>
              <w:keepLines w:val="0"/>
              <w:pageBreakBefore w:val="0"/>
              <w:spacing w:line="400" w:lineRule="exact"/>
              <w:rPr>
                <w:rFonts w:hint="eastAsia" w:ascii="宋体" w:hAnsi="宋体" w:eastAsia="宋体" w:cs="宋体"/>
                <w:color w:val="auto"/>
                <w:sz w:val="24"/>
                <w:szCs w:val="24"/>
                <w:highlight w:val="none"/>
                <w:lang w:val="en-US" w:eastAsia="zh-CN"/>
              </w:rPr>
            </w:pPr>
            <w:r>
              <w:rPr>
                <w:rFonts w:hint="eastAsia" w:ascii="方正仿宋_GB2312" w:hAnsi="方正仿宋_GB2312" w:eastAsia="方正仿宋_GB2312" w:cs="方正仿宋_GB2312"/>
                <w:sz w:val="28"/>
                <w:szCs w:val="28"/>
                <w:highlight w:val="none"/>
              </w:rPr>
              <w:t>应急预案</w:t>
            </w:r>
          </w:p>
        </w:tc>
        <w:tc>
          <w:tcPr>
            <w:tcW w:w="738" w:type="dxa"/>
            <w:noWrap w:val="0"/>
            <w:vAlign w:val="center"/>
          </w:tcPr>
          <w:p w14:paraId="68AAA0AC">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78" w:type="dxa"/>
            <w:noWrap w:val="0"/>
            <w:vAlign w:val="center"/>
          </w:tcPr>
          <w:p w14:paraId="374D8D71">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（一）评分内容：投标人提供的应急预案包含</w:t>
            </w:r>
            <w:r>
              <w:rPr>
                <w:rFonts w:hint="eastAsia" w:ascii="宋体" w:hAnsi="宋体" w:eastAsia="宋体" w:cs="宋体"/>
                <w:kern w:val="0"/>
                <w:sz w:val="24"/>
                <w:szCs w:val="24"/>
                <w:lang w:val="en-US" w:eastAsia="zh-CN"/>
              </w:rPr>
              <w:t>但不限于</w:t>
            </w:r>
            <w:r>
              <w:rPr>
                <w:rFonts w:hint="eastAsia" w:ascii="宋体" w:hAnsi="宋体" w:eastAsia="宋体" w:cs="宋体"/>
                <w:kern w:val="0"/>
                <w:sz w:val="24"/>
                <w:szCs w:val="24"/>
              </w:rPr>
              <w:t>以下内容：</w:t>
            </w:r>
          </w:p>
          <w:p w14:paraId="5D6A57E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（1）提供突发事件（如交通事故）、恶劣天气、节假日、抢险救灾措施及时等合理的应急预案</w:t>
            </w:r>
            <w:r>
              <w:rPr>
                <w:rFonts w:hint="eastAsia" w:ascii="宋体" w:hAnsi="宋体" w:eastAsia="宋体" w:cs="宋体"/>
                <w:kern w:val="0"/>
                <w:sz w:val="24"/>
                <w:szCs w:val="24"/>
                <w:lang w:eastAsia="zh-CN"/>
              </w:rPr>
              <w:t>；</w:t>
            </w:r>
          </w:p>
          <w:p w14:paraId="6255048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（2）</w:t>
            </w:r>
            <w:r>
              <w:rPr>
                <w:rFonts w:hint="eastAsia" w:ascii="宋体" w:hAnsi="宋体" w:eastAsia="宋体" w:cs="宋体"/>
                <w:kern w:val="0"/>
                <w:sz w:val="24"/>
                <w:szCs w:val="24"/>
                <w:lang w:val="zh-CN" w:eastAsia="zh-CN"/>
              </w:rPr>
              <w:t>突发性自然灾害（台风、暴雨）应急预案</w:t>
            </w:r>
            <w:r>
              <w:rPr>
                <w:rFonts w:hint="eastAsia" w:ascii="宋体" w:hAnsi="宋体" w:eastAsia="宋体" w:cs="宋体"/>
                <w:kern w:val="0"/>
                <w:sz w:val="24"/>
                <w:szCs w:val="24"/>
                <w:lang w:eastAsia="zh-CN"/>
              </w:rPr>
              <w:t>；</w:t>
            </w:r>
          </w:p>
          <w:p w14:paraId="50074D4E">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1.考察以上内容，每满足任意一项内容得</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%，最高得</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 xml:space="preserve">0%。 </w:t>
            </w:r>
          </w:p>
          <w:p w14:paraId="47F3B1C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2.在上述基础上，专家根据各投标人的具体响应内容按照量化的评审因素指标进一步评审。</w:t>
            </w:r>
          </w:p>
          <w:p w14:paraId="700A8575">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（1）方案整体科学合理、针对性强、可操作性强，评审为优加</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0%； </w:t>
            </w:r>
          </w:p>
          <w:p w14:paraId="725A67A6">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（2）方案较合理、有一定针对性、一定可操作性，评审为良加</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0%；</w:t>
            </w:r>
          </w:p>
          <w:p w14:paraId="29D9C19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 xml:space="preserve">（3）方案不尽合理、针对性一般、可操作性一般，评审为中加5%； </w:t>
            </w:r>
          </w:p>
          <w:p w14:paraId="62FAACF5">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szCs w:val="24"/>
              </w:rPr>
              <w:t>（4）方案不合理、无针对性、无可操作性，评审为差的，不加分。</w:t>
            </w:r>
          </w:p>
        </w:tc>
        <w:tc>
          <w:tcPr>
            <w:tcW w:w="957" w:type="dxa"/>
            <w:noWrap w:val="0"/>
            <w:vAlign w:val="center"/>
          </w:tcPr>
          <w:p w14:paraId="2C550DCA">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2398F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510D808B">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698" w:type="dxa"/>
            <w:noWrap w:val="0"/>
            <w:vAlign w:val="center"/>
          </w:tcPr>
          <w:p w14:paraId="52E691A2">
            <w:pPr>
              <w:keepNext w:val="0"/>
              <w:keepLines w:val="0"/>
              <w:pageBreakBefore w:val="0"/>
              <w:spacing w:line="400" w:lineRule="exact"/>
              <w:rPr>
                <w:rFonts w:hint="eastAsia" w:ascii="宋体" w:hAnsi="宋体" w:eastAsia="宋体" w:cs="宋体"/>
                <w:color w:val="auto"/>
                <w:sz w:val="24"/>
                <w:szCs w:val="24"/>
                <w:highlight w:val="none"/>
                <w:lang w:val="en-US" w:eastAsia="zh-CN"/>
              </w:rPr>
            </w:pPr>
            <w:r>
              <w:rPr>
                <w:rFonts w:hint="eastAsia" w:ascii="方正仿宋_GB2312" w:hAnsi="方正仿宋_GB2312" w:eastAsia="方正仿宋_GB2312" w:cs="方正仿宋_GB2312"/>
                <w:sz w:val="28"/>
                <w:szCs w:val="28"/>
                <w:highlight w:val="none"/>
              </w:rPr>
              <w:t>人员落实措施</w:t>
            </w:r>
          </w:p>
        </w:tc>
        <w:tc>
          <w:tcPr>
            <w:tcW w:w="738" w:type="dxa"/>
            <w:noWrap w:val="0"/>
            <w:vAlign w:val="center"/>
          </w:tcPr>
          <w:p w14:paraId="4DF8EC92">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78" w:type="dxa"/>
            <w:noWrap w:val="0"/>
            <w:vAlign w:val="center"/>
          </w:tcPr>
          <w:p w14:paraId="0BB04AD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（一）评分内容：投标人提供的人员落实措施方案包含</w:t>
            </w:r>
            <w:r>
              <w:rPr>
                <w:rFonts w:hint="eastAsia" w:ascii="宋体" w:hAnsi="宋体" w:eastAsia="宋体" w:cs="宋体"/>
                <w:kern w:val="0"/>
                <w:sz w:val="24"/>
                <w:szCs w:val="24"/>
                <w:lang w:val="en-US" w:eastAsia="zh-CN"/>
              </w:rPr>
              <w:t>但不限于</w:t>
            </w:r>
            <w:r>
              <w:rPr>
                <w:rFonts w:hint="eastAsia" w:ascii="宋体" w:hAnsi="宋体" w:eastAsia="宋体" w:cs="宋体"/>
                <w:kern w:val="0"/>
                <w:sz w:val="24"/>
                <w:szCs w:val="24"/>
              </w:rPr>
              <w:t>以下内容：</w:t>
            </w:r>
          </w:p>
          <w:p w14:paraId="4A9C0EF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（1）提供项目部组织网络图</w:t>
            </w:r>
            <w:r>
              <w:rPr>
                <w:rFonts w:hint="eastAsia" w:ascii="宋体" w:hAnsi="宋体" w:eastAsia="宋体" w:cs="宋体"/>
                <w:kern w:val="0"/>
                <w:sz w:val="24"/>
                <w:szCs w:val="24"/>
                <w:lang w:eastAsia="zh-CN"/>
              </w:rPr>
              <w:t>；</w:t>
            </w:r>
          </w:p>
          <w:p w14:paraId="5767725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（2）提供</w:t>
            </w:r>
            <w:r>
              <w:rPr>
                <w:rFonts w:hint="eastAsia" w:ascii="宋体" w:hAnsi="宋体" w:eastAsia="宋体" w:cs="宋体"/>
                <w:kern w:val="0"/>
                <w:sz w:val="24"/>
                <w:szCs w:val="24"/>
                <w:lang w:val="en-US" w:eastAsia="zh-CN"/>
              </w:rPr>
              <w:t>人员配置和人员落实到位的</w:t>
            </w:r>
            <w:r>
              <w:rPr>
                <w:rFonts w:hint="eastAsia" w:ascii="宋体" w:hAnsi="宋体" w:eastAsia="宋体" w:cs="宋体"/>
                <w:kern w:val="0"/>
                <w:sz w:val="24"/>
                <w:szCs w:val="24"/>
              </w:rPr>
              <w:t>方案</w:t>
            </w:r>
            <w:r>
              <w:rPr>
                <w:rFonts w:hint="eastAsia" w:ascii="宋体" w:hAnsi="宋体" w:eastAsia="宋体" w:cs="宋体"/>
                <w:kern w:val="0"/>
                <w:sz w:val="24"/>
                <w:szCs w:val="24"/>
                <w:lang w:eastAsia="zh-CN"/>
              </w:rPr>
              <w:t>；</w:t>
            </w:r>
          </w:p>
          <w:p w14:paraId="3F0CC00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1.考察以上内容，每满足任意一项内容得</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%，最高得</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 xml:space="preserve">0%。 </w:t>
            </w:r>
          </w:p>
          <w:p w14:paraId="6C16DA17">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2.在上述基础上，专家根据各投标人的具体响应内容按照量化的评审因素指标进一步评审。</w:t>
            </w:r>
          </w:p>
          <w:p w14:paraId="16E770CB">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（1）方案整体科学合理、针对性强、可操作性强，评审为优加</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0%； </w:t>
            </w:r>
          </w:p>
          <w:p w14:paraId="792B6129">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（2）方案较合理、有一定针对性、一定可操作性，评审为良加</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0%；</w:t>
            </w:r>
          </w:p>
          <w:p w14:paraId="2BF995C3">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 xml:space="preserve">（3）方案不尽合理、针对性一般、可操作性一般，评审为中加5%； </w:t>
            </w:r>
          </w:p>
          <w:p w14:paraId="31E28E41">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szCs w:val="24"/>
              </w:rPr>
              <w:t>（4）方案不合理、无针对性、无可操作性，评审为差的，不加分。</w:t>
            </w:r>
          </w:p>
        </w:tc>
        <w:tc>
          <w:tcPr>
            <w:tcW w:w="957" w:type="dxa"/>
            <w:noWrap w:val="0"/>
            <w:vAlign w:val="center"/>
          </w:tcPr>
          <w:p w14:paraId="03349D25">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483D3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3" w:hRule="atLeast"/>
          <w:jc w:val="center"/>
        </w:trPr>
        <w:tc>
          <w:tcPr>
            <w:tcW w:w="785" w:type="dxa"/>
            <w:noWrap w:val="0"/>
            <w:vAlign w:val="center"/>
          </w:tcPr>
          <w:p w14:paraId="51F7315F">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698" w:type="dxa"/>
            <w:noWrap w:val="0"/>
            <w:vAlign w:val="center"/>
          </w:tcPr>
          <w:p w14:paraId="4636DB99">
            <w:pPr>
              <w:keepNext w:val="0"/>
              <w:keepLines w:val="0"/>
              <w:pageBreakBefore w:val="0"/>
              <w:spacing w:line="400" w:lineRule="exact"/>
              <w:rPr>
                <w:rFonts w:hint="eastAsia" w:ascii="宋体" w:hAnsi="宋体" w:eastAsia="宋体" w:cs="宋体"/>
                <w:color w:val="auto"/>
                <w:sz w:val="24"/>
                <w:szCs w:val="24"/>
                <w:highlight w:val="none"/>
                <w:lang w:val="en-US" w:eastAsia="zh-CN"/>
              </w:rPr>
            </w:pPr>
            <w:r>
              <w:rPr>
                <w:rFonts w:hint="eastAsia" w:ascii="方正仿宋_GB2312" w:hAnsi="方正仿宋_GB2312" w:eastAsia="方正仿宋_GB2312" w:cs="方正仿宋_GB2312"/>
                <w:sz w:val="28"/>
                <w:szCs w:val="28"/>
                <w:highlight w:val="none"/>
              </w:rPr>
              <w:t>后勤保障措施方案</w:t>
            </w:r>
          </w:p>
        </w:tc>
        <w:tc>
          <w:tcPr>
            <w:tcW w:w="738" w:type="dxa"/>
            <w:noWrap w:val="0"/>
            <w:vAlign w:val="center"/>
          </w:tcPr>
          <w:p w14:paraId="43820495">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78" w:type="dxa"/>
            <w:noWrap w:val="0"/>
            <w:vAlign w:val="center"/>
          </w:tcPr>
          <w:p w14:paraId="2EF3BC22">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（一）评分内容：投标人提供的后勤保障措施方案包含</w:t>
            </w:r>
            <w:r>
              <w:rPr>
                <w:rFonts w:hint="eastAsia" w:ascii="宋体" w:hAnsi="宋体" w:eastAsia="宋体" w:cs="宋体"/>
                <w:kern w:val="0"/>
                <w:sz w:val="24"/>
                <w:szCs w:val="24"/>
                <w:lang w:val="en-US" w:eastAsia="zh-CN"/>
              </w:rPr>
              <w:t>但不限于</w:t>
            </w:r>
            <w:r>
              <w:rPr>
                <w:rFonts w:hint="eastAsia" w:ascii="宋体" w:hAnsi="宋体" w:eastAsia="宋体" w:cs="宋体"/>
                <w:kern w:val="0"/>
                <w:sz w:val="24"/>
                <w:szCs w:val="24"/>
              </w:rPr>
              <w:t>以下内容：</w:t>
            </w:r>
          </w:p>
          <w:p w14:paraId="1F919E2A">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（1）配备专职巡视资料员以及现场作业工人配备</w:t>
            </w:r>
            <w:r>
              <w:rPr>
                <w:rFonts w:hint="eastAsia" w:ascii="宋体" w:hAnsi="宋体" w:eastAsia="宋体" w:cs="宋体"/>
                <w:kern w:val="0"/>
                <w:sz w:val="24"/>
                <w:szCs w:val="24"/>
                <w:lang w:val="en-US" w:eastAsia="zh-CN"/>
              </w:rPr>
              <w:t>等方案</w:t>
            </w:r>
            <w:r>
              <w:rPr>
                <w:rFonts w:hint="eastAsia" w:ascii="宋体" w:hAnsi="宋体" w:eastAsia="宋体" w:cs="宋体"/>
                <w:kern w:val="0"/>
                <w:sz w:val="24"/>
                <w:szCs w:val="24"/>
                <w:lang w:eastAsia="zh-CN"/>
              </w:rPr>
              <w:t>；</w:t>
            </w:r>
          </w:p>
          <w:p w14:paraId="128B2DE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lang w:eastAsia="zh-CN"/>
              </w:rPr>
            </w:pPr>
            <w:r>
              <w:rPr>
                <w:rFonts w:hint="eastAsia" w:ascii="宋体" w:hAnsi="宋体" w:eastAsia="宋体" w:cs="宋体"/>
                <w:kern w:val="0"/>
                <w:sz w:val="24"/>
                <w:szCs w:val="24"/>
              </w:rPr>
              <w:t>（2）提供上岗时间保障措施、后勤保障措施方案</w:t>
            </w:r>
            <w:r>
              <w:rPr>
                <w:rFonts w:hint="eastAsia" w:ascii="宋体" w:hAnsi="宋体" w:eastAsia="宋体" w:cs="宋体"/>
                <w:kern w:val="0"/>
                <w:sz w:val="24"/>
                <w:szCs w:val="24"/>
                <w:lang w:eastAsia="zh-CN"/>
              </w:rPr>
              <w:t>；</w:t>
            </w:r>
          </w:p>
          <w:p w14:paraId="04CA3F06">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1.考察以上内容，每满足任意一项内容得</w:t>
            </w:r>
            <w:r>
              <w:rPr>
                <w:rFonts w:hint="eastAsia" w:ascii="宋体" w:hAnsi="宋体" w:eastAsia="宋体" w:cs="宋体"/>
                <w:kern w:val="0"/>
                <w:sz w:val="24"/>
                <w:szCs w:val="24"/>
                <w:lang w:val="en-US" w:eastAsia="zh-CN"/>
              </w:rPr>
              <w:t>30</w:t>
            </w:r>
            <w:r>
              <w:rPr>
                <w:rFonts w:hint="eastAsia" w:ascii="宋体" w:hAnsi="宋体" w:eastAsia="宋体" w:cs="宋体"/>
                <w:kern w:val="0"/>
                <w:sz w:val="24"/>
                <w:szCs w:val="24"/>
              </w:rPr>
              <w:t>%，最高得</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 xml:space="preserve">0%。 </w:t>
            </w:r>
          </w:p>
          <w:p w14:paraId="59BBC99C">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2.在上述基础上，专家根据各投标人的具体响应内容按照量化的评审因素指标进一步评审。</w:t>
            </w:r>
          </w:p>
          <w:p w14:paraId="5A736588">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（1）方案整体科学合理、针对性强、可操作性强，评审为优加</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 xml:space="preserve">0%； </w:t>
            </w:r>
          </w:p>
          <w:p w14:paraId="17E8D344">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（2）方案较合理、有一定针对性、一定可操作性，评审为良加</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0%；</w:t>
            </w:r>
          </w:p>
          <w:p w14:paraId="5BDC7180">
            <w:pPr>
              <w:keepNext w:val="0"/>
              <w:keepLines w:val="0"/>
              <w:widowControl/>
              <w:suppressLineNumbers w:val="0"/>
              <w:spacing w:before="0" w:beforeAutospacing="0" w:after="0" w:afterAutospacing="0" w:line="360" w:lineRule="exact"/>
              <w:ind w:left="0" w:right="0" w:firstLine="0"/>
              <w:rPr>
                <w:rFonts w:hint="eastAsia" w:ascii="宋体" w:hAnsi="宋体" w:eastAsia="宋体" w:cs="宋体"/>
                <w:kern w:val="0"/>
                <w:sz w:val="24"/>
                <w:szCs w:val="24"/>
              </w:rPr>
            </w:pPr>
            <w:r>
              <w:rPr>
                <w:rFonts w:hint="eastAsia" w:ascii="宋体" w:hAnsi="宋体" w:eastAsia="宋体" w:cs="宋体"/>
                <w:kern w:val="0"/>
                <w:sz w:val="24"/>
                <w:szCs w:val="24"/>
              </w:rPr>
              <w:t xml:space="preserve">（3）方案不尽合理、针对性一般、可操作性一般，评审为中加5%； </w:t>
            </w:r>
          </w:p>
          <w:p w14:paraId="66A2543C">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kern w:val="0"/>
                <w:sz w:val="24"/>
                <w:szCs w:val="24"/>
              </w:rPr>
              <w:t>（4）方案不合理、无针对性、无可操作性，评审为差的，不加分。</w:t>
            </w:r>
          </w:p>
        </w:tc>
        <w:tc>
          <w:tcPr>
            <w:tcW w:w="957" w:type="dxa"/>
            <w:noWrap w:val="0"/>
            <w:vAlign w:val="center"/>
          </w:tcPr>
          <w:p w14:paraId="287510C6">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A8E3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153F93F4">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698" w:type="dxa"/>
            <w:noWrap w:val="0"/>
            <w:vAlign w:val="center"/>
          </w:tcPr>
          <w:p w14:paraId="55AA0355">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客观分</w:t>
            </w:r>
          </w:p>
        </w:tc>
        <w:tc>
          <w:tcPr>
            <w:tcW w:w="738" w:type="dxa"/>
            <w:noWrap w:val="0"/>
            <w:vAlign w:val="center"/>
          </w:tcPr>
          <w:p w14:paraId="4B708F3E">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p>
        </w:tc>
        <w:tc>
          <w:tcPr>
            <w:tcW w:w="6678" w:type="dxa"/>
            <w:noWrap w:val="0"/>
            <w:vAlign w:val="center"/>
          </w:tcPr>
          <w:p w14:paraId="42E6BCE8">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57" w:type="dxa"/>
            <w:noWrap w:val="0"/>
            <w:vAlign w:val="center"/>
          </w:tcPr>
          <w:p w14:paraId="1680812D">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389FE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7" w:hRule="atLeast"/>
          <w:jc w:val="center"/>
        </w:trPr>
        <w:tc>
          <w:tcPr>
            <w:tcW w:w="785" w:type="dxa"/>
            <w:noWrap w:val="0"/>
            <w:vAlign w:val="center"/>
          </w:tcPr>
          <w:p w14:paraId="7B0801E4">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698" w:type="dxa"/>
            <w:noWrap w:val="0"/>
            <w:vAlign w:val="center"/>
          </w:tcPr>
          <w:p w14:paraId="2D0B5E0A">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企业业绩</w:t>
            </w:r>
          </w:p>
        </w:tc>
        <w:tc>
          <w:tcPr>
            <w:tcW w:w="738" w:type="dxa"/>
            <w:noWrap w:val="0"/>
            <w:vAlign w:val="center"/>
          </w:tcPr>
          <w:p w14:paraId="435911BA">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6678" w:type="dxa"/>
            <w:noWrap w:val="0"/>
            <w:vAlign w:val="center"/>
          </w:tcPr>
          <w:p w14:paraId="6E16A2A3">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投标人近五年（投标截止时间往前推）承接过类似项目的，有一个得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23718941">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FF0000"/>
                <w:sz w:val="24"/>
                <w:szCs w:val="24"/>
                <w:highlight w:val="none"/>
                <w:u w:val="single"/>
                <w:lang w:val="en-US" w:eastAsia="zh-CN"/>
              </w:rPr>
              <w:t>注：</w:t>
            </w:r>
            <w:r>
              <w:rPr>
                <w:rFonts w:hint="eastAsia" w:ascii="宋体" w:hAnsi="宋体" w:cs="宋体"/>
                <w:color w:val="FF0000"/>
                <w:sz w:val="24"/>
                <w:szCs w:val="24"/>
                <w:highlight w:val="none"/>
                <w:u w:val="single"/>
                <w:lang w:val="en-US" w:eastAsia="zh-CN"/>
              </w:rPr>
              <w:t>提供</w:t>
            </w:r>
            <w:r>
              <w:rPr>
                <w:rFonts w:hint="eastAsia" w:ascii="宋体" w:hAnsi="宋体" w:eastAsia="宋体" w:cs="宋体"/>
                <w:color w:val="FF0000"/>
                <w:sz w:val="24"/>
                <w:szCs w:val="24"/>
                <w:highlight w:val="none"/>
                <w:u w:val="single"/>
                <w:lang w:val="en-US" w:eastAsia="zh-CN"/>
              </w:rPr>
              <w:t>合同</w:t>
            </w:r>
            <w:r>
              <w:rPr>
                <w:rFonts w:hint="eastAsia" w:ascii="宋体" w:hAnsi="宋体" w:cs="宋体"/>
                <w:color w:val="FF0000"/>
                <w:sz w:val="24"/>
                <w:szCs w:val="24"/>
                <w:highlight w:val="none"/>
                <w:u w:val="single"/>
                <w:lang w:val="en-US" w:eastAsia="zh-CN"/>
              </w:rPr>
              <w:t>，日期以合同签订时间为准，</w:t>
            </w:r>
            <w:r>
              <w:rPr>
                <w:rFonts w:hint="eastAsia" w:ascii="宋体" w:hAnsi="宋体" w:eastAsia="宋体" w:cs="宋体"/>
                <w:color w:val="FF0000"/>
                <w:sz w:val="24"/>
                <w:szCs w:val="24"/>
                <w:highlight w:val="none"/>
                <w:u w:val="single"/>
                <w:lang w:val="en-US" w:eastAsia="zh-CN"/>
              </w:rPr>
              <w:t>未提供或提供不全不得分。</w:t>
            </w:r>
          </w:p>
        </w:tc>
        <w:tc>
          <w:tcPr>
            <w:tcW w:w="957" w:type="dxa"/>
            <w:noWrap w:val="0"/>
            <w:vAlign w:val="center"/>
          </w:tcPr>
          <w:p w14:paraId="7D504E6B">
            <w:pPr>
              <w:keepNext w:val="0"/>
              <w:keepLines w:val="0"/>
              <w:pageBreakBefore w:val="0"/>
              <w:spacing w:line="240" w:lineRule="auto"/>
              <w:ind w:left="0"/>
              <w:jc w:val="left"/>
              <w:rPr>
                <w:rFonts w:hint="eastAsia" w:ascii="宋体" w:hAnsi="宋体" w:eastAsia="宋体" w:cs="宋体"/>
                <w:color w:val="000000" w:themeColor="text1"/>
                <w:sz w:val="21"/>
                <w:szCs w:val="21"/>
                <w:highlight w:val="none"/>
                <w:lang w:eastAsia="zh-CN"/>
                <w14:textFill>
                  <w14:solidFill>
                    <w14:schemeClr w14:val="tx1"/>
                  </w14:solidFill>
                </w14:textFill>
              </w:rPr>
            </w:pPr>
          </w:p>
        </w:tc>
      </w:tr>
      <w:tr w14:paraId="4DE41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66636278">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p>
        </w:tc>
        <w:tc>
          <w:tcPr>
            <w:tcW w:w="1698" w:type="dxa"/>
            <w:noWrap w:val="0"/>
            <w:vAlign w:val="center"/>
          </w:tcPr>
          <w:p w14:paraId="66877B39">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组织机构</w:t>
            </w:r>
          </w:p>
        </w:tc>
        <w:tc>
          <w:tcPr>
            <w:tcW w:w="738" w:type="dxa"/>
            <w:noWrap w:val="0"/>
            <w:vAlign w:val="center"/>
          </w:tcPr>
          <w:p w14:paraId="277E467C">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6678" w:type="dxa"/>
            <w:noWrap w:val="0"/>
            <w:vAlign w:val="center"/>
          </w:tcPr>
          <w:p w14:paraId="6FF891F4">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1、项目技术负责人具有工程类高级工程师得2分，具有工程类中级工程师得1分，本项最多得2分。</w:t>
            </w:r>
          </w:p>
          <w:p w14:paraId="4845C868">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2、项目组成员具有特种作业操作资格证（挖掘机司机或装载机司机或电工或焊工或安全生产考核C证），每证得1分，本项最多得3分（同种操作证不累计得分）</w:t>
            </w:r>
          </w:p>
          <w:p w14:paraId="06F46DFE">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FF0000"/>
                <w:sz w:val="24"/>
                <w:szCs w:val="24"/>
                <w:highlight w:val="none"/>
                <w:u w:val="single"/>
                <w:lang w:val="en-US" w:eastAsia="zh-CN"/>
              </w:rPr>
              <w:t>注：1）以上人员打分不重复，特种作业操作资格证书必须为人社或住建部门或应急部门颁发的技能证书，不含退休人员，提供相关证书及投标人为</w:t>
            </w:r>
            <w:r>
              <w:rPr>
                <w:rFonts w:hint="eastAsia" w:ascii="宋体" w:hAnsi="宋体" w:cs="宋体"/>
                <w:color w:val="FF0000"/>
                <w:sz w:val="24"/>
                <w:szCs w:val="24"/>
                <w:highlight w:val="none"/>
                <w:u w:val="single"/>
                <w:lang w:val="en-US" w:eastAsia="zh-CN"/>
              </w:rPr>
              <w:t>相关</w:t>
            </w:r>
            <w:r>
              <w:rPr>
                <w:rFonts w:hint="eastAsia" w:ascii="宋体" w:hAnsi="宋体" w:eastAsia="宋体" w:cs="宋体"/>
                <w:color w:val="FF0000"/>
                <w:sz w:val="24"/>
                <w:szCs w:val="24"/>
                <w:highlight w:val="none"/>
                <w:u w:val="single"/>
                <w:lang w:val="en-US" w:eastAsia="zh-CN"/>
              </w:rPr>
              <w:t>人</w:t>
            </w:r>
            <w:r>
              <w:rPr>
                <w:rFonts w:hint="eastAsia" w:ascii="宋体" w:hAnsi="宋体" w:cs="宋体"/>
                <w:color w:val="FF0000"/>
                <w:sz w:val="24"/>
                <w:szCs w:val="24"/>
                <w:highlight w:val="none"/>
                <w:u w:val="single"/>
                <w:lang w:val="en-US" w:eastAsia="zh-CN"/>
              </w:rPr>
              <w:t>员</w:t>
            </w:r>
            <w:r>
              <w:rPr>
                <w:rFonts w:hint="eastAsia" w:ascii="宋体" w:hAnsi="宋体" w:eastAsia="宋体" w:cs="宋体"/>
                <w:color w:val="FF0000"/>
                <w:sz w:val="24"/>
                <w:szCs w:val="24"/>
                <w:highlight w:val="none"/>
                <w:u w:val="single"/>
                <w:lang w:val="en-US" w:eastAsia="zh-CN"/>
              </w:rPr>
              <w:t>缴纳的近半年（投标截止之日往前推）任意一个月的社保缴纳证明，未提供或提供不全不得分。</w:t>
            </w:r>
          </w:p>
        </w:tc>
        <w:tc>
          <w:tcPr>
            <w:tcW w:w="957" w:type="dxa"/>
            <w:noWrap w:val="0"/>
            <w:vAlign w:val="center"/>
          </w:tcPr>
          <w:p w14:paraId="3CFAFD8B">
            <w:pPr>
              <w:keepNext w:val="0"/>
              <w:keepLines w:val="0"/>
              <w:pageBreakBefore w:val="0"/>
              <w:spacing w:line="240"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p>
        </w:tc>
      </w:tr>
      <w:tr w14:paraId="6E88F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85" w:type="dxa"/>
            <w:noWrap w:val="0"/>
            <w:vAlign w:val="center"/>
          </w:tcPr>
          <w:p w14:paraId="32EAEA0B">
            <w:pPr>
              <w:keepNext w:val="0"/>
              <w:keepLines w:val="0"/>
              <w:pageBreakBefore w:val="0"/>
              <w:tabs>
                <w:tab w:val="left" w:pos="426"/>
              </w:tabs>
              <w:kinsoku/>
              <w:wordWrap/>
              <w:overflowPunct/>
              <w:topLinePunct w:val="0"/>
              <w:autoSpaceDE w:val="0"/>
              <w:autoSpaceDN w:val="0"/>
              <w:bidi w:val="0"/>
              <w:adjustRightInd w:val="0"/>
              <w:spacing w:line="400" w:lineRule="exact"/>
              <w:jc w:val="center"/>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3.3</w:t>
            </w:r>
          </w:p>
        </w:tc>
        <w:tc>
          <w:tcPr>
            <w:tcW w:w="1698" w:type="dxa"/>
            <w:noWrap w:val="0"/>
            <w:vAlign w:val="center"/>
          </w:tcPr>
          <w:p w14:paraId="4B45E185">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本项目拟投入设备</w:t>
            </w:r>
          </w:p>
        </w:tc>
        <w:tc>
          <w:tcPr>
            <w:tcW w:w="738" w:type="dxa"/>
            <w:noWrap w:val="0"/>
            <w:vAlign w:val="center"/>
          </w:tcPr>
          <w:p w14:paraId="52274871">
            <w:pPr>
              <w:keepNext w:val="0"/>
              <w:keepLines w:val="0"/>
              <w:pageBreakBefore w:val="0"/>
              <w:tabs>
                <w:tab w:val="left" w:pos="426"/>
              </w:tabs>
              <w:kinsoku/>
              <w:wordWrap/>
              <w:overflowPunct/>
              <w:topLinePunct w:val="0"/>
              <w:autoSpaceDE w:val="0"/>
              <w:autoSpaceDN w:val="0"/>
              <w:bidi w:val="0"/>
              <w:adjustRightInd w:val="0"/>
              <w:spacing w:line="400" w:lineRule="exact"/>
              <w:jc w:val="both"/>
              <w:textAlignment w:val="auto"/>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6678" w:type="dxa"/>
            <w:noWrap w:val="0"/>
            <w:vAlign w:val="center"/>
          </w:tcPr>
          <w:p w14:paraId="30C6271E">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拟投入本项目机械设备：</w:t>
            </w:r>
          </w:p>
          <w:p w14:paraId="5DBD8348">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1、抑尘车：有一辆得1分，最高得1分；</w:t>
            </w:r>
          </w:p>
          <w:p w14:paraId="1F7E6F75">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2、高压清洗车或洗扫车：有一辆得1分，最高得1分；</w:t>
            </w:r>
          </w:p>
          <w:p w14:paraId="383B8148">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3、吸污车：有一辆得1分，最高得1分；</w:t>
            </w:r>
          </w:p>
          <w:p w14:paraId="723CA2F0">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4、轻型普通货车：有一辆得1分，最高得1分；</w:t>
            </w:r>
          </w:p>
          <w:p w14:paraId="1E65A604">
            <w:pPr>
              <w:keepNext w:val="0"/>
              <w:keepLines w:val="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5、装载机或铣刨机或切缝机或汽车式起重机：有一辆得0.5分，最高得2分（同种设备不累计得分）；</w:t>
            </w:r>
          </w:p>
          <w:p w14:paraId="21857446">
            <w:pPr>
              <w:keepNext w:val="0"/>
              <w:keepLines w:val="0"/>
              <w:pageBreakBefore w:val="0"/>
              <w:spacing w:line="400" w:lineRule="exact"/>
              <w:rPr>
                <w:rFonts w:hint="eastAsia" w:ascii="宋体" w:hAnsi="宋体" w:eastAsia="宋体" w:cs="宋体"/>
                <w:b w:val="0"/>
                <w:bCs/>
                <w:color w:val="FF0000"/>
                <w:spacing w:val="8"/>
                <w:sz w:val="24"/>
                <w:szCs w:val="24"/>
                <w:highlight w:val="none"/>
                <w:u w:val="single"/>
                <w:lang w:val="en-US" w:eastAsia="zh-CN"/>
              </w:rPr>
            </w:pPr>
            <w:r>
              <w:rPr>
                <w:rFonts w:hint="eastAsia" w:ascii="宋体" w:hAnsi="宋体" w:eastAsia="宋体" w:cs="宋体"/>
                <w:b w:val="0"/>
                <w:bCs/>
                <w:color w:val="FF0000"/>
                <w:spacing w:val="8"/>
                <w:sz w:val="24"/>
                <w:szCs w:val="24"/>
                <w:highlight w:val="none"/>
                <w:u w:val="single"/>
                <w:lang w:val="en-US" w:eastAsia="zh-CN"/>
              </w:rPr>
              <w:t>注：以上设备自有或租赁均可。</w:t>
            </w:r>
          </w:p>
          <w:p w14:paraId="61E5952D">
            <w:pPr>
              <w:keepNext w:val="0"/>
              <w:keepLines w:val="0"/>
              <w:pageBreakBefore w:val="0"/>
              <w:spacing w:line="400" w:lineRule="exact"/>
              <w:rPr>
                <w:rFonts w:hint="eastAsia" w:ascii="宋体" w:hAnsi="宋体" w:eastAsia="宋体" w:cs="宋体"/>
                <w:b w:val="0"/>
                <w:bCs/>
                <w:color w:val="FF0000"/>
                <w:spacing w:val="8"/>
                <w:sz w:val="24"/>
                <w:szCs w:val="24"/>
                <w:highlight w:val="none"/>
                <w:u w:val="single"/>
                <w:lang w:val="en-US" w:eastAsia="zh-CN"/>
              </w:rPr>
            </w:pPr>
            <w:r>
              <w:rPr>
                <w:rFonts w:hint="eastAsia" w:ascii="宋体" w:hAnsi="宋体" w:eastAsia="宋体" w:cs="宋体"/>
                <w:b w:val="0"/>
                <w:bCs/>
                <w:color w:val="FF0000"/>
                <w:spacing w:val="8"/>
                <w:sz w:val="24"/>
                <w:szCs w:val="24"/>
                <w:highlight w:val="none"/>
                <w:u w:val="single"/>
                <w:lang w:val="en-US" w:eastAsia="zh-CN"/>
              </w:rPr>
              <w:t>①以上1-4如自有需提供机动车登记证书、行驶证、车辆购置发票，清晰可见车牌的车辆彩色照片，如租赁还另需提供租赁合同(租赁期限需满足项目服务期限)、清晰可见车牌的车辆彩色照片。</w:t>
            </w:r>
          </w:p>
          <w:p w14:paraId="1AEB3516">
            <w:pPr>
              <w:keepNext w:val="0"/>
              <w:keepLines w:val="0"/>
              <w:pageBreakBefore w:val="0"/>
              <w:spacing w:line="400" w:lineRule="exact"/>
              <w:rPr>
                <w:rFonts w:hint="eastAsia" w:ascii="宋体" w:hAnsi="宋体" w:eastAsia="宋体" w:cs="宋体"/>
                <w:color w:val="FF0000"/>
                <w:sz w:val="24"/>
                <w:szCs w:val="24"/>
                <w:highlight w:val="none"/>
                <w:u w:val="single"/>
                <w:lang w:val="en-US" w:eastAsia="zh-CN"/>
              </w:rPr>
            </w:pPr>
            <w:r>
              <w:rPr>
                <w:rFonts w:hint="eastAsia" w:ascii="宋体" w:hAnsi="宋体" w:eastAsia="宋体" w:cs="宋体"/>
                <w:b w:val="0"/>
                <w:bCs/>
                <w:color w:val="FF0000"/>
                <w:spacing w:val="8"/>
                <w:sz w:val="24"/>
                <w:szCs w:val="24"/>
                <w:highlight w:val="none"/>
                <w:u w:val="single"/>
                <w:lang w:val="en-US" w:eastAsia="zh-CN"/>
              </w:rPr>
              <w:t>②第5项如自有需提供购置发票，如租赁还另需提供租赁合同(租赁期限需满足项目服务期限)未提供或提供不全不得分。</w:t>
            </w:r>
          </w:p>
        </w:tc>
        <w:tc>
          <w:tcPr>
            <w:tcW w:w="957" w:type="dxa"/>
            <w:noWrap w:val="0"/>
            <w:vAlign w:val="center"/>
          </w:tcPr>
          <w:p w14:paraId="0CDF0BD5">
            <w:pPr>
              <w:keepNext w:val="0"/>
              <w:keepLines w:val="0"/>
              <w:pageBreakBefore w:val="0"/>
              <w:spacing w:line="240" w:lineRule="auto"/>
              <w:ind w:left="0"/>
              <w:jc w:val="left"/>
              <w:rPr>
                <w:rFonts w:hint="eastAsia" w:ascii="宋体" w:hAnsi="宋体" w:eastAsia="宋体" w:cs="宋体"/>
                <w:color w:val="000000" w:themeColor="text1"/>
                <w:sz w:val="21"/>
                <w:szCs w:val="21"/>
                <w:highlight w:val="none"/>
                <w14:textFill>
                  <w14:solidFill>
                    <w14:schemeClr w14:val="tx1"/>
                  </w14:solidFill>
                </w14:textFill>
              </w:rPr>
            </w:pPr>
          </w:p>
        </w:tc>
      </w:tr>
      <w:tr w14:paraId="6093C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8" w:hRule="atLeast"/>
          <w:jc w:val="center"/>
        </w:trPr>
        <w:tc>
          <w:tcPr>
            <w:tcW w:w="2483" w:type="dxa"/>
            <w:gridSpan w:val="2"/>
            <w:noWrap w:val="0"/>
            <w:vAlign w:val="center"/>
          </w:tcPr>
          <w:p w14:paraId="375CC588">
            <w:pPr>
              <w:keepNext w:val="0"/>
              <w:keepLines w:val="0"/>
              <w:pageBreakBefore w:val="0"/>
              <w:spacing w:line="240" w:lineRule="auto"/>
              <w:ind w:left="0" w:firstLine="28"/>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合计</w:t>
            </w:r>
          </w:p>
        </w:tc>
        <w:tc>
          <w:tcPr>
            <w:tcW w:w="738" w:type="dxa"/>
            <w:noWrap w:val="0"/>
            <w:vAlign w:val="center"/>
          </w:tcPr>
          <w:p w14:paraId="208F1DB8">
            <w:pPr>
              <w:keepNext w:val="0"/>
              <w:keepLines w:val="0"/>
              <w:pageBreakBefore w:val="0"/>
              <w:spacing w:line="240" w:lineRule="auto"/>
              <w:ind w:left="0" w:firstLine="28"/>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100</w:t>
            </w:r>
          </w:p>
        </w:tc>
        <w:tc>
          <w:tcPr>
            <w:tcW w:w="7635" w:type="dxa"/>
            <w:gridSpan w:val="2"/>
            <w:noWrap w:val="0"/>
            <w:vAlign w:val="center"/>
          </w:tcPr>
          <w:p w14:paraId="7E69350D">
            <w:pPr>
              <w:keepNext w:val="0"/>
              <w:keepLines w:val="0"/>
              <w:pageBreakBefore w:val="0"/>
              <w:spacing w:line="240" w:lineRule="auto"/>
              <w:ind w:left="0"/>
              <w:jc w:val="center"/>
              <w:rPr>
                <w:rFonts w:hint="eastAsia" w:ascii="宋体" w:hAnsi="宋体" w:eastAsia="宋体" w:cs="宋体"/>
                <w:color w:val="000000" w:themeColor="text1"/>
                <w:sz w:val="21"/>
                <w:szCs w:val="21"/>
                <w:highlight w:val="none"/>
                <w14:textFill>
                  <w14:solidFill>
                    <w14:schemeClr w14:val="tx1"/>
                  </w14:solidFill>
                </w14:textFill>
              </w:rPr>
            </w:pPr>
          </w:p>
        </w:tc>
      </w:tr>
    </w:tbl>
    <w:p w14:paraId="6A7595CD">
      <w:pPr>
        <w:tabs>
          <w:tab w:val="left" w:pos="360"/>
          <w:tab w:val="left" w:pos="1080"/>
        </w:tabs>
        <w:spacing w:line="360" w:lineRule="auto"/>
        <w:ind w:firstLine="422"/>
        <w:rPr>
          <w:rFonts w:hint="eastAsia"/>
          <w:color w:val="000000" w:themeColor="text1"/>
          <w:sz w:val="24"/>
          <w:highlight w:val="none"/>
          <w14:textFill>
            <w14:solidFill>
              <w14:schemeClr w14:val="tx1"/>
            </w14:solidFill>
          </w14:textFill>
        </w:rPr>
      </w:pPr>
      <w:bookmarkStart w:id="668" w:name="_Toc4248"/>
      <w:bookmarkStart w:id="669" w:name="_Toc25475"/>
      <w:r>
        <w:rPr>
          <w:rFonts w:hint="eastAsia" w:ascii="宋体" w:hAnsi="宋体" w:cs="宋体"/>
          <w:b/>
          <w:color w:val="000000" w:themeColor="text1"/>
          <w:szCs w:val="21"/>
          <w:highlight w:val="none"/>
          <w:lang w:bidi="ar"/>
          <w14:textFill>
            <w14:solidFill>
              <w14:schemeClr w14:val="tx1"/>
            </w14:solidFill>
          </w14:textFill>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668"/>
      <w:bookmarkEnd w:id="669"/>
    </w:p>
    <w:p w14:paraId="672B2273">
      <w:pPr>
        <w:spacing w:line="360" w:lineRule="auto"/>
        <w:jc w:val="center"/>
        <w:outlineLvl w:val="0"/>
        <w:rPr>
          <w:b/>
          <w:color w:val="000000" w:themeColor="text1"/>
          <w:sz w:val="36"/>
          <w:szCs w:val="36"/>
          <w:highlight w:val="none"/>
          <w14:textFill>
            <w14:solidFill>
              <w14:schemeClr w14:val="tx1"/>
            </w14:solidFill>
          </w14:textFill>
        </w:rPr>
        <w:sectPr>
          <w:pgSz w:w="11906" w:h="16838"/>
          <w:pgMar w:top="1417" w:right="1134" w:bottom="1417" w:left="1134" w:header="851" w:footer="992" w:gutter="0"/>
          <w:cols w:space="1701" w:num="1"/>
          <w:docGrid w:linePitch="360" w:charSpace="0"/>
        </w:sectPr>
      </w:pPr>
      <w:bookmarkStart w:id="670" w:name="_Toc104818928"/>
    </w:p>
    <w:p w14:paraId="3D317435">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第四章   采购需求</w:t>
      </w:r>
      <w:bookmarkEnd w:id="670"/>
    </w:p>
    <w:p w14:paraId="18099B43">
      <w:pPr>
        <w:pStyle w:val="453"/>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bookmarkStart w:id="671" w:name="_Toc104818929"/>
      <w:r>
        <w:rPr>
          <w:rFonts w:hint="eastAsia" w:ascii="宋体" w:hAnsi="宋体" w:eastAsia="宋体" w:cs="宋体"/>
          <w:b/>
          <w:bCs w:val="0"/>
          <w:color w:val="000000" w:themeColor="text1"/>
          <w:sz w:val="24"/>
          <w:szCs w:val="24"/>
          <w:highlight w:val="none"/>
          <w14:textFill>
            <w14:solidFill>
              <w14:schemeClr w14:val="tx1"/>
            </w14:solidFill>
          </w14:textFill>
        </w:rPr>
        <w:t>一、采购标的</w:t>
      </w:r>
    </w:p>
    <w:p w14:paraId="1AA77D36">
      <w:pPr>
        <w:keepNext w:val="0"/>
        <w:keepLines w:val="0"/>
        <w:pageBreakBefore w:val="0"/>
        <w:widowControl w:val="0"/>
        <w:spacing w:line="440" w:lineRule="atLeast"/>
        <w:ind w:firstLine="48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1．项目名称：</w:t>
      </w:r>
      <w:r>
        <w:rPr>
          <w:rFonts w:hint="eastAsia" w:ascii="宋体" w:hAnsi="宋体" w:cs="宋体"/>
          <w:color w:val="000000" w:themeColor="text1"/>
          <w:sz w:val="24"/>
          <w:szCs w:val="24"/>
          <w:highlight w:val="none"/>
          <w:lang w:eastAsia="zh-CN"/>
          <w14:textFill>
            <w14:solidFill>
              <w14:schemeClr w14:val="tx1"/>
            </w14:solidFill>
          </w14:textFill>
        </w:rPr>
        <w:t>集镇零星维修费率招标</w:t>
      </w:r>
    </w:p>
    <w:p w14:paraId="55230E58">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2．预算金额：</w:t>
      </w:r>
      <w:r>
        <w:rPr>
          <w:rFonts w:hint="eastAsia" w:ascii="宋体" w:hAnsi="宋体" w:cs="宋体"/>
          <w:color w:val="000000" w:themeColor="text1"/>
          <w:sz w:val="24"/>
          <w:szCs w:val="24"/>
          <w:highlight w:val="none"/>
          <w:lang w:val="en-US" w:eastAsia="zh-CN"/>
          <w14:textFill>
            <w14:solidFill>
              <w14:schemeClr w14:val="tx1"/>
            </w14:solidFill>
          </w14:textFill>
        </w:rPr>
        <w:t>312万元</w:t>
      </w:r>
    </w:p>
    <w:p w14:paraId="112D7182">
      <w:pPr>
        <w:keepNext w:val="0"/>
        <w:keepLines w:val="0"/>
        <w:pageBreakBefore w:val="0"/>
        <w:widowControl w:val="0"/>
        <w:spacing w:line="440" w:lineRule="atLeas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Times New Roman" w:hAnsi="Times New Roman" w:eastAsia="宋体" w:cs="Times New Roman"/>
          <w:color w:val="auto"/>
          <w:sz w:val="24"/>
          <w:lang w:eastAsia="zh-CN"/>
        </w:rPr>
        <w:t>最高限制单价：</w:t>
      </w:r>
      <w:r>
        <w:rPr>
          <w:rFonts w:hint="eastAsia" w:cs="Times New Roman"/>
          <w:color w:val="auto"/>
          <w:sz w:val="24"/>
          <w:lang w:val="en-US" w:eastAsia="zh-CN"/>
        </w:rPr>
        <w:t>15</w:t>
      </w:r>
      <w:r>
        <w:rPr>
          <w:rFonts w:hint="eastAsia" w:ascii="Times New Roman" w:hAnsi="Times New Roman" w:eastAsia="宋体" w:cs="Times New Roman"/>
          <w:color w:val="auto"/>
          <w:sz w:val="24"/>
          <w:lang w:val="en-US" w:eastAsia="zh-CN"/>
        </w:rPr>
        <w:t>.00%≤优惠率</w:t>
      </w:r>
      <w:r>
        <w:rPr>
          <w:rFonts w:hint="eastAsia" w:ascii="Times New Roman" w:hAnsi="Times New Roman" w:eastAsia="宋体" w:cs="Times New Roman"/>
          <w:color w:val="0000FF"/>
          <w:sz w:val="24"/>
          <w:lang w:val="en-US" w:eastAsia="zh-CN"/>
        </w:rPr>
        <w:t>（采购清单中</w:t>
      </w:r>
      <w:r>
        <w:rPr>
          <w:rFonts w:hint="eastAsia" w:cs="Times New Roman"/>
          <w:color w:val="0000FF"/>
          <w:sz w:val="24"/>
          <w:lang w:val="en-US" w:eastAsia="zh-CN"/>
        </w:rPr>
        <w:t>投标供应商</w:t>
      </w:r>
      <w:r>
        <w:rPr>
          <w:rFonts w:hint="eastAsia" w:ascii="Times New Roman" w:hAnsi="Times New Roman" w:eastAsia="宋体" w:cs="Times New Roman"/>
          <w:color w:val="0000FF"/>
          <w:sz w:val="24"/>
          <w:lang w:val="en-US" w:eastAsia="zh-CN"/>
        </w:rPr>
        <w:t>的</w:t>
      </w:r>
      <w:r>
        <w:rPr>
          <w:rFonts w:hint="eastAsia" w:cs="Times New Roman"/>
          <w:color w:val="0000FF"/>
          <w:sz w:val="24"/>
          <w:lang w:val="en-US" w:eastAsia="zh-CN"/>
        </w:rPr>
        <w:t>投标</w:t>
      </w:r>
      <w:r>
        <w:rPr>
          <w:rFonts w:hint="eastAsia" w:ascii="Times New Roman" w:hAnsi="Times New Roman" w:eastAsia="宋体" w:cs="Times New Roman"/>
          <w:color w:val="0000FF"/>
          <w:sz w:val="24"/>
          <w:lang w:val="en-US" w:eastAsia="zh-CN"/>
        </w:rPr>
        <w:t>下浮比例）</w:t>
      </w:r>
      <w:r>
        <w:rPr>
          <w:rFonts w:hint="eastAsia" w:ascii="Times New Roman" w:hAnsi="Times New Roman" w:eastAsia="宋体" w:cs="Times New Roman"/>
          <w:color w:val="auto"/>
          <w:sz w:val="24"/>
          <w:lang w:val="en-US" w:eastAsia="zh-CN"/>
        </w:rPr>
        <w:t>＜100.00%</w:t>
      </w:r>
      <w:r>
        <w:rPr>
          <w:rFonts w:hint="eastAsia" w:ascii="宋体" w:hAnsi="宋体" w:eastAsia="宋体" w:cs="宋体"/>
          <w:color w:val="0D1E0F"/>
          <w:kern w:val="2"/>
          <w:sz w:val="24"/>
          <w:szCs w:val="24"/>
          <w:lang w:val="en-US" w:eastAsia="zh-CN"/>
        </w:rPr>
        <w:t xml:space="preserve"> </w:t>
      </w:r>
      <w:r>
        <w:rPr>
          <w:rFonts w:hint="eastAsia" w:ascii="宋体" w:hAnsi="宋体" w:cs="宋体"/>
          <w:color w:val="0D1E0F"/>
          <w:kern w:val="2"/>
          <w:sz w:val="24"/>
          <w:szCs w:val="24"/>
          <w:lang w:val="en-US" w:eastAsia="zh-CN"/>
        </w:rPr>
        <w:t>。</w:t>
      </w:r>
    </w:p>
    <w:p w14:paraId="3226B14B">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4．采购项目概况（简介）：</w:t>
      </w:r>
      <w:r>
        <w:rPr>
          <w:rFonts w:hint="eastAsia" w:ascii="宋体" w:hAnsi="宋体" w:eastAsia="宋体" w:cs="宋体"/>
          <w:color w:val="000000" w:themeColor="text1"/>
          <w:sz w:val="24"/>
          <w:szCs w:val="24"/>
          <w:highlight w:val="none"/>
          <w:lang w:val="zh-CN"/>
          <w14:textFill>
            <w14:solidFill>
              <w14:schemeClr w14:val="tx1"/>
            </w14:solidFill>
          </w14:textFill>
        </w:rPr>
        <w:t>建设单位拟发包的施工单项合同预算价在</w:t>
      </w: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zh-CN"/>
          <w14:textFill>
            <w14:solidFill>
              <w14:schemeClr w14:val="tx1"/>
            </w14:solidFill>
          </w14:textFill>
        </w:rPr>
        <w:t>万元以下的工程</w:t>
      </w:r>
      <w:r>
        <w:rPr>
          <w:rFonts w:hint="eastAsia" w:ascii="宋体" w:hAnsi="宋体" w:cs="宋体"/>
          <w:color w:val="0000FF"/>
          <w:sz w:val="24"/>
          <w:szCs w:val="24"/>
          <w:highlight w:val="none"/>
          <w:lang w:val="zh-CN"/>
        </w:rPr>
        <w:t>项目</w:t>
      </w: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包括但不限于</w:t>
      </w:r>
      <w:r>
        <w:rPr>
          <w:rFonts w:hint="eastAsia" w:ascii="宋体" w:hAnsi="宋体" w:cs="宋体"/>
          <w:color w:val="0000FF"/>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文件及其基本技术要求范围内相应工程开工前的准备（包括现场踏勘、技术核对等）、技术资料、施工、技术服务、竣工验收</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质保期和</w:t>
      </w:r>
      <w:r>
        <w:rPr>
          <w:rFonts w:hint="eastAsia" w:ascii="宋体" w:hAnsi="宋体" w:cs="宋体"/>
          <w:color w:val="0000FF"/>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文件所要求的相关服务等全部内容</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87DBC85">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1年</w:t>
      </w:r>
      <w:r>
        <w:rPr>
          <w:rFonts w:hint="eastAsia" w:ascii="宋体" w:hAnsi="宋体" w:eastAsia="宋体" w:cs="宋体"/>
          <w:color w:val="000000" w:themeColor="text1"/>
          <w:sz w:val="24"/>
          <w:szCs w:val="24"/>
          <w:highlight w:val="none"/>
          <w14:textFill>
            <w14:solidFill>
              <w14:schemeClr w14:val="tx1"/>
            </w14:solidFill>
          </w14:textFill>
        </w:rPr>
        <w:t>（以</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人发出的第一次书面任务通知单视为开工），本合同范围内的每一单项工程的工期根据</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人要求，当合同履行时间达一年或合同履行价款经</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人委托的第三方审计机构审计后审定价达到</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万元时，合同自动终止</w:t>
      </w:r>
      <w:r>
        <w:rPr>
          <w:rFonts w:hint="eastAsia" w:ascii="宋体" w:hAnsi="宋体" w:cs="宋体"/>
          <w:color w:val="000000" w:themeColor="text1"/>
          <w:sz w:val="24"/>
          <w:szCs w:val="24"/>
          <w:highlight w:val="none"/>
          <w:lang w:eastAsia="zh-CN"/>
          <w14:textFill>
            <w14:solidFill>
              <w14:schemeClr w14:val="tx1"/>
            </w14:solidFill>
          </w14:textFill>
        </w:rPr>
        <w:t>。</w:t>
      </w:r>
    </w:p>
    <w:p w14:paraId="449A903C">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6．是/否接受联合体投标：</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6E954DDD">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7．是/否接受分支机构参与响应：</w:t>
      </w:r>
      <w:r>
        <w:rPr>
          <w:rFonts w:hint="eastAsia" w:ascii="宋体" w:hAnsi="宋体" w:eastAsia="宋体" w:cs="宋体"/>
          <w:color w:val="000000" w:themeColor="text1"/>
          <w:sz w:val="24"/>
          <w:szCs w:val="24"/>
          <w:highlight w:val="none"/>
          <w:lang w:eastAsia="zh-CN"/>
          <w14:textFill>
            <w14:solidFill>
              <w14:schemeClr w14:val="tx1"/>
            </w14:solidFill>
          </w14:textFill>
        </w:rPr>
        <w:t>否</w:t>
      </w:r>
    </w:p>
    <w:p w14:paraId="6EF69CC9">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8．是/否属于政府购买服务：</w:t>
      </w:r>
      <w:r>
        <w:rPr>
          <w:rFonts w:hint="eastAsia" w:ascii="宋体" w:hAnsi="宋体" w:cs="宋体"/>
          <w:color w:val="000000" w:themeColor="text1"/>
          <w:sz w:val="24"/>
          <w:szCs w:val="24"/>
          <w:highlight w:val="none"/>
          <w:lang w:eastAsia="zh-CN"/>
          <w14:textFill>
            <w14:solidFill>
              <w14:schemeClr w14:val="tx1"/>
            </w14:solidFill>
          </w14:textFill>
        </w:rPr>
        <w:t>否</w:t>
      </w:r>
    </w:p>
    <w:p w14:paraId="1C4AC86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9．是/否接受进口产品投标：否</w:t>
      </w:r>
    </w:p>
    <w:p w14:paraId="3913557F">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10．是/否专门面向中小企业预留采购份额：是</w:t>
      </w:r>
    </w:p>
    <w:p w14:paraId="1DB6CF06">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11．本项目的特定资格要求：</w:t>
      </w:r>
    </w:p>
    <w:p w14:paraId="40513902">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1、具备市政公用</w:t>
      </w:r>
      <w:r>
        <w:rPr>
          <w:rFonts w:hint="eastAsia" w:ascii="宋体" w:hAnsi="宋体" w:cs="宋体"/>
          <w:color w:val="000000" w:themeColor="text1"/>
          <w:sz w:val="24"/>
          <w:szCs w:val="24"/>
          <w:highlight w:val="none"/>
          <w:u w:val="single"/>
          <w:lang w:eastAsia="zh-CN"/>
          <w14:textFill>
            <w14:solidFill>
              <w14:schemeClr w14:val="tx1"/>
            </w14:solidFill>
          </w14:textFill>
        </w:rPr>
        <w:t>工程</w:t>
      </w:r>
      <w:r>
        <w:rPr>
          <w:rFonts w:hint="eastAsia" w:ascii="宋体" w:hAnsi="宋体" w:eastAsia="宋体" w:cs="宋体"/>
          <w:color w:val="000000" w:themeColor="text1"/>
          <w:sz w:val="24"/>
          <w:szCs w:val="24"/>
          <w:highlight w:val="none"/>
          <w:u w:val="single"/>
          <w14:textFill>
            <w14:solidFill>
              <w14:schemeClr w14:val="tx1"/>
            </w14:solidFill>
          </w14:textFill>
        </w:rPr>
        <w:t>施工总承包三级及以上资质</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w:t>
      </w:r>
    </w:p>
    <w:p w14:paraId="14A07BA5">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2、项目负责人须具备市政公用工程（含）以上注册建造师资格及行政主管部门核发的安全生产考核合格证（B证）。</w:t>
      </w:r>
    </w:p>
    <w:p w14:paraId="7DDCC3B2">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12．项目类别：</w:t>
      </w:r>
      <w:r>
        <w:rPr>
          <w:rFonts w:hint="eastAsia" w:ascii="宋体" w:hAnsi="宋体" w:cs="宋体"/>
          <w:color w:val="000000" w:themeColor="text1"/>
          <w:sz w:val="24"/>
          <w:szCs w:val="24"/>
          <w:highlight w:val="none"/>
          <w:lang w:eastAsia="zh-CN"/>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类</w:t>
      </w:r>
    </w:p>
    <w:p w14:paraId="50681326">
      <w:pPr>
        <w:pStyle w:val="453"/>
        <w:keepNext w:val="0"/>
        <w:keepLines w:val="0"/>
        <w:pageBreakBefore w:val="0"/>
        <w:widowControl w:val="0"/>
        <w:spacing w:line="440" w:lineRule="atLeast"/>
        <w:ind w:left="0" w:firstLine="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二、商务要求</w:t>
      </w:r>
    </w:p>
    <w:p w14:paraId="3B805A56">
      <w:pPr>
        <w:keepNext w:val="0"/>
        <w:keepLines w:val="0"/>
        <w:pageBreakBefore w:val="0"/>
        <w:widowControl w:val="0"/>
        <w:spacing w:line="440" w:lineRule="atLeast"/>
        <w:ind w:firstLine="48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1．交付（实施）的时间（期限）和地点（范围）</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39F8A02D">
      <w:pPr>
        <w:keepNext w:val="0"/>
        <w:keepLines w:val="0"/>
        <w:pageBreakBefore w:val="0"/>
        <w:widowControl w:val="0"/>
        <w:spacing w:line="440" w:lineRule="atLeast"/>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服务期限：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1年</w:t>
      </w:r>
      <w:r>
        <w:rPr>
          <w:rFonts w:hint="eastAsia" w:ascii="宋体" w:hAnsi="宋体" w:eastAsia="宋体" w:cs="宋体"/>
          <w:color w:val="000000" w:themeColor="text1"/>
          <w:sz w:val="24"/>
          <w:szCs w:val="24"/>
          <w:highlight w:val="none"/>
          <w14:textFill>
            <w14:solidFill>
              <w14:schemeClr w14:val="tx1"/>
            </w14:solidFill>
          </w14:textFill>
        </w:rPr>
        <w:t>（以</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人发出的第一次书面任务通知单视为开工），本合同范围内的每一单项工程的工期根据</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人要求，当合同履行时间达一年或合同履行价款经</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人委托的第三方审计机构审计后审定价达到</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万元时，合同自动终止</w:t>
      </w:r>
      <w:r>
        <w:rPr>
          <w:rFonts w:hint="eastAsia" w:ascii="宋体" w:hAnsi="宋体" w:cs="宋体"/>
          <w:color w:val="000000" w:themeColor="text1"/>
          <w:sz w:val="24"/>
          <w:szCs w:val="24"/>
          <w:highlight w:val="none"/>
          <w:lang w:eastAsia="zh-CN"/>
          <w14:textFill>
            <w14:solidFill>
              <w14:schemeClr w14:val="tx1"/>
            </w14:solidFill>
          </w14:textFill>
        </w:rPr>
        <w:t>。</w:t>
      </w:r>
    </w:p>
    <w:p w14:paraId="32F67B6D">
      <w:pPr>
        <w:keepNext w:val="0"/>
        <w:keepLines w:val="0"/>
        <w:pageBreakBefore w:val="0"/>
        <w:widowControl w:val="0"/>
        <w:spacing w:line="440" w:lineRule="atLeas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地点（范围）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常州市金坛区</w:t>
      </w:r>
    </w:p>
    <w:p w14:paraId="72A0F172">
      <w:pPr>
        <w:keepNext w:val="0"/>
        <w:keepLines w:val="0"/>
        <w:pageBreakBefore w:val="0"/>
        <w:widowControl w:val="0"/>
        <w:numPr>
          <w:ilvl w:val="0"/>
          <w:numId w:val="12"/>
        </w:numPr>
        <w:spacing w:line="440" w:lineRule="atLeast"/>
        <w:ind w:firstLine="482"/>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付款条件（进度和方式）</w:t>
      </w:r>
    </w:p>
    <w:p w14:paraId="5FFE3C4D">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bookmarkStart w:id="1308" w:name="_GoBack"/>
      <w:r>
        <w:rPr>
          <w:rFonts w:hint="eastAsia" w:ascii="宋体" w:hAnsi="宋体" w:eastAsia="宋体" w:cs="宋体"/>
          <w:color w:val="000000" w:themeColor="text1"/>
          <w:sz w:val="24"/>
          <w:szCs w:val="24"/>
          <w:highlight w:val="none"/>
          <w14:textFill>
            <w14:solidFill>
              <w14:schemeClr w14:val="tx1"/>
            </w14:solidFill>
          </w14:textFill>
        </w:rPr>
        <w:t>各单项工程完工经验收合格后按季度进行工程量计量、按年度进行付款。</w:t>
      </w:r>
    </w:p>
    <w:p w14:paraId="0E3DFEBD">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（1）工程经审计后付至审定价款的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0%；</w:t>
      </w:r>
    </w:p>
    <w:p w14:paraId="72FE1153">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（2）第一次付款满12个月后付至审定价的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0%，</w:t>
      </w:r>
    </w:p>
    <w:p w14:paraId="1760DFF1">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（3）第一次付款满24个月后结清余款。</w:t>
      </w:r>
    </w:p>
    <w:p w14:paraId="637D2A78">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注：1）每次付款前乙方需向甲方提供等额的正规发票。</w:t>
      </w:r>
    </w:p>
    <w:p w14:paraId="440076BD">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2）每次付款时扣除当期发生的违约金。</w:t>
      </w:r>
    </w:p>
    <w:p w14:paraId="2CDCE235">
      <w:pPr>
        <w:keepNext w:val="0"/>
        <w:keepLines w:val="0"/>
        <w:pageBreakBefore w:val="0"/>
        <w:widowControl w:val="0"/>
        <w:spacing w:line="440" w:lineRule="atLeas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3）工程履约保证金及工程款均不计息。</w:t>
      </w:r>
    </w:p>
    <w:bookmarkEnd w:id="1308"/>
    <w:p w14:paraId="130016D7">
      <w:pPr>
        <w:spacing w:line="570" w:lineRule="exact"/>
        <w:ind w:firstLine="640" w:firstLineChars="200"/>
        <w:rPr>
          <w:rFonts w:hint="eastAsia" w:ascii="Times New Roman" w:hAnsi="Times New Roman" w:eastAsia="仿宋_GB2312" w:cs="Times New Roman"/>
          <w:color w:val="0D1E0F"/>
          <w:kern w:val="2"/>
          <w:sz w:val="32"/>
          <w:szCs w:val="20"/>
          <w:lang w:val="en-US" w:eastAsia="zh-CN"/>
        </w:rPr>
      </w:pPr>
      <w:r>
        <w:rPr>
          <w:rFonts w:hint="eastAsia" w:ascii="Times New Roman" w:hAnsi="Times New Roman" w:eastAsia="仿宋_GB2312" w:cs="Times New Roman"/>
          <w:color w:val="0D1E0F"/>
          <w:kern w:val="2"/>
          <w:sz w:val="32"/>
          <w:szCs w:val="20"/>
          <w:lang w:val="en-US" w:eastAsia="zh-CN"/>
        </w:rPr>
        <w:t>3.清单</w:t>
      </w:r>
    </w:p>
    <w:tbl>
      <w:tblPr>
        <w:tblStyle w:val="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6"/>
        <w:gridCol w:w="1416"/>
        <w:gridCol w:w="1414"/>
        <w:gridCol w:w="2325"/>
        <w:gridCol w:w="616"/>
        <w:gridCol w:w="730"/>
        <w:gridCol w:w="1016"/>
        <w:gridCol w:w="1016"/>
        <w:gridCol w:w="799"/>
      </w:tblGrid>
      <w:tr w14:paraId="601F1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2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CC6681">
            <w:pPr>
              <w:keepNext w:val="0"/>
              <w:keepLines w:val="0"/>
              <w:widowControl/>
              <w:suppressLineNumbers w:val="0"/>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66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5DA5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项目编码</w:t>
            </w:r>
          </w:p>
        </w:tc>
        <w:tc>
          <w:tcPr>
            <w:tcW w:w="73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9C78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项目名称</w:t>
            </w:r>
          </w:p>
        </w:tc>
        <w:tc>
          <w:tcPr>
            <w:tcW w:w="119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D8E0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项目特征描述</w:t>
            </w:r>
          </w:p>
        </w:tc>
        <w:tc>
          <w:tcPr>
            <w:tcW w:w="2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F492C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计量单位</w:t>
            </w:r>
          </w:p>
        </w:tc>
        <w:tc>
          <w:tcPr>
            <w:tcW w:w="3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AE31D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工程</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数量</w:t>
            </w:r>
          </w:p>
        </w:tc>
        <w:tc>
          <w:tcPr>
            <w:tcW w:w="1489"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1642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金额(元)</w:t>
            </w:r>
          </w:p>
        </w:tc>
      </w:tr>
      <w:tr w14:paraId="6F6C0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F4730">
            <w:pPr>
              <w:jc w:val="center"/>
              <w:rPr>
                <w:rFonts w:hint="eastAsia" w:ascii="黑体" w:hAnsi="宋体" w:eastAsia="黑体" w:cs="黑体"/>
                <w:i w:val="0"/>
                <w:iCs w:val="0"/>
                <w:color w:val="000000"/>
                <w:sz w:val="22"/>
                <w:szCs w:val="22"/>
                <w:u w:val="none"/>
              </w:rPr>
            </w:pPr>
          </w:p>
        </w:tc>
        <w:tc>
          <w:tcPr>
            <w:tcW w:w="66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A7239">
            <w:pPr>
              <w:jc w:val="center"/>
              <w:rPr>
                <w:rFonts w:hint="eastAsia" w:ascii="黑体" w:hAnsi="宋体" w:eastAsia="黑体" w:cs="黑体"/>
                <w:i w:val="0"/>
                <w:iCs w:val="0"/>
                <w:color w:val="000000"/>
                <w:sz w:val="22"/>
                <w:szCs w:val="22"/>
                <w:u w:val="none"/>
              </w:rPr>
            </w:pPr>
          </w:p>
        </w:tc>
        <w:tc>
          <w:tcPr>
            <w:tcW w:w="73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35368">
            <w:pPr>
              <w:jc w:val="center"/>
              <w:rPr>
                <w:rFonts w:hint="eastAsia" w:ascii="黑体" w:hAnsi="宋体" w:eastAsia="黑体" w:cs="黑体"/>
                <w:i w:val="0"/>
                <w:iCs w:val="0"/>
                <w:color w:val="000000"/>
                <w:sz w:val="22"/>
                <w:szCs w:val="22"/>
                <w:u w:val="none"/>
              </w:rPr>
            </w:pPr>
          </w:p>
        </w:tc>
        <w:tc>
          <w:tcPr>
            <w:tcW w:w="119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33619">
            <w:pPr>
              <w:jc w:val="center"/>
              <w:rPr>
                <w:rFonts w:hint="eastAsia" w:ascii="黑体" w:hAnsi="宋体" w:eastAsia="黑体" w:cs="黑体"/>
                <w:i w:val="0"/>
                <w:iCs w:val="0"/>
                <w:color w:val="000000"/>
                <w:sz w:val="22"/>
                <w:szCs w:val="22"/>
                <w:u w:val="none"/>
              </w:rPr>
            </w:pPr>
          </w:p>
        </w:tc>
        <w:tc>
          <w:tcPr>
            <w:tcW w:w="2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81B23">
            <w:pPr>
              <w:jc w:val="center"/>
              <w:rPr>
                <w:rFonts w:hint="eastAsia" w:ascii="黑体" w:hAnsi="宋体" w:eastAsia="黑体" w:cs="黑体"/>
                <w:i w:val="0"/>
                <w:iCs w:val="0"/>
                <w:color w:val="000000"/>
                <w:sz w:val="22"/>
                <w:szCs w:val="22"/>
                <w:u w:val="none"/>
              </w:rPr>
            </w:pPr>
          </w:p>
        </w:tc>
        <w:tc>
          <w:tcPr>
            <w:tcW w:w="3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1FA5A0">
            <w:pPr>
              <w:jc w:val="center"/>
              <w:rPr>
                <w:rFonts w:hint="eastAsia" w:ascii="黑体" w:hAnsi="宋体" w:eastAsia="黑体" w:cs="黑体"/>
                <w:i w:val="0"/>
                <w:iCs w:val="0"/>
                <w:color w:val="000000"/>
                <w:sz w:val="22"/>
                <w:szCs w:val="22"/>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291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综合</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单价</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3D52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合价</w:t>
            </w:r>
          </w:p>
        </w:tc>
        <w:tc>
          <w:tcPr>
            <w:tcW w:w="43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DE74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其中：</w:t>
            </w:r>
            <w:r>
              <w:rPr>
                <w:rFonts w:hint="eastAsia" w:ascii="黑体" w:hAnsi="宋体" w:eastAsia="黑体" w:cs="黑体"/>
                <w:i w:val="0"/>
                <w:iCs w:val="0"/>
                <w:color w:val="000000"/>
                <w:kern w:val="0"/>
                <w:sz w:val="22"/>
                <w:szCs w:val="22"/>
                <w:u w:val="none"/>
                <w:lang w:val="en-US" w:eastAsia="zh-CN" w:bidi="ar"/>
              </w:rPr>
              <w:br w:type="textWrapping"/>
            </w:r>
            <w:r>
              <w:rPr>
                <w:rFonts w:hint="eastAsia" w:ascii="黑体" w:hAnsi="宋体" w:eastAsia="黑体" w:cs="黑体"/>
                <w:i w:val="0"/>
                <w:iCs w:val="0"/>
                <w:color w:val="000000"/>
                <w:kern w:val="0"/>
                <w:sz w:val="22"/>
                <w:szCs w:val="22"/>
                <w:u w:val="none"/>
                <w:lang w:val="en-US" w:eastAsia="zh-CN" w:bidi="ar"/>
              </w:rPr>
              <w:t>暂估价</w:t>
            </w:r>
          </w:p>
        </w:tc>
      </w:tr>
      <w:tr w14:paraId="1D146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99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51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A9E6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拆除工程</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88664">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7BCEA">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C9BDB">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A66B">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80E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2490.10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EAE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9C95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A2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2D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450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7CB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拆除砼路面、路牙、垫层等混凝土结构,含锯缝、破除（破除方式综合考虑）、拆除垃圾处置，处置费用投标人自行考虑，按体积计算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D7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63F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51E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61.17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A8C6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61.17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B0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40B6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70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A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BB1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拆除基层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C9A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拆除路基（水稳）层、沥青面层、铺装、砖砌体等非混凝土结构,含锯缝、破除（破除方式综合考虑）、拆除垃圾处置，处置费用投标人自行考虑，按体积计算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27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79D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3D0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54.42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EA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54.42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E2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B1D2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2B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C7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011602001001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3F8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钢筋混凝土构件拆除</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3BC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拆除钢筋混凝土结构，含锯缝切割、破除（破除方式综合考虑）、拆除垃圾处置，处置费用投标人自行考虑，按体积计算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2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BA5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355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524.76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7F0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524.76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A87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A28C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DBD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C93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999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混凝土管道拆除</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028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拆除破碎混凝土管道（管径综合）， 拆除垃圾装车外运及处置费用，按长度计算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644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7FC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CD02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43.53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F28F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43.53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0B6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D4EB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0D4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73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6B5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切割树根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F18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切割树根直径150，含拆除垃圾装车外运及处置费用，按实计算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71E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9DA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928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5463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8B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4AD0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F8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E07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48D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起挖灌木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D25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起挖灌木，裸根冠幅50cm，做法满足甲方需求，按实计算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F99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D01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B15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3D8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01B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41CE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769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EBE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C4C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起挖乔木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B9E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起挖乔木，裸根胸径在24cm内，做法满足甲方需求，按实计算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6B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C96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29B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278.20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829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278.20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C34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7DAE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4C7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33B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7A1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起挖乔木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B61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起挖乔木，裸根胸径在50cm内，做法满足甲方需求，按实计算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17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4E0F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6A7F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833.45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EB4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833.45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4EAB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1104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1E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693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D232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起挖灌木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2F8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苗木起挖灌木（带土球）土球直径在40cm内，做法满足甲方需求，按实计算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1F6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5E8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0F6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832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BFB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8071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B4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0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011601001001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421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砌体拆除</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788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根据甲方要求拆除砌体(含砌体内构造柱圈梁)，含切割、拆除垃圾装车外运及处置费用，按体积计算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E84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26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653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185.83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0B1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185.83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FE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E0ED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4C5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5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011605001001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1C1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建筑物平面块料拆除</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42E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地砖及结合层铲除，拆除垃圾装车外运及处置费用，按实计算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18E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FEFA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243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BF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45.86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3DC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C58B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84C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F2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011605002001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D84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建筑物立面块料拆除</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34A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墙面砖、地砖踢脚线及结合层铲除，拆除垃圾装车外运及处置费用，按实计算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90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9E7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CC4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F2C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125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80F7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6A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13B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011602001002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EAA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建筑物楼地面砼层拆除</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5C9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人机拆除楼地面砼层，拆除垃圾装车外运及处置费用，按体积计算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D35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AB3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AEC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253.20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9B0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253.20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6A3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D9E3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B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274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011607002001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EE1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防水层拆除</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A0D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拆除屋面卷材防水层，含拆除垃圾装车外运及处置费用，按实计算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86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FC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6D0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A87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64C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5740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6F2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4C9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011604002001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8FA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铲除抹灰层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91D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铲除墙、柱梁面抹灰层，含切割、拆除垃圾装车外运及处置费用，按实计算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7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47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210F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671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F1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2377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E8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A66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011604002002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87F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铲除墙面涂料层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BBB3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铲除墙面涂料，含拆除垃圾装车外运及处置费用，按实计算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1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9E5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367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5883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5AD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FD37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7A2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E0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95C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土方工程</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B00E7">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447F7">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F80FE">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16E67">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E4D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782.86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E70E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D32F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4F6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41E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C21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挖一般土方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F14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路基挖土方，开挖方式、土方类别及开挖深度综合考虑，按实计算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BF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49C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D0E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6900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7C1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EEFE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C9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1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84B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挖坑槽土方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D83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开挖坑槽土方（人机配合），土方类别及开挖深度综合考虑，按实计算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39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C26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F46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510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618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313A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58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3F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397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挖坑槽土方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F3A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开挖坑槽土方（人工），土方类别及开挖深度综合考虑，按实计算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F25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C9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9D8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79.38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9E9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79.38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B5B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420F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848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1E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040101002003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822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挖坑槽土方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4F9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反铲挖掘机挖土装车（人机配合），自卸汽车外运土，土方类别、开挖深度及运距综合考虑，按实计算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102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FFB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7A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590D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39.57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F62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2BB4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64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BF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24E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3FE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沟槽素土回填，密实度按设计要求，含场内运输，按实计算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78B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5DC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69FA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53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B7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494B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B14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2E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5C0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907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种植土人机回填、平地、土源外购，按实计算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7CF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6812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D48A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42.79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D9B7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42.79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93B7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F7EF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7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D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FC1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6BD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外购土，槽坑回填夯实，按实计算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A3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DF66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628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37.46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8E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37.46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A84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467F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28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E50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EC2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487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坑槽回填水泥土原土利用 4%水泥，夯实，按实计算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DD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F5C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E2D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74.60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DBD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74.60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639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F6AE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F6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6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BAA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F48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分层回填6%灰土夯实槽、坑（原土利用），按实计算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CE1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B75E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A12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123.55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C35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123.55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9672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CF56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DF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CF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FA3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181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碎石土（碎石含量30%）回填，密实度按设计要求，含运输，按实计算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E18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95DD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801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133.62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BF0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133.62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20A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4E31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6B8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32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040103001007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03A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回填方</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A25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碎石土（碎石含量50%）回填，密实度按设计要求，含运输，按实计算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84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20C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DCA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182.24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90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182.24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AE92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6988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4DF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6F3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040103002001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784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余方弃置</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7AB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余土或不可利用土方装车弃置,弃置点及运距投标单位自行考虑，按实计算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791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90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871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23.88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2BD2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23.88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C89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6811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A9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F66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770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路床（槽）整形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49B9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机械原土夯实平地，计价表计算规则，按实计算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CE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EAD8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D6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8F2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872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7FC4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138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D8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E43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管道工程</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781AE">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3335D">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48029">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F4998">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218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25427.09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1028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8493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6D4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B75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573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BC8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雨污水管，DN110PVC管管道铺设，按实计算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E58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13B3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9A01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41.84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D2D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41.84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44A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85A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4A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6D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006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A64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雨污水管，DN160PVC管管道铺设，按实计算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9B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664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4DB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72.46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6C9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72.46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A0F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F793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4E9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5E3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83C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361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雨水管，HDPE双壁波纹管,DN250,环刚度≥8KN/M2道铺设，按实计算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1D3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A5D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4C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7B2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4D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DC0D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881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C82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91C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DF5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雨水管，HDPE双壁波纹管,DN300,环刚度≥8KN/M2道铺设，按实计算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33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06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130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117.63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12F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117.63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C49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6B0A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D2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27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9C8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E82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雨水管，HDPE双壁波纹管,DN400,环刚度≥8KN/M2道铺设，按实计算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B2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E71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0D3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204.51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1B4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204.51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0A9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8C58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090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D99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95F1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197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雨水管，HDPE双壁波纹管,DN500,环刚度≥8KN/M2道铺设，按实计算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3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CCC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C40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340.71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D11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340.71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392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3F0E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CC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7C8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040501004007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F6C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171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雨水管，HDPE双壁波纹管,DN600,环刚度≥8KN/M2道铺设，按实计算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21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C44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340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467.96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FDF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467.96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1A53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9D2F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DFD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AFA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040501003001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24F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铸铁管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D6A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C40级球墨铸铁污水排水管,DN300,T形滑入式胶圈接口，检查及清扫管材、安装管道、上胶圈、调直，管道闭水试验，按实计算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5B6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C44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D67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416.77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DAF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416.77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0B2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2C98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304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52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040202009001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11B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砂砾石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48C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管道砂包封,黄砂回填（底10cm至管顶20cm，宽管两侧各20cm），按实计算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5A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305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398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354.35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D66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354.35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97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4773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53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9C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8FE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1A4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穿越道路管道覆土深度小于700mmC20混凝土包封，含模板，按体积计算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8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97B0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40D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582.04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400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582.04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C9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C35D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8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67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40E9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D12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穿越道路管道覆土深度小于700mmC30混凝土包封，含模板，按体积计算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CB6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C7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1C87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604.37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AE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604.37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C20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1321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0D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EEE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EAB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砌筑井</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C5B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φ700砖砌圆形雨水检查井(井深1.5m)，C250级钢纤维混凝土井盖，含钢筋、模板，150厚C30砼底板,底板下采用10cmC20砼垫层，防坠落装置(承载力≥100kg)，304不锈钢膨胀螺栓钩子安装，做法参见苏S01-2021-159，按实计算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62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087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B84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2358.56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375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2358.56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0AB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41DD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473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96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1648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砌筑井</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3AA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φ1000砖砌圆形雨水检查井(井深1.5m)，C250级钢纤维混凝土井盖，含钢筋、模板，200厚C30砼底板,底板下采用10cmC20砼垫层，防坠落装置(承载力≥100kg)，304不锈钢膨胀螺栓钩子安装，做法参见苏S01-2021-161，按实计算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E5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00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4E8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3208.02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019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3208.02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A3E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AF65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981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20A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21B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砌筑井</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B02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500*500砖砌距形雨、污水水检查井(井深1.0m)，C250级钢纤维混凝土井盖，含钢筋、模板，150厚C30砼底板,底板下采用10cm碎石垫层，做法参见苏S01-2021-258，按实计算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717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179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A25F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1583.12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E7F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1583.12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D9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43A9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5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D9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040504009001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765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雨水口</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2F6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砖砌平箅式单篦雨水口(内净:680*380)，井深1.0m，100厚C15非泵送砼垫层，M10水泥砂浆砌MU20砼实心砖,井内侧1:2水泥砂浆抹灰，钢纤维雨水井篦（B125）做法参见苏S01-2021-292，按实计算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336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78F4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409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1007.62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50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1007.62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5E4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5A3B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55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B9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040504009002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431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雨水口</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8CB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平箅式单篦雨水口(内净：680*380)：井深增(减)0.1m,，按实计算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09E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A40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627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84.37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7F0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84.37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3A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F3C8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6A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BF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4B1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砌筑井</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69F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φ700砖砌圆形井筒(M10水泥砂浆砌Mu20砼砖)每增减10cm，按实计算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F5F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470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CD7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119.26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053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119.26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469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09CC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D8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46C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040504001005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BFF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砌筑井</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3A6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500*500砖砌矩形井筒(M10水泥砂浆砌Mu20砼砖、水泥砂浆抹灰)每增减10cm，按实计算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5C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7C5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371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104.25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5C2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104.25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FAF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51B1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5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B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010401012001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B28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零星砌砖</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491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M10水泥砂浆零星砖砌体 ,按实计算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45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E1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0D4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1089.96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EAC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1089.96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386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631C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A8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4F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011203001001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BA1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零星项目一般抹灰</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356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零星砌体部位 ,水泥砂浆抹灰 ,按实计算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00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9E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66A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45.24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FC15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45.24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740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C73A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EE3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7B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08B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砌石挡土墙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D21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砌石挡土墙，水泥砂浆M10 ,按实计算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31D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AAF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B1A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550.59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B99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550.59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9FA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487C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EA0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E7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18B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水泥砂浆勾缝</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F0E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石挡土墙水泥砂浆勾缝 ,按实计算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709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A52C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6B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18.94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E64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18.94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949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5E7A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FC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B15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484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84E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更换C250级球墨铸铁雨水篦子井框、盖，做法满足甲方需求，按实结算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6E9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81A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E69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436.88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897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436.88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94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B8BC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EC9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60E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95A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D46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更换φ700球墨铸铁井框、盖（D400级），做法满足甲方需求，按实结算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DF4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0F17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13F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784.28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99F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784.28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CF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5764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8C4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FE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B0D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996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更换φ800球墨铸铁井框、盖（D400级），做法满足甲方需求，按实结算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C8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AC3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93A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895.04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807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895.04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088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282C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6F9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0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D94D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4D2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更换φ700重型钢纤维混凝土井框盖（C250），做法满足甲方需求，按实结算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30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7B5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877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308.08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0FB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308.08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640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299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E1C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56E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683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D9B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更换φ800重型钢纤维混凝土井框盖（C250），做法满足甲方需求，按实结算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CC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DF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6D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342.28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815E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342.28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4CF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3AE7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B8F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58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075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0ED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更换450*500mm重型钢纤维混凝土井框盖（C250），做法满足甲方需求，按实结算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0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E7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FE9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208.92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D23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208.92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F46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A188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A05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868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58C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8C9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更换300*400mm重型钢纤维混凝土井框盖（C250），做法满足甲方需求，按实结算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0C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6C2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F70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162.76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C80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162.76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BAD3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E07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17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F06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1DA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395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更换500*500mm重型钢纤维混凝土井框盖（C250），做法满足甲方需求，按实结算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1F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8B80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CC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231.15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C2D2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231.15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5B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EE33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A7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A50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040204006009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F2F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检查井井框盖更换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170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更换750*450mm重型钢纤维混凝土井框盖（C250），做法满足甲方需求，按实结算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525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座</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5B3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DC3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237.29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61CC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237.29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964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5D49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82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E45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04B009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B7D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气囊封堵管口</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452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临时气囊封堵管口（综合），人工、材料、设备、及防护检测等全部内容，按实计算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23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A88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74EE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1394.96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91D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1394.96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F0D2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DE53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2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0C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D9E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气囊封堵管口</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52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潜水员气囊封堵管口（综合），人工、材料、设备、及防护检测等全部内容，按实计算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A6C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00F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465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6974.81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3DC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6974.81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4A6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E3DC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621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91B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3AC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道路恢复维修</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90DE5">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B5592">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F28A5">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BC573">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903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10372.80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18B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A5A4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3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C3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4F5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62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路基,50mm厚级配碎石垫层，按实计算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03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4392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3920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F852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051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7E7A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291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AF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C33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F2D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路基,100mm厚级配碎石垫层，按实计算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3B5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DE1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9B3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28.26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1D9B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28.26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660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DD4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33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AF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040202011003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F7A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7C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碎石垫层，按实计算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8E0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742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3B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216.63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8D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216.63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70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BF7B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D6A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8E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CB0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CDB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路基,100mm厚C20垫层,商品砼(非泵送)，,含模板、养生、切缝，按实计算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A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517F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896B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81.28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C8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81.28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547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426F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6D9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5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17C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56A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150mm厚C30路基,商品砼(非泵送),含模板、养生、切缝、灌缝等所有工作内容，按实计算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165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E893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4F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108.40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A2C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108.40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1A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D1A3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FAE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1B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089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A7B9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150mm厚C35路基,商品砼(非泵送),含模板、养生、切缝、灌缝等所有工作内容，按实计算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67A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2ED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B7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110.53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3A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110.53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EA7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080B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3C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CD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AA8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41B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200mm厚C30路基,商品砼(非泵送),含模板、养生、切缝、灌缝等所有工作内容，按实计算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3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23B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5C9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137.26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B7C8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137.26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BE0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A874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4F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F5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FF6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C51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200mm厚C35路基,商品砼(非泵送),含模板、养生、切缝、灌缝等所有工作内容，按实计算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32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D35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716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06D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140.04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05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61D4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39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37E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4CF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686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C30商品砼浇筑路面、基层等，含混凝土浇筑、养护、模板，按混凝土体积计算，按实计算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BB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F0AF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1BC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650.85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8153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650.85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BA44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7EF2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40B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0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040203007009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647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AA1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C35商品砼浇筑路面、基层等，含混凝土浇筑、养护、模板，按混凝土体积计算，按实计算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967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981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EFA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664.74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B56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664.74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E23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1955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1A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C2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2BD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锯缝机锯缝</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31B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路面及场地锯缝机锯缝，按长度计算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8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AF5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8A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22A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F1C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BBEA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3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D9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247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透层、粘层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DF3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粘层油,改性乳化沥青AC(M)-3,用量为0.2-0.4L/m2,，按实计算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76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E98E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1D10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583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19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D5A2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54D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170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B7E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D9C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5cm细粒式沥青砼(AC-13C、SBS改性、玄武岩骨料)，按实计算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FD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F8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55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112.21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0ADA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112.21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858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162A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4CE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7CA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1C6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E78F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4cm细粒式沥青砼(AC-13C、SBS改性、玄武岩骨料)，按实计算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47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DC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897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89.39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D691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89.39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132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3252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4EC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1ED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B6A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2E6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10cm中细粒式沥青砼(AC-13C、SBS改性、玄武岩骨料)，按实计算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68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456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E0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195.03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5B8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195.03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ACD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79D4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23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FE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040203006004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049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沥青混凝土</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9C5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人工摊铺沥青路面厚度10cm，中细粒式沥青砼(AC-10C、玄武岩骨料、SBS改性)，按实计算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74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FCB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40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201.26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C01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201.26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7B4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05F7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E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132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3D4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安砌侧（平、缘）石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644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人工砌预制混凝土侧石,C20砼垫层，按实计算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40D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E9E3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F0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EA9F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F0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827B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570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74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040204004002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12D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安砌侧（平、缘）石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8C3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仿花岗岩(通体晶面)侧石甲;侧石断面30*15cm,C20砼垫层，按实计算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C5B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5AC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B1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6AB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7FB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45D9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6A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C1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040204004003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9E3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安砌侧（平、缘）石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71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人工砌花岗岩侧石,C20砼垫层，按实计算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CD5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4AB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9C7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159.87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EC5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159.87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7D3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237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B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68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B29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AC8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人行道面层,水泥砂浆铺5cm舒布洛克砖道板,包括盲道砖,与周边道路过渡顺畅，按实计算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0A0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C1C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4A4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146.06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6FB2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146.06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30EA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CC15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F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A72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3AC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167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人行道面层,水泥砂浆铺6cm舒布洛克砖道板,包括盲道砖,与周边道路过渡顺畅，按实计算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AA7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AE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875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146.83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CF1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146.83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E77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BFBC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6F7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E8B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568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752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100*100*60mm道板砖、干硬性水泥砂浆粘贴，按实计算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E64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2D7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0E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135.93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86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135.93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AE46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3B8A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F14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A3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BAC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49D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铺设500*250mm预制混凝土道板，按实计算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5F4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00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420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119.55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98F0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119.55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A6E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A9CF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5D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DD5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040203008005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CBA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块料面层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163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铺设花岗岩道板（品种厚度综合），按实计算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1B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F59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CD9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249.14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2A4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249.14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9E5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7C86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D95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4D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040901001001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FA8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E0E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钢筋制作、安装（综合），按实计算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BF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346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35E2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6313.62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3E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6313.62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46F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DDB7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75F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03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010201002001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94A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铺设土工合成材料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E29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花池覆盖防草坪垫子，做法满足甲方需求，按实结算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34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0E4F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366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EE8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BD6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D818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493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7B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050102012001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477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铺种草皮</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5D3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满铺天堂草草坪，做法满足甲方需求，按实结算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6FD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F4A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320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E683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3BA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32CF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ED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C22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050102012002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F25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铺种草皮</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F60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铺种草坪，做法满足甲方需求，按实结算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9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BC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5B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CE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DC79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2483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FC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298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五</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0CD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交通设施</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B63AC">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0A268">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8CCE1">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82822">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E836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10311.64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2D7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3B9C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F2F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6B7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248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砼设备基础</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85DF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砼设备基础，地坑开挖、浇筑C30混凝土（含模板综合）、余方处置，按实计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09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3D6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B55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691.34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140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691.34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C17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9779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1D8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59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DAC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警示防护桩</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78B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警示防护桩安装，人工、材料、机械等全部工序，按实计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01D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A83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1F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E6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AE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2872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64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A8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4AA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交通标志牌</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09B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更换800*1000mm交通标志牌（材料及做法同原牌），人工、材料、机械、运输、安装等除基础外的全部工序，按实计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DF5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5B8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679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871.86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672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871.86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0EC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0840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4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BB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EB7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交通标志牌</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1AD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更换700*900警示牌（材料及做法同原牌），人工、材料、机械、运输、安装等除基础外的全部工序，按实计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D6F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04F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6000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697.48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D9FF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697.48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C258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6BEF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BFE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92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F38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交通标志牌</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06B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安装800*840指路牌（材料及做法同原牌），人工、材料、机械、运输、安装等除基础外的全部工序，按实计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CE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C9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455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755.61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3A2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755.61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126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550C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E4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C8E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813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交通标志牌</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6BA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安装1460*1160指路牌（材料及做法同原牌），人工、材料、机械、运输、安装等除基础外的全部工序，按实计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2E1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B05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C93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1743.71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BEB7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1743.71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A6E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DD23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1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1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286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交通标志牌</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7D8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安装2500*4000指路牌（材料及做法同原牌），人工、材料、机械、运输、安装等除基础外的全部工序，按实计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C6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524E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FA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2673.68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661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2673.68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460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8D7D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D1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2E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04B019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A33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交通标志牌</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5DA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安装800让行标志牌，立杆高2.5米DN80镀锌钢管（材料及做法同原牌），人工、材料、机械、运输、安装等除基础外的全部工序，按实计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E09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2BF2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797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674.23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E7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674.23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50D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57B9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442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48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9CB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更换路灯灯头</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7ED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更换路灯包及配件，人工、材料、机械等全部工序，按实计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B0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43AA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F3F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871.86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D2E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871.86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1F3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4C0D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CD0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DD1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040205019001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525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减速带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9BF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更换橡胶减速带，人工、材料、机械等全部工序，按长度计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E6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859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11D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84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33A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9615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AC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320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9F64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电缆保护管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D19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φ20PVC助燃管，按长度计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41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82B7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21E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19.39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A99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19.39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F68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5DBC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4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3F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451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电缆保护管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54C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φ30PVC助燃管，按长度计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E6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467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432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24.63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A15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24.63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2B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F5A2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FC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BA0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040205002003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F62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电缆保护管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49B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MPP穿线管，DN100管，按长度计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44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0873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1C8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97.42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DD2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97.42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93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E534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680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20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C76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90E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路灯导线5芯铝芯电缆敷设(截面35mm2)，按长度计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D4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25C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909A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87.48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C5A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87.48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491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8C94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7D7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2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031103009001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DA4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电缆</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F61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3*10m2国标铜芯电缆，按长度计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19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9ED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98E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41.05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630C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41.05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78E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77C3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0B6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04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040205016001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D4D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管内配线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1DB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3*2.5m2三芯电缆，按长度计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04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53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3C2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949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0D6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D5A6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0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EF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030411004002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6D7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3DD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更换监控电线管、电线，按长度计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C7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851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251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D5D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E7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1182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9C0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BE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030411004003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F15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07E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路灯导线 WDZB-YJY-2*16，按长度计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21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8C6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0ED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63.01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6CB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63.01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C9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4038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8F2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47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030411004004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BF2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C57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管内穿绝缘导线 WDZBN-YJY-4*6，按长度计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6AB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FC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8CB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64.96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71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64.96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C5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E4F8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B7E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5E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040205009001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69B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清除标线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931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清除标线，按实计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273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713A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704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87.31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C402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87.31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89D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0BD4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CC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70E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37C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40E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热熔型标线,按实漆面积计量</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6B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9E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A3D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81.38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ECA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81.38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9E2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4CB2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79B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3D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040205007001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158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标记</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C75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文字标记 热熔漆，按实计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FBA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6D2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2A4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374.23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DC0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374.23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142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CE8A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E1D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EF6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732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房屋维修改造</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97B49">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F99D5">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042A1">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4C793">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2A0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27787.23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F06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65DD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D53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3CE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010902001001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8F1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屋面卷材防水</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79D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基层处理剂一道，屋面及天沟3厚SBS卷材防水、冷底子油一道，按面积计算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8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6E8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2DC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62.41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DEAE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62.41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059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DF0B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5FC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5D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010902001002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02E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卷材防水</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CF7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基层处理剂一道，热熔满铺4厚SBS改性沥青防水卷材一道，按面积计算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4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89D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2C12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77.62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B771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77.62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D90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4356F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27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82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010904002001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E11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涂膜防水</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F7F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1.5厚聚氨酯防水，按面积计算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A5F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2F6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38BA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51.79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591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51.79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D1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24DF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4F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387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010904002002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CA8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涂膜防水</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569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1.5厚JS防水涂料，按面积计算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058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D89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2E3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29.13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7DF9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29.13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59F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7E6B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CF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57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010902004001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77A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屋面排水管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6C1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屋面PVCΦ100排水管维修，按实结算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BB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84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95B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38.63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7D5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38.63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52A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E38A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381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F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010902004002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DEC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屋面排水管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E28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更换PVC水斗屋面排水Φ100，按实结算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17B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F30C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184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43.96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D91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43.96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4F1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1E51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D51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26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010902008001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15E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变形缝</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FDD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立面变形缝维修，类型综合考虑，采用0.8厚不锈钢盖板，做法满足甲方需求，按实结算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E27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273D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373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61.35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7D0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61.35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CA12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C438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7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B3C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965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混凝土漏点打孔注浆</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4DD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混凝土漏点打孔注聚氨酯防水处理，按注浆点数计算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C8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EE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EB2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37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92F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0D92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F3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5F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699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混凝土漏点打孔注环氧树酯防水处理</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04C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混凝土漏点打孔注环氧树酯防水处理，按混凝土裂缝长度计算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9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F38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5F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464.98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C57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464.98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7D1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DEA5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B6C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860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010401003001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38E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实心砖墙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7C6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M5混合砂浆砌筑混凝土砖墙，砌体规模综合考虑，按体积计算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AB7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0F2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90A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968.80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BF8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968.80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BA5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BF51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87C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6D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010507007001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1BD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柱梁及其他构件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B0E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C30商品砼现浇混凝土构件，柱梁综合考虑，含模板安拆混凝土浇筑养护全部内容，按体积计算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5B0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35A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750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1451.34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4B1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1451.34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3AB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6ED2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BD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F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010507007002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83A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柱梁及其他构件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C10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C35商品砼现浇混凝土构件，柱梁综合考虑，含模板安拆混凝土浇筑养护全部内容，按体积计算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AD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8B47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DCC8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1465.17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279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1465.17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DF46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34CE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A5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D34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010515001001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A360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现浇构件钢筋</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346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钢筋制作安装、含植筋等，规格综合考虑，按实计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0D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CA6D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FE4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6484.67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AD6E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6484.67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34A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4345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C7F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72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011204004001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5F7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钢骨架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BDB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热镀锌钢骨架制作安装，焊接处防锈处理，按实计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78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018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B1F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10801.00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7D3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10801.00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97A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55BD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1F0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8C2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8B6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细石混凝土楼地面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23A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50厚C25细石混凝土找平层，按面积计算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4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63F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5EC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30.83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ECA0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30.83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876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078B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66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99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011101006001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B74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平面砂浆找平层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2B1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20厚1：3水泥砂浆找平层，按面积计算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F7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519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727C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B071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75E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F652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5C0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81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011102003001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82C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块料楼地面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EC3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楼地面干硬性水泥砂浆结合层粘贴地砖面（砖规格品牌、砂浆厚度综合），按面积计算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9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E96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575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097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9CD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E561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29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A9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011105003001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153A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块料踢脚线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163A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成品地砖踢脚线粘贴（砖规格品牌、砂浆厚度综合），按面积计算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02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3E6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7CB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140.76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3F2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140.76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BA3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EEB0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C6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2A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816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墙砖、地砖美缝</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FCA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墙、地砖美缝，按面积计算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0C2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AE7A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774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EF92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007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BD11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B34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A8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011201001001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0CB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墙面一般抹灰</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577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新砌墙抹灰，界面剂一道，12厚1:2水泥砂浆底，8厚1:3水泥砂浆面，按面积计算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F3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616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EFB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AAE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39.80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67B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E10C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B9C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10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011201001002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0858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墙面一般抹灰</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4FE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内外墙面基础修补，切割清理损坏墙面，水泥砂浆面粉刷，做法满足甲方需求，按修补面积计算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B5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47B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DCB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F9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DCC3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B8FF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3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F4F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011204003001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E9C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块料墙面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555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墙砖面层水泥砂浆粘贴、白水泥擦缝，瓷砖规格、颜色综合考虑，做法满足甲方需求，按面积计算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51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2B03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CA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159.08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041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159.08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783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E590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DFA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C5E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011204003002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645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块料墙面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3CC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内墙砖维修，清除松动、损坏内墙砖，重新基层找平、粘贴墙砖，瓷砖规格、颜色综合考虑，做法满足甲方需求，按面积计算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870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B62C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18D0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186.89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946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186.89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8AB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1F39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C12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1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011204001001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0FC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石材墙面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56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石材墙面维修，拆除空鼓掉落石材墙面及基层，重新粘结剂粘贴石材墙面，石材磨边倒角规格颜色综合考虑，按修补面积计算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1D6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54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1AE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1C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055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21BE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20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9A3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011210006001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4BF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隔断</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10D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75轻钢龙骨隔断，按面积计算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15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F41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0BCF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71.64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09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71.64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838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28BB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99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60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011210006002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D8B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隔断</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7A2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隔墙填充75厚防火岩棉，按面积计算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F8B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F1F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16B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56.68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AA0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56.68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D3B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8CCE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563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84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011210006003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6D9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隔断</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5AE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隔墙12厚阻燃板基层，按面积计算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D63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0663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B34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73.32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255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73.32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DD24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D0F8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587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C9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011210006004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01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隔断</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703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隔墙9.5厚纸面石膏板面层，按面积计算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92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BF2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CE02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D7F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42.05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437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81E6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3E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4DD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011210003001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F39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玻璃隔断</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ED7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玻璃隔断，玻璃12厚钢化玻璃，框架:热镀锌钢骨架，18厚阻燃板基层，外包1.0厚不锈钢板，按垂直投影面积计算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34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0B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B16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650.99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F34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650.99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6CB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5AF0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7E9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51C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011207001001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E33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墙面装饰板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D0F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10厚竹木纤维集成墙板饰面，含基层龙骨及挂件，颜色有甲方确定，按面积计算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D8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64C7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3A9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060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B5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444D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E4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9A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011207001002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EAC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墙面装饰板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C3B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5厚免漆板木饰面，颜色有甲方确定，按面积计算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70D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5D6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46B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102.81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609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102.81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95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7875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A1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E1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011207001003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1A4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墙面装饰板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1A6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室内墙面1.0304不锈钢板饰面，含折边加工，颜色综合考虑，按可视面积计算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154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86B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F0E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271.66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7C20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271.66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3B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9CB7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09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06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3C1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854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新砌墙面，白水泥腻子两遍，无机涂料两遍，按面积计算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295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B81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DEA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7797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817A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3AC1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55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BB0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3AE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EB1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室内墙面局部修补腻子，满墙面刷内墙乳胶漆出新，颜色由甲方确定，做法满足甲方需求，按涂料面积计算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0A7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D63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C8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A10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A08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B199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17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F0D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011407001003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2AA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63B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外墙面局部耐水腻子修补，外墙涂料出新，颜色由甲方确定，做法满足甲方需求，按修补面积计算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8B7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0C6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FF1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34.87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C9F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34.87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6A5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7CDE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3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A6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011407001004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5DB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33B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新砌墙面，外墙涂料一底二面 ,批抗裂腻子、基层刷建筑胶一道，按面积计算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FC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1F47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289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37.20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832A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37.20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741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2F8C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8D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33B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011407001005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DA2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ECC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外墙真石漆修补，颜色由甲方确定，做法满足甲方需求，按修补面积计算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0F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05E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DB4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81.38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90D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81.38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31F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9ECF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15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BD6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011407001006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C0D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1EF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石膏板墙面，钉眼防锈处理、接缝自粘胶带、批白水泥腻子两遍、无机涂料两遍，颜色由甲方确定，按面积计算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EC6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C1D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41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1A89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5E7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E79C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9AA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98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011404007001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C5B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其他木材面</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C34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木构件油漆三遍（内掺色精调色）、满批腻子、原木构件基层清理，按面积计算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A5C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A7A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66B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B5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052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DA97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CF7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2E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328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吊顶天棚</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E3F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拆除破损石膏板吊顶，重新安装石膏板面层，按面积计算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513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7117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A649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60B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48.89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8F3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A3C7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2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F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1B2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吊顶天棚</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8FD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新增石膏板吊顶，含吊筋、轻钢龙骨、单层9.5厚石膏板面层，按面积计算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66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AF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95F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134.66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FE18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134.66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30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680E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609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E10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EC4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吊顶天棚</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1A9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新增天棚铝合金检修口450*450，做法满足甲方需求，按实计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DE6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1A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0AD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114.35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98F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114.35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13B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7803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B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382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491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吊顶天棚</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FD8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新增吊顶空调风口导流板、挡风板，规格综合考虑，做法满足甲方需求，按实计</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47B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5D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6FDB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116.25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21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116.25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D5F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6A714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6B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178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80C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吊顶天棚</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6CF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更换集成铝板吊顶，含配套龙骨，集成铝板规格颜色综合考虑，做法满足甲方需求，按面积计算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05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C47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970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173.44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42F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173.44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5B5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B8CE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180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1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011302001006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198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吊顶天棚</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983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矿棉板吊顶，含配套龙骨，15厚矿棉板厚度颜色综合考虑，做法满足甲方需求，按面积计算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FD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FD5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49E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885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DA12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2662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58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26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E1E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天棚喷刷涂料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35B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天棚石膏板面钉眼防锈处理、接缝自粘胶带、批白水泥腻子两遍、无机涂料两遍，颜色由甲方确定，按面积计算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F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5D19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50A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F06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97E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5E65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C2B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B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011407002002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63C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天棚喷刷涂料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288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天棚面局部修补腻子，刷内墙乳胶漆出新，颜色由甲方确定，做法满足甲方需求，按面积计算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F5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75A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B6E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B938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894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9353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F6F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AC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041104003001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06A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彩钢板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9C3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屋面、墙面单层彩钢板维修，做法满足甲方需求，按面积计算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C83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DF3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724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58.53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5FB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58.53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508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8F77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602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E7C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010802001001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95A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金属（塑钢）门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703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不锈钢玻璃门（含门锁及配件，材质综合），按实结算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766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A8F5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A0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650.99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FE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650.99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616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BDE3C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73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FCD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010802001002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00E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金属（塑钢）门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9B1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铝合金门（含门锁及配件，材质综合），按实结算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9E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E93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E43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441.74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CF1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441.74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817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8AB8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4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68A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010807001001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9F5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金属（塑钢、断桥）窗</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231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普通铝合金窗（含配件，材质综合），按实结算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D6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A9E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10C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220.87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FCD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220.87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736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1C54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C9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77B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010807004001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E64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金属纱窗</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432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普通铝合金金刚纱窗（含配件，材质综合），按实结算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DF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CDF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B06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156.93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3026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156.93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9B9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4B09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52B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E5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46D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彩钢板围挡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ABD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彩钢板围挡，方管支架，单面彩钢板，做法满足甲方需求，按面积计算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852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DEE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D670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127.87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32AB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127.87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87B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B9D3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05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98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20F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浸塑钢丝网围栏</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406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浸塑钢丝网围栏2.5高、含基础，做法满足甲方需求，按长度计算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CC7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CF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6C2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EAC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FBBA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C6D0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06E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57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七</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7AC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水电安装维修改造</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445E7">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0880">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34F1">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119F2">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5847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6788.90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B0E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9E44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3B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2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D52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洗脸盆</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F59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陶瓷洗脸盆更换（台下盆、规格型号综合考虑），做法满足甲方需求，按实结算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73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D15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5B9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536.17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B048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536.17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89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82E8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0C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B3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6C0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DF5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洗脸盆下水口(铜)更换（规格型号综合考虑），做法满足甲方需求，按实结算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771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A8B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9A89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6A6F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60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1F61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34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DC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9A0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1B8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洗脸盆配套扳把式脸盆水嘴更换（规格型号综合考虑），做法满足甲方需求，按实结算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59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2D3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267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40F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44C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855B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6A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D4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031004004001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144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洗涤盆</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2AF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拖把池更换（规格型号综合考虑），做法满足甲方需求，按实结算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94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65C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4B4F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243.85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E433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243.85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398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E794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C5E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0B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EAC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F6F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拖把池加长水龙头更换（规格型号综合考虑），做法满足甲方需求，按实结算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47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386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C63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3E3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40.51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574E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0BE8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608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9D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566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大便器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5FC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低位水箱蹲便器水箱更换（规格型号综合考虑），做法满足甲方需求，按实结算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8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30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7DC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8B6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D0B3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50E3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595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7F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031004006002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DE6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大便器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26B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蹲便陶瓷器更换（规格型号综合考虑），做法满足甲方需求，按实结算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0FA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D00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93C3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486.18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294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486.18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E20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451A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45B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A54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BB4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B7F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手压阀式蹲便器手压阀更换（规格型号综合考虑），做法满足甲方需求，按实结算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B6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FA8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973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209.25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5AA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209.25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5E2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FC88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23D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7F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031004006003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8DC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大便器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4F7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连体式坐便器更换（规格型号综合考虑），做法满足甲方需求，按实结算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87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7E3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F51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1000.50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40E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1000.50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AD6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58AA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87C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29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031004007001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1EE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小便器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46B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带感应小便器感应冲洗阀更换（规格型号综合考虑），含冲水配件，做法满足甲方需求，按实结算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5F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003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9FD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394.40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01A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394.40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A42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6AF4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FFA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69C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031004007002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7C5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小便器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97F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带感应小便器更换（规格型号综合考虑），含下水配件等，做法满足甲方需求，按实结算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C4D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组</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50C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DE6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175.73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F2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175.73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C2D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48F1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89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70A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1F0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3A9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连体式坐便器连体进水阀配件更换（规格型号综合考虑），做法满足甲方需求，按实结算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2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84D9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C37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B0E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404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29AC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D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AA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A08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274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连体式座便器桶盖更换（规格型号综合考虑），做法满足甲方需求，按实结算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1F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86E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1C3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1B84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3AA8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84AA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72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F5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7BD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237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连体排水口配件更换（规格型号综合考虑），做法满足甲方需求，按实结算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3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C6BA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4C9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705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FED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8F5E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9AB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43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14D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158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角阀更换（规格型号综合考虑），做法满足甲方需求，按实结算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3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A34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A065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76.96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165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76.96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68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A5C7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C7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9C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031004014009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854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F2A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卫生洁具金属软管更换，规格型号综合考虑，做法满足甲方需求，按实结算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656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C8D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01D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34.87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51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34.87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EEAC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6932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7F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75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031004010001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599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淋浴器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C88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花洒喷头更换（规格型号综合考虑）规格尺寸颜色与原来的一致，做法满足甲方需求，按实结算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CC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30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0A1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3C3F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5AEA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A8CC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DF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7AF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031004014010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D16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给、排水附(配)件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280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地漏更换（规格型号综合考虑）规格尺寸颜色与原来的一致，做法满足甲方需求，按实结算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DCB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E34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B66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48.39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9B2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48.39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740E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70F4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785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16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031003001001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278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螺纹阀门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11B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水阀更换（规格型号综合考虑），做法满足甲方需求，按实结算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5E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AE4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22F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54.50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13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54.50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F9C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C2AB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759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4E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A53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3D2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给排水管道维修（埋墙式），含渗漏点排查、切割墙体、刨沟、抹砂浆保护层等全部工作内容，做法满足甲方需求，按实结算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3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60E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332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116.25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B1E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116.25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17E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3276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B38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C22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1A4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636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给排水管道维修（埋地式），含渗漏点排查、破路、土方开挖回填等全部工作内容，做法满足甲方需求，按实结</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B25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处</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6B9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2B5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174.38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837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174.38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257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9B0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F1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F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D1A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2BA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室内给水PP-R管DN15，热熔连接含管件，管道消毒、清洗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971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BD9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54B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EE3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61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B3AA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B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D7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EFB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A33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室内给水PP-R管DN20，热熔连接含管件，管道消毒、清洗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2FD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113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1C2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E9D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4F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0F2F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15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22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940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B24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室内给水PP-R管DN25，热熔连接含管件，管道消毒、清洗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4A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EFE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6C3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42.33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A13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42.33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6669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0782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0E8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D4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840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E3A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室内给水PP-R管DN32，热熔连接含管件，管道消毒、清洗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CDE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344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514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54.75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E73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54.75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40C0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F1D4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BF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51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031001006007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8BC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塑料管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2FF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室内给水PP-R管DN40，热熔连接含管件，管道消毒、清洗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36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CF9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B57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74.92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90A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74.92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001D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7CE7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0A6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BB0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582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凿（压）槽</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9AD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给水管敷设墙地面开槽DN20以内</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CB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F87D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9CA4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0BF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F943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F2C3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B4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C3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030413002002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0AC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凿（压）槽</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2C6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给水管敷设墙地面开槽DN32以内</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8E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DA3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96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518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F6D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E982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B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45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030404017001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6C6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35C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小型配电箱（规格型号综合考虑），做法满足甲方需求，按实结算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5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42D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907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648.42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654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648.42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DB4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5F59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F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9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6D0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0DB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砖混凝土结构暗配 , Φ20PC管 （含开、补槽），做法满足甲方需求，按实结算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535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EFE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6FA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99F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5C0E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2494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D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9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959C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DE4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砖混凝土结构暗配 , Φ25PC管 （含开、补槽），做法满足甲方需求，按实结算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D9F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B7D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DE1A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6D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D12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8370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6E0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E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030411004005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B9D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8C3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管内穿线BV-2.5mm2，做法满足甲方需求，按实结算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7B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4D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6BE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6E59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3A6E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58E0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22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7D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030411004006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813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203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管内穿线BV-4mm2，做法满足甲方需求，按实结算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197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83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09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44A2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ED6D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771C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D5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B87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1CB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小电器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31A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无端子外部接线2.5，做法满足甲方需求，按实结算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91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06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E0B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9D8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9C8E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7E66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BD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D32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258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小电器</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102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无端子外部接线4/6，做法满足甲方需求，按实结算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3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D2D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8A41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D31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3DF4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19574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C6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0B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EAC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普通灯具</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746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吸顶灯更换（规格型号综合考虑），含拆装，做法满足甲方需求，按实结算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38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64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90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209.90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4FD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209.90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5674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3BD9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853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1E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030412005001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CA9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荧光灯</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0D7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日光灯更换（规格型号综合考虑），做法满足甲方需求，按实结算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BAC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AF0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A12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121.60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1A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121.60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E4E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2D24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8AE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6B8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030404034001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10F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照明开关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33A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扳式单联单控开关，做法满足甲方需求，按实结算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4F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95C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254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24.82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162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24.82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5EE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F8D1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4F3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A08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030404034002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531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照明开关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C77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扳式双联单控开关，做法满足甲方需求，按实结算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53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91A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DF5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31.21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C4E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31.21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31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CEE2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8F1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C54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030404034003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D72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照明开关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116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扳式三联单控开关，做法满足甲方需求，按实结算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5E2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5C47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349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36.41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1FDF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36.41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28E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7B24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74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F7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030404035001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66B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插座</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95F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单相五孔插座，做法满足甲方需求，按实结算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98E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3E6B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1B19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31.61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F6B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31.61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317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D1DE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44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61A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030404035002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E4E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插座</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142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空调插座，做法满足甲方需求，按实结算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F78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585B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17A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39.67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6698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39.67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776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2664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A3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94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030404035003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4A1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插座</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5AE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金属5孔地插，做法满足甲方需求，按实结算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8D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4E4A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FD7E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176.82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C2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176.82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D5C5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8501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497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80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BBD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12A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86型塑料接线盒，做法满足甲方需求，按实结算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2E3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DBF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CD6F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68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2D4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A5EE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4D7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E1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030411006002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B82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接线盒</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E28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86型塑料开关盒，做法满足甲方需求，按实结算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47D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FA8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16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67B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9C80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385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49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9F9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030412005002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A33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荧光灯</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5C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更换双管格栅灯，型号综合考虑，做法满足甲方需求，按实结算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5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132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9D4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337.07</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2C8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337.07</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940A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E07B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29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200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030412001002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E84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普通灯具</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45B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更换灯泡，型号综合考虑，做法满足甲方需求，按实结算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1A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4D3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14BE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50.16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99D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50.16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5F13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7D09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9B6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5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030404033001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67F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风扇</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7BF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排气扇 自带止回阀(型号及规格见图纸)</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1AF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103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8EE2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232.24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F7F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232.24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00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48D4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3AB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3C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03B001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660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空调移机</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5EF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空调移机，空调机型综合考虑，按实结算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DB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139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299E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0853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3ADE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D50B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98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1D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03B002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593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空调加制冷</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A47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空调加制冷剂，空调机型综合考虑，按实结算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3A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501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FE2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209.25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D7A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209.25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1A53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7642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15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八)</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14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八</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616A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零星维修人工及材料单价</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3EFE7">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454BD">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B4B39">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A6EC8">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A6C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4627.04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14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006E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70E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FC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040601018001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8D4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预制混凝凝土板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777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成品空心楼板制作（购入空心板500*120）、运输、安装等全部内容，按长度计算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B6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EFB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B4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58.05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4A5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58.05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B85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2196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58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36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040601018002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B0C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预制混凝凝土板</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DFE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成品预制混凝凝土板制作（含钢筋模板）、运输、安装等全部内容（运距及机具综合），按长度计算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AB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81D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6C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1859.95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EC9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1859.95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EBA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5824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18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7B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221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433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更换不锈钢门锁，按实结算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46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D990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DA6E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116.25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7002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116.25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A79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88FC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B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C6E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0CA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345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更换5玻璃，按实结算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F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D0E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CF61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63.12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12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63.12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4EF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F79E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937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14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8B0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6A87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更换10厚钢化玻璃，按实结算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17C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C25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E34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AB4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120.99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2F5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1857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47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B48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7EA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D22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更换12厚钢化玻璃，按实结算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77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B844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6D98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157.82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03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157.82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D53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EA5E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83B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507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C9C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F56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更换双层夹胶钢化玻璃，按实结算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376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A332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6C79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209.25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909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209.25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DAB4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C1A2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30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A97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FD6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0E9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钢板租赁费用，按实结算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D72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t.日</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356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7B6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97D6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D53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E363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3E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5F4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04B029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5DF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DC6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埋地安装50PVC管，按实结算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5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3E2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BA6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1848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458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EF0A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47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7F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31C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7C7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埋地安装75PVC管，按实结算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4A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B66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CC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73C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CB8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ECCB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BE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99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95F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B6B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更换漏电保护断路器，按实结算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AD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6E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0456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B5B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139.50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64D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CEFA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A3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895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522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7E5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更换浮球阀</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3A8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000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A26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174.38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5DF8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174.38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225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9707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953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8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BDA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54E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钢护栏立柱铸铁300*400基座，按实结算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59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054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FFC9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D2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055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DEC8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DA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7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CFD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E87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钢护栏立柱高1.2米，按实结算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A4B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CA6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16B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FB3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151.12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2FB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B1A9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549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B77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E689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F1D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覆盖9针绿色防尘网，按实结算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07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6F16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F9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202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200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2FB4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FD6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67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300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11F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广告牌、联系牌（材质规格综合全部内容），按牌面积计算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1E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8E3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C2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406.86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3D5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406.86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74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7E2D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9F0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73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2D39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79F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电箱盖板，按实结算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9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9FC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D91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69.75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85E3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69.75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693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3ECA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9D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B5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9EE6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75E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零星维修材料（32.5级袋装水泥），按实结算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FE8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1990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4917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289.33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13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289.33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17C3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ED97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DBB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F5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04B039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A353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中砂</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462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零星维修材料（中砂），按实结算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E88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A25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8D5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155.50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1948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155.50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3113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6954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6BF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9A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298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碎石</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D5B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零星维修材料（碎石），按实结算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882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4BD9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017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111.73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DA1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111.73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C32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6DE9B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E7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85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1EB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标准砖</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2BE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维修材料（砼标准砖240×115×53综合），按实结算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65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百块</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31C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638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103.46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A20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103.46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EA6D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0E900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BFC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B8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65C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墙面、楼地面开孔</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5D4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墙面、楼地面开孔，φ200mm内，结构实体、孔长综合考虑，按实结算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DE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F78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4A75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B443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93.00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26F2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DBA8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E89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333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1D4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零星点工</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982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零星维修点工（工种类别综合考虑、含小型机具使用费用），8小时为一个工日，不足4小时按0.5工日计算，按实结算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4B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工日</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D2CC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0A0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158.10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D8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158.10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20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9AEB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95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九)</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8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九</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7C2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C231C">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6FCFD">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4C81E">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BA646">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763C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108.91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A60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9A1E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C5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5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011701002001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375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028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外用钢管脚手架，按墙面垂直投影面积计算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A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5F0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B8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70D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0EFB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B9C1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DC1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4F0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011701002002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C02F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外脚手架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E0C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移动式脚手架，按墙面垂直投影面积计算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A87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C91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EDD9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000D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AC1E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7F75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C1E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0A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011701003001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930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里脚手架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882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砌墙脚手架，高3.6m以内，按投影面积计算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176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C3B5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78C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0C13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87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515B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EE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7D1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011701003002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7D5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里脚手架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2F9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抹灰脚手架，高3.6m以内，按投影面积计算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6A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BB2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297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459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237A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7B4D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27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C3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011701003003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BCC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里脚手架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E60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抹灰脚手架，高超过3.6m在 5m以内，按投影面积计算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064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758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3FF7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3093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9BA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DC69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91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C9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011701003004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89C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里脚手架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1751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抹灰脚手架，高超过3.6m在 12m以内，按投影面积计算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7C6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7CB4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D00E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264D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7C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756A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147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135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011701006001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A57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满堂脚手架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3D7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高度3.6~5.0m满堂脚手架，按水平投影面积计算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E7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14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19EB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25.40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48E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25.40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07C8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50C1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092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27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011701006002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F30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满堂脚手架</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B3E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高度5.0~8.0m满堂脚手架，按水平投影面积计算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93C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AD1F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8A8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31.96</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28D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31.96</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098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6384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0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A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041104003002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970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施工护栏</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369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钢制护栏，施工护栏高度1.2米以上，按实结算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7D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m.天</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251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C149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0BF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00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565D2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B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十)</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DD6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十</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BB5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大型机械设备</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7A862">
            <w:pPr>
              <w:jc w:val="left"/>
              <w:rPr>
                <w:rFonts w:hint="eastAsia" w:ascii="宋体" w:hAnsi="宋体" w:eastAsia="宋体" w:cs="宋体"/>
                <w:i w:val="0"/>
                <w:iCs w:val="0"/>
                <w:color w:val="000000"/>
                <w:sz w:val="20"/>
                <w:szCs w:val="20"/>
                <w:u w:val="none"/>
              </w:rPr>
            </w:pP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8409D">
            <w:pPr>
              <w:jc w:val="center"/>
              <w:rPr>
                <w:rFonts w:hint="eastAsia" w:ascii="宋体" w:hAnsi="宋体" w:eastAsia="宋体" w:cs="宋体"/>
                <w:i w:val="0"/>
                <w:iCs w:val="0"/>
                <w:color w:val="000000"/>
                <w:sz w:val="20"/>
                <w:szCs w:val="20"/>
                <w:u w:val="none"/>
              </w:rPr>
            </w:pP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21E27">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66261">
            <w:pPr>
              <w:jc w:val="right"/>
              <w:rPr>
                <w:rFonts w:hint="eastAsia" w:ascii="宋体" w:hAnsi="宋体" w:eastAsia="宋体" w:cs="宋体"/>
                <w:i w:val="0"/>
                <w:iCs w:val="0"/>
                <w:color w:val="000000"/>
                <w:sz w:val="20"/>
                <w:szCs w:val="20"/>
                <w:u w:val="none"/>
              </w:rPr>
            </w:pP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4E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16568.61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61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3CAB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922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6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6756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水泵抽水</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5AC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水泵抽水（水泵大小综合），按实结算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49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6C2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A9B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107.05</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9870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107.05</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105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53AC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6E8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A25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48A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小型发电机</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DA8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小型汽油、柴油发电机，按实结算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BA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DE2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3136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503.18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5EA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503.18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183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6B8C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F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1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5BD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挖掘机</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81D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挖掘机(液压);斗容量0.6m3，按实结算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917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92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438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1085.40</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A09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1085.40</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64C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5101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832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510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04B047</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1A3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挖掘机</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33C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挖掘机(液压);斗容量1m3，按实结算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31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A9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6F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1948.31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13D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1948.31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7A3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23BE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99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C5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04B048</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14C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履带式推土机</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9D2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履带式推土机平整场地，按实结算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10B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AF9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0AF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1275.43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8C40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1275.43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73D7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C3A8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C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A65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04B049</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846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汽车吊</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B72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5T汽车吊，按实结算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D4D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7878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7E63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765.74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BC2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765.74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09A2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0872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06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D9F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04B050</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030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汽车吊</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E00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25T汽车吊，按实结算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6D8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0483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32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1703.91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EEEC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1703.91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BD0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ED55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5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256</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3C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04B051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4D3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轮胎式装载机</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D74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轮胎式装载机，按实结算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022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B4C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A94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819.31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16B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819.31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61FF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72C1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CE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257</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6B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04B052</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3A0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小型载货车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5F6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小型载货车（2t内车），按实结算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2C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EF35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E4E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548.03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36F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548.03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35DA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9012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C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258</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B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04B053</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A31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AEE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自卸汽车4t，按实结算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20C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C102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DB54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760.83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086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760.83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201B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197B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1A1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259</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0C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04B054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79F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01F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自卸汽车8t，按实结算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A7D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C38D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CE2F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938.11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7996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938.11</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DA2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2306E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159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48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04B055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B01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303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自卸汽车10t，按实结算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61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15DD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07EF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1254.48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A8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1254.48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854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34381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18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261</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0C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04B056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276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5E8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自卸汽车12t，按实结算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8B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F40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C855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1339.94</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2C9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1339.94</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E84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84BE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81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262</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F1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01B004</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874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管道专业疏通</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EB9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污水管道专业疏通，按实结算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5BD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EA65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9788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814.89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D5D8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814.89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23E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7D2A4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3C1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89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01B005</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316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吸污车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2C7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吸污车（10.3m3），含吸污、外运、弃置（运距及处置施工自行考虑），按实结算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7DD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车</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B91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23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826.69</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5EF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826.69</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6499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40536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C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264</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BF6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01B006</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609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高空作业车</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68E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曲臂升降平台车（高空作业车，提升高度综合），按实结算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D5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台班</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E580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BBF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1296.08</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65A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1296.08</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E74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r w14:paraId="1CC85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24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1D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265</w:t>
            </w:r>
          </w:p>
        </w:tc>
        <w:tc>
          <w:tcPr>
            <w:tcW w:w="6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D00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041106001001</w:t>
            </w:r>
          </w:p>
        </w:tc>
        <w:tc>
          <w:tcPr>
            <w:tcW w:w="7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95A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大型机械设备进出场及安拆</w:t>
            </w:r>
          </w:p>
        </w:tc>
        <w:tc>
          <w:tcPr>
            <w:tcW w:w="119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36A3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各类大型机械进退场费综合考虑，按各施工区域各类大型机械计一次包干使用（轮胎式自行机械，如小型汽吊、吸污车等不计），按实结算</w:t>
            </w:r>
          </w:p>
        </w:tc>
        <w:tc>
          <w:tcPr>
            <w:tcW w:w="2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7BB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次</w:t>
            </w:r>
          </w:p>
        </w:tc>
        <w:tc>
          <w:tcPr>
            <w:tcW w:w="3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BCAC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F45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581.23</w:t>
            </w:r>
          </w:p>
        </w:tc>
        <w:tc>
          <w:tcPr>
            <w:tcW w:w="5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2846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581.23</w:t>
            </w:r>
          </w:p>
        </w:tc>
        <w:tc>
          <w:tcPr>
            <w:tcW w:w="4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3B53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0.00</w:t>
            </w:r>
          </w:p>
        </w:tc>
      </w:tr>
    </w:tbl>
    <w:p w14:paraId="0C21CE5B">
      <w:pPr>
        <w:pStyle w:val="453"/>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p>
    <w:p w14:paraId="3D60861E">
      <w:pPr>
        <w:pStyle w:val="453"/>
        <w:keepNext w:val="0"/>
        <w:keepLines w:val="0"/>
        <w:pageBreakBefore w:val="0"/>
        <w:widowControl w:val="0"/>
        <w:numPr>
          <w:ilvl w:val="0"/>
          <w:numId w:val="0"/>
        </w:numPr>
        <w:spacing w:line="440" w:lineRule="atLeas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b/>
          <w:bCs w:val="0"/>
          <w:color w:val="000000" w:themeColor="text1"/>
          <w:sz w:val="24"/>
          <w:szCs w:val="24"/>
          <w:highlight w:val="none"/>
          <w14:textFill>
            <w14:solidFill>
              <w14:schemeClr w14:val="tx1"/>
            </w14:solidFill>
          </w14:textFill>
        </w:rPr>
        <w:t>采购标的对应的中小企业划分标准所属行业一览表</w:t>
      </w:r>
    </w:p>
    <w:tbl>
      <w:tblPr>
        <w:tblStyle w:val="29"/>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22EA7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1EFDB444">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4710" w:type="dxa"/>
            <w:noWrap w:val="0"/>
            <w:vAlign w:val="center"/>
          </w:tcPr>
          <w:p w14:paraId="27CBFA0B">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采购标的</w:t>
            </w:r>
          </w:p>
        </w:tc>
        <w:tc>
          <w:tcPr>
            <w:tcW w:w="4358" w:type="dxa"/>
            <w:noWrap w:val="0"/>
            <w:vAlign w:val="center"/>
          </w:tcPr>
          <w:p w14:paraId="08B74772">
            <w:pPr>
              <w:keepNext w:val="0"/>
              <w:keepLines w:val="0"/>
              <w:pageBreakBefore w:val="0"/>
              <w:widowControl w:val="0"/>
              <w:spacing w:line="440" w:lineRule="atLeast"/>
              <w:ind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对应中小企业划分标准所属行业</w:t>
            </w:r>
          </w:p>
        </w:tc>
      </w:tr>
      <w:tr w14:paraId="1EC7E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52282C7C">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4710" w:type="dxa"/>
            <w:noWrap w:val="0"/>
            <w:vAlign w:val="center"/>
          </w:tcPr>
          <w:p w14:paraId="59A1BA38">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集镇零星维修费率招标</w:t>
            </w:r>
          </w:p>
        </w:tc>
        <w:tc>
          <w:tcPr>
            <w:tcW w:w="4358" w:type="dxa"/>
            <w:noWrap w:val="0"/>
            <w:vAlign w:val="center"/>
          </w:tcPr>
          <w:p w14:paraId="5600B705">
            <w:pPr>
              <w:keepNext w:val="0"/>
              <w:keepLines w:val="0"/>
              <w:pageBreakBefore w:val="0"/>
              <w:widowControl w:val="0"/>
              <w:spacing w:line="440" w:lineRule="atLeast"/>
              <w:ind w:firstLine="0"/>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建筑业</w:t>
            </w:r>
          </w:p>
        </w:tc>
      </w:tr>
    </w:tbl>
    <w:p w14:paraId="2E17A9C4">
      <w:pPr>
        <w:pStyle w:val="453"/>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4"/>
          <w:szCs w:val="24"/>
          <w:highlight w:val="none"/>
          <w:lang w:eastAsia="zh-CN"/>
          <w14:textFill>
            <w14:solidFill>
              <w14:schemeClr w14:val="tx1"/>
            </w14:solidFill>
          </w14:textFill>
        </w:rPr>
      </w:pPr>
    </w:p>
    <w:p w14:paraId="35BD4DAB">
      <w:pPr>
        <w:pStyle w:val="453"/>
        <w:keepNext w:val="0"/>
        <w:keepLines w:val="0"/>
        <w:pageBreakBefore w:val="0"/>
        <w:widowControl w:val="0"/>
        <w:numPr>
          <w:ilvl w:val="0"/>
          <w:numId w:val="0"/>
        </w:numPr>
        <w:spacing w:line="440" w:lineRule="atLeast"/>
        <w:jc w:val="both"/>
        <w:rPr>
          <w:rFonts w:hint="eastAsia" w:ascii="宋体" w:hAnsi="宋体" w:eastAsia="宋体" w:cs="宋体"/>
          <w:b/>
          <w:bCs w:val="0"/>
          <w:color w:val="000000" w:themeColor="text1"/>
          <w:sz w:val="24"/>
          <w:szCs w:val="24"/>
          <w:highlight w:val="none"/>
          <w:lang w:eastAsia="zh-CN"/>
          <w14:textFill>
            <w14:solidFill>
              <w14:schemeClr w14:val="tx1"/>
            </w14:solidFill>
          </w14:textFill>
        </w:rPr>
        <w:sectPr>
          <w:pgSz w:w="11906" w:h="16838"/>
          <w:pgMar w:top="1417" w:right="1134" w:bottom="1417" w:left="1134" w:header="851" w:footer="992" w:gutter="0"/>
          <w:cols w:space="1701" w:num="1"/>
          <w:docGrid w:linePitch="360" w:charSpace="0"/>
        </w:sectPr>
      </w:pPr>
    </w:p>
    <w:p w14:paraId="6E4C3235">
      <w:pPr>
        <w:pStyle w:val="445"/>
        <w:rPr>
          <w:color w:val="000000" w:themeColor="text1"/>
          <w:highlight w:val="none"/>
          <w14:textFill>
            <w14:solidFill>
              <w14:schemeClr w14:val="tx1"/>
            </w14:solidFill>
          </w14:textFill>
        </w:rPr>
      </w:pPr>
    </w:p>
    <w:p w14:paraId="77E16A70">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第五章   合同草案条款</w:t>
      </w:r>
      <w:bookmarkEnd w:id="671"/>
    </w:p>
    <w:p w14:paraId="4C71D37D">
      <w:pPr>
        <w:rPr>
          <w:rFonts w:hint="eastAsia" w:ascii="宋体" w:hAnsi="宋体" w:eastAsia="宋体" w:cs="宋体"/>
          <w:b/>
          <w:bCs/>
          <w:kern w:val="2"/>
          <w:sz w:val="21"/>
          <w:szCs w:val="21"/>
          <w:highlight w:val="none"/>
        </w:rPr>
      </w:pPr>
      <w:bookmarkStart w:id="672" w:name="_Hlk75944811"/>
    </w:p>
    <w:bookmarkEnd w:id="672"/>
    <w:p w14:paraId="1133BBC6">
      <w:pPr>
        <w:spacing w:line="560" w:lineRule="exact"/>
        <w:jc w:val="left"/>
        <w:rPr>
          <w:rFonts w:hint="eastAsia" w:ascii="方正仿宋_GB2312" w:hAnsi="方正仿宋_GB2312" w:eastAsia="方正仿宋_GB2312" w:cs="方正仿宋_GB2312"/>
          <w:b/>
          <w:bCs/>
          <w:sz w:val="28"/>
          <w:szCs w:val="28"/>
        </w:rPr>
      </w:pPr>
      <w:bookmarkStart w:id="673" w:name="_Toc104818930"/>
    </w:p>
    <w:p w14:paraId="03422D8A">
      <w:pPr>
        <w:tabs>
          <w:tab w:val="left" w:pos="900"/>
          <w:tab w:val="left" w:pos="1080"/>
        </w:tabs>
        <w:snapToGrid w:val="0"/>
        <w:spacing w:line="360" w:lineRule="auto"/>
        <w:jc w:val="center"/>
        <w:rPr>
          <w:rFonts w:hint="default" w:ascii="宋体" w:hAnsi="宋体" w:eastAsia="宋体" w:cs="宋体"/>
          <w:b/>
          <w:bCs/>
          <w:kern w:val="2"/>
          <w:sz w:val="36"/>
          <w:szCs w:val="28"/>
        </w:rPr>
      </w:pPr>
      <w:r>
        <w:rPr>
          <w:rFonts w:hint="eastAsia" w:ascii="宋体" w:hAnsi="宋体" w:eastAsia="宋体" w:cs="宋体"/>
          <w:b/>
          <w:bCs/>
          <w:kern w:val="2"/>
          <w:sz w:val="36"/>
          <w:szCs w:val="28"/>
        </w:rPr>
        <w:t>合同协议书</w:t>
      </w:r>
    </w:p>
    <w:p w14:paraId="655E26D8">
      <w:pPr>
        <w:tabs>
          <w:tab w:val="left" w:pos="900"/>
          <w:tab w:val="left" w:pos="1080"/>
        </w:tabs>
        <w:snapToGrid w:val="0"/>
        <w:spacing w:line="360" w:lineRule="auto"/>
        <w:rPr>
          <w:rFonts w:hint="default" w:ascii="宋体" w:hAnsi="宋体" w:eastAsia="宋体" w:cs="宋体"/>
          <w:kern w:val="2"/>
          <w:sz w:val="28"/>
          <w:szCs w:val="28"/>
        </w:rPr>
      </w:pPr>
    </w:p>
    <w:p w14:paraId="35949964">
      <w:pPr>
        <w:tabs>
          <w:tab w:val="left" w:pos="900"/>
          <w:tab w:val="left" w:pos="1080"/>
        </w:tabs>
        <w:snapToGrid w:val="0"/>
        <w:spacing w:line="360" w:lineRule="auto"/>
        <w:rPr>
          <w:rFonts w:hint="default" w:ascii="宋体" w:hAnsi="宋体" w:eastAsia="宋体" w:cs="宋体"/>
          <w:kern w:val="2"/>
          <w:sz w:val="28"/>
          <w:szCs w:val="28"/>
        </w:rPr>
      </w:pPr>
    </w:p>
    <w:tbl>
      <w:tblPr>
        <w:tblStyle w:val="29"/>
        <w:tblW w:w="0" w:type="auto"/>
        <w:jc w:val="center"/>
        <w:tblLayout w:type="fixed"/>
        <w:tblCellMar>
          <w:top w:w="0" w:type="dxa"/>
          <w:left w:w="108" w:type="dxa"/>
          <w:bottom w:w="0" w:type="dxa"/>
          <w:right w:w="108" w:type="dxa"/>
        </w:tblCellMar>
      </w:tblPr>
      <w:tblGrid>
        <w:gridCol w:w="2544"/>
        <w:gridCol w:w="5573"/>
      </w:tblGrid>
      <w:tr w14:paraId="5CE24AD0">
        <w:tblPrEx>
          <w:tblCellMar>
            <w:top w:w="0" w:type="dxa"/>
            <w:left w:w="108" w:type="dxa"/>
            <w:bottom w:w="0" w:type="dxa"/>
            <w:right w:w="108" w:type="dxa"/>
          </w:tblCellMar>
        </w:tblPrEx>
        <w:trPr>
          <w:trHeight w:val="962" w:hRule="atLeast"/>
          <w:jc w:val="center"/>
        </w:trPr>
        <w:tc>
          <w:tcPr>
            <w:tcW w:w="2544" w:type="dxa"/>
            <w:tcBorders>
              <w:top w:val="single" w:color="auto" w:sz="4" w:space="0"/>
              <w:left w:val="single" w:color="auto" w:sz="4" w:space="0"/>
              <w:bottom w:val="single" w:color="auto" w:sz="4" w:space="0"/>
              <w:right w:val="single" w:color="auto" w:sz="4" w:space="0"/>
            </w:tcBorders>
            <w:noWrap w:val="0"/>
            <w:vAlign w:val="center"/>
          </w:tcPr>
          <w:p w14:paraId="125D69B4">
            <w:pPr>
              <w:tabs>
                <w:tab w:val="left" w:pos="900"/>
                <w:tab w:val="left" w:pos="1080"/>
              </w:tabs>
              <w:snapToGrid w:val="0"/>
              <w:spacing w:line="360" w:lineRule="auto"/>
              <w:jc w:val="center"/>
              <w:rPr>
                <w:rFonts w:hint="default" w:ascii="宋体" w:hAnsi="宋体" w:eastAsia="宋体" w:cs="宋体"/>
                <w:b/>
                <w:bCs/>
                <w:kern w:val="2"/>
                <w:sz w:val="28"/>
                <w:szCs w:val="28"/>
              </w:rPr>
            </w:pPr>
            <w:r>
              <w:rPr>
                <w:rFonts w:hint="eastAsia" w:ascii="宋体" w:hAnsi="宋体" w:eastAsia="宋体" w:cs="宋体"/>
                <w:b/>
                <w:bCs/>
                <w:kern w:val="2"/>
                <w:sz w:val="28"/>
                <w:szCs w:val="28"/>
              </w:rPr>
              <w:t>工程名称</w:t>
            </w:r>
          </w:p>
        </w:tc>
        <w:tc>
          <w:tcPr>
            <w:tcW w:w="5573" w:type="dxa"/>
            <w:tcBorders>
              <w:top w:val="single" w:color="auto" w:sz="4" w:space="0"/>
              <w:left w:val="nil"/>
              <w:bottom w:val="single" w:color="auto" w:sz="4" w:space="0"/>
              <w:right w:val="single" w:color="auto" w:sz="4" w:space="0"/>
            </w:tcBorders>
            <w:noWrap w:val="0"/>
            <w:vAlign w:val="center"/>
          </w:tcPr>
          <w:p w14:paraId="6755B33B">
            <w:pPr>
              <w:tabs>
                <w:tab w:val="left" w:pos="900"/>
                <w:tab w:val="left" w:pos="1080"/>
              </w:tabs>
              <w:snapToGrid w:val="0"/>
              <w:spacing w:line="360" w:lineRule="auto"/>
              <w:jc w:val="center"/>
              <w:rPr>
                <w:rFonts w:hint="default" w:ascii="宋体" w:hAnsi="宋体" w:eastAsia="宋体" w:cs="宋体"/>
                <w:b/>
                <w:bCs/>
                <w:kern w:val="2"/>
                <w:sz w:val="28"/>
                <w:szCs w:val="28"/>
              </w:rPr>
            </w:pPr>
          </w:p>
        </w:tc>
      </w:tr>
      <w:tr w14:paraId="3D8D91A3">
        <w:tblPrEx>
          <w:tblCellMar>
            <w:top w:w="0" w:type="dxa"/>
            <w:left w:w="108" w:type="dxa"/>
            <w:bottom w:w="0" w:type="dxa"/>
            <w:right w:w="108" w:type="dxa"/>
          </w:tblCellMar>
        </w:tblPrEx>
        <w:trPr>
          <w:trHeight w:val="1022" w:hRule="atLeast"/>
          <w:jc w:val="center"/>
        </w:trPr>
        <w:tc>
          <w:tcPr>
            <w:tcW w:w="2544" w:type="dxa"/>
            <w:tcBorders>
              <w:top w:val="single" w:color="auto" w:sz="4" w:space="0"/>
              <w:left w:val="single" w:color="auto" w:sz="4" w:space="0"/>
              <w:bottom w:val="single" w:color="auto" w:sz="4" w:space="0"/>
              <w:right w:val="single" w:color="auto" w:sz="4" w:space="0"/>
            </w:tcBorders>
            <w:noWrap w:val="0"/>
            <w:vAlign w:val="center"/>
          </w:tcPr>
          <w:p w14:paraId="4D09F338">
            <w:pPr>
              <w:tabs>
                <w:tab w:val="left" w:pos="900"/>
                <w:tab w:val="left" w:pos="1080"/>
              </w:tabs>
              <w:snapToGrid w:val="0"/>
              <w:spacing w:line="360" w:lineRule="auto"/>
              <w:jc w:val="center"/>
              <w:rPr>
                <w:rFonts w:hint="default" w:ascii="宋体" w:hAnsi="宋体" w:eastAsia="宋体" w:cs="宋体"/>
                <w:b/>
                <w:bCs/>
                <w:kern w:val="2"/>
                <w:sz w:val="28"/>
                <w:szCs w:val="28"/>
              </w:rPr>
            </w:pPr>
            <w:r>
              <w:rPr>
                <w:rFonts w:hint="eastAsia" w:ascii="宋体" w:hAnsi="宋体" w:eastAsia="宋体" w:cs="宋体"/>
                <w:b/>
                <w:bCs/>
                <w:kern w:val="2"/>
                <w:sz w:val="28"/>
                <w:szCs w:val="28"/>
              </w:rPr>
              <w:t>项目负责人</w:t>
            </w:r>
          </w:p>
        </w:tc>
        <w:tc>
          <w:tcPr>
            <w:tcW w:w="5573" w:type="dxa"/>
            <w:tcBorders>
              <w:top w:val="single" w:color="auto" w:sz="4" w:space="0"/>
              <w:left w:val="nil"/>
              <w:bottom w:val="single" w:color="auto" w:sz="4" w:space="0"/>
              <w:right w:val="single" w:color="auto" w:sz="4" w:space="0"/>
            </w:tcBorders>
            <w:noWrap w:val="0"/>
            <w:vAlign w:val="center"/>
          </w:tcPr>
          <w:p w14:paraId="45934455">
            <w:pPr>
              <w:tabs>
                <w:tab w:val="left" w:pos="900"/>
                <w:tab w:val="left" w:pos="1080"/>
              </w:tabs>
              <w:snapToGrid w:val="0"/>
              <w:spacing w:line="360" w:lineRule="auto"/>
              <w:jc w:val="center"/>
              <w:rPr>
                <w:rFonts w:hint="default" w:ascii="宋体" w:hAnsi="宋体" w:eastAsia="宋体" w:cs="宋体"/>
                <w:b/>
                <w:bCs/>
                <w:kern w:val="2"/>
                <w:sz w:val="28"/>
                <w:szCs w:val="28"/>
              </w:rPr>
            </w:pPr>
          </w:p>
        </w:tc>
      </w:tr>
      <w:tr w14:paraId="1F78BE47">
        <w:tblPrEx>
          <w:tblCellMar>
            <w:top w:w="0" w:type="dxa"/>
            <w:left w:w="108" w:type="dxa"/>
            <w:bottom w:w="0" w:type="dxa"/>
            <w:right w:w="108" w:type="dxa"/>
          </w:tblCellMar>
        </w:tblPrEx>
        <w:trPr>
          <w:trHeight w:val="949" w:hRule="atLeast"/>
          <w:jc w:val="center"/>
        </w:trPr>
        <w:tc>
          <w:tcPr>
            <w:tcW w:w="2544" w:type="dxa"/>
            <w:tcBorders>
              <w:top w:val="single" w:color="auto" w:sz="4" w:space="0"/>
              <w:left w:val="single" w:color="auto" w:sz="4" w:space="0"/>
              <w:bottom w:val="single" w:color="auto" w:sz="4" w:space="0"/>
              <w:right w:val="single" w:color="auto" w:sz="4" w:space="0"/>
            </w:tcBorders>
            <w:noWrap w:val="0"/>
            <w:vAlign w:val="center"/>
          </w:tcPr>
          <w:p w14:paraId="66CDFE68">
            <w:pPr>
              <w:tabs>
                <w:tab w:val="left" w:pos="900"/>
                <w:tab w:val="left" w:pos="1080"/>
              </w:tabs>
              <w:snapToGrid w:val="0"/>
              <w:spacing w:line="360" w:lineRule="auto"/>
              <w:jc w:val="center"/>
              <w:rPr>
                <w:rFonts w:hint="default" w:ascii="宋体" w:hAnsi="宋体" w:eastAsia="宋体" w:cs="宋体"/>
                <w:b/>
                <w:bCs/>
                <w:kern w:val="2"/>
                <w:sz w:val="28"/>
                <w:szCs w:val="28"/>
              </w:rPr>
            </w:pPr>
            <w:r>
              <w:rPr>
                <w:rFonts w:hint="eastAsia" w:ascii="宋体" w:hAnsi="宋体" w:eastAsia="宋体" w:cs="宋体"/>
                <w:b/>
                <w:bCs/>
                <w:kern w:val="2"/>
                <w:sz w:val="28"/>
                <w:szCs w:val="28"/>
              </w:rPr>
              <w:t>工期</w:t>
            </w:r>
          </w:p>
        </w:tc>
        <w:tc>
          <w:tcPr>
            <w:tcW w:w="5573" w:type="dxa"/>
            <w:tcBorders>
              <w:top w:val="single" w:color="auto" w:sz="4" w:space="0"/>
              <w:left w:val="nil"/>
              <w:bottom w:val="single" w:color="auto" w:sz="4" w:space="0"/>
              <w:right w:val="single" w:color="auto" w:sz="4" w:space="0"/>
            </w:tcBorders>
            <w:noWrap w:val="0"/>
            <w:vAlign w:val="center"/>
          </w:tcPr>
          <w:p w14:paraId="5CAEE766">
            <w:pPr>
              <w:tabs>
                <w:tab w:val="left" w:pos="900"/>
                <w:tab w:val="left" w:pos="1080"/>
              </w:tabs>
              <w:snapToGrid w:val="0"/>
              <w:spacing w:line="360" w:lineRule="auto"/>
              <w:jc w:val="center"/>
              <w:rPr>
                <w:rFonts w:hint="default" w:ascii="宋体" w:hAnsi="宋体" w:eastAsia="宋体" w:cs="宋体"/>
                <w:b/>
                <w:bCs/>
                <w:kern w:val="2"/>
                <w:sz w:val="28"/>
                <w:szCs w:val="28"/>
              </w:rPr>
            </w:pPr>
          </w:p>
        </w:tc>
      </w:tr>
      <w:tr w14:paraId="138FC294">
        <w:tblPrEx>
          <w:tblCellMar>
            <w:top w:w="0" w:type="dxa"/>
            <w:left w:w="108" w:type="dxa"/>
            <w:bottom w:w="0" w:type="dxa"/>
            <w:right w:w="108" w:type="dxa"/>
          </w:tblCellMar>
        </w:tblPrEx>
        <w:trPr>
          <w:trHeight w:val="962" w:hRule="atLeast"/>
          <w:jc w:val="center"/>
        </w:trPr>
        <w:tc>
          <w:tcPr>
            <w:tcW w:w="2544" w:type="dxa"/>
            <w:tcBorders>
              <w:top w:val="single" w:color="auto" w:sz="4" w:space="0"/>
              <w:left w:val="single" w:color="auto" w:sz="4" w:space="0"/>
              <w:bottom w:val="single" w:color="auto" w:sz="4" w:space="0"/>
              <w:right w:val="single" w:color="auto" w:sz="4" w:space="0"/>
            </w:tcBorders>
            <w:noWrap w:val="0"/>
            <w:vAlign w:val="center"/>
          </w:tcPr>
          <w:p w14:paraId="338ED1A2">
            <w:pPr>
              <w:tabs>
                <w:tab w:val="left" w:pos="900"/>
                <w:tab w:val="left" w:pos="1080"/>
              </w:tabs>
              <w:snapToGrid w:val="0"/>
              <w:spacing w:line="360" w:lineRule="auto"/>
              <w:jc w:val="center"/>
              <w:rPr>
                <w:rFonts w:hint="default" w:ascii="宋体" w:hAnsi="宋体" w:eastAsia="宋体" w:cs="宋体"/>
                <w:b/>
                <w:bCs/>
                <w:kern w:val="2"/>
                <w:sz w:val="28"/>
                <w:szCs w:val="28"/>
              </w:rPr>
            </w:pPr>
            <w:r>
              <w:rPr>
                <w:rFonts w:hint="eastAsia" w:ascii="宋体" w:hAnsi="宋体" w:eastAsia="宋体" w:cs="宋体"/>
                <w:b/>
                <w:bCs/>
                <w:kern w:val="2"/>
                <w:sz w:val="28"/>
                <w:szCs w:val="28"/>
              </w:rPr>
              <w:t>施工单位</w:t>
            </w:r>
          </w:p>
        </w:tc>
        <w:tc>
          <w:tcPr>
            <w:tcW w:w="5573" w:type="dxa"/>
            <w:tcBorders>
              <w:top w:val="single" w:color="auto" w:sz="4" w:space="0"/>
              <w:left w:val="nil"/>
              <w:bottom w:val="single" w:color="auto" w:sz="4" w:space="0"/>
              <w:right w:val="single" w:color="auto" w:sz="4" w:space="0"/>
            </w:tcBorders>
            <w:noWrap w:val="0"/>
            <w:vAlign w:val="center"/>
          </w:tcPr>
          <w:p w14:paraId="525E8B6C">
            <w:pPr>
              <w:tabs>
                <w:tab w:val="left" w:pos="900"/>
                <w:tab w:val="left" w:pos="1080"/>
              </w:tabs>
              <w:snapToGrid w:val="0"/>
              <w:spacing w:line="360" w:lineRule="auto"/>
              <w:jc w:val="center"/>
              <w:rPr>
                <w:rFonts w:hint="default" w:ascii="宋体" w:hAnsi="宋体" w:eastAsia="宋体" w:cs="宋体"/>
                <w:b/>
                <w:bCs/>
                <w:kern w:val="2"/>
                <w:sz w:val="28"/>
                <w:szCs w:val="28"/>
              </w:rPr>
            </w:pPr>
          </w:p>
        </w:tc>
      </w:tr>
      <w:tr w14:paraId="2E1B4114">
        <w:tblPrEx>
          <w:tblCellMar>
            <w:top w:w="0" w:type="dxa"/>
            <w:left w:w="108" w:type="dxa"/>
            <w:bottom w:w="0" w:type="dxa"/>
            <w:right w:w="108" w:type="dxa"/>
          </w:tblCellMar>
        </w:tblPrEx>
        <w:trPr>
          <w:trHeight w:val="962" w:hRule="atLeast"/>
          <w:jc w:val="center"/>
        </w:trPr>
        <w:tc>
          <w:tcPr>
            <w:tcW w:w="2544" w:type="dxa"/>
            <w:tcBorders>
              <w:top w:val="single" w:color="auto" w:sz="4" w:space="0"/>
              <w:left w:val="single" w:color="auto" w:sz="4" w:space="0"/>
              <w:bottom w:val="single" w:color="auto" w:sz="4" w:space="0"/>
              <w:right w:val="single" w:color="auto" w:sz="4" w:space="0"/>
            </w:tcBorders>
            <w:noWrap w:val="0"/>
            <w:vAlign w:val="center"/>
          </w:tcPr>
          <w:p w14:paraId="051EB9E8">
            <w:pPr>
              <w:tabs>
                <w:tab w:val="left" w:pos="900"/>
                <w:tab w:val="left" w:pos="1080"/>
              </w:tabs>
              <w:snapToGrid w:val="0"/>
              <w:spacing w:line="360" w:lineRule="auto"/>
              <w:jc w:val="center"/>
              <w:rPr>
                <w:rFonts w:hint="default" w:ascii="宋体" w:hAnsi="宋体" w:eastAsia="宋体" w:cs="宋体"/>
                <w:b/>
                <w:bCs/>
                <w:kern w:val="2"/>
                <w:sz w:val="28"/>
                <w:szCs w:val="28"/>
              </w:rPr>
            </w:pPr>
            <w:r>
              <w:rPr>
                <w:rFonts w:hint="eastAsia" w:ascii="宋体" w:hAnsi="宋体" w:eastAsia="宋体" w:cs="宋体"/>
                <w:b/>
                <w:bCs/>
                <w:kern w:val="2"/>
                <w:sz w:val="28"/>
                <w:szCs w:val="28"/>
              </w:rPr>
              <w:t>工程地点</w:t>
            </w:r>
          </w:p>
        </w:tc>
        <w:tc>
          <w:tcPr>
            <w:tcW w:w="5573" w:type="dxa"/>
            <w:tcBorders>
              <w:top w:val="single" w:color="auto" w:sz="4" w:space="0"/>
              <w:left w:val="nil"/>
              <w:bottom w:val="single" w:color="auto" w:sz="4" w:space="0"/>
              <w:right w:val="single" w:color="auto" w:sz="4" w:space="0"/>
            </w:tcBorders>
            <w:noWrap w:val="0"/>
            <w:vAlign w:val="center"/>
          </w:tcPr>
          <w:p w14:paraId="58FED4A7">
            <w:pPr>
              <w:tabs>
                <w:tab w:val="left" w:pos="900"/>
                <w:tab w:val="left" w:pos="1080"/>
              </w:tabs>
              <w:snapToGrid w:val="0"/>
              <w:spacing w:line="360" w:lineRule="auto"/>
              <w:jc w:val="center"/>
              <w:rPr>
                <w:rFonts w:hint="eastAsia" w:ascii="宋体" w:hAnsi="宋体" w:eastAsia="宋体" w:cs="宋体"/>
                <w:b/>
                <w:bCs/>
                <w:kern w:val="2"/>
                <w:sz w:val="28"/>
                <w:szCs w:val="28"/>
                <w:lang w:eastAsia="zh-CN"/>
              </w:rPr>
            </w:pPr>
          </w:p>
        </w:tc>
      </w:tr>
    </w:tbl>
    <w:p w14:paraId="251B6EBE">
      <w:pPr>
        <w:tabs>
          <w:tab w:val="left" w:pos="900"/>
          <w:tab w:val="left" w:pos="1080"/>
        </w:tabs>
        <w:snapToGrid w:val="0"/>
        <w:spacing w:line="360" w:lineRule="auto"/>
        <w:rPr>
          <w:rFonts w:hint="default" w:ascii="宋体" w:hAnsi="宋体" w:eastAsia="宋体" w:cs="宋体"/>
          <w:kern w:val="2"/>
          <w:sz w:val="28"/>
          <w:szCs w:val="28"/>
        </w:rPr>
      </w:pPr>
    </w:p>
    <w:p w14:paraId="1CCC240B">
      <w:pPr>
        <w:tabs>
          <w:tab w:val="left" w:pos="900"/>
          <w:tab w:val="left" w:pos="1080"/>
        </w:tabs>
        <w:snapToGrid w:val="0"/>
        <w:spacing w:line="360" w:lineRule="auto"/>
        <w:rPr>
          <w:rFonts w:hint="default" w:ascii="宋体" w:hAnsi="宋体" w:eastAsia="宋体" w:cs="宋体"/>
          <w:kern w:val="2"/>
          <w:sz w:val="28"/>
          <w:szCs w:val="28"/>
        </w:rPr>
      </w:pPr>
    </w:p>
    <w:p w14:paraId="3601D859">
      <w:pPr>
        <w:tabs>
          <w:tab w:val="left" w:pos="900"/>
          <w:tab w:val="left" w:pos="1080"/>
        </w:tabs>
        <w:snapToGrid w:val="0"/>
        <w:spacing w:line="360" w:lineRule="auto"/>
        <w:rPr>
          <w:rFonts w:hint="default" w:ascii="宋体" w:hAnsi="宋体" w:eastAsia="宋体" w:cs="宋体"/>
          <w:kern w:val="2"/>
          <w:sz w:val="28"/>
          <w:szCs w:val="28"/>
        </w:rPr>
      </w:pPr>
    </w:p>
    <w:p w14:paraId="24BF7457">
      <w:pPr>
        <w:tabs>
          <w:tab w:val="left" w:pos="900"/>
          <w:tab w:val="left" w:pos="1080"/>
        </w:tabs>
        <w:snapToGrid w:val="0"/>
        <w:spacing w:line="360" w:lineRule="auto"/>
        <w:jc w:val="center"/>
        <w:rPr>
          <w:rFonts w:hint="default" w:ascii="宋体" w:hAnsi="宋体" w:eastAsia="宋体" w:cs="宋体"/>
          <w:kern w:val="2"/>
          <w:sz w:val="28"/>
          <w:szCs w:val="28"/>
        </w:rPr>
      </w:pPr>
      <w:r>
        <w:rPr>
          <w:rFonts w:hint="eastAsia" w:ascii="宋体" w:hAnsi="宋体" w:eastAsia="宋体" w:cs="宋体"/>
          <w:kern w:val="2"/>
          <w:sz w:val="28"/>
          <w:szCs w:val="28"/>
        </w:rPr>
        <w:t>国家工商行政管理局</w:t>
      </w:r>
    </w:p>
    <w:p w14:paraId="576FD4BF">
      <w:pPr>
        <w:tabs>
          <w:tab w:val="left" w:pos="900"/>
          <w:tab w:val="left" w:pos="1080"/>
        </w:tabs>
        <w:snapToGrid w:val="0"/>
        <w:spacing w:line="360" w:lineRule="auto"/>
        <w:jc w:val="center"/>
        <w:rPr>
          <w:rFonts w:hint="default" w:ascii="宋体" w:hAnsi="宋体" w:eastAsia="宋体" w:cs="宋体"/>
          <w:kern w:val="2"/>
          <w:sz w:val="28"/>
          <w:szCs w:val="28"/>
        </w:rPr>
      </w:pPr>
      <w:r>
        <w:rPr>
          <w:rFonts w:hint="eastAsia" w:ascii="宋体" w:hAnsi="宋体" w:eastAsia="宋体" w:cs="宋体"/>
          <w:kern w:val="2"/>
          <w:sz w:val="28"/>
          <w:szCs w:val="28"/>
        </w:rPr>
        <w:t xml:space="preserve">       中华人民共和国建设部   制定</w:t>
      </w:r>
    </w:p>
    <w:p w14:paraId="50EAE1E6">
      <w:pPr>
        <w:adjustRightInd w:val="0"/>
        <w:spacing w:line="600" w:lineRule="auto"/>
        <w:jc w:val="center"/>
        <w:rPr>
          <w:rFonts w:ascii="Calibri" w:hAnsi="Calibri" w:eastAsia="黑体"/>
          <w:spacing w:val="40"/>
          <w:sz w:val="36"/>
          <w:szCs w:val="36"/>
        </w:rPr>
      </w:pPr>
    </w:p>
    <w:p w14:paraId="5E6ACE9E">
      <w:pPr>
        <w:adjustRightInd w:val="0"/>
        <w:spacing w:line="600" w:lineRule="auto"/>
        <w:jc w:val="both"/>
        <w:rPr>
          <w:rFonts w:ascii="Calibri" w:hAnsi="Calibri" w:eastAsia="黑体"/>
          <w:spacing w:val="40"/>
          <w:sz w:val="36"/>
          <w:szCs w:val="36"/>
        </w:rPr>
      </w:pPr>
    </w:p>
    <w:p w14:paraId="3566DCAF">
      <w:pPr>
        <w:ind w:right="0" w:rightChars="0" w:firstLine="0" w:firstLineChars="0"/>
        <w:jc w:val="center"/>
        <w:rPr>
          <w:rFonts w:hint="eastAsia" w:ascii="仿宋" w:hAnsi="仿宋" w:eastAsia="仿宋" w:cs="仿宋"/>
          <w:b/>
          <w:kern w:val="2"/>
          <w:sz w:val="28"/>
          <w:szCs w:val="28"/>
        </w:rPr>
      </w:pPr>
      <w:r>
        <w:rPr>
          <w:rFonts w:hint="eastAsia" w:ascii="仿宋" w:hAnsi="仿宋" w:eastAsia="仿宋" w:cs="仿宋"/>
          <w:b/>
          <w:kern w:val="2"/>
          <w:sz w:val="28"/>
          <w:szCs w:val="28"/>
        </w:rPr>
        <w:t>第一部分 合同协议书</w:t>
      </w:r>
    </w:p>
    <w:p w14:paraId="1BDCD8B4">
      <w:pPr>
        <w:snapToGrid w:val="0"/>
        <w:spacing w:line="400" w:lineRule="exact"/>
        <w:rPr>
          <w:rFonts w:hint="eastAsia" w:ascii="仿宋" w:hAnsi="仿宋" w:eastAsia="仿宋" w:cs="仿宋"/>
          <w:kern w:val="2"/>
          <w:sz w:val="28"/>
          <w:szCs w:val="28"/>
        </w:rPr>
      </w:pPr>
      <w:r>
        <w:rPr>
          <w:rFonts w:hint="eastAsia" w:ascii="仿宋" w:hAnsi="仿宋" w:eastAsia="仿宋" w:cs="仿宋"/>
          <w:b/>
          <w:kern w:val="2"/>
          <w:sz w:val="28"/>
          <w:szCs w:val="28"/>
        </w:rPr>
        <w:t>发包人（全称）：</w:t>
      </w:r>
      <w:r>
        <w:rPr>
          <w:rFonts w:hint="eastAsia" w:ascii="仿宋" w:hAnsi="仿宋" w:eastAsia="仿宋" w:cs="仿宋"/>
          <w:kern w:val="2"/>
          <w:sz w:val="28"/>
          <w:szCs w:val="28"/>
        </w:rPr>
        <w:t xml:space="preserve">                       </w:t>
      </w:r>
    </w:p>
    <w:p w14:paraId="1D34974A">
      <w:pPr>
        <w:snapToGrid w:val="0"/>
        <w:spacing w:line="400" w:lineRule="exact"/>
        <w:rPr>
          <w:rStyle w:val="469"/>
          <w:rFonts w:hint="eastAsia" w:ascii="仿宋" w:hAnsi="仿宋" w:eastAsia="仿宋" w:cs="仿宋"/>
          <w:kern w:val="2"/>
          <w:sz w:val="28"/>
          <w:szCs w:val="28"/>
          <w:u w:val="single"/>
        </w:rPr>
      </w:pPr>
      <w:r>
        <w:rPr>
          <w:rFonts w:hint="eastAsia" w:ascii="仿宋" w:hAnsi="仿宋" w:eastAsia="仿宋" w:cs="仿宋"/>
          <w:b/>
          <w:kern w:val="2"/>
          <w:sz w:val="28"/>
          <w:szCs w:val="28"/>
        </w:rPr>
        <w:t xml:space="preserve">承包人（全称）： </w:t>
      </w:r>
    </w:p>
    <w:p w14:paraId="163DE5E5">
      <w:pPr>
        <w:spacing w:line="40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根据《中华人民共和国民法典》、《中华人民共和国建筑法》及有关法律规定，遵循平等、自愿、公平和诚实信用的原则，双方就本项目施工及有关事项协商一致，共同达成如下协议：</w:t>
      </w:r>
    </w:p>
    <w:p w14:paraId="295BB57F">
      <w:pPr>
        <w:keepNext/>
        <w:keepLines/>
        <w:widowControl/>
        <w:snapToGrid w:val="0"/>
        <w:spacing w:before="0" w:after="0" w:line="400" w:lineRule="exact"/>
        <w:jc w:val="left"/>
        <w:outlineLvl w:val="3"/>
        <w:rPr>
          <w:rFonts w:hint="eastAsia" w:ascii="仿宋" w:hAnsi="仿宋" w:eastAsia="仿宋" w:cs="仿宋"/>
          <w:b w:val="0"/>
          <w:bCs w:val="0"/>
          <w:kern w:val="0"/>
          <w:sz w:val="28"/>
          <w:szCs w:val="28"/>
          <w:lang w:val="en-US" w:eastAsia="zh-CN" w:bidi="ar-SA"/>
        </w:rPr>
      </w:pPr>
      <w:r>
        <w:rPr>
          <w:rFonts w:hint="eastAsia" w:ascii="仿宋" w:hAnsi="仿宋" w:eastAsia="仿宋" w:cs="仿宋"/>
          <w:b w:val="0"/>
          <w:bCs w:val="0"/>
          <w:kern w:val="0"/>
          <w:sz w:val="28"/>
          <w:szCs w:val="28"/>
          <w:lang w:val="en-US" w:eastAsia="zh-CN" w:bidi="ar-SA"/>
        </w:rPr>
        <w:t xml:space="preserve">   </w:t>
      </w:r>
      <w:r>
        <w:rPr>
          <w:rFonts w:hint="eastAsia" w:ascii="仿宋" w:hAnsi="仿宋" w:eastAsia="仿宋" w:cs="仿宋"/>
          <w:b w:val="0"/>
          <w:bCs/>
          <w:kern w:val="0"/>
          <w:sz w:val="28"/>
          <w:szCs w:val="28"/>
          <w:lang w:val="en-US" w:eastAsia="zh-CN" w:bidi="ar-SA"/>
        </w:rPr>
        <w:t xml:space="preserve"> </w:t>
      </w:r>
      <w:bookmarkStart w:id="674" w:name="_Toc351203481"/>
      <w:r>
        <w:rPr>
          <w:rFonts w:hint="eastAsia" w:ascii="仿宋" w:hAnsi="仿宋" w:eastAsia="仿宋" w:cs="仿宋"/>
          <w:b w:val="0"/>
          <w:bCs/>
          <w:kern w:val="0"/>
          <w:sz w:val="28"/>
          <w:szCs w:val="28"/>
          <w:lang w:val="en-US" w:eastAsia="zh-CN" w:bidi="ar-SA"/>
        </w:rPr>
        <w:t>一、工程概况</w:t>
      </w:r>
      <w:bookmarkEnd w:id="674"/>
    </w:p>
    <w:p w14:paraId="17D6C9A9">
      <w:pPr>
        <w:snapToGrid w:val="0"/>
        <w:spacing w:line="400" w:lineRule="exact"/>
        <w:ind w:firstLine="548" w:firstLineChars="196"/>
        <w:rPr>
          <w:rFonts w:hint="eastAsia" w:ascii="仿宋" w:hAnsi="仿宋" w:eastAsia="仿宋" w:cs="仿宋"/>
          <w:bCs/>
          <w:kern w:val="2"/>
          <w:sz w:val="28"/>
          <w:szCs w:val="28"/>
          <w:u w:val="single"/>
        </w:rPr>
      </w:pPr>
      <w:r>
        <w:rPr>
          <w:rFonts w:hint="eastAsia" w:ascii="仿宋" w:hAnsi="仿宋" w:eastAsia="仿宋" w:cs="仿宋"/>
          <w:bCs/>
          <w:kern w:val="2"/>
          <w:sz w:val="28"/>
          <w:szCs w:val="28"/>
        </w:rPr>
        <w:t>1.工程名称</w:t>
      </w:r>
      <w:r>
        <w:rPr>
          <w:rFonts w:hint="eastAsia" w:ascii="仿宋" w:hAnsi="仿宋" w:eastAsia="仿宋" w:cs="仿宋"/>
          <w:kern w:val="2"/>
          <w:sz w:val="28"/>
          <w:szCs w:val="28"/>
        </w:rPr>
        <w:t xml:space="preserve">：       </w:t>
      </w:r>
    </w:p>
    <w:p w14:paraId="32CFCA84">
      <w:pPr>
        <w:snapToGrid w:val="0"/>
        <w:spacing w:line="400" w:lineRule="exact"/>
        <w:ind w:firstLine="548" w:firstLineChars="196"/>
        <w:rPr>
          <w:rFonts w:hint="eastAsia" w:ascii="仿宋" w:hAnsi="仿宋" w:eastAsia="仿宋" w:cs="仿宋"/>
          <w:kern w:val="2"/>
          <w:sz w:val="28"/>
          <w:szCs w:val="28"/>
        </w:rPr>
      </w:pPr>
      <w:r>
        <w:rPr>
          <w:rFonts w:hint="eastAsia" w:ascii="仿宋" w:hAnsi="仿宋" w:eastAsia="仿宋" w:cs="仿宋"/>
          <w:bCs/>
          <w:kern w:val="2"/>
          <w:sz w:val="28"/>
          <w:szCs w:val="28"/>
        </w:rPr>
        <w:t>2.工程地点：</w:t>
      </w:r>
      <w:r>
        <w:rPr>
          <w:rFonts w:hint="eastAsia" w:ascii="仿宋" w:hAnsi="仿宋" w:eastAsia="仿宋" w:cs="仿宋"/>
          <w:kern w:val="2"/>
          <w:sz w:val="28"/>
          <w:szCs w:val="28"/>
        </w:rPr>
        <w:t xml:space="preserve"> </w:t>
      </w:r>
    </w:p>
    <w:p w14:paraId="45B8295F">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3.工程内容：</w:t>
      </w:r>
      <w:r>
        <w:rPr>
          <w:rFonts w:hint="eastAsia" w:ascii="仿宋" w:hAnsi="仿宋" w:eastAsia="仿宋" w:cs="仿宋"/>
          <w:bCs/>
          <w:kern w:val="2"/>
          <w:sz w:val="28"/>
          <w:szCs w:val="28"/>
          <w:lang w:val="zh-CN"/>
        </w:rPr>
        <w:t>建设单位拟发包的施工单项合同预算价在10万元以下的工程施工（包含唐王、西岗集镇），包括但不限于招标文件及其基本技术要求范围内相应工程开工前的准备（包括现场踏勘、技术核对等）、技术资料、施工、技术服务、竣工验收、质保期和招标文件所要求的相关服务等全部内容。</w:t>
      </w:r>
    </w:p>
    <w:p w14:paraId="668531AC">
      <w:pPr>
        <w:snapToGrid w:val="0"/>
        <w:spacing w:line="400" w:lineRule="exact"/>
        <w:ind w:firstLine="560" w:firstLineChars="200"/>
        <w:rPr>
          <w:rFonts w:hint="eastAsia" w:ascii="仿宋" w:hAnsi="仿宋" w:eastAsia="仿宋" w:cs="仿宋"/>
          <w:kern w:val="2"/>
          <w:sz w:val="28"/>
          <w:szCs w:val="28"/>
          <w:u w:val="single"/>
        </w:rPr>
      </w:pPr>
      <w:r>
        <w:rPr>
          <w:rFonts w:hint="eastAsia" w:ascii="仿宋" w:hAnsi="仿宋" w:eastAsia="仿宋" w:cs="仿宋"/>
          <w:bCs/>
          <w:kern w:val="2"/>
          <w:sz w:val="28"/>
          <w:szCs w:val="28"/>
        </w:rPr>
        <w:t>4.工程承包范围：</w:t>
      </w:r>
      <w:r>
        <w:rPr>
          <w:rFonts w:hint="eastAsia" w:ascii="仿宋" w:hAnsi="仿宋" w:eastAsia="仿宋" w:cs="仿宋"/>
          <w:kern w:val="2"/>
          <w:sz w:val="28"/>
          <w:szCs w:val="28"/>
        </w:rPr>
        <w:t>按建设单位的要求。</w:t>
      </w:r>
    </w:p>
    <w:p w14:paraId="156B45A6">
      <w:pPr>
        <w:snapToGrid w:val="0"/>
        <w:spacing w:line="400" w:lineRule="exact"/>
        <w:ind w:firstLine="562" w:firstLineChars="200"/>
        <w:rPr>
          <w:rFonts w:hint="eastAsia" w:ascii="仿宋" w:hAnsi="仿宋" w:eastAsia="仿宋" w:cs="仿宋"/>
          <w:b/>
          <w:kern w:val="2"/>
          <w:sz w:val="28"/>
          <w:szCs w:val="28"/>
        </w:rPr>
      </w:pPr>
      <w:bookmarkStart w:id="675" w:name="_Toc351203482"/>
      <w:r>
        <w:rPr>
          <w:rFonts w:hint="eastAsia" w:ascii="仿宋" w:hAnsi="仿宋" w:eastAsia="仿宋" w:cs="仿宋"/>
          <w:b/>
          <w:kern w:val="2"/>
          <w:sz w:val="28"/>
          <w:szCs w:val="28"/>
        </w:rPr>
        <w:t>二、合同工期</w:t>
      </w:r>
      <w:bookmarkEnd w:id="675"/>
      <w:r>
        <w:rPr>
          <w:rFonts w:hint="eastAsia" w:ascii="仿宋" w:hAnsi="仿宋" w:eastAsia="仿宋" w:cs="仿宋"/>
          <w:b/>
          <w:kern w:val="2"/>
          <w:sz w:val="28"/>
          <w:szCs w:val="28"/>
        </w:rPr>
        <w:t>：</w:t>
      </w:r>
    </w:p>
    <w:p w14:paraId="7246CA93">
      <w:pPr>
        <w:snapToGrid w:val="0"/>
        <w:spacing w:line="400" w:lineRule="exact"/>
        <w:ind w:firstLine="459"/>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1年</w:t>
      </w:r>
      <w:r>
        <w:rPr>
          <w:rFonts w:hint="eastAsia" w:ascii="仿宋" w:hAnsi="仿宋" w:eastAsia="仿宋" w:cs="仿宋"/>
          <w:kern w:val="2"/>
          <w:sz w:val="28"/>
          <w:szCs w:val="28"/>
        </w:rPr>
        <w:t>（以</w:t>
      </w:r>
      <w:r>
        <w:rPr>
          <w:rFonts w:hint="eastAsia" w:ascii="仿宋" w:hAnsi="仿宋" w:eastAsia="仿宋" w:cs="仿宋"/>
          <w:kern w:val="2"/>
          <w:sz w:val="28"/>
          <w:szCs w:val="28"/>
          <w:lang w:eastAsia="zh-CN"/>
        </w:rPr>
        <w:t>采购</w:t>
      </w:r>
      <w:r>
        <w:rPr>
          <w:rFonts w:hint="eastAsia" w:ascii="仿宋" w:hAnsi="仿宋" w:eastAsia="仿宋" w:cs="仿宋"/>
          <w:kern w:val="2"/>
          <w:sz w:val="28"/>
          <w:szCs w:val="28"/>
        </w:rPr>
        <w:t>人发出的第一次书面任务通知单视为开工），本合同范围内的每一单项工程的工期根据</w:t>
      </w:r>
      <w:r>
        <w:rPr>
          <w:rFonts w:hint="eastAsia" w:ascii="仿宋" w:hAnsi="仿宋" w:eastAsia="仿宋" w:cs="仿宋"/>
          <w:kern w:val="2"/>
          <w:sz w:val="28"/>
          <w:szCs w:val="28"/>
          <w:lang w:eastAsia="zh-CN"/>
        </w:rPr>
        <w:t>采购</w:t>
      </w:r>
      <w:r>
        <w:rPr>
          <w:rFonts w:hint="eastAsia" w:ascii="仿宋" w:hAnsi="仿宋" w:eastAsia="仿宋" w:cs="仿宋"/>
          <w:kern w:val="2"/>
          <w:sz w:val="28"/>
          <w:szCs w:val="28"/>
        </w:rPr>
        <w:t>人要求，当合同履行时间达一年或合同履行价款经</w:t>
      </w:r>
      <w:r>
        <w:rPr>
          <w:rFonts w:hint="eastAsia" w:ascii="仿宋" w:hAnsi="仿宋" w:eastAsia="仿宋" w:cs="仿宋"/>
          <w:kern w:val="2"/>
          <w:sz w:val="28"/>
          <w:szCs w:val="28"/>
          <w:lang w:eastAsia="zh-CN"/>
        </w:rPr>
        <w:t>采购</w:t>
      </w:r>
      <w:r>
        <w:rPr>
          <w:rFonts w:hint="eastAsia" w:ascii="仿宋" w:hAnsi="仿宋" w:eastAsia="仿宋" w:cs="仿宋"/>
          <w:kern w:val="2"/>
          <w:sz w:val="28"/>
          <w:szCs w:val="28"/>
        </w:rPr>
        <w:t>人委托的第三方审计机构审计后审定价达到</w:t>
      </w:r>
      <w:r>
        <w:rPr>
          <w:rFonts w:hint="eastAsia" w:ascii="仿宋" w:hAnsi="仿宋" w:eastAsia="仿宋" w:cs="仿宋"/>
          <w:kern w:val="2"/>
          <w:sz w:val="28"/>
          <w:szCs w:val="28"/>
          <w:lang w:val="en-US" w:eastAsia="zh-CN"/>
        </w:rPr>
        <w:t>312</w:t>
      </w:r>
      <w:r>
        <w:rPr>
          <w:rFonts w:hint="eastAsia" w:ascii="仿宋" w:hAnsi="仿宋" w:eastAsia="仿宋" w:cs="仿宋"/>
          <w:kern w:val="2"/>
          <w:sz w:val="28"/>
          <w:szCs w:val="28"/>
        </w:rPr>
        <w:t xml:space="preserve">万元时，合同自动终止。  </w:t>
      </w:r>
    </w:p>
    <w:p w14:paraId="7EB4FA36">
      <w:pPr>
        <w:snapToGrid w:val="0"/>
        <w:spacing w:line="400" w:lineRule="exact"/>
        <w:ind w:firstLine="459"/>
        <w:rPr>
          <w:rFonts w:hint="eastAsia" w:ascii="仿宋" w:hAnsi="仿宋" w:eastAsia="仿宋" w:cs="仿宋"/>
          <w:kern w:val="2"/>
          <w:sz w:val="28"/>
          <w:szCs w:val="28"/>
        </w:rPr>
      </w:pPr>
      <w:r>
        <w:rPr>
          <w:rFonts w:hint="eastAsia" w:ascii="仿宋" w:hAnsi="仿宋" w:eastAsia="仿宋" w:cs="仿宋"/>
          <w:kern w:val="2"/>
          <w:sz w:val="28"/>
          <w:szCs w:val="28"/>
        </w:rPr>
        <w:t>单项工程工期：每一单项工程的工期按建设单位要求。</w:t>
      </w:r>
    </w:p>
    <w:p w14:paraId="7836D210">
      <w:pPr>
        <w:keepNext/>
        <w:keepLines/>
        <w:widowControl/>
        <w:snapToGrid w:val="0"/>
        <w:spacing w:before="0" w:after="0" w:line="400" w:lineRule="exact"/>
        <w:jc w:val="left"/>
        <w:outlineLvl w:val="3"/>
        <w:rPr>
          <w:rFonts w:hint="eastAsia" w:ascii="仿宋" w:hAnsi="仿宋" w:eastAsia="仿宋" w:cs="仿宋"/>
          <w:b/>
          <w:bCs w:val="0"/>
          <w:kern w:val="0"/>
          <w:sz w:val="28"/>
          <w:szCs w:val="28"/>
          <w:lang w:val="en-US" w:eastAsia="zh-CN" w:bidi="ar-SA"/>
        </w:rPr>
      </w:pPr>
      <w:r>
        <w:rPr>
          <w:rFonts w:hint="eastAsia" w:ascii="仿宋" w:hAnsi="仿宋" w:eastAsia="仿宋" w:cs="仿宋"/>
          <w:b/>
          <w:bCs w:val="0"/>
          <w:kern w:val="0"/>
          <w:sz w:val="28"/>
          <w:szCs w:val="28"/>
          <w:lang w:val="en-US" w:eastAsia="zh-CN" w:bidi="ar-SA"/>
        </w:rPr>
        <w:t xml:space="preserve">    </w:t>
      </w:r>
      <w:bookmarkStart w:id="676" w:name="_Toc351203483"/>
      <w:r>
        <w:rPr>
          <w:rFonts w:hint="eastAsia" w:ascii="仿宋" w:hAnsi="仿宋" w:eastAsia="仿宋" w:cs="仿宋"/>
          <w:b w:val="0"/>
          <w:bCs/>
          <w:kern w:val="0"/>
          <w:sz w:val="28"/>
          <w:szCs w:val="28"/>
          <w:lang w:val="en-US" w:eastAsia="zh-CN" w:bidi="ar-SA"/>
        </w:rPr>
        <w:t>三、质量标准</w:t>
      </w:r>
      <w:bookmarkEnd w:id="676"/>
    </w:p>
    <w:p w14:paraId="747BC20A">
      <w:pPr>
        <w:snapToGrid w:val="0"/>
        <w:spacing w:line="400" w:lineRule="exact"/>
        <w:ind w:firstLine="420" w:firstLineChars="150"/>
        <w:rPr>
          <w:rFonts w:hint="eastAsia" w:ascii="仿宋" w:hAnsi="仿宋" w:eastAsia="仿宋" w:cs="仿宋"/>
          <w:kern w:val="2"/>
          <w:sz w:val="28"/>
          <w:szCs w:val="28"/>
        </w:rPr>
      </w:pPr>
      <w:r>
        <w:rPr>
          <w:rFonts w:hint="eastAsia" w:ascii="仿宋" w:hAnsi="仿宋" w:eastAsia="仿宋" w:cs="仿宋"/>
          <w:kern w:val="2"/>
          <w:sz w:val="28"/>
          <w:szCs w:val="28"/>
        </w:rPr>
        <w:t>工程质量符合</w:t>
      </w:r>
      <w:r>
        <w:rPr>
          <w:rFonts w:hint="eastAsia" w:ascii="仿宋" w:hAnsi="仿宋" w:eastAsia="仿宋" w:cs="仿宋"/>
          <w:bCs/>
          <w:kern w:val="2"/>
          <w:sz w:val="28"/>
          <w:szCs w:val="28"/>
          <w:u w:val="single"/>
        </w:rPr>
        <w:t xml:space="preserve">  合格</w:t>
      </w:r>
      <w:r>
        <w:rPr>
          <w:rFonts w:hint="eastAsia" w:ascii="仿宋" w:hAnsi="仿宋" w:eastAsia="仿宋" w:cs="仿宋"/>
          <w:b/>
          <w:bCs/>
          <w:kern w:val="2"/>
          <w:sz w:val="28"/>
          <w:szCs w:val="28"/>
          <w:u w:val="single"/>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标准。</w:t>
      </w:r>
    </w:p>
    <w:p w14:paraId="6CDE620E">
      <w:pPr>
        <w:keepNext/>
        <w:keepLines/>
        <w:widowControl/>
        <w:numPr>
          <w:ilvl w:val="0"/>
          <w:numId w:val="0"/>
        </w:numPr>
        <w:snapToGrid w:val="0"/>
        <w:spacing w:before="0" w:after="0" w:line="400" w:lineRule="exact"/>
        <w:ind w:left="561" w:leftChars="0"/>
        <w:jc w:val="left"/>
        <w:outlineLvl w:val="3"/>
        <w:rPr>
          <w:rFonts w:hint="eastAsia" w:ascii="仿宋" w:hAnsi="仿宋" w:eastAsia="仿宋" w:cs="仿宋"/>
          <w:b/>
          <w:bCs/>
          <w:kern w:val="0"/>
          <w:sz w:val="28"/>
          <w:szCs w:val="28"/>
          <w:lang w:val="en-US" w:eastAsia="zh-CN" w:bidi="ar-SA"/>
        </w:rPr>
      </w:pPr>
      <w:r>
        <w:rPr>
          <w:rFonts w:hint="eastAsia" w:ascii="仿宋" w:hAnsi="仿宋" w:eastAsia="仿宋" w:cs="仿宋"/>
          <w:b/>
          <w:bCs/>
          <w:kern w:val="0"/>
          <w:sz w:val="28"/>
          <w:szCs w:val="28"/>
          <w:lang w:val="en-US" w:eastAsia="zh-CN" w:bidi="ar-SA"/>
        </w:rPr>
        <w:t>四、签约合同价与合同价格形式</w:t>
      </w:r>
      <w:r>
        <w:rPr>
          <w:rFonts w:hint="eastAsia" w:ascii="仿宋" w:hAnsi="仿宋" w:eastAsia="仿宋" w:cs="仿宋"/>
          <w:b/>
          <w:bCs/>
          <w:kern w:val="0"/>
          <w:sz w:val="28"/>
          <w:szCs w:val="28"/>
          <w:lang w:val="en-US" w:eastAsia="zh-CN" w:bidi="ar-SA"/>
        </w:rPr>
        <w:tab/>
      </w:r>
    </w:p>
    <w:p w14:paraId="23E47D18">
      <w:pPr>
        <w:keepNext/>
        <w:keepLines/>
        <w:widowControl/>
        <w:numPr>
          <w:ilvl w:val="0"/>
          <w:numId w:val="0"/>
        </w:numPr>
        <w:snapToGrid w:val="0"/>
        <w:spacing w:before="0" w:after="0" w:line="400" w:lineRule="exact"/>
        <w:ind w:left="561" w:leftChars="0"/>
        <w:jc w:val="left"/>
        <w:outlineLvl w:val="3"/>
        <w:rPr>
          <w:rFonts w:hint="eastAsia" w:ascii="仿宋" w:hAnsi="仿宋" w:eastAsia="仿宋" w:cs="仿宋"/>
          <w:b/>
          <w:bCs/>
          <w:kern w:val="0"/>
          <w:sz w:val="28"/>
          <w:szCs w:val="28"/>
          <w:lang w:val="en-US" w:eastAsia="zh-CN" w:bidi="ar-SA"/>
        </w:rPr>
      </w:pPr>
      <w:r>
        <w:rPr>
          <w:rFonts w:hint="eastAsia" w:ascii="仿宋" w:hAnsi="仿宋" w:eastAsia="仿宋" w:cs="仿宋"/>
          <w:b/>
          <w:bCs/>
          <w:kern w:val="0"/>
          <w:sz w:val="28"/>
          <w:szCs w:val="28"/>
          <w:lang w:val="en-US" w:eastAsia="zh-CN" w:bidi="ar-SA"/>
        </w:rPr>
        <w:t>1、投标费率（投标费率=1-投标优惠率）</w:t>
      </w:r>
      <w:r>
        <w:rPr>
          <w:rFonts w:hint="eastAsia" w:ascii="仿宋" w:hAnsi="仿宋" w:eastAsia="仿宋" w:cs="仿宋"/>
          <w:b/>
          <w:bCs/>
          <w:kern w:val="0"/>
          <w:sz w:val="28"/>
          <w:szCs w:val="28"/>
          <w:u w:val="single"/>
          <w:lang w:val="en-US" w:eastAsia="zh-CN" w:bidi="ar-SA"/>
        </w:rPr>
        <w:t xml:space="preserve">       </w:t>
      </w:r>
      <w:r>
        <w:rPr>
          <w:rFonts w:hint="eastAsia" w:ascii="仿宋" w:hAnsi="仿宋" w:eastAsia="仿宋" w:cs="仿宋"/>
          <w:b/>
          <w:bCs/>
          <w:kern w:val="0"/>
          <w:sz w:val="28"/>
          <w:szCs w:val="28"/>
          <w:lang w:val="en-US" w:eastAsia="zh-CN" w:bidi="ar-SA"/>
        </w:rPr>
        <w:t>%。</w:t>
      </w:r>
    </w:p>
    <w:p w14:paraId="719715CE">
      <w:pPr>
        <w:keepNext/>
        <w:keepLines/>
        <w:widowControl/>
        <w:numPr>
          <w:ilvl w:val="0"/>
          <w:numId w:val="0"/>
        </w:numPr>
        <w:snapToGrid w:val="0"/>
        <w:spacing w:before="0" w:after="0" w:line="400" w:lineRule="exact"/>
        <w:ind w:left="561" w:leftChars="0"/>
        <w:jc w:val="left"/>
        <w:outlineLvl w:val="3"/>
        <w:rPr>
          <w:rFonts w:hint="default" w:ascii="仿宋" w:hAnsi="仿宋" w:eastAsia="仿宋" w:cs="仿宋"/>
          <w:b/>
          <w:bCs/>
          <w:kern w:val="0"/>
          <w:sz w:val="28"/>
          <w:szCs w:val="28"/>
          <w:lang w:val="en-US" w:eastAsia="zh-CN" w:bidi="ar-SA"/>
        </w:rPr>
      </w:pPr>
      <w:r>
        <w:rPr>
          <w:rFonts w:hint="eastAsia" w:ascii="仿宋" w:hAnsi="仿宋" w:eastAsia="仿宋" w:cs="仿宋"/>
          <w:b/>
          <w:bCs/>
          <w:kern w:val="0"/>
          <w:sz w:val="28"/>
          <w:szCs w:val="28"/>
          <w:lang w:val="en-US" w:eastAsia="zh-CN" w:bidi="ar-SA"/>
        </w:rPr>
        <w:t>2、合同价格形式：单价合同。（控制单价详见附件一《集镇零星维修费率招标清单》，承包人最终结算时，以该单价乘以投标费率作为投标单价进行结算。）</w:t>
      </w:r>
    </w:p>
    <w:p w14:paraId="14A269E2">
      <w:pPr>
        <w:keepNext/>
        <w:keepLines/>
        <w:widowControl/>
        <w:snapToGrid w:val="0"/>
        <w:spacing w:before="0" w:after="0" w:line="400" w:lineRule="exact"/>
        <w:jc w:val="left"/>
        <w:outlineLvl w:val="3"/>
        <w:rPr>
          <w:rFonts w:hint="eastAsia" w:ascii="仿宋" w:hAnsi="仿宋" w:eastAsia="仿宋" w:cs="仿宋"/>
          <w:b w:val="0"/>
          <w:bCs/>
          <w:kern w:val="0"/>
          <w:sz w:val="28"/>
          <w:szCs w:val="28"/>
          <w:lang w:val="en-US" w:eastAsia="zh-CN" w:bidi="ar-SA"/>
        </w:rPr>
      </w:pPr>
      <w:r>
        <w:rPr>
          <w:rFonts w:hint="eastAsia" w:ascii="仿宋" w:hAnsi="仿宋" w:eastAsia="仿宋" w:cs="仿宋"/>
          <w:b/>
          <w:bCs w:val="0"/>
          <w:kern w:val="0"/>
          <w:sz w:val="28"/>
          <w:szCs w:val="28"/>
          <w:lang w:val="en-US" w:eastAsia="zh-CN" w:bidi="ar-SA"/>
        </w:rPr>
        <w:t xml:space="preserve">   </w:t>
      </w:r>
      <w:r>
        <w:rPr>
          <w:rFonts w:hint="eastAsia" w:ascii="仿宋" w:hAnsi="仿宋" w:eastAsia="仿宋" w:cs="仿宋"/>
          <w:b w:val="0"/>
          <w:bCs/>
          <w:kern w:val="0"/>
          <w:sz w:val="28"/>
          <w:szCs w:val="28"/>
          <w:lang w:val="en-US" w:eastAsia="zh-CN" w:bidi="ar-SA"/>
        </w:rPr>
        <w:t xml:space="preserve"> </w:t>
      </w:r>
      <w:bookmarkStart w:id="677" w:name="_Toc351203485"/>
      <w:r>
        <w:rPr>
          <w:rFonts w:hint="eastAsia" w:ascii="仿宋" w:hAnsi="仿宋" w:eastAsia="仿宋" w:cs="仿宋"/>
          <w:b w:val="0"/>
          <w:bCs/>
          <w:kern w:val="0"/>
          <w:sz w:val="28"/>
          <w:szCs w:val="28"/>
          <w:lang w:val="en-US" w:eastAsia="zh-CN" w:bidi="ar-SA"/>
        </w:rPr>
        <w:t>五、</w:t>
      </w:r>
      <w:bookmarkEnd w:id="677"/>
      <w:r>
        <w:rPr>
          <w:rFonts w:hint="eastAsia" w:ascii="仿宋" w:hAnsi="仿宋" w:eastAsia="仿宋" w:cs="仿宋"/>
          <w:b w:val="0"/>
          <w:bCs/>
          <w:kern w:val="0"/>
          <w:sz w:val="28"/>
          <w:szCs w:val="28"/>
          <w:lang w:val="en-US" w:eastAsia="zh-CN" w:bidi="ar-SA"/>
        </w:rPr>
        <w:t>项目负责人</w:t>
      </w:r>
    </w:p>
    <w:p w14:paraId="37A43E99">
      <w:pPr>
        <w:tabs>
          <w:tab w:val="left" w:pos="5790"/>
        </w:tabs>
        <w:snapToGrid w:val="0"/>
        <w:spacing w:line="400" w:lineRule="exact"/>
        <w:ind w:firstLine="840" w:firstLineChars="300"/>
        <w:rPr>
          <w:rFonts w:hint="eastAsia" w:ascii="仿宋" w:hAnsi="仿宋" w:eastAsia="仿宋" w:cs="仿宋"/>
          <w:kern w:val="2"/>
          <w:sz w:val="28"/>
          <w:szCs w:val="28"/>
        </w:rPr>
      </w:pPr>
      <w:r>
        <w:rPr>
          <w:rFonts w:hint="eastAsia" w:ascii="仿宋" w:hAnsi="仿宋" w:eastAsia="仿宋" w:cs="仿宋"/>
          <w:kern w:val="2"/>
          <w:sz w:val="28"/>
          <w:szCs w:val="28"/>
        </w:rPr>
        <w:t xml:space="preserve">承包人项目负责人：  </w:t>
      </w:r>
    </w:p>
    <w:p w14:paraId="35FBF240">
      <w:pPr>
        <w:keepNext/>
        <w:keepLines/>
        <w:widowControl/>
        <w:snapToGrid w:val="0"/>
        <w:spacing w:before="0" w:after="0" w:line="400" w:lineRule="exact"/>
        <w:jc w:val="left"/>
        <w:outlineLvl w:val="3"/>
        <w:rPr>
          <w:rFonts w:hint="eastAsia" w:ascii="仿宋" w:hAnsi="仿宋" w:eastAsia="仿宋" w:cs="仿宋"/>
          <w:b/>
          <w:bCs w:val="0"/>
          <w:kern w:val="0"/>
          <w:sz w:val="28"/>
          <w:szCs w:val="28"/>
          <w:lang w:val="en-US" w:eastAsia="zh-CN" w:bidi="ar-SA"/>
        </w:rPr>
      </w:pPr>
      <w:r>
        <w:rPr>
          <w:rFonts w:hint="eastAsia" w:ascii="仿宋" w:hAnsi="仿宋" w:eastAsia="仿宋" w:cs="仿宋"/>
          <w:b/>
          <w:bCs w:val="0"/>
          <w:kern w:val="0"/>
          <w:sz w:val="28"/>
          <w:szCs w:val="28"/>
          <w:lang w:val="en-US" w:eastAsia="zh-CN" w:bidi="ar-SA"/>
        </w:rPr>
        <w:t xml:space="preserve">   </w:t>
      </w:r>
      <w:r>
        <w:rPr>
          <w:rFonts w:hint="eastAsia" w:ascii="仿宋" w:hAnsi="仿宋" w:eastAsia="仿宋" w:cs="仿宋"/>
          <w:b w:val="0"/>
          <w:bCs/>
          <w:kern w:val="0"/>
          <w:sz w:val="28"/>
          <w:szCs w:val="28"/>
          <w:lang w:val="en-US" w:eastAsia="zh-CN" w:bidi="ar-SA"/>
        </w:rPr>
        <w:t xml:space="preserve"> </w:t>
      </w:r>
      <w:bookmarkStart w:id="678" w:name="_Toc351203486"/>
      <w:r>
        <w:rPr>
          <w:rFonts w:hint="eastAsia" w:ascii="仿宋" w:hAnsi="仿宋" w:eastAsia="仿宋" w:cs="仿宋"/>
          <w:b w:val="0"/>
          <w:bCs/>
          <w:kern w:val="0"/>
          <w:sz w:val="28"/>
          <w:szCs w:val="28"/>
          <w:lang w:val="en-US" w:eastAsia="zh-CN" w:bidi="ar-SA"/>
        </w:rPr>
        <w:t>六、合同文件构成</w:t>
      </w:r>
      <w:bookmarkEnd w:id="678"/>
    </w:p>
    <w:p w14:paraId="19AD3CDE">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本协议书与下列文件一起构成合同文件：</w:t>
      </w:r>
    </w:p>
    <w:p w14:paraId="4C2E9D3A">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（1）中标通知书；</w:t>
      </w:r>
    </w:p>
    <w:p w14:paraId="789EB6C2">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（2）投标函及其附录； </w:t>
      </w:r>
    </w:p>
    <w:p w14:paraId="01AE6DFB">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（3）专用合同条款及其附件；</w:t>
      </w:r>
    </w:p>
    <w:p w14:paraId="49D7E530">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（4）通用合同条款；</w:t>
      </w:r>
    </w:p>
    <w:p w14:paraId="47BC67D2">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（5）技术标准和要求；</w:t>
      </w:r>
    </w:p>
    <w:p w14:paraId="100365D8">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（6）图纸；</w:t>
      </w:r>
    </w:p>
    <w:p w14:paraId="2D281550">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（7）其他合同文件。</w:t>
      </w:r>
    </w:p>
    <w:p w14:paraId="49336B67">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在合同订立及履行过程中形成的与合同有关的文件均构成合同文件组成部分。</w:t>
      </w:r>
    </w:p>
    <w:p w14:paraId="1D2C491F">
      <w:pPr>
        <w:autoSpaceDE w:val="0"/>
        <w:autoSpaceDN w:val="0"/>
        <w:adjustRightInd w:val="0"/>
        <w:snapToGrid w:val="0"/>
        <w:spacing w:line="40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上述各项合同文件包括合同当事人就该项合同文件所作出的补充和修改，属于同一类内容的文件，应以最新签署的为准。专用合同条款及其附件须经合同当事人签字或盖章。</w:t>
      </w:r>
    </w:p>
    <w:p w14:paraId="6C7FA55E">
      <w:pPr>
        <w:keepNext/>
        <w:keepLines/>
        <w:widowControl/>
        <w:snapToGrid w:val="0"/>
        <w:spacing w:before="0" w:after="0" w:line="400" w:lineRule="exact"/>
        <w:jc w:val="left"/>
        <w:outlineLvl w:val="3"/>
        <w:rPr>
          <w:rFonts w:hint="eastAsia" w:ascii="仿宋" w:hAnsi="仿宋" w:eastAsia="仿宋" w:cs="仿宋"/>
          <w:b w:val="0"/>
          <w:bCs w:val="0"/>
          <w:kern w:val="0"/>
          <w:sz w:val="28"/>
          <w:szCs w:val="28"/>
          <w:lang w:val="en-US" w:eastAsia="zh-CN" w:bidi="ar-SA"/>
        </w:rPr>
      </w:pPr>
      <w:r>
        <w:rPr>
          <w:rFonts w:hint="eastAsia" w:ascii="仿宋" w:hAnsi="仿宋" w:eastAsia="仿宋" w:cs="仿宋"/>
          <w:b w:val="0"/>
          <w:bCs w:val="0"/>
          <w:kern w:val="0"/>
          <w:sz w:val="28"/>
          <w:szCs w:val="28"/>
          <w:lang w:val="en-US" w:eastAsia="zh-CN" w:bidi="ar-SA"/>
        </w:rPr>
        <w:t xml:space="preserve">   </w:t>
      </w:r>
      <w:r>
        <w:rPr>
          <w:rFonts w:hint="eastAsia" w:ascii="仿宋" w:hAnsi="仿宋" w:eastAsia="仿宋" w:cs="仿宋"/>
          <w:b w:val="0"/>
          <w:bCs/>
          <w:kern w:val="0"/>
          <w:sz w:val="28"/>
          <w:szCs w:val="28"/>
          <w:lang w:val="en-US" w:eastAsia="zh-CN" w:bidi="ar-SA"/>
        </w:rPr>
        <w:t xml:space="preserve"> </w:t>
      </w:r>
      <w:bookmarkStart w:id="679" w:name="_Toc351203487"/>
      <w:r>
        <w:rPr>
          <w:rFonts w:hint="eastAsia" w:ascii="仿宋" w:hAnsi="仿宋" w:eastAsia="仿宋" w:cs="仿宋"/>
          <w:b w:val="0"/>
          <w:bCs/>
          <w:kern w:val="0"/>
          <w:sz w:val="28"/>
          <w:szCs w:val="28"/>
          <w:lang w:val="en-US" w:eastAsia="zh-CN" w:bidi="ar-SA"/>
        </w:rPr>
        <w:t>七、承诺</w:t>
      </w:r>
      <w:bookmarkEnd w:id="679"/>
    </w:p>
    <w:p w14:paraId="4BAAA5D1">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1.发包人承诺按照法律规定履行项目审批手续、筹集工程建设资金并按照合同约定的期限和方式支付合同价款。</w:t>
      </w:r>
    </w:p>
    <w:p w14:paraId="02D8EB79">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2.承包人承诺按照法律规定及合同约定组织完成工程施工，确保工程质量和安全，不进行转包及违法分包，并在缺陷责任期及保修期内承担相应的工程维修责任。</w:t>
      </w:r>
    </w:p>
    <w:p w14:paraId="6A366AD1">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3.发包人和承包人通过招投标形式签订合同的，双方理解并承诺不再就同一工程另行签订与合同实质性内容相背离的协议。</w:t>
      </w:r>
    </w:p>
    <w:p w14:paraId="5638EF50">
      <w:pPr>
        <w:snapToGrid w:val="0"/>
        <w:spacing w:line="400" w:lineRule="exact"/>
        <w:rPr>
          <w:rFonts w:hint="eastAsia" w:ascii="仿宋" w:hAnsi="仿宋" w:eastAsia="仿宋" w:cs="仿宋"/>
          <w:bCs/>
          <w:kern w:val="2"/>
          <w:sz w:val="28"/>
          <w:szCs w:val="28"/>
        </w:rPr>
      </w:pPr>
      <w:bookmarkStart w:id="680" w:name="_Toc351203488"/>
      <w:r>
        <w:rPr>
          <w:rFonts w:hint="eastAsia" w:ascii="仿宋" w:hAnsi="仿宋" w:eastAsia="仿宋" w:cs="仿宋"/>
          <w:b/>
          <w:kern w:val="2"/>
          <w:sz w:val="28"/>
          <w:szCs w:val="28"/>
        </w:rPr>
        <w:t xml:space="preserve">  </w:t>
      </w:r>
      <w:r>
        <w:rPr>
          <w:rFonts w:hint="eastAsia" w:ascii="仿宋" w:hAnsi="仿宋" w:eastAsia="仿宋" w:cs="仿宋"/>
          <w:kern w:val="2"/>
          <w:sz w:val="28"/>
          <w:szCs w:val="28"/>
        </w:rPr>
        <w:t xml:space="preserve">  八、词语含义</w:t>
      </w:r>
      <w:bookmarkEnd w:id="680"/>
    </w:p>
    <w:p w14:paraId="2F9B746A">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本协议书中词语含义与第二部分通用合同条款中赋予的含义相同。</w:t>
      </w:r>
    </w:p>
    <w:p w14:paraId="3682FC2C">
      <w:pPr>
        <w:keepNext/>
        <w:keepLines/>
        <w:widowControl/>
        <w:snapToGrid w:val="0"/>
        <w:spacing w:before="0" w:after="0" w:line="400" w:lineRule="exact"/>
        <w:jc w:val="left"/>
        <w:outlineLvl w:val="3"/>
        <w:rPr>
          <w:rFonts w:hint="eastAsia" w:ascii="仿宋" w:hAnsi="仿宋" w:eastAsia="仿宋" w:cs="仿宋"/>
          <w:b/>
          <w:bCs w:val="0"/>
          <w:kern w:val="0"/>
          <w:sz w:val="28"/>
          <w:szCs w:val="28"/>
          <w:lang w:val="en-US" w:eastAsia="zh-CN" w:bidi="ar-SA"/>
        </w:rPr>
      </w:pPr>
      <w:r>
        <w:rPr>
          <w:rFonts w:hint="eastAsia" w:ascii="仿宋" w:hAnsi="仿宋" w:eastAsia="仿宋" w:cs="仿宋"/>
          <w:b/>
          <w:bCs w:val="0"/>
          <w:kern w:val="0"/>
          <w:sz w:val="28"/>
          <w:szCs w:val="28"/>
          <w:lang w:val="en-US" w:eastAsia="zh-CN" w:bidi="ar-SA"/>
        </w:rPr>
        <w:t xml:space="preserve">  </w:t>
      </w:r>
      <w:r>
        <w:rPr>
          <w:rFonts w:hint="eastAsia" w:ascii="仿宋" w:hAnsi="仿宋" w:eastAsia="仿宋" w:cs="仿宋"/>
          <w:b w:val="0"/>
          <w:bCs/>
          <w:kern w:val="0"/>
          <w:sz w:val="28"/>
          <w:szCs w:val="28"/>
          <w:lang w:val="en-US" w:eastAsia="zh-CN" w:bidi="ar-SA"/>
        </w:rPr>
        <w:t xml:space="preserve">  </w:t>
      </w:r>
      <w:bookmarkStart w:id="681" w:name="_Toc351203489"/>
      <w:r>
        <w:rPr>
          <w:rFonts w:hint="eastAsia" w:ascii="仿宋" w:hAnsi="仿宋" w:eastAsia="仿宋" w:cs="仿宋"/>
          <w:b w:val="0"/>
          <w:bCs/>
          <w:kern w:val="0"/>
          <w:sz w:val="28"/>
          <w:szCs w:val="28"/>
          <w:lang w:val="en-US" w:eastAsia="zh-CN" w:bidi="ar-SA"/>
        </w:rPr>
        <w:t>九、签订时间</w:t>
      </w:r>
      <w:bookmarkEnd w:id="681"/>
    </w:p>
    <w:p w14:paraId="201F2E6E">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本合同于</w:t>
      </w:r>
      <w:r>
        <w:rPr>
          <w:rFonts w:hint="eastAsia" w:ascii="仿宋" w:hAnsi="仿宋" w:eastAsia="仿宋" w:cs="仿宋"/>
          <w:bCs/>
          <w:kern w:val="2"/>
          <w:sz w:val="28"/>
          <w:szCs w:val="28"/>
          <w:u w:val="single"/>
        </w:rPr>
        <w:t xml:space="preserve">    </w:t>
      </w:r>
      <w:r>
        <w:rPr>
          <w:rFonts w:hint="eastAsia" w:ascii="仿宋" w:hAnsi="仿宋" w:eastAsia="仿宋" w:cs="仿宋"/>
          <w:bCs/>
          <w:kern w:val="2"/>
          <w:sz w:val="28"/>
          <w:szCs w:val="28"/>
        </w:rPr>
        <w:t>年</w:t>
      </w:r>
      <w:r>
        <w:rPr>
          <w:rFonts w:hint="eastAsia" w:ascii="仿宋" w:hAnsi="仿宋" w:eastAsia="仿宋" w:cs="仿宋"/>
          <w:bCs/>
          <w:kern w:val="2"/>
          <w:sz w:val="28"/>
          <w:szCs w:val="28"/>
          <w:u w:val="single"/>
        </w:rPr>
        <w:t xml:space="preserve">    </w:t>
      </w:r>
      <w:r>
        <w:rPr>
          <w:rFonts w:hint="eastAsia" w:ascii="仿宋" w:hAnsi="仿宋" w:eastAsia="仿宋" w:cs="仿宋"/>
          <w:bCs/>
          <w:kern w:val="2"/>
          <w:sz w:val="28"/>
          <w:szCs w:val="28"/>
        </w:rPr>
        <w:t>月</w:t>
      </w:r>
      <w:r>
        <w:rPr>
          <w:rFonts w:hint="eastAsia" w:ascii="仿宋" w:hAnsi="仿宋" w:eastAsia="仿宋" w:cs="仿宋"/>
          <w:bCs/>
          <w:kern w:val="2"/>
          <w:sz w:val="28"/>
          <w:szCs w:val="28"/>
          <w:u w:val="single"/>
        </w:rPr>
        <w:t xml:space="preserve">     </w:t>
      </w:r>
      <w:r>
        <w:rPr>
          <w:rFonts w:hint="eastAsia" w:ascii="仿宋" w:hAnsi="仿宋" w:eastAsia="仿宋" w:cs="仿宋"/>
          <w:bCs/>
          <w:kern w:val="2"/>
          <w:sz w:val="28"/>
          <w:szCs w:val="28"/>
        </w:rPr>
        <w:t>日签订。</w:t>
      </w:r>
    </w:p>
    <w:p w14:paraId="4F0D9E3C">
      <w:pPr>
        <w:snapToGrid w:val="0"/>
        <w:spacing w:line="400" w:lineRule="exact"/>
        <w:rPr>
          <w:rFonts w:hint="eastAsia" w:ascii="仿宋" w:hAnsi="仿宋" w:eastAsia="仿宋" w:cs="仿宋"/>
          <w:bCs/>
          <w:kern w:val="2"/>
          <w:sz w:val="28"/>
          <w:szCs w:val="28"/>
        </w:rPr>
      </w:pPr>
      <w:r>
        <w:rPr>
          <w:rFonts w:hint="eastAsia" w:ascii="仿宋" w:hAnsi="仿宋" w:eastAsia="仿宋" w:cs="仿宋"/>
          <w:bCs/>
          <w:kern w:val="2"/>
          <w:sz w:val="28"/>
          <w:szCs w:val="28"/>
        </w:rPr>
        <w:t xml:space="preserve">    </w:t>
      </w:r>
      <w:bookmarkStart w:id="682" w:name="_Toc351203490"/>
      <w:r>
        <w:rPr>
          <w:rFonts w:hint="eastAsia" w:ascii="仿宋" w:hAnsi="仿宋" w:eastAsia="仿宋" w:cs="仿宋"/>
          <w:bCs/>
          <w:kern w:val="2"/>
          <w:sz w:val="28"/>
          <w:szCs w:val="28"/>
        </w:rPr>
        <w:t>十、签订地点</w:t>
      </w:r>
      <w:bookmarkEnd w:id="682"/>
    </w:p>
    <w:p w14:paraId="1F6023CE">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本合同在</w:t>
      </w:r>
      <w:r>
        <w:rPr>
          <w:rFonts w:hint="eastAsia" w:ascii="仿宋" w:hAnsi="仿宋" w:eastAsia="仿宋" w:cs="仿宋"/>
          <w:bCs/>
          <w:kern w:val="2"/>
          <w:sz w:val="28"/>
          <w:szCs w:val="28"/>
          <w:u w:val="single"/>
        </w:rPr>
        <w:t xml:space="preserve">           </w:t>
      </w:r>
      <w:r>
        <w:rPr>
          <w:rFonts w:hint="eastAsia" w:ascii="仿宋" w:hAnsi="仿宋" w:eastAsia="仿宋" w:cs="仿宋"/>
          <w:kern w:val="2"/>
          <w:sz w:val="28"/>
          <w:szCs w:val="28"/>
          <w:u w:val="single"/>
        </w:rPr>
        <w:t xml:space="preserve"> </w:t>
      </w:r>
      <w:r>
        <w:rPr>
          <w:rFonts w:hint="eastAsia" w:ascii="仿宋" w:hAnsi="仿宋" w:eastAsia="仿宋" w:cs="仿宋"/>
          <w:bCs/>
          <w:kern w:val="2"/>
          <w:sz w:val="28"/>
          <w:szCs w:val="28"/>
        </w:rPr>
        <w:t>签订。</w:t>
      </w:r>
    </w:p>
    <w:p w14:paraId="4938D08D">
      <w:pPr>
        <w:snapToGrid w:val="0"/>
        <w:spacing w:line="400" w:lineRule="exact"/>
        <w:rPr>
          <w:rFonts w:hint="eastAsia" w:ascii="仿宋" w:hAnsi="仿宋" w:eastAsia="仿宋" w:cs="仿宋"/>
          <w:bCs/>
          <w:kern w:val="2"/>
          <w:sz w:val="28"/>
          <w:szCs w:val="28"/>
        </w:rPr>
      </w:pPr>
      <w:r>
        <w:rPr>
          <w:rFonts w:hint="eastAsia" w:ascii="仿宋" w:hAnsi="仿宋" w:eastAsia="仿宋" w:cs="仿宋"/>
          <w:bCs/>
          <w:kern w:val="2"/>
          <w:sz w:val="28"/>
          <w:szCs w:val="28"/>
        </w:rPr>
        <w:t xml:space="preserve">    </w:t>
      </w:r>
      <w:bookmarkStart w:id="683" w:name="_Toc351203491"/>
      <w:r>
        <w:rPr>
          <w:rFonts w:hint="eastAsia" w:ascii="仿宋" w:hAnsi="仿宋" w:eastAsia="仿宋" w:cs="仿宋"/>
          <w:bCs/>
          <w:kern w:val="2"/>
          <w:sz w:val="28"/>
          <w:szCs w:val="28"/>
        </w:rPr>
        <w:t>十一、补充协议</w:t>
      </w:r>
      <w:bookmarkEnd w:id="683"/>
    </w:p>
    <w:p w14:paraId="67BB606D">
      <w:pPr>
        <w:snapToGrid w:val="0"/>
        <w:spacing w:line="400" w:lineRule="exact"/>
        <w:ind w:firstLine="560" w:firstLineChars="200"/>
        <w:rPr>
          <w:rFonts w:hint="eastAsia" w:ascii="仿宋" w:hAnsi="仿宋" w:eastAsia="仿宋" w:cs="仿宋"/>
          <w:b/>
          <w:bCs/>
          <w:kern w:val="2"/>
          <w:sz w:val="28"/>
          <w:szCs w:val="28"/>
        </w:rPr>
      </w:pPr>
      <w:r>
        <w:rPr>
          <w:rFonts w:hint="eastAsia" w:ascii="仿宋" w:hAnsi="仿宋" w:eastAsia="仿宋" w:cs="仿宋"/>
          <w:bCs/>
          <w:kern w:val="2"/>
          <w:sz w:val="28"/>
          <w:szCs w:val="28"/>
        </w:rPr>
        <w:t>合同未尽事宜，合同当事人另行签订补充协议，补充协议是合同的组成部分。</w:t>
      </w:r>
    </w:p>
    <w:p w14:paraId="0F967062">
      <w:pPr>
        <w:keepNext/>
        <w:keepLines/>
        <w:widowControl/>
        <w:snapToGrid w:val="0"/>
        <w:spacing w:before="0" w:after="0" w:line="400" w:lineRule="exact"/>
        <w:jc w:val="left"/>
        <w:outlineLvl w:val="3"/>
        <w:rPr>
          <w:rFonts w:hint="eastAsia" w:ascii="仿宋" w:hAnsi="仿宋" w:eastAsia="仿宋" w:cs="仿宋"/>
          <w:b/>
          <w:bCs w:val="0"/>
          <w:kern w:val="0"/>
          <w:sz w:val="28"/>
          <w:szCs w:val="28"/>
          <w:lang w:val="en-US" w:eastAsia="zh-CN" w:bidi="ar-SA"/>
        </w:rPr>
      </w:pPr>
      <w:r>
        <w:rPr>
          <w:rFonts w:hint="eastAsia" w:ascii="仿宋" w:hAnsi="仿宋" w:eastAsia="仿宋" w:cs="仿宋"/>
          <w:b/>
          <w:bCs w:val="0"/>
          <w:kern w:val="0"/>
          <w:sz w:val="28"/>
          <w:szCs w:val="28"/>
          <w:lang w:val="en-US" w:eastAsia="zh-CN" w:bidi="ar-SA"/>
        </w:rPr>
        <w:t xml:space="preserve">    </w:t>
      </w:r>
      <w:bookmarkStart w:id="684" w:name="_Toc351203492"/>
      <w:r>
        <w:rPr>
          <w:rFonts w:hint="eastAsia" w:ascii="仿宋" w:hAnsi="仿宋" w:eastAsia="仿宋" w:cs="仿宋"/>
          <w:b w:val="0"/>
          <w:bCs/>
          <w:kern w:val="0"/>
          <w:sz w:val="28"/>
          <w:szCs w:val="28"/>
          <w:lang w:val="en-US" w:eastAsia="zh-CN" w:bidi="ar-SA"/>
        </w:rPr>
        <w:t>十二、合同生效</w:t>
      </w:r>
      <w:bookmarkEnd w:id="684"/>
    </w:p>
    <w:p w14:paraId="5A5954C5">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bCs/>
          <w:kern w:val="2"/>
          <w:sz w:val="28"/>
          <w:szCs w:val="28"/>
        </w:rPr>
        <w:t>本合同自</w:t>
      </w:r>
      <w:r>
        <w:rPr>
          <w:rFonts w:hint="eastAsia" w:ascii="仿宋" w:hAnsi="仿宋" w:eastAsia="仿宋" w:cs="仿宋"/>
          <w:bCs/>
          <w:kern w:val="2"/>
          <w:sz w:val="28"/>
          <w:szCs w:val="28"/>
          <w:u w:val="single"/>
        </w:rPr>
        <w:t>除法律另有规定或合同另有约定外,发包人和承包人的法定代表人或其委托代理人在合同协议书上签字并盖单位章后,合同生效</w:t>
      </w:r>
      <w:r>
        <w:rPr>
          <w:rFonts w:hint="eastAsia" w:ascii="仿宋" w:hAnsi="仿宋" w:eastAsia="仿宋" w:cs="仿宋"/>
          <w:bCs/>
          <w:kern w:val="2"/>
          <w:sz w:val="28"/>
          <w:szCs w:val="28"/>
        </w:rPr>
        <w:t>。</w:t>
      </w:r>
    </w:p>
    <w:p w14:paraId="4A93E8B9">
      <w:pPr>
        <w:keepNext/>
        <w:keepLines/>
        <w:widowControl/>
        <w:snapToGrid w:val="0"/>
        <w:spacing w:before="0" w:after="0" w:line="400" w:lineRule="exact"/>
        <w:jc w:val="left"/>
        <w:outlineLvl w:val="3"/>
        <w:rPr>
          <w:rFonts w:hint="eastAsia" w:ascii="仿宋" w:hAnsi="仿宋" w:eastAsia="仿宋" w:cs="仿宋"/>
          <w:b/>
          <w:bCs w:val="0"/>
          <w:kern w:val="0"/>
          <w:sz w:val="28"/>
          <w:szCs w:val="28"/>
          <w:lang w:val="en-US" w:eastAsia="zh-CN" w:bidi="ar-SA"/>
        </w:rPr>
      </w:pPr>
      <w:r>
        <w:rPr>
          <w:rFonts w:hint="eastAsia" w:ascii="仿宋" w:hAnsi="仿宋" w:eastAsia="仿宋" w:cs="仿宋"/>
          <w:b/>
          <w:bCs w:val="0"/>
          <w:kern w:val="0"/>
          <w:sz w:val="28"/>
          <w:szCs w:val="28"/>
          <w:lang w:val="en-US" w:eastAsia="zh-CN" w:bidi="ar-SA"/>
        </w:rPr>
        <w:t xml:space="preserve">    </w:t>
      </w:r>
      <w:bookmarkStart w:id="685" w:name="_Toc351203493"/>
      <w:r>
        <w:rPr>
          <w:rFonts w:hint="eastAsia" w:ascii="仿宋" w:hAnsi="仿宋" w:eastAsia="仿宋" w:cs="仿宋"/>
          <w:b w:val="0"/>
          <w:bCs/>
          <w:kern w:val="0"/>
          <w:sz w:val="28"/>
          <w:szCs w:val="28"/>
          <w:lang w:val="en-US" w:eastAsia="zh-CN" w:bidi="ar-SA"/>
        </w:rPr>
        <w:t>十三、合同份数</w:t>
      </w:r>
      <w:bookmarkEnd w:id="685"/>
    </w:p>
    <w:p w14:paraId="53F81D92">
      <w:pPr>
        <w:snapToGrid w:val="0"/>
        <w:spacing w:line="400" w:lineRule="exact"/>
        <w:ind w:firstLine="560" w:firstLineChars="200"/>
        <w:rPr>
          <w:rFonts w:hint="eastAsia" w:ascii="仿宋" w:hAnsi="仿宋" w:eastAsia="仿宋" w:cs="仿宋"/>
          <w:bCs/>
          <w:kern w:val="2"/>
          <w:sz w:val="28"/>
          <w:szCs w:val="28"/>
        </w:rPr>
      </w:pPr>
      <w:r>
        <w:rPr>
          <w:rFonts w:hint="eastAsia" w:ascii="仿宋" w:hAnsi="仿宋" w:eastAsia="仿宋" w:cs="仿宋"/>
          <w:kern w:val="2"/>
          <w:sz w:val="28"/>
          <w:szCs w:val="28"/>
        </w:rPr>
        <w:t>本合同一式</w:t>
      </w:r>
      <w:r>
        <w:rPr>
          <w:rFonts w:hint="eastAsia" w:ascii="仿宋" w:hAnsi="仿宋" w:eastAsia="仿宋" w:cs="仿宋"/>
          <w:kern w:val="2"/>
          <w:sz w:val="28"/>
          <w:szCs w:val="28"/>
          <w:u w:val="single"/>
        </w:rPr>
        <w:t xml:space="preserve"> 捌</w:t>
      </w:r>
      <w:r>
        <w:rPr>
          <w:rFonts w:hint="eastAsia" w:ascii="仿宋" w:hAnsi="仿宋" w:eastAsia="仿宋" w:cs="仿宋"/>
          <w:kern w:val="2"/>
          <w:sz w:val="28"/>
          <w:szCs w:val="28"/>
        </w:rPr>
        <w:t>份，均具有同等法律效力，发包人执</w:t>
      </w:r>
      <w:r>
        <w:rPr>
          <w:rFonts w:hint="eastAsia" w:ascii="仿宋" w:hAnsi="仿宋" w:eastAsia="仿宋" w:cs="仿宋"/>
          <w:kern w:val="2"/>
          <w:sz w:val="28"/>
          <w:szCs w:val="28"/>
          <w:u w:val="single"/>
        </w:rPr>
        <w:t xml:space="preserve">肆 </w:t>
      </w:r>
      <w:r>
        <w:rPr>
          <w:rFonts w:hint="eastAsia" w:ascii="仿宋" w:hAnsi="仿宋" w:eastAsia="仿宋" w:cs="仿宋"/>
          <w:kern w:val="2"/>
          <w:sz w:val="28"/>
          <w:szCs w:val="28"/>
        </w:rPr>
        <w:t xml:space="preserve">份，承包人执 </w:t>
      </w:r>
      <w:r>
        <w:rPr>
          <w:rFonts w:hint="eastAsia" w:ascii="仿宋" w:hAnsi="仿宋" w:eastAsia="仿宋" w:cs="仿宋"/>
          <w:kern w:val="2"/>
          <w:sz w:val="28"/>
          <w:szCs w:val="28"/>
          <w:u w:val="single"/>
        </w:rPr>
        <w:t xml:space="preserve"> 肆</w:t>
      </w:r>
      <w:r>
        <w:rPr>
          <w:rFonts w:hint="eastAsia" w:ascii="仿宋" w:hAnsi="仿宋" w:eastAsia="仿宋" w:cs="仿宋"/>
          <w:kern w:val="2"/>
          <w:sz w:val="28"/>
          <w:szCs w:val="28"/>
        </w:rPr>
        <w:t>份</w:t>
      </w:r>
      <w:r>
        <w:rPr>
          <w:rFonts w:hint="eastAsia" w:ascii="仿宋" w:hAnsi="仿宋" w:eastAsia="仿宋" w:cs="仿宋"/>
          <w:bCs/>
          <w:kern w:val="2"/>
          <w:sz w:val="28"/>
          <w:szCs w:val="28"/>
        </w:rPr>
        <w:t>。</w:t>
      </w:r>
    </w:p>
    <w:p w14:paraId="3ABA0CDE">
      <w:pPr>
        <w:snapToGrid w:val="0"/>
        <w:spacing w:line="400" w:lineRule="exact"/>
        <w:rPr>
          <w:rFonts w:hint="eastAsia" w:ascii="仿宋" w:hAnsi="仿宋" w:eastAsia="仿宋" w:cs="仿宋"/>
          <w:kern w:val="2"/>
          <w:sz w:val="28"/>
          <w:szCs w:val="28"/>
        </w:rPr>
      </w:pPr>
    </w:p>
    <w:p w14:paraId="742A566E">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发包人：  (公章)                          承包人：  (公章)</w:t>
      </w:r>
    </w:p>
    <w:p w14:paraId="0BAFB3B5">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法定代表人或其委托代理人：                法定代表人或其委托代理人：</w:t>
      </w:r>
    </w:p>
    <w:p w14:paraId="59A005BF">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（签字）                                 （签字）</w:t>
      </w:r>
    </w:p>
    <w:p w14:paraId="11C3657C">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地  址：                                  地  址：                     </w:t>
      </w:r>
    </w:p>
    <w:p w14:paraId="66BD0CA4">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邮政编码：                                邮政编码： </w:t>
      </w:r>
    </w:p>
    <w:p w14:paraId="316236A4">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法定代表人：                              法定代表人： </w:t>
      </w:r>
    </w:p>
    <w:p w14:paraId="42FF71B5">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委托代理人：                              委托代理人：       </w:t>
      </w:r>
    </w:p>
    <w:p w14:paraId="653835E2">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电  话：                                  电  话：  </w:t>
      </w:r>
    </w:p>
    <w:p w14:paraId="0FA0EA58">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电子信箱：                                电子信箱： </w:t>
      </w:r>
    </w:p>
    <w:p w14:paraId="1CC38FAD">
      <w:pPr>
        <w:snapToGrid w:val="0"/>
        <w:spacing w:line="40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开户银行：                                开户银行： </w:t>
      </w:r>
    </w:p>
    <w:p w14:paraId="7B0CF522">
      <w:pPr>
        <w:tabs>
          <w:tab w:val="left" w:pos="0"/>
          <w:tab w:val="left" w:pos="993"/>
          <w:tab w:val="left" w:pos="1134"/>
        </w:tabs>
        <w:adjustRightInd w:val="0"/>
        <w:snapToGrid w:val="0"/>
        <w:spacing w:line="400" w:lineRule="exact"/>
        <w:ind w:right="-258" w:rightChars="-123"/>
        <w:outlineLvl w:val="1"/>
        <w:rPr>
          <w:rFonts w:hint="eastAsia" w:ascii="仿宋" w:hAnsi="仿宋" w:eastAsia="仿宋" w:cs="仿宋"/>
          <w:b/>
          <w:kern w:val="2"/>
          <w:sz w:val="28"/>
          <w:szCs w:val="28"/>
        </w:rPr>
      </w:pPr>
      <w:bookmarkStart w:id="686" w:name="_Toc14250788"/>
      <w:bookmarkStart w:id="687" w:name="_Toc14250931"/>
      <w:bookmarkStart w:id="688" w:name="_Toc14250892"/>
      <w:r>
        <w:rPr>
          <w:rFonts w:hint="eastAsia" w:ascii="仿宋" w:hAnsi="仿宋" w:eastAsia="仿宋" w:cs="仿宋"/>
          <w:kern w:val="2"/>
          <w:sz w:val="28"/>
          <w:szCs w:val="28"/>
        </w:rPr>
        <w:t>账  号：                                  账  号：</w:t>
      </w:r>
      <w:bookmarkEnd w:id="686"/>
      <w:bookmarkEnd w:id="687"/>
      <w:bookmarkEnd w:id="688"/>
      <w:r>
        <w:rPr>
          <w:rFonts w:hint="eastAsia" w:ascii="仿宋" w:hAnsi="仿宋" w:eastAsia="仿宋" w:cs="仿宋"/>
          <w:kern w:val="2"/>
          <w:sz w:val="28"/>
          <w:szCs w:val="28"/>
        </w:rPr>
        <w:t xml:space="preserve">  </w:t>
      </w:r>
    </w:p>
    <w:p w14:paraId="5E97E048">
      <w:pPr>
        <w:adjustRightInd w:val="0"/>
        <w:snapToGrid w:val="0"/>
        <w:spacing w:line="420" w:lineRule="exact"/>
        <w:jc w:val="center"/>
        <w:outlineLvl w:val="1"/>
        <w:rPr>
          <w:rFonts w:hint="eastAsia" w:ascii="仿宋" w:hAnsi="仿宋" w:eastAsia="仿宋" w:cs="仿宋"/>
          <w:b/>
          <w:kern w:val="2"/>
          <w:sz w:val="28"/>
          <w:szCs w:val="28"/>
        </w:rPr>
      </w:pPr>
      <w:bookmarkStart w:id="689" w:name="_Toc484502807"/>
      <w:bookmarkStart w:id="690" w:name="_Toc14250932"/>
    </w:p>
    <w:p w14:paraId="2FAC2343">
      <w:pPr>
        <w:adjustRightInd w:val="0"/>
        <w:snapToGrid w:val="0"/>
        <w:spacing w:line="420" w:lineRule="exact"/>
        <w:jc w:val="center"/>
        <w:outlineLvl w:val="1"/>
        <w:rPr>
          <w:rFonts w:hint="eastAsia" w:ascii="仿宋" w:hAnsi="仿宋" w:eastAsia="仿宋" w:cs="仿宋"/>
          <w:b/>
          <w:kern w:val="2"/>
          <w:sz w:val="28"/>
          <w:szCs w:val="28"/>
        </w:rPr>
      </w:pPr>
    </w:p>
    <w:p w14:paraId="0D4A2AA4">
      <w:pPr>
        <w:adjustRightInd w:val="0"/>
        <w:snapToGrid w:val="0"/>
        <w:spacing w:line="420" w:lineRule="exact"/>
        <w:jc w:val="center"/>
        <w:outlineLvl w:val="1"/>
        <w:rPr>
          <w:rFonts w:hint="eastAsia" w:ascii="仿宋" w:hAnsi="仿宋" w:eastAsia="仿宋" w:cs="仿宋"/>
          <w:b/>
          <w:kern w:val="2"/>
          <w:sz w:val="28"/>
          <w:szCs w:val="28"/>
        </w:rPr>
      </w:pPr>
      <w:r>
        <w:rPr>
          <w:rFonts w:hint="eastAsia" w:ascii="仿宋" w:hAnsi="仿宋" w:eastAsia="仿宋" w:cs="仿宋"/>
          <w:b/>
          <w:kern w:val="2"/>
          <w:sz w:val="28"/>
          <w:szCs w:val="28"/>
        </w:rPr>
        <w:t>第二部分  通用条款</w:t>
      </w:r>
      <w:bookmarkEnd w:id="689"/>
      <w:bookmarkEnd w:id="690"/>
    </w:p>
    <w:p w14:paraId="37715333">
      <w:pPr>
        <w:widowControl w:val="0"/>
        <w:spacing w:line="420" w:lineRule="exact"/>
        <w:jc w:val="center"/>
        <w:rPr>
          <w:rFonts w:hint="eastAsia" w:ascii="仿宋" w:hAnsi="仿宋" w:eastAsia="仿宋" w:cs="仿宋"/>
          <w:b/>
          <w:kern w:val="2"/>
          <w:sz w:val="28"/>
          <w:szCs w:val="28"/>
          <w:lang w:val="en-US" w:eastAsia="zh-CN" w:bidi="ar-SA"/>
        </w:rPr>
      </w:pPr>
      <w:r>
        <w:rPr>
          <w:rFonts w:hint="eastAsia" w:ascii="仿宋" w:hAnsi="仿宋" w:eastAsia="仿宋" w:cs="仿宋"/>
          <w:kern w:val="2"/>
          <w:sz w:val="28"/>
          <w:szCs w:val="28"/>
          <w:lang w:val="en-US" w:eastAsia="zh-CN" w:bidi="ar-SA"/>
        </w:rPr>
        <w:t xml:space="preserve">此部分采用《建设工程施工合同》范本（GF-2017-0201）中《第二部分  通用条款》 </w:t>
      </w:r>
    </w:p>
    <w:p w14:paraId="1D923D89">
      <w:pPr>
        <w:widowControl w:val="0"/>
        <w:spacing w:line="420" w:lineRule="exact"/>
        <w:jc w:val="center"/>
        <w:outlineLvl w:val="1"/>
        <w:rPr>
          <w:rFonts w:hint="eastAsia" w:ascii="仿宋" w:hAnsi="仿宋" w:eastAsia="仿宋" w:cs="仿宋"/>
          <w:b/>
          <w:kern w:val="2"/>
          <w:sz w:val="28"/>
          <w:szCs w:val="28"/>
          <w:lang w:val="en-US" w:eastAsia="zh-CN" w:bidi="ar-SA"/>
        </w:rPr>
      </w:pPr>
      <w:bookmarkStart w:id="691" w:name="_Toc484502808"/>
      <w:bookmarkStart w:id="692" w:name="_Toc14250933"/>
      <w:r>
        <w:rPr>
          <w:rFonts w:hint="eastAsia" w:ascii="仿宋" w:hAnsi="仿宋" w:eastAsia="仿宋" w:cs="仿宋"/>
          <w:b/>
          <w:kern w:val="2"/>
          <w:sz w:val="28"/>
          <w:szCs w:val="28"/>
          <w:lang w:val="en-US" w:eastAsia="zh-CN" w:bidi="ar-SA"/>
        </w:rPr>
        <w:t>第三部分  专用条款</w:t>
      </w:r>
      <w:bookmarkEnd w:id="691"/>
      <w:bookmarkEnd w:id="692"/>
    </w:p>
    <w:p w14:paraId="5D45D98A">
      <w:pPr>
        <w:keepNext/>
        <w:keepLines/>
        <w:widowControl/>
        <w:snapToGrid w:val="0"/>
        <w:spacing w:before="0" w:after="0" w:line="420" w:lineRule="exact"/>
        <w:jc w:val="left"/>
        <w:outlineLvl w:val="3"/>
        <w:rPr>
          <w:rFonts w:hint="eastAsia" w:ascii="仿宋" w:hAnsi="仿宋" w:eastAsia="仿宋" w:cs="仿宋"/>
          <w:b/>
          <w:bCs/>
          <w:kern w:val="0"/>
          <w:sz w:val="28"/>
          <w:szCs w:val="28"/>
          <w:lang w:val="en-US" w:eastAsia="zh-CN" w:bidi="ar-SA"/>
        </w:rPr>
      </w:pPr>
      <w:bookmarkStart w:id="693" w:name="_Toc351203633"/>
      <w:r>
        <w:rPr>
          <w:rFonts w:hint="eastAsia" w:ascii="仿宋" w:hAnsi="仿宋" w:eastAsia="仿宋" w:cs="仿宋"/>
          <w:b/>
          <w:bCs/>
          <w:kern w:val="0"/>
          <w:sz w:val="28"/>
          <w:szCs w:val="28"/>
          <w:lang w:val="en-US" w:eastAsia="zh-CN" w:bidi="ar-SA"/>
        </w:rPr>
        <w:t>1</w:t>
      </w:r>
      <w:bookmarkStart w:id="694" w:name="_Toc296944495"/>
      <w:bookmarkStart w:id="695" w:name="_Toc296346657"/>
      <w:bookmarkStart w:id="696" w:name="_Toc296503156"/>
      <w:bookmarkStart w:id="697" w:name="_Toc292559361"/>
      <w:bookmarkStart w:id="698" w:name="_Toc297120456"/>
      <w:bookmarkStart w:id="699" w:name="_Toc296891196"/>
      <w:bookmarkStart w:id="700" w:name="_Toc296890984"/>
      <w:bookmarkStart w:id="701" w:name="_Toc297048342"/>
      <w:bookmarkStart w:id="702" w:name="_Toc296347155"/>
      <w:bookmarkStart w:id="703" w:name="_Toc292559866"/>
      <w:r>
        <w:rPr>
          <w:rFonts w:hint="eastAsia" w:ascii="仿宋" w:hAnsi="仿宋" w:eastAsia="仿宋" w:cs="仿宋"/>
          <w:b/>
          <w:bCs/>
          <w:kern w:val="0"/>
          <w:sz w:val="28"/>
          <w:szCs w:val="28"/>
          <w:lang w:val="en-US" w:eastAsia="zh-CN" w:bidi="ar-SA"/>
        </w:rPr>
        <w:t>. 一般约定</w:t>
      </w:r>
      <w:bookmarkEnd w:id="693"/>
    </w:p>
    <w:bookmarkEnd w:id="694"/>
    <w:bookmarkEnd w:id="695"/>
    <w:bookmarkEnd w:id="696"/>
    <w:bookmarkEnd w:id="697"/>
    <w:bookmarkEnd w:id="698"/>
    <w:bookmarkEnd w:id="699"/>
    <w:bookmarkEnd w:id="700"/>
    <w:bookmarkEnd w:id="701"/>
    <w:bookmarkEnd w:id="702"/>
    <w:bookmarkEnd w:id="703"/>
    <w:p w14:paraId="6DC0017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 词语定义</w:t>
      </w:r>
    </w:p>
    <w:p w14:paraId="48A1498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1.1.1合同</w:t>
      </w:r>
    </w:p>
    <w:p w14:paraId="732502F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1.1.1.10其他合同文件包括：</w:t>
      </w:r>
      <w:r>
        <w:rPr>
          <w:rFonts w:hint="eastAsia" w:ascii="仿宋" w:hAnsi="仿宋" w:eastAsia="仿宋" w:cs="仿宋"/>
          <w:kern w:val="2"/>
          <w:sz w:val="28"/>
          <w:szCs w:val="28"/>
          <w:u w:val="single"/>
        </w:rPr>
        <w:t>招标文件、答疑纪要、工程量清单及编制说明、投标文件及双方其他书面约定</w:t>
      </w:r>
      <w:r>
        <w:rPr>
          <w:rFonts w:hint="eastAsia" w:ascii="仿宋" w:hAnsi="仿宋" w:eastAsia="仿宋" w:cs="仿宋"/>
          <w:kern w:val="2"/>
          <w:sz w:val="28"/>
          <w:szCs w:val="28"/>
        </w:rPr>
        <w:t>。</w:t>
      </w:r>
    </w:p>
    <w:p w14:paraId="0FDD6E8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1.1.2 合同当事人及其他相关方</w:t>
      </w:r>
    </w:p>
    <w:p w14:paraId="1E9CCF3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1.1.2.4监理人：</w:t>
      </w:r>
    </w:p>
    <w:p w14:paraId="66001CAF">
      <w:pPr>
        <w:snapToGrid w:val="0"/>
        <w:spacing w:line="420" w:lineRule="exact"/>
        <w:ind w:firstLine="700" w:firstLineChars="250"/>
        <w:rPr>
          <w:rFonts w:hint="eastAsia" w:ascii="仿宋" w:hAnsi="仿宋" w:eastAsia="仿宋" w:cs="仿宋"/>
          <w:kern w:val="2"/>
          <w:sz w:val="28"/>
          <w:szCs w:val="28"/>
          <w:u w:val="single"/>
        </w:rPr>
      </w:pPr>
      <w:r>
        <w:rPr>
          <w:rFonts w:hint="eastAsia" w:ascii="仿宋" w:hAnsi="仿宋" w:eastAsia="仿宋" w:cs="仿宋"/>
          <w:kern w:val="2"/>
          <w:sz w:val="28"/>
          <w:szCs w:val="28"/>
        </w:rPr>
        <w:t xml:space="preserve">名    称：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137D3D23">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资质类别和等级：</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4663A93E">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联系电话：</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448359AB">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电子信箱：</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37BB54C7">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通信地址：</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4F49FC1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1.1.2.5 设计人：</w:t>
      </w:r>
    </w:p>
    <w:p w14:paraId="76C213C7">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名    称：</w:t>
      </w:r>
      <w:r>
        <w:rPr>
          <w:rFonts w:hint="eastAsia" w:ascii="仿宋" w:hAnsi="仿宋" w:eastAsia="仿宋" w:cs="仿宋"/>
          <w:kern w:val="2"/>
          <w:sz w:val="28"/>
          <w:szCs w:val="28"/>
          <w:u w:val="single"/>
          <w:lang w:bidi="en-US"/>
        </w:rPr>
        <w:t xml:space="preserve">                       </w:t>
      </w:r>
      <w:r>
        <w:rPr>
          <w:rFonts w:hint="eastAsia" w:ascii="仿宋" w:hAnsi="仿宋" w:eastAsia="仿宋" w:cs="仿宋"/>
          <w:kern w:val="2"/>
          <w:sz w:val="28"/>
          <w:szCs w:val="28"/>
        </w:rPr>
        <w:t>；</w:t>
      </w:r>
    </w:p>
    <w:p w14:paraId="16FB4E1D">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资质类别和等级：</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4ADBE933">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联系电话：</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3E14A711">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电子信箱：</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0A49350B">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通信地址：</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3E0DD03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1.1.3 工程和设备</w:t>
      </w:r>
    </w:p>
    <w:p w14:paraId="15D8D518">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1.1.3.7 作为施工现场组成部分的其他场所包括：</w:t>
      </w:r>
      <w:r>
        <w:rPr>
          <w:rFonts w:hint="eastAsia" w:ascii="仿宋" w:hAnsi="仿宋" w:eastAsia="仿宋" w:cs="仿宋"/>
          <w:kern w:val="2"/>
          <w:sz w:val="28"/>
          <w:szCs w:val="28"/>
          <w:u w:val="single"/>
        </w:rPr>
        <w:t>现场临时办公及施工场地</w:t>
      </w:r>
      <w:r>
        <w:rPr>
          <w:rFonts w:hint="eastAsia" w:ascii="仿宋" w:hAnsi="仿宋" w:eastAsia="仿宋" w:cs="仿宋"/>
          <w:kern w:val="2"/>
          <w:sz w:val="28"/>
          <w:szCs w:val="28"/>
        </w:rPr>
        <w:t>。</w:t>
      </w:r>
    </w:p>
    <w:p w14:paraId="347293DD">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1.1.3.9 永久占地包括：</w:t>
      </w:r>
      <w:r>
        <w:rPr>
          <w:rFonts w:hint="eastAsia" w:ascii="仿宋" w:hAnsi="仿宋" w:eastAsia="仿宋" w:cs="仿宋"/>
          <w:kern w:val="2"/>
          <w:sz w:val="28"/>
          <w:szCs w:val="28"/>
          <w:u w:val="single"/>
        </w:rPr>
        <w:t>现场临时办公及施工场地</w:t>
      </w:r>
      <w:r>
        <w:rPr>
          <w:rFonts w:hint="eastAsia" w:ascii="仿宋" w:hAnsi="仿宋" w:eastAsia="仿宋" w:cs="仿宋"/>
          <w:kern w:val="2"/>
          <w:sz w:val="28"/>
          <w:szCs w:val="28"/>
        </w:rPr>
        <w:t>。</w:t>
      </w:r>
    </w:p>
    <w:p w14:paraId="5703460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1.1.3.10 临时占地包括：</w:t>
      </w:r>
      <w:r>
        <w:rPr>
          <w:rFonts w:hint="eastAsia" w:ascii="仿宋" w:hAnsi="仿宋" w:eastAsia="仿宋" w:cs="仿宋"/>
          <w:kern w:val="2"/>
          <w:sz w:val="28"/>
          <w:szCs w:val="28"/>
          <w:u w:val="single"/>
        </w:rPr>
        <w:t>合同履行中确定</w:t>
      </w:r>
      <w:r>
        <w:rPr>
          <w:rFonts w:hint="eastAsia" w:ascii="仿宋" w:hAnsi="仿宋" w:eastAsia="仿宋" w:cs="仿宋"/>
          <w:kern w:val="2"/>
          <w:sz w:val="28"/>
          <w:szCs w:val="28"/>
        </w:rPr>
        <w:t>。</w:t>
      </w:r>
    </w:p>
    <w:p w14:paraId="6C48FDA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1.3法律 </w:t>
      </w:r>
    </w:p>
    <w:p w14:paraId="43B96CF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适用于合同的其他规范性文件：</w:t>
      </w:r>
      <w:r>
        <w:rPr>
          <w:rFonts w:hint="eastAsia" w:ascii="仿宋" w:hAnsi="仿宋" w:eastAsia="仿宋" w:cs="仿宋"/>
          <w:kern w:val="2"/>
          <w:sz w:val="28"/>
          <w:szCs w:val="28"/>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仿宋" w:hAnsi="仿宋" w:eastAsia="仿宋" w:cs="仿宋"/>
          <w:kern w:val="2"/>
          <w:sz w:val="28"/>
          <w:szCs w:val="28"/>
        </w:rPr>
        <w:t>。</w:t>
      </w:r>
    </w:p>
    <w:p w14:paraId="2892DAE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1.4 标准和规范</w:t>
      </w:r>
    </w:p>
    <w:p w14:paraId="50979B2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1.4.1适用于工程的标准规范包括：</w:t>
      </w:r>
      <w:r>
        <w:rPr>
          <w:rFonts w:hint="eastAsia" w:ascii="仿宋" w:hAnsi="仿宋" w:eastAsia="仿宋" w:cs="仿宋"/>
          <w:kern w:val="2"/>
          <w:sz w:val="28"/>
          <w:szCs w:val="28"/>
          <w:u w:val="single"/>
        </w:rPr>
        <w:t>有关建设工程的标准和规范、规程，建筑质量验收评定标准，施工图纸以及设计文件所载明的标准、规范、规程。</w:t>
      </w:r>
    </w:p>
    <w:p w14:paraId="43913A18">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1.4.2 发包人提供国外标准、规范的名称：</w:t>
      </w:r>
      <w:r>
        <w:rPr>
          <w:rFonts w:hint="eastAsia" w:ascii="仿宋" w:hAnsi="仿宋" w:eastAsia="仿宋" w:cs="仿宋"/>
          <w:kern w:val="2"/>
          <w:sz w:val="28"/>
          <w:szCs w:val="28"/>
          <w:u w:val="single"/>
        </w:rPr>
        <w:t xml:space="preserve">无 </w:t>
      </w:r>
      <w:r>
        <w:rPr>
          <w:rFonts w:hint="eastAsia" w:ascii="仿宋" w:hAnsi="仿宋" w:eastAsia="仿宋" w:cs="仿宋"/>
          <w:kern w:val="2"/>
          <w:sz w:val="28"/>
          <w:szCs w:val="28"/>
        </w:rPr>
        <w:t>；</w:t>
      </w:r>
    </w:p>
    <w:p w14:paraId="1304EE3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发包人提供国外标准、规范的份数：</w:t>
      </w:r>
      <w:r>
        <w:rPr>
          <w:rFonts w:hint="eastAsia" w:ascii="仿宋" w:hAnsi="仿宋" w:eastAsia="仿宋" w:cs="仿宋"/>
          <w:kern w:val="2"/>
          <w:sz w:val="28"/>
          <w:szCs w:val="28"/>
          <w:u w:val="single"/>
        </w:rPr>
        <w:t>无</w:t>
      </w:r>
      <w:r>
        <w:rPr>
          <w:rFonts w:hint="eastAsia" w:ascii="仿宋" w:hAnsi="仿宋" w:eastAsia="仿宋" w:cs="仿宋"/>
          <w:kern w:val="2"/>
          <w:sz w:val="28"/>
          <w:szCs w:val="28"/>
        </w:rPr>
        <w:t>；</w:t>
      </w:r>
    </w:p>
    <w:p w14:paraId="749D564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发包人提供国外标准、规范的名称：</w:t>
      </w:r>
      <w:r>
        <w:rPr>
          <w:rFonts w:hint="eastAsia" w:ascii="仿宋" w:hAnsi="仿宋" w:eastAsia="仿宋" w:cs="仿宋"/>
          <w:kern w:val="2"/>
          <w:sz w:val="28"/>
          <w:szCs w:val="28"/>
          <w:u w:val="single"/>
        </w:rPr>
        <w:t xml:space="preserve">无 </w:t>
      </w:r>
      <w:r>
        <w:rPr>
          <w:rFonts w:hint="eastAsia" w:ascii="仿宋" w:hAnsi="仿宋" w:eastAsia="仿宋" w:cs="仿宋"/>
          <w:kern w:val="2"/>
          <w:sz w:val="28"/>
          <w:szCs w:val="28"/>
        </w:rPr>
        <w:t>。</w:t>
      </w:r>
    </w:p>
    <w:p w14:paraId="1E0860E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1.4.3发包人对工程的技术标准和功能要求的特殊要求：</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E89632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1.5 合同文件的优先顺序</w:t>
      </w:r>
    </w:p>
    <w:p w14:paraId="51C8401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合同文件组成及优先顺序为：</w:t>
      </w:r>
      <w:r>
        <w:rPr>
          <w:rFonts w:hint="eastAsia" w:ascii="仿宋" w:hAnsi="仿宋" w:eastAsia="仿宋" w:cs="仿宋"/>
          <w:kern w:val="2"/>
          <w:sz w:val="28"/>
          <w:szCs w:val="28"/>
          <w:u w:val="single"/>
        </w:rPr>
        <w:t>（1）合同协议书；（2）中标通知书；（3）投标函及其附录；（4）专用合同条款及其附件；（5）通用合同条款；（6）技术标准和要求；（7）已标价工程量清单或预算书；（8）图纸；（9）其他文件</w:t>
      </w:r>
      <w:r>
        <w:rPr>
          <w:rFonts w:hint="eastAsia" w:ascii="仿宋" w:hAnsi="仿宋" w:eastAsia="仿宋" w:cs="仿宋"/>
          <w:kern w:val="2"/>
          <w:sz w:val="28"/>
          <w:szCs w:val="28"/>
        </w:rPr>
        <w:t>。</w:t>
      </w:r>
    </w:p>
    <w:p w14:paraId="71D3474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 图纸和承包人文件</w:t>
      </w:r>
      <w:r>
        <w:rPr>
          <w:rFonts w:hint="eastAsia" w:ascii="仿宋" w:hAnsi="仿宋" w:eastAsia="仿宋" w:cs="仿宋"/>
          <w:kern w:val="2"/>
          <w:sz w:val="28"/>
          <w:szCs w:val="28"/>
        </w:rPr>
        <w:tab/>
      </w:r>
    </w:p>
    <w:p w14:paraId="4EC3D17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1.6.1 图纸的提供</w:t>
      </w:r>
    </w:p>
    <w:p w14:paraId="7AC596A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发包人向承包人提供图纸的期限：</w:t>
      </w:r>
      <w:r>
        <w:rPr>
          <w:rFonts w:hint="eastAsia" w:ascii="仿宋" w:hAnsi="仿宋" w:eastAsia="仿宋" w:cs="仿宋"/>
          <w:kern w:val="2"/>
          <w:sz w:val="28"/>
          <w:szCs w:val="28"/>
          <w:u w:val="single"/>
        </w:rPr>
        <w:t>开工前7天；</w:t>
      </w:r>
    </w:p>
    <w:p w14:paraId="584E7A85">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发包人向承包人提供图纸的数量：</w:t>
      </w:r>
      <w:r>
        <w:rPr>
          <w:rFonts w:hint="eastAsia" w:ascii="仿宋" w:hAnsi="仿宋" w:eastAsia="仿宋" w:cs="仿宋"/>
          <w:kern w:val="2"/>
          <w:sz w:val="28"/>
          <w:szCs w:val="28"/>
          <w:u w:val="single"/>
        </w:rPr>
        <w:t>贰套，承包人可自费复印更多份数（如</w:t>
      </w:r>
      <w:r>
        <w:rPr>
          <w:rFonts w:hint="eastAsia" w:ascii="仿宋" w:hAnsi="仿宋" w:eastAsia="仿宋" w:cs="仿宋"/>
          <w:kern w:val="2"/>
          <w:sz w:val="28"/>
          <w:szCs w:val="28"/>
        </w:rPr>
        <w:t>发包人无图纸请忽略</w:t>
      </w:r>
      <w:r>
        <w:rPr>
          <w:rFonts w:hint="eastAsia" w:ascii="仿宋" w:hAnsi="仿宋" w:eastAsia="仿宋" w:cs="仿宋"/>
          <w:kern w:val="2"/>
          <w:sz w:val="28"/>
          <w:szCs w:val="28"/>
          <w:u w:val="single"/>
        </w:rPr>
        <w:t>）；</w:t>
      </w:r>
    </w:p>
    <w:p w14:paraId="6E14F12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发包人向承包人提供图纸的内容：</w:t>
      </w:r>
      <w:r>
        <w:rPr>
          <w:rFonts w:hint="eastAsia" w:ascii="仿宋" w:hAnsi="仿宋" w:eastAsia="仿宋" w:cs="仿宋"/>
          <w:kern w:val="2"/>
          <w:sz w:val="28"/>
          <w:szCs w:val="28"/>
          <w:u w:val="single"/>
        </w:rPr>
        <w:t>提供经审图合格的全部施工图纸（如发包人无图纸请忽略）。</w:t>
      </w:r>
    </w:p>
    <w:p w14:paraId="50F2608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1.6.4 承包人文件</w:t>
      </w:r>
    </w:p>
    <w:p w14:paraId="204FBAF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需要由承包人提供的文件，包括：</w:t>
      </w:r>
      <w:r>
        <w:rPr>
          <w:rFonts w:hint="eastAsia" w:ascii="仿宋" w:hAnsi="仿宋" w:eastAsia="仿宋" w:cs="仿宋"/>
          <w:kern w:val="2"/>
          <w:sz w:val="28"/>
          <w:szCs w:val="28"/>
          <w:u w:val="single"/>
        </w:rPr>
        <w:t>包含但不限于发包人和监理人要求的各类报表、验收资料及竣工资料、竣工后提供竣工图等；</w:t>
      </w:r>
    </w:p>
    <w:p w14:paraId="67C497F1">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承包人提供的文件的期限为：</w:t>
      </w:r>
      <w:r>
        <w:rPr>
          <w:rFonts w:hint="eastAsia" w:ascii="仿宋" w:hAnsi="仿宋" w:eastAsia="仿宋" w:cs="仿宋"/>
          <w:kern w:val="2"/>
          <w:sz w:val="28"/>
          <w:szCs w:val="28"/>
          <w:u w:val="single"/>
        </w:rPr>
        <w:t>发包人提出要求7天内；</w:t>
      </w:r>
    </w:p>
    <w:p w14:paraId="3F57DEF3">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承包人提供的文件的数量为：</w:t>
      </w:r>
      <w:r>
        <w:rPr>
          <w:rFonts w:hint="eastAsia" w:ascii="仿宋" w:hAnsi="仿宋" w:eastAsia="仿宋" w:cs="仿宋"/>
          <w:kern w:val="2"/>
          <w:sz w:val="28"/>
          <w:szCs w:val="28"/>
          <w:u w:val="single"/>
        </w:rPr>
        <w:t>一式肆份；</w:t>
      </w:r>
    </w:p>
    <w:p w14:paraId="3E9C26A0">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承包人提供的文件的形式为：</w:t>
      </w:r>
      <w:r>
        <w:rPr>
          <w:rFonts w:hint="eastAsia" w:ascii="仿宋" w:hAnsi="仿宋" w:eastAsia="仿宋" w:cs="仿宋"/>
          <w:kern w:val="2"/>
          <w:sz w:val="28"/>
          <w:szCs w:val="28"/>
          <w:u w:val="single"/>
        </w:rPr>
        <w:t>纸质和电子文件；</w:t>
      </w:r>
    </w:p>
    <w:p w14:paraId="4AB8483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发包人审批承包人文件的期限：</w:t>
      </w:r>
      <w:r>
        <w:rPr>
          <w:rFonts w:hint="eastAsia" w:ascii="仿宋" w:hAnsi="仿宋" w:eastAsia="仿宋" w:cs="仿宋"/>
          <w:kern w:val="2"/>
          <w:sz w:val="28"/>
          <w:szCs w:val="28"/>
          <w:u w:val="single"/>
        </w:rPr>
        <w:t>承包人提供相应文件后7天内。</w:t>
      </w:r>
    </w:p>
    <w:p w14:paraId="34579CB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1.6.5 现场图纸准备</w:t>
      </w:r>
    </w:p>
    <w:p w14:paraId="6D3FA6B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关于现场图纸准备的约定</w:t>
      </w:r>
      <w:bookmarkStart w:id="704" w:name="EBbaaf638e2732405bafca1782d48843c5"/>
    </w:p>
    <w:bookmarkEnd w:id="704"/>
    <w:p w14:paraId="10E01881">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承包人应在施工现场另外保存一套完整的图纸和承包人文件，供发包人、监理人及有关人员进行工程检查时使用。</w:t>
      </w:r>
    </w:p>
    <w:p w14:paraId="3F09E40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1.7 联络</w:t>
      </w:r>
    </w:p>
    <w:p w14:paraId="75B9279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1.7.1发包人和承包人应当在</w:t>
      </w:r>
      <w:r>
        <w:rPr>
          <w:rFonts w:hint="eastAsia" w:ascii="仿宋" w:hAnsi="仿宋" w:eastAsia="仿宋" w:cs="仿宋"/>
          <w:kern w:val="2"/>
          <w:sz w:val="28"/>
          <w:szCs w:val="28"/>
          <w:u w:val="single"/>
        </w:rPr>
        <w:t>7</w:t>
      </w:r>
      <w:r>
        <w:rPr>
          <w:rFonts w:hint="eastAsia" w:ascii="仿宋" w:hAnsi="仿宋" w:eastAsia="仿宋" w:cs="仿宋"/>
          <w:kern w:val="2"/>
          <w:sz w:val="28"/>
          <w:szCs w:val="28"/>
        </w:rPr>
        <w:t>天内将与合同有关的通知、批准、证明、证书、指示、指令、要求、请求、同意、意见、确定和决定等书面函件送达对方当事人。</w:t>
      </w:r>
    </w:p>
    <w:p w14:paraId="1CBBFEF0">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1.7.2 发包人接收文件的地点：</w:t>
      </w:r>
      <w:bookmarkStart w:id="705" w:name="EB25030d43e23a49218896c1b06ec48db1"/>
      <w:r>
        <w:rPr>
          <w:rFonts w:hint="eastAsia" w:ascii="仿宋" w:hAnsi="仿宋" w:eastAsia="仿宋" w:cs="仿宋"/>
          <w:kern w:val="2"/>
          <w:sz w:val="28"/>
          <w:szCs w:val="28"/>
          <w:u w:val="single"/>
        </w:rPr>
        <w:t>现场办公室</w:t>
      </w:r>
      <w:bookmarkEnd w:id="705"/>
      <w:r>
        <w:rPr>
          <w:rFonts w:hint="eastAsia" w:ascii="仿宋" w:hAnsi="仿宋" w:eastAsia="仿宋" w:cs="仿宋"/>
          <w:kern w:val="2"/>
          <w:sz w:val="28"/>
          <w:szCs w:val="28"/>
          <w:u w:val="single"/>
        </w:rPr>
        <w:t>；</w:t>
      </w:r>
    </w:p>
    <w:p w14:paraId="288DCE3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发包人指定的接收人为：</w:t>
      </w:r>
      <w:r>
        <w:rPr>
          <w:rFonts w:hint="eastAsia" w:ascii="仿宋" w:hAnsi="仿宋" w:eastAsia="仿宋" w:cs="仿宋"/>
          <w:kern w:val="2"/>
          <w:sz w:val="28"/>
          <w:szCs w:val="28"/>
          <w:u w:val="single"/>
        </w:rPr>
        <w:t>发包人代表或其授权代表。</w:t>
      </w:r>
    </w:p>
    <w:p w14:paraId="738E7AC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承包人接收文件的地点：</w:t>
      </w:r>
      <w:r>
        <w:rPr>
          <w:rFonts w:hint="eastAsia" w:ascii="仿宋" w:hAnsi="仿宋" w:eastAsia="仿宋" w:cs="仿宋"/>
          <w:kern w:val="2"/>
          <w:sz w:val="28"/>
          <w:szCs w:val="28"/>
          <w:u w:val="single"/>
        </w:rPr>
        <w:t>现场办公室；</w:t>
      </w:r>
    </w:p>
    <w:p w14:paraId="653BF6E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承包人指定的接收人为：</w:t>
      </w:r>
      <w:r>
        <w:rPr>
          <w:rFonts w:hint="eastAsia" w:ascii="仿宋" w:hAnsi="仿宋" w:eastAsia="仿宋" w:cs="仿宋"/>
          <w:kern w:val="2"/>
          <w:sz w:val="28"/>
          <w:szCs w:val="28"/>
          <w:u w:val="single"/>
        </w:rPr>
        <w:t>项目负责人或其授权代表。</w:t>
      </w:r>
    </w:p>
    <w:p w14:paraId="1724EEF8">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监理人接收文件的地点：</w:t>
      </w:r>
      <w:bookmarkStart w:id="706" w:name="EBbcec9e19f7da42ce9a8a7598a1e463c7"/>
      <w:r>
        <w:rPr>
          <w:rFonts w:hint="eastAsia" w:ascii="仿宋" w:hAnsi="仿宋" w:eastAsia="仿宋" w:cs="仿宋"/>
          <w:kern w:val="2"/>
          <w:sz w:val="28"/>
          <w:szCs w:val="28"/>
          <w:u w:val="single"/>
        </w:rPr>
        <w:t>现场办公室</w:t>
      </w:r>
      <w:bookmarkEnd w:id="706"/>
      <w:r>
        <w:rPr>
          <w:rFonts w:hint="eastAsia" w:ascii="仿宋" w:hAnsi="仿宋" w:eastAsia="仿宋" w:cs="仿宋"/>
          <w:kern w:val="2"/>
          <w:sz w:val="28"/>
          <w:szCs w:val="28"/>
          <w:u w:val="single"/>
        </w:rPr>
        <w:t>；</w:t>
      </w:r>
    </w:p>
    <w:p w14:paraId="179E513F">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监理人指定的接收人为：</w:t>
      </w:r>
      <w:r>
        <w:rPr>
          <w:rFonts w:hint="eastAsia" w:ascii="仿宋" w:hAnsi="仿宋" w:eastAsia="仿宋" w:cs="仿宋"/>
          <w:kern w:val="2"/>
          <w:sz w:val="28"/>
          <w:szCs w:val="28"/>
          <w:u w:val="single"/>
        </w:rPr>
        <w:t>总监理工程师或其授权代表。</w:t>
      </w:r>
    </w:p>
    <w:p w14:paraId="3B286AE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1.10 交通运输</w:t>
      </w:r>
    </w:p>
    <w:p w14:paraId="16E6613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bookmarkStart w:id="707" w:name="_Toc300934943"/>
      <w:bookmarkStart w:id="708" w:name="_Toc303539100"/>
      <w:bookmarkStart w:id="709" w:name="_Toc318581155"/>
      <w:bookmarkStart w:id="710" w:name="_Toc312677986"/>
      <w:bookmarkStart w:id="711" w:name="_Toc304295521"/>
      <w:r>
        <w:rPr>
          <w:rFonts w:hint="eastAsia" w:ascii="仿宋" w:hAnsi="仿宋" w:eastAsia="仿宋" w:cs="仿宋"/>
          <w:kern w:val="2"/>
          <w:sz w:val="28"/>
          <w:szCs w:val="28"/>
        </w:rPr>
        <w:t>.10.1 出入现场的权利</w:t>
      </w:r>
    </w:p>
    <w:p w14:paraId="3C3A0D81">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关于出入现场的权利的约定：</w:t>
      </w:r>
      <w:r>
        <w:rPr>
          <w:rFonts w:hint="eastAsia" w:ascii="仿宋" w:hAnsi="仿宋" w:eastAsia="仿宋" w:cs="仿宋"/>
          <w:kern w:val="2"/>
          <w:sz w:val="28"/>
          <w:szCs w:val="28"/>
          <w:u w:val="single"/>
        </w:rPr>
        <w:t>按发包人要求执行。</w:t>
      </w:r>
    </w:p>
    <w:bookmarkEnd w:id="707"/>
    <w:bookmarkEnd w:id="708"/>
    <w:bookmarkEnd w:id="709"/>
    <w:bookmarkEnd w:id="710"/>
    <w:bookmarkEnd w:id="711"/>
    <w:p w14:paraId="6A4F352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bookmarkStart w:id="712" w:name="_Toc312677987"/>
      <w:bookmarkStart w:id="713" w:name="_Toc304295522"/>
      <w:bookmarkStart w:id="714" w:name="_Toc300934944"/>
      <w:bookmarkStart w:id="715" w:name="_Toc318581156"/>
      <w:bookmarkStart w:id="716" w:name="_Toc303539101"/>
      <w:r>
        <w:rPr>
          <w:rFonts w:hint="eastAsia" w:ascii="仿宋" w:hAnsi="仿宋" w:eastAsia="仿宋" w:cs="仿宋"/>
          <w:kern w:val="2"/>
          <w:sz w:val="28"/>
          <w:szCs w:val="28"/>
        </w:rPr>
        <w:t>.10.3 场内交通</w:t>
      </w:r>
    </w:p>
    <w:p w14:paraId="002128B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关于场外交通和场内交通的边界的约定：</w:t>
      </w:r>
      <w:r>
        <w:rPr>
          <w:rFonts w:hint="eastAsia" w:ascii="仿宋" w:hAnsi="仿宋" w:eastAsia="仿宋" w:cs="仿宋"/>
          <w:kern w:val="2"/>
          <w:sz w:val="28"/>
          <w:szCs w:val="28"/>
          <w:u w:val="single"/>
        </w:rPr>
        <w:t>以规划总平图红线为边界。</w:t>
      </w:r>
    </w:p>
    <w:p w14:paraId="4E7F311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关于发包人向承包人免费提供满足工程施工需要的场内道路和交通设施的约定：</w:t>
      </w:r>
      <w:bookmarkEnd w:id="712"/>
      <w:bookmarkEnd w:id="713"/>
      <w:bookmarkEnd w:id="714"/>
      <w:bookmarkEnd w:id="715"/>
      <w:bookmarkEnd w:id="716"/>
      <w:r>
        <w:rPr>
          <w:rFonts w:hint="eastAsia" w:ascii="仿宋" w:hAnsi="仿宋" w:eastAsia="仿宋" w:cs="仿宋"/>
          <w:kern w:val="2"/>
          <w:sz w:val="28"/>
          <w:szCs w:val="28"/>
          <w:u w:val="single"/>
        </w:rPr>
        <w:t>以现场实际施工条件为准。</w:t>
      </w:r>
      <w:bookmarkStart w:id="717" w:name="_Toc318581157"/>
    </w:p>
    <w:p w14:paraId="53AE470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1.10.4超大件和超重件的运输</w:t>
      </w:r>
    </w:p>
    <w:p w14:paraId="42AD281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运输超大件或超重件所需的道路和桥梁临时加固改造费用和其他有关费用由</w:t>
      </w:r>
      <w:r>
        <w:rPr>
          <w:rFonts w:hint="eastAsia" w:ascii="仿宋" w:hAnsi="仿宋" w:eastAsia="仿宋" w:cs="仿宋"/>
          <w:kern w:val="2"/>
          <w:sz w:val="28"/>
          <w:szCs w:val="28"/>
          <w:u w:val="single"/>
        </w:rPr>
        <w:t xml:space="preserve"> 承包人 </w:t>
      </w:r>
      <w:r>
        <w:rPr>
          <w:rFonts w:hint="eastAsia" w:ascii="仿宋" w:hAnsi="仿宋" w:eastAsia="仿宋" w:cs="仿宋"/>
          <w:kern w:val="2"/>
          <w:sz w:val="28"/>
          <w:szCs w:val="28"/>
        </w:rPr>
        <w:t>承担。</w:t>
      </w:r>
    </w:p>
    <w:bookmarkEnd w:id="717"/>
    <w:p w14:paraId="5620566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1.11 知识产权</w:t>
      </w:r>
    </w:p>
    <w:p w14:paraId="2933EA0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kern w:val="2"/>
          <w:sz w:val="28"/>
          <w:szCs w:val="28"/>
          <w:u w:val="single"/>
        </w:rPr>
        <w:t>归发包人所有</w:t>
      </w:r>
      <w:r>
        <w:rPr>
          <w:rFonts w:hint="eastAsia" w:ascii="仿宋" w:hAnsi="仿宋" w:eastAsia="仿宋" w:cs="仿宋"/>
          <w:kern w:val="2"/>
          <w:sz w:val="28"/>
          <w:szCs w:val="28"/>
        </w:rPr>
        <w:t>。</w:t>
      </w:r>
    </w:p>
    <w:p w14:paraId="474062C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关于发包人提供的上述文件的使用限制的要求：</w:t>
      </w:r>
      <w:r>
        <w:rPr>
          <w:rFonts w:hint="eastAsia" w:ascii="仿宋" w:hAnsi="仿宋" w:eastAsia="仿宋" w:cs="仿宋"/>
          <w:kern w:val="2"/>
          <w:sz w:val="28"/>
          <w:szCs w:val="28"/>
          <w:u w:val="single"/>
        </w:rPr>
        <w:t>由发包人和监理人提供的图纸和其他文件未经发包人许可，承包人不得用于或转给第三方，为此承包人自愿按国家有关法律法规和政策及本合同约定履行保密义务，如果对公开有关信息的必要性产生争执，则以发包人的决定为准</w:t>
      </w:r>
      <w:r>
        <w:rPr>
          <w:rFonts w:hint="eastAsia" w:ascii="仿宋" w:hAnsi="仿宋" w:eastAsia="仿宋" w:cs="仿宋"/>
          <w:kern w:val="2"/>
          <w:sz w:val="28"/>
          <w:szCs w:val="28"/>
        </w:rPr>
        <w:t>。</w:t>
      </w:r>
    </w:p>
    <w:p w14:paraId="3FA3C0B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1.11.2 关于承包人为实施工程所编制文件的著作权的归属：</w:t>
      </w:r>
      <w:r>
        <w:rPr>
          <w:rFonts w:hint="eastAsia" w:ascii="仿宋" w:hAnsi="仿宋" w:eastAsia="仿宋" w:cs="仿宋"/>
          <w:kern w:val="2"/>
          <w:sz w:val="28"/>
          <w:szCs w:val="28"/>
          <w:u w:val="single"/>
        </w:rPr>
        <w:t>归承包人所有。</w:t>
      </w:r>
    </w:p>
    <w:p w14:paraId="5A266633">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关于承包人提供的上述文件的使用限制的要求：</w:t>
      </w:r>
      <w:r>
        <w:rPr>
          <w:rFonts w:hint="eastAsia" w:ascii="仿宋" w:hAnsi="仿宋" w:eastAsia="仿宋" w:cs="仿宋"/>
          <w:kern w:val="2"/>
          <w:sz w:val="28"/>
          <w:szCs w:val="28"/>
          <w:u w:val="single"/>
        </w:rPr>
        <w:t>仅限于此工程项目。</w:t>
      </w:r>
    </w:p>
    <w:p w14:paraId="4A602FD0">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1.11.4 承包人在施工过程中所采用的专利、专有技术、技术秘密的使用费的承担方式：</w:t>
      </w:r>
      <w:r>
        <w:rPr>
          <w:rFonts w:hint="eastAsia" w:ascii="仿宋" w:hAnsi="仿宋" w:eastAsia="仿宋" w:cs="仿宋"/>
          <w:kern w:val="2"/>
          <w:sz w:val="28"/>
          <w:szCs w:val="28"/>
          <w:u w:val="single"/>
        </w:rPr>
        <w:t>执行通用条款。</w:t>
      </w:r>
    </w:p>
    <w:p w14:paraId="1B92724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1.13工程量清单错误的修正</w:t>
      </w:r>
    </w:p>
    <w:p w14:paraId="0220BF03">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出现工程量清单错误时，是否调整合同价格：</w:t>
      </w:r>
      <w:r>
        <w:rPr>
          <w:rFonts w:hint="eastAsia" w:ascii="仿宋" w:hAnsi="仿宋" w:eastAsia="仿宋" w:cs="仿宋"/>
          <w:kern w:val="2"/>
          <w:sz w:val="28"/>
          <w:szCs w:val="28"/>
          <w:u w:val="single"/>
        </w:rPr>
        <w:t xml:space="preserve"> / 。</w:t>
      </w:r>
    </w:p>
    <w:p w14:paraId="4A9D041A">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允许调整合同价格的工程量偏差范围：</w:t>
      </w:r>
      <w:r>
        <w:rPr>
          <w:rFonts w:hint="eastAsia" w:ascii="仿宋" w:hAnsi="仿宋" w:eastAsia="仿宋" w:cs="仿宋"/>
          <w:kern w:val="2"/>
          <w:sz w:val="28"/>
          <w:szCs w:val="28"/>
          <w:u w:val="single"/>
        </w:rPr>
        <w:t>/ 。</w:t>
      </w:r>
    </w:p>
    <w:p w14:paraId="663041DB">
      <w:pPr>
        <w:snapToGrid w:val="0"/>
        <w:spacing w:line="420" w:lineRule="exact"/>
        <w:rPr>
          <w:rFonts w:hint="eastAsia" w:ascii="仿宋" w:hAnsi="仿宋" w:eastAsia="仿宋" w:cs="仿宋"/>
          <w:b/>
          <w:kern w:val="2"/>
          <w:sz w:val="28"/>
          <w:szCs w:val="28"/>
        </w:rPr>
      </w:pPr>
      <w:bookmarkStart w:id="718" w:name="_Toc351203634"/>
      <w:r>
        <w:rPr>
          <w:rFonts w:hint="eastAsia" w:ascii="仿宋" w:hAnsi="仿宋" w:eastAsia="仿宋" w:cs="仿宋"/>
          <w:b/>
          <w:kern w:val="2"/>
          <w:sz w:val="28"/>
          <w:szCs w:val="28"/>
        </w:rPr>
        <w:t>2</w:t>
      </w:r>
      <w:bookmarkStart w:id="719" w:name="_Toc296346658"/>
      <w:bookmarkStart w:id="720" w:name="_Toc296347156"/>
      <w:bookmarkStart w:id="721" w:name="_Toc292559867"/>
      <w:bookmarkStart w:id="722" w:name="_Toc296503157"/>
      <w:bookmarkStart w:id="723" w:name="_Toc296891197"/>
      <w:bookmarkStart w:id="724" w:name="_Toc292559362"/>
      <w:bookmarkStart w:id="725" w:name="_Toc296944496"/>
      <w:bookmarkStart w:id="726" w:name="_Toc297120457"/>
      <w:bookmarkStart w:id="727" w:name="_Toc297048343"/>
      <w:bookmarkStart w:id="728" w:name="_Toc296890985"/>
      <w:r>
        <w:rPr>
          <w:rFonts w:hint="eastAsia" w:ascii="仿宋" w:hAnsi="仿宋" w:eastAsia="仿宋" w:cs="仿宋"/>
          <w:b/>
          <w:kern w:val="2"/>
          <w:sz w:val="28"/>
          <w:szCs w:val="28"/>
        </w:rPr>
        <w:t>. 发包人</w:t>
      </w:r>
      <w:bookmarkEnd w:id="718"/>
    </w:p>
    <w:bookmarkEnd w:id="719"/>
    <w:bookmarkEnd w:id="720"/>
    <w:bookmarkEnd w:id="721"/>
    <w:bookmarkEnd w:id="722"/>
    <w:bookmarkEnd w:id="723"/>
    <w:bookmarkEnd w:id="724"/>
    <w:bookmarkEnd w:id="725"/>
    <w:bookmarkEnd w:id="726"/>
    <w:bookmarkEnd w:id="727"/>
    <w:bookmarkEnd w:id="728"/>
    <w:p w14:paraId="3B0C8FA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2.2 发包人代表</w:t>
      </w:r>
    </w:p>
    <w:p w14:paraId="66EC34A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发包人代表：</w:t>
      </w:r>
    </w:p>
    <w:p w14:paraId="6FB0357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姓    名：</w:t>
      </w:r>
      <w:r>
        <w:rPr>
          <w:rFonts w:hint="eastAsia" w:ascii="仿宋" w:hAnsi="仿宋" w:eastAsia="仿宋" w:cs="仿宋"/>
          <w:kern w:val="2"/>
          <w:sz w:val="28"/>
          <w:szCs w:val="28"/>
          <w:u w:val="single"/>
        </w:rPr>
        <w:t xml:space="preserve">              ；</w:t>
      </w:r>
    </w:p>
    <w:p w14:paraId="199B889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身份证号：</w:t>
      </w:r>
      <w:r>
        <w:rPr>
          <w:rFonts w:hint="eastAsia" w:ascii="仿宋" w:hAnsi="仿宋" w:eastAsia="仿宋" w:cs="仿宋"/>
          <w:kern w:val="2"/>
          <w:sz w:val="28"/>
          <w:szCs w:val="28"/>
          <w:u w:val="single"/>
        </w:rPr>
        <w:t xml:space="preserve">              ；</w:t>
      </w:r>
    </w:p>
    <w:p w14:paraId="4822C4C1">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职    务：</w:t>
      </w:r>
      <w:r>
        <w:rPr>
          <w:rFonts w:hint="eastAsia" w:ascii="仿宋" w:hAnsi="仿宋" w:eastAsia="仿宋" w:cs="仿宋"/>
          <w:kern w:val="2"/>
          <w:sz w:val="28"/>
          <w:szCs w:val="28"/>
          <w:u w:val="single"/>
        </w:rPr>
        <w:t xml:space="preserve">              ；</w:t>
      </w:r>
    </w:p>
    <w:p w14:paraId="4A9C285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联系电话：</w:t>
      </w:r>
      <w:r>
        <w:rPr>
          <w:rFonts w:hint="eastAsia" w:ascii="仿宋" w:hAnsi="仿宋" w:eastAsia="仿宋" w:cs="仿宋"/>
          <w:kern w:val="2"/>
          <w:sz w:val="28"/>
          <w:szCs w:val="28"/>
          <w:u w:val="single"/>
        </w:rPr>
        <w:t xml:space="preserve">              ；</w:t>
      </w:r>
    </w:p>
    <w:p w14:paraId="202F163A">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电子信箱：</w:t>
      </w:r>
      <w:r>
        <w:rPr>
          <w:rFonts w:hint="eastAsia" w:ascii="仿宋" w:hAnsi="仿宋" w:eastAsia="仿宋" w:cs="仿宋"/>
          <w:kern w:val="2"/>
          <w:sz w:val="28"/>
          <w:szCs w:val="28"/>
          <w:u w:val="single"/>
        </w:rPr>
        <w:t xml:space="preserve">              ；</w:t>
      </w:r>
    </w:p>
    <w:p w14:paraId="3923629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通信地址：</w:t>
      </w:r>
      <w:r>
        <w:rPr>
          <w:rFonts w:hint="eastAsia" w:ascii="仿宋" w:hAnsi="仿宋" w:eastAsia="仿宋" w:cs="仿宋"/>
          <w:kern w:val="2"/>
          <w:sz w:val="28"/>
          <w:szCs w:val="28"/>
          <w:u w:val="single"/>
        </w:rPr>
        <w:t xml:space="preserve">              。</w:t>
      </w:r>
    </w:p>
    <w:p w14:paraId="3CF406D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发包人对发包人代表的授权范围如下：</w:t>
      </w:r>
      <w:r>
        <w:rPr>
          <w:rFonts w:hint="eastAsia" w:ascii="仿宋" w:hAnsi="仿宋" w:eastAsia="仿宋" w:cs="仿宋"/>
          <w:kern w:val="2"/>
          <w:sz w:val="28"/>
          <w:szCs w:val="28"/>
          <w:u w:val="single"/>
        </w:rPr>
        <w:t>按发包人要求执行 。</w:t>
      </w:r>
    </w:p>
    <w:p w14:paraId="0696EE7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2.4 施工现场、施工条件和基础资料的提供</w:t>
      </w:r>
    </w:p>
    <w:p w14:paraId="03AB2C5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2.4.1 提供施工现场</w:t>
      </w:r>
    </w:p>
    <w:p w14:paraId="4841080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关于发包人移交施工现场的期限要求：</w:t>
      </w:r>
      <w:r>
        <w:rPr>
          <w:rFonts w:hint="eastAsia" w:ascii="仿宋" w:hAnsi="仿宋" w:eastAsia="仿宋" w:cs="仿宋"/>
          <w:kern w:val="2"/>
          <w:sz w:val="28"/>
          <w:szCs w:val="28"/>
          <w:u w:val="single"/>
        </w:rPr>
        <w:t xml:space="preserve">按发包人要求执行  </w:t>
      </w:r>
      <w:r>
        <w:rPr>
          <w:rFonts w:hint="eastAsia" w:ascii="仿宋" w:hAnsi="仿宋" w:eastAsia="仿宋" w:cs="仿宋"/>
          <w:kern w:val="2"/>
          <w:sz w:val="28"/>
          <w:szCs w:val="28"/>
        </w:rPr>
        <w:t>。</w:t>
      </w:r>
    </w:p>
    <w:p w14:paraId="4C9B882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2.4.2 提供施工条件</w:t>
      </w:r>
    </w:p>
    <w:p w14:paraId="002C2D0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关于发包人应负责提供施工所需要的条件，包括：</w:t>
      </w:r>
      <w:bookmarkStart w:id="729" w:name="EB7fe94723d337418f9b4c72244f39b38b"/>
    </w:p>
    <w:bookmarkEnd w:id="729"/>
    <w:p w14:paraId="36591F9D">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1、若承包人在施工过程中盗用消防水，所产生的相应责任都由承包人承担；</w:t>
      </w:r>
    </w:p>
    <w:p w14:paraId="477721F5">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2、本工程水、电费用已包含在结算价中。</w:t>
      </w:r>
    </w:p>
    <w:p w14:paraId="7632166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2.5 资金来源证明及支付担保</w:t>
      </w:r>
    </w:p>
    <w:p w14:paraId="1CDE23C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发包人提供资金来源证明的期限要求：</w:t>
      </w:r>
      <w:r>
        <w:rPr>
          <w:rFonts w:hint="eastAsia" w:ascii="仿宋" w:hAnsi="仿宋" w:eastAsia="仿宋" w:cs="仿宋"/>
          <w:kern w:val="2"/>
          <w:sz w:val="28"/>
          <w:szCs w:val="28"/>
          <w:u w:val="single"/>
        </w:rPr>
        <w:t xml:space="preserve">  /  。</w:t>
      </w:r>
    </w:p>
    <w:p w14:paraId="23E3BC2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发包人是否提供支付担保：</w:t>
      </w:r>
      <w:r>
        <w:rPr>
          <w:rFonts w:hint="eastAsia" w:ascii="仿宋" w:hAnsi="仿宋" w:eastAsia="仿宋" w:cs="仿宋"/>
          <w:kern w:val="2"/>
          <w:sz w:val="28"/>
          <w:szCs w:val="28"/>
          <w:u w:val="single"/>
        </w:rPr>
        <w:t>否 。</w:t>
      </w:r>
    </w:p>
    <w:p w14:paraId="6DC4AEA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发包人提供支付担保的形式：</w:t>
      </w:r>
      <w:r>
        <w:rPr>
          <w:rFonts w:hint="eastAsia" w:ascii="仿宋" w:hAnsi="仿宋" w:eastAsia="仿宋" w:cs="仿宋"/>
          <w:kern w:val="2"/>
          <w:sz w:val="28"/>
          <w:szCs w:val="28"/>
          <w:u w:val="single"/>
        </w:rPr>
        <w:t>无。</w:t>
      </w:r>
    </w:p>
    <w:p w14:paraId="6F884AAA">
      <w:pPr>
        <w:keepNext/>
        <w:keepLines/>
        <w:widowControl/>
        <w:snapToGrid w:val="0"/>
        <w:spacing w:before="0" w:after="0" w:line="420" w:lineRule="exact"/>
        <w:jc w:val="left"/>
        <w:outlineLvl w:val="3"/>
        <w:rPr>
          <w:rFonts w:hint="eastAsia" w:ascii="仿宋" w:hAnsi="仿宋" w:eastAsia="仿宋" w:cs="仿宋"/>
          <w:b/>
          <w:bCs/>
          <w:kern w:val="0"/>
          <w:sz w:val="28"/>
          <w:szCs w:val="28"/>
          <w:lang w:val="en-US" w:eastAsia="zh-CN" w:bidi="ar-SA"/>
        </w:rPr>
      </w:pPr>
      <w:bookmarkStart w:id="730" w:name="_Toc351203635"/>
      <w:r>
        <w:rPr>
          <w:rFonts w:hint="eastAsia" w:ascii="仿宋" w:hAnsi="仿宋" w:eastAsia="仿宋" w:cs="仿宋"/>
          <w:b/>
          <w:bCs/>
          <w:kern w:val="0"/>
          <w:sz w:val="28"/>
          <w:szCs w:val="28"/>
          <w:lang w:val="en-US" w:eastAsia="zh-CN" w:bidi="ar-SA"/>
        </w:rPr>
        <w:t>3</w:t>
      </w:r>
      <w:bookmarkStart w:id="731" w:name="_Toc296890986"/>
      <w:bookmarkStart w:id="732" w:name="_Toc292559868"/>
      <w:bookmarkStart w:id="733" w:name="_Toc292559363"/>
      <w:bookmarkStart w:id="734" w:name="_Toc297120458"/>
      <w:bookmarkStart w:id="735" w:name="_Toc296891198"/>
      <w:bookmarkStart w:id="736" w:name="_Toc296346659"/>
      <w:bookmarkStart w:id="737" w:name="_Toc296503158"/>
      <w:bookmarkStart w:id="738" w:name="_Toc296347157"/>
      <w:bookmarkStart w:id="739" w:name="_Toc296944497"/>
      <w:bookmarkStart w:id="740" w:name="_Toc297048344"/>
      <w:r>
        <w:rPr>
          <w:rFonts w:hint="eastAsia" w:ascii="仿宋" w:hAnsi="仿宋" w:eastAsia="仿宋" w:cs="仿宋"/>
          <w:b/>
          <w:bCs/>
          <w:kern w:val="0"/>
          <w:sz w:val="28"/>
          <w:szCs w:val="28"/>
          <w:lang w:val="en-US" w:eastAsia="zh-CN" w:bidi="ar-SA"/>
        </w:rPr>
        <w:t>. 承包人</w:t>
      </w:r>
      <w:bookmarkEnd w:id="730"/>
    </w:p>
    <w:bookmarkEnd w:id="731"/>
    <w:bookmarkEnd w:id="732"/>
    <w:bookmarkEnd w:id="733"/>
    <w:bookmarkEnd w:id="734"/>
    <w:bookmarkEnd w:id="735"/>
    <w:bookmarkEnd w:id="736"/>
    <w:bookmarkEnd w:id="737"/>
    <w:bookmarkEnd w:id="738"/>
    <w:bookmarkEnd w:id="739"/>
    <w:bookmarkEnd w:id="740"/>
    <w:p w14:paraId="6F3EAED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3.1 承包人的一般义务</w:t>
      </w:r>
    </w:p>
    <w:p w14:paraId="23BB3222">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rPr>
        <w:t>3.1.1承包人提交的竣工资料的内容：</w:t>
      </w:r>
      <w:r>
        <w:rPr>
          <w:rFonts w:hint="eastAsia" w:ascii="仿宋" w:hAnsi="仿宋" w:eastAsia="仿宋" w:cs="仿宋"/>
          <w:kern w:val="2"/>
          <w:sz w:val="28"/>
          <w:szCs w:val="28"/>
          <w:u w:val="single"/>
        </w:rPr>
        <w:t>包括但不限于提交符合发包人、城建档案馆和质检监督部门要求的竣工图及竣工资料；并提交完整的结算资料 。</w:t>
      </w:r>
    </w:p>
    <w:p w14:paraId="1DB54196">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承包人需要提交的竣工资料套数：</w:t>
      </w:r>
      <w:r>
        <w:rPr>
          <w:rFonts w:hint="eastAsia" w:ascii="仿宋" w:hAnsi="仿宋" w:eastAsia="仿宋" w:cs="仿宋"/>
          <w:kern w:val="2"/>
          <w:sz w:val="28"/>
          <w:szCs w:val="28"/>
          <w:u w:val="single"/>
        </w:rPr>
        <w:t>一式肆份。</w:t>
      </w:r>
    </w:p>
    <w:p w14:paraId="425E196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承包人提交的竣工资料的费用承担：</w:t>
      </w:r>
      <w:r>
        <w:rPr>
          <w:rFonts w:hint="eastAsia" w:ascii="仿宋" w:hAnsi="仿宋" w:eastAsia="仿宋" w:cs="仿宋"/>
          <w:kern w:val="2"/>
          <w:sz w:val="28"/>
          <w:szCs w:val="28"/>
          <w:u w:val="single"/>
        </w:rPr>
        <w:t>由承包人自行承担。</w:t>
      </w:r>
    </w:p>
    <w:p w14:paraId="38D8D10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承包人提交的竣工资料移交时间：</w:t>
      </w:r>
      <w:r>
        <w:rPr>
          <w:rFonts w:hint="eastAsia" w:ascii="仿宋" w:hAnsi="仿宋" w:eastAsia="仿宋" w:cs="仿宋"/>
          <w:kern w:val="2"/>
          <w:sz w:val="28"/>
          <w:szCs w:val="28"/>
          <w:u w:val="single"/>
        </w:rPr>
        <w:t>根据验收进度，据甲方指令于三个工作日内提供竣工资料。</w:t>
      </w:r>
    </w:p>
    <w:p w14:paraId="11E2BDF5">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承包人提交的竣工资料形式要求：</w:t>
      </w:r>
      <w:r>
        <w:rPr>
          <w:rFonts w:hint="eastAsia" w:ascii="仿宋" w:hAnsi="仿宋" w:eastAsia="仿宋" w:cs="仿宋"/>
          <w:kern w:val="2"/>
          <w:sz w:val="28"/>
          <w:szCs w:val="28"/>
          <w:u w:val="single"/>
        </w:rPr>
        <w:t>纸质和电子文件。</w:t>
      </w:r>
    </w:p>
    <w:p w14:paraId="0D8D37E0">
      <w:pPr>
        <w:snapToGrid w:val="0"/>
        <w:spacing w:line="420" w:lineRule="exact"/>
        <w:ind w:firstLine="420" w:firstLineChars="150"/>
        <w:rPr>
          <w:rFonts w:hint="eastAsia" w:ascii="仿宋" w:hAnsi="仿宋" w:eastAsia="仿宋" w:cs="仿宋"/>
          <w:kern w:val="2"/>
          <w:sz w:val="28"/>
          <w:szCs w:val="28"/>
        </w:rPr>
      </w:pPr>
      <w:r>
        <w:rPr>
          <w:rFonts w:hint="eastAsia" w:ascii="仿宋" w:hAnsi="仿宋" w:eastAsia="仿宋" w:cs="仿宋"/>
          <w:kern w:val="2"/>
          <w:sz w:val="28"/>
          <w:szCs w:val="28"/>
        </w:rPr>
        <w:t>3.1.2承包人应履行的其他义务：</w:t>
      </w:r>
    </w:p>
    <w:p w14:paraId="5C1743D2">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承包人在本合同生效后7天向监理、发包人提供施工组织设计和施工总进度计划，监理、发包人在7天内予以回复。施工组织设计和施工总进度计划经各方确认后，承包人应于2天内向各方提供正式的施工组织设计和施工总进度计划。 </w:t>
      </w:r>
    </w:p>
    <w:p w14:paraId="4EBD99B3">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2、承包人须负责与当地政府及有关单位联系、安排及协调。根据国家及地方有关规定，由承包人办理有关交通、环卫、环保等手续，并承担相关费用，负责协调和处理因施工引起的周边地段民事纠纷，并承担由此发生的费用，包括因承包人责任造成的违约责任和赔偿。 </w:t>
      </w:r>
    </w:p>
    <w:p w14:paraId="19C6C716">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排污管理：承包人自行办理排污许可证，费用由承包人承担； </w:t>
      </w:r>
    </w:p>
    <w:p w14:paraId="5A3988FC">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噪声管理：承包人自行办理夜间施工许可，费用由承包人承担；施工噪声引起的纠纷由承包人自行解决； </w:t>
      </w:r>
    </w:p>
    <w:p w14:paraId="4272BDA9">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垃圾管理：承包人自行办理垃圾弃置许可，费用由承包人承担； </w:t>
      </w:r>
    </w:p>
    <w:p w14:paraId="70BA78DF">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公共道路占用（若有）：承包人办理占用手续。 </w:t>
      </w:r>
    </w:p>
    <w:p w14:paraId="7612CF07">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3、施工场地清洁卫生的要求：按照省、市文件规定的相关要求执行，达到文明工地标准。且施工人员进场必须规范着装（包括安全设备、设施）、禁止在非规定地点吸烟、大小便、倒垃圾，违者将按发包人施工过程中的相关管理办法或制度承担违约金。 </w:t>
      </w:r>
    </w:p>
    <w:p w14:paraId="5791AAAA">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4、高（中）考、节假日、市内有关方面重大活动期间或发包人需要的特别时间段内，可能对施工作出某些限制和配合要求，承包人应予无条件服从，并按照有关要求作出必要的配合，这可能造成承包人损失，但发包人将不承担承包人的任何损失。 </w:t>
      </w:r>
    </w:p>
    <w:p w14:paraId="3EB2FABE">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5、承包人要加强工程施工车辆的管理，施工车辆不得无故影响道路交通，不得沿途抛洒弃土，保持路面清洁，车辆出入场内场外道路，均应设专人进行路面保洁；渣土车辆在出入市政道路前必须进行冲洗，避免带泥作业和沿路撒泼滴漏等。承包人负责与交警、城管、市政等有关部门联系解决在交通线路上布限速、禁停等标志、标牌，并根据有关部门要求，安排人员在主要路口疏解汽车、行人交通，其相应手续及费用由承包人承担。 </w:t>
      </w:r>
    </w:p>
    <w:p w14:paraId="5F9E752B">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6、承包人应与其他专业承包队伍做好协调、配合工作。承包人必须提供施工进度计划表，明确发包人指定供应商在各区各层各部位的进场施工、供货时间，在经监理、发包人批准后，承包人应严格按照批准的施工进度安排发包人指定供应商进行施工、供货。由于承包人未能及时提供施工条件或配合发包人指定供应商进行施工、供货，而造成的工期延误和损失，由承包人承担全部责任。</w:t>
      </w:r>
    </w:p>
    <w:p w14:paraId="3D144CF6">
      <w:pPr>
        <w:snapToGrid w:val="0"/>
        <w:spacing w:line="420" w:lineRule="exact"/>
        <w:ind w:firstLine="280" w:firstLineChars="1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7、现场具备施工条件后，承包人应按要求的进度完工；施工过程中由承包人自行解决水源和电源接驳点，费用已包含在报价中。 </w:t>
      </w:r>
    </w:p>
    <w:p w14:paraId="3FBCAC9E">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8、承包人应保证发包人支付的工程款专款专用，不得拖欠民工工资；且按照相关规定向有关部门交纳民工工资保证金。承包人必须按国家和地方规定，与每一位建筑工人签订用工合同，及时足额发放工人工资。否则，承包人同意发包人直接用工程款补足工人工资。并且发包人有权单方面终止合同，并追偿工期违约和信誉等损失。如出现民工至甲方办公室或相关政府部门聚众围堵现象，或进行媒体曝光，每出现一次承包人需向发包人支付违约金5万元。 </w:t>
      </w:r>
    </w:p>
    <w:p w14:paraId="00884F48">
      <w:pPr>
        <w:snapToGrid w:val="0"/>
        <w:spacing w:line="420" w:lineRule="exact"/>
        <w:ind w:firstLine="280" w:firstLineChars="1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9、如施工现场发生打架斗殴等治安事件，经公安机关立案，每出现一次承包人需向发包人支付违约金5万元。 </w:t>
      </w:r>
    </w:p>
    <w:p w14:paraId="6A416681">
      <w:pPr>
        <w:snapToGrid w:val="0"/>
        <w:spacing w:line="420" w:lineRule="exact"/>
        <w:ind w:firstLine="280" w:firstLineChars="1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10、施工场地周围地下管线和邻近建筑物、构筑物的保护：施工场地周围地下管线和邻近建筑物、构筑物等，承包人不得破坏，否则必须无条件及时修复，并承担由此发生的费用，必须安全文明施工。 </w:t>
      </w:r>
    </w:p>
    <w:p w14:paraId="29ED219E">
      <w:pPr>
        <w:snapToGrid w:val="0"/>
        <w:spacing w:line="420" w:lineRule="exact"/>
        <w:ind w:firstLine="280" w:firstLineChars="1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11、本合同工程竣工验收之前，承包人须按国家颁发的竣工验收相关规定、技术档案管理条例、有关部门现行要求编制整理竣工资料和竣工图一式肆份（其中应有贰套盖有审图章的竣工图），移交给发包人和有关部门。竣工图的整理、装订、移交等费用由承包人承担。 </w:t>
      </w:r>
    </w:p>
    <w:p w14:paraId="0B9199CB">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12、在发包人提供了符合规定的开工手续后，承包人应具备维护施工现场正常施工秩序的能力，防止施工过程中的“扰民”和“民扰”；在工程建设过程中，承包人对外发生的任何纠纷与交涉以及造成的损失，均由承包人自行解决并承担相应费用，发包人不承担任何责任；如需发包人进行协调，则协调发生的费用由承包人承担。因对外纠纷或其他人员阻挠而延误的工期不予顺延。</w:t>
      </w:r>
    </w:p>
    <w:p w14:paraId="09C271A2">
      <w:pPr>
        <w:snapToGrid w:val="0"/>
        <w:spacing w:line="420" w:lineRule="exact"/>
        <w:ind w:firstLine="420" w:firstLineChars="15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13、因承包人违规或违约等原因导致发包人下发通知单（不含联系单），则承包人需向发包人支付违约金3000元/次，并且发包人有权从应付工程款中扣除。</w:t>
      </w:r>
    </w:p>
    <w:p w14:paraId="63089909">
      <w:pPr>
        <w:spacing w:line="420" w:lineRule="exact"/>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  14、不允许开挖道路红线以外两边的土方，一经发现，承包人支付违约金5万元/次；以监理或发包人现场照片为准。</w:t>
      </w:r>
    </w:p>
    <w:p w14:paraId="55B0F58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3.2 项目负责人</w:t>
      </w:r>
    </w:p>
    <w:p w14:paraId="09714F3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3.2.1 项目负责人：</w:t>
      </w:r>
    </w:p>
    <w:p w14:paraId="2F4B8D8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姓    名：</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5CC584B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身份证号：</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62C1A1F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建造师执业资格等级：</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07733A9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建造师注册证书号：</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4863CAF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建造师执业印章号：</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2815F63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安全生产考核合格证书号：</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6E6BB46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联系电话：</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68BCA69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电子信箱：</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5B3A8EA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通信地址：</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3AE9A19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承包人对项目负责人的授权范围如下：</w:t>
      </w:r>
      <w:r>
        <w:rPr>
          <w:rFonts w:hint="eastAsia" w:ascii="仿宋" w:hAnsi="仿宋" w:eastAsia="仿宋" w:cs="仿宋"/>
          <w:kern w:val="2"/>
          <w:sz w:val="28"/>
          <w:szCs w:val="28"/>
          <w:u w:val="single"/>
        </w:rPr>
        <w:t>代表承包人行使合同约定的权利和义务，履行合同约定的各项职责</w:t>
      </w:r>
      <w:r>
        <w:rPr>
          <w:rFonts w:hint="eastAsia" w:ascii="仿宋" w:hAnsi="仿宋" w:eastAsia="仿宋" w:cs="仿宋"/>
          <w:kern w:val="2"/>
          <w:sz w:val="28"/>
          <w:szCs w:val="28"/>
        </w:rPr>
        <w:t>。</w:t>
      </w:r>
    </w:p>
    <w:p w14:paraId="6F257BD8">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关于项目负责人每月在施工现场的时间要求</w:t>
      </w:r>
      <w:r>
        <w:rPr>
          <w:rFonts w:hint="eastAsia" w:ascii="仿宋" w:hAnsi="仿宋" w:eastAsia="仿宋" w:cs="仿宋"/>
          <w:kern w:val="2"/>
          <w:sz w:val="28"/>
          <w:szCs w:val="28"/>
          <w:u w:val="single"/>
        </w:rPr>
        <w:t>：(1)项目负责人每周到岗天数不少于5日，每日工作时间不低于8小时，并24小时保持通讯畅通；同时必须按规定参加工程例会及其他会议。(2)技术负责人、施工员、安全员、质量员和材料员每周到岗天数不少于5日，每日工作时间不低于8小时，并24小时保持通讯畅通；同时必须按规定参加工程例会及其他会议。</w:t>
      </w:r>
    </w:p>
    <w:p w14:paraId="2E4C5F3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承包人未提交劳动合同，以及没有为项目负责人缴纳社会保险证明的违约责任：</w:t>
      </w:r>
      <w:r>
        <w:rPr>
          <w:rFonts w:hint="eastAsia" w:ascii="仿宋" w:hAnsi="仿宋" w:eastAsia="仿宋" w:cs="仿宋"/>
          <w:kern w:val="2"/>
          <w:sz w:val="28"/>
          <w:szCs w:val="28"/>
          <w:u w:val="single"/>
        </w:rPr>
        <w:t>由承包人承担</w:t>
      </w:r>
      <w:r>
        <w:rPr>
          <w:rFonts w:hint="eastAsia" w:ascii="仿宋" w:hAnsi="仿宋" w:eastAsia="仿宋" w:cs="仿宋"/>
          <w:kern w:val="2"/>
          <w:sz w:val="28"/>
          <w:szCs w:val="28"/>
        </w:rPr>
        <w:t>。</w:t>
      </w:r>
    </w:p>
    <w:p w14:paraId="31D243D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项目负责人未经批准，擅自离开施工现场的违约责任：</w:t>
      </w:r>
      <w:r>
        <w:rPr>
          <w:rFonts w:hint="eastAsia" w:ascii="仿宋" w:hAnsi="仿宋" w:eastAsia="仿宋" w:cs="仿宋"/>
          <w:kern w:val="2"/>
          <w:position w:val="1"/>
          <w:sz w:val="28"/>
          <w:szCs w:val="28"/>
          <w:u w:val="single"/>
        </w:rPr>
        <w:t>由发包人与监理人对项目负责人进行考核，如低于上述规定的天数和工作时间，作违约处理，承包人向发包人支付违约金1000元/天；规定参加工程例会必须准时到场，项目负责人不到场支付1000元/次的违约金，迟到200元/次，有事必须出具书面请假条报监理人认可；以上情况若连续超过两次，按照上述标准的双倍支付违约金，若承包人拒不整改，发包人有权解除合同，将承包人清退出场，解除合同的同时不免除承包人应当承担的上述违约责任。</w:t>
      </w:r>
    </w:p>
    <w:p w14:paraId="68808449">
      <w:pPr>
        <w:adjustRightInd w:val="0"/>
        <w:snapToGrid w:val="0"/>
        <w:spacing w:line="420" w:lineRule="exact"/>
        <w:ind w:right="16" w:firstLine="426"/>
        <w:rPr>
          <w:rFonts w:hint="eastAsia" w:ascii="仿宋" w:hAnsi="仿宋" w:eastAsia="仿宋" w:cs="仿宋"/>
          <w:kern w:val="2"/>
          <w:sz w:val="28"/>
          <w:szCs w:val="28"/>
        </w:rPr>
      </w:pPr>
      <w:r>
        <w:rPr>
          <w:rFonts w:hint="eastAsia" w:ascii="仿宋" w:hAnsi="仿宋" w:eastAsia="仿宋" w:cs="仿宋"/>
          <w:kern w:val="2"/>
          <w:sz w:val="28"/>
          <w:szCs w:val="28"/>
        </w:rPr>
        <w:t>3.2.3 承包人擅自更换项目负责人的违约责任：</w:t>
      </w:r>
      <w:r>
        <w:rPr>
          <w:rFonts w:hint="eastAsia" w:ascii="仿宋" w:hAnsi="仿宋" w:eastAsia="仿宋" w:cs="仿宋"/>
          <w:kern w:val="2"/>
          <w:sz w:val="28"/>
          <w:szCs w:val="28"/>
          <w:u w:val="single"/>
        </w:rPr>
        <w:t>本工程中标的项目负责人不得更换，如承包人擅自更换，需承担违约金5万元且发包人有权解除合同。如确有特殊原因需更换项目负责人，意外事故及突发重病，需经发包人同意且更换后的项目负责人资历条件不得低于原中标项目负责人。</w:t>
      </w:r>
    </w:p>
    <w:p w14:paraId="74BE8B97">
      <w:pPr>
        <w:adjustRightInd w:val="0"/>
        <w:snapToGrid w:val="0"/>
        <w:spacing w:line="420" w:lineRule="exact"/>
        <w:ind w:right="16" w:firstLine="426"/>
        <w:rPr>
          <w:rFonts w:hint="eastAsia" w:ascii="仿宋" w:hAnsi="仿宋" w:eastAsia="仿宋" w:cs="仿宋"/>
          <w:kern w:val="2"/>
          <w:sz w:val="28"/>
          <w:szCs w:val="28"/>
        </w:rPr>
      </w:pPr>
      <w:r>
        <w:rPr>
          <w:rFonts w:hint="eastAsia" w:ascii="仿宋" w:hAnsi="仿宋" w:eastAsia="仿宋" w:cs="仿宋"/>
          <w:kern w:val="2"/>
          <w:sz w:val="28"/>
          <w:szCs w:val="28"/>
        </w:rPr>
        <w:t>3.2.4 承包人无正当理由拒绝更换项目负责人的违约责任：</w:t>
      </w:r>
      <w:r>
        <w:rPr>
          <w:rFonts w:hint="eastAsia" w:ascii="仿宋" w:hAnsi="仿宋" w:eastAsia="仿宋" w:cs="仿宋"/>
          <w:kern w:val="2"/>
          <w:sz w:val="28"/>
          <w:szCs w:val="28"/>
          <w:u w:val="single"/>
        </w:rPr>
        <w:t>发包人有证据确认本工程中标的项目负责人无法胜任或者不能积极配合监理人及发包人正常工作的，经发包人提出后，必须在3日内调离本工程，同时承包人应在3日内用发包人批准的项目负责人代替上述调离的中标项目负责人，否则向发包人支付 1000元/天违约金；若拒不整改，发包人有权解除合同，将承包人清退出场，解除合同的同时不免除承包人应当承担的上述违约责任。</w:t>
      </w:r>
    </w:p>
    <w:p w14:paraId="508761B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3.3 承包人人员</w:t>
      </w:r>
    </w:p>
    <w:p w14:paraId="5F084C7D">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3.3.1 承包人提交项目管理机构及施工现场管理人员安排报告的期限：</w:t>
      </w:r>
      <w:r>
        <w:rPr>
          <w:rFonts w:hint="eastAsia" w:ascii="仿宋" w:hAnsi="仿宋" w:eastAsia="仿宋" w:cs="仿宋"/>
          <w:kern w:val="2"/>
          <w:sz w:val="28"/>
          <w:szCs w:val="28"/>
          <w:u w:val="single"/>
        </w:rPr>
        <w:t>开工前7天。</w:t>
      </w:r>
    </w:p>
    <w:p w14:paraId="1EDB6DC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3.3.3 承包人无正当理由拒绝撤换主要施工管理人员的违约责任：</w:t>
      </w:r>
      <w:r>
        <w:rPr>
          <w:rFonts w:hint="eastAsia" w:ascii="仿宋" w:hAnsi="仿宋" w:eastAsia="仿宋" w:cs="仿宋"/>
          <w:kern w:val="2"/>
          <w:sz w:val="28"/>
          <w:szCs w:val="28"/>
          <w:u w:val="single"/>
        </w:rPr>
        <w:t>发包人有证据确认本工程投标书中的技术负责人、施工员、安全员、质量员和材料员无法胜任或者不能积极配合监理人及发包人正常工作的，经发包人提出后，必须在3日内调离本工程，同时承包人应在 3 日内用发包人批准的主要施工管理人员代替上述调离的主要施工管理人员，否则向发包人支付1000元/人天违约金。</w:t>
      </w:r>
    </w:p>
    <w:p w14:paraId="00E0D3CD">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3.3.4 承包人主要施工管理人员离开施工现场的批准要求：</w:t>
      </w:r>
      <w:r>
        <w:rPr>
          <w:rFonts w:hint="eastAsia" w:ascii="仿宋" w:hAnsi="仿宋" w:eastAsia="仿宋" w:cs="仿宋"/>
          <w:kern w:val="2"/>
          <w:sz w:val="28"/>
          <w:szCs w:val="28"/>
          <w:u w:val="single"/>
        </w:rPr>
        <w:t>/。</w:t>
      </w:r>
    </w:p>
    <w:p w14:paraId="547027C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3.3.5承包人擅自更换主要施工管理人员的违约责任：</w:t>
      </w:r>
      <w:r>
        <w:rPr>
          <w:rFonts w:hint="eastAsia" w:ascii="仿宋" w:hAnsi="仿宋" w:eastAsia="仿宋" w:cs="仿宋"/>
          <w:kern w:val="2"/>
          <w:sz w:val="28"/>
          <w:szCs w:val="28"/>
          <w:u w:val="single"/>
        </w:rPr>
        <w:t>发包人要求投标书中的技术负责人、施工员、安全员、质量员和材料员到位，中途若更换，须经发包人同意；若擅自更换，需承担违约金，技术负责人5万元、其余人员1万元/人(属意外事故或突发重病的除外)且发包人有权单方解除合同。</w:t>
      </w:r>
    </w:p>
    <w:p w14:paraId="2E03C006">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承包人主要施工管理人员擅自离开施工现场的违约责任：</w:t>
      </w:r>
      <w:r>
        <w:rPr>
          <w:rFonts w:hint="eastAsia" w:ascii="仿宋" w:hAnsi="仿宋" w:eastAsia="仿宋" w:cs="仿宋"/>
          <w:kern w:val="2"/>
          <w:sz w:val="28"/>
          <w:szCs w:val="28"/>
          <w:u w:val="single"/>
        </w:rPr>
        <w:t>由发包人与监理人对本工程投标书中的技术负责人、施工员、安全员、质量员和材料员进行考核，如低于上述规定的天数和工作时间，作违约处理，承包人向发包人支付违约金500元/天；规定参加工程例会必须准时到场，技术负责人、施工员、安全员、质量员和材料员不到场支付1000元/次的违约金，迟到200元/次，有事必须出具书面请假条报监理人认可；以上情况若连续超过两次，按照上述标准的双倍支付违约金。</w:t>
      </w:r>
    </w:p>
    <w:p w14:paraId="2736C3D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w:t>
      </w:r>
      <w:bookmarkStart w:id="741" w:name="_Toc304295523"/>
      <w:bookmarkStart w:id="742" w:name="_Toc300934945"/>
      <w:bookmarkStart w:id="743" w:name="_Toc296346660"/>
      <w:bookmarkStart w:id="744" w:name="_Toc297123492"/>
      <w:bookmarkStart w:id="745" w:name="_Toc297120459"/>
      <w:bookmarkStart w:id="746" w:name="_Toc296503159"/>
      <w:bookmarkStart w:id="747" w:name="_Toc303539102"/>
      <w:bookmarkStart w:id="748" w:name="_Toc297048345"/>
      <w:bookmarkStart w:id="749" w:name="_Toc292559364"/>
      <w:bookmarkStart w:id="750" w:name="_Toc297216151"/>
      <w:bookmarkStart w:id="751" w:name="_Toc292559869"/>
      <w:bookmarkStart w:id="752" w:name="_Toc296891199"/>
      <w:bookmarkStart w:id="753" w:name="_Toc312677988"/>
      <w:bookmarkStart w:id="754" w:name="_Toc296944498"/>
      <w:bookmarkStart w:id="755" w:name="_Toc296890987"/>
      <w:bookmarkStart w:id="756" w:name="_Toc296347158"/>
      <w:r>
        <w:rPr>
          <w:rFonts w:hint="eastAsia" w:ascii="仿宋" w:hAnsi="仿宋" w:eastAsia="仿宋" w:cs="仿宋"/>
          <w:kern w:val="2"/>
          <w:sz w:val="28"/>
          <w:szCs w:val="28"/>
        </w:rPr>
        <w:t>.5 分包</w:t>
      </w:r>
    </w:p>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14:paraId="2BEC488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w:t>
      </w:r>
      <w:bookmarkStart w:id="757" w:name="_Toc300934946"/>
      <w:bookmarkStart w:id="758" w:name="_Toc297216152"/>
      <w:bookmarkStart w:id="759" w:name="_Toc297048346"/>
      <w:bookmarkStart w:id="760" w:name="_Toc296891200"/>
      <w:bookmarkStart w:id="761" w:name="_Toc296347159"/>
      <w:bookmarkStart w:id="762" w:name="_Toc304295524"/>
      <w:bookmarkStart w:id="763" w:name="_Toc296346661"/>
      <w:bookmarkStart w:id="764" w:name="_Toc292559365"/>
      <w:bookmarkStart w:id="765" w:name="_Toc296944499"/>
      <w:bookmarkStart w:id="766" w:name="_Toc297120460"/>
      <w:bookmarkStart w:id="767" w:name="_Toc292559870"/>
      <w:bookmarkStart w:id="768" w:name="_Toc297123493"/>
      <w:bookmarkStart w:id="769" w:name="_Toc296890988"/>
      <w:bookmarkStart w:id="770" w:name="_Toc303539103"/>
      <w:bookmarkStart w:id="771" w:name="_Toc296503160"/>
      <w:bookmarkStart w:id="772" w:name="_Toc312677989"/>
      <w:bookmarkStart w:id="773" w:name="_Toc318581158"/>
      <w:r>
        <w:rPr>
          <w:rFonts w:hint="eastAsia" w:ascii="仿宋" w:hAnsi="仿宋" w:eastAsia="仿宋" w:cs="仿宋"/>
          <w:kern w:val="2"/>
          <w:sz w:val="28"/>
          <w:szCs w:val="28"/>
        </w:rPr>
        <w:t>.5.1 分包的一般约定</w:t>
      </w:r>
    </w:p>
    <w:p w14:paraId="0A095F8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禁止分包的工程包括：</w:t>
      </w:r>
      <w:r>
        <w:rPr>
          <w:rFonts w:hint="eastAsia" w:ascii="仿宋" w:hAnsi="仿宋" w:eastAsia="仿宋" w:cs="仿宋"/>
          <w:kern w:val="2"/>
          <w:sz w:val="28"/>
          <w:szCs w:val="28"/>
          <w:u w:val="single"/>
        </w:rPr>
        <w:t>/。</w:t>
      </w:r>
    </w:p>
    <w:p w14:paraId="208A85A1">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主体结构、关键性工作的范围：</w:t>
      </w:r>
      <w:r>
        <w:rPr>
          <w:rFonts w:hint="eastAsia" w:ascii="仿宋" w:hAnsi="仿宋" w:eastAsia="仿宋" w:cs="仿宋"/>
          <w:kern w:val="2"/>
          <w:sz w:val="28"/>
          <w:szCs w:val="28"/>
          <w:u w:val="single"/>
        </w:rPr>
        <w:t xml:space="preserve">  / 。</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Start w:id="774" w:name="_Toc296503161"/>
      <w:bookmarkStart w:id="775" w:name="_Toc303539104"/>
      <w:bookmarkStart w:id="776" w:name="_Toc296944500"/>
      <w:bookmarkStart w:id="777" w:name="_Toc296890989"/>
      <w:bookmarkStart w:id="778" w:name="_Toc296346662"/>
      <w:bookmarkStart w:id="779" w:name="_Toc297120461"/>
      <w:bookmarkStart w:id="780" w:name="_Toc304295525"/>
      <w:bookmarkStart w:id="781" w:name="_Toc296891201"/>
      <w:bookmarkStart w:id="782" w:name="_Toc297216153"/>
      <w:bookmarkStart w:id="783" w:name="_Toc297048347"/>
      <w:bookmarkStart w:id="784" w:name="_Toc297123494"/>
      <w:bookmarkStart w:id="785" w:name="_Toc300934947"/>
      <w:bookmarkStart w:id="786" w:name="_Toc296347160"/>
    </w:p>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0F81DD01">
      <w:pPr>
        <w:snapToGrid w:val="0"/>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    3</w:t>
      </w:r>
      <w:bookmarkStart w:id="787" w:name="_Toc318581159"/>
      <w:bookmarkStart w:id="788" w:name="_Toc312677990"/>
      <w:r>
        <w:rPr>
          <w:rFonts w:hint="eastAsia" w:ascii="仿宋" w:hAnsi="仿宋" w:eastAsia="仿宋" w:cs="仿宋"/>
          <w:kern w:val="2"/>
          <w:sz w:val="28"/>
          <w:szCs w:val="28"/>
        </w:rPr>
        <w:t>.5.2分包的确定</w:t>
      </w:r>
    </w:p>
    <w:p w14:paraId="40A1B20D">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允许分包的专业工程包括：</w:t>
      </w:r>
      <w:r>
        <w:rPr>
          <w:rFonts w:hint="eastAsia" w:ascii="仿宋" w:hAnsi="仿宋" w:eastAsia="仿宋" w:cs="仿宋"/>
          <w:kern w:val="2"/>
          <w:sz w:val="28"/>
          <w:szCs w:val="28"/>
          <w:u w:val="single"/>
        </w:rPr>
        <w:t xml:space="preserve">  /  。</w:t>
      </w:r>
    </w:p>
    <w:p w14:paraId="5710D0C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其他关于分包的约定：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A34938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3.5.4 分包合同价款</w:t>
      </w:r>
    </w:p>
    <w:p w14:paraId="311ED98E">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关于分包合同价款支付的约定：</w:t>
      </w:r>
      <w:r>
        <w:rPr>
          <w:rFonts w:hint="eastAsia" w:ascii="仿宋" w:hAnsi="仿宋" w:eastAsia="仿宋" w:cs="仿宋"/>
          <w:kern w:val="2"/>
          <w:sz w:val="28"/>
          <w:szCs w:val="28"/>
          <w:u w:val="single"/>
        </w:rPr>
        <w:t xml:space="preserve">   /  。</w:t>
      </w:r>
    </w:p>
    <w:bookmarkEnd w:id="787"/>
    <w:bookmarkEnd w:id="788"/>
    <w:p w14:paraId="68EF1E6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3.6 工程照管与成品、半成品保护</w:t>
      </w:r>
    </w:p>
    <w:p w14:paraId="7D4E6A0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承包人负责照管工程及工程相关的材料、工程设备的起始时间：</w:t>
      </w:r>
      <w:r>
        <w:rPr>
          <w:rFonts w:hint="eastAsia" w:ascii="仿宋" w:hAnsi="仿宋" w:eastAsia="仿宋" w:cs="仿宋"/>
          <w:kern w:val="2"/>
          <w:sz w:val="28"/>
          <w:szCs w:val="28"/>
          <w:u w:val="single"/>
        </w:rPr>
        <w:t>已竣工工程未交付发包人之前，承包人应负责已完工程的保护工作，保护期间发生损坏，承包人自费予以修复。</w:t>
      </w:r>
    </w:p>
    <w:p w14:paraId="337CBFA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3.7 履约担保</w:t>
      </w:r>
    </w:p>
    <w:p w14:paraId="1DE1BE2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承包人是否提供履约担保：</w:t>
      </w:r>
      <w:r>
        <w:rPr>
          <w:rFonts w:hint="eastAsia" w:ascii="仿宋" w:hAnsi="仿宋" w:eastAsia="仿宋" w:cs="仿宋"/>
          <w:kern w:val="2"/>
          <w:sz w:val="28"/>
          <w:szCs w:val="28"/>
          <w:u w:val="single"/>
        </w:rPr>
        <w:t>提供履约担保</w:t>
      </w:r>
      <w:r>
        <w:rPr>
          <w:rFonts w:hint="eastAsia" w:ascii="仿宋" w:hAnsi="仿宋" w:eastAsia="仿宋" w:cs="仿宋"/>
          <w:kern w:val="2"/>
          <w:sz w:val="28"/>
          <w:szCs w:val="28"/>
        </w:rPr>
        <w:t>。</w:t>
      </w:r>
    </w:p>
    <w:p w14:paraId="383B5242">
      <w:pPr>
        <w:keepNext/>
        <w:keepLines/>
        <w:widowControl/>
        <w:snapToGrid w:val="0"/>
        <w:spacing w:before="0" w:after="0" w:line="420" w:lineRule="exact"/>
        <w:ind w:firstLine="141" w:firstLineChars="50"/>
        <w:jc w:val="left"/>
        <w:outlineLvl w:val="3"/>
        <w:rPr>
          <w:rFonts w:hint="eastAsia" w:ascii="仿宋" w:hAnsi="仿宋" w:eastAsia="仿宋" w:cs="仿宋"/>
          <w:b/>
          <w:bCs/>
          <w:kern w:val="0"/>
          <w:sz w:val="28"/>
          <w:szCs w:val="28"/>
          <w:lang w:val="en-US" w:eastAsia="zh-CN" w:bidi="ar-SA"/>
        </w:rPr>
      </w:pPr>
      <w:r>
        <w:rPr>
          <w:rFonts w:hint="eastAsia" w:ascii="仿宋" w:hAnsi="仿宋" w:eastAsia="仿宋" w:cs="仿宋"/>
          <w:b/>
          <w:bCs/>
          <w:kern w:val="0"/>
          <w:sz w:val="28"/>
          <w:szCs w:val="28"/>
          <w:lang w:val="en-US" w:eastAsia="zh-CN" w:bidi="ar-SA"/>
        </w:rPr>
        <w:t>承包人提供履约担保的形式、金额及期限的：</w:t>
      </w:r>
      <w:bookmarkStart w:id="789" w:name="_Toc351203636"/>
    </w:p>
    <w:p w14:paraId="1A55A605">
      <w:pPr>
        <w:keepNext/>
        <w:keepLines/>
        <w:widowControl/>
        <w:snapToGrid w:val="0"/>
        <w:spacing w:before="0" w:after="0" w:line="420" w:lineRule="exact"/>
        <w:ind w:firstLine="141" w:firstLineChars="50"/>
        <w:jc w:val="left"/>
        <w:outlineLvl w:val="3"/>
        <w:rPr>
          <w:rFonts w:hint="eastAsia" w:ascii="仿宋" w:hAnsi="仿宋" w:eastAsia="仿宋" w:cs="仿宋"/>
          <w:b/>
          <w:bCs/>
          <w:kern w:val="0"/>
          <w:sz w:val="28"/>
          <w:szCs w:val="28"/>
          <w:u w:val="single"/>
          <w:lang w:val="en-US" w:eastAsia="zh-CN" w:bidi="ar-SA"/>
        </w:rPr>
      </w:pPr>
      <w:r>
        <w:rPr>
          <w:rFonts w:hint="eastAsia" w:ascii="仿宋" w:hAnsi="仿宋" w:eastAsia="仿宋" w:cs="仿宋"/>
          <w:b/>
          <w:bCs/>
          <w:kern w:val="0"/>
          <w:sz w:val="28"/>
          <w:szCs w:val="28"/>
          <w:u w:val="single"/>
          <w:lang w:val="en-US" w:eastAsia="zh-CN" w:bidi="ar-SA"/>
        </w:rPr>
        <w:t>履约担保形式：银行保函、保险公司保险单、专业担保公司担保等非现金形式；</w:t>
      </w:r>
    </w:p>
    <w:p w14:paraId="1BF988EB">
      <w:pPr>
        <w:keepNext/>
        <w:keepLines/>
        <w:widowControl/>
        <w:snapToGrid w:val="0"/>
        <w:spacing w:before="0" w:after="0" w:line="420" w:lineRule="exact"/>
        <w:ind w:firstLine="141" w:firstLineChars="50"/>
        <w:jc w:val="left"/>
        <w:outlineLvl w:val="3"/>
        <w:rPr>
          <w:rFonts w:hint="eastAsia" w:ascii="仿宋" w:hAnsi="仿宋" w:eastAsia="仿宋" w:cs="仿宋"/>
          <w:b/>
          <w:bCs/>
          <w:kern w:val="0"/>
          <w:sz w:val="28"/>
          <w:szCs w:val="28"/>
          <w:u w:val="single"/>
          <w:lang w:val="en-US" w:eastAsia="zh-CN" w:bidi="ar-SA"/>
        </w:rPr>
      </w:pPr>
      <w:r>
        <w:rPr>
          <w:rFonts w:hint="eastAsia" w:ascii="仿宋" w:hAnsi="仿宋" w:eastAsia="仿宋" w:cs="仿宋"/>
          <w:b/>
          <w:bCs/>
          <w:kern w:val="0"/>
          <w:sz w:val="28"/>
          <w:szCs w:val="28"/>
          <w:u w:val="single"/>
          <w:lang w:val="en-US" w:eastAsia="zh-CN" w:bidi="ar-SA"/>
        </w:rPr>
        <w:t>履约担保的金额：312万元*5%；</w:t>
      </w:r>
    </w:p>
    <w:p w14:paraId="007A438A">
      <w:pPr>
        <w:keepNext/>
        <w:keepLines/>
        <w:widowControl/>
        <w:snapToGrid w:val="0"/>
        <w:spacing w:before="0" w:after="0" w:line="420" w:lineRule="exact"/>
        <w:ind w:firstLine="141" w:firstLineChars="50"/>
        <w:jc w:val="left"/>
        <w:outlineLvl w:val="3"/>
        <w:rPr>
          <w:rFonts w:hint="eastAsia" w:ascii="仿宋" w:hAnsi="仿宋" w:eastAsia="仿宋" w:cs="仿宋"/>
          <w:b/>
          <w:bCs/>
          <w:kern w:val="0"/>
          <w:sz w:val="28"/>
          <w:szCs w:val="28"/>
          <w:u w:val="single"/>
          <w:lang w:val="en-US" w:eastAsia="zh-CN" w:bidi="ar-SA"/>
        </w:rPr>
      </w:pPr>
      <w:r>
        <w:rPr>
          <w:rFonts w:hint="eastAsia" w:ascii="仿宋" w:hAnsi="仿宋" w:eastAsia="仿宋" w:cs="仿宋"/>
          <w:b/>
          <w:bCs/>
          <w:kern w:val="0"/>
          <w:sz w:val="28"/>
          <w:szCs w:val="28"/>
          <w:u w:val="single"/>
          <w:lang w:val="en-US" w:eastAsia="zh-CN" w:bidi="ar-SA"/>
        </w:rPr>
        <w:t>退还的方式：工程竣工验收合格后一次性退还(不计息) 。</w:t>
      </w:r>
    </w:p>
    <w:p w14:paraId="3FF2A6F6">
      <w:pPr>
        <w:keepNext/>
        <w:keepLines/>
        <w:widowControl/>
        <w:snapToGrid w:val="0"/>
        <w:spacing w:before="0" w:after="0" w:line="420" w:lineRule="exact"/>
        <w:ind w:firstLine="140" w:firstLineChars="50"/>
        <w:jc w:val="left"/>
        <w:outlineLvl w:val="3"/>
        <w:rPr>
          <w:rFonts w:hint="eastAsia" w:ascii="仿宋" w:hAnsi="仿宋" w:eastAsia="仿宋" w:cs="仿宋"/>
          <w:b w:val="0"/>
          <w:bCs/>
          <w:kern w:val="0"/>
          <w:sz w:val="28"/>
          <w:szCs w:val="28"/>
          <w:lang w:val="en-US" w:eastAsia="zh-CN" w:bidi="ar-SA"/>
        </w:rPr>
      </w:pPr>
      <w:r>
        <w:rPr>
          <w:rFonts w:hint="eastAsia" w:ascii="仿宋" w:hAnsi="仿宋" w:eastAsia="仿宋" w:cs="仿宋"/>
          <w:b w:val="0"/>
          <w:bCs/>
          <w:kern w:val="0"/>
          <w:sz w:val="28"/>
          <w:szCs w:val="28"/>
          <w:lang w:val="en-US" w:eastAsia="zh-CN" w:bidi="ar-SA"/>
        </w:rPr>
        <w:t>4</w:t>
      </w:r>
      <w:bookmarkStart w:id="790" w:name="_Toc296346663"/>
      <w:bookmarkStart w:id="791" w:name="_Toc296890990"/>
      <w:bookmarkStart w:id="792" w:name="_Toc292559871"/>
      <w:bookmarkStart w:id="793" w:name="_Toc296891202"/>
      <w:bookmarkStart w:id="794" w:name="_Toc296944501"/>
      <w:bookmarkStart w:id="795" w:name="_Toc267251413"/>
      <w:bookmarkStart w:id="796" w:name="_Toc296347161"/>
      <w:bookmarkStart w:id="797" w:name="_Toc297120462"/>
      <w:bookmarkStart w:id="798" w:name="_Toc296503162"/>
      <w:bookmarkStart w:id="799" w:name="_Toc297048348"/>
      <w:bookmarkStart w:id="800" w:name="_Toc292559366"/>
      <w:r>
        <w:rPr>
          <w:rFonts w:hint="eastAsia" w:ascii="仿宋" w:hAnsi="仿宋" w:eastAsia="仿宋" w:cs="仿宋"/>
          <w:b w:val="0"/>
          <w:bCs/>
          <w:kern w:val="0"/>
          <w:sz w:val="28"/>
          <w:szCs w:val="28"/>
          <w:lang w:val="en-US" w:eastAsia="zh-CN" w:bidi="ar-SA"/>
        </w:rPr>
        <w:t>. 监</w:t>
      </w:r>
      <w:bookmarkEnd w:id="790"/>
      <w:bookmarkEnd w:id="791"/>
      <w:bookmarkEnd w:id="792"/>
      <w:bookmarkEnd w:id="793"/>
      <w:bookmarkEnd w:id="794"/>
      <w:bookmarkEnd w:id="795"/>
      <w:bookmarkEnd w:id="796"/>
      <w:bookmarkEnd w:id="797"/>
      <w:bookmarkEnd w:id="798"/>
      <w:bookmarkEnd w:id="799"/>
      <w:bookmarkEnd w:id="800"/>
      <w:r>
        <w:rPr>
          <w:rFonts w:hint="eastAsia" w:ascii="仿宋" w:hAnsi="仿宋" w:eastAsia="仿宋" w:cs="仿宋"/>
          <w:b w:val="0"/>
          <w:bCs/>
          <w:kern w:val="0"/>
          <w:sz w:val="28"/>
          <w:szCs w:val="28"/>
          <w:lang w:val="en-US" w:eastAsia="zh-CN" w:bidi="ar-SA"/>
        </w:rPr>
        <w:t>理人</w:t>
      </w:r>
      <w:bookmarkEnd w:id="789"/>
    </w:p>
    <w:p w14:paraId="401FE0E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4.1监理人的一般规定</w:t>
      </w:r>
    </w:p>
    <w:p w14:paraId="5250667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关于监理人的监理内容：</w:t>
      </w:r>
      <w:r>
        <w:rPr>
          <w:rFonts w:hint="eastAsia" w:ascii="仿宋" w:hAnsi="仿宋" w:eastAsia="仿宋" w:cs="仿宋"/>
          <w:kern w:val="2"/>
          <w:sz w:val="28"/>
          <w:szCs w:val="28"/>
          <w:u w:val="single"/>
        </w:rPr>
        <w:t>按监理合同执行</w:t>
      </w:r>
      <w:r>
        <w:rPr>
          <w:rFonts w:hint="eastAsia" w:ascii="仿宋" w:hAnsi="仿宋" w:eastAsia="仿宋" w:cs="仿宋"/>
          <w:kern w:val="2"/>
          <w:sz w:val="28"/>
          <w:szCs w:val="28"/>
        </w:rPr>
        <w:t>。</w:t>
      </w:r>
    </w:p>
    <w:p w14:paraId="04288E7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关于监理人的监理权限：</w:t>
      </w:r>
      <w:r>
        <w:rPr>
          <w:rFonts w:hint="eastAsia" w:ascii="仿宋" w:hAnsi="仿宋" w:eastAsia="仿宋" w:cs="仿宋"/>
          <w:kern w:val="2"/>
          <w:sz w:val="28"/>
          <w:szCs w:val="28"/>
          <w:u w:val="single"/>
        </w:rPr>
        <w:t>按监理合同执行</w:t>
      </w:r>
      <w:r>
        <w:rPr>
          <w:rFonts w:hint="eastAsia" w:ascii="仿宋" w:hAnsi="仿宋" w:eastAsia="仿宋" w:cs="仿宋"/>
          <w:kern w:val="2"/>
          <w:sz w:val="28"/>
          <w:szCs w:val="28"/>
        </w:rPr>
        <w:t xml:space="preserve">。 </w:t>
      </w:r>
    </w:p>
    <w:p w14:paraId="26C7D8C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关于监理人在施工现场的办公场所、生活场所的提供和费用承担的约定：</w:t>
      </w:r>
      <w:r>
        <w:rPr>
          <w:rFonts w:hint="eastAsia" w:ascii="仿宋" w:hAnsi="仿宋" w:eastAsia="仿宋" w:cs="仿宋"/>
          <w:kern w:val="2"/>
          <w:sz w:val="28"/>
          <w:szCs w:val="28"/>
          <w:u w:val="single"/>
        </w:rPr>
        <w:t xml:space="preserve"> 按监理合同执行 </w:t>
      </w:r>
      <w:r>
        <w:rPr>
          <w:rFonts w:hint="eastAsia" w:ascii="仿宋" w:hAnsi="仿宋" w:eastAsia="仿宋" w:cs="仿宋"/>
          <w:kern w:val="2"/>
          <w:sz w:val="28"/>
          <w:szCs w:val="28"/>
        </w:rPr>
        <w:t>。</w:t>
      </w:r>
    </w:p>
    <w:p w14:paraId="481C69D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4.2 监理人员</w:t>
      </w:r>
    </w:p>
    <w:p w14:paraId="35CEFD6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总监理工程师：</w:t>
      </w:r>
    </w:p>
    <w:p w14:paraId="0C138D9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姓    名：</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69A05A4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职    务：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09A7653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监理工程师执业资格证书号：</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3195268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联系电话：</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 xml:space="preserve"> ；</w:t>
      </w:r>
    </w:p>
    <w:p w14:paraId="76D7408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电子信箱：</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 xml:space="preserve"> ；</w:t>
      </w:r>
    </w:p>
    <w:p w14:paraId="254C4A1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通信地址：</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32A8135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关于监理人的其他约定：</w:t>
      </w:r>
      <w:r>
        <w:rPr>
          <w:rFonts w:hint="eastAsia" w:ascii="仿宋" w:hAnsi="仿宋" w:eastAsia="仿宋" w:cs="仿宋"/>
          <w:kern w:val="2"/>
          <w:sz w:val="28"/>
          <w:szCs w:val="28"/>
          <w:u w:val="single"/>
        </w:rPr>
        <w:t>按监理合同执行。</w:t>
      </w:r>
    </w:p>
    <w:p w14:paraId="53788B0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4.4 商定或确定</w:t>
      </w:r>
    </w:p>
    <w:p w14:paraId="74D985DA">
      <w:pPr>
        <w:snapToGrid w:val="0"/>
        <w:spacing w:line="420" w:lineRule="exact"/>
        <w:ind w:firstLine="560" w:firstLineChars="200"/>
        <w:rPr>
          <w:rFonts w:hint="eastAsia" w:ascii="仿宋" w:hAnsi="仿宋" w:eastAsia="仿宋" w:cs="仿宋"/>
          <w:kern w:val="2"/>
          <w:sz w:val="28"/>
          <w:szCs w:val="28"/>
        </w:rPr>
      </w:pPr>
      <w:bookmarkStart w:id="801" w:name="_Toc267251418"/>
      <w:r>
        <w:rPr>
          <w:rFonts w:hint="eastAsia" w:ascii="仿宋" w:hAnsi="仿宋" w:eastAsia="仿宋" w:cs="仿宋"/>
          <w:kern w:val="2"/>
          <w:sz w:val="28"/>
          <w:szCs w:val="28"/>
        </w:rPr>
        <w:t>在发包人和承包人不能通过协商达成一致意见时，发包人授权监理人对以下事项进行确定：</w:t>
      </w:r>
    </w:p>
    <w:p w14:paraId="3C3768AF">
      <w:pPr>
        <w:snapToGrid w:val="0"/>
        <w:spacing w:line="420" w:lineRule="exact"/>
        <w:ind w:firstLine="420" w:firstLineChars="150"/>
        <w:rPr>
          <w:rFonts w:hint="eastAsia" w:ascii="仿宋" w:hAnsi="仿宋" w:eastAsia="仿宋" w:cs="仿宋"/>
          <w:kern w:val="2"/>
          <w:sz w:val="28"/>
          <w:szCs w:val="28"/>
        </w:rPr>
      </w:pPr>
      <w:r>
        <w:rPr>
          <w:rFonts w:hint="eastAsia" w:ascii="仿宋" w:hAnsi="仿宋" w:eastAsia="仿宋" w:cs="仿宋"/>
          <w:kern w:val="2"/>
          <w:sz w:val="28"/>
          <w:szCs w:val="28"/>
        </w:rPr>
        <w:t>（1）</w:t>
      </w:r>
      <w:r>
        <w:rPr>
          <w:rFonts w:hint="eastAsia" w:ascii="仿宋" w:hAnsi="仿宋" w:eastAsia="仿宋" w:cs="仿宋"/>
          <w:kern w:val="2"/>
          <w:sz w:val="28"/>
          <w:szCs w:val="28"/>
          <w:u w:val="single"/>
        </w:rPr>
        <w:t>另行协商；</w:t>
      </w:r>
    </w:p>
    <w:p w14:paraId="741DEB20">
      <w:pPr>
        <w:snapToGrid w:val="0"/>
        <w:spacing w:line="420" w:lineRule="exact"/>
        <w:ind w:firstLine="420" w:firstLineChars="150"/>
        <w:rPr>
          <w:rFonts w:hint="eastAsia" w:ascii="仿宋" w:hAnsi="仿宋" w:eastAsia="仿宋" w:cs="仿宋"/>
          <w:kern w:val="2"/>
          <w:sz w:val="28"/>
          <w:szCs w:val="28"/>
        </w:rPr>
      </w:pPr>
      <w:r>
        <w:rPr>
          <w:rFonts w:hint="eastAsia" w:ascii="仿宋" w:hAnsi="仿宋" w:eastAsia="仿宋" w:cs="仿宋"/>
          <w:kern w:val="2"/>
          <w:sz w:val="28"/>
          <w:szCs w:val="28"/>
        </w:rPr>
        <w:t>（2）</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C78BCB1">
      <w:pPr>
        <w:snapToGrid w:val="0"/>
        <w:spacing w:line="420" w:lineRule="exact"/>
        <w:ind w:firstLine="420" w:firstLineChars="150"/>
        <w:rPr>
          <w:rFonts w:hint="eastAsia" w:ascii="仿宋" w:hAnsi="仿宋" w:eastAsia="仿宋" w:cs="仿宋"/>
          <w:kern w:val="2"/>
          <w:sz w:val="28"/>
          <w:szCs w:val="28"/>
        </w:rPr>
      </w:pPr>
      <w:r>
        <w:rPr>
          <w:rFonts w:hint="eastAsia" w:ascii="仿宋" w:hAnsi="仿宋" w:eastAsia="仿宋" w:cs="仿宋"/>
          <w:kern w:val="2"/>
          <w:sz w:val="28"/>
          <w:szCs w:val="28"/>
        </w:rPr>
        <w:t>（3）</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6F434D29">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802" w:name="_Toc351203637"/>
      <w:r>
        <w:rPr>
          <w:rFonts w:hint="eastAsia" w:ascii="仿宋" w:hAnsi="仿宋" w:eastAsia="仿宋" w:cs="仿宋"/>
          <w:b w:val="0"/>
          <w:bCs/>
          <w:kern w:val="0"/>
          <w:sz w:val="28"/>
          <w:szCs w:val="28"/>
          <w:lang w:val="en-US" w:eastAsia="zh-CN" w:bidi="ar-SA"/>
        </w:rPr>
        <w:t>5</w:t>
      </w:r>
      <w:bookmarkEnd w:id="801"/>
      <w:bookmarkStart w:id="803" w:name="_Toc292559872"/>
      <w:bookmarkStart w:id="804" w:name="_Toc296347162"/>
      <w:bookmarkStart w:id="805" w:name="_Toc296503163"/>
      <w:bookmarkStart w:id="806" w:name="_Toc296891203"/>
      <w:bookmarkStart w:id="807" w:name="_Toc296890991"/>
      <w:bookmarkStart w:id="808" w:name="_Toc297048349"/>
      <w:bookmarkStart w:id="809" w:name="_Toc296944502"/>
      <w:bookmarkStart w:id="810" w:name="_Toc292559367"/>
      <w:bookmarkStart w:id="811" w:name="_Toc297120463"/>
      <w:bookmarkStart w:id="812" w:name="_Toc296346664"/>
      <w:r>
        <w:rPr>
          <w:rFonts w:hint="eastAsia" w:ascii="仿宋" w:hAnsi="仿宋" w:eastAsia="仿宋" w:cs="仿宋"/>
          <w:b w:val="0"/>
          <w:bCs/>
          <w:kern w:val="0"/>
          <w:sz w:val="28"/>
          <w:szCs w:val="28"/>
          <w:lang w:val="en-US" w:eastAsia="zh-CN" w:bidi="ar-SA"/>
        </w:rPr>
        <w:t>. 工程质量</w:t>
      </w:r>
      <w:bookmarkEnd w:id="802"/>
    </w:p>
    <w:p w14:paraId="4C8A58C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5.1 质量要求</w:t>
      </w:r>
    </w:p>
    <w:p w14:paraId="39E06A7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5</w:t>
      </w:r>
      <w:bookmarkStart w:id="813" w:name="_Toc297123496"/>
      <w:bookmarkStart w:id="814" w:name="_Toc312677997"/>
      <w:bookmarkStart w:id="815" w:name="_Toc304295527"/>
      <w:bookmarkStart w:id="816" w:name="_Toc297216155"/>
      <w:bookmarkStart w:id="817" w:name="_Toc300934949"/>
      <w:bookmarkStart w:id="818" w:name="_Toc318581164"/>
      <w:bookmarkStart w:id="819" w:name="_Toc303539106"/>
      <w:r>
        <w:rPr>
          <w:rFonts w:hint="eastAsia" w:ascii="仿宋" w:hAnsi="仿宋" w:eastAsia="仿宋" w:cs="仿宋"/>
          <w:kern w:val="2"/>
          <w:sz w:val="28"/>
          <w:szCs w:val="28"/>
        </w:rPr>
        <w:t>.1.1 特殊质量标准和要求：</w:t>
      </w:r>
      <w:bookmarkStart w:id="820" w:name="EB0f67e7490eaa4ab69e7003d19474b11b"/>
      <w:r>
        <w:rPr>
          <w:rFonts w:hint="eastAsia" w:ascii="仿宋" w:hAnsi="仿宋" w:eastAsia="仿宋" w:cs="仿宋"/>
          <w:kern w:val="2"/>
          <w:sz w:val="28"/>
          <w:szCs w:val="28"/>
          <w:u w:val="single"/>
        </w:rPr>
        <w:t>本工程质量目标为合格</w:t>
      </w:r>
      <w:bookmarkEnd w:id="820"/>
      <w:r>
        <w:rPr>
          <w:rFonts w:hint="eastAsia" w:ascii="仿宋" w:hAnsi="仿宋" w:eastAsia="仿宋" w:cs="仿宋"/>
          <w:kern w:val="2"/>
          <w:sz w:val="28"/>
          <w:szCs w:val="28"/>
          <w:u w:val="single"/>
        </w:rPr>
        <w:t>。</w:t>
      </w:r>
    </w:p>
    <w:p w14:paraId="29CCB0D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关于工程奖项的约定：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05377D3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5.3 隐蔽工程检查</w:t>
      </w:r>
    </w:p>
    <w:p w14:paraId="374B71C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5.3.2承包人提前通知监理人隐蔽工程检查的期限的约定：</w:t>
      </w:r>
      <w:r>
        <w:rPr>
          <w:rFonts w:hint="eastAsia" w:ascii="仿宋" w:hAnsi="仿宋" w:eastAsia="仿宋" w:cs="仿宋"/>
          <w:kern w:val="2"/>
          <w:sz w:val="28"/>
          <w:szCs w:val="28"/>
          <w:u w:val="single"/>
        </w:rPr>
        <w:t>书面申报材料后24小时内</w:t>
      </w:r>
      <w:r>
        <w:rPr>
          <w:rFonts w:hint="eastAsia" w:ascii="仿宋" w:hAnsi="仿宋" w:eastAsia="仿宋" w:cs="仿宋"/>
          <w:kern w:val="2"/>
          <w:sz w:val="28"/>
          <w:szCs w:val="28"/>
        </w:rPr>
        <w:t>。</w:t>
      </w:r>
    </w:p>
    <w:p w14:paraId="0F0F188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监理人不能按时进行检查时，应提前</w:t>
      </w:r>
      <w:r>
        <w:rPr>
          <w:rFonts w:hint="eastAsia" w:ascii="仿宋" w:hAnsi="仿宋" w:eastAsia="仿宋" w:cs="仿宋"/>
          <w:kern w:val="2"/>
          <w:sz w:val="28"/>
          <w:szCs w:val="28"/>
          <w:u w:val="single"/>
        </w:rPr>
        <w:t xml:space="preserve"> 24 </w:t>
      </w:r>
      <w:r>
        <w:rPr>
          <w:rFonts w:hint="eastAsia" w:ascii="仿宋" w:hAnsi="仿宋" w:eastAsia="仿宋" w:cs="仿宋"/>
          <w:kern w:val="2"/>
          <w:sz w:val="28"/>
          <w:szCs w:val="28"/>
        </w:rPr>
        <w:t>小时提交书面延期要求。</w:t>
      </w:r>
    </w:p>
    <w:p w14:paraId="6B6182D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关于延期最长不得超过：</w:t>
      </w:r>
      <w:r>
        <w:rPr>
          <w:rFonts w:hint="eastAsia" w:ascii="仿宋" w:hAnsi="仿宋" w:eastAsia="仿宋" w:cs="仿宋"/>
          <w:kern w:val="2"/>
          <w:sz w:val="28"/>
          <w:szCs w:val="28"/>
          <w:u w:val="single"/>
        </w:rPr>
        <w:t xml:space="preserve"> 48 </w:t>
      </w:r>
      <w:r>
        <w:rPr>
          <w:rFonts w:hint="eastAsia" w:ascii="仿宋" w:hAnsi="仿宋" w:eastAsia="仿宋" w:cs="仿宋"/>
          <w:kern w:val="2"/>
          <w:sz w:val="28"/>
          <w:szCs w:val="28"/>
        </w:rPr>
        <w:t>小时。</w:t>
      </w:r>
    </w:p>
    <w:p w14:paraId="43EF839E">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821" w:name="_Toc351203638"/>
      <w:r>
        <w:rPr>
          <w:rFonts w:hint="eastAsia" w:ascii="仿宋" w:hAnsi="仿宋" w:eastAsia="仿宋" w:cs="仿宋"/>
          <w:b w:val="0"/>
          <w:bCs/>
          <w:kern w:val="0"/>
          <w:sz w:val="28"/>
          <w:szCs w:val="28"/>
          <w:lang w:val="en-US" w:eastAsia="zh-CN" w:bidi="ar-SA"/>
        </w:rPr>
        <w:t>6. 安全文明施工与环境保护</w:t>
      </w:r>
      <w:bookmarkEnd w:id="821"/>
    </w:p>
    <w:p w14:paraId="15BA404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6.1安全文明施工</w:t>
      </w:r>
    </w:p>
    <w:p w14:paraId="5E6A399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6.1.1 项目安全生产的达标目标及相应事项的约定：</w:t>
      </w:r>
    </w:p>
    <w:p w14:paraId="1BBF6AD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（1）承包人在施工期间须针对周边情况做好防尘降噪工作，应遵守《中华人民共和国安全生产法》及地方政府和有关部门对施工场地交通、噪声、污水、现场环境卫生和场外污染等管理规定并办理有关手续。</w:t>
      </w:r>
    </w:p>
    <w:p w14:paraId="751CEBD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（2）承包人须做好文明施工、安全生产，在施工过程中应完善文明施工措施，在施工过程中造成的安全事故由承包人承担。</w:t>
      </w:r>
    </w:p>
    <w:p w14:paraId="5E9C9AA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6.1.4 关于治安保卫的特别约定：</w:t>
      </w:r>
      <w:r>
        <w:rPr>
          <w:rFonts w:hint="eastAsia" w:ascii="仿宋" w:hAnsi="仿宋" w:eastAsia="仿宋" w:cs="仿宋"/>
          <w:kern w:val="2"/>
          <w:sz w:val="28"/>
          <w:szCs w:val="28"/>
          <w:u w:val="single"/>
        </w:rPr>
        <w:t>承包人应采取必要的治安保卫措施，并承担因承包人因该项工作不力而造成的相应损失。</w:t>
      </w:r>
    </w:p>
    <w:p w14:paraId="6BB885A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关于编制施工场地治安管理计划的约定：</w:t>
      </w:r>
      <w:r>
        <w:rPr>
          <w:rFonts w:hint="eastAsia" w:ascii="仿宋" w:hAnsi="仿宋" w:eastAsia="仿宋" w:cs="仿宋"/>
          <w:kern w:val="2"/>
          <w:sz w:val="28"/>
          <w:szCs w:val="28"/>
          <w:u w:val="single"/>
        </w:rPr>
        <w:t>承包人应在开工7天内编制施工场地治安管理计划</w:t>
      </w:r>
      <w:r>
        <w:rPr>
          <w:rFonts w:hint="eastAsia" w:ascii="仿宋" w:hAnsi="仿宋" w:eastAsia="仿宋" w:cs="仿宋"/>
          <w:kern w:val="2"/>
          <w:sz w:val="28"/>
          <w:szCs w:val="28"/>
        </w:rPr>
        <w:t>。</w:t>
      </w:r>
    </w:p>
    <w:p w14:paraId="6B86E6F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6.1.5 文明施工</w:t>
      </w:r>
    </w:p>
    <w:p w14:paraId="2C3BA8B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合同当事人对文明施工的要求：</w:t>
      </w:r>
    </w:p>
    <w:p w14:paraId="4911ACBF">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本工程承包人必须按文明工地标准进行管理，承包人必须服从发包人制定的有关现场安全文明管理规定，并服从发包人、监理的统一管理和协调。承包人应按照发包人、监理要求制定现场安全文明管理制度，并落实各项制度的运行。结算时安全文明施工费费率按工程所在地造价部门核定费率计取。</w:t>
      </w:r>
    </w:p>
    <w:p w14:paraId="067D8013">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（2）承包人应保证施工现场符合工程当地建设、规划、环保及城管部门文明施工的有关规定，承担因其自身违反有关规定造成的损失和违约责任。 </w:t>
      </w:r>
    </w:p>
    <w:p w14:paraId="4D09AF4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3）施工场地清洁卫生的要求：遵守环境卫生管理的有关规定，承担因自身原因违反有关规定造成的损失和违约责任；临时设施的搭设需经监理人和发包人批准，并按标准化、文明现场的要求设立标语、标牌，保证施工场地清洁卫生和场地硬化、美化，并承担相关费用。 </w:t>
      </w:r>
    </w:p>
    <w:p w14:paraId="33C70E1D">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（4）承包人必须严格按照当地建设主管部门的要求，有效控制工程施工扬尘，如发生投诉及主管部门追责，每次由承包人向发包人支付1万元违约金，从承包人工程款中直接扣除。 </w:t>
      </w:r>
    </w:p>
    <w:p w14:paraId="1E7DD74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5）现场生活区与办公区分隔管理，施工现场预制加工区与施工区域分隔；施工区域封闭管理，基坑应做好四周场地硬化、排水沟及护栏的设置、维护、保管、拆除等工作，并承担因其自身原因造成的损坏恢复责任。 </w:t>
      </w:r>
    </w:p>
    <w:p w14:paraId="35D1E94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6）在施工过程中不得对园区内现有的道路未经有关政府部门的批准进行破坏、占道使用、或造成污染经监理及发包人单位签字认定后，每次除处10000元的违约金以外，还需要及时修复及清理干净否则发包人有权叫其他部门进行修复及清理所产生的费用从工程款中扣除。</w:t>
      </w:r>
    </w:p>
    <w:p w14:paraId="5215FA2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6.1.6 关于安全文明施工费支付比例和支付期限的约定：</w:t>
      </w:r>
      <w:r>
        <w:rPr>
          <w:rFonts w:hint="eastAsia" w:ascii="仿宋" w:hAnsi="仿宋" w:eastAsia="仿宋" w:cs="仿宋"/>
          <w:kern w:val="2"/>
          <w:sz w:val="28"/>
          <w:szCs w:val="28"/>
          <w:u w:val="single"/>
        </w:rPr>
        <w:t>另行协商</w:t>
      </w:r>
      <w:r>
        <w:rPr>
          <w:rFonts w:hint="eastAsia" w:ascii="仿宋" w:hAnsi="仿宋" w:eastAsia="仿宋" w:cs="仿宋"/>
          <w:kern w:val="2"/>
          <w:sz w:val="28"/>
          <w:szCs w:val="28"/>
        </w:rPr>
        <w:t>。</w:t>
      </w:r>
    </w:p>
    <w:bookmarkEnd w:id="813"/>
    <w:bookmarkEnd w:id="814"/>
    <w:bookmarkEnd w:id="815"/>
    <w:bookmarkEnd w:id="816"/>
    <w:bookmarkEnd w:id="817"/>
    <w:bookmarkEnd w:id="818"/>
    <w:bookmarkEnd w:id="819"/>
    <w:p w14:paraId="08124C9E">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822" w:name="_Toc351203639"/>
      <w:r>
        <w:rPr>
          <w:rFonts w:hint="eastAsia" w:ascii="仿宋" w:hAnsi="仿宋" w:eastAsia="仿宋" w:cs="仿宋"/>
          <w:b w:val="0"/>
          <w:bCs/>
          <w:kern w:val="0"/>
          <w:sz w:val="28"/>
          <w:szCs w:val="28"/>
          <w:lang w:val="en-US" w:eastAsia="zh-CN" w:bidi="ar-SA"/>
        </w:rPr>
        <w:t>7. 工期和进度</w:t>
      </w:r>
      <w:bookmarkEnd w:id="822"/>
    </w:p>
    <w:p w14:paraId="284BE1C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7.1 施工组织设计</w:t>
      </w:r>
    </w:p>
    <w:p w14:paraId="10485BC5">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7.1.2 施工组织设计的提交和修改</w:t>
      </w:r>
    </w:p>
    <w:p w14:paraId="276260E3">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承包人提交详细施工组织设计的期限的约定：</w:t>
      </w:r>
      <w:r>
        <w:rPr>
          <w:rFonts w:hint="eastAsia" w:ascii="仿宋" w:hAnsi="仿宋" w:eastAsia="仿宋" w:cs="仿宋"/>
          <w:kern w:val="2"/>
          <w:sz w:val="28"/>
          <w:szCs w:val="28"/>
          <w:u w:val="single"/>
        </w:rPr>
        <w:t>开工前7天内提供施工进度总计划和有针对性的施工组织设计。</w:t>
      </w:r>
    </w:p>
    <w:p w14:paraId="7BEBE83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发包人和监理人在收到详细的施工组织设计后确认或提出修改意见的期限：</w:t>
      </w:r>
      <w:r>
        <w:rPr>
          <w:rFonts w:hint="eastAsia" w:ascii="仿宋" w:hAnsi="仿宋" w:eastAsia="仿宋" w:cs="仿宋"/>
          <w:kern w:val="2"/>
          <w:sz w:val="28"/>
          <w:szCs w:val="28"/>
          <w:u w:val="single"/>
        </w:rPr>
        <w:t>自监理人收到承包人报送的施工组织设计后7天内</w:t>
      </w:r>
      <w:r>
        <w:rPr>
          <w:rFonts w:hint="eastAsia" w:ascii="仿宋" w:hAnsi="仿宋" w:eastAsia="仿宋" w:cs="仿宋"/>
          <w:kern w:val="2"/>
          <w:sz w:val="28"/>
          <w:szCs w:val="28"/>
        </w:rPr>
        <w:t>。</w:t>
      </w:r>
    </w:p>
    <w:p w14:paraId="414C22D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w:t>
      </w:r>
      <w:bookmarkStart w:id="823" w:name="_Toc297123514"/>
      <w:bookmarkStart w:id="824" w:name="_Toc303539123"/>
      <w:bookmarkStart w:id="825" w:name="_Toc312677479"/>
      <w:bookmarkStart w:id="826" w:name="_Toc312678005"/>
      <w:bookmarkStart w:id="827" w:name="_Toc297216173"/>
      <w:bookmarkStart w:id="828" w:name="_Toc300934966"/>
      <w:bookmarkStart w:id="829" w:name="_Toc304295541"/>
      <w:r>
        <w:rPr>
          <w:rFonts w:hint="eastAsia" w:ascii="仿宋" w:hAnsi="仿宋" w:eastAsia="仿宋" w:cs="仿宋"/>
          <w:kern w:val="2"/>
          <w:sz w:val="28"/>
          <w:szCs w:val="28"/>
        </w:rPr>
        <w:t>.2 施工进度计划</w:t>
      </w:r>
    </w:p>
    <w:p w14:paraId="0DF460E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7.2.2 施工进度计划的修订</w:t>
      </w:r>
    </w:p>
    <w:p w14:paraId="44C506D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发包人和监理人在收到修订的施工进度计划后确认或提出修改意见的期限：</w:t>
      </w:r>
      <w:r>
        <w:rPr>
          <w:rFonts w:hint="eastAsia" w:ascii="仿宋" w:hAnsi="仿宋" w:eastAsia="仿宋" w:cs="仿宋"/>
          <w:kern w:val="2"/>
          <w:sz w:val="28"/>
          <w:szCs w:val="28"/>
          <w:u w:val="single"/>
        </w:rPr>
        <w:t>自监理人收到承包人报送的相关进度计划后7天内。</w:t>
      </w:r>
    </w:p>
    <w:p w14:paraId="14A4403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7.3 开工</w:t>
      </w:r>
    </w:p>
    <w:p w14:paraId="4F6BC3B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7.3.1 开工准备</w:t>
      </w:r>
    </w:p>
    <w:p w14:paraId="041F4F5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关于承包人提交工程开工报审表的期限：</w:t>
      </w:r>
      <w:r>
        <w:rPr>
          <w:rFonts w:hint="eastAsia" w:ascii="仿宋" w:hAnsi="仿宋" w:eastAsia="仿宋" w:cs="仿宋"/>
          <w:kern w:val="2"/>
          <w:sz w:val="28"/>
          <w:szCs w:val="28"/>
          <w:u w:val="single"/>
        </w:rPr>
        <w:t>在工程准备工作完成后，计划开工日期前7天提交开工报审表。</w:t>
      </w:r>
    </w:p>
    <w:p w14:paraId="2D92EF3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关于发包人应完成的其他开工准备工作及期限：</w:t>
      </w:r>
      <w:r>
        <w:rPr>
          <w:rFonts w:hint="eastAsia" w:ascii="仿宋" w:hAnsi="仿宋" w:eastAsia="仿宋" w:cs="仿宋"/>
          <w:kern w:val="2"/>
          <w:sz w:val="28"/>
          <w:szCs w:val="28"/>
          <w:u w:val="single"/>
        </w:rPr>
        <w:t>计划开工日期前7天。</w:t>
      </w:r>
    </w:p>
    <w:p w14:paraId="0BEBBB5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关于承包人应完成的其他开工准备工作及期限：</w:t>
      </w:r>
      <w:r>
        <w:rPr>
          <w:rFonts w:hint="eastAsia" w:ascii="仿宋" w:hAnsi="仿宋" w:eastAsia="仿宋" w:cs="仿宋"/>
          <w:kern w:val="2"/>
          <w:sz w:val="28"/>
          <w:szCs w:val="28"/>
          <w:u w:val="single"/>
        </w:rPr>
        <w:t>计划开工日期前7天。</w:t>
      </w:r>
    </w:p>
    <w:p w14:paraId="247253A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7.3.2开工通知</w:t>
      </w:r>
    </w:p>
    <w:p w14:paraId="284D152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因发包人原因造成监理人未能在计划开工日期之日起</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天内发出开工通知的，承包人有权提出价格调整要求，或者解除合同。</w:t>
      </w:r>
    </w:p>
    <w:bookmarkEnd w:id="823"/>
    <w:bookmarkEnd w:id="824"/>
    <w:bookmarkEnd w:id="825"/>
    <w:bookmarkEnd w:id="826"/>
    <w:bookmarkEnd w:id="827"/>
    <w:bookmarkEnd w:id="828"/>
    <w:bookmarkEnd w:id="829"/>
    <w:p w14:paraId="459056A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7.4 测量放线</w:t>
      </w:r>
    </w:p>
    <w:p w14:paraId="4CDB6CD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7.4.1发包人通过监理人向承包人提供测量基准点、基准线和水准点及其书面资料的期限：</w:t>
      </w:r>
      <w:r>
        <w:rPr>
          <w:rFonts w:hint="eastAsia" w:ascii="仿宋" w:hAnsi="仿宋" w:eastAsia="仿宋" w:cs="仿宋"/>
          <w:kern w:val="2"/>
          <w:sz w:val="28"/>
          <w:szCs w:val="28"/>
          <w:u w:val="single"/>
        </w:rPr>
        <w:t>根据工程实际进度。</w:t>
      </w:r>
    </w:p>
    <w:p w14:paraId="7DEFBE0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w:t>
      </w:r>
      <w:bookmarkStart w:id="830" w:name="_Toc312678010"/>
      <w:bookmarkStart w:id="831" w:name="_Toc297216175"/>
      <w:bookmarkStart w:id="832" w:name="_Toc300934968"/>
      <w:bookmarkStart w:id="833" w:name="_Toc303539125"/>
      <w:bookmarkStart w:id="834" w:name="_Toc312677484"/>
      <w:bookmarkStart w:id="835" w:name="_Toc304295546"/>
      <w:bookmarkStart w:id="836" w:name="_Toc297123516"/>
      <w:r>
        <w:rPr>
          <w:rFonts w:hint="eastAsia" w:ascii="仿宋" w:hAnsi="仿宋" w:eastAsia="仿宋" w:cs="仿宋"/>
          <w:kern w:val="2"/>
          <w:sz w:val="28"/>
          <w:szCs w:val="28"/>
        </w:rPr>
        <w:t>.5 工期延误</w:t>
      </w:r>
    </w:p>
    <w:bookmarkEnd w:id="830"/>
    <w:bookmarkEnd w:id="831"/>
    <w:bookmarkEnd w:id="832"/>
    <w:bookmarkEnd w:id="833"/>
    <w:bookmarkEnd w:id="834"/>
    <w:bookmarkEnd w:id="835"/>
    <w:bookmarkEnd w:id="836"/>
    <w:p w14:paraId="1F0821C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7.5.1 因发包人原因导致工期延误</w:t>
      </w:r>
    </w:p>
    <w:p w14:paraId="5D0BFB3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（7）因发包人原因导致工期延误的其他情形：</w:t>
      </w:r>
      <w:r>
        <w:rPr>
          <w:rFonts w:hint="eastAsia" w:ascii="仿宋" w:hAnsi="仿宋" w:eastAsia="仿宋" w:cs="仿宋"/>
          <w:kern w:val="2"/>
          <w:sz w:val="28"/>
          <w:szCs w:val="28"/>
          <w:u w:val="single"/>
        </w:rPr>
        <w:t>由于发包人原因和国家行政相关要求的停工（非承包方的责任），经发包人同意，工期可顺延。</w:t>
      </w:r>
    </w:p>
    <w:p w14:paraId="74F57A1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w:t>
      </w:r>
      <w:bookmarkStart w:id="837" w:name="_Toc312677486"/>
      <w:bookmarkStart w:id="838" w:name="_Toc312678012"/>
      <w:bookmarkStart w:id="839" w:name="_Toc318581169"/>
      <w:bookmarkStart w:id="840" w:name="_Toc304295548"/>
      <w:bookmarkStart w:id="841" w:name="_Toc297216177"/>
      <w:bookmarkStart w:id="842" w:name="_Toc297123518"/>
      <w:bookmarkStart w:id="843" w:name="_Toc303539127"/>
      <w:bookmarkStart w:id="844" w:name="_Toc300934970"/>
      <w:r>
        <w:rPr>
          <w:rFonts w:hint="eastAsia" w:ascii="仿宋" w:hAnsi="仿宋" w:eastAsia="仿宋" w:cs="仿宋"/>
          <w:kern w:val="2"/>
          <w:sz w:val="28"/>
          <w:szCs w:val="28"/>
        </w:rPr>
        <w:t>.5.2 因承包人原因导致工期延误</w:t>
      </w:r>
    </w:p>
    <w:bookmarkEnd w:id="837"/>
    <w:bookmarkEnd w:id="838"/>
    <w:bookmarkEnd w:id="839"/>
    <w:p w14:paraId="0FCC24E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因</w:t>
      </w:r>
      <w:bookmarkStart w:id="845" w:name="_Toc312678013"/>
      <w:bookmarkStart w:id="846" w:name="_Toc312677487"/>
      <w:bookmarkStart w:id="847" w:name="_Toc318581170"/>
      <w:r>
        <w:rPr>
          <w:rFonts w:hint="eastAsia" w:ascii="仿宋" w:hAnsi="仿宋" w:eastAsia="仿宋" w:cs="仿宋"/>
          <w:kern w:val="2"/>
          <w:sz w:val="28"/>
          <w:szCs w:val="28"/>
        </w:rPr>
        <w:t>承包人原因造成工期延误，逾期竣工违约金的计算方法为：</w:t>
      </w:r>
      <w:bookmarkEnd w:id="840"/>
      <w:bookmarkEnd w:id="841"/>
      <w:bookmarkEnd w:id="842"/>
      <w:bookmarkEnd w:id="843"/>
      <w:bookmarkEnd w:id="844"/>
      <w:bookmarkEnd w:id="845"/>
      <w:bookmarkEnd w:id="846"/>
      <w:r>
        <w:rPr>
          <w:rFonts w:hint="eastAsia" w:ascii="仿宋" w:hAnsi="仿宋" w:eastAsia="仿宋" w:cs="仿宋"/>
          <w:kern w:val="2"/>
          <w:sz w:val="28"/>
          <w:szCs w:val="28"/>
          <w:u w:val="single"/>
        </w:rPr>
        <w:t>因承包人原因引起的工期延误按结算价每天以万分之二罚款（本工程实行全过程工期控制）。</w:t>
      </w:r>
    </w:p>
    <w:bookmarkEnd w:id="847"/>
    <w:p w14:paraId="593FE88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因承包人原因造成工期延误，逾</w:t>
      </w:r>
      <w:bookmarkStart w:id="848" w:name="_Toc312678014"/>
      <w:bookmarkStart w:id="849" w:name="_Toc318581171"/>
      <w:r>
        <w:rPr>
          <w:rFonts w:hint="eastAsia" w:ascii="仿宋" w:hAnsi="仿宋" w:eastAsia="仿宋" w:cs="仿宋"/>
          <w:kern w:val="2"/>
          <w:sz w:val="28"/>
          <w:szCs w:val="28"/>
        </w:rPr>
        <w:t>期竣工违约金的上限：</w:t>
      </w:r>
      <w:r>
        <w:rPr>
          <w:rFonts w:hint="eastAsia" w:ascii="仿宋" w:hAnsi="仿宋" w:eastAsia="仿宋" w:cs="仿宋"/>
          <w:kern w:val="2"/>
          <w:sz w:val="28"/>
          <w:szCs w:val="28"/>
          <w:u w:val="single"/>
        </w:rPr>
        <w:t>不超过合同价款的5%。</w:t>
      </w:r>
    </w:p>
    <w:bookmarkEnd w:id="848"/>
    <w:bookmarkEnd w:id="849"/>
    <w:p w14:paraId="55270DF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w:t>
      </w:r>
      <w:bookmarkStart w:id="850" w:name="_Toc300934971"/>
      <w:bookmarkStart w:id="851" w:name="_Toc297216178"/>
      <w:bookmarkStart w:id="852" w:name="_Toc304295549"/>
      <w:bookmarkStart w:id="853" w:name="_Toc303539128"/>
      <w:bookmarkStart w:id="854" w:name="_Toc297123519"/>
      <w:bookmarkStart w:id="855" w:name="_Toc312678015"/>
      <w:r>
        <w:rPr>
          <w:rFonts w:hint="eastAsia" w:ascii="仿宋" w:hAnsi="仿宋" w:eastAsia="仿宋" w:cs="仿宋"/>
          <w:kern w:val="2"/>
          <w:sz w:val="28"/>
          <w:szCs w:val="28"/>
        </w:rPr>
        <w:t>.6 不</w:t>
      </w:r>
      <w:bookmarkEnd w:id="850"/>
      <w:bookmarkEnd w:id="851"/>
      <w:bookmarkEnd w:id="852"/>
      <w:bookmarkEnd w:id="853"/>
      <w:bookmarkEnd w:id="854"/>
      <w:bookmarkEnd w:id="855"/>
      <w:r>
        <w:rPr>
          <w:rFonts w:hint="eastAsia" w:ascii="仿宋" w:hAnsi="仿宋" w:eastAsia="仿宋" w:cs="仿宋"/>
          <w:kern w:val="2"/>
          <w:sz w:val="28"/>
          <w:szCs w:val="28"/>
        </w:rPr>
        <w:t>利物质条件</w:t>
      </w:r>
    </w:p>
    <w:p w14:paraId="5B00F511">
      <w:pPr>
        <w:snapToGrid w:val="0"/>
        <w:spacing w:line="420" w:lineRule="exact"/>
        <w:ind w:firstLine="560" w:firstLineChars="200"/>
        <w:rPr>
          <w:rFonts w:hint="eastAsia" w:ascii="仿宋" w:hAnsi="仿宋" w:eastAsia="仿宋" w:cs="仿宋"/>
          <w:kern w:val="2"/>
          <w:sz w:val="28"/>
          <w:szCs w:val="28"/>
        </w:rPr>
      </w:pPr>
      <w:bookmarkStart w:id="856" w:name="_Toc304295550"/>
      <w:bookmarkStart w:id="857" w:name="_Toc303539129"/>
      <w:bookmarkStart w:id="858" w:name="_Toc297123520"/>
      <w:bookmarkStart w:id="859" w:name="_Toc318581172"/>
      <w:bookmarkStart w:id="860" w:name="_Toc312678016"/>
      <w:bookmarkStart w:id="861" w:name="_Toc297216179"/>
      <w:bookmarkStart w:id="862" w:name="_Toc300934972"/>
      <w:r>
        <w:rPr>
          <w:rFonts w:hint="eastAsia" w:ascii="仿宋" w:hAnsi="仿宋" w:eastAsia="仿宋" w:cs="仿宋"/>
          <w:kern w:val="2"/>
          <w:sz w:val="28"/>
          <w:szCs w:val="28"/>
        </w:rPr>
        <w:t>不利物质条件的其他情形和有关约定：</w:t>
      </w:r>
      <w:r>
        <w:rPr>
          <w:rFonts w:hint="eastAsia" w:ascii="仿宋" w:hAnsi="仿宋" w:eastAsia="仿宋" w:cs="仿宋"/>
          <w:kern w:val="2"/>
          <w:sz w:val="28"/>
          <w:szCs w:val="28"/>
          <w:u w:val="single"/>
        </w:rPr>
        <w:t>按通用条款执行</w:t>
      </w:r>
      <w:r>
        <w:rPr>
          <w:rFonts w:hint="eastAsia" w:ascii="仿宋" w:hAnsi="仿宋" w:eastAsia="仿宋" w:cs="仿宋"/>
          <w:kern w:val="2"/>
          <w:sz w:val="28"/>
          <w:szCs w:val="28"/>
        </w:rPr>
        <w:t>。</w:t>
      </w:r>
    </w:p>
    <w:bookmarkEnd w:id="856"/>
    <w:bookmarkEnd w:id="857"/>
    <w:bookmarkEnd w:id="858"/>
    <w:bookmarkEnd w:id="859"/>
    <w:bookmarkEnd w:id="860"/>
    <w:bookmarkEnd w:id="861"/>
    <w:bookmarkEnd w:id="862"/>
    <w:p w14:paraId="6E18A88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w:t>
      </w:r>
      <w:bookmarkStart w:id="863" w:name="_Toc304295551"/>
      <w:bookmarkStart w:id="864" w:name="_Toc312678017"/>
      <w:bookmarkStart w:id="865" w:name="_Toc303539130"/>
      <w:bookmarkStart w:id="866" w:name="_Toc300934973"/>
      <w:bookmarkStart w:id="867" w:name="_Toc297123521"/>
      <w:bookmarkStart w:id="868" w:name="_Toc297216180"/>
      <w:r>
        <w:rPr>
          <w:rFonts w:hint="eastAsia" w:ascii="仿宋" w:hAnsi="仿宋" w:eastAsia="仿宋" w:cs="仿宋"/>
          <w:kern w:val="2"/>
          <w:sz w:val="28"/>
          <w:szCs w:val="28"/>
        </w:rPr>
        <w:t>.7异常恶劣的气候条件</w:t>
      </w:r>
    </w:p>
    <w:bookmarkEnd w:id="863"/>
    <w:bookmarkEnd w:id="864"/>
    <w:bookmarkEnd w:id="865"/>
    <w:bookmarkEnd w:id="866"/>
    <w:bookmarkEnd w:id="867"/>
    <w:bookmarkEnd w:id="868"/>
    <w:p w14:paraId="3022A56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发包人和承包人同意以下情形视为异常恶劣的气候条件：</w:t>
      </w:r>
    </w:p>
    <w:p w14:paraId="49B575E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r>
        <w:rPr>
          <w:rFonts w:hint="eastAsia" w:ascii="仿宋" w:hAnsi="仿宋" w:eastAsia="仿宋" w:cs="仿宋"/>
          <w:kern w:val="2"/>
          <w:sz w:val="28"/>
          <w:szCs w:val="28"/>
          <w:u w:val="single"/>
        </w:rPr>
        <w:t>按通用条款执行</w:t>
      </w:r>
      <w:r>
        <w:rPr>
          <w:rFonts w:hint="eastAsia" w:ascii="仿宋" w:hAnsi="仿宋" w:eastAsia="仿宋" w:cs="仿宋"/>
          <w:kern w:val="2"/>
          <w:sz w:val="28"/>
          <w:szCs w:val="28"/>
        </w:rPr>
        <w:t>；</w:t>
      </w:r>
    </w:p>
    <w:p w14:paraId="02EF736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00C4F64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090D4EA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7.9 提前竣工的奖励</w:t>
      </w:r>
    </w:p>
    <w:p w14:paraId="2D77B2C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7.9.2提前竣工的奖励：</w:t>
      </w:r>
      <w:r>
        <w:rPr>
          <w:rFonts w:hint="eastAsia" w:ascii="仿宋" w:hAnsi="仿宋" w:eastAsia="仿宋" w:cs="仿宋"/>
          <w:kern w:val="2"/>
          <w:sz w:val="28"/>
          <w:szCs w:val="28"/>
          <w:u w:val="single"/>
        </w:rPr>
        <w:t xml:space="preserve"> 奖励金额按结算价每天以万分之一计算。</w:t>
      </w:r>
    </w:p>
    <w:p w14:paraId="0F6F2B2A">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869" w:name="_Toc351203640"/>
      <w:r>
        <w:rPr>
          <w:rFonts w:hint="eastAsia" w:ascii="仿宋" w:hAnsi="仿宋" w:eastAsia="仿宋" w:cs="仿宋"/>
          <w:b w:val="0"/>
          <w:bCs/>
          <w:kern w:val="0"/>
          <w:sz w:val="28"/>
          <w:szCs w:val="28"/>
          <w:lang w:val="en-US" w:eastAsia="zh-CN" w:bidi="ar-SA"/>
        </w:rPr>
        <w:t>8. 材料与设备</w:t>
      </w:r>
      <w:bookmarkEnd w:id="869"/>
    </w:p>
    <w:bookmarkEnd w:id="803"/>
    <w:bookmarkEnd w:id="804"/>
    <w:bookmarkEnd w:id="805"/>
    <w:bookmarkEnd w:id="806"/>
    <w:bookmarkEnd w:id="807"/>
    <w:bookmarkEnd w:id="808"/>
    <w:bookmarkEnd w:id="809"/>
    <w:bookmarkEnd w:id="810"/>
    <w:bookmarkEnd w:id="811"/>
    <w:bookmarkEnd w:id="812"/>
    <w:p w14:paraId="4BF5339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8</w:t>
      </w:r>
      <w:bookmarkStart w:id="870" w:name="_Toc280868654"/>
      <w:bookmarkStart w:id="871" w:name="_Toc300934979"/>
      <w:bookmarkStart w:id="872" w:name="_Toc296890995"/>
      <w:bookmarkStart w:id="873" w:name="_Toc296944506"/>
      <w:bookmarkStart w:id="874" w:name="_Toc296347166"/>
      <w:bookmarkStart w:id="875" w:name="_Toc297123527"/>
      <w:bookmarkStart w:id="876" w:name="_Toc297216186"/>
      <w:bookmarkStart w:id="877" w:name="_Toc312678019"/>
      <w:bookmarkStart w:id="878" w:name="_Toc303539136"/>
      <w:bookmarkStart w:id="879" w:name="_Toc292559372"/>
      <w:bookmarkStart w:id="880" w:name="_Toc304295556"/>
      <w:bookmarkStart w:id="881" w:name="_Toc292559877"/>
      <w:bookmarkStart w:id="882" w:name="_Toc297048353"/>
      <w:bookmarkStart w:id="883" w:name="_Toc296503167"/>
      <w:bookmarkStart w:id="884" w:name="_Toc312677493"/>
      <w:bookmarkStart w:id="885" w:name="_Toc296346668"/>
      <w:bookmarkStart w:id="886" w:name="_Toc296891207"/>
      <w:bookmarkStart w:id="887" w:name="_Toc297120467"/>
      <w:bookmarkStart w:id="888" w:name="_Toc280868656"/>
      <w:bookmarkStart w:id="889" w:name="_Toc267251424"/>
      <w:bookmarkStart w:id="890" w:name="_Toc280868655"/>
      <w:r>
        <w:rPr>
          <w:rFonts w:hint="eastAsia" w:ascii="仿宋" w:hAnsi="仿宋" w:eastAsia="仿宋" w:cs="仿宋"/>
          <w:kern w:val="2"/>
          <w:sz w:val="28"/>
          <w:szCs w:val="28"/>
        </w:rPr>
        <w:t>.4材料与工程设备的保管与使用</w:t>
      </w:r>
    </w:p>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14:paraId="0E8FFBB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8</w:t>
      </w:r>
      <w:bookmarkStart w:id="891" w:name="_Toc292559373"/>
      <w:bookmarkStart w:id="892" w:name="_Toc292559878"/>
      <w:bookmarkStart w:id="893" w:name="_Toc303539137"/>
      <w:bookmarkStart w:id="894" w:name="_Toc296346669"/>
      <w:bookmarkStart w:id="895" w:name="_Toc304295557"/>
      <w:bookmarkStart w:id="896" w:name="_Toc296890996"/>
      <w:bookmarkStart w:id="897" w:name="_Toc296503168"/>
      <w:bookmarkStart w:id="898" w:name="_Toc312678020"/>
      <w:bookmarkStart w:id="899" w:name="_Toc297048354"/>
      <w:bookmarkStart w:id="900" w:name="_Toc296891208"/>
      <w:bookmarkStart w:id="901" w:name="_Toc297123528"/>
      <w:bookmarkStart w:id="902" w:name="_Toc297216187"/>
      <w:bookmarkStart w:id="903" w:name="_Toc296347167"/>
      <w:bookmarkStart w:id="904" w:name="_Toc312677494"/>
      <w:bookmarkStart w:id="905" w:name="_Toc296944507"/>
      <w:bookmarkStart w:id="906" w:name="_Toc300934980"/>
      <w:bookmarkStart w:id="907" w:name="_Toc318581173"/>
      <w:bookmarkStart w:id="908" w:name="_Toc297120468"/>
      <w:r>
        <w:rPr>
          <w:rFonts w:hint="eastAsia" w:ascii="仿宋" w:hAnsi="仿宋" w:eastAsia="仿宋" w:cs="仿宋"/>
          <w:kern w:val="2"/>
          <w:sz w:val="28"/>
          <w:szCs w:val="28"/>
        </w:rPr>
        <w:t>.4.1发包人供应的材料设备的保管费用的承担：</w:t>
      </w:r>
      <w:bookmarkEnd w:id="891"/>
      <w:bookmarkEnd w:id="892"/>
    </w:p>
    <w:p w14:paraId="0E222776">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（1）发包人供应的材料设备，承包人派人参加清点后由承包人妥善保管，发生丢失损坏，由承包人负责赔偿。</w:t>
      </w:r>
    </w:p>
    <w:p w14:paraId="2694664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u w:val="single"/>
        </w:rPr>
        <w:t xml:space="preserve">（2）承包人提供的材料和设备： </w:t>
      </w:r>
    </w:p>
    <w:p w14:paraId="18BFC796">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承包人应在材料、设备进场前7天向监理人申报相关资料，监理人在收到申报资料3天内完成审批。</w:t>
      </w:r>
    </w:p>
    <w:p w14:paraId="13357010">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除发包人供应或发包人定价承包人供应材料外，承包人应按照本合同约定及设计和有关标准要求采购由承包人负责采购的材料，采购前应向监理工程师提供产品合格证明和样本、样品（可进行封样的），并在材料到货前24小时通知监理工程师初检。承包人对材料质量负责，承包人提供的材料不符合要求时，发包人保留发包人供应或发包人定价承包人供应材料的权利。 </w:t>
      </w:r>
    </w:p>
    <w:p w14:paraId="0C1B7AA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2）主要材料供应商由承包人自行选择，但须得到发包人、监理人的认可。未经发包人、监理人的决定或认可，承包人不得私自将材料运进现场，更不得将材料用于本工程。材料的供应以保障工程施工顺利进行为原则，由承包人自理。具体事宜由承包人与材料供应商签订的供应合同中明确，供应合同中明确具体品种、数量、标准、规格、型号、尺寸、供应办法、供货地点、下力方式。 </w:t>
      </w:r>
    </w:p>
    <w:p w14:paraId="2E2BDA23">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3）发包人、监理人对材料供应商的决定或认可并不解除承包人应负的质量、工期的责任，也不解除承包人对材料应负的责任。承包人采购的材料与设计或规范要求不符时，承包人应按监理工程师要求的时间运出施工场地，重新采购符合要求的产品，承担由此发生的费用，由此延误的工期不予顺延。 </w:t>
      </w:r>
    </w:p>
    <w:p w14:paraId="2FEA50AD">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4）承包人采购的材料在使用前，承包人首先进行自检，并做自检内容记录，此外还应按监理工程师的要求进行检验或试验，如监理工程师对检验过材料表示怀疑时，有权随机抽样检验。不合格的不得使用，若检验或试验不合格，其费用由承包人承担。 </w:t>
      </w:r>
    </w:p>
    <w:p w14:paraId="025F1F96">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5）因发现承包人采购并使用不符合设计或标准要求的材料，致使工程不符合合同规定的质量要求，承包人应按监理工程师的要求进行修复、拆除或重新采购，承包人承担由此发生的一切费用，延误的工期不予顺延。 </w:t>
      </w:r>
    </w:p>
    <w:p w14:paraId="779FB75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6）材料供应商与承包人的材料供应量按材料供应商与承包人双方共同签认的实际供应数量进行计量。发包人有权监督承包人与材料供应商的合同履行情况，若承包人不按合同规定支付材料款，发包人有权从应支付给承包人的任一款项中扣除该部分并支付给材料商。 </w:t>
      </w:r>
    </w:p>
    <w:p w14:paraId="56E992F6">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7）承包人需要使用代用材料时，应向监理工程师提出使用代用材料对本工程质量、成本、进度等方面的影响报告，经监理工程师审核并报发包人代表批准后才能使用，由此增减的合同价款根据工程申报单、现场签证于工程竣工结算时一并结算。发包人的批准并不能解除承包人对代用材料的质量和使用代用材料引起的不良结果的责任。</w:t>
      </w:r>
    </w:p>
    <w:p w14:paraId="6CBD536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8.6 样品</w:t>
      </w:r>
    </w:p>
    <w:p w14:paraId="45D75170">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8.6.1样品的报送与封存</w:t>
      </w:r>
    </w:p>
    <w:p w14:paraId="780137D5">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需要承包人报送样品的材料或工程设备，样品的种类、名称、规格、数量要求：</w:t>
      </w:r>
    </w:p>
    <w:p w14:paraId="264DD876">
      <w:pPr>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①本工程使用的所有材料的质量及检验资料须达到设计要求及国家现行验收规范； </w:t>
      </w:r>
    </w:p>
    <w:p w14:paraId="1F6098B7">
      <w:pPr>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②本工程所有材料材质、品牌、规格、型号、价格、颜色须经发包人书面确认后方可采购； </w:t>
      </w:r>
    </w:p>
    <w:p w14:paraId="660B8B94">
      <w:pPr>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③本工程使用的材料均由承包人负责采购，但须经监理和发包人的认可后方可采购。</w:t>
      </w:r>
    </w:p>
    <w:p w14:paraId="3738DEAF">
      <w:pPr>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④材料进场前，承包人应及时向监理工程师提交质量证明材料和《工程材料进场报验单》，经验收合格并签署同意意见后，方能进场使用。材料未经验收或验收不合格，承包人擅自用于工程的，除立即返工外，并处5000元/次违约金。 </w:t>
      </w:r>
    </w:p>
    <w:p w14:paraId="114207E0">
      <w:pPr>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⑤材料首次进场时验收合格，但后期同种材料进场时若出现以次充好或串换等现象时，如已用于工程的，除立即返工外，并处5000元/次违约金；未用于工程的，除立即退场外，并处5000元/次违约金。场内严禁堆放不合格材料，过期不处理的不合格材料，发包人有权自行处理。 </w:t>
      </w:r>
    </w:p>
    <w:p w14:paraId="181526AE">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u w:val="single"/>
        </w:rPr>
        <w:t>⑥如发包人或质监部门另行要求检测的，送检合格，检测费用由发包人承担；送检不合格，检测费用由承包人承担，不合格材料由监理标识后，限时运出场外</w:t>
      </w:r>
      <w:r>
        <w:rPr>
          <w:rFonts w:hint="eastAsia" w:ascii="仿宋" w:hAnsi="仿宋" w:eastAsia="仿宋" w:cs="仿宋"/>
          <w:kern w:val="2"/>
          <w:sz w:val="28"/>
          <w:szCs w:val="28"/>
        </w:rPr>
        <w:t>。</w:t>
      </w:r>
    </w:p>
    <w:p w14:paraId="4DB6E50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8.8 施工设备和临时设施</w:t>
      </w:r>
    </w:p>
    <w:p w14:paraId="471E9E55">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8.8.1 承包人提供的施工设备和临时设施</w:t>
      </w:r>
    </w:p>
    <w:p w14:paraId="60573F20">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关于修建临时设施费用承担的约定：</w:t>
      </w:r>
      <w:r>
        <w:rPr>
          <w:rFonts w:hint="eastAsia" w:ascii="仿宋" w:hAnsi="仿宋" w:eastAsia="仿宋" w:cs="仿宋"/>
          <w:kern w:val="2"/>
          <w:sz w:val="28"/>
          <w:szCs w:val="28"/>
          <w:u w:val="single"/>
        </w:rPr>
        <w:t>按通用条款执行</w:t>
      </w:r>
      <w:r>
        <w:rPr>
          <w:rFonts w:hint="eastAsia" w:ascii="仿宋" w:hAnsi="仿宋" w:eastAsia="仿宋" w:cs="仿宋"/>
          <w:kern w:val="2"/>
          <w:sz w:val="28"/>
          <w:szCs w:val="28"/>
        </w:rPr>
        <w:t>。</w:t>
      </w:r>
    </w:p>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14:paraId="3A873E68">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909" w:name="_Toc351203641"/>
      <w:r>
        <w:rPr>
          <w:rFonts w:hint="eastAsia" w:ascii="仿宋" w:hAnsi="仿宋" w:eastAsia="仿宋" w:cs="仿宋"/>
          <w:b w:val="0"/>
          <w:bCs/>
          <w:kern w:val="0"/>
          <w:sz w:val="28"/>
          <w:szCs w:val="28"/>
          <w:lang w:val="en-US" w:eastAsia="zh-CN" w:bidi="ar-SA"/>
        </w:rPr>
        <w:t>9</w:t>
      </w:r>
      <w:bookmarkEnd w:id="888"/>
      <w:bookmarkEnd w:id="889"/>
      <w:bookmarkEnd w:id="890"/>
      <w:bookmarkStart w:id="910" w:name="_Toc300934982"/>
      <w:bookmarkStart w:id="911" w:name="_Toc297123533"/>
      <w:bookmarkStart w:id="912" w:name="_Toc297216192"/>
      <w:bookmarkStart w:id="913" w:name="_Toc312678021"/>
      <w:bookmarkStart w:id="914" w:name="_Toc312677495"/>
      <w:bookmarkStart w:id="915" w:name="_Toc303539139"/>
      <w:bookmarkStart w:id="916" w:name="_Toc304295559"/>
      <w:bookmarkStart w:id="917" w:name="_Toc267251427"/>
      <w:bookmarkStart w:id="918" w:name="_Toc267251428"/>
      <w:bookmarkStart w:id="919" w:name="_Toc292559883"/>
      <w:bookmarkStart w:id="920" w:name="_Toc297120473"/>
      <w:bookmarkStart w:id="921" w:name="_Toc296346674"/>
      <w:bookmarkStart w:id="922" w:name="_Toc296891213"/>
      <w:bookmarkStart w:id="923" w:name="_Toc296944512"/>
      <w:bookmarkStart w:id="924" w:name="_Toc296891001"/>
      <w:bookmarkStart w:id="925" w:name="_Toc292559378"/>
      <w:bookmarkStart w:id="926" w:name="_Toc296503173"/>
      <w:bookmarkStart w:id="927" w:name="_Toc297048359"/>
      <w:bookmarkStart w:id="928" w:name="_Toc296347172"/>
      <w:r>
        <w:rPr>
          <w:rFonts w:hint="eastAsia" w:ascii="仿宋" w:hAnsi="仿宋" w:eastAsia="仿宋" w:cs="仿宋"/>
          <w:b w:val="0"/>
          <w:bCs/>
          <w:kern w:val="0"/>
          <w:sz w:val="28"/>
          <w:szCs w:val="28"/>
          <w:lang w:val="en-US" w:eastAsia="zh-CN" w:bidi="ar-SA"/>
        </w:rPr>
        <w:t>. 试验与检验</w:t>
      </w:r>
      <w:bookmarkEnd w:id="909"/>
    </w:p>
    <w:bookmarkEnd w:id="910"/>
    <w:bookmarkEnd w:id="911"/>
    <w:bookmarkEnd w:id="912"/>
    <w:bookmarkEnd w:id="913"/>
    <w:bookmarkEnd w:id="914"/>
    <w:bookmarkEnd w:id="915"/>
    <w:bookmarkEnd w:id="916"/>
    <w:p w14:paraId="576B96B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9</w:t>
      </w:r>
      <w:bookmarkStart w:id="929" w:name="_Toc297123534"/>
      <w:bookmarkStart w:id="930" w:name="_Toc304295560"/>
      <w:bookmarkStart w:id="931" w:name="_Toc297216193"/>
      <w:bookmarkStart w:id="932" w:name="_Toc312677496"/>
      <w:bookmarkStart w:id="933" w:name="_Toc300934983"/>
      <w:bookmarkStart w:id="934" w:name="_Toc303539140"/>
      <w:bookmarkStart w:id="935" w:name="_Toc312678022"/>
      <w:r>
        <w:rPr>
          <w:rFonts w:hint="eastAsia" w:ascii="仿宋" w:hAnsi="仿宋" w:eastAsia="仿宋" w:cs="仿宋"/>
          <w:kern w:val="2"/>
          <w:sz w:val="28"/>
          <w:szCs w:val="28"/>
        </w:rPr>
        <w:t>.1试验设备与试验人员</w:t>
      </w:r>
    </w:p>
    <w:bookmarkEnd w:id="929"/>
    <w:bookmarkEnd w:id="930"/>
    <w:bookmarkEnd w:id="931"/>
    <w:bookmarkEnd w:id="932"/>
    <w:bookmarkEnd w:id="933"/>
    <w:bookmarkEnd w:id="934"/>
    <w:bookmarkEnd w:id="935"/>
    <w:p w14:paraId="6F5BEC5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9</w:t>
      </w:r>
      <w:bookmarkStart w:id="936" w:name="_Toc297123535"/>
      <w:bookmarkStart w:id="937" w:name="_Toc312678023"/>
      <w:bookmarkStart w:id="938" w:name="_Toc300934984"/>
      <w:bookmarkStart w:id="939" w:name="_Toc304295561"/>
      <w:bookmarkStart w:id="940" w:name="_Toc297216194"/>
      <w:bookmarkStart w:id="941" w:name="_Toc303539141"/>
      <w:bookmarkStart w:id="942" w:name="_Toc312677497"/>
      <w:bookmarkStart w:id="943" w:name="_Toc318581174"/>
      <w:r>
        <w:rPr>
          <w:rFonts w:hint="eastAsia" w:ascii="仿宋" w:hAnsi="仿宋" w:eastAsia="仿宋" w:cs="仿宋"/>
          <w:kern w:val="2"/>
          <w:sz w:val="28"/>
          <w:szCs w:val="28"/>
        </w:rPr>
        <w:t>.1.2 试验设备</w:t>
      </w:r>
    </w:p>
    <w:p w14:paraId="213B427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施工现场需要配置的试验场所：</w:t>
      </w:r>
      <w:bookmarkEnd w:id="936"/>
      <w:bookmarkEnd w:id="937"/>
      <w:bookmarkEnd w:id="938"/>
      <w:bookmarkEnd w:id="939"/>
      <w:bookmarkEnd w:id="940"/>
      <w:bookmarkEnd w:id="941"/>
      <w:bookmarkEnd w:id="942"/>
      <w:bookmarkStart w:id="944" w:name="_Toc297123536"/>
      <w:bookmarkStart w:id="945" w:name="_Toc312677498"/>
      <w:bookmarkStart w:id="946" w:name="_Toc297216195"/>
      <w:bookmarkStart w:id="947" w:name="_Toc304295562"/>
      <w:bookmarkStart w:id="948" w:name="_Toc312678024"/>
      <w:bookmarkStart w:id="949" w:name="_Toc300934985"/>
      <w:bookmarkStart w:id="950" w:name="_Toc303539142"/>
      <w:r>
        <w:rPr>
          <w:rFonts w:hint="eastAsia" w:ascii="仿宋" w:hAnsi="仿宋" w:eastAsia="仿宋" w:cs="仿宋"/>
          <w:kern w:val="2"/>
          <w:sz w:val="28"/>
          <w:szCs w:val="28"/>
          <w:u w:val="single"/>
        </w:rPr>
        <w:t>按通用条款执行</w:t>
      </w:r>
      <w:r>
        <w:rPr>
          <w:rFonts w:hint="eastAsia" w:ascii="仿宋" w:hAnsi="仿宋" w:eastAsia="仿宋" w:cs="仿宋"/>
          <w:kern w:val="2"/>
          <w:sz w:val="28"/>
          <w:szCs w:val="28"/>
        </w:rPr>
        <w:t xml:space="preserve">。 </w:t>
      </w:r>
    </w:p>
    <w:p w14:paraId="474CA3D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施工现场需要配备的试验设备：</w:t>
      </w:r>
      <w:r>
        <w:rPr>
          <w:rFonts w:hint="eastAsia" w:ascii="仿宋" w:hAnsi="仿宋" w:eastAsia="仿宋" w:cs="仿宋"/>
          <w:kern w:val="2"/>
          <w:sz w:val="28"/>
          <w:szCs w:val="28"/>
          <w:u w:val="single"/>
        </w:rPr>
        <w:t>按通用条款执行</w:t>
      </w:r>
      <w:r>
        <w:rPr>
          <w:rFonts w:hint="eastAsia" w:ascii="仿宋" w:hAnsi="仿宋" w:eastAsia="仿宋" w:cs="仿宋"/>
          <w:kern w:val="2"/>
          <w:sz w:val="28"/>
          <w:szCs w:val="28"/>
        </w:rPr>
        <w:t>。</w:t>
      </w:r>
    </w:p>
    <w:p w14:paraId="1633E4D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施工现场需要具备的其他试验条件：</w:t>
      </w:r>
      <w:r>
        <w:rPr>
          <w:rFonts w:hint="eastAsia" w:ascii="仿宋" w:hAnsi="仿宋" w:eastAsia="仿宋" w:cs="仿宋"/>
          <w:kern w:val="2"/>
          <w:sz w:val="28"/>
          <w:szCs w:val="28"/>
          <w:u w:val="single"/>
        </w:rPr>
        <w:t>按通用条款执行</w:t>
      </w:r>
      <w:r>
        <w:rPr>
          <w:rFonts w:hint="eastAsia" w:ascii="仿宋" w:hAnsi="仿宋" w:eastAsia="仿宋" w:cs="仿宋"/>
          <w:kern w:val="2"/>
          <w:sz w:val="28"/>
          <w:szCs w:val="28"/>
        </w:rPr>
        <w:t>。</w:t>
      </w:r>
    </w:p>
    <w:p w14:paraId="49A4AF6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9.4 现场工艺试验 </w:t>
      </w:r>
    </w:p>
    <w:p w14:paraId="4CBE392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现场工艺试验的有关约定：</w:t>
      </w:r>
      <w:r>
        <w:rPr>
          <w:rFonts w:hint="eastAsia" w:ascii="仿宋" w:hAnsi="仿宋" w:eastAsia="仿宋" w:cs="仿宋"/>
          <w:kern w:val="2"/>
          <w:sz w:val="28"/>
          <w:szCs w:val="28"/>
          <w:u w:val="single"/>
        </w:rPr>
        <w:t>按通用条款执行</w:t>
      </w:r>
      <w:r>
        <w:rPr>
          <w:rFonts w:hint="eastAsia" w:ascii="仿宋" w:hAnsi="仿宋" w:eastAsia="仿宋" w:cs="仿宋"/>
          <w:kern w:val="2"/>
          <w:sz w:val="28"/>
          <w:szCs w:val="28"/>
        </w:rPr>
        <w:t>。</w:t>
      </w:r>
    </w:p>
    <w:bookmarkEnd w:id="943"/>
    <w:bookmarkEnd w:id="944"/>
    <w:bookmarkEnd w:id="945"/>
    <w:bookmarkEnd w:id="946"/>
    <w:bookmarkEnd w:id="947"/>
    <w:bookmarkEnd w:id="948"/>
    <w:bookmarkEnd w:id="949"/>
    <w:bookmarkEnd w:id="950"/>
    <w:p w14:paraId="113A6BC6">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951" w:name="_Toc351203642"/>
      <w:r>
        <w:rPr>
          <w:rFonts w:hint="eastAsia" w:ascii="仿宋" w:hAnsi="仿宋" w:eastAsia="仿宋" w:cs="仿宋"/>
          <w:b w:val="0"/>
          <w:bCs/>
          <w:kern w:val="0"/>
          <w:sz w:val="28"/>
          <w:szCs w:val="28"/>
          <w:lang w:val="en-US" w:eastAsia="zh-CN" w:bidi="ar-SA"/>
        </w:rPr>
        <w:t>1</w:t>
      </w:r>
      <w:bookmarkEnd w:id="917"/>
      <w:bookmarkEnd w:id="918"/>
      <w:bookmarkEnd w:id="919"/>
      <w:bookmarkEnd w:id="920"/>
      <w:bookmarkEnd w:id="921"/>
      <w:bookmarkEnd w:id="922"/>
      <w:bookmarkEnd w:id="923"/>
      <w:bookmarkEnd w:id="924"/>
      <w:bookmarkEnd w:id="925"/>
      <w:bookmarkEnd w:id="926"/>
      <w:bookmarkEnd w:id="927"/>
      <w:bookmarkEnd w:id="928"/>
      <w:bookmarkStart w:id="952" w:name="_Toc296891021"/>
      <w:bookmarkStart w:id="953" w:name="_Toc296347192"/>
      <w:bookmarkStart w:id="954" w:name="_Toc297216199"/>
      <w:bookmarkStart w:id="955" w:name="_Toc297048379"/>
      <w:bookmarkStart w:id="956" w:name="_Toc296346694"/>
      <w:bookmarkStart w:id="957" w:name="_Toc304295566"/>
      <w:bookmarkStart w:id="958" w:name="_Toc297123540"/>
      <w:bookmarkStart w:id="959" w:name="_Toc296891233"/>
      <w:bookmarkStart w:id="960" w:name="_Toc292559398"/>
      <w:bookmarkStart w:id="961" w:name="_Toc296503193"/>
      <w:bookmarkStart w:id="962" w:name="_Toc297120493"/>
      <w:bookmarkStart w:id="963" w:name="_Toc292559903"/>
      <w:bookmarkStart w:id="964" w:name="_Toc296944532"/>
      <w:bookmarkStart w:id="965" w:name="_Toc303539146"/>
      <w:bookmarkStart w:id="966" w:name="_Toc300934989"/>
      <w:bookmarkStart w:id="967" w:name="_Toc312678025"/>
      <w:bookmarkStart w:id="968" w:name="_Toc312677499"/>
      <w:bookmarkStart w:id="969" w:name="_Toc267251441"/>
      <w:bookmarkStart w:id="970" w:name="_Toc267251435"/>
      <w:bookmarkStart w:id="971" w:name="_Toc267251440"/>
      <w:bookmarkStart w:id="972" w:name="_Toc267251437"/>
      <w:bookmarkStart w:id="973" w:name="_Toc267251433"/>
      <w:bookmarkStart w:id="974" w:name="_Toc267251439"/>
      <w:bookmarkStart w:id="975" w:name="_Toc267251442"/>
      <w:r>
        <w:rPr>
          <w:rFonts w:hint="eastAsia" w:ascii="仿宋" w:hAnsi="仿宋" w:eastAsia="仿宋" w:cs="仿宋"/>
          <w:b w:val="0"/>
          <w:bCs/>
          <w:kern w:val="0"/>
          <w:sz w:val="28"/>
          <w:szCs w:val="28"/>
          <w:lang w:val="en-US" w:eastAsia="zh-CN" w:bidi="ar-SA"/>
        </w:rPr>
        <w:t>0. 变更</w:t>
      </w:r>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p>
    <w:bookmarkEnd w:id="967"/>
    <w:bookmarkEnd w:id="968"/>
    <w:p w14:paraId="37A889E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bookmarkStart w:id="976" w:name="_Toc292559904"/>
      <w:bookmarkStart w:id="977" w:name="_Toc297120494"/>
      <w:bookmarkStart w:id="978" w:name="_Toc296891234"/>
      <w:bookmarkStart w:id="979" w:name="_Toc312677500"/>
      <w:bookmarkStart w:id="980" w:name="_Toc296347193"/>
      <w:bookmarkStart w:id="981" w:name="_Toc296346695"/>
      <w:bookmarkStart w:id="982" w:name="_Toc304295567"/>
      <w:bookmarkStart w:id="983" w:name="_Toc297216200"/>
      <w:bookmarkStart w:id="984" w:name="_Toc312678026"/>
      <w:bookmarkStart w:id="985" w:name="_Toc297123541"/>
      <w:bookmarkStart w:id="986" w:name="_Toc300934990"/>
      <w:bookmarkStart w:id="987" w:name="_Toc296503194"/>
      <w:bookmarkStart w:id="988" w:name="_Toc296891022"/>
      <w:bookmarkStart w:id="989" w:name="_Toc296944533"/>
      <w:bookmarkStart w:id="990" w:name="_Toc292559399"/>
      <w:bookmarkStart w:id="991" w:name="_Toc297048380"/>
      <w:bookmarkStart w:id="992" w:name="_Toc303539147"/>
      <w:r>
        <w:rPr>
          <w:rFonts w:hint="eastAsia" w:ascii="仿宋" w:hAnsi="仿宋" w:eastAsia="仿宋" w:cs="仿宋"/>
          <w:kern w:val="2"/>
          <w:sz w:val="28"/>
          <w:szCs w:val="28"/>
        </w:rPr>
        <w:t>0.1变更的范围</w:t>
      </w:r>
    </w:p>
    <w:p w14:paraId="0C14F05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关于变更的范围的约定：</w:t>
      </w:r>
      <w:r>
        <w:rPr>
          <w:rFonts w:hint="eastAsia" w:ascii="仿宋" w:hAnsi="仿宋" w:eastAsia="仿宋" w:cs="仿宋"/>
          <w:kern w:val="2"/>
          <w:sz w:val="28"/>
          <w:szCs w:val="28"/>
          <w:u w:val="single"/>
        </w:rPr>
        <w:t>按发包人要求执行</w:t>
      </w:r>
      <w:r>
        <w:rPr>
          <w:rFonts w:hint="eastAsia" w:ascii="仿宋" w:hAnsi="仿宋" w:eastAsia="仿宋" w:cs="仿宋"/>
          <w:kern w:val="2"/>
          <w:sz w:val="28"/>
          <w:szCs w:val="28"/>
        </w:rPr>
        <w:t>。</w:t>
      </w:r>
    </w:p>
    <w:p w14:paraId="236923A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10.4 变更估价</w:t>
      </w:r>
    </w:p>
    <w:p w14:paraId="66FA8B1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10.4.1 变更估价原则</w:t>
      </w:r>
    </w:p>
    <w:p w14:paraId="2A82B35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关于变更估价的约定: </w:t>
      </w:r>
    </w:p>
    <w:p w14:paraId="2D1B1CD4">
      <w:pPr>
        <w:spacing w:line="560" w:lineRule="exact"/>
        <w:ind w:firstLine="560" w:firstLineChars="200"/>
        <w:rPr>
          <w:rFonts w:hint="eastAsia" w:ascii="仿宋" w:hAnsi="仿宋" w:eastAsia="仿宋" w:cs="仿宋"/>
          <w:kern w:val="2"/>
          <w:sz w:val="28"/>
          <w:szCs w:val="28"/>
        </w:rPr>
      </w:pPr>
      <w:r>
        <w:rPr>
          <w:rFonts w:hint="eastAsia" w:ascii="宋体" w:hAnsi="宋体" w:eastAsia="宋体" w:cs="宋体"/>
          <w:color w:val="0000FF"/>
          <w:kern w:val="2"/>
          <w:sz w:val="28"/>
          <w:szCs w:val="28"/>
          <w:u w:val="single"/>
        </w:rPr>
        <w:t>1、变更项目清单单价的结算方法：在《</w:t>
      </w:r>
      <w:r>
        <w:rPr>
          <w:rFonts w:hint="eastAsia" w:ascii="宋体" w:hAnsi="宋体" w:eastAsia="宋体" w:cs="宋体"/>
          <w:color w:val="0000FF"/>
          <w:kern w:val="2"/>
          <w:sz w:val="28"/>
          <w:szCs w:val="28"/>
          <w:u w:val="single"/>
          <w:lang w:eastAsia="zh-CN"/>
        </w:rPr>
        <w:t>朱林镇2025年度零星工程项目清单</w:t>
      </w:r>
      <w:r>
        <w:rPr>
          <w:rFonts w:hint="eastAsia" w:ascii="宋体" w:hAnsi="宋体" w:eastAsia="宋体" w:cs="宋体"/>
          <w:color w:val="0000FF"/>
          <w:kern w:val="2"/>
          <w:sz w:val="28"/>
          <w:szCs w:val="28"/>
          <w:u w:val="single"/>
        </w:rPr>
        <w:t>》中已有适用的清单，则以此清单单价乘以投标费率得到的单价结算。但采用不平衡报价且明显高于市场价的子目变更，其单价将在满足该子目中标工程量</w:t>
      </w:r>
      <w:r>
        <w:rPr>
          <w:rFonts w:hint="eastAsia" w:ascii="宋体" w:hAnsi="宋体" w:eastAsia="宋体" w:cs="宋体"/>
          <w:color w:val="0000FF"/>
          <w:kern w:val="2"/>
          <w:sz w:val="28"/>
          <w:szCs w:val="28"/>
          <w:u w:val="single"/>
          <w:lang w:val="en-US" w:eastAsia="zh-CN"/>
        </w:rPr>
        <w:t>15</w:t>
      </w:r>
      <w:r>
        <w:rPr>
          <w:rFonts w:hint="eastAsia" w:ascii="宋体" w:hAnsi="宋体" w:eastAsia="宋体" w:cs="宋体"/>
          <w:color w:val="0000FF"/>
          <w:kern w:val="2"/>
          <w:sz w:val="28"/>
          <w:szCs w:val="28"/>
          <w:u w:val="single"/>
        </w:rPr>
        <w:t>%范围内采纳其报价，超出</w:t>
      </w:r>
      <w:r>
        <w:rPr>
          <w:rFonts w:hint="eastAsia" w:ascii="宋体" w:hAnsi="宋体" w:eastAsia="宋体" w:cs="宋体"/>
          <w:color w:val="0000FF"/>
          <w:kern w:val="2"/>
          <w:sz w:val="28"/>
          <w:szCs w:val="28"/>
          <w:u w:val="single"/>
          <w:lang w:val="en-US" w:eastAsia="zh-CN"/>
        </w:rPr>
        <w:t>15</w:t>
      </w:r>
      <w:r>
        <w:rPr>
          <w:rFonts w:hint="eastAsia" w:ascii="宋体" w:hAnsi="宋体" w:eastAsia="宋体" w:cs="宋体"/>
          <w:color w:val="0000FF"/>
          <w:kern w:val="2"/>
          <w:sz w:val="28"/>
          <w:szCs w:val="28"/>
          <w:u w:val="single"/>
        </w:rPr>
        <w:t>%(含)以外的工程量按无适用或类似于变更工程的价格的方法确定价格；投标报价中无适用或类似于变更工程的价格的，承包人应按本专用条款第 12 条之风险范围以外合同价格的调整方法：c 确定的方法计算。2、如有变更，应在变更部分施工前一周提交变更方案，如涉及造价的，则需提供变更前后的造价对比方案。</w:t>
      </w:r>
    </w:p>
    <w:p w14:paraId="0409AE5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Start w:id="993" w:name="_Toc296347196"/>
      <w:bookmarkStart w:id="994" w:name="_Toc297216203"/>
      <w:bookmarkStart w:id="995" w:name="_Toc296346698"/>
      <w:bookmarkStart w:id="996" w:name="_Toc297123544"/>
      <w:bookmarkStart w:id="997" w:name="_Toc292559402"/>
      <w:bookmarkStart w:id="998" w:name="_Toc300934993"/>
      <w:bookmarkStart w:id="999" w:name="_Toc296503197"/>
      <w:bookmarkStart w:id="1000" w:name="_Toc296944536"/>
      <w:bookmarkStart w:id="1001" w:name="_Toc303539150"/>
      <w:bookmarkStart w:id="1002" w:name="_Toc292559907"/>
      <w:bookmarkStart w:id="1003" w:name="_Toc297120497"/>
      <w:bookmarkStart w:id="1004" w:name="_Toc296891025"/>
      <w:bookmarkStart w:id="1005" w:name="_Toc297048383"/>
      <w:bookmarkStart w:id="1006" w:name="_Toc296891237"/>
      <w:bookmarkStart w:id="1007" w:name="_Toc312678029"/>
      <w:bookmarkStart w:id="1008" w:name="_Toc304295570"/>
      <w:bookmarkStart w:id="1009" w:name="_Toc312677503"/>
      <w:r>
        <w:rPr>
          <w:rFonts w:hint="eastAsia" w:ascii="仿宋" w:hAnsi="仿宋" w:eastAsia="仿宋" w:cs="仿宋"/>
          <w:kern w:val="2"/>
          <w:sz w:val="28"/>
          <w:szCs w:val="28"/>
        </w:rPr>
        <w:t>0.5承</w:t>
      </w:r>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Start w:id="1010" w:name="_Toc297048389"/>
      <w:bookmarkStart w:id="1011" w:name="_Toc303539151"/>
      <w:bookmarkStart w:id="1012" w:name="_Toc292559408"/>
      <w:bookmarkStart w:id="1013" w:name="_Toc296944542"/>
      <w:bookmarkStart w:id="1014" w:name="_Toc296346704"/>
      <w:bookmarkStart w:id="1015" w:name="_Toc296503203"/>
      <w:bookmarkStart w:id="1016" w:name="_Toc296891031"/>
      <w:bookmarkStart w:id="1017" w:name="_Toc300934994"/>
      <w:bookmarkStart w:id="1018" w:name="_Toc297120503"/>
      <w:bookmarkStart w:id="1019" w:name="_Toc297123545"/>
      <w:bookmarkStart w:id="1020" w:name="_Toc296891243"/>
      <w:bookmarkStart w:id="1021" w:name="_Toc296347202"/>
      <w:bookmarkStart w:id="1022" w:name="_Toc297216204"/>
      <w:bookmarkStart w:id="1023" w:name="_Toc292559913"/>
      <w:r>
        <w:rPr>
          <w:rFonts w:hint="eastAsia" w:ascii="仿宋" w:hAnsi="仿宋" w:eastAsia="仿宋" w:cs="仿宋"/>
          <w:kern w:val="2"/>
          <w:sz w:val="28"/>
          <w:szCs w:val="28"/>
        </w:rPr>
        <w:t>包人的合理化建议</w:t>
      </w:r>
    </w:p>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14:paraId="3D76919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监理人审查承包人合理化建议的期限：</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3A20ADA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发包人审批承包人合理化建议的期限：</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6058629E">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w:t>
      </w:r>
      <w:bookmarkStart w:id="1024" w:name="_Toc304295571"/>
      <w:bookmarkStart w:id="1025" w:name="_Toc292559914"/>
      <w:bookmarkStart w:id="1026" w:name="_Toc296891244"/>
      <w:bookmarkStart w:id="1027" w:name="_Toc297216205"/>
      <w:bookmarkStart w:id="1028" w:name="_Toc297123546"/>
      <w:bookmarkStart w:id="1029" w:name="_Toc303539152"/>
      <w:bookmarkStart w:id="1030" w:name="_Toc296891032"/>
      <w:bookmarkStart w:id="1031" w:name="_Toc297120504"/>
      <w:bookmarkStart w:id="1032" w:name="_Toc292559409"/>
      <w:bookmarkStart w:id="1033" w:name="_Toc312677504"/>
      <w:bookmarkStart w:id="1034" w:name="_Toc296503204"/>
      <w:bookmarkStart w:id="1035" w:name="_Toc296347203"/>
      <w:bookmarkStart w:id="1036" w:name="_Toc296346705"/>
      <w:bookmarkStart w:id="1037" w:name="_Toc318581175"/>
      <w:bookmarkStart w:id="1038" w:name="_Toc296944543"/>
      <w:bookmarkStart w:id="1039" w:name="_Toc297048390"/>
      <w:bookmarkStart w:id="1040" w:name="_Toc312678030"/>
      <w:bookmarkStart w:id="1041" w:name="_Toc300934995"/>
      <w:r>
        <w:rPr>
          <w:rFonts w:hint="eastAsia" w:ascii="仿宋" w:hAnsi="仿宋" w:eastAsia="仿宋" w:cs="仿宋"/>
          <w:kern w:val="2"/>
          <w:sz w:val="28"/>
          <w:szCs w:val="28"/>
        </w:rPr>
        <w:t>包人提出的合理化建议降低了合同价格或者提高了工程经济效益的奖励的方法和金额为：</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14:paraId="04C7786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bookmarkStart w:id="1042" w:name="_Toc296944538"/>
      <w:bookmarkStart w:id="1043" w:name="_Toc296891239"/>
      <w:bookmarkStart w:id="1044" w:name="_Toc292559909"/>
      <w:bookmarkStart w:id="1045" w:name="_Toc300934997"/>
      <w:bookmarkStart w:id="1046" w:name="_Toc297120499"/>
      <w:bookmarkStart w:id="1047" w:name="_Toc296346700"/>
      <w:bookmarkStart w:id="1048" w:name="_Toc303539154"/>
      <w:bookmarkStart w:id="1049" w:name="_Toc297048385"/>
      <w:bookmarkStart w:id="1050" w:name="_Toc304295574"/>
      <w:bookmarkStart w:id="1051" w:name="_Toc292559404"/>
      <w:bookmarkStart w:id="1052" w:name="_Toc296503199"/>
      <w:bookmarkStart w:id="1053" w:name="_Toc312677507"/>
      <w:bookmarkStart w:id="1054" w:name="_Toc296891027"/>
      <w:bookmarkStart w:id="1055" w:name="_Toc297216207"/>
      <w:bookmarkStart w:id="1056" w:name="_Toc297123548"/>
      <w:bookmarkStart w:id="1057" w:name="_Toc312678033"/>
      <w:bookmarkStart w:id="1058" w:name="_Toc296347198"/>
      <w:r>
        <w:rPr>
          <w:rFonts w:hint="eastAsia" w:ascii="仿宋" w:hAnsi="仿宋" w:eastAsia="仿宋" w:cs="仿宋"/>
          <w:kern w:val="2"/>
          <w:sz w:val="28"/>
          <w:szCs w:val="28"/>
        </w:rPr>
        <w:t>0.7 暂估价</w:t>
      </w:r>
    </w:p>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14:paraId="3BED306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暂</w:t>
      </w:r>
      <w:bookmarkStart w:id="1059" w:name="_Toc318581176"/>
      <w:bookmarkStart w:id="1060" w:name="_Toc312678034"/>
      <w:bookmarkStart w:id="1061" w:name="_Toc312677508"/>
      <w:r>
        <w:rPr>
          <w:rFonts w:hint="eastAsia" w:ascii="仿宋" w:hAnsi="仿宋" w:eastAsia="仿宋" w:cs="仿宋"/>
          <w:kern w:val="2"/>
          <w:sz w:val="28"/>
          <w:szCs w:val="28"/>
        </w:rPr>
        <w:t>估价材料和工程设备的明细详见附件11：《暂估价一览表》。</w:t>
      </w:r>
    </w:p>
    <w:bookmarkEnd w:id="1059"/>
    <w:bookmarkEnd w:id="1060"/>
    <w:bookmarkEnd w:id="1061"/>
    <w:p w14:paraId="1C3182C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bookmarkStart w:id="1062" w:name="_Toc318581177"/>
      <w:bookmarkStart w:id="1063" w:name="_Toc312677509"/>
      <w:bookmarkStart w:id="1064" w:name="_Toc312678035"/>
      <w:r>
        <w:rPr>
          <w:rFonts w:hint="eastAsia" w:ascii="仿宋" w:hAnsi="仿宋" w:eastAsia="仿宋" w:cs="仿宋"/>
          <w:kern w:val="2"/>
          <w:sz w:val="28"/>
          <w:szCs w:val="28"/>
        </w:rPr>
        <w:t>0.7.1 依法必须招标的暂估价项目</w:t>
      </w:r>
    </w:p>
    <w:bookmarkEnd w:id="1062"/>
    <w:bookmarkEnd w:id="1063"/>
    <w:bookmarkEnd w:id="1064"/>
    <w:p w14:paraId="1CFDF61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对于依法必须招标的暂估价项目的确认和批准采取第</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种方式确定。</w:t>
      </w:r>
    </w:p>
    <w:p w14:paraId="5D1E14D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10.7.2 不属于依法必须招标的暂估价项目</w:t>
      </w:r>
    </w:p>
    <w:p w14:paraId="32531F6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对于不属于依法必须招标的暂估价项目的确认和批准采取第</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 xml:space="preserve"> 种方式确定。</w:t>
      </w:r>
    </w:p>
    <w:p w14:paraId="11E6408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第3种方式：承包人直接实施的暂估价项目</w:t>
      </w:r>
    </w:p>
    <w:p w14:paraId="430DDCA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承包人直接实施的暂估价项目的约定：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1101BF5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10.8 暂列金额</w:t>
      </w:r>
    </w:p>
    <w:p w14:paraId="1C90FDA6">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合同当事人关于暂列金额使用的约定：</w:t>
      </w:r>
      <w:r>
        <w:rPr>
          <w:rFonts w:hint="eastAsia" w:ascii="仿宋" w:hAnsi="仿宋" w:eastAsia="仿宋" w:cs="仿宋"/>
          <w:kern w:val="2"/>
          <w:sz w:val="28"/>
          <w:szCs w:val="28"/>
          <w:u w:val="single"/>
        </w:rPr>
        <w:t>/。</w:t>
      </w:r>
    </w:p>
    <w:p w14:paraId="5CD8706D">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065" w:name="_Toc351203643"/>
      <w:r>
        <w:rPr>
          <w:rFonts w:hint="eastAsia" w:ascii="仿宋" w:hAnsi="仿宋" w:eastAsia="仿宋" w:cs="仿宋"/>
          <w:b w:val="0"/>
          <w:bCs/>
          <w:kern w:val="0"/>
          <w:sz w:val="28"/>
          <w:szCs w:val="28"/>
          <w:lang w:val="en-US" w:eastAsia="zh-CN" w:bidi="ar-SA"/>
        </w:rPr>
        <w:t>11. 价格调整</w:t>
      </w:r>
      <w:bookmarkEnd w:id="1065"/>
    </w:p>
    <w:p w14:paraId="03C51D57">
      <w:pPr>
        <w:snapToGrid w:val="0"/>
        <w:spacing w:line="420" w:lineRule="exact"/>
        <w:ind w:firstLine="560" w:firstLineChars="200"/>
        <w:rPr>
          <w:rFonts w:hint="eastAsia" w:ascii="仿宋" w:hAnsi="仿宋" w:eastAsia="仿宋" w:cs="仿宋"/>
          <w:kern w:val="2"/>
          <w:sz w:val="28"/>
          <w:szCs w:val="28"/>
        </w:rPr>
      </w:pPr>
      <w:bookmarkStart w:id="1066" w:name="_Toc296503201"/>
      <w:bookmarkStart w:id="1067" w:name="_Toc292559406"/>
      <w:bookmarkStart w:id="1068" w:name="_Toc304295577"/>
      <w:bookmarkStart w:id="1069" w:name="_Toc296346702"/>
      <w:bookmarkStart w:id="1070" w:name="_Toc297216209"/>
      <w:bookmarkStart w:id="1071" w:name="_Toc312678039"/>
      <w:bookmarkStart w:id="1072" w:name="_Toc303539157"/>
      <w:bookmarkStart w:id="1073" w:name="_Toc296347200"/>
      <w:bookmarkStart w:id="1074" w:name="_Toc297123550"/>
      <w:bookmarkStart w:id="1075" w:name="_Toc296944540"/>
      <w:bookmarkStart w:id="1076" w:name="_Toc296891241"/>
      <w:bookmarkStart w:id="1077" w:name="_Toc297048387"/>
      <w:bookmarkStart w:id="1078" w:name="_Toc300935000"/>
      <w:bookmarkStart w:id="1079" w:name="_Toc292559911"/>
      <w:bookmarkStart w:id="1080" w:name="_Toc296891029"/>
      <w:bookmarkStart w:id="1081" w:name="_Toc297120501"/>
      <w:r>
        <w:rPr>
          <w:rFonts w:hint="eastAsia" w:ascii="仿宋" w:hAnsi="仿宋" w:eastAsia="仿宋" w:cs="仿宋"/>
          <w:kern w:val="2"/>
          <w:sz w:val="28"/>
          <w:szCs w:val="28"/>
        </w:rPr>
        <w:t>11.1 市场价格波动引起的调整</w:t>
      </w:r>
    </w:p>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p w14:paraId="796FE2E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市场价格波动是否调整合同价格的约定：</w:t>
      </w:r>
      <w:r>
        <w:rPr>
          <w:rFonts w:hint="eastAsia" w:ascii="宋体" w:hAnsi="宋体" w:cs="宋体"/>
          <w:color w:val="0000FF"/>
          <w:sz w:val="28"/>
          <w:szCs w:val="28"/>
          <w:u w:val="single"/>
        </w:rPr>
        <w:t>施工期间材料价格涨跌不调整</w:t>
      </w:r>
      <w:r>
        <w:rPr>
          <w:rFonts w:hint="eastAsia" w:ascii="仿宋" w:hAnsi="仿宋" w:eastAsia="仿宋" w:cs="仿宋"/>
          <w:kern w:val="2"/>
          <w:sz w:val="28"/>
          <w:szCs w:val="28"/>
        </w:rPr>
        <w:t>。</w:t>
      </w:r>
    </w:p>
    <w:p w14:paraId="5712043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因市场价格波动调整合同价格，采用以下第</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种方式对合同价格进行调整：</w:t>
      </w:r>
    </w:p>
    <w:p w14:paraId="42D57A6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第1种方式：采用价格指数进行价格调整。</w:t>
      </w:r>
    </w:p>
    <w:p w14:paraId="7C35A3E0">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关于各可调因子、定值和变值权重，以及基本价格指数及其来源的约定：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 xml:space="preserve">；  </w:t>
      </w:r>
    </w:p>
    <w:p w14:paraId="6C732AE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第2种方式：采用造价信息进行价格调整。</w:t>
      </w:r>
    </w:p>
    <w:p w14:paraId="3E26C60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（2）关于基准价格的约定：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33E1220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%时，或材料单价跌幅以已标价工程量清单或预算书中载明材料单价为基础超过</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%时，其超过部分据实调整。</w:t>
      </w:r>
    </w:p>
    <w:p w14:paraId="49328F6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②承包人在已标价工程量清单或预算书中载明的材料单价高于基准价格的：专用合同条款合同履行期间材料单价跌幅以基准价格为基础超过</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%时，材料单价涨幅以已标价工程量清单或预算书中载明材料单价为基础超过</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%时，其超过部分据实调整。</w:t>
      </w:r>
    </w:p>
    <w:p w14:paraId="4D45157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%时，其超过部分据实调整。</w:t>
      </w:r>
    </w:p>
    <w:p w14:paraId="7B6985A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第3种方式：其他价格调整方式：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bookmarkEnd w:id="969"/>
    <w:bookmarkEnd w:id="970"/>
    <w:bookmarkEnd w:id="971"/>
    <w:bookmarkEnd w:id="972"/>
    <w:bookmarkEnd w:id="973"/>
    <w:bookmarkEnd w:id="974"/>
    <w:p w14:paraId="58339BB6">
      <w:pPr>
        <w:keepNext/>
        <w:keepLines/>
        <w:widowControl/>
        <w:snapToGrid w:val="0"/>
        <w:spacing w:before="0" w:after="0" w:line="420" w:lineRule="exact"/>
        <w:jc w:val="left"/>
        <w:outlineLvl w:val="3"/>
        <w:rPr>
          <w:rFonts w:hint="eastAsia" w:ascii="仿宋" w:hAnsi="仿宋" w:eastAsia="仿宋" w:cs="仿宋"/>
          <w:b w:val="0"/>
          <w:bCs w:val="0"/>
          <w:kern w:val="0"/>
          <w:sz w:val="28"/>
          <w:szCs w:val="28"/>
          <w:lang w:val="en-US" w:eastAsia="zh-CN" w:bidi="ar-SA"/>
        </w:rPr>
      </w:pPr>
      <w:bookmarkStart w:id="1082" w:name="_Toc296891033"/>
      <w:bookmarkStart w:id="1083" w:name="_Toc296944544"/>
      <w:bookmarkStart w:id="1084" w:name="_Toc296891245"/>
      <w:bookmarkStart w:id="1085" w:name="_Toc296346706"/>
      <w:bookmarkStart w:id="1086" w:name="_Toc300935002"/>
      <w:bookmarkStart w:id="1087" w:name="_Toc296347204"/>
      <w:bookmarkStart w:id="1088" w:name="_Toc297048391"/>
      <w:bookmarkStart w:id="1089" w:name="_Toc297120505"/>
      <w:bookmarkStart w:id="1090" w:name="_Toc297123552"/>
      <w:bookmarkStart w:id="1091" w:name="_Toc351203644"/>
      <w:bookmarkStart w:id="1092" w:name="_Toc292559410"/>
      <w:bookmarkStart w:id="1093" w:name="_Toc304295579"/>
      <w:bookmarkStart w:id="1094" w:name="_Toc297216211"/>
      <w:bookmarkStart w:id="1095" w:name="_Toc296503205"/>
      <w:bookmarkStart w:id="1096" w:name="_Toc303539159"/>
      <w:bookmarkStart w:id="1097" w:name="_Toc312678040"/>
      <w:bookmarkStart w:id="1098" w:name="_Toc292559915"/>
      <w:r>
        <w:rPr>
          <w:rFonts w:hint="eastAsia" w:ascii="仿宋" w:hAnsi="仿宋" w:eastAsia="仿宋" w:cs="仿宋"/>
          <w:b w:val="0"/>
          <w:bCs w:val="0"/>
          <w:kern w:val="0"/>
          <w:sz w:val="28"/>
          <w:szCs w:val="28"/>
          <w:lang w:val="en-US" w:eastAsia="zh-CN" w:bidi="ar-SA"/>
        </w:rPr>
        <w:t xml:space="preserve">12. </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Start w:id="1099" w:name="_Toc297216212"/>
      <w:bookmarkStart w:id="1100" w:name="_Toc292559916"/>
      <w:bookmarkStart w:id="1101" w:name="_Toc312678041"/>
      <w:bookmarkStart w:id="1102" w:name="_Toc297123553"/>
      <w:bookmarkStart w:id="1103" w:name="_Toc303539160"/>
      <w:bookmarkStart w:id="1104" w:name="_Toc300935003"/>
      <w:bookmarkStart w:id="1105" w:name="_Toc297048392"/>
      <w:bookmarkStart w:id="1106" w:name="_Toc296891246"/>
      <w:bookmarkStart w:id="1107" w:name="_Toc267251461"/>
      <w:bookmarkStart w:id="1108" w:name="_Toc296944545"/>
      <w:bookmarkStart w:id="1109" w:name="_Toc296891034"/>
      <w:bookmarkStart w:id="1110" w:name="_Toc296347205"/>
      <w:bookmarkStart w:id="1111" w:name="_Toc292559411"/>
      <w:bookmarkStart w:id="1112" w:name="_Toc296503206"/>
      <w:bookmarkStart w:id="1113" w:name="_Toc304295580"/>
      <w:bookmarkStart w:id="1114" w:name="_Toc296346707"/>
      <w:bookmarkStart w:id="1115" w:name="_Toc297120506"/>
      <w:r>
        <w:rPr>
          <w:rFonts w:hint="eastAsia" w:ascii="仿宋" w:hAnsi="仿宋" w:eastAsia="仿宋" w:cs="仿宋"/>
          <w:b w:val="0"/>
          <w:bCs w:val="0"/>
          <w:kern w:val="0"/>
          <w:sz w:val="28"/>
          <w:szCs w:val="28"/>
          <w:lang w:val="en-US" w:eastAsia="zh-CN" w:bidi="ar-SA"/>
        </w:rPr>
        <w:t>合同价格、计量与支付：</w:t>
      </w:r>
    </w:p>
    <w:p w14:paraId="46A64F56">
      <w:pPr>
        <w:keepNext/>
        <w:keepLines/>
        <w:widowControl/>
        <w:snapToGrid w:val="0"/>
        <w:spacing w:before="0" w:after="0" w:line="420" w:lineRule="exact"/>
        <w:ind w:firstLine="280" w:firstLineChars="100"/>
        <w:jc w:val="left"/>
        <w:outlineLvl w:val="3"/>
        <w:rPr>
          <w:rFonts w:hint="eastAsia" w:ascii="仿宋" w:hAnsi="仿宋" w:eastAsia="仿宋" w:cs="仿宋"/>
          <w:b w:val="0"/>
          <w:bCs w:val="0"/>
          <w:kern w:val="0"/>
          <w:sz w:val="28"/>
          <w:szCs w:val="28"/>
          <w:lang w:val="en-US" w:eastAsia="zh-CN" w:bidi="ar-SA"/>
        </w:rPr>
      </w:pPr>
      <w:r>
        <w:rPr>
          <w:rFonts w:hint="eastAsia" w:ascii="仿宋" w:hAnsi="仿宋" w:eastAsia="仿宋" w:cs="仿宋"/>
          <w:b w:val="0"/>
          <w:bCs w:val="0"/>
          <w:kern w:val="0"/>
          <w:sz w:val="28"/>
          <w:szCs w:val="28"/>
          <w:lang w:val="en-US" w:eastAsia="zh-CN" w:bidi="ar-SA"/>
        </w:rPr>
        <w:t>12.1结算原则</w:t>
      </w:r>
    </w:p>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p w14:paraId="0C6181E5">
      <w:pPr>
        <w:spacing w:line="560" w:lineRule="exact"/>
        <w:ind w:firstLine="560" w:firstLineChars="200"/>
        <w:rPr>
          <w:rFonts w:hint="eastAsia" w:ascii="宋体" w:hAnsi="宋体" w:eastAsia="宋体" w:cs="宋体"/>
          <w:color w:val="0000FF"/>
          <w:kern w:val="2"/>
          <w:sz w:val="28"/>
          <w:szCs w:val="28"/>
          <w:u w:val="single"/>
        </w:rPr>
      </w:pPr>
      <w:bookmarkStart w:id="1116" w:name="_Toc303539161"/>
      <w:bookmarkStart w:id="1117" w:name="_Toc300935004"/>
      <w:bookmarkStart w:id="1118" w:name="_Toc304295581"/>
      <w:bookmarkStart w:id="1119" w:name="_Toc297123554"/>
      <w:bookmarkStart w:id="1120" w:name="_Toc312678042"/>
      <w:bookmarkStart w:id="1121" w:name="_Toc297216213"/>
      <w:bookmarkStart w:id="1122" w:name="_Toc296503207"/>
      <w:bookmarkStart w:id="1123" w:name="_Toc296346708"/>
      <w:bookmarkStart w:id="1124" w:name="_Toc297120507"/>
      <w:bookmarkStart w:id="1125" w:name="_Toc297048393"/>
      <w:bookmarkStart w:id="1126" w:name="_Toc296347206"/>
      <w:bookmarkStart w:id="1127" w:name="_Toc292559917"/>
      <w:bookmarkStart w:id="1128" w:name="_Toc296891247"/>
      <w:bookmarkStart w:id="1129" w:name="_Toc292559412"/>
      <w:bookmarkStart w:id="1130" w:name="_Toc296944546"/>
      <w:bookmarkStart w:id="1131" w:name="_Toc296891035"/>
      <w:r>
        <w:rPr>
          <w:rFonts w:hint="eastAsia" w:ascii="宋体" w:hAnsi="宋体" w:eastAsia="宋体" w:cs="宋体"/>
          <w:color w:val="0000FF"/>
          <w:kern w:val="2"/>
          <w:sz w:val="28"/>
          <w:szCs w:val="28"/>
          <w:u w:val="single"/>
        </w:rPr>
        <w:t>12.1 合同价格形式：固定单价合同。</w:t>
      </w:r>
    </w:p>
    <w:p w14:paraId="275FD9C4">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综合单价包含的风险范围：</w:t>
      </w:r>
    </w:p>
    <w:p w14:paraId="4EBCC1E5">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1.承包人的投标施工方案、现场施工条件</w:t>
      </w:r>
    </w:p>
    <w:p w14:paraId="2AE6BF12">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2.工程量变化产生的前期费用；</w:t>
      </w:r>
    </w:p>
    <w:p w14:paraId="09BA0204">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3.</w:t>
      </w:r>
      <w:r>
        <w:rPr>
          <w:rFonts w:hint="eastAsia" w:ascii="宋体" w:hAnsi="宋体" w:eastAsia="宋体" w:cs="宋体"/>
          <w:kern w:val="2"/>
          <w:sz w:val="28"/>
          <w:szCs w:val="28"/>
          <w:highlight w:val="yellow"/>
          <w:u w:val="single"/>
          <w:lang w:eastAsia="zh-CN"/>
        </w:rPr>
        <w:t>人工、材料、政策等引起的价格变动不作调整</w:t>
      </w:r>
      <w:r>
        <w:rPr>
          <w:rFonts w:hint="eastAsia" w:ascii="宋体" w:hAnsi="宋体" w:eastAsia="宋体" w:cs="宋体"/>
          <w:kern w:val="2"/>
          <w:sz w:val="28"/>
          <w:szCs w:val="28"/>
          <w:highlight w:val="yellow"/>
          <w:u w:val="single"/>
        </w:rPr>
        <w:t>。</w:t>
      </w:r>
    </w:p>
    <w:p w14:paraId="79820CF4">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风险费用的计算方法：综合考虑在投标综合单价内，在合同约定风险范围内不作调整。</w:t>
      </w:r>
    </w:p>
    <w:p w14:paraId="5E3F951D">
      <w:pPr>
        <w:spacing w:line="560" w:lineRule="exact"/>
        <w:ind w:firstLine="560" w:firstLineChars="200"/>
        <w:rPr>
          <w:rFonts w:hint="eastAsia" w:ascii="宋体" w:hAnsi="宋体" w:eastAsia="宋体" w:cs="宋体"/>
          <w:color w:val="0000FF"/>
          <w:kern w:val="2"/>
          <w:sz w:val="28"/>
          <w:szCs w:val="28"/>
        </w:rPr>
      </w:pPr>
      <w:r>
        <w:rPr>
          <w:rFonts w:hint="eastAsia" w:ascii="宋体" w:hAnsi="宋体" w:eastAsia="宋体" w:cs="宋体"/>
          <w:color w:val="0000FF"/>
          <w:kern w:val="2"/>
          <w:sz w:val="28"/>
          <w:szCs w:val="28"/>
        </w:rPr>
        <w:t>风险范围以外合同价格的调整方法：</w:t>
      </w:r>
    </w:p>
    <w:p w14:paraId="0BD2401F">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rPr>
        <w:t>风险范围以外的内容：</w:t>
      </w:r>
    </w:p>
    <w:p w14:paraId="1F52B300">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1.设计变更引起的工程量增减；</w:t>
      </w:r>
    </w:p>
    <w:p w14:paraId="11436333">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2.发包人要求的承包范围以外的附加工程量；</w:t>
      </w:r>
    </w:p>
    <w:p w14:paraId="412FC173">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3.暂估价材料、暂估价项目；</w:t>
      </w:r>
    </w:p>
    <w:p w14:paraId="63D55BA6">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4.发包人确认的其它项目；</w:t>
      </w:r>
    </w:p>
    <w:p w14:paraId="29D20429">
      <w:pPr>
        <w:spacing w:line="560" w:lineRule="exact"/>
        <w:ind w:firstLine="560" w:firstLineChars="200"/>
        <w:rPr>
          <w:rFonts w:hint="eastAsia" w:ascii="宋体" w:hAnsi="宋体" w:eastAsia="宋体" w:cs="宋体"/>
          <w:color w:val="0000FF"/>
          <w:kern w:val="2"/>
          <w:sz w:val="28"/>
          <w:szCs w:val="28"/>
        </w:rPr>
      </w:pPr>
      <w:r>
        <w:rPr>
          <w:rFonts w:hint="eastAsia" w:ascii="宋体" w:hAnsi="宋体" w:eastAsia="宋体" w:cs="宋体"/>
          <w:color w:val="0000FF"/>
          <w:kern w:val="2"/>
          <w:sz w:val="28"/>
          <w:szCs w:val="28"/>
        </w:rPr>
        <w:t>风险范围以外合同价格的调整方法：</w:t>
      </w:r>
    </w:p>
    <w:p w14:paraId="53AC17F4">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1.工程量应由承包人按在履行合同义务过程中实际完成的工程量计算后向发包人提出，经发包人委托的第三方审计机构审计后按审定数量结算。</w:t>
      </w:r>
    </w:p>
    <w:p w14:paraId="64E75002">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2.没有除税信息指导价的，以发、承包双方经市场询价后确认的价格相比为准。)</w:t>
      </w:r>
    </w:p>
    <w:p w14:paraId="007C4C4A">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3.因《</w:t>
      </w:r>
      <w:r>
        <w:rPr>
          <w:rFonts w:hint="eastAsia" w:ascii="宋体" w:hAnsi="宋体" w:eastAsia="宋体" w:cs="宋体"/>
          <w:color w:val="0000FF"/>
          <w:kern w:val="2"/>
          <w:sz w:val="28"/>
          <w:szCs w:val="28"/>
          <w:u w:val="single"/>
          <w:lang w:eastAsia="zh-CN"/>
        </w:rPr>
        <w:t>朱林镇零星工程清单</w:t>
      </w:r>
      <w:r>
        <w:rPr>
          <w:rFonts w:hint="eastAsia" w:ascii="宋体" w:hAnsi="宋体" w:eastAsia="宋体" w:cs="宋体"/>
          <w:color w:val="0000FF"/>
          <w:kern w:val="2"/>
          <w:sz w:val="28"/>
          <w:szCs w:val="28"/>
          <w:u w:val="single"/>
        </w:rPr>
        <w:t>》缺项或因发包人提出的设计变更部分，增加项目及签证部分造成新增的工程量清单综合单价的结算原则为：</w:t>
      </w:r>
    </w:p>
    <w:p w14:paraId="6FAFD95A">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a．《</w:t>
      </w:r>
      <w:r>
        <w:rPr>
          <w:rFonts w:hint="eastAsia" w:ascii="宋体" w:hAnsi="宋体" w:eastAsia="宋体" w:cs="宋体"/>
          <w:color w:val="0000FF"/>
          <w:kern w:val="2"/>
          <w:sz w:val="28"/>
          <w:szCs w:val="28"/>
          <w:u w:val="single"/>
          <w:lang w:eastAsia="zh-CN"/>
        </w:rPr>
        <w:t>朱林镇零星工程清单</w:t>
      </w:r>
      <w:r>
        <w:rPr>
          <w:rFonts w:hint="eastAsia" w:ascii="宋体" w:hAnsi="宋体" w:eastAsia="宋体" w:cs="宋体"/>
          <w:color w:val="0000FF"/>
          <w:kern w:val="2"/>
          <w:sz w:val="28"/>
          <w:szCs w:val="28"/>
          <w:u w:val="single"/>
        </w:rPr>
        <w:t>》中已有适用于变更工程的清单，则以此清单单价乘以投标费率得到的单价结算；</w:t>
      </w:r>
    </w:p>
    <w:p w14:paraId="01A9D37B">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b．《</w:t>
      </w:r>
      <w:r>
        <w:rPr>
          <w:rFonts w:hint="eastAsia" w:ascii="宋体" w:hAnsi="宋体" w:eastAsia="宋体" w:cs="宋体"/>
          <w:color w:val="0000FF"/>
          <w:kern w:val="2"/>
          <w:sz w:val="28"/>
          <w:szCs w:val="28"/>
          <w:u w:val="single"/>
          <w:lang w:eastAsia="zh-CN"/>
        </w:rPr>
        <w:t>朱林镇零星工程清单</w:t>
      </w:r>
      <w:r>
        <w:rPr>
          <w:rFonts w:hint="eastAsia" w:ascii="宋体" w:hAnsi="宋体" w:eastAsia="宋体" w:cs="宋体"/>
          <w:color w:val="0000FF"/>
          <w:kern w:val="2"/>
          <w:sz w:val="28"/>
          <w:szCs w:val="28"/>
          <w:u w:val="single"/>
        </w:rPr>
        <w:t>》中有类似于变更工程的清单，则已类似清单单价做适当调整后乘以投标费率得到的单价结算；</w:t>
      </w:r>
    </w:p>
    <w:p w14:paraId="74D060E6">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u w:val="single"/>
        </w:rPr>
        <w:t>c．《</w:t>
      </w:r>
      <w:r>
        <w:rPr>
          <w:rFonts w:hint="eastAsia" w:ascii="宋体" w:hAnsi="宋体" w:eastAsia="宋体" w:cs="宋体"/>
          <w:color w:val="0000FF"/>
          <w:kern w:val="2"/>
          <w:sz w:val="28"/>
          <w:szCs w:val="28"/>
          <w:u w:val="single"/>
          <w:lang w:eastAsia="zh-CN"/>
        </w:rPr>
        <w:t>朱林镇零星工程清单</w:t>
      </w:r>
      <w:r>
        <w:rPr>
          <w:rFonts w:hint="eastAsia" w:ascii="宋体" w:hAnsi="宋体" w:eastAsia="宋体" w:cs="宋体"/>
          <w:color w:val="0000FF"/>
          <w:kern w:val="2"/>
          <w:sz w:val="28"/>
          <w:szCs w:val="28"/>
          <w:u w:val="single"/>
        </w:rPr>
        <w:t>》中无类似清单，结算原则为：依据《建设工程工程量清单计价规范》(GB50500-2013)、《江苏省建筑与装饰工程计价定额》、《江苏省房屋修缮工程计价表》、《江苏省安装工程计价定额》、《江苏省市政工程计价定额》等计价规则中的标准并按中标费率同步下浮，材料价格按工程实施期间的常州信息指导价(无信息价的按甲乙双方确认价，材料价均为除税价，作为结算依据，确认价不让利) ，根据上述要求编制综合单价报发包人确认。</w:t>
      </w:r>
    </w:p>
    <w:p w14:paraId="7DE298F9">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4.以本工程投标截止日前 28 天为基准日，其后国家的法律、法规、规章和政府发生变化影响工程造价的，应按省级或行业建设主管部门或其授权的工程造价管理机构发布的规定调整合同价款。</w:t>
      </w:r>
    </w:p>
    <w:p w14:paraId="6265247B">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5.工程施工过程中所有需要在合同价外另行增加费用的内容均须事先征得发包人的书面同意并提供预算书待监理、发包人、跟踪审计人员</w:t>
      </w:r>
      <w:r>
        <w:rPr>
          <w:rFonts w:hint="eastAsia" w:ascii="宋体" w:hAnsi="宋体" w:eastAsia="宋体" w:cs="宋体"/>
          <w:kern w:val="2"/>
          <w:sz w:val="28"/>
          <w:szCs w:val="28"/>
          <w:u w:val="single"/>
          <w:lang w:eastAsia="zh-CN"/>
        </w:rPr>
        <w:t>（如有）</w:t>
      </w:r>
      <w:r>
        <w:rPr>
          <w:rFonts w:hint="eastAsia" w:ascii="宋体" w:hAnsi="宋体" w:eastAsia="宋体" w:cs="宋体"/>
          <w:kern w:val="2"/>
          <w:sz w:val="28"/>
          <w:szCs w:val="28"/>
          <w:u w:val="single"/>
        </w:rPr>
        <w:t>确认后方可实施，否则不予结算。</w:t>
      </w:r>
    </w:p>
    <w:p w14:paraId="311D29C8">
      <w:pPr>
        <w:spacing w:line="560" w:lineRule="exact"/>
        <w:ind w:firstLine="560" w:firstLineChars="200"/>
        <w:rPr>
          <w:rFonts w:hint="eastAsia" w:ascii="宋体" w:hAnsi="宋体" w:eastAsia="宋体" w:cs="宋体"/>
          <w:kern w:val="2"/>
          <w:sz w:val="28"/>
          <w:szCs w:val="28"/>
          <w:u w:val="single"/>
        </w:rPr>
      </w:pPr>
      <w:r>
        <w:rPr>
          <w:rFonts w:hint="eastAsia" w:ascii="宋体" w:hAnsi="宋体" w:eastAsia="宋体" w:cs="宋体"/>
          <w:kern w:val="2"/>
          <w:sz w:val="28"/>
          <w:szCs w:val="28"/>
          <w:u w:val="single"/>
        </w:rPr>
        <w:t>6.所有涉及工程结算的隐蔽签证单上必须有承包人、监理工程师（如有）、发包人代表、跟踪审计人员（如有）四方的签字和盖章，方可作为竣工结算的依据，签证单上必须明确签证的原因、位置、尺寸、数量、材料、人工、机械台班、价格和签证的时间及标注时间、部位、尺寸的现场影像资料，如有必要，还需附有综合单价分析表。</w:t>
      </w:r>
    </w:p>
    <w:p w14:paraId="53457E77">
      <w:pPr>
        <w:spacing w:line="560" w:lineRule="exact"/>
        <w:ind w:firstLine="560" w:firstLineChars="200"/>
        <w:rPr>
          <w:rFonts w:hint="eastAsia" w:ascii="宋体" w:hAnsi="宋体" w:eastAsia="宋体" w:cs="宋体"/>
          <w:color w:val="0000FF"/>
          <w:kern w:val="2"/>
          <w:sz w:val="28"/>
          <w:szCs w:val="28"/>
          <w:u w:val="single"/>
        </w:rPr>
      </w:pPr>
      <w:r>
        <w:rPr>
          <w:rFonts w:hint="eastAsia" w:ascii="宋体" w:hAnsi="宋体" w:eastAsia="宋体" w:cs="宋体"/>
          <w:color w:val="0000FF"/>
          <w:kern w:val="2"/>
          <w:sz w:val="28"/>
          <w:szCs w:val="28"/>
          <w:highlight w:val="none"/>
          <w:u w:val="single"/>
        </w:rPr>
        <w:t>7.因《</w:t>
      </w:r>
      <w:r>
        <w:rPr>
          <w:rFonts w:hint="eastAsia" w:ascii="宋体" w:hAnsi="宋体" w:eastAsia="宋体" w:cs="宋体"/>
          <w:color w:val="0000FF"/>
          <w:kern w:val="2"/>
          <w:sz w:val="28"/>
          <w:szCs w:val="28"/>
          <w:highlight w:val="none"/>
          <w:u w:val="single"/>
          <w:lang w:eastAsia="zh-CN"/>
        </w:rPr>
        <w:t>朱林镇零星工程清单</w:t>
      </w:r>
      <w:r>
        <w:rPr>
          <w:rFonts w:hint="eastAsia" w:ascii="宋体" w:hAnsi="宋体" w:eastAsia="宋体" w:cs="宋体"/>
          <w:color w:val="0000FF"/>
          <w:kern w:val="2"/>
          <w:sz w:val="28"/>
          <w:szCs w:val="28"/>
          <w:highlight w:val="none"/>
          <w:u w:val="single"/>
        </w:rPr>
        <w:t>》中缺项或非承包人原因的工程变更，引起施工方案改变并使措施项目发生变化时，承包人应事先将拟实施的方案提交给发包人及审计部门确认，如未提交则视为工程变更不引起措施项目的调整或承包人放弃调整措施项目的权利。</w:t>
      </w:r>
    </w:p>
    <w:p w14:paraId="082E58E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12.2 预付款</w:t>
      </w:r>
    </w:p>
    <w:bookmarkEnd w:id="1116"/>
    <w:bookmarkEnd w:id="1117"/>
    <w:bookmarkEnd w:id="1118"/>
    <w:bookmarkEnd w:id="1119"/>
    <w:bookmarkEnd w:id="1120"/>
    <w:bookmarkEnd w:id="1121"/>
    <w:p w14:paraId="7DEBE00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12.2.1 预付款的支付</w:t>
      </w:r>
    </w:p>
    <w:p w14:paraId="7130AB3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预付款支付比例或金额：</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0511F73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预付款支付期限：</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704F10B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预付款扣回的方式：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697ED0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12.2.2 预付款担保</w:t>
      </w:r>
    </w:p>
    <w:p w14:paraId="2FF6E42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承包人提交预付款担保的期限：</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5065054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预付款担保的形式为：</w:t>
      </w:r>
      <w:bookmarkStart w:id="1132" w:name="EBdfdc72dcb18e4aafaa1adebf102a663b"/>
      <w:r>
        <w:rPr>
          <w:rFonts w:hint="eastAsia" w:ascii="仿宋" w:hAnsi="仿宋" w:eastAsia="仿宋" w:cs="仿宋"/>
          <w:kern w:val="2"/>
          <w:sz w:val="28"/>
          <w:szCs w:val="28"/>
          <w:u w:val="single"/>
        </w:rPr>
        <w:t xml:space="preserve"> </w:t>
      </w:r>
      <w:bookmarkEnd w:id="1132"/>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bookmarkEnd w:id="1122"/>
    <w:bookmarkEnd w:id="1123"/>
    <w:bookmarkEnd w:id="1124"/>
    <w:bookmarkEnd w:id="1125"/>
    <w:bookmarkEnd w:id="1126"/>
    <w:bookmarkEnd w:id="1127"/>
    <w:bookmarkEnd w:id="1128"/>
    <w:bookmarkEnd w:id="1129"/>
    <w:bookmarkEnd w:id="1130"/>
    <w:bookmarkEnd w:id="1131"/>
    <w:p w14:paraId="10369A2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12.3 计量</w:t>
      </w:r>
    </w:p>
    <w:p w14:paraId="3BE4472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12.3.1 计量原则</w:t>
      </w:r>
    </w:p>
    <w:p w14:paraId="132104A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工程量计算规则：</w:t>
      </w:r>
      <w:r>
        <w:rPr>
          <w:rFonts w:hint="eastAsia" w:ascii="仿宋" w:hAnsi="仿宋" w:eastAsia="仿宋" w:cs="仿宋"/>
          <w:kern w:val="2"/>
          <w:sz w:val="28"/>
          <w:szCs w:val="28"/>
          <w:u w:val="single"/>
        </w:rPr>
        <w:t>执行国家标准《建设工程工程量清单计价规范》(GB50500-2013)或其适用的修订版本，承包人实际完成的工程量按约定的工程量计算规则和有合同约束力的图纸进行计量。</w:t>
      </w:r>
    </w:p>
    <w:p w14:paraId="36F1E3D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12.3.2 计量周期</w:t>
      </w:r>
    </w:p>
    <w:p w14:paraId="252F5BF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关于计量周期的约定：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31863FF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12.3.3 单价合同的计量</w:t>
      </w:r>
    </w:p>
    <w:p w14:paraId="7351285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关于单价合同计量的约定：</w:t>
      </w:r>
      <w:r>
        <w:rPr>
          <w:rFonts w:hint="eastAsia" w:ascii="仿宋" w:hAnsi="仿宋" w:eastAsia="仿宋" w:cs="仿宋"/>
          <w:kern w:val="2"/>
          <w:sz w:val="28"/>
          <w:szCs w:val="28"/>
          <w:u w:val="single"/>
        </w:rPr>
        <w:t xml:space="preserve">按通用条款执行 </w:t>
      </w:r>
      <w:r>
        <w:rPr>
          <w:rFonts w:hint="eastAsia" w:ascii="仿宋" w:hAnsi="仿宋" w:eastAsia="仿宋" w:cs="仿宋"/>
          <w:kern w:val="2"/>
          <w:sz w:val="28"/>
          <w:szCs w:val="28"/>
        </w:rPr>
        <w:t>。</w:t>
      </w:r>
    </w:p>
    <w:p w14:paraId="525B634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12.3.4 总价合同的计量</w:t>
      </w:r>
    </w:p>
    <w:p w14:paraId="20F5DB8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关于总价合同计量的约定：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4B2A616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12.3.5总价合同采用支付分解表计量支付的，是否适用第12.3.4 项〔总价合同的计量〕约定进行计量：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0FA16B9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12.3.6 其他价格形式合同的计量</w:t>
      </w:r>
    </w:p>
    <w:p w14:paraId="2D104BF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其他价格形式的计量方式和程序：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246D178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12.4 工程进度款支付</w:t>
      </w:r>
    </w:p>
    <w:p w14:paraId="633EC10A">
      <w:pPr>
        <w:snapToGrid w:val="0"/>
        <w:spacing w:line="420" w:lineRule="exact"/>
        <w:ind w:firstLine="560" w:firstLineChars="200"/>
        <w:rPr>
          <w:rFonts w:hint="eastAsia" w:ascii="仿宋" w:hAnsi="仿宋" w:eastAsia="仿宋" w:cs="仿宋"/>
          <w:kern w:val="2"/>
          <w:sz w:val="28"/>
          <w:szCs w:val="28"/>
        </w:rPr>
      </w:pPr>
      <w:bookmarkStart w:id="1133" w:name="_Toc297048397"/>
      <w:bookmarkStart w:id="1134" w:name="_Toc300935006"/>
      <w:bookmarkStart w:id="1135" w:name="_Toc303539163"/>
      <w:bookmarkStart w:id="1136" w:name="_Toc296346712"/>
      <w:bookmarkStart w:id="1137" w:name="_Toc296347210"/>
      <w:bookmarkStart w:id="1138" w:name="_Toc297123556"/>
      <w:bookmarkStart w:id="1139" w:name="_Toc292559416"/>
      <w:bookmarkStart w:id="1140" w:name="_Toc296944550"/>
      <w:bookmarkStart w:id="1141" w:name="_Toc297120511"/>
      <w:bookmarkStart w:id="1142" w:name="_Toc297216215"/>
      <w:bookmarkStart w:id="1143" w:name="_Toc296503211"/>
      <w:bookmarkStart w:id="1144" w:name="_Toc292559921"/>
      <w:bookmarkStart w:id="1145" w:name="_Toc296891039"/>
      <w:bookmarkStart w:id="1146" w:name="_Toc296891251"/>
      <w:r>
        <w:rPr>
          <w:rFonts w:hint="eastAsia" w:ascii="仿宋" w:hAnsi="仿宋" w:eastAsia="仿宋" w:cs="仿宋"/>
          <w:kern w:val="2"/>
          <w:sz w:val="28"/>
          <w:szCs w:val="28"/>
        </w:rPr>
        <w:t>12.4.1 付款周期</w:t>
      </w:r>
    </w:p>
    <w:p w14:paraId="377E3DD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关于付款周期的约定及其他：</w:t>
      </w:r>
    </w:p>
    <w:p w14:paraId="5570186F">
      <w:pPr>
        <w:snapToGrid w:val="0"/>
        <w:spacing w:line="420" w:lineRule="exact"/>
        <w:ind w:firstLine="840" w:firstLineChars="300"/>
        <w:rPr>
          <w:rFonts w:hint="eastAsia" w:ascii="仿宋" w:hAnsi="仿宋" w:eastAsia="仿宋" w:cs="仿宋"/>
          <w:kern w:val="2"/>
          <w:sz w:val="28"/>
          <w:szCs w:val="28"/>
        </w:rPr>
      </w:pPr>
      <w:r>
        <w:rPr>
          <w:rFonts w:hint="eastAsia" w:ascii="仿宋" w:hAnsi="仿宋" w:eastAsia="仿宋" w:cs="仿宋"/>
          <w:kern w:val="2"/>
          <w:sz w:val="28"/>
          <w:szCs w:val="28"/>
        </w:rPr>
        <w:t>1、关于付款周期的约定：</w:t>
      </w:r>
    </w:p>
    <w:p w14:paraId="57240F36">
      <w:pPr>
        <w:snapToGrid w:val="0"/>
        <w:spacing w:line="420" w:lineRule="exact"/>
        <w:ind w:firstLine="840" w:firstLineChars="300"/>
        <w:rPr>
          <w:rFonts w:hint="eastAsia" w:ascii="仿宋" w:hAnsi="仿宋" w:eastAsia="仿宋" w:cs="仿宋"/>
          <w:kern w:val="2"/>
          <w:sz w:val="28"/>
          <w:szCs w:val="28"/>
          <w:highlight w:val="yellow"/>
        </w:rPr>
      </w:pPr>
      <w:r>
        <w:rPr>
          <w:rFonts w:hint="eastAsia" w:ascii="仿宋" w:hAnsi="仿宋" w:eastAsia="仿宋" w:cs="仿宋"/>
          <w:kern w:val="2"/>
          <w:sz w:val="28"/>
          <w:szCs w:val="28"/>
          <w:highlight w:val="yellow"/>
        </w:rPr>
        <w:t>各单项工程完工经验收合格后按季度进行工程量计量、按年度进行付款。</w:t>
      </w:r>
    </w:p>
    <w:p w14:paraId="45B31623">
      <w:pPr>
        <w:snapToGrid w:val="0"/>
        <w:spacing w:line="420" w:lineRule="exact"/>
        <w:ind w:firstLine="840" w:firstLineChars="300"/>
        <w:rPr>
          <w:rFonts w:hint="eastAsia" w:ascii="仿宋" w:hAnsi="仿宋" w:eastAsia="仿宋" w:cs="仿宋"/>
          <w:kern w:val="2"/>
          <w:sz w:val="28"/>
          <w:szCs w:val="28"/>
          <w:highlight w:val="yellow"/>
        </w:rPr>
      </w:pPr>
      <w:r>
        <w:rPr>
          <w:rFonts w:hint="eastAsia" w:ascii="仿宋" w:hAnsi="仿宋" w:eastAsia="仿宋" w:cs="仿宋"/>
          <w:kern w:val="2"/>
          <w:sz w:val="28"/>
          <w:szCs w:val="28"/>
          <w:highlight w:val="yellow"/>
        </w:rPr>
        <w:t>（1）工程经审计后付至审定价款的</w:t>
      </w:r>
      <w:r>
        <w:rPr>
          <w:rFonts w:hint="eastAsia" w:ascii="仿宋" w:hAnsi="仿宋" w:eastAsia="仿宋" w:cs="仿宋"/>
          <w:kern w:val="2"/>
          <w:sz w:val="28"/>
          <w:szCs w:val="28"/>
          <w:highlight w:val="yellow"/>
          <w:lang w:val="en-US" w:eastAsia="zh-CN"/>
        </w:rPr>
        <w:t>4</w:t>
      </w:r>
      <w:r>
        <w:rPr>
          <w:rFonts w:hint="eastAsia" w:ascii="仿宋" w:hAnsi="仿宋" w:eastAsia="仿宋" w:cs="仿宋"/>
          <w:kern w:val="2"/>
          <w:sz w:val="28"/>
          <w:szCs w:val="28"/>
          <w:highlight w:val="yellow"/>
        </w:rPr>
        <w:t>0%；</w:t>
      </w:r>
    </w:p>
    <w:p w14:paraId="0DACD402">
      <w:pPr>
        <w:snapToGrid w:val="0"/>
        <w:spacing w:line="420" w:lineRule="exact"/>
        <w:ind w:firstLine="840" w:firstLineChars="300"/>
        <w:rPr>
          <w:rFonts w:hint="eastAsia" w:ascii="仿宋" w:hAnsi="仿宋" w:eastAsia="仿宋" w:cs="仿宋"/>
          <w:kern w:val="2"/>
          <w:sz w:val="28"/>
          <w:szCs w:val="28"/>
          <w:highlight w:val="yellow"/>
        </w:rPr>
      </w:pPr>
      <w:r>
        <w:rPr>
          <w:rFonts w:hint="eastAsia" w:ascii="仿宋" w:hAnsi="仿宋" w:eastAsia="仿宋" w:cs="仿宋"/>
          <w:kern w:val="2"/>
          <w:sz w:val="28"/>
          <w:szCs w:val="28"/>
          <w:highlight w:val="yellow"/>
        </w:rPr>
        <w:t>（2）第一次付款满12个月后付至审定价的</w:t>
      </w:r>
      <w:r>
        <w:rPr>
          <w:rFonts w:hint="eastAsia" w:ascii="仿宋" w:hAnsi="仿宋" w:eastAsia="仿宋" w:cs="仿宋"/>
          <w:kern w:val="2"/>
          <w:sz w:val="28"/>
          <w:szCs w:val="28"/>
          <w:highlight w:val="yellow"/>
          <w:lang w:val="en-US" w:eastAsia="zh-CN"/>
        </w:rPr>
        <w:t>7</w:t>
      </w:r>
      <w:r>
        <w:rPr>
          <w:rFonts w:hint="eastAsia" w:ascii="仿宋" w:hAnsi="仿宋" w:eastAsia="仿宋" w:cs="仿宋"/>
          <w:kern w:val="2"/>
          <w:sz w:val="28"/>
          <w:szCs w:val="28"/>
          <w:highlight w:val="yellow"/>
        </w:rPr>
        <w:t>0%，</w:t>
      </w:r>
    </w:p>
    <w:p w14:paraId="5154CF63">
      <w:pPr>
        <w:snapToGrid w:val="0"/>
        <w:spacing w:line="420" w:lineRule="exact"/>
        <w:ind w:firstLine="840" w:firstLineChars="300"/>
        <w:rPr>
          <w:rFonts w:hint="eastAsia" w:ascii="仿宋" w:hAnsi="仿宋" w:eastAsia="仿宋" w:cs="仿宋"/>
          <w:kern w:val="2"/>
          <w:sz w:val="28"/>
          <w:szCs w:val="28"/>
          <w:highlight w:val="yellow"/>
        </w:rPr>
      </w:pPr>
      <w:r>
        <w:rPr>
          <w:rFonts w:hint="eastAsia" w:ascii="仿宋" w:hAnsi="仿宋" w:eastAsia="仿宋" w:cs="仿宋"/>
          <w:kern w:val="2"/>
          <w:sz w:val="28"/>
          <w:szCs w:val="28"/>
          <w:highlight w:val="yellow"/>
        </w:rPr>
        <w:t>（3）第一次付款满24个月后结清余款。</w:t>
      </w:r>
    </w:p>
    <w:p w14:paraId="5EB09B9E">
      <w:pPr>
        <w:snapToGrid w:val="0"/>
        <w:spacing w:line="420" w:lineRule="exact"/>
        <w:ind w:firstLine="840" w:firstLineChars="300"/>
        <w:rPr>
          <w:rFonts w:hint="eastAsia" w:ascii="仿宋" w:hAnsi="仿宋" w:eastAsia="仿宋" w:cs="仿宋"/>
          <w:kern w:val="2"/>
          <w:sz w:val="28"/>
          <w:szCs w:val="28"/>
          <w:highlight w:val="yellow"/>
        </w:rPr>
      </w:pPr>
      <w:r>
        <w:rPr>
          <w:rFonts w:hint="eastAsia" w:ascii="仿宋" w:hAnsi="仿宋" w:eastAsia="仿宋" w:cs="仿宋"/>
          <w:kern w:val="2"/>
          <w:sz w:val="28"/>
          <w:szCs w:val="28"/>
          <w:highlight w:val="yellow"/>
        </w:rPr>
        <w:t>注：1）每次付款前乙方需向甲方提供等额的正规发票。</w:t>
      </w:r>
    </w:p>
    <w:p w14:paraId="3141453B">
      <w:pPr>
        <w:snapToGrid w:val="0"/>
        <w:spacing w:line="420" w:lineRule="exact"/>
        <w:ind w:firstLine="840" w:firstLineChars="300"/>
        <w:rPr>
          <w:rFonts w:hint="eastAsia" w:ascii="仿宋" w:hAnsi="仿宋" w:eastAsia="仿宋" w:cs="仿宋"/>
          <w:kern w:val="2"/>
          <w:sz w:val="28"/>
          <w:szCs w:val="28"/>
          <w:highlight w:val="yellow"/>
        </w:rPr>
      </w:pPr>
      <w:r>
        <w:rPr>
          <w:rFonts w:hint="eastAsia" w:ascii="仿宋" w:hAnsi="仿宋" w:eastAsia="仿宋" w:cs="仿宋"/>
          <w:kern w:val="2"/>
          <w:sz w:val="28"/>
          <w:szCs w:val="28"/>
          <w:highlight w:val="yellow"/>
        </w:rPr>
        <w:t>2）每次付款时扣除当期发生的违约金。</w:t>
      </w:r>
    </w:p>
    <w:p w14:paraId="56BDF9EF">
      <w:pPr>
        <w:snapToGrid w:val="0"/>
        <w:spacing w:line="420" w:lineRule="exact"/>
        <w:ind w:firstLine="840" w:firstLineChars="300"/>
        <w:rPr>
          <w:rFonts w:hint="eastAsia" w:ascii="仿宋" w:hAnsi="仿宋" w:eastAsia="仿宋" w:cs="仿宋"/>
          <w:kern w:val="2"/>
          <w:sz w:val="28"/>
          <w:szCs w:val="28"/>
          <w:highlight w:val="yellow"/>
        </w:rPr>
      </w:pPr>
      <w:r>
        <w:rPr>
          <w:rFonts w:hint="eastAsia" w:ascii="仿宋" w:hAnsi="仿宋" w:eastAsia="仿宋" w:cs="仿宋"/>
          <w:kern w:val="2"/>
          <w:sz w:val="28"/>
          <w:szCs w:val="28"/>
          <w:highlight w:val="yellow"/>
        </w:rPr>
        <w:t>3）工程履约保证金及工程款均不计息。</w:t>
      </w:r>
    </w:p>
    <w:p w14:paraId="0368261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12.4.2 进度付款申请单的编制</w:t>
      </w:r>
    </w:p>
    <w:p w14:paraId="1B60084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关于进度付款申请单编制的约定：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3FC18EE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w:t>
      </w:r>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hint="eastAsia" w:ascii="仿宋" w:hAnsi="仿宋" w:eastAsia="仿宋" w:cs="仿宋"/>
          <w:kern w:val="2"/>
          <w:sz w:val="28"/>
          <w:szCs w:val="28"/>
        </w:rPr>
        <w:t>2.4.3 进度付款申请单的提交</w:t>
      </w:r>
    </w:p>
    <w:p w14:paraId="2F65D2B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（1）单价合同进度付款申请单提交的约定：</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77EBFFB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（2）总价合同进度付款申请单提交的约定：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F556E5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（3）其他价格形式合同进度付款申请单提交的约定：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1CC4297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12.4.4 进度款审核和支付</w:t>
      </w:r>
    </w:p>
    <w:p w14:paraId="7D721FA5">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（1）监理人审查并报送发包人的期限：</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2298CF5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发包人完成审批并签发进度款支付证书的期限：</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5DBD3DB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（2）发包人支付进度款的期限：</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7DDF462E">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发包人逾期支付进度款的违约金的计算方式：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2C515F95">
      <w:pPr>
        <w:snapToGrid w:val="0"/>
        <w:spacing w:line="420" w:lineRule="exact"/>
        <w:ind w:firstLine="700" w:firstLineChars="250"/>
        <w:rPr>
          <w:rFonts w:hint="eastAsia" w:ascii="仿宋" w:hAnsi="仿宋" w:eastAsia="仿宋" w:cs="仿宋"/>
          <w:kern w:val="2"/>
          <w:sz w:val="28"/>
          <w:szCs w:val="28"/>
        </w:rPr>
      </w:pPr>
      <w:r>
        <w:rPr>
          <w:rFonts w:hint="eastAsia" w:ascii="仿宋" w:hAnsi="仿宋" w:eastAsia="仿宋" w:cs="仿宋"/>
          <w:kern w:val="2"/>
          <w:sz w:val="28"/>
          <w:szCs w:val="28"/>
        </w:rPr>
        <w:t>12.4.6 支付分解表的编制</w:t>
      </w:r>
    </w:p>
    <w:p w14:paraId="0285D64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2、总价合同支付分解表的编制与审批：</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57415E0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3、单价合同的总价项目支付分解表的编制与审批：</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bookmarkEnd w:id="975"/>
    <w:p w14:paraId="4FD3F292">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147" w:name="_Toc351203645"/>
      <w:bookmarkStart w:id="1148" w:name="_Toc312678053"/>
      <w:bookmarkStart w:id="1149" w:name="_Toc304295593"/>
      <w:bookmarkStart w:id="1150" w:name="_Toc296891259"/>
      <w:bookmarkStart w:id="1151" w:name="_Toc303539172"/>
      <w:bookmarkStart w:id="1152" w:name="_Toc297120519"/>
      <w:bookmarkStart w:id="1153" w:name="_Toc292559424"/>
      <w:bookmarkStart w:id="1154" w:name="_Toc296346720"/>
      <w:bookmarkStart w:id="1155" w:name="_Toc297048405"/>
      <w:bookmarkStart w:id="1156" w:name="_Toc296944558"/>
      <w:bookmarkStart w:id="1157" w:name="_Toc297123564"/>
      <w:bookmarkStart w:id="1158" w:name="_Toc296891047"/>
      <w:bookmarkStart w:id="1159" w:name="_Toc297216223"/>
      <w:bookmarkStart w:id="1160" w:name="_Toc300935015"/>
      <w:bookmarkStart w:id="1161" w:name="_Toc296347218"/>
      <w:bookmarkStart w:id="1162" w:name="_Toc292559929"/>
      <w:bookmarkStart w:id="1163" w:name="_Toc296503219"/>
      <w:r>
        <w:rPr>
          <w:rFonts w:hint="eastAsia" w:ascii="仿宋" w:hAnsi="仿宋" w:eastAsia="仿宋" w:cs="仿宋"/>
          <w:b w:val="0"/>
          <w:bCs/>
          <w:kern w:val="0"/>
          <w:sz w:val="28"/>
          <w:szCs w:val="28"/>
          <w:lang w:val="en-US" w:eastAsia="zh-CN" w:bidi="ar-SA"/>
        </w:rPr>
        <w:t>13. 验收和工程试车</w:t>
      </w:r>
      <w:bookmarkEnd w:id="1147"/>
    </w:p>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p w14:paraId="617474A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13.1 分部分项工程验收</w:t>
      </w:r>
    </w:p>
    <w:p w14:paraId="06686C3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13.1.2监理人不能按时进行验收时，应提前</w:t>
      </w:r>
      <w:r>
        <w:rPr>
          <w:rFonts w:hint="eastAsia" w:ascii="仿宋" w:hAnsi="仿宋" w:eastAsia="仿宋" w:cs="仿宋"/>
          <w:kern w:val="2"/>
          <w:sz w:val="28"/>
          <w:szCs w:val="28"/>
          <w:u w:val="single"/>
        </w:rPr>
        <w:t xml:space="preserve">  24  </w:t>
      </w:r>
      <w:r>
        <w:rPr>
          <w:rFonts w:hint="eastAsia" w:ascii="仿宋" w:hAnsi="仿宋" w:eastAsia="仿宋" w:cs="仿宋"/>
          <w:kern w:val="2"/>
          <w:sz w:val="28"/>
          <w:szCs w:val="28"/>
        </w:rPr>
        <w:t>小时提交书面延期要求。</w:t>
      </w:r>
    </w:p>
    <w:p w14:paraId="424ACC02">
      <w:pPr>
        <w:snapToGrid w:val="0"/>
        <w:spacing w:line="420" w:lineRule="exact"/>
        <w:ind w:firstLine="560" w:firstLineChars="200"/>
        <w:rPr>
          <w:rFonts w:hint="eastAsia" w:ascii="仿宋" w:hAnsi="仿宋" w:eastAsia="仿宋" w:cs="仿宋"/>
          <w:b/>
          <w:kern w:val="2"/>
          <w:sz w:val="28"/>
          <w:szCs w:val="28"/>
        </w:rPr>
      </w:pPr>
      <w:r>
        <w:rPr>
          <w:rFonts w:hint="eastAsia" w:ascii="仿宋" w:hAnsi="仿宋" w:eastAsia="仿宋" w:cs="仿宋"/>
          <w:kern w:val="2"/>
          <w:sz w:val="28"/>
          <w:szCs w:val="28"/>
        </w:rPr>
        <w:t>关于延期最长不得超过：</w:t>
      </w:r>
      <w:r>
        <w:rPr>
          <w:rFonts w:hint="eastAsia" w:ascii="仿宋" w:hAnsi="仿宋" w:eastAsia="仿宋" w:cs="仿宋"/>
          <w:kern w:val="2"/>
          <w:sz w:val="28"/>
          <w:szCs w:val="28"/>
          <w:u w:val="single"/>
        </w:rPr>
        <w:t xml:space="preserve">  48  </w:t>
      </w:r>
      <w:r>
        <w:rPr>
          <w:rFonts w:hint="eastAsia" w:ascii="仿宋" w:hAnsi="仿宋" w:eastAsia="仿宋" w:cs="仿宋"/>
          <w:kern w:val="2"/>
          <w:sz w:val="28"/>
          <w:szCs w:val="28"/>
        </w:rPr>
        <w:t>小时。</w:t>
      </w:r>
    </w:p>
    <w:p w14:paraId="2F5D70D4">
      <w:pPr>
        <w:snapToGrid w:val="0"/>
        <w:spacing w:line="420" w:lineRule="exact"/>
        <w:ind w:firstLine="560" w:firstLineChars="200"/>
        <w:rPr>
          <w:rFonts w:hint="eastAsia" w:ascii="仿宋" w:hAnsi="仿宋" w:eastAsia="仿宋" w:cs="仿宋"/>
          <w:kern w:val="2"/>
          <w:sz w:val="28"/>
          <w:szCs w:val="28"/>
        </w:rPr>
      </w:pPr>
      <w:bookmarkStart w:id="1164" w:name="_Toc297048409"/>
      <w:bookmarkStart w:id="1165" w:name="_Toc292559428"/>
      <w:bookmarkStart w:id="1166" w:name="_Toc296891263"/>
      <w:bookmarkStart w:id="1167" w:name="_Toc296347222"/>
      <w:bookmarkStart w:id="1168" w:name="_Toc297216224"/>
      <w:bookmarkStart w:id="1169" w:name="_Toc292559933"/>
      <w:bookmarkStart w:id="1170" w:name="_Toc297123565"/>
      <w:bookmarkStart w:id="1171" w:name="_Toc296944562"/>
      <w:bookmarkStart w:id="1172" w:name="_Toc312678056"/>
      <w:bookmarkStart w:id="1173" w:name="_Toc304295596"/>
      <w:bookmarkStart w:id="1174" w:name="_Toc303539173"/>
      <w:bookmarkStart w:id="1175" w:name="_Toc300935016"/>
      <w:bookmarkStart w:id="1176" w:name="_Toc296503223"/>
      <w:bookmarkStart w:id="1177" w:name="_Toc296346724"/>
      <w:bookmarkStart w:id="1178" w:name="_Toc297120523"/>
      <w:bookmarkStart w:id="1179" w:name="_Toc296891051"/>
      <w:bookmarkStart w:id="1180" w:name="_Toc267251476"/>
      <w:bookmarkStart w:id="1181" w:name="_Toc267251472"/>
      <w:bookmarkStart w:id="1182" w:name="_Toc267251475"/>
      <w:bookmarkStart w:id="1183" w:name="_Toc267251470"/>
      <w:bookmarkStart w:id="1184" w:name="_Toc267251471"/>
      <w:bookmarkStart w:id="1185" w:name="_Toc267251473"/>
      <w:bookmarkStart w:id="1186" w:name="_Toc267251474"/>
      <w:r>
        <w:rPr>
          <w:rFonts w:hint="eastAsia" w:ascii="仿宋" w:hAnsi="仿宋" w:eastAsia="仿宋" w:cs="仿宋"/>
          <w:kern w:val="2"/>
          <w:sz w:val="28"/>
          <w:szCs w:val="28"/>
        </w:rPr>
        <w:t>13.2 竣工验收</w:t>
      </w:r>
    </w:p>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p w14:paraId="5F9E5370">
      <w:pPr>
        <w:snapToGrid w:val="0"/>
        <w:spacing w:line="420" w:lineRule="exact"/>
        <w:ind w:firstLine="560" w:firstLineChars="200"/>
        <w:rPr>
          <w:rFonts w:hint="eastAsia" w:ascii="仿宋" w:hAnsi="仿宋" w:eastAsia="仿宋" w:cs="仿宋"/>
          <w:kern w:val="2"/>
          <w:sz w:val="28"/>
          <w:szCs w:val="28"/>
        </w:rPr>
      </w:pPr>
      <w:bookmarkStart w:id="1187" w:name="_Toc280868704"/>
      <w:bookmarkStart w:id="1188" w:name="_Toc280868705"/>
      <w:bookmarkStart w:id="1189" w:name="_Toc280868706"/>
      <w:bookmarkStart w:id="1190" w:name="_Toc280868707"/>
      <w:bookmarkStart w:id="1191" w:name="_Toc280868708"/>
      <w:bookmarkStart w:id="1192" w:name="_Toc280868709"/>
      <w:r>
        <w:rPr>
          <w:rFonts w:hint="eastAsia" w:ascii="仿宋" w:hAnsi="仿宋" w:eastAsia="仿宋" w:cs="仿宋"/>
          <w:kern w:val="2"/>
          <w:sz w:val="28"/>
          <w:szCs w:val="28"/>
        </w:rPr>
        <w:t>13.2.2竣工验收程序</w:t>
      </w:r>
    </w:p>
    <w:bookmarkEnd w:id="1187"/>
    <w:p w14:paraId="661D6E2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关于竣工验收程序的约定：</w:t>
      </w:r>
      <w:r>
        <w:rPr>
          <w:rFonts w:hint="eastAsia" w:ascii="仿宋" w:hAnsi="仿宋" w:eastAsia="仿宋" w:cs="仿宋"/>
          <w:kern w:val="2"/>
          <w:sz w:val="28"/>
          <w:szCs w:val="28"/>
          <w:u w:val="single"/>
        </w:rPr>
        <w:t>根据政府相关部门颁发的竣工验收相关规定及技术档案管理条例编制整理的竣工资料和竣工图，在竣工质量验收（俗称竣前验收）之前经监理及发包人认可后移交给发包人，若承包人未能及时移交，竣工质量验收延后，直至承包人完整移交竣工图及竣工资料为止，由此造成的工期延误或其他一切损失由承包人承担</w:t>
      </w:r>
      <w:r>
        <w:rPr>
          <w:rFonts w:hint="eastAsia" w:ascii="仿宋" w:hAnsi="仿宋" w:eastAsia="仿宋" w:cs="仿宋"/>
          <w:kern w:val="2"/>
          <w:sz w:val="28"/>
          <w:szCs w:val="28"/>
        </w:rPr>
        <w:t>。</w:t>
      </w:r>
    </w:p>
    <w:p w14:paraId="3762659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发包人不按照本项约定组织竣工验收、颁发工程接收证书的违约金的计算方法：</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bookmarkEnd w:id="1188"/>
    <w:p w14:paraId="62B0171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13.2.5移交、接收全部与部分工程</w:t>
      </w:r>
    </w:p>
    <w:bookmarkEnd w:id="1189"/>
    <w:p w14:paraId="7F673D7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承包人向发包人移交工程的期限：</w:t>
      </w:r>
      <w:r>
        <w:rPr>
          <w:rFonts w:hint="eastAsia" w:ascii="仿宋" w:hAnsi="仿宋" w:eastAsia="仿宋" w:cs="仿宋"/>
          <w:kern w:val="2"/>
          <w:sz w:val="28"/>
          <w:szCs w:val="28"/>
          <w:u w:val="single"/>
        </w:rPr>
        <w:t>根据发包人要求执行</w:t>
      </w:r>
      <w:r>
        <w:rPr>
          <w:rFonts w:hint="eastAsia" w:ascii="仿宋" w:hAnsi="仿宋" w:eastAsia="仿宋" w:cs="仿宋"/>
          <w:kern w:val="2"/>
          <w:sz w:val="28"/>
          <w:szCs w:val="28"/>
        </w:rPr>
        <w:t>。</w:t>
      </w:r>
    </w:p>
    <w:p w14:paraId="1114B19F">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发包人未按本合同约定接收全部或部分工程的，违约金的计算方法为：</w:t>
      </w:r>
      <w:r>
        <w:rPr>
          <w:rFonts w:hint="eastAsia" w:ascii="仿宋" w:hAnsi="仿宋" w:eastAsia="仿宋" w:cs="仿宋"/>
          <w:kern w:val="2"/>
          <w:sz w:val="28"/>
          <w:szCs w:val="28"/>
          <w:u w:val="single"/>
        </w:rPr>
        <w:t>根据发包人要求执行</w:t>
      </w:r>
      <w:r>
        <w:rPr>
          <w:rFonts w:hint="eastAsia" w:ascii="仿宋" w:hAnsi="仿宋" w:eastAsia="仿宋" w:cs="仿宋"/>
          <w:kern w:val="2"/>
          <w:sz w:val="28"/>
          <w:szCs w:val="28"/>
        </w:rPr>
        <w:t>。</w:t>
      </w:r>
    </w:p>
    <w:bookmarkEnd w:id="1190"/>
    <w:p w14:paraId="05CBDB2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承包人未按时移交工程的，违约金的计算方法为：</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7E2EC81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13.3 工程试车</w:t>
      </w:r>
    </w:p>
    <w:bookmarkEnd w:id="1191"/>
    <w:p w14:paraId="3CA42B5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13.3.1 试车程序</w:t>
      </w:r>
    </w:p>
    <w:p w14:paraId="2F94B06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工程试车内容：</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23333BC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（1）单机无负荷试车费用由</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承担；</w:t>
      </w:r>
    </w:p>
    <w:p w14:paraId="102C787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（2）无负荷联动试车费用由</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承担。</w:t>
      </w:r>
    </w:p>
    <w:p w14:paraId="6E5206A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13.3.3 投料试车</w:t>
      </w:r>
    </w:p>
    <w:p w14:paraId="25D3907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关于投料试车相关事项的约定：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2666072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13.6 竣工退场</w:t>
      </w:r>
    </w:p>
    <w:p w14:paraId="363A8B3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13.6.1 竣工退场</w:t>
      </w:r>
    </w:p>
    <w:p w14:paraId="7F1F001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承包人完成竣工退场的期限：</w:t>
      </w:r>
      <w:r>
        <w:rPr>
          <w:rFonts w:hint="eastAsia" w:ascii="仿宋" w:hAnsi="仿宋" w:eastAsia="仿宋" w:cs="仿宋"/>
          <w:kern w:val="2"/>
          <w:sz w:val="28"/>
          <w:szCs w:val="28"/>
          <w:u w:val="single"/>
        </w:rPr>
        <w:t>工程移交后7日内</w:t>
      </w:r>
      <w:r>
        <w:rPr>
          <w:rFonts w:hint="eastAsia" w:ascii="仿宋" w:hAnsi="仿宋" w:eastAsia="仿宋" w:cs="仿宋"/>
          <w:kern w:val="2"/>
          <w:sz w:val="28"/>
          <w:szCs w:val="28"/>
        </w:rPr>
        <w:t>。</w:t>
      </w:r>
    </w:p>
    <w:p w14:paraId="23E7D62E">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193" w:name="_Toc351203646"/>
      <w:r>
        <w:rPr>
          <w:rFonts w:hint="eastAsia" w:ascii="仿宋" w:hAnsi="仿宋" w:eastAsia="仿宋" w:cs="仿宋"/>
          <w:b w:val="0"/>
          <w:bCs/>
          <w:kern w:val="0"/>
          <w:sz w:val="28"/>
          <w:szCs w:val="28"/>
          <w:lang w:val="en-US" w:eastAsia="zh-CN" w:bidi="ar-SA"/>
        </w:rPr>
        <w:t>14. 竣工结算</w:t>
      </w:r>
      <w:bookmarkEnd w:id="1193"/>
    </w:p>
    <w:p w14:paraId="6705409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14.1 竣工结算申请</w:t>
      </w:r>
    </w:p>
    <w:p w14:paraId="32E22A3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承包人提交竣工结算申请单的期限：</w:t>
      </w:r>
      <w:r>
        <w:rPr>
          <w:rFonts w:hint="eastAsia" w:ascii="仿宋" w:hAnsi="仿宋" w:eastAsia="仿宋" w:cs="仿宋"/>
          <w:kern w:val="2"/>
          <w:sz w:val="28"/>
          <w:szCs w:val="28"/>
          <w:u w:val="single"/>
        </w:rPr>
        <w:t>/。</w:t>
      </w:r>
    </w:p>
    <w:p w14:paraId="63386E6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竣工结算申请单应包括的内容：</w:t>
      </w:r>
      <w:r>
        <w:rPr>
          <w:rFonts w:hint="eastAsia" w:ascii="仿宋" w:hAnsi="仿宋" w:eastAsia="仿宋" w:cs="仿宋"/>
          <w:kern w:val="2"/>
          <w:sz w:val="28"/>
          <w:szCs w:val="28"/>
          <w:u w:val="single"/>
        </w:rPr>
        <w:t>/</w:t>
      </w:r>
      <w:r>
        <w:rPr>
          <w:rFonts w:hint="eastAsia" w:ascii="仿宋" w:hAnsi="仿宋" w:eastAsia="仿宋" w:cs="仿宋"/>
          <w:kern w:val="2"/>
          <w:sz w:val="28"/>
          <w:szCs w:val="28"/>
        </w:rPr>
        <w:t>。</w:t>
      </w:r>
    </w:p>
    <w:p w14:paraId="6C1A2A6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14.2 竣工结算审核</w:t>
      </w:r>
    </w:p>
    <w:p w14:paraId="1FBDE58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发包人审批竣工付款申请单的期限：</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26E80C7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发包人完成竣工付款的期限：</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C2F59B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关于竣工付款证书异议部分复核的方式和程序：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1B77816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14.4 最终结清</w:t>
      </w:r>
    </w:p>
    <w:p w14:paraId="7A38FE5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14.4.1 最终结清申请单</w:t>
      </w:r>
    </w:p>
    <w:p w14:paraId="6BCF958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承包人提交最终结清申请单的份数：</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3672B24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承包人提交最终结算申请单的期限：</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 xml:space="preserve">。 </w:t>
      </w:r>
    </w:p>
    <w:p w14:paraId="3219B55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承包人提交最终结算申请单的期限：</w:t>
      </w:r>
      <w:r>
        <w:rPr>
          <w:rFonts w:hint="eastAsia" w:ascii="仿宋" w:hAnsi="仿宋" w:eastAsia="仿宋" w:cs="仿宋"/>
          <w:kern w:val="2"/>
          <w:sz w:val="28"/>
          <w:szCs w:val="28"/>
          <w:u w:val="single"/>
        </w:rPr>
        <w:t>承包人提交完整的结算资料的时间、要求及相关违约责任：竣工验收合格后 90 日内。结算文件的编制要求参照建设单位的要求实施，如未按此规定时间提供按1000元/天支付违约金。如影响工程款支付，承包方自行负责。</w:t>
      </w:r>
    </w:p>
    <w:p w14:paraId="01E16DD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14.4.2 最终结清证书和支付</w:t>
      </w:r>
    </w:p>
    <w:p w14:paraId="5334CB6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（1）发包人完成最终结清申请单的审批并颁发最终结清证书的期限：</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5474A74F">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（2）发包人完成支付的期限：</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bookmarkEnd w:id="1180"/>
    <w:bookmarkEnd w:id="1181"/>
    <w:bookmarkEnd w:id="1182"/>
    <w:bookmarkEnd w:id="1183"/>
    <w:bookmarkEnd w:id="1184"/>
    <w:bookmarkEnd w:id="1185"/>
    <w:bookmarkEnd w:id="1186"/>
    <w:bookmarkEnd w:id="1192"/>
    <w:p w14:paraId="6D91B1A3">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194" w:name="_Toc351203647"/>
      <w:bookmarkStart w:id="1195" w:name="_Toc267251483"/>
      <w:bookmarkStart w:id="1196" w:name="_Toc267251482"/>
      <w:bookmarkStart w:id="1197" w:name="_Toc267251484"/>
      <w:bookmarkStart w:id="1198" w:name="_Toc267251485"/>
      <w:bookmarkStart w:id="1199" w:name="_Toc267251490"/>
      <w:bookmarkStart w:id="1200" w:name="_Toc267251488"/>
      <w:bookmarkStart w:id="1201" w:name="_Toc267251486"/>
      <w:bookmarkStart w:id="1202" w:name="_Toc267251489"/>
      <w:bookmarkStart w:id="1203" w:name="_Toc267251495"/>
      <w:bookmarkStart w:id="1204" w:name="_Toc267251501"/>
      <w:bookmarkStart w:id="1205" w:name="_Toc267251496"/>
      <w:bookmarkStart w:id="1206" w:name="_Toc267251493"/>
      <w:bookmarkStart w:id="1207" w:name="_Toc267251497"/>
      <w:bookmarkStart w:id="1208" w:name="_Toc267251503"/>
      <w:bookmarkStart w:id="1209" w:name="_Toc267251494"/>
      <w:bookmarkStart w:id="1210" w:name="_Toc267251498"/>
      <w:bookmarkStart w:id="1211" w:name="_Toc267251499"/>
      <w:bookmarkStart w:id="1212" w:name="_Toc267251492"/>
      <w:bookmarkStart w:id="1213" w:name="_Toc267251491"/>
      <w:bookmarkStart w:id="1214" w:name="_Toc267251502"/>
      <w:bookmarkStart w:id="1215" w:name="_Toc267251504"/>
      <w:bookmarkStart w:id="1216" w:name="_Toc267251506"/>
      <w:bookmarkStart w:id="1217" w:name="_Toc267251507"/>
      <w:bookmarkStart w:id="1218" w:name="_Toc267251508"/>
      <w:bookmarkStart w:id="1219" w:name="_Toc267251510"/>
      <w:bookmarkStart w:id="1220" w:name="_Toc267251514"/>
      <w:bookmarkStart w:id="1221" w:name="_Toc267251513"/>
      <w:bookmarkStart w:id="1222" w:name="_Toc267251509"/>
      <w:bookmarkStart w:id="1223" w:name="_Toc267251511"/>
      <w:bookmarkStart w:id="1224" w:name="_Toc267251515"/>
      <w:r>
        <w:rPr>
          <w:rFonts w:hint="eastAsia" w:ascii="仿宋" w:hAnsi="仿宋" w:eastAsia="仿宋" w:cs="仿宋"/>
          <w:b w:val="0"/>
          <w:bCs/>
          <w:kern w:val="0"/>
          <w:sz w:val="28"/>
          <w:szCs w:val="28"/>
          <w:lang w:val="en-US" w:eastAsia="zh-CN" w:bidi="ar-SA"/>
        </w:rPr>
        <w:t>15. 缺陷责任期与保修</w:t>
      </w:r>
      <w:bookmarkEnd w:id="1194"/>
    </w:p>
    <w:p w14:paraId="7C71744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15.2缺陷责任期</w:t>
      </w:r>
      <w:bookmarkEnd w:id="1195"/>
    </w:p>
    <w:p w14:paraId="08E832D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缺陷责任期的具体期限：</w:t>
      </w:r>
      <w:r>
        <w:rPr>
          <w:rFonts w:hint="eastAsia" w:ascii="仿宋" w:hAnsi="仿宋" w:eastAsia="仿宋" w:cs="仿宋"/>
          <w:kern w:val="2"/>
          <w:sz w:val="28"/>
          <w:szCs w:val="28"/>
          <w:u w:val="single"/>
        </w:rPr>
        <w:t>24个月</w:t>
      </w:r>
      <w:r>
        <w:rPr>
          <w:rFonts w:hint="eastAsia" w:ascii="仿宋" w:hAnsi="仿宋" w:eastAsia="仿宋" w:cs="仿宋"/>
          <w:kern w:val="2"/>
          <w:sz w:val="28"/>
          <w:szCs w:val="28"/>
        </w:rPr>
        <w:t>。</w:t>
      </w:r>
    </w:p>
    <w:p w14:paraId="6CF526D3">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15.3 质量保证金</w:t>
      </w:r>
    </w:p>
    <w:p w14:paraId="5BC3550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关于是否扣留质量保证金的约定：</w:t>
      </w:r>
      <w:r>
        <w:rPr>
          <w:rFonts w:hint="eastAsia" w:ascii="仿宋" w:hAnsi="仿宋" w:eastAsia="仿宋" w:cs="仿宋"/>
          <w:kern w:val="2"/>
          <w:sz w:val="28"/>
          <w:szCs w:val="28"/>
          <w:u w:val="single"/>
        </w:rPr>
        <w:t>按审定价的3%扣除质量保证金</w:t>
      </w:r>
      <w:r>
        <w:rPr>
          <w:rFonts w:hint="eastAsia" w:ascii="仿宋" w:hAnsi="仿宋" w:eastAsia="仿宋" w:cs="仿宋"/>
          <w:kern w:val="2"/>
          <w:sz w:val="28"/>
          <w:szCs w:val="28"/>
        </w:rPr>
        <w:t>。</w:t>
      </w:r>
    </w:p>
    <w:p w14:paraId="3B42E68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15.3.1 承包人提供质量保证金的方式</w:t>
      </w:r>
    </w:p>
    <w:p w14:paraId="3E4E960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质量保证金采用以下第</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种方式：</w:t>
      </w:r>
    </w:p>
    <w:p w14:paraId="6BE434D4">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（1）质量保证金保函，保证金额为：</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 xml:space="preserve">； </w:t>
      </w:r>
    </w:p>
    <w:p w14:paraId="6D2341FB">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w:t>
      </w:r>
      <w:r>
        <w:rPr>
          <w:rFonts w:hint="eastAsia" w:ascii="仿宋" w:hAnsi="仿宋" w:eastAsia="仿宋" w:cs="仿宋"/>
          <w:kern w:val="2"/>
          <w:sz w:val="28"/>
          <w:szCs w:val="28"/>
          <w:u w:val="single"/>
        </w:rPr>
        <w:t>审定价的3</w:t>
      </w:r>
      <w:r>
        <w:rPr>
          <w:rFonts w:hint="eastAsia" w:ascii="仿宋" w:hAnsi="仿宋" w:eastAsia="仿宋" w:cs="仿宋"/>
          <w:kern w:val="2"/>
          <w:sz w:val="28"/>
          <w:szCs w:val="28"/>
        </w:rPr>
        <w:t>%的工程款；</w:t>
      </w:r>
    </w:p>
    <w:p w14:paraId="0546AD02">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（3）其他方式: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044EB26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15.3.2 质量保证金的扣留 </w:t>
      </w:r>
    </w:p>
    <w:p w14:paraId="7A62C76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质量保证金的扣留采取以下第</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种方式：</w:t>
      </w:r>
    </w:p>
    <w:p w14:paraId="749C43BF">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（1）在支付工程进度款时逐次扣留，在此情形下，质量保证金的计算基数不包括预付款的支付、扣回以及价格调整的金额；</w:t>
      </w:r>
    </w:p>
    <w:p w14:paraId="2974AD84">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（2）工程竣工结算时一次性扣留质量保证金；</w:t>
      </w:r>
    </w:p>
    <w:p w14:paraId="57FE1486">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（3）其他扣留方式: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4724E03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关于质量保证金的补充约定：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bookmarkEnd w:id="1196"/>
    <w:bookmarkEnd w:id="1197"/>
    <w:p w14:paraId="0116005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15.4保修</w:t>
      </w:r>
    </w:p>
    <w:bookmarkEnd w:id="1198"/>
    <w:p w14:paraId="387782CC">
      <w:pPr>
        <w:snapToGrid w:val="0"/>
        <w:spacing w:line="420" w:lineRule="exact"/>
        <w:ind w:firstLine="546" w:firstLineChars="195"/>
        <w:rPr>
          <w:rFonts w:hint="eastAsia" w:ascii="仿宋" w:hAnsi="仿宋" w:eastAsia="仿宋" w:cs="仿宋"/>
          <w:kern w:val="2"/>
          <w:sz w:val="28"/>
          <w:szCs w:val="28"/>
        </w:rPr>
      </w:pPr>
      <w:r>
        <w:rPr>
          <w:rFonts w:hint="eastAsia" w:ascii="仿宋" w:hAnsi="仿宋" w:eastAsia="仿宋" w:cs="仿宋"/>
          <w:kern w:val="2"/>
          <w:sz w:val="28"/>
          <w:szCs w:val="28"/>
        </w:rPr>
        <w:t>15.4.1 保修责任</w:t>
      </w:r>
    </w:p>
    <w:p w14:paraId="09BF32B6">
      <w:pPr>
        <w:snapToGrid w:val="0"/>
        <w:spacing w:line="420" w:lineRule="exact"/>
        <w:ind w:firstLine="546" w:firstLineChars="195"/>
        <w:rPr>
          <w:rFonts w:hint="eastAsia" w:ascii="仿宋" w:hAnsi="仿宋" w:eastAsia="仿宋" w:cs="仿宋"/>
          <w:kern w:val="2"/>
          <w:sz w:val="28"/>
          <w:szCs w:val="28"/>
        </w:rPr>
      </w:pPr>
      <w:r>
        <w:rPr>
          <w:rFonts w:hint="eastAsia" w:ascii="仿宋" w:hAnsi="仿宋" w:eastAsia="仿宋" w:cs="仿宋"/>
          <w:kern w:val="2"/>
          <w:sz w:val="28"/>
          <w:szCs w:val="28"/>
        </w:rPr>
        <w:t>工程保修期为：</w:t>
      </w:r>
      <w:r>
        <w:rPr>
          <w:rFonts w:hint="eastAsia" w:ascii="仿宋" w:hAnsi="仿宋" w:eastAsia="仿宋" w:cs="仿宋"/>
          <w:kern w:val="2"/>
          <w:sz w:val="28"/>
          <w:szCs w:val="28"/>
          <w:u w:val="single"/>
        </w:rPr>
        <w:t>详见工程质量保修书</w:t>
      </w:r>
      <w:r>
        <w:rPr>
          <w:rFonts w:hint="eastAsia" w:ascii="仿宋" w:hAnsi="仿宋" w:eastAsia="仿宋" w:cs="仿宋"/>
          <w:kern w:val="2"/>
          <w:sz w:val="28"/>
          <w:szCs w:val="28"/>
        </w:rPr>
        <w:t>。</w:t>
      </w:r>
    </w:p>
    <w:p w14:paraId="5CB27527">
      <w:pPr>
        <w:snapToGrid w:val="0"/>
        <w:spacing w:line="420" w:lineRule="exact"/>
        <w:ind w:firstLine="546" w:firstLineChars="195"/>
        <w:rPr>
          <w:rFonts w:hint="eastAsia" w:ascii="仿宋" w:hAnsi="仿宋" w:eastAsia="仿宋" w:cs="仿宋"/>
          <w:kern w:val="2"/>
          <w:sz w:val="28"/>
          <w:szCs w:val="28"/>
        </w:rPr>
      </w:pPr>
      <w:r>
        <w:rPr>
          <w:rFonts w:hint="eastAsia" w:ascii="仿宋" w:hAnsi="仿宋" w:eastAsia="仿宋" w:cs="仿宋"/>
          <w:kern w:val="2"/>
          <w:sz w:val="28"/>
          <w:szCs w:val="28"/>
        </w:rPr>
        <w:t>15.4.3 修复通知</w:t>
      </w:r>
    </w:p>
    <w:p w14:paraId="4A281D61">
      <w:pPr>
        <w:snapToGrid w:val="0"/>
        <w:spacing w:line="420" w:lineRule="exact"/>
        <w:ind w:firstLine="546" w:firstLineChars="195"/>
        <w:rPr>
          <w:rFonts w:hint="eastAsia" w:ascii="仿宋" w:hAnsi="仿宋" w:eastAsia="仿宋" w:cs="仿宋"/>
          <w:kern w:val="2"/>
          <w:sz w:val="28"/>
          <w:szCs w:val="28"/>
        </w:rPr>
      </w:pPr>
      <w:r>
        <w:rPr>
          <w:rFonts w:hint="eastAsia" w:ascii="仿宋" w:hAnsi="仿宋" w:eastAsia="仿宋" w:cs="仿宋"/>
          <w:kern w:val="2"/>
          <w:sz w:val="28"/>
          <w:szCs w:val="28"/>
        </w:rPr>
        <w:t>承包人收到保修通知并到达工程现场的合理时间：</w:t>
      </w:r>
      <w:r>
        <w:rPr>
          <w:rFonts w:hint="eastAsia" w:ascii="仿宋" w:hAnsi="仿宋" w:eastAsia="仿宋" w:cs="仿宋"/>
          <w:kern w:val="2"/>
          <w:sz w:val="28"/>
          <w:szCs w:val="28"/>
          <w:u w:val="single"/>
        </w:rPr>
        <w:t>承包人收到保修通知后2小时内到达工程现场。</w:t>
      </w:r>
    </w:p>
    <w:bookmarkEnd w:id="1199"/>
    <w:bookmarkEnd w:id="1200"/>
    <w:bookmarkEnd w:id="1201"/>
    <w:bookmarkEnd w:id="1202"/>
    <w:p w14:paraId="5B040A6A">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225" w:name="_Toc351203648"/>
      <w:bookmarkStart w:id="1226" w:name="_Toc280868717"/>
      <w:bookmarkStart w:id="1227" w:name="_Toc280868718"/>
      <w:r>
        <w:rPr>
          <w:rFonts w:hint="eastAsia" w:ascii="仿宋" w:hAnsi="仿宋" w:eastAsia="仿宋" w:cs="仿宋"/>
          <w:b w:val="0"/>
          <w:bCs/>
          <w:kern w:val="0"/>
          <w:sz w:val="28"/>
          <w:szCs w:val="28"/>
          <w:lang w:val="en-US" w:eastAsia="zh-CN" w:bidi="ar-SA"/>
        </w:rPr>
        <w:t>16. 违约</w:t>
      </w:r>
      <w:bookmarkEnd w:id="1225"/>
    </w:p>
    <w:p w14:paraId="5F7AB9C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16.1 发包人违约</w:t>
      </w:r>
    </w:p>
    <w:p w14:paraId="4DB35B0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16.1.1发包人违约的情形</w:t>
      </w:r>
    </w:p>
    <w:p w14:paraId="4CE7B21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发包人违约的其他情形：</w:t>
      </w:r>
      <w:r>
        <w:rPr>
          <w:rFonts w:hint="eastAsia" w:ascii="仿宋" w:hAnsi="仿宋" w:eastAsia="仿宋" w:cs="仿宋"/>
          <w:kern w:val="2"/>
          <w:sz w:val="28"/>
          <w:szCs w:val="28"/>
          <w:u w:val="single"/>
        </w:rPr>
        <w:t>/。</w:t>
      </w:r>
    </w:p>
    <w:p w14:paraId="35A1F6A9">
      <w:pPr>
        <w:snapToGrid w:val="0"/>
        <w:spacing w:line="420" w:lineRule="exact"/>
        <w:ind w:left="1050" w:hanging="1400" w:hangingChars="500"/>
        <w:rPr>
          <w:rFonts w:hint="eastAsia" w:ascii="仿宋" w:hAnsi="仿宋" w:eastAsia="仿宋" w:cs="仿宋"/>
          <w:kern w:val="2"/>
          <w:sz w:val="28"/>
          <w:szCs w:val="28"/>
        </w:rPr>
      </w:pPr>
      <w:r>
        <w:rPr>
          <w:rFonts w:hint="eastAsia" w:ascii="仿宋" w:hAnsi="仿宋" w:eastAsia="仿宋" w:cs="仿宋"/>
          <w:kern w:val="2"/>
          <w:sz w:val="28"/>
          <w:szCs w:val="28"/>
        </w:rPr>
        <w:t xml:space="preserve">    16.1.2 发包人违约的责任</w:t>
      </w:r>
    </w:p>
    <w:p w14:paraId="06090AF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发包人违约责任的承担方式和计算方法：</w:t>
      </w:r>
    </w:p>
    <w:p w14:paraId="15E8C1DA">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（1）因发包人原因未能在计划开工日期前7天内下达开工通知的违约责任：</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584E062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（2）因发包人原因未能按合同约定支付合同价款的违约责任：</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6F40340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（3）发包人违反第10.1款〔变更的范围〕第（2）项约定，自行实施被取消的工作或转由他人实施的违约责任：</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3310A73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（4）发包人提供的材料、工程设备的规格、数量或质量不符合合同约定，或因发包人原因导致交货日期延误或交货地点变更等情况的违约责任：</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2F629F7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（5）因发包人违反合同约定造成暂停施工的违约责任：</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29ECAE0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（6）发包人无正当理由没有在约定期限内发出复工指示，导致承包人无法复工的违约责任：</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520E323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（7）其他：</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3AF7435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16.1.3 因发包人违约解除合同</w:t>
      </w:r>
    </w:p>
    <w:p w14:paraId="364D0E56">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承包人按16.1.1项〔发包人违约的情形〕约定暂停施工满</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天后发包人仍不纠正其违约行为并致使合同目的不能实现的，承包人有权解除合同。</w:t>
      </w:r>
    </w:p>
    <w:p w14:paraId="4036EDFC">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16.2 承包人违约</w:t>
      </w:r>
    </w:p>
    <w:p w14:paraId="134440A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16.2.1 承包人违约的情形</w:t>
      </w:r>
    </w:p>
    <w:p w14:paraId="2A721C9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承包人违约的其他情形：</w:t>
      </w:r>
    </w:p>
    <w:p w14:paraId="10DA7E49">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 </w:t>
      </w:r>
    </w:p>
    <w:p w14:paraId="554ADB32">
      <w:pPr>
        <w:spacing w:line="420" w:lineRule="exact"/>
        <w:rPr>
          <w:rFonts w:hint="eastAsia" w:ascii="仿宋" w:hAnsi="仿宋" w:eastAsia="仿宋" w:cs="仿宋"/>
          <w:kern w:val="2"/>
          <w:sz w:val="28"/>
          <w:szCs w:val="28"/>
          <w:u w:val="single"/>
        </w:rPr>
      </w:pPr>
      <w:r>
        <w:rPr>
          <w:rFonts w:hint="eastAsia" w:ascii="仿宋" w:hAnsi="仿宋" w:eastAsia="仿宋" w:cs="仿宋"/>
          <w:kern w:val="2"/>
          <w:sz w:val="28"/>
          <w:szCs w:val="28"/>
          <w:u w:val="none"/>
        </w:rPr>
        <w:t xml:space="preserve">   </w:t>
      </w:r>
      <w:r>
        <w:rPr>
          <w:rFonts w:hint="eastAsia" w:ascii="仿宋" w:hAnsi="仿宋" w:eastAsia="仿宋" w:cs="仿宋"/>
          <w:kern w:val="2"/>
          <w:sz w:val="28"/>
          <w:szCs w:val="28"/>
          <w:u w:val="single"/>
        </w:rPr>
        <w:t>（2）承包人不得以任何理由拒绝发包人提出的关于工程设计变更施工及其他图纸以外零星项目施工的要求，否则将按30000元/次支付违约金（由监理单位确认后经甲方认可直接从工程款中扣除）。</w:t>
      </w:r>
    </w:p>
    <w:p w14:paraId="481EA09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16.2.2承包人违约的责任</w:t>
      </w:r>
    </w:p>
    <w:p w14:paraId="6980901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承包人违约责任的承担方式和计算方法：</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 xml:space="preserve">。   </w:t>
      </w:r>
    </w:p>
    <w:p w14:paraId="5FBFE31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16.2.3 因承包人违约解除合同</w:t>
      </w:r>
    </w:p>
    <w:p w14:paraId="16F17FE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关于承包人违约解除合同的特别约定：</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594B95E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发包人继续使用承包人在施工现场的材料、设备、临时工程、承包人文件和由承包人或以其名义编制的其他文件的费用承担方式：</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3A9901FE">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228" w:name="_Toc351203649"/>
      <w:r>
        <w:rPr>
          <w:rFonts w:hint="eastAsia" w:ascii="仿宋" w:hAnsi="仿宋" w:eastAsia="仿宋" w:cs="仿宋"/>
          <w:b w:val="0"/>
          <w:bCs/>
          <w:kern w:val="0"/>
          <w:sz w:val="28"/>
          <w:szCs w:val="28"/>
          <w:lang w:val="en-US" w:eastAsia="zh-CN" w:bidi="ar-SA"/>
        </w:rPr>
        <w:t>17. 不可抗力</w:t>
      </w:r>
      <w:bookmarkEnd w:id="1228"/>
      <w:r>
        <w:rPr>
          <w:rFonts w:hint="eastAsia" w:ascii="仿宋" w:hAnsi="仿宋" w:eastAsia="仿宋" w:cs="仿宋"/>
          <w:b w:val="0"/>
          <w:bCs/>
          <w:kern w:val="0"/>
          <w:sz w:val="28"/>
          <w:szCs w:val="28"/>
          <w:lang w:val="en-US" w:eastAsia="zh-CN" w:bidi="ar-SA"/>
        </w:rPr>
        <w:t xml:space="preserve"> </w:t>
      </w:r>
      <w:bookmarkEnd w:id="1226"/>
    </w:p>
    <w:p w14:paraId="2DB38C4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17.1 不可抗力的确认</w:t>
      </w:r>
    </w:p>
    <w:p w14:paraId="29F0DEC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除通用合同条款约定的不可抗力事件之外，视为不可抗力的其他情形：</w:t>
      </w:r>
      <w:r>
        <w:rPr>
          <w:rFonts w:hint="eastAsia" w:ascii="仿宋" w:hAnsi="仿宋" w:eastAsia="仿宋" w:cs="仿宋"/>
          <w:kern w:val="2"/>
          <w:sz w:val="28"/>
          <w:szCs w:val="28"/>
          <w:u w:val="single"/>
        </w:rPr>
        <w:t>因战争、动乱、空中飞行物体坠落或其他非发包方承包方责任造成的爆炸、火灾，以及自然灾害</w:t>
      </w:r>
      <w:r>
        <w:rPr>
          <w:rFonts w:hint="eastAsia" w:ascii="仿宋" w:hAnsi="仿宋" w:eastAsia="仿宋" w:cs="仿宋"/>
          <w:kern w:val="2"/>
          <w:sz w:val="28"/>
          <w:szCs w:val="28"/>
        </w:rPr>
        <w:t>。</w:t>
      </w:r>
    </w:p>
    <w:p w14:paraId="0C5A123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17.4 因不可抗力解除合同</w:t>
      </w:r>
    </w:p>
    <w:p w14:paraId="7F48D79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合同解除后，发包人应在商定或确定发包人应支付款项后</w:t>
      </w:r>
      <w:r>
        <w:rPr>
          <w:rFonts w:hint="eastAsia" w:ascii="仿宋" w:hAnsi="仿宋" w:eastAsia="仿宋" w:cs="仿宋"/>
          <w:kern w:val="2"/>
          <w:sz w:val="28"/>
          <w:szCs w:val="28"/>
          <w:u w:val="single"/>
        </w:rPr>
        <w:t xml:space="preserve"> 120 </w:t>
      </w:r>
      <w:r>
        <w:rPr>
          <w:rFonts w:hint="eastAsia" w:ascii="仿宋" w:hAnsi="仿宋" w:eastAsia="仿宋" w:cs="仿宋"/>
          <w:kern w:val="2"/>
          <w:sz w:val="28"/>
          <w:szCs w:val="28"/>
        </w:rPr>
        <w:t>天内完成款项的支付。</w:t>
      </w:r>
    </w:p>
    <w:p w14:paraId="49C738A6">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229" w:name="_Toc351203650"/>
      <w:r>
        <w:rPr>
          <w:rFonts w:hint="eastAsia" w:ascii="仿宋" w:hAnsi="仿宋" w:eastAsia="仿宋" w:cs="仿宋"/>
          <w:b w:val="0"/>
          <w:bCs/>
          <w:kern w:val="0"/>
          <w:sz w:val="28"/>
          <w:szCs w:val="28"/>
          <w:lang w:val="en-US" w:eastAsia="zh-CN" w:bidi="ar-SA"/>
        </w:rPr>
        <w:t>18. 保险</w:t>
      </w:r>
      <w:bookmarkEnd w:id="1229"/>
    </w:p>
    <w:bookmarkEnd w:id="1227"/>
    <w:p w14:paraId="41AAD51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18.1 工程保险</w:t>
      </w:r>
    </w:p>
    <w:p w14:paraId="0480D49E">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关于工程保险的特别约定：</w:t>
      </w:r>
      <w:r>
        <w:rPr>
          <w:rFonts w:hint="eastAsia" w:ascii="仿宋" w:hAnsi="仿宋" w:eastAsia="仿宋" w:cs="仿宋"/>
          <w:kern w:val="2"/>
          <w:sz w:val="28"/>
          <w:szCs w:val="28"/>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仿宋" w:hAnsi="仿宋" w:eastAsia="仿宋" w:cs="仿宋"/>
          <w:kern w:val="2"/>
          <w:sz w:val="28"/>
          <w:szCs w:val="28"/>
        </w:rPr>
        <w:t>。</w:t>
      </w:r>
    </w:p>
    <w:p w14:paraId="7E1105B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18.3 其他保险</w:t>
      </w:r>
    </w:p>
    <w:p w14:paraId="315687F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关于其他保险的约定：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040313A9">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承包人是否应为其施工设备等办理财产保险：</w:t>
      </w:r>
      <w:r>
        <w:rPr>
          <w:rFonts w:hint="eastAsia" w:ascii="仿宋" w:hAnsi="仿宋" w:eastAsia="仿宋" w:cs="仿宋"/>
          <w:kern w:val="2"/>
          <w:sz w:val="28"/>
          <w:szCs w:val="28"/>
          <w:u w:val="single"/>
        </w:rPr>
        <w:t xml:space="preserve">承包人自理 </w:t>
      </w:r>
      <w:r>
        <w:rPr>
          <w:rFonts w:hint="eastAsia" w:ascii="仿宋" w:hAnsi="仿宋" w:eastAsia="仿宋" w:cs="仿宋"/>
          <w:kern w:val="2"/>
          <w:sz w:val="28"/>
          <w:szCs w:val="28"/>
        </w:rPr>
        <w:t>。</w:t>
      </w:r>
    </w:p>
    <w:p w14:paraId="531A6B5B">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18.7 通知义务</w:t>
      </w:r>
    </w:p>
    <w:p w14:paraId="14281FD6">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关于变更保险合同时的通知义务的约定：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bookmarkEnd w:id="1203"/>
    <w:bookmarkEnd w:id="1204"/>
    <w:bookmarkEnd w:id="1205"/>
    <w:bookmarkEnd w:id="1206"/>
    <w:bookmarkEnd w:id="1207"/>
    <w:bookmarkEnd w:id="1208"/>
    <w:bookmarkEnd w:id="1209"/>
    <w:bookmarkEnd w:id="1210"/>
    <w:bookmarkEnd w:id="1211"/>
    <w:bookmarkEnd w:id="1212"/>
    <w:bookmarkEnd w:id="1213"/>
    <w:bookmarkEnd w:id="1214"/>
    <w:p w14:paraId="7381CC21">
      <w:pPr>
        <w:keepNext/>
        <w:keepLines/>
        <w:widowControl/>
        <w:snapToGrid w:val="0"/>
        <w:spacing w:before="0" w:after="0" w:line="420" w:lineRule="exact"/>
        <w:jc w:val="left"/>
        <w:outlineLvl w:val="3"/>
        <w:rPr>
          <w:rFonts w:hint="eastAsia" w:ascii="仿宋" w:hAnsi="仿宋" w:eastAsia="仿宋" w:cs="仿宋"/>
          <w:b w:val="0"/>
          <w:bCs/>
          <w:kern w:val="0"/>
          <w:sz w:val="28"/>
          <w:szCs w:val="28"/>
          <w:lang w:val="en-US" w:eastAsia="zh-CN" w:bidi="ar-SA"/>
        </w:rPr>
      </w:pPr>
      <w:bookmarkStart w:id="1230" w:name="_Toc351203651"/>
      <w:r>
        <w:rPr>
          <w:rFonts w:hint="eastAsia" w:ascii="仿宋" w:hAnsi="仿宋" w:eastAsia="仿宋" w:cs="仿宋"/>
          <w:b w:val="0"/>
          <w:bCs/>
          <w:kern w:val="0"/>
          <w:sz w:val="28"/>
          <w:szCs w:val="28"/>
          <w:lang w:val="en-US" w:eastAsia="zh-CN" w:bidi="ar-SA"/>
        </w:rPr>
        <w:t>20. 争议解决</w:t>
      </w:r>
      <w:bookmarkEnd w:id="1230"/>
    </w:p>
    <w:bookmarkEnd w:id="1215"/>
    <w:bookmarkEnd w:id="1216"/>
    <w:p w14:paraId="648FFF81">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20.3 争</w:t>
      </w:r>
      <w:bookmarkEnd w:id="1217"/>
      <w:r>
        <w:rPr>
          <w:rFonts w:hint="eastAsia" w:ascii="仿宋" w:hAnsi="仿宋" w:eastAsia="仿宋" w:cs="仿宋"/>
          <w:kern w:val="2"/>
          <w:sz w:val="28"/>
          <w:szCs w:val="28"/>
        </w:rPr>
        <w:t>议评审</w:t>
      </w:r>
    </w:p>
    <w:p w14:paraId="4FD86B9C">
      <w:pPr>
        <w:snapToGrid w:val="0"/>
        <w:spacing w:line="420" w:lineRule="exact"/>
        <w:ind w:left="149" w:leftChars="71" w:firstLine="420" w:firstLineChars="150"/>
        <w:rPr>
          <w:rFonts w:hint="eastAsia" w:ascii="仿宋" w:hAnsi="仿宋" w:eastAsia="仿宋" w:cs="仿宋"/>
          <w:kern w:val="2"/>
          <w:sz w:val="28"/>
          <w:szCs w:val="28"/>
        </w:rPr>
      </w:pPr>
      <w:r>
        <w:rPr>
          <w:rFonts w:hint="eastAsia" w:ascii="仿宋" w:hAnsi="仿宋" w:eastAsia="仿宋" w:cs="仿宋"/>
          <w:kern w:val="2"/>
          <w:sz w:val="28"/>
          <w:szCs w:val="28"/>
        </w:rPr>
        <w:t>合同当事人是否同意将工程争议提交争议评审小组决定：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 xml:space="preserve">。  </w:t>
      </w:r>
    </w:p>
    <w:p w14:paraId="407F9F6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20.3.1 争议评审小组的确定</w:t>
      </w:r>
    </w:p>
    <w:p w14:paraId="77636E8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rPr>
        <w:t>争议评审小组成员的确定：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10B5DA0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选定争议评审员的期限：</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3D0C9E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争议评审小组成员的报酬承担方式：</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08B1818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其他事项的约定：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789E81E0">
      <w:pPr>
        <w:autoSpaceDE w:val="0"/>
        <w:autoSpaceDN w:val="0"/>
        <w:adjustRightInd w:val="0"/>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20.3.2 争议评审小组的决定</w:t>
      </w:r>
    </w:p>
    <w:p w14:paraId="2D3DFB7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合同当事人关于本项的约定：</w:t>
      </w:r>
      <w:r>
        <w:rPr>
          <w:rFonts w:hint="eastAsia" w:ascii="仿宋" w:hAnsi="仿宋" w:eastAsia="仿宋" w:cs="仿宋"/>
          <w:kern w:val="2"/>
          <w:sz w:val="28"/>
          <w:szCs w:val="28"/>
          <w:u w:val="single"/>
        </w:rPr>
        <w:t xml:space="preserve">   /  </w:t>
      </w:r>
      <w:r>
        <w:rPr>
          <w:rFonts w:hint="eastAsia" w:ascii="仿宋" w:hAnsi="仿宋" w:eastAsia="仿宋" w:cs="仿宋"/>
          <w:kern w:val="2"/>
          <w:sz w:val="28"/>
          <w:szCs w:val="28"/>
        </w:rPr>
        <w:t>。</w:t>
      </w:r>
    </w:p>
    <w:p w14:paraId="237F5F2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20.4仲裁或诉讼</w:t>
      </w:r>
      <w:bookmarkEnd w:id="1218"/>
    </w:p>
    <w:p w14:paraId="5A1C7BBD">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因合同及合同有关事项发生的争议，按下列第</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种方式解决：</w:t>
      </w:r>
    </w:p>
    <w:p w14:paraId="4647BF5A">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（1）向</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仲裁委员会申请仲裁；</w:t>
      </w:r>
    </w:p>
    <w:p w14:paraId="1AB6ED3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（2）向 </w:t>
      </w:r>
      <w:r>
        <w:rPr>
          <w:rFonts w:hint="eastAsia" w:ascii="仿宋" w:hAnsi="仿宋" w:eastAsia="仿宋" w:cs="仿宋"/>
          <w:kern w:val="2"/>
          <w:sz w:val="28"/>
          <w:szCs w:val="28"/>
          <w:u w:val="single"/>
        </w:rPr>
        <w:t>金坛区</w:t>
      </w:r>
      <w:r>
        <w:rPr>
          <w:rFonts w:hint="eastAsia" w:ascii="仿宋" w:hAnsi="仿宋" w:eastAsia="仿宋" w:cs="仿宋"/>
          <w:kern w:val="2"/>
          <w:sz w:val="28"/>
          <w:szCs w:val="28"/>
        </w:rPr>
        <w:t>人民法院起诉。</w:t>
      </w:r>
      <w:bookmarkEnd w:id="1219"/>
      <w:bookmarkEnd w:id="1220"/>
      <w:bookmarkEnd w:id="1221"/>
      <w:bookmarkEnd w:id="1222"/>
      <w:bookmarkEnd w:id="1223"/>
      <w:bookmarkEnd w:id="1224"/>
    </w:p>
    <w:p w14:paraId="24702A86">
      <w:pPr>
        <w:snapToGrid w:val="0"/>
        <w:spacing w:line="420" w:lineRule="exact"/>
        <w:rPr>
          <w:rFonts w:hint="eastAsia" w:ascii="仿宋" w:hAnsi="仿宋" w:eastAsia="仿宋" w:cs="仿宋"/>
          <w:b/>
          <w:bCs/>
          <w:kern w:val="2"/>
          <w:sz w:val="28"/>
          <w:szCs w:val="28"/>
        </w:rPr>
      </w:pPr>
      <w:r>
        <w:rPr>
          <w:rFonts w:hint="eastAsia" w:ascii="仿宋" w:hAnsi="仿宋" w:eastAsia="仿宋" w:cs="仿宋"/>
          <w:b/>
          <w:bCs/>
          <w:kern w:val="2"/>
          <w:sz w:val="28"/>
          <w:szCs w:val="28"/>
        </w:rPr>
        <w:t>21. 补充条款</w:t>
      </w:r>
    </w:p>
    <w:p w14:paraId="158318CE">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1、项目现场实际人员与投标文件中的施工项目部组成人员不符合的，发包方有权考虑并提出终止全部或部分合同。 </w:t>
      </w:r>
    </w:p>
    <w:p w14:paraId="60E7328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2、发生临时停水、停电、二次搬运、成品保护等所需措施的一切费用和工期，发包人不另行增加费用；</w:t>
      </w:r>
    </w:p>
    <w:p w14:paraId="51CD850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3、承包人应充分了解其他专业工程施工过程中可能存在的对本工程的不利影响，并采取切实保护措施，防止本工程遭到破坏。同时，承包人应充分了解本工程施工对其它专业工程、周围地下管线和临近建筑物、构筑物可能存在的不利影响，并采取有效保护措施，防止本工程施工破坏其它工程或周边环境和设施，若发生发包人不另行增加费用。</w:t>
      </w:r>
    </w:p>
    <w:p w14:paraId="02ECE450">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4、承包人现场塔吊、物料提升机、施工电梯必须合理布置，数量应当满足施工进度要求；并应服从发包人和监理为工程总体施工组织所提出的协调意见。 </w:t>
      </w:r>
    </w:p>
    <w:p w14:paraId="6AE0708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5、承包人必须确保材料、劳动力、施工机械等资源投入，满足各施工阶段施工需求，确保施工进度计划的工期节点。 </w:t>
      </w:r>
    </w:p>
    <w:p w14:paraId="77B5769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6、竣工时承包人负责进行全面清理，包括清洁所有已完成的各专业工程及设备（各专业工程承包商须在专业工程竣工交付前自行完成自身工程范围清洁工作）。</w:t>
      </w:r>
    </w:p>
    <w:p w14:paraId="40343FD6">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承包人应在工程竣工前及时将临时设施（含临时围墙、临时道路、塔吊基础、施工电梯基础等）及施工设备拆除，做到工完场清（含建筑垃圾清运），清理标准应获得发包人及监理认可。如承包人拒绝完成或不能按合同要求完成，发包人可安排第三方完成，按实际发生费用从承包人工程款中直接扣出，影响工期的责任由承包人承担。 </w:t>
      </w:r>
    </w:p>
    <w:p w14:paraId="17613862">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若因施工进度及现场协调要求需拆除临时设施或施工设备，承包人应当按照发包人和监理的指令按时完成，费用已包含在本合同中。 </w:t>
      </w:r>
    </w:p>
    <w:p w14:paraId="3E6D8F15">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承包人负责现场的垃圾清运工作，未及时清理，承包人需承担10元/㎡的违约金。</w:t>
      </w:r>
    </w:p>
    <w:p w14:paraId="18F7A57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7、承包人应对施工过程中产生的任何侵权行为（含噪音、环境污染等对第三人产生的侵权）承担责任并赔偿损失。 </w:t>
      </w:r>
    </w:p>
    <w:p w14:paraId="733D13CF">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8、施工过程中如因质量、安全文明或环境保护以及其它问题而遭受规划、环保、建设、城管或其它行政管理部门批评或开具处罚通知单，每发生一次，承包人除立即整改外，还应承担0.5万元/次的违约金。由于承包人原因在质量、安全、工资支付等方面受到媒体曝光或被政府有关主管部门通报批评，给本工程或发包人带来负面影响的，每次由承包人承担1万元违约金。承包人施工过程中对监理提出的质量、安全文明或环境保护的整改要求，承包人48 小时内未进行整改或整改后仍然无法满足要求时，每发生一次，承包人承担0.5万元的违约金。如承包人拒不执行建设行政主管部门、发包人和监理指令的，承包人将按1万元/次承担违约金，并追究相关责任。因承包人原因导致本工程出现质量、安全责任事故的，承包人承担1万元/次违约金，并赔偿由此给发包人造成的损失。 </w:t>
      </w:r>
    </w:p>
    <w:p w14:paraId="3B11A7EA">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9、所有特殊工种人员、各种领班以上人员均应符合有关资质要求，并应持证上岗。在特殊工种施工中，若发现不佩带上岗证的人员施工，按100元/人次承担违约金，累计10 次则停工整顿。</w:t>
      </w:r>
    </w:p>
    <w:p w14:paraId="416C471A">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10、若因发包人上级主管部门政策性变化等特殊原因，造成本工程暂停时，发包人只对已发生的合格工程量负责，根据已发生的合格工程量与承包人办理结算，其它违约责任双方自行协商解决。 </w:t>
      </w:r>
    </w:p>
    <w:p w14:paraId="2294E23A">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11、按发包人和监理的要求，关键工序及重点必须样板先行（基础防水、墙体砌筑、卫生间和阳台防水、屋面防水、室内抹灰、室内地面、室内涂料、室外抹灰、室外保温、室外涂料、钢制门、门窗、室内外栏杆、室内外地面铺装、正式围墙等等）。 </w:t>
      </w:r>
    </w:p>
    <w:p w14:paraId="66AC5B9C">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12、作为有经验的承包人，承包人有责任积极对本工程各系统完整性和为达到设计、功能、使用要求而进行细化、深化，且符合国家和地方标准，并将深化图纸经设计、审图机构（如有）等审核后用于施工生产。 </w:t>
      </w:r>
    </w:p>
    <w:p w14:paraId="527D0067">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 xml:space="preserve">13、在合同履行期间承包人应遵守廉政制度。如承包人的工作人员丧失职业道德、利用职权徇私舞弊，牟取私利，收受、索取贿赂、行贿的，经纪检监察等职能部门查实，承包人应支付50万元的违约金；如承包人向本工程相关方行贿的，经纪检监察等职能部门查实，承包人应支付行贿额10倍的违约金。 </w:t>
      </w:r>
    </w:p>
    <w:p w14:paraId="72E1905B">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14、、竣工结算文件备案执行“常建【2017】235号“及”常建规【2017】4号”</w:t>
      </w:r>
    </w:p>
    <w:p w14:paraId="64A2A485">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15、所有违约金发包人有权从应付工程款中扣除。</w:t>
      </w:r>
    </w:p>
    <w:p w14:paraId="1D62D334">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16、农民工工资管理，具体按</w:t>
      </w:r>
      <w:r>
        <w:rPr>
          <w:rFonts w:hint="eastAsia" w:ascii="仿宋" w:hAnsi="仿宋" w:eastAsia="仿宋" w:cs="仿宋"/>
          <w:kern w:val="2"/>
          <w:sz w:val="28"/>
          <w:szCs w:val="28"/>
          <w:u w:val="single"/>
          <w:lang w:eastAsia="zh-CN"/>
        </w:rPr>
        <w:t>相关文件</w:t>
      </w:r>
      <w:r>
        <w:rPr>
          <w:rFonts w:hint="eastAsia" w:ascii="仿宋" w:hAnsi="仿宋" w:eastAsia="仿宋" w:cs="仿宋"/>
          <w:kern w:val="2"/>
          <w:sz w:val="28"/>
          <w:szCs w:val="28"/>
          <w:u w:val="single"/>
        </w:rPr>
        <w:t>执行。</w:t>
      </w:r>
    </w:p>
    <w:p w14:paraId="70F116D5">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17、年度合同内的所有工程均不得转包。</w:t>
      </w:r>
    </w:p>
    <w:p w14:paraId="13FD70F8">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1</w:t>
      </w:r>
      <w:r>
        <w:rPr>
          <w:rFonts w:hint="eastAsia" w:ascii="仿宋" w:hAnsi="仿宋" w:eastAsia="仿宋" w:cs="仿宋"/>
          <w:kern w:val="2"/>
          <w:sz w:val="28"/>
          <w:szCs w:val="28"/>
          <w:u w:val="single"/>
          <w:lang w:val="en-US" w:eastAsia="zh-CN"/>
        </w:rPr>
        <w:t>8</w:t>
      </w:r>
      <w:r>
        <w:rPr>
          <w:rFonts w:hint="eastAsia" w:ascii="仿宋" w:hAnsi="仿宋" w:eastAsia="仿宋" w:cs="仿宋"/>
          <w:kern w:val="2"/>
          <w:sz w:val="28"/>
          <w:szCs w:val="28"/>
          <w:u w:val="single"/>
        </w:rPr>
        <w:t>、本工程结算价款以发包人委托的第三方造价咨询机构出具的审定金额为准。</w:t>
      </w:r>
    </w:p>
    <w:p w14:paraId="20390E54">
      <w:pPr>
        <w:snapToGrid w:val="0"/>
        <w:spacing w:line="420" w:lineRule="exact"/>
        <w:ind w:firstLine="560" w:firstLineChars="200"/>
        <w:rPr>
          <w:rFonts w:hint="eastAsia" w:ascii="仿宋" w:hAnsi="仿宋" w:eastAsia="仿宋" w:cs="仿宋"/>
          <w:bCs/>
          <w:kern w:val="2"/>
          <w:sz w:val="28"/>
          <w:szCs w:val="28"/>
          <w:u w:val="single"/>
        </w:rPr>
      </w:pPr>
      <w:r>
        <w:rPr>
          <w:rFonts w:hint="eastAsia" w:ascii="仿宋" w:hAnsi="仿宋" w:eastAsia="仿宋" w:cs="仿宋"/>
          <w:kern w:val="2"/>
          <w:sz w:val="28"/>
          <w:szCs w:val="28"/>
          <w:u w:val="single"/>
          <w:lang w:val="en-US" w:eastAsia="zh-CN"/>
        </w:rPr>
        <w:t>19</w:t>
      </w:r>
      <w:r>
        <w:rPr>
          <w:rFonts w:hint="eastAsia" w:ascii="仿宋" w:hAnsi="仿宋" w:eastAsia="仿宋" w:cs="仿宋"/>
          <w:kern w:val="2"/>
          <w:sz w:val="28"/>
          <w:szCs w:val="28"/>
          <w:u w:val="single"/>
        </w:rPr>
        <w:t>、关于结算审核费：</w:t>
      </w:r>
      <w:r>
        <w:rPr>
          <w:rFonts w:hint="eastAsia" w:ascii="仿宋" w:hAnsi="仿宋" w:eastAsia="仿宋" w:cs="仿宋"/>
          <w:bCs/>
          <w:kern w:val="2"/>
          <w:sz w:val="28"/>
          <w:szCs w:val="28"/>
          <w:u w:val="single"/>
        </w:rPr>
        <w:t>本工程结算审核的核减费费率在8%内（含8%）该工程审计费由发包人承担。如12%≥核减费费率＞8%时，该工程审计费由双方各承担一半；核减费费率＞12%时，该工程审计费由承包人承担。以上分段费用不累进。</w:t>
      </w:r>
    </w:p>
    <w:p w14:paraId="3F409B98">
      <w:pPr>
        <w:snapToGrid w:val="0"/>
        <w:spacing w:line="420" w:lineRule="exact"/>
        <w:ind w:firstLine="560" w:firstLineChars="200"/>
        <w:rPr>
          <w:rFonts w:hint="eastAsia" w:ascii="仿宋" w:hAnsi="仿宋" w:eastAsia="仿宋" w:cs="仿宋"/>
          <w:kern w:val="2"/>
          <w:sz w:val="28"/>
          <w:szCs w:val="28"/>
          <w:u w:val="single"/>
        </w:rPr>
      </w:pPr>
      <w:r>
        <w:rPr>
          <w:rFonts w:hint="eastAsia" w:ascii="仿宋" w:hAnsi="仿宋" w:eastAsia="仿宋" w:cs="仿宋"/>
          <w:kern w:val="2"/>
          <w:sz w:val="28"/>
          <w:szCs w:val="28"/>
          <w:u w:val="single"/>
        </w:rPr>
        <w:t>2</w:t>
      </w:r>
      <w:r>
        <w:rPr>
          <w:rFonts w:hint="eastAsia" w:ascii="仿宋" w:hAnsi="仿宋" w:eastAsia="仿宋" w:cs="仿宋"/>
          <w:kern w:val="2"/>
          <w:sz w:val="28"/>
          <w:szCs w:val="28"/>
          <w:u w:val="single"/>
          <w:lang w:val="en-US" w:eastAsia="zh-CN"/>
        </w:rPr>
        <w:t>0</w:t>
      </w:r>
      <w:r>
        <w:rPr>
          <w:rFonts w:hint="eastAsia" w:ascii="仿宋" w:hAnsi="仿宋" w:eastAsia="仿宋" w:cs="仿宋"/>
          <w:kern w:val="2"/>
          <w:sz w:val="28"/>
          <w:szCs w:val="28"/>
          <w:u w:val="single"/>
        </w:rPr>
        <w:t>、未尽事项，双方协商决定。</w:t>
      </w:r>
    </w:p>
    <w:p w14:paraId="16BF7438">
      <w:pPr>
        <w:snapToGrid w:val="0"/>
        <w:spacing w:line="420" w:lineRule="exact"/>
        <w:rPr>
          <w:rFonts w:hint="eastAsia" w:ascii="仿宋" w:hAnsi="仿宋" w:eastAsia="仿宋" w:cs="仿宋"/>
          <w:kern w:val="2"/>
          <w:sz w:val="28"/>
          <w:szCs w:val="28"/>
          <w:u w:val="single"/>
        </w:rPr>
      </w:pPr>
    </w:p>
    <w:p w14:paraId="6284E8B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发包人(公章)：                     承包人(公章)：                 </w:t>
      </w:r>
    </w:p>
    <w:p w14:paraId="233979C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地  址：                           地  址：                       </w:t>
      </w:r>
    </w:p>
    <w:p w14:paraId="58AC1D10">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法定代表人(签字)：                 法定代表人(签字)：             </w:t>
      </w:r>
    </w:p>
    <w:p w14:paraId="3D6093E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或委托代理人(签字)：               或委托代理人(签字)：             </w:t>
      </w:r>
    </w:p>
    <w:p w14:paraId="3BDB6138">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电  话：                           电  话：                       </w:t>
      </w:r>
    </w:p>
    <w:p w14:paraId="7A426A14">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传  真：                           传  真：                       </w:t>
      </w:r>
    </w:p>
    <w:p w14:paraId="4AFE2277">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开户银行：                         开户银行：                     </w:t>
      </w:r>
    </w:p>
    <w:p w14:paraId="79897C25">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账  号：                           账  号：                      </w:t>
      </w:r>
    </w:p>
    <w:p w14:paraId="14EA4E42">
      <w:pPr>
        <w:snapToGrid w:val="0"/>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邮政编码：                         邮政编码：                    </w:t>
      </w:r>
    </w:p>
    <w:p w14:paraId="381BBA71">
      <w:pPr>
        <w:snapToGrid w:val="0"/>
        <w:spacing w:line="420" w:lineRule="exact"/>
        <w:rPr>
          <w:rFonts w:hint="eastAsia" w:ascii="仿宋" w:hAnsi="仿宋" w:eastAsia="仿宋" w:cs="仿宋"/>
          <w:kern w:val="2"/>
          <w:sz w:val="28"/>
          <w:szCs w:val="28"/>
        </w:rPr>
      </w:pPr>
      <w:r>
        <w:rPr>
          <w:rFonts w:hint="eastAsia" w:ascii="仿宋" w:hAnsi="仿宋" w:eastAsia="仿宋" w:cs="仿宋"/>
          <w:kern w:val="2"/>
          <w:sz w:val="28"/>
          <w:szCs w:val="28"/>
          <w:u w:val="single"/>
        </w:rPr>
        <w:br w:type="page"/>
      </w:r>
      <w:r>
        <w:rPr>
          <w:rFonts w:hint="eastAsia" w:ascii="仿宋" w:hAnsi="仿宋" w:eastAsia="仿宋" w:cs="仿宋"/>
          <w:kern w:val="2"/>
          <w:sz w:val="28"/>
          <w:szCs w:val="28"/>
        </w:rPr>
        <w:t>附</w:t>
      </w:r>
      <w:bookmarkStart w:id="1231" w:name="_Toc267261693"/>
      <w:bookmarkStart w:id="1232" w:name="_Toc296891054"/>
      <w:bookmarkStart w:id="1233" w:name="_Toc296891266"/>
      <w:bookmarkStart w:id="1234" w:name="_Toc296944565"/>
      <w:bookmarkStart w:id="1235" w:name="_Toc296347225"/>
      <w:bookmarkStart w:id="1236" w:name="_Toc296346727"/>
      <w:bookmarkStart w:id="1237" w:name="_Toc296503226"/>
      <w:r>
        <w:rPr>
          <w:rFonts w:hint="eastAsia" w:ascii="仿宋" w:hAnsi="仿宋" w:eastAsia="仿宋" w:cs="仿宋"/>
          <w:kern w:val="2"/>
          <w:sz w:val="28"/>
          <w:szCs w:val="28"/>
        </w:rPr>
        <w:t>件1：</w:t>
      </w:r>
      <w:bookmarkEnd w:id="1231"/>
      <w:bookmarkEnd w:id="1232"/>
      <w:bookmarkEnd w:id="1233"/>
      <w:bookmarkEnd w:id="1234"/>
      <w:bookmarkEnd w:id="1235"/>
      <w:bookmarkEnd w:id="1236"/>
      <w:bookmarkEnd w:id="1237"/>
      <w:r>
        <w:rPr>
          <w:rFonts w:hint="eastAsia" w:ascii="仿宋" w:hAnsi="仿宋" w:eastAsia="仿宋" w:cs="仿宋"/>
          <w:kern w:val="2"/>
          <w:sz w:val="28"/>
          <w:szCs w:val="28"/>
        </w:rPr>
        <w:t xml:space="preserve">    </w:t>
      </w:r>
    </w:p>
    <w:p w14:paraId="01CF5D0D">
      <w:pPr>
        <w:spacing w:line="420" w:lineRule="exact"/>
        <w:jc w:val="center"/>
        <w:rPr>
          <w:rFonts w:hint="eastAsia" w:ascii="仿宋" w:hAnsi="仿宋" w:eastAsia="仿宋" w:cs="仿宋"/>
          <w:kern w:val="2"/>
          <w:sz w:val="28"/>
          <w:szCs w:val="28"/>
        </w:rPr>
      </w:pPr>
      <w:r>
        <w:rPr>
          <w:rFonts w:hint="eastAsia" w:ascii="仿宋" w:hAnsi="仿宋" w:eastAsia="仿宋" w:cs="仿宋"/>
          <w:kern w:val="2"/>
          <w:sz w:val="28"/>
          <w:szCs w:val="28"/>
        </w:rPr>
        <w:t>工程质量保修书</w:t>
      </w:r>
    </w:p>
    <w:p w14:paraId="58088216">
      <w:pPr>
        <w:spacing w:line="420" w:lineRule="exact"/>
        <w:ind w:firstLine="562" w:firstLineChars="200"/>
        <w:rPr>
          <w:rFonts w:hint="eastAsia" w:ascii="仿宋" w:hAnsi="仿宋" w:eastAsia="仿宋" w:cs="仿宋"/>
          <w:b/>
          <w:bCs/>
          <w:kern w:val="2"/>
          <w:sz w:val="28"/>
          <w:szCs w:val="28"/>
        </w:rPr>
      </w:pPr>
      <w:r>
        <w:rPr>
          <w:rFonts w:hint="eastAsia" w:ascii="仿宋" w:hAnsi="仿宋" w:eastAsia="仿宋" w:cs="仿宋"/>
          <w:b/>
          <w:bCs/>
          <w:kern w:val="2"/>
          <w:sz w:val="28"/>
          <w:szCs w:val="28"/>
        </w:rPr>
        <w:t>发包人（全称）：</w:t>
      </w:r>
      <w:r>
        <w:rPr>
          <w:rFonts w:hint="eastAsia" w:ascii="仿宋" w:hAnsi="仿宋" w:eastAsia="仿宋" w:cs="仿宋"/>
          <w:b/>
          <w:bCs/>
          <w:kern w:val="2"/>
          <w:sz w:val="28"/>
          <w:szCs w:val="28"/>
          <w:u w:val="single"/>
          <w:lang w:eastAsia="zh-CN"/>
        </w:rPr>
        <w:t>常州市金坛区朱林镇人民政府</w:t>
      </w:r>
      <w:r>
        <w:rPr>
          <w:rFonts w:hint="eastAsia" w:ascii="仿宋" w:hAnsi="仿宋" w:eastAsia="仿宋" w:cs="仿宋"/>
          <w:b/>
          <w:bCs/>
          <w:kern w:val="2"/>
          <w:sz w:val="28"/>
          <w:szCs w:val="28"/>
          <w:u w:val="single"/>
        </w:rPr>
        <w:t xml:space="preserve">   </w:t>
      </w:r>
    </w:p>
    <w:p w14:paraId="2130999D">
      <w:pPr>
        <w:spacing w:line="420" w:lineRule="exact"/>
        <w:rPr>
          <w:rFonts w:hint="eastAsia" w:ascii="仿宋" w:hAnsi="仿宋" w:eastAsia="仿宋" w:cs="仿宋"/>
          <w:kern w:val="2"/>
          <w:sz w:val="28"/>
          <w:szCs w:val="28"/>
        </w:rPr>
      </w:pPr>
      <w:r>
        <w:rPr>
          <w:rFonts w:hint="eastAsia" w:ascii="仿宋" w:hAnsi="仿宋" w:eastAsia="仿宋" w:cs="仿宋"/>
          <w:b/>
          <w:bCs/>
          <w:kern w:val="2"/>
          <w:sz w:val="28"/>
          <w:szCs w:val="28"/>
        </w:rPr>
        <w:t>　　承包人（全称）：</w:t>
      </w:r>
      <w:r>
        <w:rPr>
          <w:rFonts w:hint="eastAsia" w:ascii="仿宋" w:hAnsi="仿宋" w:eastAsia="仿宋" w:cs="仿宋"/>
          <w:kern w:val="2"/>
          <w:sz w:val="28"/>
          <w:szCs w:val="28"/>
          <w:u w:val="single"/>
        </w:rPr>
        <w:t xml:space="preserve"> </w:t>
      </w:r>
      <w:r>
        <w:rPr>
          <w:rFonts w:hint="eastAsia" w:ascii="仿宋" w:hAnsi="仿宋" w:eastAsia="仿宋" w:cs="仿宋"/>
          <w:b/>
          <w:bCs/>
          <w:kern w:val="2"/>
          <w:sz w:val="28"/>
          <w:szCs w:val="28"/>
          <w:u w:val="single"/>
        </w:rPr>
        <w:t xml:space="preserve"> </w:t>
      </w:r>
      <w:r>
        <w:rPr>
          <w:rFonts w:hint="eastAsia" w:ascii="仿宋" w:hAnsi="仿宋" w:eastAsia="仿宋" w:cs="仿宋"/>
          <w:b/>
          <w:bCs/>
          <w:kern w:val="2"/>
          <w:sz w:val="28"/>
          <w:szCs w:val="28"/>
          <w:u w:val="single"/>
          <w:lang w:val="en-US" w:eastAsia="zh-CN"/>
        </w:rPr>
        <w:t xml:space="preserve">                          </w:t>
      </w:r>
      <w:r>
        <w:rPr>
          <w:rFonts w:hint="eastAsia" w:ascii="仿宋" w:hAnsi="仿宋" w:eastAsia="仿宋" w:cs="仿宋"/>
          <w:b/>
          <w:bCs/>
          <w:kern w:val="2"/>
          <w:sz w:val="28"/>
          <w:szCs w:val="28"/>
          <w:u w:val="single"/>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 xml:space="preserve"> </w:t>
      </w:r>
    </w:p>
    <w:p w14:paraId="531C30D1">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发包人和承包人根据《中华人民共和国建筑法》和《建设工程质量管理条例》，经协商一致就</w:t>
      </w:r>
      <w:r>
        <w:rPr>
          <w:rFonts w:hint="eastAsia" w:ascii="仿宋" w:hAnsi="仿宋" w:eastAsia="仿宋" w:cs="仿宋"/>
          <w:kern w:val="2"/>
          <w:sz w:val="28"/>
          <w:szCs w:val="28"/>
          <w:u w:val="single"/>
          <w:lang w:val="en-US" w:eastAsia="zh-CN"/>
        </w:rPr>
        <w:t xml:space="preserve">                   </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（工程全称）签订工程质量保修书。</w:t>
      </w:r>
    </w:p>
    <w:p w14:paraId="169BDE56">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一、工程质量保修范围和内容</w:t>
      </w:r>
    </w:p>
    <w:p w14:paraId="143CFBE1">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承包人在质量保修期内，按照有关法律规定和合同约定，承担工程质量保修责任。</w:t>
      </w:r>
    </w:p>
    <w:p w14:paraId="7578D85A">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rPr>
          <w:rFonts w:hint="eastAsia" w:ascii="仿宋" w:hAnsi="仿宋" w:eastAsia="仿宋" w:cs="仿宋"/>
          <w:kern w:val="2"/>
          <w:sz w:val="28"/>
          <w:szCs w:val="28"/>
          <w:u w:val="single"/>
        </w:rPr>
        <w:t xml:space="preserve">                                                                               </w:t>
      </w:r>
    </w:p>
    <w:p w14:paraId="37D9DDBD">
      <w:pPr>
        <w:spacing w:line="420" w:lineRule="exact"/>
        <w:rPr>
          <w:rFonts w:hint="eastAsia" w:ascii="仿宋" w:hAnsi="仿宋" w:eastAsia="仿宋" w:cs="仿宋"/>
          <w:kern w:val="2"/>
          <w:sz w:val="28"/>
          <w:szCs w:val="28"/>
        </w:rPr>
      </w:pPr>
      <w:r>
        <w:rPr>
          <w:rFonts w:hint="eastAsia" w:ascii="仿宋" w:hAnsi="仿宋" w:eastAsia="仿宋" w:cs="仿宋"/>
          <w:b/>
          <w:kern w:val="2"/>
          <w:sz w:val="28"/>
          <w:szCs w:val="28"/>
        </w:rPr>
        <w:t>　　</w:t>
      </w:r>
      <w:r>
        <w:rPr>
          <w:rFonts w:hint="eastAsia" w:ascii="仿宋" w:hAnsi="仿宋" w:eastAsia="仿宋" w:cs="仿宋"/>
          <w:kern w:val="2"/>
          <w:sz w:val="28"/>
          <w:szCs w:val="28"/>
        </w:rPr>
        <w:t>二、质量保修期</w:t>
      </w:r>
    </w:p>
    <w:p w14:paraId="76D5020C">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根据《建设工程质量管理条例》及有关规定，工程的质量保修期如下：</w:t>
      </w:r>
    </w:p>
    <w:p w14:paraId="5D17CEFC">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1．地基基础工程和主体结构工程为设计文件规定的工程合理使用年限；</w:t>
      </w:r>
    </w:p>
    <w:p w14:paraId="0E237FEC">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2．屋面防水工程、有防水要求的卫生间、房间和外墙面的防渗为</w:t>
      </w:r>
      <w:r>
        <w:rPr>
          <w:rFonts w:hint="eastAsia" w:ascii="仿宋" w:hAnsi="仿宋" w:eastAsia="仿宋" w:cs="仿宋"/>
          <w:kern w:val="2"/>
          <w:sz w:val="28"/>
          <w:szCs w:val="28"/>
          <w:u w:val="single"/>
        </w:rPr>
        <w:t xml:space="preserve">  5  </w:t>
      </w:r>
      <w:r>
        <w:rPr>
          <w:rFonts w:hint="eastAsia" w:ascii="仿宋" w:hAnsi="仿宋" w:eastAsia="仿宋" w:cs="仿宋"/>
          <w:kern w:val="2"/>
          <w:sz w:val="28"/>
          <w:szCs w:val="28"/>
        </w:rPr>
        <w:t>年；</w:t>
      </w:r>
    </w:p>
    <w:p w14:paraId="0A1F600F">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3．装修工程为</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年；</w:t>
      </w:r>
    </w:p>
    <w:p w14:paraId="5CE9534E">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4．电气管线、给排水管道、设备安装工程为</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年；</w:t>
      </w:r>
    </w:p>
    <w:p w14:paraId="1AAC2F76">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5．供热与供冷系统为</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个采暖期、供冷期；</w:t>
      </w:r>
    </w:p>
    <w:p w14:paraId="741BAFC9">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6．住宅小区内的给排水设施、道路等配套工程为</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年；</w:t>
      </w:r>
    </w:p>
    <w:p w14:paraId="61F90783">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7．本工程质量保修期约定为</w:t>
      </w:r>
      <w:r>
        <w:rPr>
          <w:rFonts w:hint="eastAsia" w:ascii="仿宋" w:hAnsi="仿宋" w:eastAsia="仿宋" w:cs="仿宋"/>
          <w:kern w:val="2"/>
          <w:sz w:val="28"/>
          <w:szCs w:val="28"/>
          <w:u w:val="single"/>
        </w:rPr>
        <w:t xml:space="preserve">  2  </w:t>
      </w:r>
      <w:r>
        <w:rPr>
          <w:rFonts w:hint="eastAsia" w:ascii="仿宋" w:hAnsi="仿宋" w:eastAsia="仿宋" w:cs="仿宋"/>
          <w:kern w:val="2"/>
          <w:sz w:val="28"/>
          <w:szCs w:val="28"/>
        </w:rPr>
        <w:t>年</w:t>
      </w:r>
    </w:p>
    <w:p w14:paraId="619F0D14">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 xml:space="preserve">8．其他项目保修期限约定如下：                                                                                </w:t>
      </w:r>
    </w:p>
    <w:p w14:paraId="6AD5EE56">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质量保修期自工程竣工验收合格之日起计算。</w:t>
      </w:r>
    </w:p>
    <w:p w14:paraId="2DF97E4A">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三、缺陷责任期</w:t>
      </w:r>
    </w:p>
    <w:p w14:paraId="59908817">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工程缺陷责任期为</w:t>
      </w:r>
      <w:r>
        <w:rPr>
          <w:rFonts w:hint="eastAsia" w:ascii="仿宋" w:hAnsi="仿宋" w:eastAsia="仿宋" w:cs="仿宋"/>
          <w:kern w:val="2"/>
          <w:sz w:val="28"/>
          <w:szCs w:val="28"/>
          <w:u w:val="single"/>
        </w:rPr>
        <w:t xml:space="preserve">  24 </w:t>
      </w:r>
      <w:r>
        <w:rPr>
          <w:rFonts w:hint="eastAsia" w:ascii="仿宋" w:hAnsi="仿宋" w:eastAsia="仿宋" w:cs="仿宋"/>
          <w:kern w:val="2"/>
          <w:sz w:val="28"/>
          <w:szCs w:val="28"/>
        </w:rPr>
        <w:t>个月，缺陷责任期自工程实际竣工之日起计算。单位工程先于全部工程进行验收，单位工程缺陷责任期自单位工程验收合格之日起算。</w:t>
      </w:r>
    </w:p>
    <w:p w14:paraId="48A8A74A">
      <w:pPr>
        <w:spacing w:line="420" w:lineRule="exact"/>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rPr>
        <w:t>缺陷责任期终止后，发包人应退还剩余的质量保证金。</w:t>
      </w:r>
    </w:p>
    <w:p w14:paraId="141061F7">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    四、质量保修责任</w:t>
      </w:r>
    </w:p>
    <w:p w14:paraId="09ED6BF2">
      <w:pPr>
        <w:spacing w:line="420" w:lineRule="exact"/>
        <w:ind w:left="105" w:leftChars="50" w:firstLine="574" w:firstLineChars="205"/>
        <w:rPr>
          <w:rFonts w:hint="eastAsia" w:ascii="仿宋" w:hAnsi="仿宋" w:eastAsia="仿宋" w:cs="仿宋"/>
          <w:kern w:val="2"/>
          <w:sz w:val="28"/>
          <w:szCs w:val="28"/>
        </w:rPr>
      </w:pPr>
      <w:r>
        <w:rPr>
          <w:rFonts w:hint="eastAsia" w:ascii="仿宋" w:hAnsi="仿宋" w:eastAsia="仿宋" w:cs="仿宋"/>
          <w:kern w:val="2"/>
          <w:sz w:val="28"/>
          <w:szCs w:val="28"/>
        </w:rPr>
        <w:t>1．属于保修范围、内容的项目，承包人应当在接到保修通知之日起7天内派人保修。承包人不在约定期限内派人保修的，发包人可以委托他人修理。</w:t>
      </w:r>
    </w:p>
    <w:p w14:paraId="44F3068F">
      <w:pPr>
        <w:spacing w:line="420" w:lineRule="exact"/>
        <w:ind w:left="105" w:leftChars="50" w:firstLine="574" w:firstLineChars="205"/>
        <w:rPr>
          <w:rFonts w:hint="eastAsia" w:ascii="仿宋" w:hAnsi="仿宋" w:eastAsia="仿宋" w:cs="仿宋"/>
          <w:kern w:val="2"/>
          <w:sz w:val="28"/>
          <w:szCs w:val="28"/>
        </w:rPr>
      </w:pPr>
      <w:r>
        <w:rPr>
          <w:rFonts w:hint="eastAsia" w:ascii="仿宋" w:hAnsi="仿宋" w:eastAsia="仿宋" w:cs="仿宋"/>
          <w:kern w:val="2"/>
          <w:sz w:val="28"/>
          <w:szCs w:val="28"/>
        </w:rPr>
        <w:t>2．发生紧急事故需抢修的，承包人在接到事故通知后，应当立即到达事故现场抢修。</w:t>
      </w:r>
    </w:p>
    <w:p w14:paraId="7200BBBE">
      <w:pPr>
        <w:spacing w:line="420" w:lineRule="exact"/>
        <w:ind w:left="105" w:leftChars="50" w:firstLine="574" w:firstLineChars="205"/>
        <w:rPr>
          <w:rFonts w:hint="eastAsia" w:ascii="仿宋" w:hAnsi="仿宋" w:eastAsia="仿宋" w:cs="仿宋"/>
          <w:kern w:val="2"/>
          <w:sz w:val="28"/>
          <w:szCs w:val="28"/>
        </w:rPr>
      </w:pPr>
      <w:r>
        <w:rPr>
          <w:rFonts w:hint="eastAsia" w:ascii="仿宋" w:hAnsi="仿宋" w:eastAsia="仿宋" w:cs="仿宋"/>
          <w:kern w:val="2"/>
          <w:sz w:val="28"/>
          <w:szCs w:val="28"/>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90C9602">
      <w:pPr>
        <w:spacing w:line="420" w:lineRule="exact"/>
        <w:ind w:left="420" w:leftChars="200" w:firstLine="140" w:firstLineChars="50"/>
        <w:rPr>
          <w:rFonts w:hint="eastAsia" w:ascii="仿宋" w:hAnsi="仿宋" w:eastAsia="仿宋" w:cs="仿宋"/>
          <w:kern w:val="2"/>
          <w:sz w:val="28"/>
          <w:szCs w:val="28"/>
        </w:rPr>
      </w:pPr>
      <w:r>
        <w:rPr>
          <w:rFonts w:hint="eastAsia" w:ascii="仿宋" w:hAnsi="仿宋" w:eastAsia="仿宋" w:cs="仿宋"/>
          <w:kern w:val="2"/>
          <w:sz w:val="28"/>
          <w:szCs w:val="28"/>
        </w:rPr>
        <w:t>4．质量保修完成后，由发包人组织验收。</w:t>
      </w:r>
    </w:p>
    <w:p w14:paraId="2675E6FD">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五、保修费用</w:t>
      </w:r>
    </w:p>
    <w:p w14:paraId="7239E68F">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保修费用由造成质量缺陷的责任方承担。</w:t>
      </w:r>
    </w:p>
    <w:p w14:paraId="477F7C81">
      <w:pPr>
        <w:spacing w:line="420" w:lineRule="exact"/>
        <w:ind w:firstLine="562" w:firstLineChars="200"/>
        <w:rPr>
          <w:rFonts w:hint="eastAsia" w:ascii="仿宋" w:hAnsi="仿宋" w:eastAsia="仿宋" w:cs="仿宋"/>
          <w:kern w:val="2"/>
          <w:sz w:val="28"/>
          <w:szCs w:val="28"/>
        </w:rPr>
      </w:pPr>
      <w:r>
        <w:rPr>
          <w:rFonts w:hint="eastAsia" w:ascii="仿宋" w:hAnsi="仿宋" w:eastAsia="仿宋" w:cs="仿宋"/>
          <w:b/>
          <w:kern w:val="2"/>
          <w:sz w:val="28"/>
          <w:szCs w:val="28"/>
        </w:rPr>
        <w:t>六</w:t>
      </w:r>
      <w:r>
        <w:rPr>
          <w:rFonts w:hint="eastAsia" w:ascii="仿宋" w:hAnsi="仿宋" w:eastAsia="仿宋" w:cs="仿宋"/>
          <w:kern w:val="2"/>
          <w:sz w:val="28"/>
          <w:szCs w:val="28"/>
        </w:rPr>
        <w:t>、双方约定的其他工程质量保修事项：</w:t>
      </w:r>
      <w:r>
        <w:rPr>
          <w:rFonts w:hint="eastAsia" w:ascii="仿宋" w:hAnsi="仿宋" w:eastAsia="仿宋" w:cs="仿宋"/>
          <w:kern w:val="2"/>
          <w:sz w:val="28"/>
          <w:szCs w:val="28"/>
          <w:u w:val="single"/>
        </w:rPr>
        <w:t xml:space="preserve">                             </w:t>
      </w:r>
      <w:r>
        <w:rPr>
          <w:rFonts w:hint="eastAsia" w:ascii="仿宋" w:hAnsi="仿宋" w:eastAsia="仿宋" w:cs="仿宋"/>
          <w:kern w:val="2"/>
          <w:sz w:val="28"/>
          <w:szCs w:val="28"/>
        </w:rPr>
        <w:t>。</w:t>
      </w:r>
    </w:p>
    <w:p w14:paraId="2756E63F">
      <w:pPr>
        <w:spacing w:line="420" w:lineRule="exact"/>
        <w:ind w:firstLine="532" w:firstLineChars="190"/>
        <w:rPr>
          <w:rFonts w:hint="eastAsia" w:ascii="仿宋" w:hAnsi="仿宋" w:eastAsia="仿宋" w:cs="仿宋"/>
          <w:kern w:val="2"/>
          <w:sz w:val="28"/>
          <w:szCs w:val="28"/>
        </w:rPr>
      </w:pPr>
      <w:r>
        <w:rPr>
          <w:rFonts w:hint="eastAsia" w:ascii="仿宋" w:hAnsi="仿宋" w:eastAsia="仿宋" w:cs="仿宋"/>
          <w:kern w:val="2"/>
          <w:sz w:val="28"/>
          <w:szCs w:val="28"/>
        </w:rPr>
        <w:t>工程质量保修书由发包人、承包人在工程竣工验收前共同签署，作为施工合同附件，其有效期限至保修期满。</w:t>
      </w:r>
    </w:p>
    <w:p w14:paraId="571E9136">
      <w:pPr>
        <w:spacing w:line="420" w:lineRule="exact"/>
        <w:ind w:firstLine="420"/>
        <w:rPr>
          <w:rFonts w:hint="eastAsia" w:ascii="仿宋" w:hAnsi="仿宋" w:eastAsia="仿宋" w:cs="仿宋"/>
          <w:kern w:val="2"/>
          <w:sz w:val="28"/>
          <w:szCs w:val="28"/>
        </w:rPr>
      </w:pPr>
    </w:p>
    <w:p w14:paraId="5B397597">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发包人(公章)：                     承包人(公章)：                 </w:t>
      </w:r>
    </w:p>
    <w:p w14:paraId="3DA90529">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地  址：                           地  址：                       </w:t>
      </w:r>
    </w:p>
    <w:p w14:paraId="34439821">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法定代表人(签字)：                 法定代表人(签字)：             </w:t>
      </w:r>
    </w:p>
    <w:p w14:paraId="40FC2015">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或委托代理人(签字)：               或委托代理人(签字)：             </w:t>
      </w:r>
    </w:p>
    <w:p w14:paraId="5E58D845">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电  话：                           电  话：                       </w:t>
      </w:r>
    </w:p>
    <w:p w14:paraId="48B80136">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传  真：                           传  真：                       </w:t>
      </w:r>
    </w:p>
    <w:p w14:paraId="6690AAEF">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开户银行：                         开户银行：                     </w:t>
      </w:r>
    </w:p>
    <w:p w14:paraId="4F5F30B6">
      <w:pPr>
        <w:spacing w:line="420" w:lineRule="exact"/>
        <w:rPr>
          <w:rFonts w:hint="eastAsia" w:ascii="仿宋" w:hAnsi="仿宋" w:eastAsia="仿宋" w:cs="仿宋"/>
          <w:kern w:val="2"/>
          <w:sz w:val="28"/>
          <w:szCs w:val="28"/>
        </w:rPr>
      </w:pPr>
      <w:r>
        <w:rPr>
          <w:rFonts w:hint="eastAsia" w:ascii="仿宋" w:hAnsi="仿宋" w:eastAsia="仿宋" w:cs="仿宋"/>
          <w:kern w:val="2"/>
          <w:sz w:val="28"/>
          <w:szCs w:val="28"/>
        </w:rPr>
        <w:t xml:space="preserve">账  号：                           账  号：                      </w:t>
      </w:r>
    </w:p>
    <w:p w14:paraId="49B5A099">
      <w:pPr>
        <w:pageBreakBefore w:val="0"/>
        <w:overflowPunct/>
        <w:bidi w:val="0"/>
        <w:adjustRightInd w:val="0"/>
        <w:snapToGrid w:val="0"/>
        <w:spacing w:line="360" w:lineRule="auto"/>
        <w:ind w:left="0" w:leftChars="0" w:right="0" w:firstLine="0" w:firstLineChars="0"/>
        <w:jc w:val="left"/>
        <w:rPr>
          <w:rFonts w:hint="eastAsia" w:ascii="仿宋" w:hAnsi="仿宋" w:eastAsia="仿宋" w:cs="仿宋"/>
          <w:position w:val="2"/>
          <w:sz w:val="28"/>
          <w:szCs w:val="28"/>
          <w:highlight w:val="none"/>
          <w:u w:val="single"/>
        </w:rPr>
      </w:pPr>
      <w:r>
        <w:rPr>
          <w:rFonts w:hint="eastAsia" w:ascii="仿宋" w:hAnsi="仿宋" w:eastAsia="仿宋" w:cs="仿宋"/>
          <w:kern w:val="2"/>
          <w:sz w:val="28"/>
          <w:szCs w:val="28"/>
        </w:rPr>
        <w:t xml:space="preserve">邮政编码：                         邮政编码：       </w:t>
      </w:r>
    </w:p>
    <w:p w14:paraId="6FE3AFF0">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br w:type="page"/>
      </w:r>
    </w:p>
    <w:p w14:paraId="1E09F8DB">
      <w:pPr>
        <w:spacing w:line="360" w:lineRule="auto"/>
        <w:jc w:val="center"/>
        <w:outlineLvl w:val="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第六章   响应文件格式</w:t>
      </w:r>
      <w:bookmarkEnd w:id="673"/>
    </w:p>
    <w:p w14:paraId="0EC44530">
      <w:pPr>
        <w:tabs>
          <w:tab w:val="left" w:pos="900"/>
          <w:tab w:val="left" w:pos="1980"/>
        </w:tabs>
        <w:spacing w:line="360" w:lineRule="auto"/>
        <w:ind w:left="14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供应商编制文件须知</w:t>
      </w:r>
    </w:p>
    <w:p w14:paraId="3BD983A0">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1、供应商按照本部分的顺序编制响应文件，编制中涉及格式资料的，应按照本部分提供的内容和格式（所有表格的格式可扩展）填写提交。</w:t>
      </w:r>
    </w:p>
    <w:p w14:paraId="43176958">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20F9D3A4">
      <w:pPr>
        <w:tabs>
          <w:tab w:val="left" w:pos="900"/>
          <w:tab w:val="left" w:pos="1980"/>
        </w:tabs>
        <w:spacing w:line="360" w:lineRule="auto"/>
        <w:ind w:left="142"/>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3、全部声明和问题的回答及所附材料必须是真实的、准确的和完整的。</w:t>
      </w:r>
    </w:p>
    <w:p w14:paraId="1047EBA2">
      <w:pPr>
        <w:tabs>
          <w:tab w:val="left" w:pos="900"/>
          <w:tab w:val="left" w:pos="1980"/>
        </w:tabs>
        <w:spacing w:line="360" w:lineRule="auto"/>
        <w:ind w:left="14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4、实行电子化不见面交易方式的，加盖公章、签名等均通过</w:t>
      </w:r>
      <w:r>
        <w:rPr>
          <w:color w:val="000000" w:themeColor="text1"/>
          <w:sz w:val="24"/>
          <w:highlight w:val="none"/>
          <w14:textFill>
            <w14:solidFill>
              <w14:schemeClr w14:val="tx1"/>
            </w14:solidFill>
          </w14:textFill>
        </w:rPr>
        <w:t>响应文件编制工具</w:t>
      </w:r>
      <w:r>
        <w:rPr>
          <w:rFonts w:hint="eastAsia"/>
          <w:color w:val="000000" w:themeColor="text1"/>
          <w:sz w:val="24"/>
          <w:highlight w:val="none"/>
          <w14:textFill>
            <w14:solidFill>
              <w14:schemeClr w14:val="tx1"/>
            </w14:solidFill>
          </w14:textFill>
        </w:rPr>
        <w:t>加盖电子公章、</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color w:val="000000" w:themeColor="text1"/>
          <w:sz w:val="24"/>
          <w:highlight w:val="none"/>
          <w14:textFill>
            <w14:solidFill>
              <w14:schemeClr w14:val="tx1"/>
            </w14:solidFill>
          </w14:textFill>
        </w:rPr>
        <w:t>。</w:t>
      </w:r>
    </w:p>
    <w:p w14:paraId="3280E8C7">
      <w:pPr>
        <w:tabs>
          <w:tab w:val="left" w:pos="900"/>
          <w:tab w:val="left" w:pos="1980"/>
        </w:tabs>
        <w:spacing w:line="360" w:lineRule="auto"/>
        <w:ind w:left="142"/>
        <w:rPr>
          <w:color w:val="000000" w:themeColor="text1"/>
          <w:sz w:val="24"/>
          <w:highlight w:val="none"/>
          <w14:textFill>
            <w14:solidFill>
              <w14:schemeClr w14:val="tx1"/>
            </w14:solidFill>
          </w14:textFill>
        </w:rPr>
      </w:pPr>
    </w:p>
    <w:p w14:paraId="67244451">
      <w:pPr>
        <w:widowControl/>
        <w:jc w:val="left"/>
        <w:rPr>
          <w:b/>
          <w:color w:val="000000" w:themeColor="text1"/>
          <w:spacing w:val="20"/>
          <w:szCs w:val="21"/>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 w14:paraId="1A8AE648">
      <w:pPr>
        <w:rPr>
          <w:b/>
          <w:color w:val="000000" w:themeColor="text1"/>
          <w:sz w:val="24"/>
          <w:highlight w:val="none"/>
          <w14:textFill>
            <w14:solidFill>
              <w14:schemeClr w14:val="tx1"/>
            </w14:solidFill>
          </w14:textFill>
        </w:rPr>
      </w:pPr>
      <w:r>
        <w:rPr>
          <w:b/>
          <w:color w:val="000000" w:themeColor="text1"/>
          <w:spacing w:val="20"/>
          <w:sz w:val="24"/>
          <w:highlight w:val="none"/>
          <w14:textFill>
            <w14:solidFill>
              <w14:schemeClr w14:val="tx1"/>
            </w14:solidFill>
          </w14:textFill>
        </w:rPr>
        <w:t>响应文件</w:t>
      </w:r>
      <w:r>
        <w:rPr>
          <w:b/>
          <w:color w:val="000000" w:themeColor="text1"/>
          <w:sz w:val="24"/>
          <w:highlight w:val="none"/>
          <w14:textFill>
            <w14:solidFill>
              <w14:schemeClr w14:val="tx1"/>
            </w14:solidFill>
          </w14:textFill>
        </w:rPr>
        <w:t>封面（非实质性格式）</w:t>
      </w:r>
    </w:p>
    <w:p w14:paraId="18822BDB">
      <w:pPr>
        <w:jc w:val="center"/>
        <w:rPr>
          <w:color w:val="000000" w:themeColor="text1"/>
          <w:szCs w:val="21"/>
          <w:highlight w:val="none"/>
          <w14:textFill>
            <w14:solidFill>
              <w14:schemeClr w14:val="tx1"/>
            </w14:solidFill>
          </w14:textFill>
        </w:rPr>
      </w:pPr>
    </w:p>
    <w:p w14:paraId="72B27BBE">
      <w:pPr>
        <w:jc w:val="center"/>
        <w:rPr>
          <w:b/>
          <w:color w:val="000000" w:themeColor="text1"/>
          <w:spacing w:val="60"/>
          <w:sz w:val="84"/>
          <w:szCs w:val="84"/>
          <w:highlight w:val="none"/>
          <w14:textFill>
            <w14:solidFill>
              <w14:schemeClr w14:val="tx1"/>
            </w14:solidFill>
          </w14:textFill>
        </w:rPr>
      </w:pPr>
      <w:r>
        <w:rPr>
          <w:b/>
          <w:color w:val="000000" w:themeColor="text1"/>
          <w:spacing w:val="60"/>
          <w:sz w:val="84"/>
          <w:szCs w:val="84"/>
          <w:highlight w:val="none"/>
          <w14:textFill>
            <w14:solidFill>
              <w14:schemeClr w14:val="tx1"/>
            </w14:solidFill>
          </w14:textFill>
        </w:rPr>
        <w:t>响 应 文 件</w:t>
      </w:r>
    </w:p>
    <w:p w14:paraId="621AB0A3">
      <w:pPr>
        <w:jc w:val="center"/>
        <w:rPr>
          <w:b/>
          <w:color w:val="000000" w:themeColor="text1"/>
          <w:spacing w:val="60"/>
          <w:sz w:val="52"/>
          <w:szCs w:val="52"/>
          <w:highlight w:val="none"/>
          <w14:textFill>
            <w14:solidFill>
              <w14:schemeClr w14:val="tx1"/>
            </w14:solidFill>
          </w14:textFill>
        </w:rPr>
      </w:pPr>
    </w:p>
    <w:p w14:paraId="0DE61BF5">
      <w:pPr>
        <w:ind w:firstLine="542"/>
        <w:rPr>
          <w:b/>
          <w:color w:val="000000" w:themeColor="text1"/>
          <w:spacing w:val="20"/>
          <w:sz w:val="32"/>
          <w:szCs w:val="32"/>
          <w:highlight w:val="none"/>
          <w14:textFill>
            <w14:solidFill>
              <w14:schemeClr w14:val="tx1"/>
            </w14:solidFill>
          </w14:textFill>
        </w:rPr>
      </w:pPr>
    </w:p>
    <w:p w14:paraId="1D1F775A">
      <w:pPr>
        <w:ind w:firstLine="542"/>
        <w:rPr>
          <w:b/>
          <w:color w:val="000000" w:themeColor="text1"/>
          <w:spacing w:val="20"/>
          <w:sz w:val="32"/>
          <w:szCs w:val="32"/>
          <w:highlight w:val="none"/>
          <w14:textFill>
            <w14:solidFill>
              <w14:schemeClr w14:val="tx1"/>
            </w14:solidFill>
          </w14:textFill>
        </w:rPr>
      </w:pPr>
    </w:p>
    <w:p w14:paraId="62A14A89">
      <w:pPr>
        <w:ind w:firstLine="1084"/>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名 称：</w:t>
      </w:r>
      <w:r>
        <w:rPr>
          <w:rFonts w:hint="eastAsia" w:ascii="宋体" w:hAnsi="宋体"/>
          <w:b/>
          <w:color w:val="000000" w:themeColor="text1"/>
          <w:sz w:val="36"/>
          <w:highlight w:val="none"/>
          <w:u w:val="single"/>
          <w14:textFill>
            <w14:solidFill>
              <w14:schemeClr w14:val="tx1"/>
            </w14:solidFill>
          </w14:textFill>
        </w:rPr>
        <w:t xml:space="preserve">               </w:t>
      </w:r>
    </w:p>
    <w:p w14:paraId="6E5A6B99">
      <w:pPr>
        <w:ind w:firstLine="1084"/>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项 目 编 号：</w:t>
      </w:r>
      <w:r>
        <w:rPr>
          <w:rFonts w:hint="eastAsia" w:ascii="宋体" w:hAnsi="宋体"/>
          <w:b/>
          <w:color w:val="000000" w:themeColor="text1"/>
          <w:sz w:val="36"/>
          <w:highlight w:val="none"/>
          <w:u w:val="single"/>
          <w14:textFill>
            <w14:solidFill>
              <w14:schemeClr w14:val="tx1"/>
            </w14:solidFill>
          </w14:textFill>
        </w:rPr>
        <w:t xml:space="preserve">               </w:t>
      </w:r>
    </w:p>
    <w:p w14:paraId="2F30B567">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               </w:t>
      </w:r>
    </w:p>
    <w:p w14:paraId="6CF00A52">
      <w:pPr>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p>
    <w:p w14:paraId="1995ACF7">
      <w:pPr>
        <w:jc w:val="center"/>
        <w:rPr>
          <w:b/>
          <w:color w:val="000000" w:themeColor="text1"/>
          <w:sz w:val="32"/>
          <w:szCs w:val="32"/>
          <w:highlight w:val="none"/>
          <w14:textFill>
            <w14:solidFill>
              <w14:schemeClr w14:val="tx1"/>
            </w14:solidFill>
          </w14:textFill>
        </w:rPr>
      </w:pPr>
    </w:p>
    <w:p w14:paraId="60F494F1">
      <w:pPr>
        <w:rPr>
          <w:b/>
          <w:color w:val="000000" w:themeColor="text1"/>
          <w:highlight w:val="none"/>
          <w14:textFill>
            <w14:solidFill>
              <w14:schemeClr w14:val="tx1"/>
            </w14:solidFill>
          </w14:textFill>
        </w:rPr>
      </w:pPr>
      <w:r>
        <w:rPr>
          <w:b/>
          <w:color w:val="000000" w:themeColor="text1"/>
          <w:spacing w:val="20"/>
          <w:sz w:val="32"/>
          <w:szCs w:val="32"/>
          <w:highlight w:val="none"/>
          <w14:textFill>
            <w14:solidFill>
              <w14:schemeClr w14:val="tx1"/>
            </w14:solidFill>
          </w14:textFill>
        </w:rPr>
        <w:br w:type="page" w:clear="all"/>
      </w:r>
    </w:p>
    <w:p w14:paraId="611EF2B9">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1 </w:t>
      </w:r>
      <w:r>
        <w:rPr>
          <w:color w:val="000000" w:themeColor="text1"/>
          <w:sz w:val="24"/>
          <w:highlight w:val="none"/>
          <w14:textFill>
            <w14:solidFill>
              <w14:schemeClr w14:val="tx1"/>
            </w14:solidFill>
          </w14:textFill>
        </w:rPr>
        <w:t>满足《中华人民共和国政府采购法》第二十二条规定及法律法规的其他规定</w:t>
      </w:r>
    </w:p>
    <w:p w14:paraId="0C35B5DD">
      <w:pPr>
        <w:pStyle w:val="187"/>
        <w:rPr>
          <w:rFonts w:ascii="Times New Roman"/>
          <w:b w:val="0"/>
          <w:bCs/>
          <w:color w:val="000000" w:themeColor="text1"/>
          <w:highlight w:val="none"/>
          <w:u w:val="none"/>
          <w14:textFill>
            <w14:solidFill>
              <w14:schemeClr w14:val="tx1"/>
            </w14:solidFill>
          </w14:textFill>
        </w:rPr>
      </w:pPr>
      <w:r>
        <w:rPr>
          <w:rFonts w:ascii="Times New Roman"/>
          <w:b w:val="0"/>
          <w:color w:val="000000" w:themeColor="text1"/>
          <w:highlight w:val="none"/>
          <w:u w:val="none"/>
          <w14:textFill>
            <w14:solidFill>
              <w14:schemeClr w14:val="tx1"/>
            </w14:solidFill>
          </w14:textFill>
        </w:rPr>
        <w:t>1-</w:t>
      </w:r>
      <w:r>
        <w:rPr>
          <w:rFonts w:hint="eastAsia" w:ascii="Times New Roman"/>
          <w:b w:val="0"/>
          <w:color w:val="000000" w:themeColor="text1"/>
          <w:highlight w:val="none"/>
          <w:u w:val="none"/>
          <w14:textFill>
            <w14:solidFill>
              <w14:schemeClr w14:val="tx1"/>
            </w14:solidFill>
          </w14:textFill>
        </w:rPr>
        <w:t>1</w:t>
      </w:r>
      <w:r>
        <w:rPr>
          <w:rFonts w:ascii="Times New Roman"/>
          <w:b w:val="0"/>
          <w:color w:val="000000" w:themeColor="text1"/>
          <w:highlight w:val="none"/>
          <w:u w:val="none"/>
          <w14:textFill>
            <w14:solidFill>
              <w14:schemeClr w14:val="tx1"/>
            </w14:solidFill>
          </w14:textFill>
        </w:rPr>
        <w:t xml:space="preserve"> 供应商资格声明</w:t>
      </w:r>
      <w:r>
        <w:rPr>
          <w:rFonts w:hint="eastAsia" w:ascii="Times New Roman"/>
          <w:b w:val="0"/>
          <w:color w:val="000000" w:themeColor="text1"/>
          <w:highlight w:val="none"/>
          <w:u w:val="none"/>
          <w14:textFill>
            <w14:solidFill>
              <w14:schemeClr w14:val="tx1"/>
            </w14:solidFill>
          </w14:textFill>
        </w:rPr>
        <w:t>函</w:t>
      </w:r>
      <w:r>
        <w:rPr>
          <w:rFonts w:ascii="Times New Roman"/>
          <w:b w:val="0"/>
          <w:color w:val="000000" w:themeColor="text1"/>
          <w:highlight w:val="none"/>
          <w:u w:val="none"/>
          <w14:textFill>
            <w14:solidFill>
              <w14:schemeClr w14:val="tx1"/>
            </w14:solidFill>
          </w14:textFill>
        </w:rPr>
        <w:t>（实质性格式）</w:t>
      </w:r>
    </w:p>
    <w:p w14:paraId="3BC7A365">
      <w:pPr>
        <w:widowControl/>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供应商资格声明函</w:t>
      </w:r>
    </w:p>
    <w:p w14:paraId="4BEFE8AF">
      <w:pPr>
        <w:pStyle w:val="186"/>
        <w:spacing w:line="460" w:lineRule="exact"/>
        <w:ind w:firstLine="480"/>
        <w:rPr>
          <w:rFonts w:ascii="Times New Roman" w:hAnsi="Times New Roman" w:eastAsia="宋体" w:cs="Times New Roman"/>
          <w:b w:val="0"/>
          <w:bCs/>
          <w:color w:val="000000" w:themeColor="text1"/>
          <w:sz w:val="24"/>
          <w:szCs w:val="20"/>
          <w:highlight w:val="none"/>
          <w:u w:val="none"/>
          <w14:textFill>
            <w14:solidFill>
              <w14:schemeClr w14:val="tx1"/>
            </w14:solidFill>
          </w14:textFill>
        </w:rPr>
      </w:pPr>
      <w:r>
        <w:rPr>
          <w:rFonts w:hint="eastAsia"/>
          <w:color w:val="000000" w:themeColor="text1"/>
          <w:highlight w:val="none"/>
          <w14:textFill>
            <w14:solidFill>
              <w14:schemeClr w14:val="tx1"/>
            </w14:solidFill>
          </w14:textFill>
        </w:rPr>
        <w:t>致：</w:t>
      </w:r>
      <w:r>
        <w:rPr>
          <w:rFonts w:hint="eastAsia" w:ascii="Times New Roman" w:cs="Times New Roman"/>
          <w:b w:val="0"/>
          <w:bCs/>
          <w:color w:val="000000" w:themeColor="text1"/>
          <w:sz w:val="24"/>
          <w:szCs w:val="20"/>
          <w:highlight w:val="none"/>
          <w:u w:val="none"/>
          <w:lang w:val="en-US" w:eastAsia="zh-CN" w:bidi="ar-SA"/>
          <w14:textFill>
            <w14:solidFill>
              <w14:schemeClr w14:val="tx1"/>
            </w14:solidFill>
          </w14:textFill>
        </w:rPr>
        <w:t>江苏华溯工程项目管理有限公司</w:t>
      </w:r>
      <w:r>
        <w:rPr>
          <w:rFonts w:hint="eastAsia" w:ascii="Times New Roman" w:hAnsi="Times New Roman" w:eastAsia="宋体" w:cs="Times New Roman"/>
          <w:b w:val="0"/>
          <w:bCs/>
          <w:color w:val="000000" w:themeColor="text1"/>
          <w:sz w:val="24"/>
          <w:szCs w:val="20"/>
          <w:highlight w:val="none"/>
          <w:u w:val="none"/>
          <w:lang w:val="en-US" w:eastAsia="zh-CN" w:bidi="ar-SA"/>
          <w14:textFill>
            <w14:solidFill>
              <w14:schemeClr w14:val="tx1"/>
            </w14:solidFill>
          </w14:textFill>
        </w:rPr>
        <w:t xml:space="preserve"> </w:t>
      </w:r>
    </w:p>
    <w:p w14:paraId="4265E098">
      <w:pPr>
        <w:pStyle w:val="186"/>
        <w:spacing w:line="460" w:lineRule="exact"/>
        <w:ind w:firstLine="960"/>
        <w:rPr>
          <w:color w:val="000000" w:themeColor="text1"/>
          <w:highlight w:val="none"/>
          <w:u w:val="single"/>
          <w14:textFill>
            <w14:solidFill>
              <w14:schemeClr w14:val="tx1"/>
            </w14:solidFill>
          </w14:textFill>
        </w:rPr>
      </w:pPr>
      <w:r>
        <w:rPr>
          <w:rFonts w:hint="eastAsia"/>
          <w:color w:val="000000" w:themeColor="text1"/>
          <w:highlight w:val="none"/>
          <w:u w:val="single"/>
          <w14:textFill>
            <w14:solidFill>
              <w14:schemeClr w14:val="tx1"/>
            </w14:solidFill>
          </w14:textFill>
        </w:rPr>
        <w:t>（采购人名称）</w:t>
      </w:r>
    </w:p>
    <w:p w14:paraId="6CDCBF05">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按照《中华人民共和国政府采购法》第二十二条和磋商文件的规定，我单位郑重声明如下：</w:t>
      </w:r>
    </w:p>
    <w:p w14:paraId="49166CA3">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一、我单位是按照中华人民共和国法律规定登记注册的，注册地点为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，全称为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，统一社会信用代码为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，法定代表人（单位负责人）为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，具有独立承担民事责任的能力</w:t>
      </w:r>
      <w:r>
        <w:rPr>
          <w:rFonts w:hint="eastAsia"/>
          <w:b/>
          <w:color w:val="000000" w:themeColor="text1"/>
          <w:highlight w:val="none"/>
          <w14:textFill>
            <w14:solidFill>
              <w14:schemeClr w14:val="tx1"/>
            </w14:solidFill>
          </w14:textFill>
        </w:rPr>
        <w:t>（如属于分公司经总公司授权参与项目，由总公司承担民事责任的，需提供总公司项目授权书）</w:t>
      </w:r>
      <w:r>
        <w:rPr>
          <w:rFonts w:hint="eastAsia"/>
          <w:color w:val="000000" w:themeColor="text1"/>
          <w:highlight w:val="none"/>
          <w14:textFill>
            <w14:solidFill>
              <w14:schemeClr w14:val="tx1"/>
            </w14:solidFill>
          </w14:textFill>
        </w:rPr>
        <w:t>。</w:t>
      </w:r>
    </w:p>
    <w:p w14:paraId="759E19C6">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二、我单位未被“国家企业信用信息系统”列入经营异常名录或者严重违法企业名单。</w:t>
      </w:r>
    </w:p>
    <w:p w14:paraId="463A4C15">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三、我单位具有良好的商业信誉（指供应商经营状况良好，无本资格声明第十条情形）和健全的财务会计制度。</w:t>
      </w:r>
    </w:p>
    <w:p w14:paraId="2972F102">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四、我单位依法进行纳税和社会保险申报并实际履行了义务。</w:t>
      </w:r>
    </w:p>
    <w:p w14:paraId="43A6167B">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五、我单位具有履行本项目采购合同所必需的设备和专业技术能力，并具有履行合同的良好</w:t>
      </w:r>
      <w:r>
        <w:rPr>
          <w:color w:val="000000" w:themeColor="text1"/>
          <w:highlight w:val="none"/>
          <w14:textFill>
            <w14:solidFill>
              <w14:schemeClr w14:val="tx1"/>
            </w14:solidFill>
          </w14:textFill>
        </w:rPr>
        <w:t>记录</w:t>
      </w:r>
      <w:r>
        <w:rPr>
          <w:rFonts w:hint="eastAsia"/>
          <w:color w:val="000000" w:themeColor="text1"/>
          <w:highlight w:val="none"/>
          <w14:textFill>
            <w14:solidFill>
              <w14:schemeClr w14:val="tx1"/>
            </w14:solidFill>
          </w14:textFill>
        </w:rPr>
        <w:t>。为履行本项采购合同我单位具备如下主要设备和主要专业技术能力:</w:t>
      </w:r>
    </w:p>
    <w:p w14:paraId="6B0FE71B">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p>
    <w:p w14:paraId="1EA86C68">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p>
    <w:p w14:paraId="5DB9F464">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83332A5">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七、我单位具备法律、行政法规规定的其他条件。</w:t>
      </w:r>
    </w:p>
    <w:p w14:paraId="174748BF">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八、与我单位存在“单位负责人为同一人或者存在直接控股、管理关系”的其他单位信息如下（如无此情形的，填写“无”）：</w:t>
      </w:r>
    </w:p>
    <w:p w14:paraId="31FBAD94">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1、与我单位的法定代表人（单位负责人）为同一人的其他单位如下：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0884C3AB">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2、我单位直接控股的其他单位如下：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5AEC709B">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3、与我单位存在管理关系的其他单位如下：</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26756739">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单位</w:t>
      </w:r>
      <w:r>
        <w:rPr>
          <w:color w:val="000000" w:themeColor="text1"/>
          <w:highlight w:val="none"/>
          <w14:textFill>
            <w14:solidFill>
              <w14:schemeClr w14:val="tx1"/>
            </w14:solidFill>
          </w14:textFill>
        </w:rPr>
        <w:t>不属于为本项目提供整体设计、规范编制或者项目管理、</w:t>
      </w:r>
      <w:r>
        <w:rPr>
          <w:rFonts w:hint="eastAsia"/>
          <w:color w:val="000000" w:themeColor="text1"/>
          <w:highlight w:val="none"/>
          <w:lang w:eastAsia="zh-CN"/>
          <w14:textFill>
            <w14:solidFill>
              <w14:schemeClr w14:val="tx1"/>
            </w14:solidFill>
          </w14:textFill>
        </w:rPr>
        <w:t>监理（如有）</w:t>
      </w:r>
      <w:r>
        <w:rPr>
          <w:color w:val="000000" w:themeColor="text1"/>
          <w:highlight w:val="none"/>
          <w14:textFill>
            <w14:solidFill>
              <w14:schemeClr w14:val="tx1"/>
            </w14:solidFill>
          </w14:textFill>
        </w:rPr>
        <w:t>、检测等服务的供应商。</w:t>
      </w:r>
    </w:p>
    <w:p w14:paraId="430BB33A">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十、</w:t>
      </w:r>
      <w:r>
        <w:rPr>
          <w:color w:val="000000" w:themeColor="text1"/>
          <w:highlight w:val="none"/>
          <w14:textFill>
            <w14:solidFill>
              <w14:schemeClr w14:val="tx1"/>
            </w14:solidFill>
          </w14:textFill>
        </w:rPr>
        <w:t>我单位无以下不良信用记录情形：</w:t>
      </w:r>
    </w:p>
    <w:p w14:paraId="6E092DFF">
      <w:pPr>
        <w:pStyle w:val="186"/>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、在“信用中国”网站被列入失信被执行人和重大税收违法案件当事人名单；</w:t>
      </w:r>
    </w:p>
    <w:p w14:paraId="212186B7">
      <w:pPr>
        <w:pStyle w:val="186"/>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、在“中国政府采购网”网站被列入政府采购严重违法失信行为记录名单；</w:t>
      </w:r>
    </w:p>
    <w:p w14:paraId="3B68E7D0">
      <w:pPr>
        <w:pStyle w:val="186"/>
        <w:spacing w:line="4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不符合《</w:t>
      </w:r>
      <w:r>
        <w:rPr>
          <w:rFonts w:hint="eastAsia"/>
          <w:color w:val="000000" w:themeColor="text1"/>
          <w:highlight w:val="none"/>
          <w:lang w:eastAsia="zh-CN"/>
          <w14:textFill>
            <w14:solidFill>
              <w14:schemeClr w14:val="tx1"/>
            </w14:solidFill>
          </w14:textFill>
        </w:rPr>
        <w:t>中华人民共和国政府采购法</w:t>
      </w:r>
      <w:r>
        <w:rPr>
          <w:color w:val="000000" w:themeColor="text1"/>
          <w:highlight w:val="none"/>
          <w14:textFill>
            <w14:solidFill>
              <w14:schemeClr w14:val="tx1"/>
            </w14:solidFill>
          </w14:textFill>
        </w:rPr>
        <w:t>》第二十二条规定的条件。</w:t>
      </w:r>
    </w:p>
    <w:p w14:paraId="58FF4DDB">
      <w:pPr>
        <w:pStyle w:val="186"/>
        <w:spacing w:line="460" w:lineRule="exact"/>
        <w:ind w:firstLine="480"/>
        <w:rPr>
          <w:color w:val="000000" w:themeColor="text1"/>
          <w:highlight w:val="none"/>
          <w14:textFill>
            <w14:solidFill>
              <w14:schemeClr w14:val="tx1"/>
            </w14:solidFill>
          </w14:textFill>
        </w:rPr>
      </w:pPr>
    </w:p>
    <w:p w14:paraId="6C1FDE06">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我单位保证上述声明的事项都是真实的，如有虚假，我单位愿意承担相应的法律责任，并承担因此所造成的一切损失。</w:t>
      </w:r>
    </w:p>
    <w:p w14:paraId="5129B9D4">
      <w:pPr>
        <w:pStyle w:val="186"/>
        <w:spacing w:line="460" w:lineRule="exact"/>
        <w:ind w:firstLine="480"/>
        <w:rPr>
          <w:color w:val="000000" w:themeColor="text1"/>
          <w:highlight w:val="none"/>
          <w14:textFill>
            <w14:solidFill>
              <w14:schemeClr w14:val="tx1"/>
            </w14:solidFill>
          </w14:textFill>
        </w:rPr>
      </w:pPr>
    </w:p>
    <w:p w14:paraId="3ADAADDE">
      <w:pPr>
        <w:pStyle w:val="186"/>
        <w:spacing w:line="460" w:lineRule="exact"/>
        <w:ind w:firstLine="480"/>
        <w:rPr>
          <w:color w:val="000000" w:themeColor="text1"/>
          <w:highlight w:val="none"/>
          <w14:textFill>
            <w14:solidFill>
              <w14:schemeClr w14:val="tx1"/>
            </w14:solidFill>
          </w14:textFill>
        </w:rPr>
      </w:pPr>
    </w:p>
    <w:p w14:paraId="1A713C58">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供应商：（加盖公章）</w:t>
      </w:r>
    </w:p>
    <w:p w14:paraId="305CC0AB">
      <w:pPr>
        <w:pStyle w:val="186"/>
        <w:spacing w:line="460" w:lineRule="exact"/>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法定代表人（或单位负责人）签字或盖章：</w:t>
      </w:r>
    </w:p>
    <w:p w14:paraId="12BE0E20">
      <w:pPr>
        <w:pStyle w:val="186"/>
        <w:spacing w:line="460" w:lineRule="exact"/>
        <w:ind w:firstLine="49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51F4A353">
      <w:pPr>
        <w:spacing w:line="360" w:lineRule="auto"/>
        <w:rPr>
          <w:rFonts w:hint="eastAsia"/>
          <w:color w:val="000000" w:themeColor="text1"/>
          <w:sz w:val="24"/>
          <w:highlight w:val="none"/>
          <w14:textFill>
            <w14:solidFill>
              <w14:schemeClr w14:val="tx1"/>
            </w14:solidFill>
          </w14:textFill>
        </w:rPr>
      </w:pPr>
    </w:p>
    <w:p w14:paraId="557317FB">
      <w:pPr>
        <w:spacing w:line="360" w:lineRule="auto"/>
        <w:rPr>
          <w:rFonts w:hint="eastAsia"/>
          <w:color w:val="000000" w:themeColor="text1"/>
          <w:sz w:val="24"/>
          <w:highlight w:val="none"/>
          <w14:textFill>
            <w14:solidFill>
              <w14:schemeClr w14:val="tx1"/>
            </w14:solidFill>
          </w14:textFill>
        </w:rPr>
      </w:pPr>
    </w:p>
    <w:p w14:paraId="3D3717E8">
      <w:pPr>
        <w:spacing w:line="360" w:lineRule="auto"/>
        <w:rPr>
          <w:rFonts w:hint="eastAsia"/>
          <w:color w:val="000000" w:themeColor="text1"/>
          <w:sz w:val="24"/>
          <w:highlight w:val="none"/>
          <w14:textFill>
            <w14:solidFill>
              <w14:schemeClr w14:val="tx1"/>
            </w14:solidFill>
          </w14:textFill>
        </w:rPr>
      </w:pPr>
    </w:p>
    <w:p w14:paraId="0578A20D">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r>
        <w:rPr>
          <w:rFonts w:hint="eastAsia"/>
          <w:color w:val="000000" w:themeColor="text1"/>
          <w:sz w:val="24"/>
          <w:highlight w:val="none"/>
          <w14:textFill>
            <w14:solidFill>
              <w14:schemeClr w14:val="tx1"/>
            </w14:solidFill>
          </w14:textFill>
        </w:rPr>
        <w:t>供应商承诺不实的，依据《</w:t>
      </w:r>
      <w:r>
        <w:rPr>
          <w:rFonts w:hint="eastAsia"/>
          <w:color w:val="000000" w:themeColor="text1"/>
          <w:sz w:val="24"/>
          <w:highlight w:val="none"/>
          <w:lang w:eastAsia="zh-CN"/>
          <w14:textFill>
            <w14:solidFill>
              <w14:schemeClr w14:val="tx1"/>
            </w14:solidFill>
          </w14:textFill>
        </w:rPr>
        <w:t>中华人民共和国政府采购法</w:t>
      </w:r>
      <w:r>
        <w:rPr>
          <w:rFonts w:hint="eastAsia"/>
          <w:color w:val="000000" w:themeColor="text1"/>
          <w:sz w:val="24"/>
          <w:highlight w:val="none"/>
          <w14:textFill>
            <w14:solidFill>
              <w14:schemeClr w14:val="tx1"/>
            </w14:solidFill>
          </w14:textFill>
        </w:rPr>
        <w:t>》第七十七条“提供虚假材料谋取中标、成交的”有关规定予以处理</w:t>
      </w:r>
      <w:r>
        <w:rPr>
          <w:color w:val="000000" w:themeColor="text1"/>
          <w:sz w:val="24"/>
          <w:highlight w:val="none"/>
          <w14:textFill>
            <w14:solidFill>
              <w14:schemeClr w14:val="tx1"/>
            </w14:solidFill>
          </w14:textFill>
        </w:rPr>
        <w:t>。</w:t>
      </w:r>
    </w:p>
    <w:p w14:paraId="3D86E093">
      <w:pPr>
        <w:tabs>
          <w:tab w:val="left" w:pos="5580"/>
        </w:tabs>
        <w:spacing w:line="360" w:lineRule="auto"/>
        <w:rPr>
          <w:color w:val="000000" w:themeColor="text1"/>
          <w:sz w:val="24"/>
          <w:highlight w:val="none"/>
          <w14:textFill>
            <w14:solidFill>
              <w14:schemeClr w14:val="tx1"/>
            </w14:solidFill>
          </w14:textFill>
        </w:rPr>
        <w:sectPr>
          <w:footerReference r:id="rId13" w:type="default"/>
          <w:pgSz w:w="11907" w:h="16840"/>
          <w:pgMar w:top="1418" w:right="1134" w:bottom="1418" w:left="1134" w:header="851" w:footer="851" w:gutter="0"/>
          <w:cols w:space="1701" w:num="1"/>
          <w:docGrid w:linePitch="360" w:charSpace="0"/>
        </w:sectPr>
      </w:pPr>
    </w:p>
    <w:p w14:paraId="0F4DDE50">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 落实政府采购政策需满足的资格要求</w:t>
      </w:r>
    </w:p>
    <w:p w14:paraId="76405884">
      <w:pPr>
        <w:spacing w:line="360" w:lineRule="auto"/>
        <w:outlineLvl w:val="2"/>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落实政府采购政策需满足的资格要求</w:t>
      </w:r>
    </w:p>
    <w:p w14:paraId="76EA81F5">
      <w:pPr>
        <w:spacing w:line="360" w:lineRule="auto"/>
        <w:outlineLvl w:val="2"/>
        <w:rPr>
          <w:color w:val="auto"/>
          <w:sz w:val="24"/>
          <w:szCs w:val="21"/>
          <w:highlight w:val="none"/>
        </w:rPr>
      </w:pPr>
      <w:r>
        <w:rPr>
          <w:rFonts w:hint="eastAsia" w:ascii="宋体" w:hAnsi="宋体"/>
          <w:b/>
          <w:color w:val="000000" w:themeColor="text1"/>
          <w:sz w:val="24"/>
          <w:szCs w:val="24"/>
          <w:highlight w:val="none"/>
          <w14:textFill>
            <w14:solidFill>
              <w14:schemeClr w14:val="tx1"/>
            </w14:solidFill>
          </w14:textFill>
        </w:rPr>
        <w:t>2-1中小企业声明函</w:t>
      </w:r>
    </w:p>
    <w:p w14:paraId="05EB553F">
      <w:pPr>
        <w:adjustRightInd w:val="0"/>
        <w:snapToGrid w:val="0"/>
        <w:jc w:val="left"/>
        <w:rPr>
          <w:color w:val="auto"/>
          <w:sz w:val="24"/>
          <w:szCs w:val="21"/>
          <w:highlight w:val="none"/>
        </w:rPr>
      </w:pPr>
    </w:p>
    <w:p w14:paraId="2FC1D6ED">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中小企业声明函（工程、服务）格式</w:t>
      </w:r>
    </w:p>
    <w:p w14:paraId="78DBA101">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600E4FD">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05DE2C86">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432707B6">
      <w:pPr>
        <w:spacing w:line="360" w:lineRule="auto"/>
        <w:ind w:firstLine="504"/>
        <w:rPr>
          <w:spacing w:val="6"/>
          <w:sz w:val="24"/>
          <w:highlight w:val="none"/>
        </w:rPr>
      </w:pPr>
    </w:p>
    <w:p w14:paraId="5EEF4672">
      <w:pPr>
        <w:spacing w:line="360" w:lineRule="auto"/>
        <w:ind w:firstLine="504"/>
        <w:rPr>
          <w:spacing w:val="6"/>
          <w:sz w:val="24"/>
          <w:highlight w:val="none"/>
        </w:rPr>
      </w:pPr>
      <w:r>
        <w:rPr>
          <w:spacing w:val="6"/>
          <w:sz w:val="24"/>
          <w:highlight w:val="none"/>
        </w:rPr>
        <w:t>……</w:t>
      </w:r>
    </w:p>
    <w:p w14:paraId="01EA5D66">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693C2FF1">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30525C2F">
      <w:pPr>
        <w:spacing w:line="360" w:lineRule="auto"/>
        <w:ind w:right="360" w:firstLine="480"/>
        <w:jc w:val="right"/>
        <w:rPr>
          <w:color w:val="000000"/>
          <w:sz w:val="24"/>
          <w:highlight w:val="none"/>
        </w:rPr>
      </w:pPr>
    </w:p>
    <w:p w14:paraId="29F70645">
      <w:pPr>
        <w:spacing w:line="360" w:lineRule="auto"/>
        <w:ind w:right="360" w:firstLine="480"/>
        <w:jc w:val="right"/>
        <w:rPr>
          <w:color w:val="000000"/>
          <w:sz w:val="24"/>
          <w:highlight w:val="none"/>
        </w:rPr>
      </w:pPr>
      <w:r>
        <w:rPr>
          <w:color w:val="000000"/>
          <w:sz w:val="24"/>
          <w:highlight w:val="none"/>
        </w:rPr>
        <w:t>企业名称（加盖公章）：________</w:t>
      </w:r>
    </w:p>
    <w:p w14:paraId="73F7CE16">
      <w:pPr>
        <w:spacing w:line="360" w:lineRule="auto"/>
        <w:ind w:right="360" w:firstLine="480"/>
        <w:jc w:val="right"/>
        <w:rPr>
          <w:color w:val="000000"/>
          <w:sz w:val="24"/>
          <w:highlight w:val="none"/>
        </w:rPr>
      </w:pPr>
      <w:r>
        <w:rPr>
          <w:color w:val="000000"/>
          <w:sz w:val="24"/>
          <w:highlight w:val="none"/>
        </w:rPr>
        <w:t>日 期：________</w:t>
      </w:r>
    </w:p>
    <w:p w14:paraId="1E03D836">
      <w:pPr>
        <w:rPr>
          <w:color w:val="000000" w:themeColor="text1"/>
          <w:highlight w:val="none"/>
          <w14:textFill>
            <w14:solidFill>
              <w14:schemeClr w14:val="tx1"/>
            </w14:solidFill>
          </w14:textFill>
        </w:rPr>
      </w:pPr>
    </w:p>
    <w:p w14:paraId="4D32D159">
      <w:pPr>
        <w:spacing w:before="240" w:after="240" w:line="360" w:lineRule="auto"/>
        <w:jc w:val="center"/>
        <w:rPr>
          <w:color w:val="000000" w:themeColor="text1"/>
          <w:sz w:val="36"/>
          <w:szCs w:val="36"/>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b/>
          <w:bCs/>
          <w:color w:val="000000" w:themeColor="text1"/>
          <w:sz w:val="36"/>
          <w:szCs w:val="36"/>
          <w:highlight w:val="none"/>
          <w14:textFill>
            <w14:solidFill>
              <w14:schemeClr w14:val="tx1"/>
            </w14:solidFill>
          </w14:textFill>
        </w:rPr>
        <w:t>残疾人福利性单位声明函格式</w:t>
      </w:r>
      <w:r>
        <w:rPr>
          <w:color w:val="000000" w:themeColor="text1"/>
          <w:sz w:val="36"/>
          <w:szCs w:val="36"/>
          <w:highlight w:val="none"/>
          <w14:textFill>
            <w14:solidFill>
              <w14:schemeClr w14:val="tx1"/>
            </w14:solidFill>
          </w14:textFill>
        </w:rPr>
        <w:t xml:space="preserve"> </w:t>
      </w:r>
    </w:p>
    <w:p w14:paraId="040613D5">
      <w:pPr>
        <w:spacing w:line="588" w:lineRule="exact"/>
        <w:ind w:firstLine="504"/>
        <w:rPr>
          <w:rFonts w:ascii="宋体" w:hAnsi="宋体"/>
          <w:color w:val="000000" w:themeColor="text1"/>
          <w:spacing w:val="6"/>
          <w:sz w:val="24"/>
          <w:szCs w:val="24"/>
          <w:highlight w:val="none"/>
          <w14:textFill>
            <w14:solidFill>
              <w14:schemeClr w14:val="tx1"/>
            </w14:solidFill>
          </w14:textFill>
        </w:rPr>
      </w:pPr>
      <w:r>
        <w:rPr>
          <w:rFonts w:ascii="宋体" w:hAnsi="宋体"/>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szCs w:val="24"/>
          <w:highlight w:val="none"/>
          <w14:textFill>
            <w14:solidFill>
              <w14:schemeClr w14:val="tx1"/>
            </w14:solidFill>
          </w14:textFill>
        </w:rPr>
        <w:t>〔2017〕141</w:t>
      </w:r>
      <w:r>
        <w:rPr>
          <w:rFonts w:ascii="宋体" w:hAnsi="宋体"/>
          <w:color w:val="000000" w:themeColor="text1"/>
          <w:spacing w:val="6"/>
          <w:sz w:val="24"/>
          <w:szCs w:val="24"/>
          <w:highlight w:val="none"/>
          <w14:textFill>
            <w14:solidFill>
              <w14:schemeClr w14:val="tx1"/>
            </w14:solidFill>
          </w14:textFill>
        </w:rPr>
        <w:t>号）的规定，本单位</w:t>
      </w:r>
      <w:r>
        <w:rPr>
          <w:rFonts w:ascii="宋体" w:hAnsi="宋体"/>
          <w:b/>
          <w:color w:val="000000" w:themeColor="text1"/>
          <w:sz w:val="24"/>
          <w:szCs w:val="24"/>
          <w:highlight w:val="none"/>
          <w14:textFill>
            <w14:solidFill>
              <w14:schemeClr w14:val="tx1"/>
            </w14:solidFill>
          </w14:textFill>
        </w:rPr>
        <w:t>（请进行勾选）</w:t>
      </w:r>
      <w:r>
        <w:rPr>
          <w:rFonts w:ascii="宋体" w:hAnsi="宋体"/>
          <w:color w:val="000000" w:themeColor="text1"/>
          <w:spacing w:val="6"/>
          <w:sz w:val="24"/>
          <w:szCs w:val="24"/>
          <w:highlight w:val="none"/>
          <w14:textFill>
            <w14:solidFill>
              <w14:schemeClr w14:val="tx1"/>
            </w14:solidFill>
          </w14:textFill>
        </w:rPr>
        <w:t>：</w:t>
      </w:r>
    </w:p>
    <w:p w14:paraId="6C5604DB">
      <w:pPr>
        <w:spacing w:line="588" w:lineRule="exact"/>
        <w:ind w:firstLine="482"/>
        <w:rPr>
          <w:rFonts w:ascii="宋体" w:hAnsi="宋体"/>
          <w:b/>
          <w:color w:val="000000" w:themeColor="text1"/>
          <w:spacing w:val="6"/>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w:t>
      </w:r>
      <w:r>
        <w:rPr>
          <w:rFonts w:ascii="宋体" w:hAnsi="宋体"/>
          <w:b/>
          <w:color w:val="000000" w:themeColor="text1"/>
          <w:spacing w:val="6"/>
          <w:sz w:val="24"/>
          <w:szCs w:val="24"/>
          <w:highlight w:val="none"/>
          <w14:textFill>
            <w14:solidFill>
              <w14:schemeClr w14:val="tx1"/>
            </w14:solidFill>
          </w14:textFill>
        </w:rPr>
        <w:t>不属于符合条件的残疾人福利性单位。</w:t>
      </w:r>
    </w:p>
    <w:p w14:paraId="3A49FF54">
      <w:pPr>
        <w:spacing w:line="588" w:lineRule="exact"/>
        <w:ind w:firstLine="482"/>
        <w:rPr>
          <w:rFonts w:ascii="宋体" w:hAnsi="宋体"/>
          <w:color w:val="000000" w:themeColor="text1"/>
          <w:spacing w:val="6"/>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w:t>
      </w:r>
      <w:r>
        <w:rPr>
          <w:rFonts w:ascii="宋体" w:hAnsi="宋体"/>
          <w:b/>
          <w:color w:val="000000" w:themeColor="text1"/>
          <w:spacing w:val="6"/>
          <w:sz w:val="24"/>
          <w:szCs w:val="24"/>
          <w:highlight w:val="none"/>
          <w14:textFill>
            <w14:solidFill>
              <w14:schemeClr w14:val="tx1"/>
            </w14:solidFill>
          </w14:textFill>
        </w:rPr>
        <w:t>属于符合条件的残疾人福利性单位，</w:t>
      </w:r>
      <w:r>
        <w:rPr>
          <w:rFonts w:ascii="宋体" w:hAnsi="宋体"/>
          <w:color w:val="000000" w:themeColor="text1"/>
          <w:spacing w:val="6"/>
          <w:sz w:val="24"/>
          <w:szCs w:val="24"/>
          <w:highlight w:val="none"/>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14:paraId="7B79D911">
      <w:pPr>
        <w:spacing w:line="588" w:lineRule="exact"/>
        <w:ind w:firstLine="446"/>
        <w:rPr>
          <w:rFonts w:ascii="宋体" w:hAnsi="宋体"/>
          <w:color w:val="000000" w:themeColor="text1"/>
          <w:spacing w:val="6"/>
          <w:sz w:val="24"/>
          <w:szCs w:val="24"/>
          <w:highlight w:val="none"/>
          <w14:textFill>
            <w14:solidFill>
              <w14:schemeClr w14:val="tx1"/>
            </w14:solidFill>
          </w14:textFill>
        </w:rPr>
      </w:pPr>
      <w:r>
        <w:rPr>
          <w:rFonts w:ascii="宋体" w:hAnsi="宋体"/>
          <w:b/>
          <w:color w:val="000000" w:themeColor="text1"/>
          <w:spacing w:val="6"/>
          <w:sz w:val="24"/>
          <w:szCs w:val="24"/>
          <w:highlight w:val="none"/>
          <w14:textFill>
            <w14:solidFill>
              <w14:schemeClr w14:val="tx1"/>
            </w14:solidFill>
          </w14:textFill>
        </w:rPr>
        <w:t>本单位对上述声明的真实性负责。如有虚假，将依法承担相应责任。</w:t>
      </w:r>
    </w:p>
    <w:p w14:paraId="58C4C343">
      <w:pPr>
        <w:spacing w:line="588" w:lineRule="exact"/>
        <w:ind w:firstLine="444"/>
        <w:rPr>
          <w:color w:val="000000" w:themeColor="text1"/>
          <w:spacing w:val="6"/>
          <w:sz w:val="24"/>
          <w:szCs w:val="24"/>
          <w:highlight w:val="none"/>
          <w14:textFill>
            <w14:solidFill>
              <w14:schemeClr w14:val="tx1"/>
            </w14:solidFill>
          </w14:textFill>
        </w:rPr>
      </w:pPr>
    </w:p>
    <w:p w14:paraId="561C3B26">
      <w:pPr>
        <w:spacing w:line="588" w:lineRule="exact"/>
        <w:ind w:firstLine="444"/>
        <w:rPr>
          <w:color w:val="000000" w:themeColor="text1"/>
          <w:spacing w:val="6"/>
          <w:sz w:val="24"/>
          <w:szCs w:val="24"/>
          <w:highlight w:val="none"/>
          <w14:textFill>
            <w14:solidFill>
              <w14:schemeClr w14:val="tx1"/>
            </w14:solidFill>
          </w14:textFill>
        </w:rPr>
      </w:pPr>
    </w:p>
    <w:p w14:paraId="0EFA8604">
      <w:pPr>
        <w:tabs>
          <w:tab w:val="left" w:pos="4860"/>
        </w:tabs>
        <w:spacing w:line="588" w:lineRule="exact"/>
        <w:ind w:right="1560" w:firstLine="444"/>
        <w:jc w:val="center"/>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               单位名称（加盖公章）：</w:t>
      </w:r>
    </w:p>
    <w:p w14:paraId="0C1744CC">
      <w:pPr>
        <w:tabs>
          <w:tab w:val="left" w:pos="4860"/>
        </w:tabs>
        <w:spacing w:line="588" w:lineRule="exact"/>
        <w:ind w:right="1560" w:firstLine="444"/>
        <w:jc w:val="center"/>
        <w:rPr>
          <w:color w:val="000000" w:themeColor="text1"/>
          <w:spacing w:val="6"/>
          <w:sz w:val="24"/>
          <w:szCs w:val="24"/>
          <w:highlight w:val="none"/>
          <w14:textFill>
            <w14:solidFill>
              <w14:schemeClr w14:val="tx1"/>
            </w14:solidFill>
          </w14:textFill>
        </w:rPr>
      </w:pPr>
      <w:r>
        <w:rPr>
          <w:color w:val="000000" w:themeColor="text1"/>
          <w:spacing w:val="6"/>
          <w:sz w:val="24"/>
          <w:szCs w:val="24"/>
          <w:highlight w:val="none"/>
          <w14:textFill>
            <w14:solidFill>
              <w14:schemeClr w14:val="tx1"/>
            </w14:solidFill>
          </w14:textFill>
        </w:rPr>
        <w:t xml:space="preserve">       日  期：</w:t>
      </w:r>
    </w:p>
    <w:p w14:paraId="15E12287">
      <w:pPr>
        <w:spacing w:line="240" w:lineRule="auto"/>
        <w:outlineLvl w:val="2"/>
        <w:rPr>
          <w:color w:val="000000" w:themeColor="text1"/>
          <w:sz w:val="24"/>
          <w:szCs w:val="24"/>
          <w:highlight w:val="none"/>
          <w14:textFill>
            <w14:solidFill>
              <w14:schemeClr w14:val="tx1"/>
            </w14:solidFill>
          </w14:textFill>
        </w:rPr>
      </w:pPr>
    </w:p>
    <w:p w14:paraId="536FDD64">
      <w:pPr>
        <w:widowControl/>
        <w:spacing w:line="240" w:lineRule="auto"/>
        <w:jc w:val="left"/>
        <w:rPr>
          <w:color w:val="000000" w:themeColor="text1"/>
          <w:sz w:val="24"/>
          <w:szCs w:val="20"/>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78AA27DD">
      <w:pPr>
        <w:widowControl/>
        <w:spacing w:line="24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2-3</w:t>
      </w:r>
      <w:r>
        <w:rPr>
          <w:color w:val="000000" w:themeColor="text1"/>
          <w:sz w:val="24"/>
          <w:highlight w:val="none"/>
          <w14:textFill>
            <w14:solidFill>
              <w14:schemeClr w14:val="tx1"/>
            </w14:solidFill>
          </w14:textFill>
        </w:rPr>
        <w:t>其它落实政府采购政策的资格要求</w:t>
      </w:r>
      <w:r>
        <w:rPr>
          <w:color w:val="000000" w:themeColor="text1"/>
          <w:sz w:val="24"/>
          <w:szCs w:val="20"/>
          <w:highlight w:val="none"/>
          <w14:textFill>
            <w14:solidFill>
              <w14:schemeClr w14:val="tx1"/>
            </w14:solidFill>
          </w14:textFill>
        </w:rPr>
        <w:t>（如有）</w:t>
      </w:r>
    </w:p>
    <w:p w14:paraId="21497E91">
      <w:pPr>
        <w:widowControl/>
        <w:spacing w:line="240" w:lineRule="auto"/>
        <w:jc w:val="left"/>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3 </w:t>
      </w:r>
      <w:r>
        <w:rPr>
          <w:color w:val="000000" w:themeColor="text1"/>
          <w:sz w:val="24"/>
          <w:highlight w:val="none"/>
          <w14:textFill>
            <w14:solidFill>
              <w14:schemeClr w14:val="tx1"/>
            </w14:solidFill>
          </w14:textFill>
        </w:rPr>
        <w:t>本项目的特定资格要求</w:t>
      </w:r>
    </w:p>
    <w:p w14:paraId="0BBA0C5B">
      <w:pPr>
        <w:spacing w:line="360" w:lineRule="auto"/>
        <w:outlineLvl w:val="2"/>
        <w:rPr>
          <w:rFonts w:hint="default" w:ascii="Times New Roman" w:hAnsi="Times New Roman" w:eastAsia="宋体" w:cs="Times New Roman"/>
          <w:color w:val="000000"/>
          <w:kern w:val="2"/>
          <w:sz w:val="24"/>
          <w:szCs w:val="20"/>
          <w:highlight w:val="none"/>
        </w:rPr>
      </w:pPr>
      <w:bookmarkStart w:id="1238" w:name="_Toc226309801"/>
      <w:bookmarkStart w:id="1239" w:name="_Toc226337253"/>
      <w:bookmarkStart w:id="1240" w:name="_Toc226965830"/>
      <w:bookmarkStart w:id="1241" w:name="_Toc264969247"/>
      <w:bookmarkStart w:id="1242" w:name="_Toc127151557"/>
      <w:bookmarkStart w:id="1243" w:name="_Toc226965747"/>
      <w:bookmarkStart w:id="1244" w:name="_Toc195842922"/>
      <w:bookmarkStart w:id="1245" w:name="_Toc150480795"/>
      <w:bookmarkStart w:id="1246" w:name="_Toc480942350"/>
      <w:bookmarkStart w:id="1247" w:name="_Toc305158825"/>
      <w:bookmarkStart w:id="1248" w:name="_Toc142311059"/>
      <w:bookmarkStart w:id="1249" w:name="_Toc305158899"/>
      <w:bookmarkStart w:id="1250" w:name="_Toc520356218"/>
      <w:bookmarkStart w:id="1251" w:name="_Ref467988705"/>
      <w:bookmarkStart w:id="1252" w:name="_Toc150774762"/>
      <w:bookmarkStart w:id="1253" w:name="_Toc265228395"/>
      <w:r>
        <w:rPr>
          <w:rFonts w:hint="default" w:ascii="Times New Roman" w:hAnsi="Times New Roman" w:eastAsia="宋体" w:cs="Times New Roman"/>
          <w:color w:val="000000"/>
          <w:kern w:val="2"/>
          <w:sz w:val="24"/>
          <w:szCs w:val="20"/>
          <w:highlight w:val="none"/>
        </w:rPr>
        <w:t>3-1联合协议（如有）（实质性格式）</w:t>
      </w:r>
    </w:p>
    <w:p w14:paraId="3CEEFF83">
      <w:pPr>
        <w:rPr>
          <w:rFonts w:hint="eastAsia"/>
          <w:color w:val="000000" w:themeColor="text1"/>
          <w:sz w:val="24"/>
          <w:highlight w:val="none"/>
          <w14:textFill>
            <w14:solidFill>
              <w14:schemeClr w14:val="tx1"/>
            </w14:solidFill>
          </w14:textFill>
        </w:rPr>
      </w:pPr>
    </w:p>
    <w:p w14:paraId="60AF95F3">
      <w:pPr>
        <w:keepNext w:val="0"/>
        <w:keepLines w:val="0"/>
        <w:pageBreakBefore w:val="0"/>
        <w:widowControl w:val="0"/>
        <w:spacing w:line="240" w:lineRule="auto"/>
        <w:ind w:firstLine="480"/>
        <w:outlineLvl w:val="2"/>
        <w:rPr>
          <w:color w:val="000000" w:themeColor="text1"/>
          <w:sz w:val="24"/>
          <w:szCs w:val="20"/>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szCs w:val="20"/>
          <w:highlight w:val="none"/>
          <w14:textFill>
            <w14:solidFill>
              <w14:schemeClr w14:val="tx1"/>
            </w14:solidFill>
          </w14:textFill>
        </w:rPr>
        <w:t xml:space="preserve">  </w:t>
      </w:r>
      <w:r>
        <w:rPr>
          <w:color w:val="000000" w:themeColor="text1"/>
          <w:sz w:val="24"/>
          <w:highlight w:val="none"/>
          <w14:textFill>
            <w14:solidFill>
              <w14:schemeClr w14:val="tx1"/>
            </w14:solidFill>
          </w14:textFill>
        </w:rPr>
        <w:t>响应</w:t>
      </w:r>
      <w:r>
        <w:rPr>
          <w:rFonts w:hint="eastAsia"/>
          <w:color w:val="000000" w:themeColor="text1"/>
          <w:sz w:val="24"/>
          <w:highlight w:val="none"/>
          <w14:textFill>
            <w14:solidFill>
              <w14:schemeClr w14:val="tx1"/>
            </w14:solidFill>
          </w14:textFill>
        </w:rPr>
        <w:t>函</w:t>
      </w:r>
      <w:r>
        <w:rPr>
          <w:color w:val="000000" w:themeColor="text1"/>
          <w:sz w:val="24"/>
          <w:szCs w:val="20"/>
          <w:highlight w:val="none"/>
          <w14:textFill>
            <w14:solidFill>
              <w14:schemeClr w14:val="tx1"/>
            </w14:solidFill>
          </w14:textFill>
        </w:rPr>
        <w:t>（实质性格式）</w:t>
      </w:r>
    </w:p>
    <w:p w14:paraId="4124FE86">
      <w:pPr>
        <w:tabs>
          <w:tab w:val="left" w:pos="5580"/>
        </w:tabs>
        <w:spacing w:line="360" w:lineRule="auto"/>
        <w:rPr>
          <w:color w:val="000000" w:themeColor="text1"/>
          <w:sz w:val="24"/>
          <w:highlight w:val="none"/>
          <w14:textFill>
            <w14:solidFill>
              <w14:schemeClr w14:val="tx1"/>
            </w14:solidFill>
          </w14:textFill>
        </w:rPr>
      </w:pPr>
    </w:p>
    <w:p w14:paraId="770857BF">
      <w:pPr>
        <w:spacing w:line="360" w:lineRule="auto"/>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响应函</w:t>
      </w:r>
    </w:p>
    <w:p w14:paraId="0E31D802">
      <w:pPr>
        <w:tabs>
          <w:tab w:val="left" w:pos="55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（采购人或采购代理机构）</w:t>
      </w:r>
    </w:p>
    <w:p w14:paraId="07A196B4">
      <w:pPr>
        <w:tabs>
          <w:tab w:val="left" w:pos="5580"/>
        </w:tabs>
        <w:spacing w:line="360" w:lineRule="auto"/>
        <w:rPr>
          <w:color w:val="000000" w:themeColor="text1"/>
          <w:sz w:val="24"/>
          <w:szCs w:val="20"/>
          <w:highlight w:val="none"/>
          <w14:textFill>
            <w14:solidFill>
              <w14:schemeClr w14:val="tx1"/>
            </w14:solidFill>
          </w14:textFill>
        </w:rPr>
      </w:pPr>
    </w:p>
    <w:p w14:paraId="4B13E204">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我方参加你方就___________（项目名称，项目编号/包号）组织的</w:t>
      </w:r>
      <w:r>
        <w:rPr>
          <w:rFonts w:hint="eastAsia"/>
          <w:color w:val="000000" w:themeColor="text1"/>
          <w:sz w:val="24"/>
          <w:szCs w:val="20"/>
          <w:highlight w:val="none"/>
          <w14:textFill>
            <w14:solidFill>
              <w14:schemeClr w14:val="tx1"/>
            </w14:solidFill>
          </w14:textFill>
        </w:rPr>
        <w:t>政府采购</w:t>
      </w:r>
      <w:r>
        <w:rPr>
          <w:color w:val="000000" w:themeColor="text1"/>
          <w:sz w:val="24"/>
          <w:szCs w:val="20"/>
          <w:highlight w:val="none"/>
          <w14:textFill>
            <w14:solidFill>
              <w14:schemeClr w14:val="tx1"/>
            </w14:solidFill>
          </w14:textFill>
        </w:rPr>
        <w:t>活动，并对此项目进行响应。</w:t>
      </w:r>
    </w:p>
    <w:p w14:paraId="5A36CABD">
      <w:pPr>
        <w:tabs>
          <w:tab w:val="left" w:pos="5580"/>
        </w:tabs>
        <w:spacing w:line="360" w:lineRule="auto"/>
        <w:ind w:firstLine="408"/>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 我方</w:t>
      </w:r>
      <w:r>
        <w:rPr>
          <w:color w:val="000000" w:themeColor="text1"/>
          <w:sz w:val="24"/>
          <w:highlight w:val="none"/>
          <w14:textFill>
            <w14:solidFill>
              <w14:schemeClr w14:val="tx1"/>
            </w14:solidFill>
          </w14:textFill>
        </w:rPr>
        <w:t>已详细审查全部磋商文件</w:t>
      </w:r>
      <w:r>
        <w:rPr>
          <w:color w:val="000000" w:themeColor="text1"/>
          <w:sz w:val="24"/>
          <w:szCs w:val="20"/>
          <w:highlight w:val="none"/>
          <w14:textFill>
            <w14:solidFill>
              <w14:schemeClr w14:val="tx1"/>
            </w14:solidFill>
          </w14:textFill>
        </w:rPr>
        <w:t>，自愿参与响应并承诺如下：</w:t>
      </w:r>
    </w:p>
    <w:p w14:paraId="456CB3C2">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（1）本响应有效期为自提交响应文件的截止之日起</w:t>
      </w:r>
      <w:r>
        <w:rPr>
          <w:rFonts w:hint="eastAsia"/>
          <w:color w:val="000000" w:themeColor="text1"/>
          <w:sz w:val="24"/>
          <w:highlight w:val="none"/>
          <w14:textFill>
            <w14:solidFill>
              <w14:schemeClr w14:val="tx1"/>
            </w14:solidFill>
          </w14:textFill>
        </w:rPr>
        <w:t>60</w:t>
      </w:r>
      <w:r>
        <w:rPr>
          <w:color w:val="000000" w:themeColor="text1"/>
          <w:sz w:val="24"/>
          <w:szCs w:val="20"/>
          <w:highlight w:val="none"/>
          <w14:textFill>
            <w14:solidFill>
              <w14:schemeClr w14:val="tx1"/>
            </w14:solidFill>
          </w14:textFill>
        </w:rPr>
        <w:t>个日历日。</w:t>
      </w:r>
    </w:p>
    <w:p w14:paraId="5646ED31">
      <w:pPr>
        <w:tabs>
          <w:tab w:val="left" w:pos="720"/>
          <w:tab w:val="left" w:pos="900"/>
        </w:tabs>
        <w:spacing w:line="360" w:lineRule="auto"/>
        <w:ind w:left="360" w:firstLine="7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（2）除合同条款及采购需求偏离表列出的偏离外，我方响应磋商文件的全部要求。</w:t>
      </w:r>
    </w:p>
    <w:p w14:paraId="023127B7">
      <w:pPr>
        <w:tabs>
          <w:tab w:val="left" w:pos="5580"/>
        </w:tabs>
        <w:spacing w:line="360" w:lineRule="auto"/>
        <w:ind w:firstLine="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（3）我方已提供的全部文件资料是真实、准确的，并对此承担一切法律后果。</w:t>
      </w:r>
    </w:p>
    <w:p w14:paraId="2807491A">
      <w:pPr>
        <w:tabs>
          <w:tab w:val="left" w:pos="5580"/>
        </w:tabs>
        <w:spacing w:line="360" w:lineRule="auto"/>
        <w:ind w:firstLine="4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（4）如我方中标，我方将在法律规定的期限内与你方签订合同，按照磋商文件要求提交履约保证金，并在合同约定的期限内完成合同规定的全部义务。</w:t>
      </w:r>
    </w:p>
    <w:p w14:paraId="01875B20">
      <w:pPr>
        <w:spacing w:line="360" w:lineRule="auto"/>
        <w:ind w:left="4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 其他补充条款（如有）：</w:t>
      </w:r>
      <w:r>
        <w:rPr>
          <w:color w:val="000000" w:themeColor="text1"/>
          <w:sz w:val="24"/>
          <w:szCs w:val="20"/>
          <w:highlight w:val="none"/>
          <w14:textFill>
            <w14:solidFill>
              <w14:schemeClr w14:val="tx1"/>
            </w14:solidFill>
          </w14:textFill>
        </w:rPr>
        <w:t>___________</w:t>
      </w:r>
      <w:r>
        <w:rPr>
          <w:color w:val="000000" w:themeColor="text1"/>
          <w:sz w:val="24"/>
          <w:highlight w:val="none"/>
          <w14:textFill>
            <w14:solidFill>
              <w14:schemeClr w14:val="tx1"/>
            </w14:solidFill>
          </w14:textFill>
        </w:rPr>
        <w:t>。</w:t>
      </w:r>
    </w:p>
    <w:p w14:paraId="0BD64D30">
      <w:pPr>
        <w:spacing w:line="360" w:lineRule="auto"/>
        <w:ind w:firstLine="480"/>
        <w:rPr>
          <w:rFonts w:hint="eastAsia" w:eastAsia="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与本响应有关的一切正式往来信函请寄：</w:t>
      </w:r>
      <w:r>
        <w:rPr>
          <w:rFonts w:hint="eastAsia"/>
          <w:color w:val="000000" w:themeColor="text1"/>
          <w:sz w:val="24"/>
          <w:highlight w:val="none"/>
          <w:lang w:val="en-US" w:eastAsia="zh-CN"/>
          <w14:textFill>
            <w14:solidFill>
              <w14:schemeClr w14:val="tx1"/>
            </w14:solidFill>
          </w14:textFill>
        </w:rPr>
        <w:t xml:space="preserve"> </w:t>
      </w:r>
    </w:p>
    <w:p w14:paraId="76DBD463">
      <w:pPr>
        <w:tabs>
          <w:tab w:val="left" w:pos="5580"/>
        </w:tabs>
        <w:spacing w:line="360" w:lineRule="auto"/>
        <w:ind w:left="420"/>
        <w:rPr>
          <w:color w:val="000000" w:themeColor="text1"/>
          <w:sz w:val="24"/>
          <w:szCs w:val="20"/>
          <w:highlight w:val="none"/>
          <w14:textFill>
            <w14:solidFill>
              <w14:schemeClr w14:val="tx1"/>
            </w14:solidFill>
          </w14:textFill>
        </w:rPr>
      </w:pPr>
    </w:p>
    <w:p w14:paraId="7F051B5D">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地址_________________________     传真____________________________</w:t>
      </w:r>
    </w:p>
    <w:p w14:paraId="780FCFF9">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电话_________________________     电子函件________________________</w:t>
      </w:r>
    </w:p>
    <w:p w14:paraId="1F3FF180">
      <w:pPr>
        <w:tabs>
          <w:tab w:val="left" w:pos="5580"/>
        </w:tabs>
        <w:spacing w:line="360" w:lineRule="auto"/>
        <w:ind w:left="420"/>
        <w:rPr>
          <w:color w:val="000000" w:themeColor="text1"/>
          <w:sz w:val="24"/>
          <w:szCs w:val="20"/>
          <w:highlight w:val="none"/>
          <w14:textFill>
            <w14:solidFill>
              <w14:schemeClr w14:val="tx1"/>
            </w14:solidFill>
          </w14:textFill>
        </w:rPr>
      </w:pPr>
    </w:p>
    <w:p w14:paraId="09219DCE">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供应商名称（加盖公章） ___________</w:t>
      </w:r>
    </w:p>
    <w:p w14:paraId="6DF18E09">
      <w:pPr>
        <w:tabs>
          <w:tab w:val="left" w:pos="5580"/>
        </w:tabs>
        <w:spacing w:line="360" w:lineRule="auto"/>
        <w:ind w:left="42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7F836572">
      <w:pPr>
        <w:tabs>
          <w:tab w:val="left" w:pos="5580"/>
        </w:tabs>
        <w:spacing w:line="360" w:lineRule="auto"/>
        <w:ind w:left="420"/>
        <w:rPr>
          <w:color w:val="000000" w:themeColor="text1"/>
          <w:sz w:val="24"/>
          <w:szCs w:val="20"/>
          <w:highlight w:val="none"/>
          <w:u w:val="single"/>
          <w14:textFill>
            <w14:solidFill>
              <w14:schemeClr w14:val="tx1"/>
            </w14:solidFill>
          </w14:textFill>
        </w:rPr>
      </w:pPr>
    </w:p>
    <w:p w14:paraId="5B4664EE">
      <w:pPr>
        <w:widowControl/>
        <w:jc w:val="left"/>
        <w:rPr>
          <w:rFonts w:hint="eastAsia"/>
          <w:color w:val="000000" w:themeColor="text1"/>
          <w:sz w:val="24"/>
          <w:highlight w:val="none"/>
          <w14:textFill>
            <w14:solidFill>
              <w14:schemeClr w14:val="tx1"/>
            </w14:solidFill>
          </w14:textFill>
        </w:rPr>
      </w:pPr>
      <w:bookmarkStart w:id="1254" w:name="_Hlt520356243"/>
      <w:bookmarkEnd w:id="1254"/>
      <w:bookmarkStart w:id="1255" w:name="_Hlt520355938"/>
      <w:bookmarkEnd w:id="1255"/>
      <w:r>
        <w:rPr>
          <w:color w:val="000000" w:themeColor="text1"/>
          <w:sz w:val="24"/>
          <w:highlight w:val="none"/>
          <w14:textFill>
            <w14:solidFill>
              <w14:schemeClr w14:val="tx1"/>
            </w14:solidFill>
          </w14:textFill>
        </w:rPr>
        <w:br w:type="page" w:clear="all"/>
      </w:r>
    </w:p>
    <w:p w14:paraId="17EF5F71">
      <w:pPr>
        <w:widowControl/>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法定代表人资格证明书</w:t>
      </w:r>
      <w:r>
        <w:rPr>
          <w:color w:val="000000" w:themeColor="text1"/>
          <w:sz w:val="24"/>
          <w:szCs w:val="20"/>
          <w:highlight w:val="none"/>
          <w14:textFill>
            <w14:solidFill>
              <w14:schemeClr w14:val="tx1"/>
            </w14:solidFill>
          </w14:textFill>
        </w:rPr>
        <w:t>（实质性格式）</w:t>
      </w:r>
    </w:p>
    <w:p w14:paraId="33285EF4">
      <w:pPr>
        <w:spacing w:line="360" w:lineRule="auto"/>
        <w:jc w:val="center"/>
        <w:rPr>
          <w:rFonts w:hint="eastAsia" w:ascii="宋体" w:hAnsi="宋体"/>
          <w:b/>
          <w:color w:val="000000" w:themeColor="text1"/>
          <w:sz w:val="32"/>
          <w:szCs w:val="32"/>
          <w:highlight w:val="none"/>
          <w14:textFill>
            <w14:solidFill>
              <w14:schemeClr w14:val="tx1"/>
            </w14:solidFill>
          </w14:textFill>
        </w:rPr>
      </w:pPr>
    </w:p>
    <w:p w14:paraId="26E07FB9">
      <w:pPr>
        <w:spacing w:line="360" w:lineRule="auto"/>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法定代表人资格证明书</w:t>
      </w:r>
    </w:p>
    <w:p w14:paraId="75F41F66">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单位名称:</w:t>
      </w:r>
    </w:p>
    <w:p w14:paraId="62348413">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地址:</w:t>
      </w:r>
    </w:p>
    <w:p w14:paraId="06A1F4F5">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姓名:     性别:       年龄:      职务:</w:t>
      </w:r>
    </w:p>
    <w:p w14:paraId="447385BD">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系</w:t>
      </w:r>
      <w:r>
        <w:rPr>
          <w:rFonts w:hint="eastAsia" w:ascii="宋体" w:hAnsi="宋体"/>
          <w:color w:val="000000" w:themeColor="text1"/>
          <w:sz w:val="24"/>
          <w:highlight w:val="none"/>
          <w:u w:val="single"/>
          <w14:textFill>
            <w14:solidFill>
              <w14:schemeClr w14:val="tx1"/>
            </w14:solidFill>
          </w14:textFill>
        </w:rPr>
        <w:t>（供应商名称）</w:t>
      </w:r>
      <w:r>
        <w:rPr>
          <w:rFonts w:hint="eastAsia" w:ascii="宋体" w:hAnsi="宋体"/>
          <w:color w:val="000000" w:themeColor="text1"/>
          <w:sz w:val="24"/>
          <w:highlight w:val="none"/>
          <w14:textFill>
            <w14:solidFill>
              <w14:schemeClr w14:val="tx1"/>
            </w14:solidFill>
          </w14:textFill>
        </w:rPr>
        <w:t>的法定代表人。为参与</w:t>
      </w:r>
      <w:r>
        <w:rPr>
          <w:rFonts w:hint="eastAsia" w:ascii="宋体" w:hAnsi="宋体"/>
          <w:color w:val="000000" w:themeColor="text1"/>
          <w:sz w:val="24"/>
          <w:highlight w:val="none"/>
          <w:u w:val="single"/>
          <w14:textFill>
            <w14:solidFill>
              <w14:schemeClr w14:val="tx1"/>
            </w14:solidFill>
          </w14:textFill>
        </w:rPr>
        <w:t>（项目名称）</w:t>
      </w:r>
      <w:r>
        <w:rPr>
          <w:rFonts w:hint="eastAsia" w:ascii="宋体" w:hAnsi="宋体"/>
          <w:color w:val="000000" w:themeColor="text1"/>
          <w:sz w:val="24"/>
          <w:highlight w:val="none"/>
          <w14:textFill>
            <w14:solidFill>
              <w14:schemeClr w14:val="tx1"/>
            </w14:solidFill>
          </w14:textFill>
        </w:rPr>
        <w:t>的政府采购活动，</w:t>
      </w:r>
      <w:r>
        <w:rPr>
          <w:rFonts w:ascii="宋体" w:hAnsi="宋体"/>
          <w:color w:val="000000" w:themeColor="text1"/>
          <w:sz w:val="24"/>
          <w:szCs w:val="20"/>
          <w:highlight w:val="none"/>
          <w14:textFill>
            <w14:solidFill>
              <w14:schemeClr w14:val="tx1"/>
            </w14:solidFill>
          </w14:textFill>
        </w:rPr>
        <w:t>签署、澄清确认、递交、撤回、修改</w:t>
      </w:r>
      <w:r>
        <w:rPr>
          <w:rFonts w:hint="eastAsia" w:ascii="宋体" w:hAnsi="宋体"/>
          <w:color w:val="000000" w:themeColor="text1"/>
          <w:sz w:val="24"/>
          <w:highlight w:val="none"/>
          <w14:textFill>
            <w14:solidFill>
              <w14:schemeClr w14:val="tx1"/>
            </w14:solidFill>
          </w14:textFill>
        </w:rPr>
        <w:t>上述项目的响应文件、进行合同磋商、签署合同和处理与之有关的一切事务。</w:t>
      </w:r>
    </w:p>
    <w:p w14:paraId="43E1EDB6">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特此证明。</w:t>
      </w:r>
    </w:p>
    <w:p w14:paraId="27BDDA89">
      <w:pPr>
        <w:spacing w:line="560" w:lineRule="exact"/>
        <w:rPr>
          <w:rFonts w:ascii="宋体" w:hAnsi="宋体"/>
          <w:color w:val="000000" w:themeColor="text1"/>
          <w:sz w:val="24"/>
          <w:highlight w:val="none"/>
          <w14:textFill>
            <w14:solidFill>
              <w14:schemeClr w14:val="tx1"/>
            </w14:solidFill>
          </w14:textFill>
        </w:rPr>
      </w:pPr>
    </w:p>
    <w:p w14:paraId="1E101C82">
      <w:pPr>
        <w:pStyle w:val="35"/>
        <w:spacing w:line="583" w:lineRule="auto"/>
        <w:ind w:right="-46"/>
        <w:rPr>
          <w:color w:val="000000" w:themeColor="text1"/>
          <w:spacing w:val="-3"/>
          <w:highlight w:val="none"/>
          <w14:textFill>
            <w14:solidFill>
              <w14:schemeClr w14:val="tx1"/>
            </w14:solidFill>
          </w14:textFill>
        </w:rPr>
      </w:pPr>
      <w:r>
        <w:rPr>
          <w:color w:val="000000" w:themeColor="text1"/>
          <w:highlight w:val="none"/>
          <w14:textFill>
            <w14:solidFill>
              <w14:schemeClr w14:val="tx1"/>
            </w14:solidFill>
          </w14:textFill>
        </w:rPr>
        <w:t>附：</w:t>
      </w:r>
      <w:r>
        <w:rPr>
          <w:color w:val="000000" w:themeColor="text1"/>
          <w:spacing w:val="-3"/>
          <w:highlight w:val="none"/>
          <w14:textFill>
            <w14:solidFill>
              <w14:schemeClr w14:val="tx1"/>
            </w14:solidFill>
          </w14:textFill>
        </w:rPr>
        <w:t>法</w:t>
      </w:r>
      <w:r>
        <w:rPr>
          <w:color w:val="000000" w:themeColor="text1"/>
          <w:highlight w:val="none"/>
          <w14:textFill>
            <w14:solidFill>
              <w14:schemeClr w14:val="tx1"/>
            </w14:solidFill>
          </w14:textFill>
        </w:rPr>
        <w:t>定</w:t>
      </w:r>
      <w:r>
        <w:rPr>
          <w:color w:val="000000" w:themeColor="text1"/>
          <w:spacing w:val="-3"/>
          <w:highlight w:val="none"/>
          <w14:textFill>
            <w14:solidFill>
              <w14:schemeClr w14:val="tx1"/>
            </w14:solidFill>
          </w14:textFill>
        </w:rPr>
        <w:t>代</w:t>
      </w:r>
      <w:r>
        <w:rPr>
          <w:color w:val="000000" w:themeColor="text1"/>
          <w:highlight w:val="none"/>
          <w14:textFill>
            <w14:solidFill>
              <w14:schemeClr w14:val="tx1"/>
            </w14:solidFill>
          </w14:textFill>
        </w:rPr>
        <w:t>表</w:t>
      </w:r>
      <w:r>
        <w:rPr>
          <w:color w:val="000000" w:themeColor="text1"/>
          <w:spacing w:val="-3"/>
          <w:highlight w:val="none"/>
          <w14:textFill>
            <w14:solidFill>
              <w14:schemeClr w14:val="tx1"/>
            </w14:solidFill>
          </w14:textFill>
        </w:rPr>
        <w:t>人</w:t>
      </w:r>
      <w:r>
        <w:rPr>
          <w:color w:val="000000" w:themeColor="text1"/>
          <w:highlight w:val="none"/>
          <w14:textFill>
            <w14:solidFill>
              <w14:schemeClr w14:val="tx1"/>
            </w14:solidFill>
          </w14:textFill>
        </w:rPr>
        <w:t>（</w:t>
      </w:r>
      <w:r>
        <w:rPr>
          <w:color w:val="000000" w:themeColor="text1"/>
          <w:spacing w:val="-3"/>
          <w:highlight w:val="none"/>
          <w14:textFill>
            <w14:solidFill>
              <w14:schemeClr w14:val="tx1"/>
            </w14:solidFill>
          </w14:textFill>
        </w:rPr>
        <w:t>单</w:t>
      </w:r>
      <w:r>
        <w:rPr>
          <w:color w:val="000000" w:themeColor="text1"/>
          <w:highlight w:val="none"/>
          <w14:textFill>
            <w14:solidFill>
              <w14:schemeClr w14:val="tx1"/>
            </w14:solidFill>
          </w14:textFill>
        </w:rPr>
        <w:t>位</w:t>
      </w:r>
      <w:r>
        <w:rPr>
          <w:color w:val="000000" w:themeColor="text1"/>
          <w:spacing w:val="-3"/>
          <w:highlight w:val="none"/>
          <w14:textFill>
            <w14:solidFill>
              <w14:schemeClr w14:val="tx1"/>
            </w14:solidFill>
          </w14:textFill>
        </w:rPr>
        <w:t>负</w:t>
      </w:r>
      <w:r>
        <w:rPr>
          <w:color w:val="000000" w:themeColor="text1"/>
          <w:highlight w:val="none"/>
          <w14:textFill>
            <w14:solidFill>
              <w14:schemeClr w14:val="tx1"/>
            </w14:solidFill>
          </w14:textFill>
        </w:rPr>
        <w:t>责人</w:t>
      </w:r>
      <w:r>
        <w:rPr>
          <w:color w:val="000000" w:themeColor="text1"/>
          <w:spacing w:val="-3"/>
          <w:highlight w:val="none"/>
          <w14:textFill>
            <w14:solidFill>
              <w14:schemeClr w14:val="tx1"/>
            </w14:solidFill>
          </w14:textFill>
        </w:rPr>
        <w:t>）有效期内的身</w:t>
      </w:r>
      <w:r>
        <w:rPr>
          <w:rFonts w:hint="eastAsia"/>
          <w:color w:val="000000" w:themeColor="text1"/>
          <w:spacing w:val="-3"/>
          <w:highlight w:val="none"/>
          <w14:textFill>
            <w14:solidFill>
              <w14:schemeClr w14:val="tx1"/>
            </w14:solidFill>
          </w14:textFill>
        </w:rPr>
        <w:t>份</w:t>
      </w:r>
      <w:r>
        <w:rPr>
          <w:color w:val="000000" w:themeColor="text1"/>
          <w:spacing w:val="-3"/>
          <w:highlight w:val="none"/>
          <w14:textFill>
            <w14:solidFill>
              <w14:schemeClr w14:val="tx1"/>
            </w14:solidFill>
          </w14:textFill>
        </w:rPr>
        <w:t>证正反面</w:t>
      </w:r>
      <w:r>
        <w:rPr>
          <w:rFonts w:hint="eastAsia"/>
          <w:color w:val="000000" w:themeColor="text1"/>
          <w:spacing w:val="-3"/>
          <w:highlight w:val="none"/>
          <w14:textFill>
            <w14:solidFill>
              <w14:schemeClr w14:val="tx1"/>
            </w14:solidFill>
          </w14:textFill>
        </w:rPr>
        <w:t>电子</w:t>
      </w:r>
      <w:r>
        <w:rPr>
          <w:color w:val="000000" w:themeColor="text1"/>
          <w:spacing w:val="-3"/>
          <w:highlight w:val="none"/>
          <w14:textFill>
            <w14:solidFill>
              <w14:schemeClr w14:val="tx1"/>
            </w14:solidFill>
          </w14:textFill>
        </w:rPr>
        <w:t>件</w:t>
      </w:r>
      <w:r>
        <w:rPr>
          <w:rFonts w:hint="eastAsia"/>
          <w:color w:val="000000" w:themeColor="text1"/>
          <w:spacing w:val="-3"/>
          <w:highlight w:val="none"/>
          <w14:textFill>
            <w14:solidFill>
              <w14:schemeClr w14:val="tx1"/>
            </w14:solidFill>
          </w14:textFill>
        </w:rPr>
        <w:t>。</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C5A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6340E8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54853E3">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6253B2D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5590D610">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0BB561B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0892DA06">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4075BAC2">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供应商：（加盖公章）</w:t>
      </w:r>
    </w:p>
    <w:p w14:paraId="05311CAE">
      <w:pPr>
        <w:spacing w:line="5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法定代表人</w:t>
      </w:r>
      <w:r>
        <w:rPr>
          <w:rFonts w:ascii="宋体" w:hAnsi="宋体"/>
          <w:color w:val="000000" w:themeColor="text1"/>
          <w:sz w:val="24"/>
          <w:szCs w:val="20"/>
          <w:highlight w:val="none"/>
          <w14:textFill>
            <w14:solidFill>
              <w14:schemeClr w14:val="tx1"/>
            </w14:solidFill>
          </w14:textFill>
        </w:rPr>
        <w:t>签字</w:t>
      </w:r>
      <w:r>
        <w:rPr>
          <w:rFonts w:hint="eastAsia" w:ascii="宋体" w:hAnsi="宋体"/>
          <w:color w:val="000000" w:themeColor="text1"/>
          <w:sz w:val="24"/>
          <w:szCs w:val="20"/>
          <w:highlight w:val="none"/>
          <w14:textFill>
            <w14:solidFill>
              <w14:schemeClr w14:val="tx1"/>
            </w14:solidFill>
          </w14:textFill>
        </w:rPr>
        <w:t>、签章</w:t>
      </w:r>
      <w:r>
        <w:rPr>
          <w:rFonts w:ascii="宋体" w:hAnsi="宋体"/>
          <w:color w:val="000000" w:themeColor="text1"/>
          <w:sz w:val="24"/>
          <w:szCs w:val="20"/>
          <w:highlight w:val="none"/>
          <w14:textFill>
            <w14:solidFill>
              <w14:schemeClr w14:val="tx1"/>
            </w14:solidFill>
          </w14:textFill>
        </w:rPr>
        <w:t>或</w:t>
      </w:r>
      <w:r>
        <w:rPr>
          <w:rFonts w:hint="eastAsia" w:ascii="宋体" w:hAnsi="宋体"/>
          <w:color w:val="000000" w:themeColor="text1"/>
          <w:sz w:val="24"/>
          <w:szCs w:val="20"/>
          <w:highlight w:val="none"/>
          <w14:textFill>
            <w14:solidFill>
              <w14:schemeClr w14:val="tx1"/>
            </w14:solidFill>
          </w14:textFill>
        </w:rPr>
        <w:t>印鉴</w:t>
      </w:r>
      <w:r>
        <w:rPr>
          <w:rFonts w:hint="eastAsia" w:ascii="宋体" w:hAnsi="宋体"/>
          <w:color w:val="000000" w:themeColor="text1"/>
          <w:sz w:val="24"/>
          <w:highlight w:val="none"/>
          <w14:textFill>
            <w14:solidFill>
              <w14:schemeClr w14:val="tx1"/>
            </w14:solidFill>
          </w14:textFill>
        </w:rPr>
        <w:t>：</w:t>
      </w:r>
    </w:p>
    <w:p w14:paraId="628BF986">
      <w:pPr>
        <w:spacing w:line="560" w:lineRule="exact"/>
        <w:ind w:firstLine="43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日期：    年    月    日</w:t>
      </w:r>
    </w:p>
    <w:p w14:paraId="31B94E28">
      <w:pPr>
        <w:widowControl/>
        <w:jc w:val="left"/>
        <w:rPr>
          <w:rFonts w:hint="eastAsia"/>
          <w:color w:val="000000" w:themeColor="text1"/>
          <w:sz w:val="24"/>
          <w:highlight w:val="none"/>
          <w14:textFill>
            <w14:solidFill>
              <w14:schemeClr w14:val="tx1"/>
            </w14:solidFill>
          </w14:textFill>
        </w:rPr>
      </w:pPr>
    </w:p>
    <w:p w14:paraId="1096137C">
      <w:pPr>
        <w:widowControl/>
        <w:jc w:val="left"/>
        <w:rPr>
          <w:rFonts w:hint="eastAsia"/>
          <w:color w:val="000000" w:themeColor="text1"/>
          <w:sz w:val="24"/>
          <w:highlight w:val="none"/>
          <w14:textFill>
            <w14:solidFill>
              <w14:schemeClr w14:val="tx1"/>
            </w14:solidFill>
          </w14:textFill>
        </w:rPr>
      </w:pPr>
    </w:p>
    <w:p w14:paraId="5D86E2A1">
      <w:pPr>
        <w:widowControl/>
        <w:jc w:val="left"/>
        <w:rPr>
          <w:rFonts w:hint="eastAsia"/>
          <w:color w:val="000000" w:themeColor="text1"/>
          <w:sz w:val="24"/>
          <w:highlight w:val="none"/>
          <w14:textFill>
            <w14:solidFill>
              <w14:schemeClr w14:val="tx1"/>
            </w14:solidFill>
          </w14:textFill>
        </w:rPr>
      </w:pPr>
    </w:p>
    <w:p w14:paraId="2920FC16">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说明</w:t>
      </w:r>
      <w:r>
        <w:rPr>
          <w:rFonts w:ascii="宋体" w:hAnsi="宋体"/>
          <w:color w:val="000000" w:themeColor="text1"/>
          <w:sz w:val="24"/>
          <w:szCs w:val="20"/>
          <w:highlight w:val="none"/>
          <w14:textFill>
            <w14:solidFill>
              <w14:schemeClr w14:val="tx1"/>
            </w14:solidFill>
          </w14:textFill>
        </w:rPr>
        <w:t>：</w:t>
      </w:r>
    </w:p>
    <w:p w14:paraId="4FA8175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1.若供应商为事业单位或其他组织或分支机构（仅当</w:t>
      </w:r>
      <w:r>
        <w:rPr>
          <w:rFonts w:hint="eastAsia" w:ascii="宋体" w:hAnsi="宋体"/>
          <w:color w:val="000000" w:themeColor="text1"/>
          <w:sz w:val="24"/>
          <w:szCs w:val="20"/>
          <w:highlight w:val="none"/>
          <w14:textFill>
            <w14:solidFill>
              <w14:schemeClr w14:val="tx1"/>
            </w14:solidFill>
          </w14:textFill>
        </w:rPr>
        <w:t>磋商文件</w:t>
      </w:r>
      <w:r>
        <w:rPr>
          <w:rFonts w:ascii="宋体" w:hAnsi="宋体"/>
          <w:color w:val="000000" w:themeColor="text1"/>
          <w:sz w:val="24"/>
          <w:szCs w:val="20"/>
          <w:highlight w:val="none"/>
          <w14:textFill>
            <w14:solidFill>
              <w14:schemeClr w14:val="tx1"/>
            </w14:solidFill>
          </w14:textFill>
        </w:rPr>
        <w:t>注明允许分支机构</w:t>
      </w:r>
      <w:r>
        <w:rPr>
          <w:rFonts w:hint="eastAsia" w:ascii="宋体" w:hAnsi="宋体"/>
          <w:color w:val="000000" w:themeColor="text1"/>
          <w:sz w:val="24"/>
          <w:szCs w:val="20"/>
          <w:highlight w:val="none"/>
          <w14:textFill>
            <w14:solidFill>
              <w14:schemeClr w14:val="tx1"/>
            </w14:solidFill>
          </w14:textFill>
        </w:rPr>
        <w:t>响应</w:t>
      </w:r>
      <w:r>
        <w:rPr>
          <w:rFonts w:ascii="宋体" w:hAnsi="宋体"/>
          <w:color w:val="000000" w:themeColor="text1"/>
          <w:sz w:val="24"/>
          <w:szCs w:val="20"/>
          <w:highlight w:val="none"/>
          <w14:textFill>
            <w14:solidFill>
              <w14:schemeClr w14:val="tx1"/>
            </w14:solidFill>
          </w14:textFill>
        </w:rPr>
        <w:t>的），则法定代表人（单位负责人）</w:t>
      </w:r>
      <w:r>
        <w:rPr>
          <w:rFonts w:hint="eastAsia" w:ascii="宋体" w:hAnsi="宋体"/>
          <w:color w:val="000000" w:themeColor="text1"/>
          <w:sz w:val="24"/>
          <w:szCs w:val="20"/>
          <w:highlight w:val="none"/>
          <w14:textFill>
            <w14:solidFill>
              <w14:schemeClr w14:val="tx1"/>
            </w14:solidFill>
          </w14:textFill>
        </w:rPr>
        <w:t>处</w:t>
      </w:r>
      <w:r>
        <w:rPr>
          <w:rFonts w:ascii="宋体" w:hAnsi="宋体"/>
          <w:color w:val="000000" w:themeColor="text1"/>
          <w:sz w:val="24"/>
          <w:szCs w:val="20"/>
          <w:highlight w:val="none"/>
          <w14:textFill>
            <w14:solidFill>
              <w14:schemeClr w14:val="tx1"/>
            </w14:solidFill>
          </w14:textFill>
        </w:rPr>
        <w:t>的签署人可为单位负责人</w:t>
      </w:r>
      <w:r>
        <w:rPr>
          <w:rFonts w:hint="eastAsia" w:ascii="宋体" w:hAnsi="宋体"/>
          <w:color w:val="000000" w:themeColor="text1"/>
          <w:sz w:val="24"/>
          <w:szCs w:val="20"/>
          <w:highlight w:val="none"/>
          <w14:textFill>
            <w14:solidFill>
              <w14:schemeClr w14:val="tx1"/>
            </w14:solidFill>
          </w14:textFill>
        </w:rPr>
        <w:t>。</w:t>
      </w:r>
    </w:p>
    <w:p w14:paraId="2873B44C">
      <w:pPr>
        <w:tabs>
          <w:tab w:val="left" w:pos="5580"/>
        </w:tabs>
        <w:spacing w:line="360" w:lineRule="auto"/>
        <w:jc w:val="left"/>
        <w:rPr>
          <w:rFonts w:ascii="宋体" w:hAnsi="宋体"/>
          <w:i/>
          <w:color w:val="000000" w:themeColor="text1"/>
          <w:sz w:val="24"/>
          <w:szCs w:val="20"/>
          <w:highlight w:val="none"/>
          <w:u w:val="singl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3.</w:t>
      </w:r>
      <w:r>
        <w:rPr>
          <w:rFonts w:hint="eastAsia" w:ascii="宋体" w:hAnsi="宋体"/>
          <w:color w:val="000000" w:themeColor="text1"/>
          <w:sz w:val="24"/>
          <w:szCs w:val="20"/>
          <w:highlight w:val="none"/>
          <w14:textFill>
            <w14:solidFill>
              <w14:schemeClr w14:val="tx1"/>
            </w14:solidFill>
          </w14:textFill>
        </w:rPr>
        <w:t>供应商为自然人的情形，可不提供本</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授权委托书</w:t>
      </w:r>
      <w:r>
        <w:rPr>
          <w:rFonts w:ascii="宋体" w:hAnsi="宋体"/>
          <w:color w:val="000000" w:themeColor="text1"/>
          <w:sz w:val="24"/>
          <w:szCs w:val="20"/>
          <w:highlight w:val="none"/>
          <w14:textFill>
            <w14:solidFill>
              <w14:schemeClr w14:val="tx1"/>
            </w14:solidFill>
          </w14:textFill>
        </w:rPr>
        <w:t>》</w:t>
      </w:r>
      <w:r>
        <w:rPr>
          <w:rFonts w:hint="eastAsia" w:ascii="宋体" w:hAnsi="宋体"/>
          <w:color w:val="000000" w:themeColor="text1"/>
          <w:sz w:val="24"/>
          <w:szCs w:val="20"/>
          <w:highlight w:val="none"/>
          <w14:textFill>
            <w14:solidFill>
              <w14:schemeClr w14:val="tx1"/>
            </w14:solidFill>
          </w14:textFill>
        </w:rPr>
        <w:t>。</w:t>
      </w:r>
    </w:p>
    <w:p w14:paraId="75BA178C">
      <w:pPr>
        <w:widowControl/>
        <w:jc w:val="left"/>
        <w:rPr>
          <w:rFonts w:hint="eastAsia"/>
          <w:color w:val="000000" w:themeColor="text1"/>
          <w:sz w:val="24"/>
          <w:highlight w:val="none"/>
          <w14:textFill>
            <w14:solidFill>
              <w14:schemeClr w14:val="tx1"/>
            </w14:solidFill>
          </w14:textFill>
        </w:rPr>
      </w:pPr>
    </w:p>
    <w:p w14:paraId="3DEF05B5">
      <w:pPr>
        <w:widowControl/>
        <w:jc w:val="left"/>
        <w:rPr>
          <w:rFonts w:hint="eastAsia"/>
          <w:color w:val="000000" w:themeColor="text1"/>
          <w:sz w:val="24"/>
          <w:highlight w:val="none"/>
          <w14:textFill>
            <w14:solidFill>
              <w14:schemeClr w14:val="tx1"/>
            </w14:solidFill>
          </w14:textFill>
        </w:rPr>
      </w:pPr>
    </w:p>
    <w:p w14:paraId="0F1D4448">
      <w:pPr>
        <w:widowControl/>
        <w:jc w:val="left"/>
        <w:rPr>
          <w:rFonts w:hint="eastAsia"/>
          <w:color w:val="000000" w:themeColor="text1"/>
          <w:sz w:val="24"/>
          <w:highlight w:val="none"/>
          <w14:textFill>
            <w14:solidFill>
              <w14:schemeClr w14:val="tx1"/>
            </w14:solidFill>
          </w14:textFill>
        </w:rPr>
      </w:pPr>
    </w:p>
    <w:p w14:paraId="33E27F89">
      <w:pPr>
        <w:pStyle w:val="222"/>
        <w:spacing w:line="360" w:lineRule="auto"/>
        <w:jc w:val="center"/>
        <w:rPr>
          <w:rFonts w:hint="eastAsia" w:hAnsi="宋体"/>
          <w:b/>
          <w:bCs/>
          <w:color w:val="000000" w:themeColor="text1"/>
          <w:sz w:val="28"/>
          <w:szCs w:val="28"/>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02AC856E">
      <w:pPr>
        <w:pStyle w:val="222"/>
        <w:spacing w:line="360" w:lineRule="auto"/>
        <w:jc w:val="center"/>
        <w:rPr>
          <w:rFonts w:hAnsi="宋体"/>
          <w:color w:val="000000" w:themeColor="text1"/>
          <w:sz w:val="24"/>
          <w:highlight w:val="none"/>
          <w14:textFill>
            <w14:solidFill>
              <w14:schemeClr w14:val="tx1"/>
            </w14:solidFill>
          </w14:textFill>
        </w:rPr>
      </w:pPr>
      <w:r>
        <w:rPr>
          <w:rFonts w:hint="eastAsia" w:hAnsi="宋体"/>
          <w:b/>
          <w:bCs/>
          <w:color w:val="000000" w:themeColor="text1"/>
          <w:sz w:val="28"/>
          <w:szCs w:val="28"/>
          <w:highlight w:val="none"/>
          <w14:textFill>
            <w14:solidFill>
              <w14:schemeClr w14:val="tx1"/>
            </w14:solidFill>
          </w14:textFill>
        </w:rPr>
        <w:t>授权委托书</w:t>
      </w:r>
    </w:p>
    <w:p w14:paraId="50974862">
      <w:pPr>
        <w:pStyle w:val="222"/>
        <w:spacing w:line="360" w:lineRule="auto"/>
        <w:rPr>
          <w:rFonts w:hAnsi="宋体"/>
          <w:color w:val="000000" w:themeColor="text1"/>
          <w:sz w:val="21"/>
          <w:szCs w:val="21"/>
          <w:highlight w:val="none"/>
          <w14:textFill>
            <w14:solidFill>
              <w14:schemeClr w14:val="tx1"/>
            </w14:solidFill>
          </w14:textFill>
        </w:rPr>
      </w:pPr>
    </w:p>
    <w:p w14:paraId="745E8DFD">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本授权委托书声明：我 </w:t>
      </w:r>
      <w:r>
        <w:rPr>
          <w:rFonts w:hint="eastAsia" w:ascii="宋体" w:hAnsi="宋体" w:eastAsia="宋体" w:cs="Times New Roman"/>
          <w:color w:val="000000" w:themeColor="text1"/>
          <w:sz w:val="24"/>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4"/>
          <w:highlight w:val="none"/>
          <w14:textFill>
            <w14:solidFill>
              <w14:schemeClr w14:val="tx1"/>
            </w14:solidFill>
          </w14:textFill>
        </w:rPr>
        <w:t>系</w:t>
      </w:r>
      <w:r>
        <w:rPr>
          <w:rFonts w:hint="eastAsia" w:ascii="宋体" w:hAnsi="宋体" w:eastAsia="宋体" w:cs="Times New Roman"/>
          <w:color w:val="000000" w:themeColor="text1"/>
          <w:sz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highlight w:val="none"/>
          <w:u w:val="single"/>
          <w:lang w:val="en-US" w:eastAsia="zh-CN"/>
          <w14:textFill>
            <w14:solidFill>
              <w14:schemeClr w14:val="tx1"/>
            </w14:solidFill>
          </w14:textFill>
        </w:rPr>
        <w:t>响应人</w:t>
      </w:r>
      <w:r>
        <w:rPr>
          <w:rFonts w:hint="eastAsia" w:ascii="宋体" w:hAnsi="宋体" w:eastAsia="宋体" w:cs="Times New Roman"/>
          <w:color w:val="000000" w:themeColor="text1"/>
          <w:sz w:val="24"/>
          <w:highlight w:val="none"/>
          <w:u w:val="single"/>
          <w14:textFill>
            <w14:solidFill>
              <w14:schemeClr w14:val="tx1"/>
            </w14:solidFill>
          </w14:textFill>
        </w:rPr>
        <w:t>名称)</w:t>
      </w:r>
      <w:r>
        <w:rPr>
          <w:rFonts w:hint="eastAsia" w:ascii="宋体" w:hAnsi="宋体" w:eastAsia="宋体" w:cs="Times New Roman"/>
          <w:color w:val="000000" w:themeColor="text1"/>
          <w:sz w:val="24"/>
          <w:highlight w:val="none"/>
          <w14:textFill>
            <w14:solidFill>
              <w14:schemeClr w14:val="tx1"/>
            </w14:solidFill>
          </w14:textFill>
        </w:rPr>
        <w:t xml:space="preserve">的法定代表人，现授权委托 </w:t>
      </w:r>
      <w:r>
        <w:rPr>
          <w:rFonts w:hint="eastAsia" w:ascii="宋体" w:hAnsi="宋体" w:eastAsia="宋体" w:cs="Times New Roman"/>
          <w:color w:val="000000" w:themeColor="text1"/>
          <w:sz w:val="24"/>
          <w:highlight w:val="none"/>
          <w:u w:val="single"/>
          <w14:textFill>
            <w14:solidFill>
              <w14:schemeClr w14:val="tx1"/>
            </w14:solidFill>
          </w14:textFill>
        </w:rPr>
        <w:t xml:space="preserve">           （单位名称）</w:t>
      </w:r>
      <w:r>
        <w:rPr>
          <w:rFonts w:hint="eastAsia" w:ascii="宋体" w:hAnsi="宋体" w:eastAsia="宋体" w:cs="Times New Roman"/>
          <w:color w:val="000000" w:themeColor="text1"/>
          <w:sz w:val="24"/>
          <w:highlight w:val="none"/>
          <w14:textFill>
            <w14:solidFill>
              <w14:schemeClr w14:val="tx1"/>
            </w14:solidFill>
          </w14:textFill>
        </w:rPr>
        <w:t>的</w:t>
      </w:r>
      <w:r>
        <w:rPr>
          <w:rFonts w:hint="eastAsia" w:ascii="宋体" w:hAnsi="宋体" w:eastAsia="宋体" w:cs="Times New Roman"/>
          <w:color w:val="000000" w:themeColor="text1"/>
          <w:sz w:val="24"/>
          <w:highlight w:val="none"/>
          <w:u w:val="single"/>
          <w14:textFill>
            <w14:solidFill>
              <w14:schemeClr w14:val="tx1"/>
            </w14:solidFill>
          </w14:textFill>
        </w:rPr>
        <w:t xml:space="preserve">        (姓名)</w:t>
      </w:r>
      <w:r>
        <w:rPr>
          <w:rFonts w:hint="eastAsia" w:ascii="宋体" w:hAnsi="宋体" w:eastAsia="宋体" w:cs="Times New Roman"/>
          <w:color w:val="000000" w:themeColor="text1"/>
          <w:sz w:val="24"/>
          <w:highlight w:val="none"/>
          <w14:textFill>
            <w14:solidFill>
              <w14:schemeClr w14:val="tx1"/>
            </w14:solidFill>
          </w14:textFill>
        </w:rPr>
        <w:t>为我公司代理人，参加</w:t>
      </w:r>
      <w:r>
        <w:rPr>
          <w:rFonts w:hint="eastAsia" w:ascii="宋体" w:hAnsi="宋体" w:eastAsia="宋体" w:cs="Times New Roman"/>
          <w:color w:val="000000" w:themeColor="text1"/>
          <w:sz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highlight w:val="none"/>
          <w:lang w:eastAsia="zh-CN"/>
          <w14:textFill>
            <w14:solidFill>
              <w14:schemeClr w14:val="tx1"/>
            </w14:solidFill>
          </w14:textFill>
        </w:rPr>
        <w:t>项目</w:t>
      </w:r>
      <w:r>
        <w:rPr>
          <w:rFonts w:hint="eastAsia" w:ascii="宋体" w:hAnsi="宋体" w:eastAsia="宋体" w:cs="Times New Roman"/>
          <w:color w:val="000000" w:themeColor="text1"/>
          <w:sz w:val="24"/>
          <w:highlight w:val="none"/>
          <w14:textFill>
            <w14:solidFill>
              <w14:schemeClr w14:val="tx1"/>
            </w14:solidFill>
          </w14:textFill>
        </w:rPr>
        <w:t>的</w:t>
      </w:r>
      <w:r>
        <w:rPr>
          <w:rFonts w:hint="eastAsia" w:ascii="宋体" w:hAnsi="宋体" w:eastAsia="宋体" w:cs="Times New Roman"/>
          <w:color w:val="000000" w:themeColor="text1"/>
          <w:sz w:val="24"/>
          <w:highlight w:val="none"/>
          <w:lang w:eastAsia="zh-CN"/>
          <w14:textFill>
            <w14:solidFill>
              <w14:schemeClr w14:val="tx1"/>
            </w14:solidFill>
          </w14:textFill>
        </w:rPr>
        <w:t>谈判</w:t>
      </w:r>
      <w:r>
        <w:rPr>
          <w:rFonts w:hint="eastAsia" w:ascii="宋体" w:hAnsi="宋体" w:eastAsia="宋体" w:cs="Times New Roman"/>
          <w:color w:val="000000" w:themeColor="text1"/>
          <w:sz w:val="24"/>
          <w:highlight w:val="none"/>
          <w14:textFill>
            <w14:solidFill>
              <w14:schemeClr w14:val="tx1"/>
            </w14:solidFill>
          </w14:textFill>
        </w:rPr>
        <w:t>活动。代理人在投标、开标、评标、合同谈判过程中所签署的一切文件和处理与之有关的一切事务，我均予以承认。</w:t>
      </w:r>
    </w:p>
    <w:p w14:paraId="2FACBDB1">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0A8C890C">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代理人无转委权。特此委托。</w:t>
      </w:r>
    </w:p>
    <w:p w14:paraId="58E3CAC5">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2AE84240">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代理人：          性别：                 年龄：</w:t>
      </w:r>
    </w:p>
    <w:p w14:paraId="582EDBFF">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单位：               部门：               职务：</w:t>
      </w:r>
    </w:p>
    <w:p w14:paraId="55350645">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承包人：(盖章)</w:t>
      </w:r>
    </w:p>
    <w:p w14:paraId="4EBCB8BE">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法定代表人：(签字或盖章)</w:t>
      </w:r>
    </w:p>
    <w:p w14:paraId="1989ED39">
      <w:pPr>
        <w:spacing w:line="560" w:lineRule="exact"/>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日期：     年   月   日</w:t>
      </w:r>
    </w:p>
    <w:p w14:paraId="4912D42D">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697FF1AC">
      <w:pPr>
        <w:spacing w:line="560" w:lineRule="exact"/>
        <w:rPr>
          <w:rFonts w:hint="eastAsia" w:ascii="宋体" w:hAnsi="宋体" w:eastAsia="宋体" w:cs="Times New Roman"/>
          <w:color w:val="000000" w:themeColor="text1"/>
          <w:sz w:val="24"/>
          <w:highlight w:val="none"/>
          <w14:textFill>
            <w14:solidFill>
              <w14:schemeClr w14:val="tx1"/>
            </w14:solidFill>
          </w14:textFill>
        </w:rPr>
      </w:pPr>
    </w:p>
    <w:p w14:paraId="7170DAA1">
      <w:pPr>
        <w:tabs>
          <w:tab w:val="left" w:pos="5580"/>
        </w:tabs>
        <w:spacing w:line="360" w:lineRule="auto"/>
        <w:jc w:val="left"/>
        <w:rPr>
          <w:color w:val="000000" w:themeColor="text1"/>
          <w:spacing w:val="-3"/>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附：</w:t>
      </w:r>
      <w:r>
        <w:rPr>
          <w:rFonts w:hint="eastAsia"/>
          <w:color w:val="000000" w:themeColor="text1"/>
          <w:spacing w:val="-3"/>
          <w:sz w:val="24"/>
          <w:szCs w:val="24"/>
          <w:highlight w:val="none"/>
          <w:lang w:eastAsia="zh-CN"/>
          <w14:textFill>
            <w14:solidFill>
              <w14:schemeClr w14:val="tx1"/>
            </w14:solidFill>
          </w14:textFill>
        </w:rPr>
        <w:t>授权委托</w:t>
      </w:r>
      <w:r>
        <w:rPr>
          <w:color w:val="000000" w:themeColor="text1"/>
          <w:spacing w:val="-3"/>
          <w:sz w:val="24"/>
          <w:szCs w:val="24"/>
          <w:highlight w:val="none"/>
          <w14:textFill>
            <w14:solidFill>
              <w14:schemeClr w14:val="tx1"/>
            </w14:solidFill>
          </w14:textFill>
        </w:rPr>
        <w:t>人有效期内的身</w:t>
      </w:r>
      <w:r>
        <w:rPr>
          <w:rFonts w:hint="eastAsia"/>
          <w:color w:val="000000" w:themeColor="text1"/>
          <w:spacing w:val="-3"/>
          <w:sz w:val="24"/>
          <w:szCs w:val="24"/>
          <w:highlight w:val="none"/>
          <w14:textFill>
            <w14:solidFill>
              <w14:schemeClr w14:val="tx1"/>
            </w14:solidFill>
          </w14:textFill>
        </w:rPr>
        <w:t>份</w:t>
      </w:r>
      <w:r>
        <w:rPr>
          <w:color w:val="000000" w:themeColor="text1"/>
          <w:spacing w:val="-3"/>
          <w:sz w:val="24"/>
          <w:szCs w:val="24"/>
          <w:highlight w:val="none"/>
          <w14:textFill>
            <w14:solidFill>
              <w14:schemeClr w14:val="tx1"/>
            </w14:solidFill>
          </w14:textFill>
        </w:rPr>
        <w:t>证正反面</w:t>
      </w:r>
      <w:r>
        <w:rPr>
          <w:rFonts w:hint="eastAsia"/>
          <w:color w:val="000000" w:themeColor="text1"/>
          <w:spacing w:val="-3"/>
          <w:sz w:val="24"/>
          <w:szCs w:val="24"/>
          <w:highlight w:val="none"/>
          <w:lang w:eastAsia="zh-CN"/>
          <w14:textFill>
            <w14:solidFill>
              <w14:schemeClr w14:val="tx1"/>
            </w14:solidFill>
          </w14:textFill>
        </w:rPr>
        <w:t>复印件</w:t>
      </w:r>
      <w:r>
        <w:rPr>
          <w:rFonts w:hint="eastAsia"/>
          <w:color w:val="000000" w:themeColor="text1"/>
          <w:spacing w:val="-3"/>
          <w:sz w:val="24"/>
          <w:szCs w:val="24"/>
          <w:highlight w:val="none"/>
          <w14:textFill>
            <w14:solidFill>
              <w14:schemeClr w14:val="tx1"/>
            </w14:solidFill>
          </w14:textFill>
        </w:rPr>
        <w:t>。</w:t>
      </w:r>
    </w:p>
    <w:tbl>
      <w:tblPr>
        <w:tblStyle w:val="2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E165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5" w:hRule="atLeast"/>
          <w:jc w:val="center"/>
        </w:trPr>
        <w:tc>
          <w:tcPr>
            <w:tcW w:w="4673" w:type="dxa"/>
            <w:noWrap w:val="0"/>
            <w:vAlign w:val="top"/>
          </w:tcPr>
          <w:p w14:paraId="417E0145">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5C15D577">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1216E72B">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c>
          <w:tcPr>
            <w:tcW w:w="4536" w:type="dxa"/>
            <w:noWrap w:val="0"/>
            <w:vAlign w:val="top"/>
          </w:tcPr>
          <w:p w14:paraId="5ED33032">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1C2D443F">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p w14:paraId="18D0E90D">
            <w:pPr>
              <w:tabs>
                <w:tab w:val="left" w:pos="5580"/>
              </w:tabs>
              <w:spacing w:line="360" w:lineRule="auto"/>
              <w:jc w:val="left"/>
              <w:rPr>
                <w:rFonts w:ascii="宋体" w:hAnsi="宋体"/>
                <w:color w:val="000000" w:themeColor="text1"/>
                <w:sz w:val="24"/>
                <w:szCs w:val="20"/>
                <w:highlight w:val="none"/>
                <w14:textFill>
                  <w14:solidFill>
                    <w14:schemeClr w14:val="tx1"/>
                  </w14:solidFill>
                </w14:textFill>
              </w:rPr>
            </w:pPr>
          </w:p>
        </w:tc>
      </w:tr>
    </w:tbl>
    <w:p w14:paraId="21D4A0A1">
      <w:pPr>
        <w:widowControl/>
        <w:jc w:val="left"/>
        <w:rPr>
          <w:rFonts w:hint="eastAsia"/>
          <w:color w:val="000000" w:themeColor="text1"/>
          <w:sz w:val="24"/>
          <w:highlight w:val="none"/>
          <w14:textFill>
            <w14:solidFill>
              <w14:schemeClr w14:val="tx1"/>
            </w14:solidFill>
          </w14:textFill>
        </w:rPr>
        <w:sectPr>
          <w:pgSz w:w="11907" w:h="16840"/>
          <w:pgMar w:top="1417" w:right="1134" w:bottom="1417" w:left="1134" w:header="851" w:footer="851" w:gutter="0"/>
          <w:cols w:space="1701" w:num="1"/>
          <w:docGrid w:linePitch="360" w:charSpace="0"/>
        </w:sectPr>
      </w:pPr>
    </w:p>
    <w:p w14:paraId="6FEF495E">
      <w:pPr>
        <w:widowControl/>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6  政府采购供应商信用承诺书</w:t>
      </w:r>
      <w:r>
        <w:rPr>
          <w:color w:val="000000" w:themeColor="text1"/>
          <w:sz w:val="24"/>
          <w:szCs w:val="20"/>
          <w:highlight w:val="none"/>
          <w14:textFill>
            <w14:solidFill>
              <w14:schemeClr w14:val="tx1"/>
            </w14:solidFill>
          </w14:textFill>
        </w:rPr>
        <w:t>（实质性格式）</w:t>
      </w:r>
    </w:p>
    <w:p w14:paraId="4C9FED38">
      <w:pPr>
        <w:spacing w:line="560" w:lineRule="exact"/>
        <w:ind w:firstLine="321"/>
        <w:jc w:val="center"/>
        <w:rPr>
          <w:rFonts w:hint="eastAsia" w:ascii="黑体" w:hAnsi="黑体" w:eastAsia="黑体"/>
          <w:b/>
          <w:color w:val="000000" w:themeColor="text1"/>
          <w:sz w:val="32"/>
          <w:szCs w:val="32"/>
          <w:highlight w:val="none"/>
          <w14:textFill>
            <w14:solidFill>
              <w14:schemeClr w14:val="tx1"/>
            </w14:solidFill>
          </w14:textFill>
        </w:rPr>
      </w:pPr>
    </w:p>
    <w:p w14:paraId="1A6E232E">
      <w:pPr>
        <w:spacing w:line="560" w:lineRule="exact"/>
        <w:ind w:firstLine="321"/>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政府采购供应商信用承诺书</w:t>
      </w:r>
    </w:p>
    <w:p w14:paraId="641233B8">
      <w:pPr>
        <w:ind w:firstLine="640"/>
        <w:rPr>
          <w:color w:val="000000" w:themeColor="text1"/>
          <w:highlight w:val="none"/>
          <w14:textFill>
            <w14:solidFill>
              <w14:schemeClr w14:val="tx1"/>
            </w14:solidFill>
          </w14:textFill>
        </w:rPr>
      </w:pPr>
    </w:p>
    <w:p w14:paraId="012B96CC">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为维护公开、公平、公正的政府采购市场秩序，树立诚实守信的供应商形象，本单位在参与政府采购活动中,自愿作出以下承诺：</w:t>
      </w:r>
    </w:p>
    <w:p w14:paraId="690BEE03">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一、严格遵守国家法律、法规和规章，全面履行应尽的责任和义务，全面做到履约守信，具备《</w:t>
      </w:r>
      <w:r>
        <w:rPr>
          <w:rFonts w:hint="eastAsia" w:ascii="宋体" w:hAnsi="宋体"/>
          <w:color w:val="000000" w:themeColor="text1"/>
          <w:sz w:val="24"/>
          <w:highlight w:val="none"/>
          <w:lang w:eastAsia="zh-CN"/>
          <w14:textFill>
            <w14:solidFill>
              <w14:schemeClr w14:val="tx1"/>
            </w14:solidFill>
          </w14:textFill>
        </w:rPr>
        <w:t>中华人民共和国政府采购法</w:t>
      </w:r>
      <w:r>
        <w:rPr>
          <w:rFonts w:hint="eastAsia" w:ascii="宋体" w:hAnsi="宋体"/>
          <w:color w:val="000000" w:themeColor="text1"/>
          <w:sz w:val="24"/>
          <w:highlight w:val="none"/>
          <w14:textFill>
            <w14:solidFill>
              <w14:schemeClr w14:val="tx1"/>
            </w14:solidFill>
          </w14:textFill>
        </w:rPr>
        <w:t>》第二十二条第一款规定的条件。</w:t>
      </w:r>
    </w:p>
    <w:p w14:paraId="75DEB50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二、本单位已经阅读并充分理解《常州市政府采购供应商信用管理暂行办法》，自愿按照《常州市政府采购供应商信用管理暂行办法》规定，发生失信行为将记录并公开到“信用常州”、常州市政府采购网。</w:t>
      </w:r>
    </w:p>
    <w:p w14:paraId="22EB02B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三、本单位提供给注册登记部门、行业管理部门、司法部门、行业组织以及在政府采购活动中提交的所有资料均合法、真实、有效，无任何伪造、修改、虚假成份，并对所提供资料的真实性负责。</w:t>
      </w:r>
    </w:p>
    <w:p w14:paraId="204FF07A">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四、严格依法开展生产经营活动，主动接受行业监管，自愿接受依法开展的日常检查；违法失信经营后将自愿接受约束和惩戒，并依法承担相应责任。</w:t>
      </w:r>
    </w:p>
    <w:p w14:paraId="3EE933BA">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五、承诺本单位自觉接受行政管理部门、行业组织、社会公众、新闻舆论的监督。 </w:t>
      </w:r>
    </w:p>
    <w:p w14:paraId="43ED0160">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六、承诺本单位自我约束、自我管理，重合同、守信用，不制假售假、商标侵权、虚假宣传、违约毁约、恶意逃债、偷税漏税、价格欺诈、垄断和不正当竞争，维护经营者、消费者的合法权益。 </w:t>
      </w:r>
    </w:p>
    <w:p w14:paraId="19CF33C5">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七、承诺本单位在信用中国网站中无重大违法违规、较重或严重失信记录。 </w:t>
      </w:r>
    </w:p>
    <w:p w14:paraId="556B0F1A">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八、承诺本单位提出政府采购质疑和投诉坚持依法依规、诚实信用原则。</w:t>
      </w:r>
    </w:p>
    <w:p w14:paraId="2B9E9452">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九、根据政府采购相关法律法规的规定需要作出的其他承诺。 </w:t>
      </w:r>
    </w:p>
    <w:p w14:paraId="3E704C58">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十、承诺本单位若违背承诺约定，经查实，愿意接受行业主管部门和信用管理部门相应的规定处罚，承担违约责任，并依法承担相应的法律责任。</w:t>
      </w:r>
    </w:p>
    <w:p w14:paraId="5C8D5D21">
      <w:pPr>
        <w:spacing w:line="276"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十一、承诺本单位同意将以上承诺事项上网公示，违背承诺约定行为将作为失信信息，记录到常州市公共信用信息系统，并予以公开。</w:t>
      </w:r>
    </w:p>
    <w:p w14:paraId="47FB8567">
      <w:pPr>
        <w:pStyle w:val="271"/>
        <w:spacing w:line="276" w:lineRule="auto"/>
        <w:ind w:right="1050" w:firstLine="2880"/>
        <w:jc w:val="both"/>
        <w:rPr>
          <w:rFonts w:ascii="宋体" w:hAnsi="宋体" w:eastAsia="宋体"/>
          <w:color w:val="000000" w:themeColor="text1"/>
          <w:sz w:val="24"/>
          <w:szCs w:val="22"/>
          <w:highlight w:val="none"/>
          <w14:textFill>
            <w14:solidFill>
              <w14:schemeClr w14:val="tx1"/>
            </w14:solidFill>
          </w14:textFill>
        </w:rPr>
      </w:pPr>
    </w:p>
    <w:p w14:paraId="0AFB6EBA">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1E3DE918">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46BBF167">
      <w:pPr>
        <w:spacing w:line="360" w:lineRule="auto"/>
        <w:outlineLvl w:val="2"/>
        <w:rPr>
          <w:rFonts w:eastAsia="宋体"/>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color w:val="000000" w:themeColor="text1"/>
          <w:sz w:val="24"/>
          <w:szCs w:val="20"/>
          <w:highlight w:val="none"/>
          <w14:textFill>
            <w14:solidFill>
              <w14:schemeClr w14:val="tx1"/>
            </w14:solidFill>
          </w14:textFill>
        </w:rPr>
        <w:t>7  报价一览表</w:t>
      </w:r>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r>
        <w:rPr>
          <w:rFonts w:hint="eastAsia"/>
          <w:color w:val="000000" w:themeColor="text1"/>
          <w:sz w:val="24"/>
          <w:szCs w:val="20"/>
          <w:highlight w:val="none"/>
          <w:lang w:val="en-US" w:eastAsia="zh-CN"/>
          <w14:textFill>
            <w14:solidFill>
              <w14:schemeClr w14:val="tx1"/>
            </w14:solidFill>
          </w14:textFill>
        </w:rPr>
        <w:t>及分项报价表</w:t>
      </w:r>
      <w:r>
        <w:rPr>
          <w:color w:val="000000" w:themeColor="text1"/>
          <w:sz w:val="24"/>
          <w:szCs w:val="20"/>
          <w:highlight w:val="none"/>
          <w14:textFill>
            <w14:solidFill>
              <w14:schemeClr w14:val="tx1"/>
            </w14:solidFill>
          </w14:textFill>
        </w:rPr>
        <w:t>（实质性格式）</w:t>
      </w:r>
    </w:p>
    <w:p w14:paraId="795AB143">
      <w:pPr>
        <w:jc w:val="center"/>
        <w:rPr>
          <w:b/>
          <w:color w:val="000000" w:themeColor="text1"/>
          <w:sz w:val="36"/>
          <w:szCs w:val="36"/>
          <w:highlight w:val="none"/>
          <w14:textFill>
            <w14:solidFill>
              <w14:schemeClr w14:val="tx1"/>
            </w14:solidFill>
          </w14:textFill>
        </w:rPr>
      </w:pPr>
      <w:bookmarkStart w:id="1256" w:name="_Toc226965831"/>
      <w:bookmarkStart w:id="1257" w:name="_Toc305158900"/>
      <w:bookmarkStart w:id="1258" w:name="_Toc305158826"/>
      <w:bookmarkStart w:id="1259" w:name="_Toc164608827"/>
      <w:bookmarkStart w:id="1260" w:name="_Toc264969248"/>
      <w:bookmarkStart w:id="1261" w:name="_Toc265228396"/>
      <w:bookmarkStart w:id="1262" w:name="_Toc164608672"/>
      <w:bookmarkStart w:id="1263" w:name="_Toc195842923"/>
      <w:bookmarkStart w:id="1264" w:name="_Toc226965748"/>
      <w:bookmarkStart w:id="1265" w:name="_Toc226337254"/>
      <w:bookmarkStart w:id="1266" w:name="_Toc226309802"/>
      <w:r>
        <w:rPr>
          <w:rFonts w:hint="eastAsia"/>
          <w:b/>
          <w:color w:val="000000" w:themeColor="text1"/>
          <w:sz w:val="36"/>
          <w:szCs w:val="36"/>
          <w:highlight w:val="none"/>
          <w14:textFill>
            <w14:solidFill>
              <w14:schemeClr w14:val="tx1"/>
            </w14:solidFill>
          </w14:textFill>
        </w:rPr>
        <w:t>报价一览表</w:t>
      </w:r>
      <w:bookmarkEnd w:id="1256"/>
      <w:bookmarkEnd w:id="1257"/>
      <w:bookmarkEnd w:id="1258"/>
      <w:bookmarkEnd w:id="1259"/>
      <w:bookmarkEnd w:id="1260"/>
      <w:bookmarkEnd w:id="1261"/>
      <w:bookmarkEnd w:id="1262"/>
      <w:bookmarkEnd w:id="1263"/>
      <w:bookmarkEnd w:id="1264"/>
      <w:bookmarkEnd w:id="1265"/>
      <w:bookmarkEnd w:id="1266"/>
    </w:p>
    <w:p w14:paraId="737FE73E">
      <w:pPr>
        <w:tabs>
          <w:tab w:val="left" w:pos="1800"/>
          <w:tab w:val="left" w:pos="5580"/>
        </w:tabs>
        <w:spacing w:line="360" w:lineRule="auto"/>
        <w:jc w:val="left"/>
        <w:rPr>
          <w:color w:val="000000" w:themeColor="text1"/>
          <w:sz w:val="24"/>
          <w:highlight w:val="none"/>
          <w14:textFill>
            <w14:solidFill>
              <w14:schemeClr w14:val="tx1"/>
            </w14:solidFill>
          </w14:textFill>
        </w:rPr>
      </w:pPr>
    </w:p>
    <w:p w14:paraId="79BC3090">
      <w:pPr>
        <w:tabs>
          <w:tab w:val="left" w:pos="1800"/>
          <w:tab w:val="left" w:pos="5580"/>
        </w:tabs>
        <w:spacing w:line="360" w:lineRule="auto"/>
        <w:ind w:firstLine="24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项目名称：_______________________</w:t>
      </w:r>
    </w:p>
    <w:tbl>
      <w:tblPr>
        <w:tblStyle w:val="29"/>
        <w:tblW w:w="10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3"/>
        <w:gridCol w:w="2956"/>
        <w:gridCol w:w="6236"/>
      </w:tblGrid>
      <w:tr w14:paraId="6EF3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8" w:hRule="atLeast"/>
          <w:jc w:val="center"/>
        </w:trPr>
        <w:tc>
          <w:tcPr>
            <w:tcW w:w="963" w:type="dxa"/>
            <w:tcBorders>
              <w:top w:val="single" w:color="auto" w:sz="4" w:space="0"/>
              <w:left w:val="single" w:color="auto" w:sz="4" w:space="0"/>
              <w:bottom w:val="single" w:color="auto" w:sz="4" w:space="0"/>
              <w:right w:val="single" w:color="auto" w:sz="4" w:space="0"/>
            </w:tcBorders>
            <w:noWrap w:val="0"/>
            <w:vAlign w:val="center"/>
          </w:tcPr>
          <w:p w14:paraId="70B09360">
            <w:pPr>
              <w:tabs>
                <w:tab w:val="left" w:pos="5580"/>
              </w:tabs>
              <w:jc w:val="center"/>
              <w:rPr>
                <w:rFonts w:hint="default"/>
                <w:b/>
                <w:kern w:val="2"/>
                <w:sz w:val="24"/>
              </w:rPr>
            </w:pPr>
            <w:r>
              <w:rPr>
                <w:rFonts w:hint="eastAsia"/>
                <w:b/>
                <w:kern w:val="2"/>
                <w:sz w:val="24"/>
              </w:rPr>
              <w:t>序号</w:t>
            </w:r>
          </w:p>
        </w:tc>
        <w:tc>
          <w:tcPr>
            <w:tcW w:w="2956" w:type="dxa"/>
            <w:tcBorders>
              <w:top w:val="single" w:color="auto" w:sz="4" w:space="0"/>
              <w:left w:val="single" w:color="auto" w:sz="4" w:space="0"/>
              <w:bottom w:val="single" w:color="auto" w:sz="4" w:space="0"/>
              <w:right w:val="single" w:color="auto" w:sz="4" w:space="0"/>
            </w:tcBorders>
            <w:noWrap w:val="0"/>
            <w:vAlign w:val="center"/>
          </w:tcPr>
          <w:p w14:paraId="5FDA9B93">
            <w:pPr>
              <w:tabs>
                <w:tab w:val="left" w:pos="5580"/>
              </w:tabs>
              <w:jc w:val="center"/>
              <w:rPr>
                <w:rFonts w:hint="default"/>
                <w:b/>
                <w:kern w:val="2"/>
                <w:sz w:val="24"/>
              </w:rPr>
            </w:pPr>
            <w:r>
              <w:rPr>
                <w:rFonts w:hint="eastAsia"/>
                <w:b/>
                <w:kern w:val="2"/>
                <w:sz w:val="24"/>
              </w:rPr>
              <w:t>供应商名称</w:t>
            </w:r>
          </w:p>
        </w:tc>
        <w:tc>
          <w:tcPr>
            <w:tcW w:w="6236" w:type="dxa"/>
            <w:tcBorders>
              <w:top w:val="single" w:color="auto" w:sz="4" w:space="0"/>
              <w:left w:val="single" w:color="auto" w:sz="4" w:space="0"/>
              <w:bottom w:val="single" w:color="auto" w:sz="4" w:space="0"/>
              <w:right w:val="single" w:color="auto" w:sz="4" w:space="0"/>
            </w:tcBorders>
            <w:noWrap w:val="0"/>
            <w:vAlign w:val="center"/>
          </w:tcPr>
          <w:p w14:paraId="49F88FF1">
            <w:pPr>
              <w:tabs>
                <w:tab w:val="left" w:pos="5580"/>
              </w:tabs>
              <w:jc w:val="center"/>
              <w:rPr>
                <w:rFonts w:hint="eastAsia"/>
                <w:b/>
                <w:kern w:val="2"/>
                <w:sz w:val="24"/>
                <w:lang w:eastAsia="zh-CN"/>
              </w:rPr>
            </w:pPr>
            <w:r>
              <w:rPr>
                <w:rFonts w:hint="eastAsia" w:eastAsia="宋体"/>
                <w:b/>
                <w:kern w:val="2"/>
                <w:sz w:val="24"/>
                <w:lang w:eastAsia="zh-CN"/>
              </w:rPr>
              <w:t>优惠率</w:t>
            </w:r>
            <w:r>
              <w:rPr>
                <w:rFonts w:hint="eastAsia" w:ascii="Times New Roman" w:eastAsia="宋体"/>
                <w:b/>
                <w:kern w:val="2"/>
                <w:sz w:val="24"/>
                <w:lang w:val="en-US" w:eastAsia="zh-CN"/>
              </w:rPr>
              <w:t>(%)</w:t>
            </w:r>
          </w:p>
        </w:tc>
      </w:tr>
      <w:tr w14:paraId="1009C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1" w:hRule="atLeast"/>
          <w:jc w:val="center"/>
        </w:trPr>
        <w:tc>
          <w:tcPr>
            <w:tcW w:w="963" w:type="dxa"/>
            <w:tcBorders>
              <w:top w:val="single" w:color="auto" w:sz="4" w:space="0"/>
              <w:left w:val="single" w:color="auto" w:sz="4" w:space="0"/>
              <w:bottom w:val="single" w:color="auto" w:sz="4" w:space="0"/>
              <w:right w:val="single" w:color="auto" w:sz="4" w:space="0"/>
            </w:tcBorders>
            <w:noWrap w:val="0"/>
            <w:vAlign w:val="center"/>
          </w:tcPr>
          <w:p w14:paraId="6E6E52C4">
            <w:pPr>
              <w:tabs>
                <w:tab w:val="left" w:pos="5580"/>
              </w:tabs>
              <w:jc w:val="center"/>
              <w:rPr>
                <w:rFonts w:hint="default"/>
                <w:kern w:val="2"/>
                <w:sz w:val="24"/>
              </w:rPr>
            </w:pPr>
          </w:p>
        </w:tc>
        <w:tc>
          <w:tcPr>
            <w:tcW w:w="2956" w:type="dxa"/>
            <w:tcBorders>
              <w:top w:val="single" w:color="auto" w:sz="4" w:space="0"/>
              <w:left w:val="single" w:color="auto" w:sz="4" w:space="0"/>
              <w:bottom w:val="single" w:color="auto" w:sz="4" w:space="0"/>
              <w:right w:val="single" w:color="auto" w:sz="4" w:space="0"/>
            </w:tcBorders>
            <w:noWrap w:val="0"/>
            <w:vAlign w:val="center"/>
          </w:tcPr>
          <w:p w14:paraId="23FF7107">
            <w:pPr>
              <w:tabs>
                <w:tab w:val="left" w:pos="5580"/>
              </w:tabs>
              <w:jc w:val="center"/>
              <w:rPr>
                <w:rFonts w:hint="default"/>
                <w:kern w:val="2"/>
                <w:sz w:val="24"/>
              </w:rPr>
            </w:pPr>
          </w:p>
        </w:tc>
        <w:tc>
          <w:tcPr>
            <w:tcW w:w="6236" w:type="dxa"/>
            <w:tcBorders>
              <w:top w:val="single" w:color="auto" w:sz="4" w:space="0"/>
              <w:left w:val="single" w:color="auto" w:sz="4" w:space="0"/>
              <w:bottom w:val="single" w:color="auto" w:sz="4" w:space="0"/>
              <w:right w:val="single" w:color="auto" w:sz="4" w:space="0"/>
            </w:tcBorders>
            <w:noWrap w:val="0"/>
            <w:vAlign w:val="center"/>
          </w:tcPr>
          <w:p w14:paraId="1EBDBDC7">
            <w:pPr>
              <w:tabs>
                <w:tab w:val="left" w:pos="5580"/>
              </w:tabs>
              <w:jc w:val="center"/>
              <w:rPr>
                <w:rFonts w:hint="default"/>
                <w:kern w:val="2"/>
                <w:sz w:val="24"/>
              </w:rPr>
            </w:pPr>
          </w:p>
        </w:tc>
      </w:tr>
    </w:tbl>
    <w:p w14:paraId="5EE87AB6">
      <w:pPr>
        <w:jc w:val="left"/>
        <w:rPr>
          <w:color w:val="000000" w:themeColor="text1"/>
          <w:sz w:val="24"/>
          <w:highlight w:val="none"/>
          <w14:textFill>
            <w14:solidFill>
              <w14:schemeClr w14:val="tx1"/>
            </w14:solidFill>
          </w14:textFill>
        </w:rPr>
      </w:pPr>
    </w:p>
    <w:p w14:paraId="592F74A7">
      <w:pPr>
        <w:spacing w:before="25" w:after="25" w:line="360" w:lineRule="auto"/>
        <w:rPr>
          <w:color w:val="000000" w:themeColor="text1"/>
          <w:sz w:val="24"/>
          <w:highlight w:val="none"/>
          <w14:textFill>
            <w14:solidFill>
              <w14:schemeClr w14:val="tx1"/>
            </w14:solidFill>
          </w14:textFill>
        </w:rPr>
      </w:pPr>
    </w:p>
    <w:p w14:paraId="2693D151">
      <w:pPr>
        <w:spacing w:before="25" w:after="25" w:line="360" w:lineRule="auto"/>
        <w:rPr>
          <w:rFonts w:hint="eastAsia" w:ascii="Times New Roman" w:hAnsi="Times New Roman" w:eastAsia="宋体" w:cs="Times New Roman"/>
          <w:color w:val="000000"/>
          <w:sz w:val="24"/>
          <w:highlight w:val="none"/>
          <w:lang w:val="zh-CN" w:eastAsia="zh-CN"/>
        </w:rPr>
      </w:pPr>
      <w:r>
        <w:rPr>
          <w:rFonts w:hint="eastAsia"/>
          <w:color w:val="000000"/>
          <w:sz w:val="24"/>
          <w:highlight w:val="none"/>
          <w:lang w:val="zh-CN"/>
        </w:rPr>
        <w:t>注：</w:t>
      </w:r>
      <w:r>
        <w:rPr>
          <w:rFonts w:hint="eastAsia" w:ascii="Times New Roman" w:hAnsi="Times New Roman" w:eastAsia="宋体" w:cs="Times New Roman"/>
          <w:color w:val="000000"/>
          <w:sz w:val="24"/>
          <w:highlight w:val="none"/>
          <w:lang w:val="zh-CN" w:eastAsia="zh-CN"/>
        </w:rPr>
        <w:t>1.供应商在提交投标文件时，应按照投标工具（苏采云客户端）的提示流程编制提交开标一览表，开标一览表格式以投标工具中的为准。</w:t>
      </w:r>
    </w:p>
    <w:p w14:paraId="4DF44284">
      <w:pPr>
        <w:autoSpaceDE w:val="0"/>
        <w:autoSpaceDN w:val="0"/>
        <w:adjustRightInd w:val="0"/>
        <w:snapToGrid w:val="0"/>
        <w:spacing w:before="25" w:after="25" w:line="360" w:lineRule="auto"/>
        <w:ind w:firstLine="480" w:firstLineChars="200"/>
        <w:rPr>
          <w:rFonts w:hint="eastAsia" w:ascii="Times New Roman" w:hAnsi="Times New Roman" w:eastAsia="宋体" w:cs="Times New Roman"/>
          <w:color w:val="000000"/>
          <w:kern w:val="2"/>
          <w:sz w:val="24"/>
          <w:lang w:val="zh-CN" w:eastAsia="zh-CN"/>
        </w:rPr>
      </w:pPr>
      <w:r>
        <w:rPr>
          <w:rFonts w:hint="eastAsia" w:ascii="Times New Roman" w:hAnsi="Times New Roman" w:eastAsia="宋体" w:cs="Times New Roman"/>
          <w:color w:val="000000"/>
          <w:kern w:val="2"/>
          <w:sz w:val="24"/>
          <w:lang w:val="en-US" w:eastAsia="zh-CN"/>
        </w:rPr>
        <w:t>2.</w:t>
      </w:r>
      <w:r>
        <w:rPr>
          <w:rFonts w:hint="eastAsia" w:ascii="Times New Roman" w:hAnsi="Times New Roman" w:eastAsia="宋体" w:cs="Times New Roman"/>
          <w:color w:val="000000"/>
          <w:kern w:val="2"/>
          <w:sz w:val="24"/>
          <w:lang w:val="zh-CN" w:eastAsia="zh-CN"/>
        </w:rPr>
        <w:t>本项目以采购清单中报价单位的控制单价的优惠率方式进行报价，例如：</w:t>
      </w:r>
      <w:r>
        <w:rPr>
          <w:rFonts w:hint="eastAsia" w:ascii="Times New Roman" w:hAnsi="Times New Roman" w:eastAsia="宋体" w:cs="Times New Roman"/>
          <w:b/>
          <w:bCs/>
          <w:color w:val="000000"/>
          <w:kern w:val="2"/>
          <w:sz w:val="24"/>
          <w:lang w:val="zh-CN" w:eastAsia="zh-CN"/>
        </w:rPr>
        <w:t>优惠率为10%（上表中的报价框内填10即可），</w:t>
      </w:r>
      <w:r>
        <w:rPr>
          <w:rFonts w:hint="eastAsia" w:ascii="Times New Roman" w:hAnsi="Times New Roman" w:cs="Times New Roman"/>
          <w:b/>
          <w:bCs/>
          <w:color w:val="000000"/>
          <w:kern w:val="2"/>
          <w:sz w:val="24"/>
          <w:lang w:val="zh-CN" w:eastAsia="zh-CN"/>
        </w:rPr>
        <w:t>意思为让利率为</w:t>
      </w:r>
      <w:r>
        <w:rPr>
          <w:rFonts w:hint="eastAsia" w:ascii="Times New Roman" w:hAnsi="Times New Roman" w:cs="Times New Roman"/>
          <w:b/>
          <w:bCs/>
          <w:color w:val="000000"/>
          <w:kern w:val="2"/>
          <w:sz w:val="24"/>
          <w:lang w:val="en-US" w:eastAsia="zh-CN"/>
        </w:rPr>
        <w:t>10%</w:t>
      </w:r>
      <w:r>
        <w:rPr>
          <w:rFonts w:hint="eastAsia" w:ascii="Times New Roman" w:hAnsi="Times New Roman" w:eastAsia="宋体" w:cs="Times New Roman"/>
          <w:color w:val="000000"/>
          <w:kern w:val="2"/>
          <w:sz w:val="24"/>
          <w:lang w:val="zh-CN" w:eastAsia="zh-CN"/>
        </w:rPr>
        <w:t xml:space="preserve">。  </w:t>
      </w:r>
    </w:p>
    <w:p w14:paraId="7CF84852">
      <w:pPr>
        <w:autoSpaceDE w:val="0"/>
        <w:autoSpaceDN w:val="0"/>
        <w:adjustRightInd w:val="0"/>
        <w:snapToGrid w:val="0"/>
        <w:spacing w:before="25" w:after="25" w:line="360" w:lineRule="auto"/>
        <w:rPr>
          <w:rFonts w:hint="eastAsia" w:ascii="Times New Roman" w:hAnsi="Times New Roman" w:cs="Times New Roman"/>
          <w:color w:val="000000"/>
          <w:kern w:val="2"/>
          <w:sz w:val="24"/>
          <w:lang w:val="zh-CN" w:eastAsia="zh-CN"/>
        </w:rPr>
      </w:pPr>
      <w:r>
        <w:rPr>
          <w:rFonts w:hint="eastAsia" w:ascii="Times New Roman" w:hAnsi="Times New Roman" w:cs="Times New Roman"/>
          <w:color w:val="000000"/>
          <w:kern w:val="2"/>
          <w:sz w:val="24"/>
          <w:lang w:val="zh-CN" w:eastAsia="zh-CN"/>
        </w:rPr>
        <w:t xml:space="preserve">     3.投标人须认真理解优惠率的定义，因优惠率填写错误导致有可能存在的风险由供应商自行承担。</w:t>
      </w:r>
    </w:p>
    <w:p w14:paraId="0C71F164">
      <w:pPr>
        <w:spacing w:before="25" w:after="25" w:line="360" w:lineRule="auto"/>
        <w:rPr>
          <w:rFonts w:hint="eastAsia" w:ascii="Times New Roman" w:hAnsi="Times New Roman" w:eastAsia="宋体" w:cs="Times New Roman"/>
          <w:color w:val="000000"/>
          <w:sz w:val="24"/>
          <w:highlight w:val="none"/>
          <w:lang w:val="zh-CN" w:eastAsia="zh-CN"/>
        </w:rPr>
      </w:pPr>
    </w:p>
    <w:p w14:paraId="1F9CF928">
      <w:pPr>
        <w:spacing w:before="25" w:after="25" w:line="360" w:lineRule="auto"/>
        <w:rPr>
          <w:rFonts w:hint="eastAsia" w:ascii="Times New Roman" w:hAnsi="Times New Roman" w:eastAsia="宋体" w:cs="Times New Roman"/>
          <w:color w:val="000000"/>
          <w:sz w:val="24"/>
          <w:highlight w:val="none"/>
          <w:lang w:val="zh-CN" w:eastAsia="zh-CN"/>
        </w:rPr>
      </w:pPr>
    </w:p>
    <w:p w14:paraId="0489952A">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：____________</w:t>
      </w:r>
    </w:p>
    <w:p w14:paraId="6EFC78D9">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33518BA7">
      <w:pPr>
        <w:widowControl/>
        <w:jc w:val="left"/>
        <w:rPr>
          <w:color w:val="000000" w:themeColor="text1"/>
          <w:sz w:val="24"/>
          <w:szCs w:val="20"/>
          <w:highlight w:val="none"/>
          <w14:textFill>
            <w14:solidFill>
              <w14:schemeClr w14:val="tx1"/>
            </w14:solidFill>
          </w14:textFill>
        </w:rPr>
      </w:pPr>
      <w:bookmarkStart w:id="1267" w:name="_Toc150774763"/>
      <w:bookmarkStart w:id="1268" w:name="_Toc265228397"/>
      <w:bookmarkStart w:id="1269" w:name="_Toc305158901"/>
      <w:bookmarkStart w:id="1270" w:name="_Toc127151558"/>
      <w:bookmarkStart w:id="1271" w:name="_Toc142311060"/>
      <w:bookmarkStart w:id="1272" w:name="_Toc226309803"/>
      <w:bookmarkStart w:id="1273" w:name="_Toc305158827"/>
      <w:bookmarkStart w:id="1274" w:name="_Toc264969249"/>
      <w:bookmarkStart w:id="1275" w:name="_Toc195842924"/>
      <w:bookmarkStart w:id="1276" w:name="_Toc150480796"/>
      <w:bookmarkStart w:id="1277" w:name="_Toc226965832"/>
      <w:bookmarkStart w:id="1278" w:name="_Toc226965749"/>
      <w:bookmarkStart w:id="1279" w:name="_Toc226337255"/>
    </w:p>
    <w:p w14:paraId="6074A94A">
      <w:pPr>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r>
    </w:p>
    <w:p w14:paraId="34FA3F68">
      <w:pPr>
        <w:rPr>
          <w:highlight w:val="none"/>
        </w:rPr>
      </w:pPr>
    </w:p>
    <w:bookmarkEnd w:id="1267"/>
    <w:bookmarkEnd w:id="1268"/>
    <w:bookmarkEnd w:id="1269"/>
    <w:bookmarkEnd w:id="1270"/>
    <w:bookmarkEnd w:id="1271"/>
    <w:bookmarkEnd w:id="1272"/>
    <w:bookmarkEnd w:id="1273"/>
    <w:bookmarkEnd w:id="1274"/>
    <w:bookmarkEnd w:id="1275"/>
    <w:bookmarkEnd w:id="1276"/>
    <w:bookmarkEnd w:id="1277"/>
    <w:bookmarkEnd w:id="1278"/>
    <w:bookmarkEnd w:id="1279"/>
    <w:p w14:paraId="6FA0F0B7">
      <w:pPr>
        <w:widowControl/>
        <w:jc w:val="left"/>
        <w:rPr>
          <w:color w:val="000000" w:themeColor="text1"/>
          <w:sz w:val="24"/>
          <w:szCs w:val="20"/>
          <w:highlight w:val="none"/>
          <w14:textFill>
            <w14:solidFill>
              <w14:schemeClr w14:val="tx1"/>
            </w14:solidFill>
          </w14:textFill>
        </w:rPr>
      </w:pPr>
      <w:bookmarkStart w:id="1280" w:name="_Toc264969252"/>
      <w:bookmarkStart w:id="1281" w:name="_Toc226965752"/>
      <w:bookmarkStart w:id="1282" w:name="_Toc142311062"/>
      <w:bookmarkStart w:id="1283" w:name="_Toc226337258"/>
      <w:bookmarkStart w:id="1284" w:name="_Toc226965835"/>
      <w:bookmarkStart w:id="1285" w:name="_Toc150480798"/>
      <w:bookmarkStart w:id="1286" w:name="_Toc195842927"/>
      <w:bookmarkStart w:id="1287" w:name="_Toc226309806"/>
      <w:bookmarkStart w:id="1288" w:name="_Toc127151562"/>
      <w:bookmarkStart w:id="1289" w:name="_Toc150774765"/>
      <w:bookmarkStart w:id="1290" w:name="_Toc305158904"/>
      <w:bookmarkStart w:id="1291" w:name="_Toc265228400"/>
      <w:bookmarkStart w:id="1292" w:name="_Toc305158830"/>
      <w:bookmarkStart w:id="1293" w:name="_Toc264969251"/>
      <w:bookmarkStart w:id="1294" w:name="_Toc226965751"/>
      <w:bookmarkStart w:id="1295" w:name="_Toc195842926"/>
      <w:bookmarkStart w:id="1296" w:name="_Toc265228399"/>
      <w:bookmarkStart w:id="1297" w:name="_Toc226309805"/>
      <w:bookmarkStart w:id="1298" w:name="_Toc226337257"/>
      <w:bookmarkStart w:id="1299" w:name="_Toc305158829"/>
      <w:bookmarkStart w:id="1300" w:name="_Toc127151561"/>
      <w:bookmarkStart w:id="1301" w:name="_Toc150774764"/>
      <w:bookmarkStart w:id="1302" w:name="_Toc150480797"/>
      <w:bookmarkStart w:id="1303" w:name="_Toc305158903"/>
      <w:bookmarkStart w:id="1304" w:name="_Toc142311061"/>
      <w:bookmarkStart w:id="1305" w:name="_Toc226965834"/>
      <w:r>
        <w:rPr>
          <w:rFonts w:hint="eastAsia"/>
          <w:color w:val="000000" w:themeColor="text1"/>
          <w:sz w:val="24"/>
          <w:szCs w:val="20"/>
          <w:highlight w:val="none"/>
          <w:lang w:val="en-US" w:eastAsia="zh-CN"/>
          <w14:textFill>
            <w14:solidFill>
              <w14:schemeClr w14:val="tx1"/>
            </w14:solidFill>
          </w14:textFill>
        </w:rPr>
        <w:t>8</w:t>
      </w:r>
      <w:r>
        <w:rPr>
          <w:color w:val="000000" w:themeColor="text1"/>
          <w:sz w:val="24"/>
          <w:szCs w:val="20"/>
          <w:highlight w:val="none"/>
          <w14:textFill>
            <w14:solidFill>
              <w14:schemeClr w14:val="tx1"/>
            </w14:solidFill>
          </w14:textFill>
        </w:rPr>
        <w:t xml:space="preserve">  合同条款偏离表</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p>
    <w:p w14:paraId="7FA9CB23">
      <w:pPr>
        <w:spacing w:line="360" w:lineRule="auto"/>
        <w:rPr>
          <w:color w:val="000000" w:themeColor="text1"/>
          <w:sz w:val="24"/>
          <w:szCs w:val="20"/>
          <w:highlight w:val="none"/>
          <w14:textFill>
            <w14:solidFill>
              <w14:schemeClr w14:val="tx1"/>
            </w14:solidFill>
          </w14:textFill>
        </w:rPr>
      </w:pPr>
    </w:p>
    <w:p w14:paraId="0935553E">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合同条款偏离表</w:t>
      </w:r>
    </w:p>
    <w:p w14:paraId="21D8401A">
      <w:pPr>
        <w:jc w:val="center"/>
        <w:rPr>
          <w:color w:val="000000" w:themeColor="text1"/>
          <w:sz w:val="36"/>
          <w:szCs w:val="36"/>
          <w:highlight w:val="none"/>
          <w14:textFill>
            <w14:solidFill>
              <w14:schemeClr w14:val="tx1"/>
            </w14:solidFill>
          </w14:textFill>
        </w:rPr>
      </w:pPr>
    </w:p>
    <w:p w14:paraId="17310D60">
      <w:pPr>
        <w:spacing w:line="360" w:lineRule="auto"/>
        <w:rPr>
          <w:color w:val="000000" w:themeColor="text1"/>
          <w:sz w:val="24"/>
          <w:szCs w:val="20"/>
          <w:highlight w:val="none"/>
          <w14:textFill>
            <w14:solidFill>
              <w14:schemeClr w14:val="tx1"/>
            </w14:solidFill>
          </w14:textFill>
        </w:rPr>
      </w:pPr>
    </w:p>
    <w:p w14:paraId="30D5135C">
      <w:pPr>
        <w:tabs>
          <w:tab w:val="left" w:pos="1800"/>
          <w:tab w:val="left" w:pos="5580"/>
        </w:tabs>
        <w:spacing w:line="360" w:lineRule="auto"/>
        <w:ind w:firstLine="36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项目编号/包号：_______________     项目名称：_____________________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36C3D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68BBC31A">
            <w:pPr>
              <w:jc w:val="left"/>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对本项目合同条款的偏离情况（请进行勾选）：</w:t>
            </w:r>
          </w:p>
          <w:p w14:paraId="51FCF088">
            <w:pPr>
              <w:jc w:val="lef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□无偏离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如无偏离，仅勾选无偏离即可</w:t>
            </w:r>
            <w:r>
              <w:rPr>
                <w:color w:val="000000" w:themeColor="text1"/>
                <w:sz w:val="24"/>
                <w:highlight w:val="none"/>
                <w14:textFill>
                  <w14:solidFill>
                    <w14:schemeClr w14:val="tx1"/>
                  </w14:solidFill>
                </w14:textFill>
              </w:rPr>
              <w:t>）</w:t>
            </w:r>
          </w:p>
          <w:p w14:paraId="07C52C01">
            <w:pPr>
              <w:jc w:val="left"/>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□有偏离</w:t>
            </w:r>
            <w:r>
              <w:rPr>
                <w:color w:val="000000" w:themeColor="text1"/>
                <w:sz w:val="24"/>
                <w:highlight w:val="none"/>
                <w14:textFill>
                  <w14:solidFill>
                    <w14:schemeClr w14:val="tx1"/>
                  </w14:solidFill>
                </w14:textFill>
              </w:rPr>
              <w:t>（</w:t>
            </w:r>
            <w:r>
              <w:rPr>
                <w:color w:val="000000" w:themeColor="text1"/>
                <w:sz w:val="24"/>
                <w:szCs w:val="21"/>
                <w:highlight w:val="none"/>
                <w14:textFill>
                  <w14:solidFill>
                    <w14:schemeClr w14:val="tx1"/>
                  </w14:solidFill>
                </w14:textFill>
              </w:rPr>
              <w:t>如有负偏离，</w:t>
            </w:r>
            <w:r>
              <w:rPr>
                <w:color w:val="000000" w:themeColor="text1"/>
                <w:sz w:val="24"/>
                <w:highlight w:val="none"/>
                <w14:textFill>
                  <w14:solidFill>
                    <w14:schemeClr w14:val="tx1"/>
                  </w14:solidFill>
                </w14:textFill>
              </w:rPr>
              <w:t>则须在本表中对负偏离项逐一列明）</w:t>
            </w:r>
          </w:p>
        </w:tc>
      </w:tr>
      <w:tr w14:paraId="15C54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E59665C">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301" w:type="dxa"/>
            <w:noWrap w:val="0"/>
            <w:vAlign w:val="center"/>
          </w:tcPr>
          <w:p w14:paraId="1B555592">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条目号（页码）</w:t>
            </w:r>
          </w:p>
        </w:tc>
        <w:tc>
          <w:tcPr>
            <w:tcW w:w="2007" w:type="dxa"/>
            <w:noWrap w:val="0"/>
            <w:vAlign w:val="center"/>
          </w:tcPr>
          <w:p w14:paraId="1E369F2D">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磋商文件</w:t>
            </w:r>
            <w:r>
              <w:rPr>
                <w:color w:val="000000" w:themeColor="text1"/>
                <w:sz w:val="24"/>
                <w:highlight w:val="none"/>
                <w14:textFill>
                  <w14:solidFill>
                    <w14:schemeClr w14:val="tx1"/>
                  </w14:solidFill>
                </w14:textFill>
              </w:rPr>
              <w:t>要求</w:t>
            </w:r>
          </w:p>
        </w:tc>
        <w:tc>
          <w:tcPr>
            <w:tcW w:w="2008" w:type="dxa"/>
            <w:noWrap w:val="0"/>
            <w:vAlign w:val="center"/>
          </w:tcPr>
          <w:p w14:paraId="32AEDDE2">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响应文件内容</w:t>
            </w:r>
          </w:p>
        </w:tc>
        <w:tc>
          <w:tcPr>
            <w:tcW w:w="2458" w:type="dxa"/>
            <w:noWrap w:val="0"/>
            <w:vAlign w:val="center"/>
          </w:tcPr>
          <w:p w14:paraId="067AEAF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123D8710">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（据实填写）</w:t>
            </w:r>
          </w:p>
        </w:tc>
        <w:tc>
          <w:tcPr>
            <w:tcW w:w="788" w:type="dxa"/>
            <w:noWrap w:val="0"/>
            <w:vAlign w:val="center"/>
          </w:tcPr>
          <w:p w14:paraId="0A4B19B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1DF79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27AF4B2">
            <w:pPr>
              <w:jc w:val="center"/>
              <w:rPr>
                <w:color w:val="000000" w:themeColor="text1"/>
                <w:sz w:val="24"/>
                <w:highlight w:val="none"/>
                <w14:textFill>
                  <w14:solidFill>
                    <w14:schemeClr w14:val="tx1"/>
                  </w14:solidFill>
                </w14:textFill>
              </w:rPr>
            </w:pPr>
          </w:p>
        </w:tc>
        <w:tc>
          <w:tcPr>
            <w:tcW w:w="1301" w:type="dxa"/>
            <w:noWrap w:val="0"/>
            <w:vAlign w:val="center"/>
          </w:tcPr>
          <w:p w14:paraId="2D01FD23">
            <w:pPr>
              <w:jc w:val="center"/>
              <w:rPr>
                <w:color w:val="000000" w:themeColor="text1"/>
                <w:sz w:val="24"/>
                <w:highlight w:val="none"/>
                <w14:textFill>
                  <w14:solidFill>
                    <w14:schemeClr w14:val="tx1"/>
                  </w14:solidFill>
                </w14:textFill>
              </w:rPr>
            </w:pPr>
          </w:p>
        </w:tc>
        <w:tc>
          <w:tcPr>
            <w:tcW w:w="2007" w:type="dxa"/>
            <w:noWrap w:val="0"/>
            <w:vAlign w:val="center"/>
          </w:tcPr>
          <w:p w14:paraId="3D130359">
            <w:pPr>
              <w:jc w:val="center"/>
              <w:rPr>
                <w:color w:val="000000" w:themeColor="text1"/>
                <w:sz w:val="24"/>
                <w:highlight w:val="none"/>
                <w14:textFill>
                  <w14:solidFill>
                    <w14:schemeClr w14:val="tx1"/>
                  </w14:solidFill>
                </w14:textFill>
              </w:rPr>
            </w:pPr>
          </w:p>
        </w:tc>
        <w:tc>
          <w:tcPr>
            <w:tcW w:w="2008" w:type="dxa"/>
            <w:noWrap w:val="0"/>
            <w:vAlign w:val="center"/>
          </w:tcPr>
          <w:p w14:paraId="2955A633">
            <w:pPr>
              <w:jc w:val="center"/>
              <w:rPr>
                <w:color w:val="000000" w:themeColor="text1"/>
                <w:sz w:val="24"/>
                <w:highlight w:val="none"/>
                <w14:textFill>
                  <w14:solidFill>
                    <w14:schemeClr w14:val="tx1"/>
                  </w14:solidFill>
                </w14:textFill>
              </w:rPr>
            </w:pPr>
          </w:p>
        </w:tc>
        <w:tc>
          <w:tcPr>
            <w:tcW w:w="2458" w:type="dxa"/>
            <w:noWrap w:val="0"/>
            <w:vAlign w:val="center"/>
          </w:tcPr>
          <w:p w14:paraId="270D2D88">
            <w:pPr>
              <w:jc w:val="center"/>
              <w:rPr>
                <w:color w:val="000000" w:themeColor="text1"/>
                <w:sz w:val="24"/>
                <w:highlight w:val="none"/>
                <w14:textFill>
                  <w14:solidFill>
                    <w14:schemeClr w14:val="tx1"/>
                  </w14:solidFill>
                </w14:textFill>
              </w:rPr>
            </w:pPr>
          </w:p>
        </w:tc>
        <w:tc>
          <w:tcPr>
            <w:tcW w:w="788" w:type="dxa"/>
            <w:noWrap w:val="0"/>
            <w:vAlign w:val="center"/>
          </w:tcPr>
          <w:p w14:paraId="77E559DB">
            <w:pPr>
              <w:jc w:val="center"/>
              <w:rPr>
                <w:color w:val="000000" w:themeColor="text1"/>
                <w:sz w:val="24"/>
                <w:highlight w:val="none"/>
                <w14:textFill>
                  <w14:solidFill>
                    <w14:schemeClr w14:val="tx1"/>
                  </w14:solidFill>
                </w14:textFill>
              </w:rPr>
            </w:pPr>
          </w:p>
        </w:tc>
      </w:tr>
      <w:tr w14:paraId="722E8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5C11FE7">
            <w:pPr>
              <w:jc w:val="center"/>
              <w:rPr>
                <w:color w:val="000000" w:themeColor="text1"/>
                <w:sz w:val="24"/>
                <w:highlight w:val="none"/>
                <w14:textFill>
                  <w14:solidFill>
                    <w14:schemeClr w14:val="tx1"/>
                  </w14:solidFill>
                </w14:textFill>
              </w:rPr>
            </w:pPr>
          </w:p>
        </w:tc>
        <w:tc>
          <w:tcPr>
            <w:tcW w:w="1301" w:type="dxa"/>
            <w:noWrap w:val="0"/>
            <w:vAlign w:val="center"/>
          </w:tcPr>
          <w:p w14:paraId="1A3A45E4">
            <w:pPr>
              <w:jc w:val="center"/>
              <w:rPr>
                <w:color w:val="000000" w:themeColor="text1"/>
                <w:sz w:val="24"/>
                <w:highlight w:val="none"/>
                <w14:textFill>
                  <w14:solidFill>
                    <w14:schemeClr w14:val="tx1"/>
                  </w14:solidFill>
                </w14:textFill>
              </w:rPr>
            </w:pPr>
          </w:p>
        </w:tc>
        <w:tc>
          <w:tcPr>
            <w:tcW w:w="2007" w:type="dxa"/>
            <w:noWrap w:val="0"/>
            <w:vAlign w:val="center"/>
          </w:tcPr>
          <w:p w14:paraId="33965209">
            <w:pPr>
              <w:jc w:val="center"/>
              <w:rPr>
                <w:color w:val="000000" w:themeColor="text1"/>
                <w:sz w:val="24"/>
                <w:highlight w:val="none"/>
                <w14:textFill>
                  <w14:solidFill>
                    <w14:schemeClr w14:val="tx1"/>
                  </w14:solidFill>
                </w14:textFill>
              </w:rPr>
            </w:pPr>
          </w:p>
        </w:tc>
        <w:tc>
          <w:tcPr>
            <w:tcW w:w="2008" w:type="dxa"/>
            <w:noWrap w:val="0"/>
            <w:vAlign w:val="center"/>
          </w:tcPr>
          <w:p w14:paraId="03AE1AD5">
            <w:pPr>
              <w:jc w:val="center"/>
              <w:rPr>
                <w:color w:val="000000" w:themeColor="text1"/>
                <w:sz w:val="24"/>
                <w:highlight w:val="none"/>
                <w14:textFill>
                  <w14:solidFill>
                    <w14:schemeClr w14:val="tx1"/>
                  </w14:solidFill>
                </w14:textFill>
              </w:rPr>
            </w:pPr>
          </w:p>
        </w:tc>
        <w:tc>
          <w:tcPr>
            <w:tcW w:w="2458" w:type="dxa"/>
            <w:noWrap w:val="0"/>
            <w:vAlign w:val="center"/>
          </w:tcPr>
          <w:p w14:paraId="2258F1C2">
            <w:pPr>
              <w:jc w:val="center"/>
              <w:rPr>
                <w:color w:val="000000" w:themeColor="text1"/>
                <w:sz w:val="24"/>
                <w:highlight w:val="none"/>
                <w14:textFill>
                  <w14:solidFill>
                    <w14:schemeClr w14:val="tx1"/>
                  </w14:solidFill>
                </w14:textFill>
              </w:rPr>
            </w:pPr>
          </w:p>
        </w:tc>
        <w:tc>
          <w:tcPr>
            <w:tcW w:w="788" w:type="dxa"/>
            <w:noWrap w:val="0"/>
            <w:vAlign w:val="center"/>
          </w:tcPr>
          <w:p w14:paraId="32ABFFA8">
            <w:pPr>
              <w:jc w:val="center"/>
              <w:rPr>
                <w:color w:val="000000" w:themeColor="text1"/>
                <w:sz w:val="24"/>
                <w:highlight w:val="none"/>
                <w14:textFill>
                  <w14:solidFill>
                    <w14:schemeClr w14:val="tx1"/>
                  </w14:solidFill>
                </w14:textFill>
              </w:rPr>
            </w:pPr>
          </w:p>
        </w:tc>
      </w:tr>
      <w:tr w14:paraId="42544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DA1F359">
            <w:pPr>
              <w:jc w:val="center"/>
              <w:rPr>
                <w:color w:val="000000" w:themeColor="text1"/>
                <w:sz w:val="24"/>
                <w:highlight w:val="none"/>
                <w14:textFill>
                  <w14:solidFill>
                    <w14:schemeClr w14:val="tx1"/>
                  </w14:solidFill>
                </w14:textFill>
              </w:rPr>
            </w:pPr>
          </w:p>
        </w:tc>
        <w:tc>
          <w:tcPr>
            <w:tcW w:w="1301" w:type="dxa"/>
            <w:noWrap w:val="0"/>
            <w:vAlign w:val="center"/>
          </w:tcPr>
          <w:p w14:paraId="0FA71185">
            <w:pPr>
              <w:jc w:val="center"/>
              <w:rPr>
                <w:color w:val="000000" w:themeColor="text1"/>
                <w:sz w:val="24"/>
                <w:highlight w:val="none"/>
                <w14:textFill>
                  <w14:solidFill>
                    <w14:schemeClr w14:val="tx1"/>
                  </w14:solidFill>
                </w14:textFill>
              </w:rPr>
            </w:pPr>
          </w:p>
        </w:tc>
        <w:tc>
          <w:tcPr>
            <w:tcW w:w="2007" w:type="dxa"/>
            <w:noWrap w:val="0"/>
            <w:vAlign w:val="center"/>
          </w:tcPr>
          <w:p w14:paraId="0FF1A009">
            <w:pPr>
              <w:jc w:val="center"/>
              <w:rPr>
                <w:color w:val="000000" w:themeColor="text1"/>
                <w:sz w:val="24"/>
                <w:highlight w:val="none"/>
                <w14:textFill>
                  <w14:solidFill>
                    <w14:schemeClr w14:val="tx1"/>
                  </w14:solidFill>
                </w14:textFill>
              </w:rPr>
            </w:pPr>
          </w:p>
        </w:tc>
        <w:tc>
          <w:tcPr>
            <w:tcW w:w="2008" w:type="dxa"/>
            <w:noWrap w:val="0"/>
            <w:vAlign w:val="center"/>
          </w:tcPr>
          <w:p w14:paraId="53E256D7">
            <w:pPr>
              <w:jc w:val="center"/>
              <w:rPr>
                <w:color w:val="000000" w:themeColor="text1"/>
                <w:sz w:val="24"/>
                <w:highlight w:val="none"/>
                <w14:textFill>
                  <w14:solidFill>
                    <w14:schemeClr w14:val="tx1"/>
                  </w14:solidFill>
                </w14:textFill>
              </w:rPr>
            </w:pPr>
          </w:p>
        </w:tc>
        <w:tc>
          <w:tcPr>
            <w:tcW w:w="2458" w:type="dxa"/>
            <w:noWrap w:val="0"/>
            <w:vAlign w:val="center"/>
          </w:tcPr>
          <w:p w14:paraId="1CD08C3A">
            <w:pPr>
              <w:jc w:val="center"/>
              <w:rPr>
                <w:color w:val="000000" w:themeColor="text1"/>
                <w:sz w:val="24"/>
                <w:highlight w:val="none"/>
                <w14:textFill>
                  <w14:solidFill>
                    <w14:schemeClr w14:val="tx1"/>
                  </w14:solidFill>
                </w14:textFill>
              </w:rPr>
            </w:pPr>
          </w:p>
        </w:tc>
        <w:tc>
          <w:tcPr>
            <w:tcW w:w="788" w:type="dxa"/>
            <w:noWrap w:val="0"/>
            <w:vAlign w:val="center"/>
          </w:tcPr>
          <w:p w14:paraId="03C82762">
            <w:pPr>
              <w:jc w:val="center"/>
              <w:rPr>
                <w:color w:val="000000" w:themeColor="text1"/>
                <w:sz w:val="24"/>
                <w:highlight w:val="none"/>
                <w14:textFill>
                  <w14:solidFill>
                    <w14:schemeClr w14:val="tx1"/>
                  </w14:solidFill>
                </w14:textFill>
              </w:rPr>
            </w:pPr>
          </w:p>
        </w:tc>
      </w:tr>
      <w:tr w14:paraId="74F8C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83BB3A5">
            <w:pPr>
              <w:jc w:val="center"/>
              <w:rPr>
                <w:color w:val="000000" w:themeColor="text1"/>
                <w:sz w:val="24"/>
                <w:highlight w:val="none"/>
                <w14:textFill>
                  <w14:solidFill>
                    <w14:schemeClr w14:val="tx1"/>
                  </w14:solidFill>
                </w14:textFill>
              </w:rPr>
            </w:pPr>
          </w:p>
        </w:tc>
        <w:tc>
          <w:tcPr>
            <w:tcW w:w="1301" w:type="dxa"/>
            <w:noWrap w:val="0"/>
            <w:vAlign w:val="center"/>
          </w:tcPr>
          <w:p w14:paraId="7749DEE6">
            <w:pPr>
              <w:jc w:val="center"/>
              <w:rPr>
                <w:color w:val="000000" w:themeColor="text1"/>
                <w:sz w:val="24"/>
                <w:highlight w:val="none"/>
                <w14:textFill>
                  <w14:solidFill>
                    <w14:schemeClr w14:val="tx1"/>
                  </w14:solidFill>
                </w14:textFill>
              </w:rPr>
            </w:pPr>
          </w:p>
        </w:tc>
        <w:tc>
          <w:tcPr>
            <w:tcW w:w="2007" w:type="dxa"/>
            <w:noWrap w:val="0"/>
            <w:vAlign w:val="center"/>
          </w:tcPr>
          <w:p w14:paraId="2C6BB7A4">
            <w:pPr>
              <w:jc w:val="center"/>
              <w:rPr>
                <w:color w:val="000000" w:themeColor="text1"/>
                <w:sz w:val="24"/>
                <w:highlight w:val="none"/>
                <w14:textFill>
                  <w14:solidFill>
                    <w14:schemeClr w14:val="tx1"/>
                  </w14:solidFill>
                </w14:textFill>
              </w:rPr>
            </w:pPr>
          </w:p>
        </w:tc>
        <w:tc>
          <w:tcPr>
            <w:tcW w:w="2008" w:type="dxa"/>
            <w:noWrap w:val="0"/>
            <w:vAlign w:val="center"/>
          </w:tcPr>
          <w:p w14:paraId="16D84AFB">
            <w:pPr>
              <w:jc w:val="center"/>
              <w:rPr>
                <w:color w:val="000000" w:themeColor="text1"/>
                <w:sz w:val="24"/>
                <w:highlight w:val="none"/>
                <w14:textFill>
                  <w14:solidFill>
                    <w14:schemeClr w14:val="tx1"/>
                  </w14:solidFill>
                </w14:textFill>
              </w:rPr>
            </w:pPr>
          </w:p>
        </w:tc>
        <w:tc>
          <w:tcPr>
            <w:tcW w:w="2458" w:type="dxa"/>
            <w:noWrap w:val="0"/>
            <w:vAlign w:val="center"/>
          </w:tcPr>
          <w:p w14:paraId="29EE1C57">
            <w:pPr>
              <w:jc w:val="center"/>
              <w:rPr>
                <w:color w:val="000000" w:themeColor="text1"/>
                <w:sz w:val="24"/>
                <w:highlight w:val="none"/>
                <w14:textFill>
                  <w14:solidFill>
                    <w14:schemeClr w14:val="tx1"/>
                  </w14:solidFill>
                </w14:textFill>
              </w:rPr>
            </w:pPr>
          </w:p>
        </w:tc>
        <w:tc>
          <w:tcPr>
            <w:tcW w:w="788" w:type="dxa"/>
            <w:noWrap w:val="0"/>
            <w:vAlign w:val="center"/>
          </w:tcPr>
          <w:p w14:paraId="707A9C93">
            <w:pPr>
              <w:jc w:val="center"/>
              <w:rPr>
                <w:color w:val="000000" w:themeColor="text1"/>
                <w:sz w:val="24"/>
                <w:highlight w:val="none"/>
                <w14:textFill>
                  <w14:solidFill>
                    <w14:schemeClr w14:val="tx1"/>
                  </w14:solidFill>
                </w14:textFill>
              </w:rPr>
            </w:pPr>
          </w:p>
        </w:tc>
      </w:tr>
    </w:tbl>
    <w:p w14:paraId="3B3CDD09">
      <w:pPr>
        <w:tabs>
          <w:tab w:val="left" w:pos="1800"/>
          <w:tab w:val="left" w:pos="5580"/>
        </w:tabs>
        <w:jc w:val="left"/>
        <w:rPr>
          <w:color w:val="000000" w:themeColor="text1"/>
          <w:sz w:val="24"/>
          <w:highlight w:val="none"/>
          <w14:textFill>
            <w14:solidFill>
              <w14:schemeClr w14:val="tx1"/>
            </w14:solidFill>
          </w14:textFill>
        </w:rPr>
      </w:pPr>
    </w:p>
    <w:p w14:paraId="1469DEAF">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注：</w:t>
      </w:r>
    </w:p>
    <w:p w14:paraId="317BEB11">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 </w:t>
      </w:r>
      <w:r>
        <w:rPr>
          <w:rFonts w:hint="eastAsia"/>
          <w:color w:val="000000" w:themeColor="text1"/>
          <w:sz w:val="24"/>
          <w:highlight w:val="none"/>
          <w14:textFill>
            <w14:solidFill>
              <w14:schemeClr w14:val="tx1"/>
            </w14:solidFill>
          </w14:textFill>
        </w:rPr>
        <w:t>对合同条款中的所有要求，除本表所列明的所有偏离外，均视作供应商已对之理解和响应。</w:t>
      </w:r>
    </w:p>
    <w:p w14:paraId="2973EF3F">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“偏离情况”列应据实填写“正偏离”或“负偏离”。</w:t>
      </w:r>
    </w:p>
    <w:p w14:paraId="08358524">
      <w:pPr>
        <w:spacing w:line="360" w:lineRule="auto"/>
        <w:rPr>
          <w:color w:val="000000" w:themeColor="text1"/>
          <w:sz w:val="24"/>
          <w:szCs w:val="20"/>
          <w:highlight w:val="none"/>
          <w14:textFill>
            <w14:solidFill>
              <w14:schemeClr w14:val="tx1"/>
            </w14:solidFill>
          </w14:textFill>
        </w:rPr>
      </w:pPr>
    </w:p>
    <w:p w14:paraId="23B137A6">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01FDFE49">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24DF2175">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65D78498">
      <w:pPr>
        <w:spacing w:line="360" w:lineRule="auto"/>
        <w:outlineLvl w:val="2"/>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r>
        <w:rPr>
          <w:rFonts w:hint="eastAsia"/>
          <w:color w:val="000000" w:themeColor="text1"/>
          <w:sz w:val="24"/>
          <w:szCs w:val="20"/>
          <w:highlight w:val="none"/>
          <w:lang w:val="en-US" w:eastAsia="zh-CN"/>
          <w14:textFill>
            <w14:solidFill>
              <w14:schemeClr w14:val="tx1"/>
            </w14:solidFill>
          </w14:textFill>
        </w:rPr>
        <w:t>9</w:t>
      </w:r>
      <w:r>
        <w:rPr>
          <w:color w:val="000000" w:themeColor="text1"/>
          <w:sz w:val="24"/>
          <w:szCs w:val="20"/>
          <w:highlight w:val="none"/>
          <w14:textFill>
            <w14:solidFill>
              <w14:schemeClr w14:val="tx1"/>
            </w14:solidFill>
          </w14:textFill>
        </w:rPr>
        <w:t xml:space="preserve">  </w:t>
      </w:r>
      <w:bookmarkEnd w:id="1293"/>
      <w:bookmarkEnd w:id="1294"/>
      <w:bookmarkEnd w:id="1295"/>
      <w:bookmarkEnd w:id="1296"/>
      <w:bookmarkEnd w:id="1297"/>
      <w:bookmarkEnd w:id="1298"/>
      <w:bookmarkEnd w:id="1299"/>
      <w:bookmarkEnd w:id="1300"/>
      <w:bookmarkEnd w:id="1301"/>
      <w:bookmarkEnd w:id="1302"/>
      <w:bookmarkEnd w:id="1303"/>
      <w:bookmarkEnd w:id="1304"/>
      <w:bookmarkEnd w:id="1305"/>
      <w:r>
        <w:rPr>
          <w:color w:val="000000" w:themeColor="text1"/>
          <w:sz w:val="24"/>
          <w:szCs w:val="20"/>
          <w:highlight w:val="none"/>
          <w14:textFill>
            <w14:solidFill>
              <w14:schemeClr w14:val="tx1"/>
            </w14:solidFill>
          </w14:textFill>
        </w:rPr>
        <w:t>采购需求偏离表</w:t>
      </w:r>
    </w:p>
    <w:p w14:paraId="5C7B9727">
      <w:pPr>
        <w:jc w:val="center"/>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采购需求偏离表</w:t>
      </w:r>
    </w:p>
    <w:p w14:paraId="5D560A87">
      <w:pPr>
        <w:jc w:val="center"/>
        <w:rPr>
          <w:color w:val="000000" w:themeColor="text1"/>
          <w:sz w:val="36"/>
          <w:szCs w:val="36"/>
          <w:highlight w:val="none"/>
          <w14:textFill>
            <w14:solidFill>
              <w14:schemeClr w14:val="tx1"/>
            </w14:solidFill>
          </w14:textFill>
        </w:rPr>
      </w:pPr>
    </w:p>
    <w:p w14:paraId="233F92FE">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项目编号/包号：_____________________     项目名称：_______________________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273F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5E1E30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序号</w:t>
            </w:r>
          </w:p>
        </w:tc>
        <w:tc>
          <w:tcPr>
            <w:tcW w:w="1482" w:type="dxa"/>
            <w:noWrap w:val="0"/>
            <w:vAlign w:val="center"/>
          </w:tcPr>
          <w:p w14:paraId="1C0B238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磋商文件条目号(页码)</w:t>
            </w:r>
          </w:p>
        </w:tc>
        <w:tc>
          <w:tcPr>
            <w:tcW w:w="2384" w:type="dxa"/>
            <w:noWrap w:val="0"/>
            <w:vAlign w:val="center"/>
          </w:tcPr>
          <w:p w14:paraId="41601701">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磋商文件要求</w:t>
            </w:r>
          </w:p>
        </w:tc>
        <w:tc>
          <w:tcPr>
            <w:tcW w:w="2126" w:type="dxa"/>
            <w:noWrap w:val="0"/>
            <w:vAlign w:val="center"/>
          </w:tcPr>
          <w:p w14:paraId="4B66160D">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响应内容</w:t>
            </w:r>
          </w:p>
        </w:tc>
        <w:tc>
          <w:tcPr>
            <w:tcW w:w="1875" w:type="dxa"/>
            <w:noWrap w:val="0"/>
            <w:vAlign w:val="center"/>
          </w:tcPr>
          <w:p w14:paraId="683AF54A">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偏离情况</w:t>
            </w:r>
          </w:p>
          <w:p w14:paraId="653B1752">
            <w:pPr>
              <w:jc w:val="center"/>
              <w:rPr>
                <w:color w:val="000000" w:themeColor="text1"/>
                <w:sz w:val="24"/>
                <w:highlight w:val="none"/>
                <w14:textFill>
                  <w14:solidFill>
                    <w14:schemeClr w14:val="tx1"/>
                  </w14:solidFill>
                </w14:textFill>
              </w:rPr>
            </w:pPr>
            <w:r>
              <w:rPr>
                <w:color w:val="000000" w:themeColor="text1"/>
                <w:sz w:val="24"/>
                <w:szCs w:val="21"/>
                <w:highlight w:val="none"/>
                <w14:textFill>
                  <w14:solidFill>
                    <w14:schemeClr w14:val="tx1"/>
                  </w14:solidFill>
                </w14:textFill>
              </w:rPr>
              <w:t>（据实填写）</w:t>
            </w:r>
          </w:p>
        </w:tc>
        <w:tc>
          <w:tcPr>
            <w:tcW w:w="1009" w:type="dxa"/>
            <w:noWrap w:val="0"/>
            <w:vAlign w:val="center"/>
          </w:tcPr>
          <w:p w14:paraId="75B617C9">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说明</w:t>
            </w:r>
          </w:p>
        </w:tc>
      </w:tr>
      <w:tr w14:paraId="19EE8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E345BE0">
            <w:pPr>
              <w:jc w:val="center"/>
              <w:rPr>
                <w:color w:val="000000" w:themeColor="text1"/>
                <w:sz w:val="24"/>
                <w:highlight w:val="none"/>
                <w14:textFill>
                  <w14:solidFill>
                    <w14:schemeClr w14:val="tx1"/>
                  </w14:solidFill>
                </w14:textFill>
              </w:rPr>
            </w:pPr>
          </w:p>
        </w:tc>
        <w:tc>
          <w:tcPr>
            <w:tcW w:w="1482" w:type="dxa"/>
            <w:noWrap w:val="0"/>
            <w:vAlign w:val="center"/>
          </w:tcPr>
          <w:p w14:paraId="42FF6E55">
            <w:pPr>
              <w:jc w:val="center"/>
              <w:rPr>
                <w:color w:val="000000" w:themeColor="text1"/>
                <w:sz w:val="24"/>
                <w:highlight w:val="none"/>
                <w14:textFill>
                  <w14:solidFill>
                    <w14:schemeClr w14:val="tx1"/>
                  </w14:solidFill>
                </w14:textFill>
              </w:rPr>
            </w:pPr>
          </w:p>
        </w:tc>
        <w:tc>
          <w:tcPr>
            <w:tcW w:w="2384" w:type="dxa"/>
            <w:noWrap w:val="0"/>
            <w:vAlign w:val="center"/>
          </w:tcPr>
          <w:p w14:paraId="4E939D5E">
            <w:pPr>
              <w:jc w:val="center"/>
              <w:rPr>
                <w:color w:val="000000" w:themeColor="text1"/>
                <w:sz w:val="24"/>
                <w:highlight w:val="none"/>
                <w14:textFill>
                  <w14:solidFill>
                    <w14:schemeClr w14:val="tx1"/>
                  </w14:solidFill>
                </w14:textFill>
              </w:rPr>
            </w:pPr>
          </w:p>
        </w:tc>
        <w:tc>
          <w:tcPr>
            <w:tcW w:w="2126" w:type="dxa"/>
            <w:noWrap w:val="0"/>
            <w:vAlign w:val="center"/>
          </w:tcPr>
          <w:p w14:paraId="3FA83B3C">
            <w:pPr>
              <w:jc w:val="center"/>
              <w:rPr>
                <w:color w:val="000000" w:themeColor="text1"/>
                <w:sz w:val="24"/>
                <w:highlight w:val="none"/>
                <w14:textFill>
                  <w14:solidFill>
                    <w14:schemeClr w14:val="tx1"/>
                  </w14:solidFill>
                </w14:textFill>
              </w:rPr>
            </w:pPr>
          </w:p>
        </w:tc>
        <w:tc>
          <w:tcPr>
            <w:tcW w:w="1875" w:type="dxa"/>
            <w:noWrap w:val="0"/>
            <w:vAlign w:val="center"/>
          </w:tcPr>
          <w:p w14:paraId="0A17CE8A">
            <w:pPr>
              <w:jc w:val="center"/>
              <w:rPr>
                <w:color w:val="000000" w:themeColor="text1"/>
                <w:sz w:val="24"/>
                <w:highlight w:val="none"/>
                <w14:textFill>
                  <w14:solidFill>
                    <w14:schemeClr w14:val="tx1"/>
                  </w14:solidFill>
                </w14:textFill>
              </w:rPr>
            </w:pPr>
          </w:p>
        </w:tc>
        <w:tc>
          <w:tcPr>
            <w:tcW w:w="1009" w:type="dxa"/>
            <w:noWrap w:val="0"/>
            <w:vAlign w:val="center"/>
          </w:tcPr>
          <w:p w14:paraId="29B6229B">
            <w:pPr>
              <w:jc w:val="center"/>
              <w:rPr>
                <w:color w:val="000000" w:themeColor="text1"/>
                <w:sz w:val="24"/>
                <w:highlight w:val="none"/>
                <w14:textFill>
                  <w14:solidFill>
                    <w14:schemeClr w14:val="tx1"/>
                  </w14:solidFill>
                </w14:textFill>
              </w:rPr>
            </w:pPr>
          </w:p>
        </w:tc>
      </w:tr>
      <w:tr w14:paraId="080BD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E918593">
            <w:pPr>
              <w:jc w:val="center"/>
              <w:rPr>
                <w:color w:val="000000" w:themeColor="text1"/>
                <w:sz w:val="24"/>
                <w:highlight w:val="none"/>
                <w14:textFill>
                  <w14:solidFill>
                    <w14:schemeClr w14:val="tx1"/>
                  </w14:solidFill>
                </w14:textFill>
              </w:rPr>
            </w:pPr>
          </w:p>
        </w:tc>
        <w:tc>
          <w:tcPr>
            <w:tcW w:w="1482" w:type="dxa"/>
            <w:noWrap w:val="0"/>
            <w:vAlign w:val="center"/>
          </w:tcPr>
          <w:p w14:paraId="3D2A81FC">
            <w:pPr>
              <w:jc w:val="center"/>
              <w:rPr>
                <w:color w:val="000000" w:themeColor="text1"/>
                <w:sz w:val="24"/>
                <w:highlight w:val="none"/>
                <w14:textFill>
                  <w14:solidFill>
                    <w14:schemeClr w14:val="tx1"/>
                  </w14:solidFill>
                </w14:textFill>
              </w:rPr>
            </w:pPr>
          </w:p>
        </w:tc>
        <w:tc>
          <w:tcPr>
            <w:tcW w:w="2384" w:type="dxa"/>
            <w:noWrap w:val="0"/>
            <w:vAlign w:val="center"/>
          </w:tcPr>
          <w:p w14:paraId="61E7AC77">
            <w:pPr>
              <w:jc w:val="center"/>
              <w:rPr>
                <w:color w:val="000000" w:themeColor="text1"/>
                <w:sz w:val="24"/>
                <w:highlight w:val="none"/>
                <w14:textFill>
                  <w14:solidFill>
                    <w14:schemeClr w14:val="tx1"/>
                  </w14:solidFill>
                </w14:textFill>
              </w:rPr>
            </w:pPr>
          </w:p>
        </w:tc>
        <w:tc>
          <w:tcPr>
            <w:tcW w:w="2126" w:type="dxa"/>
            <w:noWrap w:val="0"/>
            <w:vAlign w:val="center"/>
          </w:tcPr>
          <w:p w14:paraId="54AB70B9">
            <w:pPr>
              <w:jc w:val="center"/>
              <w:rPr>
                <w:color w:val="000000" w:themeColor="text1"/>
                <w:sz w:val="24"/>
                <w:highlight w:val="none"/>
                <w14:textFill>
                  <w14:solidFill>
                    <w14:schemeClr w14:val="tx1"/>
                  </w14:solidFill>
                </w14:textFill>
              </w:rPr>
            </w:pPr>
          </w:p>
        </w:tc>
        <w:tc>
          <w:tcPr>
            <w:tcW w:w="1875" w:type="dxa"/>
            <w:noWrap w:val="0"/>
            <w:vAlign w:val="center"/>
          </w:tcPr>
          <w:p w14:paraId="03FF5BBC">
            <w:pPr>
              <w:jc w:val="center"/>
              <w:rPr>
                <w:color w:val="000000" w:themeColor="text1"/>
                <w:sz w:val="24"/>
                <w:highlight w:val="none"/>
                <w14:textFill>
                  <w14:solidFill>
                    <w14:schemeClr w14:val="tx1"/>
                  </w14:solidFill>
                </w14:textFill>
              </w:rPr>
            </w:pPr>
          </w:p>
        </w:tc>
        <w:tc>
          <w:tcPr>
            <w:tcW w:w="1009" w:type="dxa"/>
            <w:noWrap w:val="0"/>
            <w:vAlign w:val="center"/>
          </w:tcPr>
          <w:p w14:paraId="09B0A471">
            <w:pPr>
              <w:jc w:val="center"/>
              <w:rPr>
                <w:color w:val="000000" w:themeColor="text1"/>
                <w:sz w:val="24"/>
                <w:highlight w:val="none"/>
                <w14:textFill>
                  <w14:solidFill>
                    <w14:schemeClr w14:val="tx1"/>
                  </w14:solidFill>
                </w14:textFill>
              </w:rPr>
            </w:pPr>
          </w:p>
        </w:tc>
      </w:tr>
      <w:tr w14:paraId="41FE7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7E7C183">
            <w:pPr>
              <w:jc w:val="center"/>
              <w:rPr>
                <w:color w:val="000000" w:themeColor="text1"/>
                <w:sz w:val="24"/>
                <w:highlight w:val="none"/>
                <w14:textFill>
                  <w14:solidFill>
                    <w14:schemeClr w14:val="tx1"/>
                  </w14:solidFill>
                </w14:textFill>
              </w:rPr>
            </w:pPr>
          </w:p>
        </w:tc>
        <w:tc>
          <w:tcPr>
            <w:tcW w:w="1482" w:type="dxa"/>
            <w:noWrap w:val="0"/>
            <w:vAlign w:val="center"/>
          </w:tcPr>
          <w:p w14:paraId="4B940355">
            <w:pPr>
              <w:jc w:val="center"/>
              <w:rPr>
                <w:color w:val="000000" w:themeColor="text1"/>
                <w:sz w:val="24"/>
                <w:highlight w:val="none"/>
                <w14:textFill>
                  <w14:solidFill>
                    <w14:schemeClr w14:val="tx1"/>
                  </w14:solidFill>
                </w14:textFill>
              </w:rPr>
            </w:pPr>
          </w:p>
        </w:tc>
        <w:tc>
          <w:tcPr>
            <w:tcW w:w="2384" w:type="dxa"/>
            <w:noWrap w:val="0"/>
            <w:vAlign w:val="center"/>
          </w:tcPr>
          <w:p w14:paraId="1284C7D2">
            <w:pPr>
              <w:jc w:val="center"/>
              <w:rPr>
                <w:color w:val="000000" w:themeColor="text1"/>
                <w:sz w:val="24"/>
                <w:highlight w:val="none"/>
                <w14:textFill>
                  <w14:solidFill>
                    <w14:schemeClr w14:val="tx1"/>
                  </w14:solidFill>
                </w14:textFill>
              </w:rPr>
            </w:pPr>
          </w:p>
        </w:tc>
        <w:tc>
          <w:tcPr>
            <w:tcW w:w="2126" w:type="dxa"/>
            <w:noWrap w:val="0"/>
            <w:vAlign w:val="center"/>
          </w:tcPr>
          <w:p w14:paraId="294629A3">
            <w:pPr>
              <w:jc w:val="center"/>
              <w:rPr>
                <w:color w:val="000000" w:themeColor="text1"/>
                <w:sz w:val="24"/>
                <w:highlight w:val="none"/>
                <w14:textFill>
                  <w14:solidFill>
                    <w14:schemeClr w14:val="tx1"/>
                  </w14:solidFill>
                </w14:textFill>
              </w:rPr>
            </w:pPr>
          </w:p>
        </w:tc>
        <w:tc>
          <w:tcPr>
            <w:tcW w:w="1875" w:type="dxa"/>
            <w:noWrap w:val="0"/>
            <w:vAlign w:val="center"/>
          </w:tcPr>
          <w:p w14:paraId="6FDECF0D">
            <w:pPr>
              <w:jc w:val="center"/>
              <w:rPr>
                <w:color w:val="000000" w:themeColor="text1"/>
                <w:sz w:val="24"/>
                <w:highlight w:val="none"/>
                <w14:textFill>
                  <w14:solidFill>
                    <w14:schemeClr w14:val="tx1"/>
                  </w14:solidFill>
                </w14:textFill>
              </w:rPr>
            </w:pPr>
          </w:p>
        </w:tc>
        <w:tc>
          <w:tcPr>
            <w:tcW w:w="1009" w:type="dxa"/>
            <w:noWrap w:val="0"/>
            <w:vAlign w:val="center"/>
          </w:tcPr>
          <w:p w14:paraId="5AF6F748">
            <w:pPr>
              <w:jc w:val="center"/>
              <w:rPr>
                <w:color w:val="000000" w:themeColor="text1"/>
                <w:sz w:val="24"/>
                <w:highlight w:val="none"/>
                <w14:textFill>
                  <w14:solidFill>
                    <w14:schemeClr w14:val="tx1"/>
                  </w14:solidFill>
                </w14:textFill>
              </w:rPr>
            </w:pPr>
          </w:p>
        </w:tc>
      </w:tr>
      <w:tr w14:paraId="7B8DD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C65CA44">
            <w:pPr>
              <w:jc w:val="center"/>
              <w:rPr>
                <w:color w:val="000000" w:themeColor="text1"/>
                <w:sz w:val="24"/>
                <w:highlight w:val="none"/>
                <w14:textFill>
                  <w14:solidFill>
                    <w14:schemeClr w14:val="tx1"/>
                  </w14:solidFill>
                </w14:textFill>
              </w:rPr>
            </w:pPr>
          </w:p>
        </w:tc>
        <w:tc>
          <w:tcPr>
            <w:tcW w:w="1482" w:type="dxa"/>
            <w:noWrap w:val="0"/>
            <w:vAlign w:val="center"/>
          </w:tcPr>
          <w:p w14:paraId="7CCFB1C8">
            <w:pPr>
              <w:jc w:val="center"/>
              <w:rPr>
                <w:color w:val="000000" w:themeColor="text1"/>
                <w:sz w:val="24"/>
                <w:highlight w:val="none"/>
                <w14:textFill>
                  <w14:solidFill>
                    <w14:schemeClr w14:val="tx1"/>
                  </w14:solidFill>
                </w14:textFill>
              </w:rPr>
            </w:pPr>
          </w:p>
        </w:tc>
        <w:tc>
          <w:tcPr>
            <w:tcW w:w="2384" w:type="dxa"/>
            <w:noWrap w:val="0"/>
            <w:vAlign w:val="center"/>
          </w:tcPr>
          <w:p w14:paraId="2AFE831D">
            <w:pPr>
              <w:jc w:val="center"/>
              <w:rPr>
                <w:color w:val="000000" w:themeColor="text1"/>
                <w:sz w:val="24"/>
                <w:highlight w:val="none"/>
                <w14:textFill>
                  <w14:solidFill>
                    <w14:schemeClr w14:val="tx1"/>
                  </w14:solidFill>
                </w14:textFill>
              </w:rPr>
            </w:pPr>
          </w:p>
        </w:tc>
        <w:tc>
          <w:tcPr>
            <w:tcW w:w="2126" w:type="dxa"/>
            <w:noWrap w:val="0"/>
            <w:vAlign w:val="center"/>
          </w:tcPr>
          <w:p w14:paraId="607341C6">
            <w:pPr>
              <w:jc w:val="center"/>
              <w:rPr>
                <w:color w:val="000000" w:themeColor="text1"/>
                <w:sz w:val="24"/>
                <w:highlight w:val="none"/>
                <w14:textFill>
                  <w14:solidFill>
                    <w14:schemeClr w14:val="tx1"/>
                  </w14:solidFill>
                </w14:textFill>
              </w:rPr>
            </w:pPr>
          </w:p>
        </w:tc>
        <w:tc>
          <w:tcPr>
            <w:tcW w:w="1875" w:type="dxa"/>
            <w:noWrap w:val="0"/>
            <w:vAlign w:val="center"/>
          </w:tcPr>
          <w:p w14:paraId="3EABA880">
            <w:pPr>
              <w:jc w:val="center"/>
              <w:rPr>
                <w:color w:val="000000" w:themeColor="text1"/>
                <w:sz w:val="24"/>
                <w:highlight w:val="none"/>
                <w14:textFill>
                  <w14:solidFill>
                    <w14:schemeClr w14:val="tx1"/>
                  </w14:solidFill>
                </w14:textFill>
              </w:rPr>
            </w:pPr>
          </w:p>
        </w:tc>
        <w:tc>
          <w:tcPr>
            <w:tcW w:w="1009" w:type="dxa"/>
            <w:noWrap w:val="0"/>
            <w:vAlign w:val="center"/>
          </w:tcPr>
          <w:p w14:paraId="6A9C19BD">
            <w:pPr>
              <w:jc w:val="center"/>
              <w:rPr>
                <w:color w:val="000000" w:themeColor="text1"/>
                <w:sz w:val="24"/>
                <w:highlight w:val="none"/>
                <w14:textFill>
                  <w14:solidFill>
                    <w14:schemeClr w14:val="tx1"/>
                  </w14:solidFill>
                </w14:textFill>
              </w:rPr>
            </w:pPr>
          </w:p>
        </w:tc>
      </w:tr>
      <w:tr w14:paraId="31403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CC8E09D">
            <w:pPr>
              <w:jc w:val="center"/>
              <w:rPr>
                <w:color w:val="000000" w:themeColor="text1"/>
                <w:sz w:val="24"/>
                <w:highlight w:val="none"/>
                <w14:textFill>
                  <w14:solidFill>
                    <w14:schemeClr w14:val="tx1"/>
                  </w14:solidFill>
                </w14:textFill>
              </w:rPr>
            </w:pPr>
          </w:p>
        </w:tc>
        <w:tc>
          <w:tcPr>
            <w:tcW w:w="1482" w:type="dxa"/>
            <w:noWrap w:val="0"/>
            <w:vAlign w:val="center"/>
          </w:tcPr>
          <w:p w14:paraId="600DBA27">
            <w:pPr>
              <w:jc w:val="center"/>
              <w:rPr>
                <w:color w:val="000000" w:themeColor="text1"/>
                <w:sz w:val="24"/>
                <w:highlight w:val="none"/>
                <w14:textFill>
                  <w14:solidFill>
                    <w14:schemeClr w14:val="tx1"/>
                  </w14:solidFill>
                </w14:textFill>
              </w:rPr>
            </w:pPr>
          </w:p>
        </w:tc>
        <w:tc>
          <w:tcPr>
            <w:tcW w:w="2384" w:type="dxa"/>
            <w:noWrap w:val="0"/>
            <w:vAlign w:val="center"/>
          </w:tcPr>
          <w:p w14:paraId="06ED34F3">
            <w:pPr>
              <w:jc w:val="center"/>
              <w:rPr>
                <w:color w:val="000000" w:themeColor="text1"/>
                <w:sz w:val="24"/>
                <w:highlight w:val="none"/>
                <w14:textFill>
                  <w14:solidFill>
                    <w14:schemeClr w14:val="tx1"/>
                  </w14:solidFill>
                </w14:textFill>
              </w:rPr>
            </w:pPr>
          </w:p>
        </w:tc>
        <w:tc>
          <w:tcPr>
            <w:tcW w:w="2126" w:type="dxa"/>
            <w:noWrap w:val="0"/>
            <w:vAlign w:val="center"/>
          </w:tcPr>
          <w:p w14:paraId="3E91494C">
            <w:pPr>
              <w:jc w:val="center"/>
              <w:rPr>
                <w:color w:val="000000" w:themeColor="text1"/>
                <w:sz w:val="24"/>
                <w:highlight w:val="none"/>
                <w14:textFill>
                  <w14:solidFill>
                    <w14:schemeClr w14:val="tx1"/>
                  </w14:solidFill>
                </w14:textFill>
              </w:rPr>
            </w:pPr>
          </w:p>
        </w:tc>
        <w:tc>
          <w:tcPr>
            <w:tcW w:w="1875" w:type="dxa"/>
            <w:noWrap w:val="0"/>
            <w:vAlign w:val="center"/>
          </w:tcPr>
          <w:p w14:paraId="1611A222">
            <w:pPr>
              <w:jc w:val="center"/>
              <w:rPr>
                <w:color w:val="000000" w:themeColor="text1"/>
                <w:sz w:val="24"/>
                <w:highlight w:val="none"/>
                <w14:textFill>
                  <w14:solidFill>
                    <w14:schemeClr w14:val="tx1"/>
                  </w14:solidFill>
                </w14:textFill>
              </w:rPr>
            </w:pPr>
          </w:p>
        </w:tc>
        <w:tc>
          <w:tcPr>
            <w:tcW w:w="1009" w:type="dxa"/>
            <w:noWrap w:val="0"/>
            <w:vAlign w:val="center"/>
          </w:tcPr>
          <w:p w14:paraId="42F72E6B">
            <w:pPr>
              <w:jc w:val="center"/>
              <w:rPr>
                <w:color w:val="000000" w:themeColor="text1"/>
                <w:sz w:val="24"/>
                <w:highlight w:val="none"/>
                <w14:textFill>
                  <w14:solidFill>
                    <w14:schemeClr w14:val="tx1"/>
                  </w14:solidFill>
                </w14:textFill>
              </w:rPr>
            </w:pPr>
          </w:p>
        </w:tc>
      </w:tr>
      <w:tr w14:paraId="1DF2F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F578346">
            <w:pPr>
              <w:jc w:val="center"/>
              <w:rPr>
                <w:color w:val="000000" w:themeColor="text1"/>
                <w:sz w:val="24"/>
                <w:highlight w:val="none"/>
                <w14:textFill>
                  <w14:solidFill>
                    <w14:schemeClr w14:val="tx1"/>
                  </w14:solidFill>
                </w14:textFill>
              </w:rPr>
            </w:pPr>
          </w:p>
        </w:tc>
        <w:tc>
          <w:tcPr>
            <w:tcW w:w="1482" w:type="dxa"/>
            <w:noWrap w:val="0"/>
            <w:vAlign w:val="center"/>
          </w:tcPr>
          <w:p w14:paraId="275CA34D">
            <w:pPr>
              <w:jc w:val="center"/>
              <w:rPr>
                <w:color w:val="000000" w:themeColor="text1"/>
                <w:sz w:val="24"/>
                <w:highlight w:val="none"/>
                <w14:textFill>
                  <w14:solidFill>
                    <w14:schemeClr w14:val="tx1"/>
                  </w14:solidFill>
                </w14:textFill>
              </w:rPr>
            </w:pPr>
          </w:p>
        </w:tc>
        <w:tc>
          <w:tcPr>
            <w:tcW w:w="2384" w:type="dxa"/>
            <w:noWrap w:val="0"/>
            <w:vAlign w:val="center"/>
          </w:tcPr>
          <w:p w14:paraId="40C60046">
            <w:pPr>
              <w:jc w:val="center"/>
              <w:rPr>
                <w:color w:val="000000" w:themeColor="text1"/>
                <w:sz w:val="24"/>
                <w:highlight w:val="none"/>
                <w14:textFill>
                  <w14:solidFill>
                    <w14:schemeClr w14:val="tx1"/>
                  </w14:solidFill>
                </w14:textFill>
              </w:rPr>
            </w:pPr>
          </w:p>
        </w:tc>
        <w:tc>
          <w:tcPr>
            <w:tcW w:w="2126" w:type="dxa"/>
            <w:noWrap w:val="0"/>
            <w:vAlign w:val="center"/>
          </w:tcPr>
          <w:p w14:paraId="0DA61A1E">
            <w:pPr>
              <w:jc w:val="center"/>
              <w:rPr>
                <w:color w:val="000000" w:themeColor="text1"/>
                <w:sz w:val="24"/>
                <w:highlight w:val="none"/>
                <w14:textFill>
                  <w14:solidFill>
                    <w14:schemeClr w14:val="tx1"/>
                  </w14:solidFill>
                </w14:textFill>
              </w:rPr>
            </w:pPr>
          </w:p>
        </w:tc>
        <w:tc>
          <w:tcPr>
            <w:tcW w:w="1875" w:type="dxa"/>
            <w:noWrap w:val="0"/>
            <w:vAlign w:val="center"/>
          </w:tcPr>
          <w:p w14:paraId="10073A98">
            <w:pPr>
              <w:jc w:val="center"/>
              <w:rPr>
                <w:color w:val="000000" w:themeColor="text1"/>
                <w:sz w:val="24"/>
                <w:highlight w:val="none"/>
                <w14:textFill>
                  <w14:solidFill>
                    <w14:schemeClr w14:val="tx1"/>
                  </w14:solidFill>
                </w14:textFill>
              </w:rPr>
            </w:pPr>
          </w:p>
        </w:tc>
        <w:tc>
          <w:tcPr>
            <w:tcW w:w="1009" w:type="dxa"/>
            <w:noWrap w:val="0"/>
            <w:vAlign w:val="center"/>
          </w:tcPr>
          <w:p w14:paraId="5D272E90">
            <w:pPr>
              <w:jc w:val="center"/>
              <w:rPr>
                <w:color w:val="000000" w:themeColor="text1"/>
                <w:sz w:val="24"/>
                <w:highlight w:val="none"/>
                <w14:textFill>
                  <w14:solidFill>
                    <w14:schemeClr w14:val="tx1"/>
                  </w14:solidFill>
                </w14:textFill>
              </w:rPr>
            </w:pPr>
          </w:p>
        </w:tc>
      </w:tr>
    </w:tbl>
    <w:p w14:paraId="4C3E3760">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17F9510E">
      <w:pPr>
        <w:tabs>
          <w:tab w:val="left" w:pos="1800"/>
          <w:tab w:val="left" w:pos="5580"/>
        </w:tabs>
        <w:spacing w:line="360" w:lineRule="auto"/>
        <w:ind w:firstLine="360"/>
        <w:jc w:val="left"/>
        <w:rPr>
          <w:color w:val="000000" w:themeColor="text1"/>
          <w:sz w:val="24"/>
          <w:highlight w:val="none"/>
          <w:u w:val="single"/>
          <w14:textFill>
            <w14:solidFill>
              <w14:schemeClr w14:val="tx1"/>
            </w14:solidFill>
          </w14:textFill>
        </w:rPr>
      </w:pPr>
    </w:p>
    <w:p w14:paraId="656301F7">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w:t>
      </w:r>
    </w:p>
    <w:p w14:paraId="410C696B">
      <w:pPr>
        <w:tabs>
          <w:tab w:val="left" w:pos="1800"/>
          <w:tab w:val="left" w:pos="5580"/>
        </w:tabs>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 xml:space="preserve"> 对磋商文件中的所有商务、技术要求，除本表所列明的所有偏离外，均视作供应商已对之理解和</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。此表中若无任何文字说明，内容为空白，则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44ACAB7">
      <w:pPr>
        <w:tabs>
          <w:tab w:val="left" w:pos="1800"/>
          <w:tab w:val="left" w:pos="5580"/>
        </w:tabs>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“偏离情况”列应据实填写“正偏离”或“负偏离”</w:t>
      </w:r>
      <w:r>
        <w:rPr>
          <w:rFonts w:hint="eastAsia" w:eastAsia="宋体"/>
          <w:sz w:val="24"/>
          <w:highlight w:val="none"/>
          <w:lang w:eastAsia="zh-CN"/>
        </w:rPr>
        <w:t>或“无偏离”</w:t>
      </w:r>
      <w:r>
        <w:rPr>
          <w:rFonts w:hint="eastAsia"/>
          <w:color w:val="000000" w:themeColor="text1"/>
          <w:sz w:val="24"/>
          <w:highlight w:val="none"/>
          <w14:textFill>
            <w14:solidFill>
              <w14:schemeClr w14:val="tx1"/>
            </w14:solidFill>
          </w14:textFill>
        </w:rPr>
        <w:t>。</w:t>
      </w:r>
    </w:p>
    <w:p w14:paraId="049E3178">
      <w:pPr>
        <w:rPr>
          <w:color w:val="000000" w:themeColor="text1"/>
          <w:sz w:val="24"/>
          <w:szCs w:val="20"/>
          <w:highlight w:val="none"/>
          <w14:textFill>
            <w14:solidFill>
              <w14:schemeClr w14:val="tx1"/>
            </w14:solidFill>
          </w14:textFill>
        </w:rPr>
      </w:pPr>
    </w:p>
    <w:p w14:paraId="60C56B23">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 xml:space="preserve">                  </w:t>
      </w:r>
    </w:p>
    <w:p w14:paraId="78111E41">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126BFA0F">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19A8507E">
      <w:pPr>
        <w:rPr>
          <w:rFonts w:hint="eastAsia"/>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br w:type="page" w:clear="all"/>
      </w:r>
    </w:p>
    <w:p w14:paraId="43C68F9B">
      <w:pP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0</w:t>
      </w:r>
      <w:r>
        <w:rPr>
          <w:rFonts w:hint="eastAsia"/>
          <w:color w:val="000000" w:themeColor="text1"/>
          <w:sz w:val="24"/>
          <w:szCs w:val="20"/>
          <w:highlight w:val="none"/>
          <w14:textFill>
            <w14:solidFill>
              <w14:schemeClr w14:val="tx1"/>
            </w14:solidFill>
          </w14:textFill>
        </w:rPr>
        <w:t xml:space="preserve"> </w:t>
      </w:r>
      <w:bookmarkStart w:id="1306" w:name="_Toc288738839"/>
      <w:bookmarkStart w:id="1307" w:name="_Toc288738397"/>
      <w:r>
        <w:rPr>
          <w:rFonts w:hint="eastAsia"/>
          <w:color w:val="000000" w:themeColor="text1"/>
          <w:sz w:val="24"/>
          <w:szCs w:val="20"/>
          <w:highlight w:val="none"/>
          <w14:textFill>
            <w14:solidFill>
              <w14:schemeClr w14:val="tx1"/>
            </w14:solidFill>
          </w14:textFill>
        </w:rPr>
        <w:t xml:space="preserve"> 相关业绩案例一览表</w:t>
      </w:r>
    </w:p>
    <w:p w14:paraId="56C9CF76">
      <w:pPr>
        <w:rPr>
          <w:color w:val="000000" w:themeColor="text1"/>
          <w:sz w:val="24"/>
          <w:szCs w:val="20"/>
          <w:highlight w:val="none"/>
          <w14:textFill>
            <w14:solidFill>
              <w14:schemeClr w14:val="tx1"/>
            </w14:solidFill>
          </w14:textFill>
        </w:rPr>
      </w:pPr>
    </w:p>
    <w:p w14:paraId="329CDFC5">
      <w:pPr>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相关业绩案例一览表</w:t>
      </w:r>
      <w:bookmarkEnd w:id="1306"/>
      <w:bookmarkEnd w:id="1307"/>
    </w:p>
    <w:p w14:paraId="675A696D">
      <w:pPr>
        <w:spacing w:line="360" w:lineRule="auto"/>
        <w:jc w:val="center"/>
        <w:rPr>
          <w:rFonts w:ascii="宋体" w:hAnsi="宋体"/>
          <w:b/>
          <w:color w:val="000000" w:themeColor="text1"/>
          <w:sz w:val="28"/>
          <w:szCs w:val="30"/>
          <w:highlight w:val="none"/>
          <w14:textFill>
            <w14:solidFill>
              <w14:schemeClr w14:val="tx1"/>
            </w14:solidFill>
          </w14:textFill>
        </w:rPr>
      </w:pPr>
    </w:p>
    <w:p w14:paraId="4AE8B326">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u w:val="single"/>
          <w14:textFill>
            <w14:solidFill>
              <w14:schemeClr w14:val="tx1"/>
            </w14:solidFill>
          </w14:textFill>
        </w:rPr>
        <w:t xml:space="preserve">                   </w:t>
      </w:r>
    </w:p>
    <w:tbl>
      <w:tblPr>
        <w:tblStyle w:val="29"/>
        <w:tblW w:w="0" w:type="auto"/>
        <w:jc w:val="center"/>
        <w:tblLayout w:type="fixed"/>
        <w:tblCellMar>
          <w:top w:w="0" w:type="dxa"/>
          <w:left w:w="108" w:type="dxa"/>
          <w:bottom w:w="0" w:type="dxa"/>
          <w:right w:w="108" w:type="dxa"/>
        </w:tblCellMar>
      </w:tblPr>
      <w:tblGrid>
        <w:gridCol w:w="1284"/>
        <w:gridCol w:w="1681"/>
        <w:gridCol w:w="1521"/>
        <w:gridCol w:w="1198"/>
        <w:gridCol w:w="1730"/>
        <w:gridCol w:w="1950"/>
      </w:tblGrid>
      <w:tr w14:paraId="4FFC023C">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23100AF">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4CF4A5D">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909A671">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67D3156">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11F3151">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单位地址</w:t>
            </w: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64E21D64">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联系电话</w:t>
            </w:r>
          </w:p>
        </w:tc>
      </w:tr>
      <w:tr w14:paraId="059D427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698DAE3C">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F3C1CC0">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0E410F6B">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3B24CAA">
            <w:pPr>
              <w:tabs>
                <w:tab w:val="left" w:pos="9765"/>
              </w:tabs>
              <w:spacing w:line="360" w:lineRule="auto"/>
              <w:jc w:val="center"/>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F211DEC">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center"/>
          </w:tcPr>
          <w:p w14:paraId="11839C80">
            <w:pPr>
              <w:tabs>
                <w:tab w:val="left" w:pos="9765"/>
              </w:tabs>
              <w:spacing w:line="360" w:lineRule="auto"/>
              <w:ind w:hanging="523"/>
              <w:jc w:val="center"/>
              <w:rPr>
                <w:rFonts w:ascii="宋体" w:hAnsi="宋体" w:cs="宋体"/>
                <w:color w:val="000000" w:themeColor="text1"/>
                <w:sz w:val="24"/>
                <w:highlight w:val="none"/>
                <w14:textFill>
                  <w14:solidFill>
                    <w14:schemeClr w14:val="tx1"/>
                  </w14:solidFill>
                </w14:textFill>
              </w:rPr>
            </w:pPr>
          </w:p>
        </w:tc>
      </w:tr>
      <w:tr w14:paraId="183EB61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382F45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B5EB99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E80C99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72B6C2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87AFAB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3865BB6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57D00FD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6607EE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709C52">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45956F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292102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32BAF20">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4EE9E22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6669CB0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BADECD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299963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12F9AA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C0AB67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78BDFB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3D7C7E1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5C00E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4868B1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4FA71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D5A6058">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3F4991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5D2AEE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33BD270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440CE06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8C479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945507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5226EA9">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4BCB343">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7373DB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235CB75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7EAFE4A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1ACCA1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368045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90072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840457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A5331D">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010FD3A5">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1669BF1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CF8E7F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43D0FC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6F495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1A9C7AE">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B10247">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0E47DF8C">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r w14:paraId="667F9F0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C4F980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CE543DB">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49E584">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FA44C06">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A3BA51A">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c>
          <w:tcPr>
            <w:tcW w:w="1950" w:type="dxa"/>
            <w:tcBorders>
              <w:top w:val="single" w:color="000000" w:sz="6" w:space="0"/>
              <w:left w:val="single" w:color="000000" w:sz="6" w:space="0"/>
              <w:bottom w:val="single" w:color="000000" w:sz="6" w:space="0"/>
              <w:right w:val="single" w:color="000000" w:sz="6" w:space="0"/>
            </w:tcBorders>
            <w:noWrap w:val="0"/>
            <w:vAlign w:val="top"/>
          </w:tcPr>
          <w:p w14:paraId="2DBFC5BF">
            <w:pPr>
              <w:tabs>
                <w:tab w:val="left" w:pos="9765"/>
              </w:tabs>
              <w:spacing w:line="360" w:lineRule="auto"/>
              <w:rPr>
                <w:rFonts w:ascii="宋体" w:hAnsi="宋体" w:cs="宋体"/>
                <w:color w:val="000000" w:themeColor="text1"/>
                <w:sz w:val="24"/>
                <w:highlight w:val="none"/>
                <w14:textFill>
                  <w14:solidFill>
                    <w14:schemeClr w14:val="tx1"/>
                  </w14:solidFill>
                </w14:textFill>
              </w:rPr>
            </w:pPr>
          </w:p>
        </w:tc>
      </w:tr>
    </w:tbl>
    <w:p w14:paraId="5F25CF51">
      <w:pPr>
        <w:tabs>
          <w:tab w:val="left" w:pos="9765"/>
        </w:tabs>
        <w:rPr>
          <w:rFonts w:ascii="宋体" w:hAnsi="宋体" w:cs="宋体"/>
          <w:color w:val="000000" w:themeColor="text1"/>
          <w:sz w:val="24"/>
          <w:highlight w:val="none"/>
          <w14:textFill>
            <w14:solidFill>
              <w14:schemeClr w14:val="tx1"/>
            </w14:solidFill>
          </w14:textFill>
        </w:rPr>
      </w:pPr>
    </w:p>
    <w:p w14:paraId="2EA6BE85">
      <w:pPr>
        <w:spacing w:line="360" w:lineRule="auto"/>
        <w:rPr>
          <w:rFonts w:ascii="宋体" w:hAnsi="宋体" w:cs="宋体"/>
          <w:color w:val="000000" w:themeColor="text1"/>
          <w:sz w:val="24"/>
          <w:highlight w:val="none"/>
          <w14:textFill>
            <w14:solidFill>
              <w14:schemeClr w14:val="tx1"/>
            </w14:solidFill>
          </w14:textFill>
        </w:rPr>
      </w:pPr>
    </w:p>
    <w:p w14:paraId="29DC6940">
      <w:pPr>
        <w:spacing w:before="25" w:after="25"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供应商名称（加盖公章）</w:t>
      </w:r>
      <w:r>
        <w:rPr>
          <w:color w:val="000000" w:themeColor="text1"/>
          <w:sz w:val="24"/>
          <w:highlight w:val="none"/>
          <w:lang w:val="zh-CN"/>
          <w14:textFill>
            <w14:solidFill>
              <w14:schemeClr w14:val="tx1"/>
            </w14:solidFill>
          </w14:textFill>
        </w:rPr>
        <w:t>：    ____________</w:t>
      </w:r>
    </w:p>
    <w:p w14:paraId="41541F31">
      <w:pPr>
        <w:spacing w:before="25" w:after="25"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日期：_____年______月______日   </w:t>
      </w:r>
    </w:p>
    <w:p w14:paraId="4B20AC18">
      <w:pPr>
        <w:spacing w:line="360" w:lineRule="auto"/>
        <w:outlineLvl w:val="2"/>
        <w:rPr>
          <w:rFonts w:hint="eastAsia"/>
          <w:color w:val="000000" w:themeColor="text1"/>
          <w:sz w:val="24"/>
          <w:szCs w:val="20"/>
          <w:highlight w:val="none"/>
          <w14:textFill>
            <w14:solidFill>
              <w14:schemeClr w14:val="tx1"/>
            </w14:solidFill>
          </w14:textFill>
        </w:rPr>
      </w:pPr>
    </w:p>
    <w:p w14:paraId="68D0AD1E">
      <w:pPr>
        <w:spacing w:line="360" w:lineRule="auto"/>
        <w:outlineLvl w:val="2"/>
        <w:rPr>
          <w:rFonts w:hint="eastAsia"/>
          <w:color w:val="000000" w:themeColor="text1"/>
          <w:sz w:val="24"/>
          <w:szCs w:val="20"/>
          <w:highlight w:val="none"/>
          <w14:textFill>
            <w14:solidFill>
              <w14:schemeClr w14:val="tx1"/>
            </w14:solidFill>
          </w14:textFill>
        </w:rPr>
      </w:pPr>
    </w:p>
    <w:p w14:paraId="4599EB5E">
      <w:pPr>
        <w:spacing w:line="360" w:lineRule="auto"/>
        <w:outlineLvl w:val="2"/>
        <w:rPr>
          <w:rFonts w:hint="eastAsia"/>
          <w:color w:val="000000" w:themeColor="text1"/>
          <w:sz w:val="24"/>
          <w:szCs w:val="20"/>
          <w:highlight w:val="none"/>
          <w14:textFill>
            <w14:solidFill>
              <w14:schemeClr w14:val="tx1"/>
            </w14:solidFill>
          </w14:textFill>
        </w:rPr>
      </w:pPr>
    </w:p>
    <w:p w14:paraId="7C5F2A91">
      <w:pPr>
        <w:spacing w:line="360" w:lineRule="auto"/>
        <w:outlineLvl w:val="2"/>
        <w:rPr>
          <w:rFonts w:hint="eastAsia"/>
          <w:color w:val="000000" w:themeColor="text1"/>
          <w:sz w:val="24"/>
          <w:szCs w:val="20"/>
          <w:highlight w:val="none"/>
          <w14:textFill>
            <w14:solidFill>
              <w14:schemeClr w14:val="tx1"/>
            </w14:solidFill>
          </w14:textFill>
        </w:rPr>
      </w:pPr>
    </w:p>
    <w:p w14:paraId="57AADB5A">
      <w:pPr>
        <w:spacing w:line="360" w:lineRule="auto"/>
        <w:outlineLvl w:val="2"/>
        <w:rPr>
          <w:rFonts w:hint="eastAsia"/>
          <w:color w:val="000000" w:themeColor="text1"/>
          <w:sz w:val="24"/>
          <w:szCs w:val="20"/>
          <w:highlight w:val="none"/>
          <w14:textFill>
            <w14:solidFill>
              <w14:schemeClr w14:val="tx1"/>
            </w14:solidFill>
          </w14:textFill>
        </w:rPr>
      </w:pPr>
    </w:p>
    <w:p w14:paraId="18DCA5F7">
      <w:pPr>
        <w:spacing w:line="360" w:lineRule="auto"/>
        <w:outlineLvl w:val="2"/>
        <w:rPr>
          <w:rFonts w:hint="eastAsia"/>
          <w:color w:val="000000" w:themeColor="text1"/>
          <w:sz w:val="24"/>
          <w:szCs w:val="20"/>
          <w:highlight w:val="none"/>
          <w14:textFill>
            <w14:solidFill>
              <w14:schemeClr w14:val="tx1"/>
            </w14:solidFill>
          </w14:textFill>
        </w:rPr>
      </w:pPr>
    </w:p>
    <w:p w14:paraId="10747B05">
      <w:pPr>
        <w:spacing w:line="360" w:lineRule="auto"/>
        <w:outlineLvl w:val="2"/>
        <w:rPr>
          <w:rFonts w:hint="eastAsia"/>
          <w:color w:val="000000" w:themeColor="text1"/>
          <w:sz w:val="24"/>
          <w:szCs w:val="20"/>
          <w:highlight w:val="none"/>
          <w14:textFill>
            <w14:solidFill>
              <w14:schemeClr w14:val="tx1"/>
            </w14:solidFill>
          </w14:textFill>
        </w:rPr>
      </w:pPr>
    </w:p>
    <w:p w14:paraId="09231EA7">
      <w:pPr>
        <w:spacing w:line="360" w:lineRule="auto"/>
        <w:outlineLvl w:val="2"/>
        <w:rPr>
          <w:rFonts w:hint="eastAsia"/>
          <w:color w:val="000000" w:themeColor="text1"/>
          <w:sz w:val="24"/>
          <w:szCs w:val="20"/>
          <w:highlight w:val="none"/>
          <w14:textFill>
            <w14:solidFill>
              <w14:schemeClr w14:val="tx1"/>
            </w14:solidFill>
          </w14:textFill>
        </w:rPr>
      </w:pPr>
    </w:p>
    <w:p w14:paraId="7338A946">
      <w:pPr>
        <w:spacing w:line="360" w:lineRule="auto"/>
        <w:outlineLvl w:val="2"/>
        <w:rPr>
          <w:rFonts w:hint="eastAsia"/>
          <w:color w:val="000000" w:themeColor="text1"/>
          <w:sz w:val="24"/>
          <w:szCs w:val="20"/>
          <w:highlight w:val="none"/>
          <w14:textFill>
            <w14:solidFill>
              <w14:schemeClr w14:val="tx1"/>
            </w14:solidFill>
          </w14:textFill>
        </w:rPr>
      </w:pPr>
    </w:p>
    <w:p w14:paraId="4084E13A">
      <w:pPr>
        <w:spacing w:line="360" w:lineRule="auto"/>
        <w:outlineLvl w:val="2"/>
        <w:rPr>
          <w:rFonts w:hint="eastAsia"/>
          <w:color w:val="000000" w:themeColor="text1"/>
          <w:sz w:val="24"/>
          <w:szCs w:val="20"/>
          <w:highlight w:val="none"/>
          <w14:textFill>
            <w14:solidFill>
              <w14:schemeClr w14:val="tx1"/>
            </w14:solidFill>
          </w14:textFill>
        </w:rPr>
      </w:pPr>
    </w:p>
    <w:p w14:paraId="0EDEF884">
      <w:pPr>
        <w:spacing w:line="360" w:lineRule="auto"/>
        <w:outlineLvl w:val="2"/>
        <w:rPr>
          <w:rFonts w:hint="eastAsia"/>
          <w:color w:val="000000" w:themeColor="text1"/>
          <w:sz w:val="24"/>
          <w:szCs w:val="20"/>
          <w:highlight w:val="none"/>
          <w14:textFill>
            <w14:solidFill>
              <w14:schemeClr w14:val="tx1"/>
            </w14:solidFill>
          </w14:textFill>
        </w:rPr>
      </w:pPr>
    </w:p>
    <w:p w14:paraId="19930EB5">
      <w:pPr>
        <w:spacing w:line="360" w:lineRule="auto"/>
        <w:outlineLvl w:val="2"/>
        <w:rPr>
          <w:color w:val="000000" w:themeColor="text1"/>
          <w:sz w:val="24"/>
          <w:szCs w:val="20"/>
          <w:highlight w:val="none"/>
          <w14:textFill>
            <w14:solidFill>
              <w14:schemeClr w14:val="tx1"/>
            </w14:solidFill>
          </w14:textFill>
        </w:rPr>
      </w:pPr>
    </w:p>
    <w:p w14:paraId="70373710">
      <w:pPr>
        <w:spacing w:line="360" w:lineRule="auto"/>
        <w:outlineLvl w:val="2"/>
        <w:rPr>
          <w:color w:val="000000" w:themeColor="text1"/>
          <w:sz w:val="24"/>
          <w:szCs w:val="20"/>
          <w:highlight w:val="none"/>
          <w14:textFill>
            <w14:solidFill>
              <w14:schemeClr w14:val="tx1"/>
            </w14:solidFill>
          </w14:textFill>
        </w:rPr>
      </w:pPr>
    </w:p>
    <w:p w14:paraId="46A4F8E5">
      <w:pPr>
        <w:spacing w:line="360" w:lineRule="auto"/>
        <w:outlineLvl w:val="2"/>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1</w:t>
      </w:r>
      <w:r>
        <w:rPr>
          <w:color w:val="000000" w:themeColor="text1"/>
          <w:sz w:val="24"/>
          <w:szCs w:val="20"/>
          <w:highlight w:val="none"/>
          <w14:textFill>
            <w14:solidFill>
              <w14:schemeClr w14:val="tx1"/>
            </w14:solidFill>
          </w14:textFill>
        </w:rPr>
        <w:t xml:space="preserve">  磋商文件要求提供或供应商认为应附的其他材料</w:t>
      </w:r>
    </w:p>
    <w:sectPr>
      <w:pgSz w:w="11907" w:h="16840"/>
      <w:pgMar w:top="1417" w:right="1134" w:bottom="1417" w:left="1134"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ˎ̥">
    <w:altName w:val="Malgun Gothic"/>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Century Gothic">
    <w:panose1 w:val="020B0502020202020204"/>
    <w:charset w:val="00"/>
    <w:family w:val="auto"/>
    <w:pitch w:val="default"/>
    <w:sig w:usb0="00000287" w:usb1="00000000" w:usb2="00000000" w:usb3="00000000" w:csb0="2000009F" w:csb1="DFD7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 w:name="方正仿宋_GB2312">
    <w:altName w:val="仿宋"/>
    <w:panose1 w:val="020B0503020202020204"/>
    <w:charset w:val="00"/>
    <w:family w:val="auto"/>
    <w:pitch w:val="default"/>
    <w:sig w:usb0="00000000" w:usb1="00000000" w:usb2="00000000"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55AAA">
    <w:pPr>
      <w:pStyle w:val="17"/>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C13B0">
    <w:pPr>
      <w:pStyle w:val="231"/>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6F118">
    <w:pPr>
      <w:pStyle w:val="231"/>
      <w:framePr w:wrap="around" w:vAnchor="text" w:hAnchor="margin" w:xAlign="center" w:y="1"/>
      <w:rPr>
        <w:rStyle w:val="256"/>
      </w:rPr>
    </w:pPr>
    <w:r>
      <w:fldChar w:fldCharType="begin"/>
    </w:r>
    <w:r>
      <w:rPr>
        <w:rStyle w:val="256"/>
      </w:rPr>
      <w:instrText xml:space="preserve">PAGE  </w:instrText>
    </w:r>
    <w:r>
      <w:fldChar w:fldCharType="end"/>
    </w:r>
  </w:p>
  <w:p w14:paraId="6626E6EC">
    <w:pPr>
      <w:pStyle w:val="231"/>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15D82">
    <w:pPr>
      <w:pStyle w:val="231"/>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1297A">
    <w:pPr>
      <w:pStyle w:val="23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31</w:t>
    </w:r>
    <w:r>
      <w:rPr>
        <w:rFonts w:ascii="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F7994">
    <w:pPr>
      <w:pStyle w:val="231"/>
      <w:jc w:val="center"/>
    </w:pPr>
    <w:r>
      <w:fldChar w:fldCharType="begin"/>
    </w:r>
    <w:r>
      <w:instrText xml:space="preserve">PAGE   \* MERGEFORMAT</w:instrText>
    </w:r>
    <w:r>
      <w:fldChar w:fldCharType="separate"/>
    </w:r>
    <w:r>
      <w:rPr>
        <w:lang w:val="zh-CN"/>
      </w:rPr>
      <w:t>1</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D1C18">
    <w:pPr>
      <w:pStyle w:val="231"/>
      <w:framePr w:wrap="around" w:vAnchor="text" w:hAnchor="margin" w:xAlign="right" w:y="1"/>
      <w:rPr>
        <w:rStyle w:val="256"/>
      </w:rPr>
    </w:pPr>
    <w:r>
      <w:fldChar w:fldCharType="begin"/>
    </w:r>
    <w:r>
      <w:rPr>
        <w:rStyle w:val="256"/>
      </w:rPr>
      <w:instrText xml:space="preserve">PAGE  </w:instrText>
    </w:r>
    <w:r>
      <w:fldChar w:fldCharType="end"/>
    </w:r>
  </w:p>
  <w:p w14:paraId="66A6597C">
    <w:pPr>
      <w:pStyle w:val="231"/>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4ACFB">
    <w:pPr>
      <w:pStyle w:val="231"/>
      <w:rPr>
        <w:rFonts w:ascii="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946FD3A">
                          <w:pPr>
                            <w:pStyle w:val="231"/>
                            <w:tabs>
                              <w:tab w:val="clear" w:pos="4153"/>
                              <w:tab w:val="clear" w:pos="8306"/>
                            </w:tabs>
                          </w:pPr>
                          <w:r>
                            <w:fldChar w:fldCharType="begin"/>
                          </w:r>
                          <w:r>
                            <w:instrText xml:space="preserve"> PAGE  \* MERGEFORMAT </w:instrText>
                          </w:r>
                          <w:r>
                            <w:fldChar w:fldCharType="separate"/>
                          </w:r>
                          <w:r>
                            <w:t>15</w:t>
                          </w:r>
                          <w:r>
                            <w:fldChar w:fldCharType="end"/>
                          </w:r>
                        </w:p>
                        <w:p w14:paraId="4F8FF03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946FD3A">
                    <w:pPr>
                      <w:pStyle w:val="231"/>
                      <w:tabs>
                        <w:tab w:val="clear" w:pos="4153"/>
                        <w:tab w:val="clear" w:pos="8306"/>
                      </w:tabs>
                    </w:pPr>
                    <w:r>
                      <w:fldChar w:fldCharType="begin"/>
                    </w:r>
                    <w:r>
                      <w:instrText xml:space="preserve"> PAGE  \* MERGEFORMAT </w:instrText>
                    </w:r>
                    <w:r>
                      <w:fldChar w:fldCharType="separate"/>
                    </w:r>
                    <w:r>
                      <w:t>15</w:t>
                    </w:r>
                    <w:r>
                      <w:fldChar w:fldCharType="end"/>
                    </w:r>
                  </w:p>
                  <w:p w14:paraId="4F8FF03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72247">
    <w:pPr>
      <w:pStyle w:val="18"/>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37B2A">
    <w:pPr>
      <w:pStyle w:val="233"/>
      <w:jc w:val="right"/>
    </w:pPr>
    <w:r>
      <w:rPr>
        <w:rFonts w:hint="eastAsia"/>
      </w:rPr>
      <w:t xml:space="preserve">常州市政府采购项目竞争性磋商文件示范文本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26840">
    <w:pPr>
      <w:pStyle w:val="233"/>
      <w:pBdr>
        <w:bottom w:val="none" w:color="000000"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lvlText w:val="%1．"/>
      <w:lvlJc w:val="left"/>
      <w:pPr>
        <w:tabs>
          <w:tab w:val="left" w:pos="768"/>
        </w:tabs>
        <w:ind w:left="768" w:hanging="360"/>
      </w:pPr>
      <w:rPr>
        <w:rFonts w:hint="eastAsia"/>
      </w:rPr>
    </w:lvl>
    <w:lvl w:ilvl="1" w:tentative="0">
      <w:start w:val="1"/>
      <w:numFmt w:val="decimal"/>
      <w:pStyle w:val="38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
    <w:nsid w:val="BF205925"/>
    <w:multiLevelType w:val="multilevel"/>
    <w:tmpl w:val="BF205925"/>
    <w:lvl w:ilvl="0" w:tentative="0">
      <w:start w:val="1"/>
      <w:numFmt w:val="decimal"/>
      <w:pStyle w:val="37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lowerLetter"/>
      <w:pStyle w:val="35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53208E"/>
    <w:multiLevelType w:val="multilevel"/>
    <w:tmpl w:val="0053208E"/>
    <w:lvl w:ilvl="0" w:tentative="0">
      <w:start w:val="1"/>
      <w:numFmt w:val="decimal"/>
      <w:pStyle w:val="341"/>
      <w:lvlText w:val="%1"/>
      <w:lvlJc w:val="left"/>
      <w:pPr>
        <w:ind w:left="680" w:hanging="680"/>
      </w:pPr>
      <w:rPr>
        <w:rFonts w:hint="eastAsia" w:ascii="宋体" w:hAnsi="宋体" w:eastAsia="宋体"/>
      </w:rPr>
    </w:lvl>
    <w:lvl w:ilvl="1" w:tentative="0">
      <w:start w:val="1"/>
      <w:numFmt w:val="decimal"/>
      <w:pStyle w:val="340"/>
      <w:lvlText w:val="%1.%2"/>
      <w:lvlJc w:val="left"/>
      <w:pPr>
        <w:ind w:left="851" w:hanging="851"/>
      </w:pPr>
      <w:rPr>
        <w:rFonts w:hint="eastAsia" w:ascii="宋体" w:hAnsi="宋体" w:eastAsia="宋体"/>
        <w:color w:val="000000"/>
      </w:rPr>
    </w:lvl>
    <w:lvl w:ilvl="2" w:tentative="0">
      <w:start w:val="1"/>
      <w:numFmt w:val="decimal"/>
      <w:pStyle w:val="33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5">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3D62ECE"/>
    <w:multiLevelType w:val="multilevel"/>
    <w:tmpl w:val="03D62ECE"/>
    <w:lvl w:ilvl="0" w:tentative="0">
      <w:start w:val="1"/>
      <w:numFmt w:val="decimal"/>
      <w:pStyle w:val="422"/>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5B654F3"/>
    <w:multiLevelType w:val="multilevel"/>
    <w:tmpl w:val="25B654F3"/>
    <w:lvl w:ilvl="0" w:tentative="0">
      <w:start w:val="1"/>
      <w:numFmt w:val="decimal"/>
      <w:pStyle w:val="42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59ADCABA"/>
    <w:multiLevelType w:val="multilevel"/>
    <w:tmpl w:val="59ADCABA"/>
    <w:lvl w:ilvl="0" w:tentative="0">
      <w:start w:val="1"/>
      <w:numFmt w:val="decimal"/>
      <w:pStyle w:val="382"/>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381"/>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7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7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77"/>
      <w:suff w:val="nothing"/>
      <w:lvlText w:val="%1.%2.%3.%4.%5.%6　"/>
      <w:lvlJc w:val="left"/>
      <w:pPr>
        <w:ind w:left="-25" w:firstLine="0"/>
      </w:pPr>
      <w:rPr>
        <w:rFonts w:ascii="Times New Roman" w:hAnsi="Times New Roman" w:eastAsia="宋体"/>
        <w:b/>
        <w:i w:val="0"/>
        <w:sz w:val="28"/>
      </w:rPr>
    </w:lvl>
    <w:lvl w:ilvl="6" w:tentative="0">
      <w:start w:val="1"/>
      <w:numFmt w:val="lowerLetter"/>
      <w:pStyle w:val="368"/>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407"/>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10">
    <w:nsid w:val="5F776E61"/>
    <w:multiLevelType w:val="singleLevel"/>
    <w:tmpl w:val="5F776E61"/>
    <w:lvl w:ilvl="0" w:tentative="0">
      <w:start w:val="2"/>
      <w:numFmt w:val="decimal"/>
      <w:suff w:val="nothing"/>
      <w:lvlText w:val="%1．"/>
      <w:lvlJc w:val="left"/>
    </w:lvl>
  </w:abstractNum>
  <w:abstractNum w:abstractNumId="11">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E3MDllNzA2YzllZmQ2NDVkMGM2ZDZkZjEwYzRkYTMifQ=="/>
  </w:docVars>
  <w:rsids>
    <w:rsidRoot w:val="00000000"/>
    <w:rsid w:val="001113BD"/>
    <w:rsid w:val="0037408F"/>
    <w:rsid w:val="00590350"/>
    <w:rsid w:val="008878D1"/>
    <w:rsid w:val="009809C6"/>
    <w:rsid w:val="00B87A8B"/>
    <w:rsid w:val="00CD1788"/>
    <w:rsid w:val="00CD30D3"/>
    <w:rsid w:val="00EA4615"/>
    <w:rsid w:val="011B0745"/>
    <w:rsid w:val="017936BE"/>
    <w:rsid w:val="01AC75F0"/>
    <w:rsid w:val="022C0730"/>
    <w:rsid w:val="023B0973"/>
    <w:rsid w:val="025A529E"/>
    <w:rsid w:val="02650658"/>
    <w:rsid w:val="02914086"/>
    <w:rsid w:val="029B49EF"/>
    <w:rsid w:val="02A824AD"/>
    <w:rsid w:val="02AB3D4B"/>
    <w:rsid w:val="02E234DD"/>
    <w:rsid w:val="02E90A66"/>
    <w:rsid w:val="02FF7BF3"/>
    <w:rsid w:val="034F46D6"/>
    <w:rsid w:val="03A367D0"/>
    <w:rsid w:val="03C07382"/>
    <w:rsid w:val="03C30C20"/>
    <w:rsid w:val="04267B2D"/>
    <w:rsid w:val="042A0CA0"/>
    <w:rsid w:val="042C4A18"/>
    <w:rsid w:val="047A39D5"/>
    <w:rsid w:val="04B14F1D"/>
    <w:rsid w:val="04D3141D"/>
    <w:rsid w:val="053F69CD"/>
    <w:rsid w:val="057E455B"/>
    <w:rsid w:val="05CC165D"/>
    <w:rsid w:val="062568AE"/>
    <w:rsid w:val="06293905"/>
    <w:rsid w:val="064C13A1"/>
    <w:rsid w:val="06814343"/>
    <w:rsid w:val="06874187"/>
    <w:rsid w:val="068A3C77"/>
    <w:rsid w:val="069468A4"/>
    <w:rsid w:val="06D47B84"/>
    <w:rsid w:val="06E1670D"/>
    <w:rsid w:val="06F21F49"/>
    <w:rsid w:val="070659F4"/>
    <w:rsid w:val="07300CC3"/>
    <w:rsid w:val="073D0CEA"/>
    <w:rsid w:val="077E558A"/>
    <w:rsid w:val="07832BA1"/>
    <w:rsid w:val="07837045"/>
    <w:rsid w:val="07A03795"/>
    <w:rsid w:val="07A70F85"/>
    <w:rsid w:val="082D0D5E"/>
    <w:rsid w:val="085D1644"/>
    <w:rsid w:val="08901A19"/>
    <w:rsid w:val="08A059D4"/>
    <w:rsid w:val="09694018"/>
    <w:rsid w:val="09816C22"/>
    <w:rsid w:val="09A17C56"/>
    <w:rsid w:val="09B41737"/>
    <w:rsid w:val="09B74D83"/>
    <w:rsid w:val="09D43B87"/>
    <w:rsid w:val="0A5D191E"/>
    <w:rsid w:val="0A6A629A"/>
    <w:rsid w:val="0A6C0264"/>
    <w:rsid w:val="0A99092D"/>
    <w:rsid w:val="0AA76D93"/>
    <w:rsid w:val="0AB13EC9"/>
    <w:rsid w:val="0B304DED"/>
    <w:rsid w:val="0B4E2557"/>
    <w:rsid w:val="0B612CD0"/>
    <w:rsid w:val="0B860EB1"/>
    <w:rsid w:val="0BA94BA0"/>
    <w:rsid w:val="0BCF2858"/>
    <w:rsid w:val="0BD95485"/>
    <w:rsid w:val="0BF71DAF"/>
    <w:rsid w:val="0BF7590B"/>
    <w:rsid w:val="0C04618F"/>
    <w:rsid w:val="0CAF2CDB"/>
    <w:rsid w:val="0CD72ACC"/>
    <w:rsid w:val="0CE42333"/>
    <w:rsid w:val="0CE67089"/>
    <w:rsid w:val="0CF54541"/>
    <w:rsid w:val="0D0504FC"/>
    <w:rsid w:val="0D0F1486"/>
    <w:rsid w:val="0DA33F9D"/>
    <w:rsid w:val="0DC12675"/>
    <w:rsid w:val="0DDA54E4"/>
    <w:rsid w:val="0DE10621"/>
    <w:rsid w:val="0E1409F6"/>
    <w:rsid w:val="0E294D31"/>
    <w:rsid w:val="0E4D5CB6"/>
    <w:rsid w:val="0E6D45AA"/>
    <w:rsid w:val="0ED4462A"/>
    <w:rsid w:val="0F130337"/>
    <w:rsid w:val="0F323656"/>
    <w:rsid w:val="0F7A6F7F"/>
    <w:rsid w:val="0FAF5EB1"/>
    <w:rsid w:val="0FC203DA"/>
    <w:rsid w:val="0FDC19E8"/>
    <w:rsid w:val="0FDE750E"/>
    <w:rsid w:val="0FE12B5A"/>
    <w:rsid w:val="107C63BF"/>
    <w:rsid w:val="10991687"/>
    <w:rsid w:val="10AA73F0"/>
    <w:rsid w:val="11156AB1"/>
    <w:rsid w:val="11466E32"/>
    <w:rsid w:val="117874EE"/>
    <w:rsid w:val="1182211B"/>
    <w:rsid w:val="11F36B75"/>
    <w:rsid w:val="12040D82"/>
    <w:rsid w:val="123B5C73"/>
    <w:rsid w:val="125735A8"/>
    <w:rsid w:val="12804F35"/>
    <w:rsid w:val="12A14823"/>
    <w:rsid w:val="12BB58E4"/>
    <w:rsid w:val="12DE7825"/>
    <w:rsid w:val="130761CF"/>
    <w:rsid w:val="13201BEB"/>
    <w:rsid w:val="1333712D"/>
    <w:rsid w:val="13474541"/>
    <w:rsid w:val="13631AD8"/>
    <w:rsid w:val="1364689F"/>
    <w:rsid w:val="13871C6A"/>
    <w:rsid w:val="141265E2"/>
    <w:rsid w:val="14667AD2"/>
    <w:rsid w:val="147705FA"/>
    <w:rsid w:val="14952165"/>
    <w:rsid w:val="14AB3737"/>
    <w:rsid w:val="14DF1632"/>
    <w:rsid w:val="14FF25B2"/>
    <w:rsid w:val="153D5836"/>
    <w:rsid w:val="15415E49"/>
    <w:rsid w:val="15B825AF"/>
    <w:rsid w:val="15F31839"/>
    <w:rsid w:val="160B0931"/>
    <w:rsid w:val="165B2F3A"/>
    <w:rsid w:val="16761122"/>
    <w:rsid w:val="16781D3E"/>
    <w:rsid w:val="16A91EF8"/>
    <w:rsid w:val="16B50C48"/>
    <w:rsid w:val="16DB5D83"/>
    <w:rsid w:val="16DC051F"/>
    <w:rsid w:val="16EA2C3C"/>
    <w:rsid w:val="17103D25"/>
    <w:rsid w:val="17514A69"/>
    <w:rsid w:val="176522C3"/>
    <w:rsid w:val="17887D5F"/>
    <w:rsid w:val="17A252C5"/>
    <w:rsid w:val="17D86F39"/>
    <w:rsid w:val="182201B4"/>
    <w:rsid w:val="182C1032"/>
    <w:rsid w:val="1853513B"/>
    <w:rsid w:val="187327BD"/>
    <w:rsid w:val="18860743"/>
    <w:rsid w:val="18A40BC9"/>
    <w:rsid w:val="18B352B0"/>
    <w:rsid w:val="18D23988"/>
    <w:rsid w:val="19EF056A"/>
    <w:rsid w:val="19FC166F"/>
    <w:rsid w:val="1A475CB0"/>
    <w:rsid w:val="1A9A6727"/>
    <w:rsid w:val="1AF5395E"/>
    <w:rsid w:val="1B304B82"/>
    <w:rsid w:val="1B4515B7"/>
    <w:rsid w:val="1B656D35"/>
    <w:rsid w:val="1BAA299A"/>
    <w:rsid w:val="1C33473D"/>
    <w:rsid w:val="1C6B2DB3"/>
    <w:rsid w:val="1C914C08"/>
    <w:rsid w:val="1C9D605B"/>
    <w:rsid w:val="1CB25FAA"/>
    <w:rsid w:val="1D152095"/>
    <w:rsid w:val="1D373AAF"/>
    <w:rsid w:val="1D414B0A"/>
    <w:rsid w:val="1D9B6A3E"/>
    <w:rsid w:val="1DB63878"/>
    <w:rsid w:val="1DFB74DD"/>
    <w:rsid w:val="1E176CFE"/>
    <w:rsid w:val="1E4F7829"/>
    <w:rsid w:val="1E9B481C"/>
    <w:rsid w:val="1EBF050A"/>
    <w:rsid w:val="1EDF0BAD"/>
    <w:rsid w:val="1EFD0E7E"/>
    <w:rsid w:val="1F114D8E"/>
    <w:rsid w:val="1F204D21"/>
    <w:rsid w:val="1F4924CA"/>
    <w:rsid w:val="1F4B7FF0"/>
    <w:rsid w:val="1F5C044F"/>
    <w:rsid w:val="1F9A2D26"/>
    <w:rsid w:val="1FC658C9"/>
    <w:rsid w:val="1FFE32B4"/>
    <w:rsid w:val="206F5F60"/>
    <w:rsid w:val="2072117A"/>
    <w:rsid w:val="207E43F5"/>
    <w:rsid w:val="20847C5E"/>
    <w:rsid w:val="20967991"/>
    <w:rsid w:val="209F7F61"/>
    <w:rsid w:val="20BF5AA4"/>
    <w:rsid w:val="20EB1A8B"/>
    <w:rsid w:val="2130749E"/>
    <w:rsid w:val="216C24A0"/>
    <w:rsid w:val="21723F5A"/>
    <w:rsid w:val="217658F9"/>
    <w:rsid w:val="219A27E0"/>
    <w:rsid w:val="21B43C61"/>
    <w:rsid w:val="223618E5"/>
    <w:rsid w:val="224F1BA5"/>
    <w:rsid w:val="22552F34"/>
    <w:rsid w:val="226118D9"/>
    <w:rsid w:val="22C30D9A"/>
    <w:rsid w:val="22DB78DD"/>
    <w:rsid w:val="22F10EAE"/>
    <w:rsid w:val="232F5F2C"/>
    <w:rsid w:val="235651B5"/>
    <w:rsid w:val="23904D9B"/>
    <w:rsid w:val="23E17175"/>
    <w:rsid w:val="23F913C8"/>
    <w:rsid w:val="240370EB"/>
    <w:rsid w:val="241430A6"/>
    <w:rsid w:val="2418246B"/>
    <w:rsid w:val="24C543A1"/>
    <w:rsid w:val="24F2208A"/>
    <w:rsid w:val="25534569"/>
    <w:rsid w:val="256C6F12"/>
    <w:rsid w:val="25B34B41"/>
    <w:rsid w:val="25B57F7F"/>
    <w:rsid w:val="260D5FFF"/>
    <w:rsid w:val="26200E8D"/>
    <w:rsid w:val="26357304"/>
    <w:rsid w:val="264D28A0"/>
    <w:rsid w:val="264D464E"/>
    <w:rsid w:val="26545C72"/>
    <w:rsid w:val="26CA3EF0"/>
    <w:rsid w:val="27233601"/>
    <w:rsid w:val="27392470"/>
    <w:rsid w:val="27505A8D"/>
    <w:rsid w:val="278247CB"/>
    <w:rsid w:val="278968AC"/>
    <w:rsid w:val="27C22E19"/>
    <w:rsid w:val="27E47572"/>
    <w:rsid w:val="28305FD5"/>
    <w:rsid w:val="28616AD6"/>
    <w:rsid w:val="28CF1C92"/>
    <w:rsid w:val="28EA35BC"/>
    <w:rsid w:val="28F16720"/>
    <w:rsid w:val="294206B6"/>
    <w:rsid w:val="29425E28"/>
    <w:rsid w:val="295C2DFA"/>
    <w:rsid w:val="29B33362"/>
    <w:rsid w:val="29BD7D3C"/>
    <w:rsid w:val="29D46E34"/>
    <w:rsid w:val="29D47603"/>
    <w:rsid w:val="2A1B0723"/>
    <w:rsid w:val="2A2A3C03"/>
    <w:rsid w:val="2A326D00"/>
    <w:rsid w:val="2A377AEF"/>
    <w:rsid w:val="2A8C20E8"/>
    <w:rsid w:val="2AAB4039"/>
    <w:rsid w:val="2AB32EED"/>
    <w:rsid w:val="2AC1560A"/>
    <w:rsid w:val="2AF91248"/>
    <w:rsid w:val="2B0B4AD7"/>
    <w:rsid w:val="2B195446"/>
    <w:rsid w:val="2B1B11BE"/>
    <w:rsid w:val="2B415E2A"/>
    <w:rsid w:val="2B4A5600"/>
    <w:rsid w:val="2BB40CC1"/>
    <w:rsid w:val="2BE75544"/>
    <w:rsid w:val="2C05145A"/>
    <w:rsid w:val="2C091017"/>
    <w:rsid w:val="2C98683F"/>
    <w:rsid w:val="2C9E3E55"/>
    <w:rsid w:val="2CB847EB"/>
    <w:rsid w:val="2CBD0053"/>
    <w:rsid w:val="2CF41CC7"/>
    <w:rsid w:val="2D1F6CCF"/>
    <w:rsid w:val="2D796670"/>
    <w:rsid w:val="2DB46201"/>
    <w:rsid w:val="2DE81100"/>
    <w:rsid w:val="2E1B7727"/>
    <w:rsid w:val="2E3C11D4"/>
    <w:rsid w:val="2E3F3416"/>
    <w:rsid w:val="2E7C6418"/>
    <w:rsid w:val="2E823302"/>
    <w:rsid w:val="2E9279E9"/>
    <w:rsid w:val="2E9F3EB4"/>
    <w:rsid w:val="2EB313CF"/>
    <w:rsid w:val="2F1228D8"/>
    <w:rsid w:val="2F452480"/>
    <w:rsid w:val="2F662C24"/>
    <w:rsid w:val="2FA572A9"/>
    <w:rsid w:val="2FBE7E66"/>
    <w:rsid w:val="2FC35981"/>
    <w:rsid w:val="2FE34275"/>
    <w:rsid w:val="2FE37DD1"/>
    <w:rsid w:val="302243E3"/>
    <w:rsid w:val="302A76B5"/>
    <w:rsid w:val="3057641D"/>
    <w:rsid w:val="30696528"/>
    <w:rsid w:val="30B874AF"/>
    <w:rsid w:val="30C714A1"/>
    <w:rsid w:val="310C576F"/>
    <w:rsid w:val="311F752F"/>
    <w:rsid w:val="31991EC2"/>
    <w:rsid w:val="31BD2FCF"/>
    <w:rsid w:val="31FD7870"/>
    <w:rsid w:val="324A509C"/>
    <w:rsid w:val="328E3303"/>
    <w:rsid w:val="32C0264B"/>
    <w:rsid w:val="32C97752"/>
    <w:rsid w:val="32FB3FA8"/>
    <w:rsid w:val="32FF4F22"/>
    <w:rsid w:val="333077D1"/>
    <w:rsid w:val="338213DC"/>
    <w:rsid w:val="338B2C59"/>
    <w:rsid w:val="33A8793A"/>
    <w:rsid w:val="33B65F28"/>
    <w:rsid w:val="33B757FC"/>
    <w:rsid w:val="33DC5CD3"/>
    <w:rsid w:val="34120C85"/>
    <w:rsid w:val="342310E4"/>
    <w:rsid w:val="34271E61"/>
    <w:rsid w:val="342804A8"/>
    <w:rsid w:val="3428494C"/>
    <w:rsid w:val="344F012B"/>
    <w:rsid w:val="346045FB"/>
    <w:rsid w:val="348002E4"/>
    <w:rsid w:val="34B166F0"/>
    <w:rsid w:val="34C957E7"/>
    <w:rsid w:val="34D4418C"/>
    <w:rsid w:val="34F5482E"/>
    <w:rsid w:val="34FC3E0F"/>
    <w:rsid w:val="35215623"/>
    <w:rsid w:val="35226149"/>
    <w:rsid w:val="352E3B71"/>
    <w:rsid w:val="35527ED3"/>
    <w:rsid w:val="3569521C"/>
    <w:rsid w:val="35B423F0"/>
    <w:rsid w:val="35F76384"/>
    <w:rsid w:val="360F36CE"/>
    <w:rsid w:val="364A2958"/>
    <w:rsid w:val="366B28CE"/>
    <w:rsid w:val="369342FF"/>
    <w:rsid w:val="36991B1F"/>
    <w:rsid w:val="36C21C3F"/>
    <w:rsid w:val="371F5B92"/>
    <w:rsid w:val="374970B3"/>
    <w:rsid w:val="375F0685"/>
    <w:rsid w:val="37B0756F"/>
    <w:rsid w:val="37B22EAA"/>
    <w:rsid w:val="38327B47"/>
    <w:rsid w:val="3836588A"/>
    <w:rsid w:val="389A2AB0"/>
    <w:rsid w:val="38C904AC"/>
    <w:rsid w:val="38D770AB"/>
    <w:rsid w:val="38EF77E6"/>
    <w:rsid w:val="39967A4C"/>
    <w:rsid w:val="39CB1609"/>
    <w:rsid w:val="39FE1322"/>
    <w:rsid w:val="3A292B5E"/>
    <w:rsid w:val="3A36092A"/>
    <w:rsid w:val="3A3F02FA"/>
    <w:rsid w:val="3A563FC1"/>
    <w:rsid w:val="3AD60C5E"/>
    <w:rsid w:val="3AEC66D3"/>
    <w:rsid w:val="3B4E4C98"/>
    <w:rsid w:val="3B556027"/>
    <w:rsid w:val="3BE64ED1"/>
    <w:rsid w:val="3C131844"/>
    <w:rsid w:val="3C4B11D8"/>
    <w:rsid w:val="3C60392D"/>
    <w:rsid w:val="3C6978B0"/>
    <w:rsid w:val="3CAA4150"/>
    <w:rsid w:val="3CCB65AE"/>
    <w:rsid w:val="3CDC62D4"/>
    <w:rsid w:val="3CE36CA8"/>
    <w:rsid w:val="3D1B32A0"/>
    <w:rsid w:val="3D3B2FFA"/>
    <w:rsid w:val="3D477BF1"/>
    <w:rsid w:val="3D504924"/>
    <w:rsid w:val="3D566086"/>
    <w:rsid w:val="3D600CB3"/>
    <w:rsid w:val="3D736C38"/>
    <w:rsid w:val="3DFC6C2D"/>
    <w:rsid w:val="3E2E7003"/>
    <w:rsid w:val="3E7A3FF6"/>
    <w:rsid w:val="3ECB57F5"/>
    <w:rsid w:val="3EE46F1E"/>
    <w:rsid w:val="3EE54683"/>
    <w:rsid w:val="3EE65C63"/>
    <w:rsid w:val="3F073ADC"/>
    <w:rsid w:val="3F0A35CC"/>
    <w:rsid w:val="3F0D4E6A"/>
    <w:rsid w:val="3F123C27"/>
    <w:rsid w:val="3F20694C"/>
    <w:rsid w:val="3F6F342F"/>
    <w:rsid w:val="3F725C6C"/>
    <w:rsid w:val="3FAF1A7E"/>
    <w:rsid w:val="403F2E01"/>
    <w:rsid w:val="40414DCB"/>
    <w:rsid w:val="413627F0"/>
    <w:rsid w:val="413B5CBF"/>
    <w:rsid w:val="414601C0"/>
    <w:rsid w:val="41576633"/>
    <w:rsid w:val="41641009"/>
    <w:rsid w:val="41872A7D"/>
    <w:rsid w:val="418A27A2"/>
    <w:rsid w:val="41951050"/>
    <w:rsid w:val="4199054E"/>
    <w:rsid w:val="42213106"/>
    <w:rsid w:val="422624CB"/>
    <w:rsid w:val="426C3C56"/>
    <w:rsid w:val="429531AD"/>
    <w:rsid w:val="42982C9D"/>
    <w:rsid w:val="42CA554C"/>
    <w:rsid w:val="434F5A51"/>
    <w:rsid w:val="436A288B"/>
    <w:rsid w:val="43C04259"/>
    <w:rsid w:val="440E1469"/>
    <w:rsid w:val="441445A5"/>
    <w:rsid w:val="44856DDB"/>
    <w:rsid w:val="44944B08"/>
    <w:rsid w:val="44D37FBC"/>
    <w:rsid w:val="44D97CC8"/>
    <w:rsid w:val="4504461A"/>
    <w:rsid w:val="450E6E58"/>
    <w:rsid w:val="45442C68"/>
    <w:rsid w:val="4557299B"/>
    <w:rsid w:val="455A248C"/>
    <w:rsid w:val="45DE4E6B"/>
    <w:rsid w:val="45E6217B"/>
    <w:rsid w:val="46511AE0"/>
    <w:rsid w:val="467F03FC"/>
    <w:rsid w:val="46911EDD"/>
    <w:rsid w:val="4692632B"/>
    <w:rsid w:val="47072496"/>
    <w:rsid w:val="47174AD8"/>
    <w:rsid w:val="47240FA3"/>
    <w:rsid w:val="474B1C86"/>
    <w:rsid w:val="47542066"/>
    <w:rsid w:val="47785BF2"/>
    <w:rsid w:val="478D08F6"/>
    <w:rsid w:val="47C57487"/>
    <w:rsid w:val="47EF7803"/>
    <w:rsid w:val="47FD47E5"/>
    <w:rsid w:val="48256D81"/>
    <w:rsid w:val="485B2781"/>
    <w:rsid w:val="488A12DA"/>
    <w:rsid w:val="4897726C"/>
    <w:rsid w:val="48E924A4"/>
    <w:rsid w:val="49080B7C"/>
    <w:rsid w:val="491A08B0"/>
    <w:rsid w:val="491A265E"/>
    <w:rsid w:val="49203248"/>
    <w:rsid w:val="4941408E"/>
    <w:rsid w:val="498807E2"/>
    <w:rsid w:val="49A05099"/>
    <w:rsid w:val="49A07007"/>
    <w:rsid w:val="49B95CD8"/>
    <w:rsid w:val="49FC1D63"/>
    <w:rsid w:val="49FD5519"/>
    <w:rsid w:val="4A325785"/>
    <w:rsid w:val="4A4A38D3"/>
    <w:rsid w:val="4A565917"/>
    <w:rsid w:val="4A6D7900"/>
    <w:rsid w:val="4A842484"/>
    <w:rsid w:val="4A9F106C"/>
    <w:rsid w:val="4AB443EC"/>
    <w:rsid w:val="4AC9149F"/>
    <w:rsid w:val="4AD978D9"/>
    <w:rsid w:val="4ADF3B5F"/>
    <w:rsid w:val="4B201A81"/>
    <w:rsid w:val="4B20746B"/>
    <w:rsid w:val="4B241572"/>
    <w:rsid w:val="4B3D2633"/>
    <w:rsid w:val="4B475260"/>
    <w:rsid w:val="4B7047B7"/>
    <w:rsid w:val="4B7E4E3D"/>
    <w:rsid w:val="4B8A1D1C"/>
    <w:rsid w:val="4BD50ABE"/>
    <w:rsid w:val="4C327CBE"/>
    <w:rsid w:val="4C4A5008"/>
    <w:rsid w:val="4C6267F5"/>
    <w:rsid w:val="4C6C31D0"/>
    <w:rsid w:val="4C9B1D07"/>
    <w:rsid w:val="4CB93F3C"/>
    <w:rsid w:val="4CF3569F"/>
    <w:rsid w:val="4D001B6A"/>
    <w:rsid w:val="4D447CA9"/>
    <w:rsid w:val="4D673998"/>
    <w:rsid w:val="4DB12E65"/>
    <w:rsid w:val="4DB766CD"/>
    <w:rsid w:val="4DC21F09"/>
    <w:rsid w:val="4E0C0C0F"/>
    <w:rsid w:val="4E3E6DEE"/>
    <w:rsid w:val="4E8B1908"/>
    <w:rsid w:val="4EB1136E"/>
    <w:rsid w:val="4ECC7F56"/>
    <w:rsid w:val="4F2A7373"/>
    <w:rsid w:val="4F3D2C02"/>
    <w:rsid w:val="4F5E382D"/>
    <w:rsid w:val="4F6C34E7"/>
    <w:rsid w:val="4FB011BD"/>
    <w:rsid w:val="4FBF5D0D"/>
    <w:rsid w:val="4FC14A18"/>
    <w:rsid w:val="4FD712A8"/>
    <w:rsid w:val="4FE440F7"/>
    <w:rsid w:val="50002945"/>
    <w:rsid w:val="500D45E7"/>
    <w:rsid w:val="501E2A33"/>
    <w:rsid w:val="50396AAB"/>
    <w:rsid w:val="507624DE"/>
    <w:rsid w:val="50772144"/>
    <w:rsid w:val="50B0055B"/>
    <w:rsid w:val="50B415EA"/>
    <w:rsid w:val="50EA6DB9"/>
    <w:rsid w:val="50F019F4"/>
    <w:rsid w:val="51220301"/>
    <w:rsid w:val="512A365A"/>
    <w:rsid w:val="514F4E6E"/>
    <w:rsid w:val="5153495F"/>
    <w:rsid w:val="518F0C10"/>
    <w:rsid w:val="51CD1B2D"/>
    <w:rsid w:val="51D42ED1"/>
    <w:rsid w:val="51D81231"/>
    <w:rsid w:val="51DB6702"/>
    <w:rsid w:val="52142AEF"/>
    <w:rsid w:val="52383B54"/>
    <w:rsid w:val="525F10E1"/>
    <w:rsid w:val="52855B2A"/>
    <w:rsid w:val="5288688A"/>
    <w:rsid w:val="529945F3"/>
    <w:rsid w:val="52BD6CE2"/>
    <w:rsid w:val="52CC5DC3"/>
    <w:rsid w:val="52D675F5"/>
    <w:rsid w:val="52FC2DD4"/>
    <w:rsid w:val="531E3C37"/>
    <w:rsid w:val="53B316E5"/>
    <w:rsid w:val="53CE7D56"/>
    <w:rsid w:val="53DC50DF"/>
    <w:rsid w:val="53F1220D"/>
    <w:rsid w:val="540C51D3"/>
    <w:rsid w:val="54210D44"/>
    <w:rsid w:val="54356452"/>
    <w:rsid w:val="546234D5"/>
    <w:rsid w:val="54FE4BE1"/>
    <w:rsid w:val="552B174F"/>
    <w:rsid w:val="55412274"/>
    <w:rsid w:val="554967A4"/>
    <w:rsid w:val="55C17A0F"/>
    <w:rsid w:val="55D237F9"/>
    <w:rsid w:val="561346BC"/>
    <w:rsid w:val="561C2065"/>
    <w:rsid w:val="56260894"/>
    <w:rsid w:val="567C6706"/>
    <w:rsid w:val="567D422C"/>
    <w:rsid w:val="56AB6FEB"/>
    <w:rsid w:val="56D20841"/>
    <w:rsid w:val="57007337"/>
    <w:rsid w:val="570A5ABF"/>
    <w:rsid w:val="571D7FF8"/>
    <w:rsid w:val="573174F0"/>
    <w:rsid w:val="57601B83"/>
    <w:rsid w:val="576A47B0"/>
    <w:rsid w:val="579730CB"/>
    <w:rsid w:val="57E47C99"/>
    <w:rsid w:val="581F559B"/>
    <w:rsid w:val="586C6306"/>
    <w:rsid w:val="58704048"/>
    <w:rsid w:val="58CE0D6F"/>
    <w:rsid w:val="58E70023"/>
    <w:rsid w:val="590649AC"/>
    <w:rsid w:val="59154BEF"/>
    <w:rsid w:val="592667B3"/>
    <w:rsid w:val="592E180D"/>
    <w:rsid w:val="59401C6C"/>
    <w:rsid w:val="594D4389"/>
    <w:rsid w:val="59653A2A"/>
    <w:rsid w:val="59A33FA9"/>
    <w:rsid w:val="59A73A9A"/>
    <w:rsid w:val="59AF0BA0"/>
    <w:rsid w:val="59C52172"/>
    <w:rsid w:val="59DD570D"/>
    <w:rsid w:val="59F760A3"/>
    <w:rsid w:val="5A42661A"/>
    <w:rsid w:val="5A834A94"/>
    <w:rsid w:val="5AB126F6"/>
    <w:rsid w:val="5AEE74A6"/>
    <w:rsid w:val="5B1F73B4"/>
    <w:rsid w:val="5B353002"/>
    <w:rsid w:val="5B3C46B5"/>
    <w:rsid w:val="5B5C08B4"/>
    <w:rsid w:val="5B7A10F7"/>
    <w:rsid w:val="5B995664"/>
    <w:rsid w:val="5C1178F0"/>
    <w:rsid w:val="5C294AA4"/>
    <w:rsid w:val="5C2E04A2"/>
    <w:rsid w:val="5C64344C"/>
    <w:rsid w:val="5C7659A5"/>
    <w:rsid w:val="5C927B40"/>
    <w:rsid w:val="5CDA384F"/>
    <w:rsid w:val="5CE01FC1"/>
    <w:rsid w:val="5CFF599B"/>
    <w:rsid w:val="5DAD4CDB"/>
    <w:rsid w:val="5DC6470A"/>
    <w:rsid w:val="5DDE7CA6"/>
    <w:rsid w:val="5E337FF2"/>
    <w:rsid w:val="5E6A322F"/>
    <w:rsid w:val="5E8048B9"/>
    <w:rsid w:val="5E846139"/>
    <w:rsid w:val="5ED30E8D"/>
    <w:rsid w:val="5EDF7832"/>
    <w:rsid w:val="5F074FDA"/>
    <w:rsid w:val="5F08322C"/>
    <w:rsid w:val="5F1D576C"/>
    <w:rsid w:val="5F5E109E"/>
    <w:rsid w:val="5FA171DD"/>
    <w:rsid w:val="604258B3"/>
    <w:rsid w:val="60A725D1"/>
    <w:rsid w:val="60CA4511"/>
    <w:rsid w:val="60CC2038"/>
    <w:rsid w:val="60E43825"/>
    <w:rsid w:val="60EA2015"/>
    <w:rsid w:val="60FC22A0"/>
    <w:rsid w:val="61202383"/>
    <w:rsid w:val="614B11AE"/>
    <w:rsid w:val="62206ADF"/>
    <w:rsid w:val="622D2FAA"/>
    <w:rsid w:val="6252656D"/>
    <w:rsid w:val="62830ABB"/>
    <w:rsid w:val="62A32B16"/>
    <w:rsid w:val="62CF5E0F"/>
    <w:rsid w:val="62E33669"/>
    <w:rsid w:val="631101D6"/>
    <w:rsid w:val="63BC2837"/>
    <w:rsid w:val="63C72CC3"/>
    <w:rsid w:val="63E47698"/>
    <w:rsid w:val="63E678B4"/>
    <w:rsid w:val="63EA6380"/>
    <w:rsid w:val="63FC70D8"/>
    <w:rsid w:val="643B5557"/>
    <w:rsid w:val="6488096B"/>
    <w:rsid w:val="64AA6B34"/>
    <w:rsid w:val="64B474FA"/>
    <w:rsid w:val="64B74DAD"/>
    <w:rsid w:val="64C00105"/>
    <w:rsid w:val="64C32AE1"/>
    <w:rsid w:val="64FE478A"/>
    <w:rsid w:val="653D52B2"/>
    <w:rsid w:val="65401246"/>
    <w:rsid w:val="65876308"/>
    <w:rsid w:val="65CC4888"/>
    <w:rsid w:val="65E676F8"/>
    <w:rsid w:val="662D5327"/>
    <w:rsid w:val="66433CD3"/>
    <w:rsid w:val="667B283A"/>
    <w:rsid w:val="67206C39"/>
    <w:rsid w:val="6723497B"/>
    <w:rsid w:val="67803B7C"/>
    <w:rsid w:val="67966F51"/>
    <w:rsid w:val="67ED14E8"/>
    <w:rsid w:val="680227E3"/>
    <w:rsid w:val="680F45AC"/>
    <w:rsid w:val="6837248C"/>
    <w:rsid w:val="684921C0"/>
    <w:rsid w:val="688A2F04"/>
    <w:rsid w:val="68944E05"/>
    <w:rsid w:val="68CA50AF"/>
    <w:rsid w:val="68E65C61"/>
    <w:rsid w:val="68F14D31"/>
    <w:rsid w:val="6949691B"/>
    <w:rsid w:val="694A2693"/>
    <w:rsid w:val="696372B1"/>
    <w:rsid w:val="696F5C56"/>
    <w:rsid w:val="69A753F0"/>
    <w:rsid w:val="69B61AD7"/>
    <w:rsid w:val="69C441F4"/>
    <w:rsid w:val="69FD6E54"/>
    <w:rsid w:val="6A2829D5"/>
    <w:rsid w:val="6A647785"/>
    <w:rsid w:val="6A74304D"/>
    <w:rsid w:val="6A8B4D12"/>
    <w:rsid w:val="6AD06BC8"/>
    <w:rsid w:val="6B19056F"/>
    <w:rsid w:val="6B217424"/>
    <w:rsid w:val="6B4F2C4C"/>
    <w:rsid w:val="6B5670CE"/>
    <w:rsid w:val="6B6712DB"/>
    <w:rsid w:val="6B785E1C"/>
    <w:rsid w:val="6BA74108"/>
    <w:rsid w:val="6BAE1E2A"/>
    <w:rsid w:val="6C103720"/>
    <w:rsid w:val="6C16685D"/>
    <w:rsid w:val="6C30791F"/>
    <w:rsid w:val="6C8D73F3"/>
    <w:rsid w:val="6D1B05CF"/>
    <w:rsid w:val="6D641E4C"/>
    <w:rsid w:val="6DEF2790"/>
    <w:rsid w:val="6E2A04BD"/>
    <w:rsid w:val="6E587601"/>
    <w:rsid w:val="6E5A6ED5"/>
    <w:rsid w:val="6E781A51"/>
    <w:rsid w:val="6E8C2E06"/>
    <w:rsid w:val="6E9F6FDD"/>
    <w:rsid w:val="6F1C418A"/>
    <w:rsid w:val="6F213E96"/>
    <w:rsid w:val="6FB10D76"/>
    <w:rsid w:val="6FBE46BE"/>
    <w:rsid w:val="6FCF56A0"/>
    <w:rsid w:val="70426957"/>
    <w:rsid w:val="70691651"/>
    <w:rsid w:val="70992D1A"/>
    <w:rsid w:val="709B37D5"/>
    <w:rsid w:val="709B6440"/>
    <w:rsid w:val="70C2118B"/>
    <w:rsid w:val="70DA42FD"/>
    <w:rsid w:val="70E87D2E"/>
    <w:rsid w:val="70F25AEA"/>
    <w:rsid w:val="70F44CC1"/>
    <w:rsid w:val="70FE623D"/>
    <w:rsid w:val="710E3FA6"/>
    <w:rsid w:val="711041C2"/>
    <w:rsid w:val="712220A7"/>
    <w:rsid w:val="712612F0"/>
    <w:rsid w:val="71463740"/>
    <w:rsid w:val="714D0321"/>
    <w:rsid w:val="71682E39"/>
    <w:rsid w:val="717E737E"/>
    <w:rsid w:val="71956476"/>
    <w:rsid w:val="719721EE"/>
    <w:rsid w:val="71A41186"/>
    <w:rsid w:val="71AD7C63"/>
    <w:rsid w:val="72521BA1"/>
    <w:rsid w:val="72860B42"/>
    <w:rsid w:val="72A46970"/>
    <w:rsid w:val="72DD00D4"/>
    <w:rsid w:val="736343F9"/>
    <w:rsid w:val="73880040"/>
    <w:rsid w:val="73C1598D"/>
    <w:rsid w:val="73EA4857"/>
    <w:rsid w:val="74070338"/>
    <w:rsid w:val="740F250F"/>
    <w:rsid w:val="742B0E89"/>
    <w:rsid w:val="74336F75"/>
    <w:rsid w:val="74404DBF"/>
    <w:rsid w:val="75091655"/>
    <w:rsid w:val="750D2EF3"/>
    <w:rsid w:val="752E528F"/>
    <w:rsid w:val="754F1383"/>
    <w:rsid w:val="75853A5B"/>
    <w:rsid w:val="75C94940"/>
    <w:rsid w:val="763B618E"/>
    <w:rsid w:val="764A782F"/>
    <w:rsid w:val="76530C47"/>
    <w:rsid w:val="765C7562"/>
    <w:rsid w:val="76A007D6"/>
    <w:rsid w:val="76AA651F"/>
    <w:rsid w:val="76B178AE"/>
    <w:rsid w:val="76B33626"/>
    <w:rsid w:val="76BF2082"/>
    <w:rsid w:val="76C05D43"/>
    <w:rsid w:val="7755292F"/>
    <w:rsid w:val="775545EE"/>
    <w:rsid w:val="777059BB"/>
    <w:rsid w:val="7798707D"/>
    <w:rsid w:val="77A613DD"/>
    <w:rsid w:val="77B358A8"/>
    <w:rsid w:val="77BA09E4"/>
    <w:rsid w:val="781246A1"/>
    <w:rsid w:val="783546A5"/>
    <w:rsid w:val="78574485"/>
    <w:rsid w:val="78801C2E"/>
    <w:rsid w:val="7899684C"/>
    <w:rsid w:val="78EA61AB"/>
    <w:rsid w:val="78EC72C3"/>
    <w:rsid w:val="78EE51F4"/>
    <w:rsid w:val="78EF0412"/>
    <w:rsid w:val="78F20DB9"/>
    <w:rsid w:val="79246A5D"/>
    <w:rsid w:val="79351DCC"/>
    <w:rsid w:val="797057FE"/>
    <w:rsid w:val="798967DD"/>
    <w:rsid w:val="79BB161F"/>
    <w:rsid w:val="79C93160"/>
    <w:rsid w:val="79F503F9"/>
    <w:rsid w:val="7A0F3269"/>
    <w:rsid w:val="7A17211E"/>
    <w:rsid w:val="7A8F3B44"/>
    <w:rsid w:val="7A995229"/>
    <w:rsid w:val="7AA00365"/>
    <w:rsid w:val="7AA21FFC"/>
    <w:rsid w:val="7AAB0E6A"/>
    <w:rsid w:val="7AC77EEB"/>
    <w:rsid w:val="7AD4331F"/>
    <w:rsid w:val="7AF367AB"/>
    <w:rsid w:val="7B0025AE"/>
    <w:rsid w:val="7B113011"/>
    <w:rsid w:val="7B7F7F7B"/>
    <w:rsid w:val="7BB06386"/>
    <w:rsid w:val="7BD9715F"/>
    <w:rsid w:val="7BFC1C99"/>
    <w:rsid w:val="7C0E7550"/>
    <w:rsid w:val="7C1D7794"/>
    <w:rsid w:val="7C3074C7"/>
    <w:rsid w:val="7C705B15"/>
    <w:rsid w:val="7C7C095E"/>
    <w:rsid w:val="7CAF663E"/>
    <w:rsid w:val="7CF76237"/>
    <w:rsid w:val="7D050953"/>
    <w:rsid w:val="7D080444"/>
    <w:rsid w:val="7D303BAD"/>
    <w:rsid w:val="7D480840"/>
    <w:rsid w:val="7D482418"/>
    <w:rsid w:val="7D4C6582"/>
    <w:rsid w:val="7D5D1DC2"/>
    <w:rsid w:val="7D5D42EC"/>
    <w:rsid w:val="7D6D14A3"/>
    <w:rsid w:val="7DA41F1A"/>
    <w:rsid w:val="7DDE25D7"/>
    <w:rsid w:val="7DE642E1"/>
    <w:rsid w:val="7DEE13E8"/>
    <w:rsid w:val="7E0B68D2"/>
    <w:rsid w:val="7E0E55E6"/>
    <w:rsid w:val="7E130E4E"/>
    <w:rsid w:val="7E3A3E64"/>
    <w:rsid w:val="7E4B683A"/>
    <w:rsid w:val="7E5A6A7D"/>
    <w:rsid w:val="7E8B4DC2"/>
    <w:rsid w:val="7E936E39"/>
    <w:rsid w:val="7EB40DD0"/>
    <w:rsid w:val="7EB443DF"/>
    <w:rsid w:val="7EC46EEC"/>
    <w:rsid w:val="7F2C0419"/>
    <w:rsid w:val="7F524A42"/>
    <w:rsid w:val="7FE9455C"/>
    <w:rsid w:val="7FFF78D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7"/>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9"/>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2"/>
    <w:semiHidden/>
    <w:unhideWhenUsed/>
    <w:qFormat/>
    <w:uiPriority w:val="99"/>
    <w:pPr>
      <w:spacing w:after="0" w:line="240" w:lineRule="auto"/>
    </w:pPr>
    <w:rPr>
      <w:sz w:val="20"/>
    </w:rPr>
  </w:style>
  <w:style w:type="paragraph" w:styleId="17">
    <w:name w:val="footer"/>
    <w:basedOn w:val="1"/>
    <w:link w:val="55"/>
    <w:unhideWhenUsed/>
    <w:qFormat/>
    <w:uiPriority w:val="99"/>
    <w:pPr>
      <w:tabs>
        <w:tab w:val="center" w:pos="7143"/>
        <w:tab w:val="right" w:pos="14287"/>
      </w:tabs>
      <w:spacing w:after="0" w:line="240" w:lineRule="auto"/>
    </w:pPr>
  </w:style>
  <w:style w:type="paragraph" w:styleId="18">
    <w:name w:val="header"/>
    <w:basedOn w:val="1"/>
    <w:link w:val="53"/>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8"/>
    <w:qFormat/>
    <w:uiPriority w:val="11"/>
    <w:pPr>
      <w:spacing w:before="200" w:after="200"/>
    </w:pPr>
    <w:rPr>
      <w:sz w:val="24"/>
      <w:szCs w:val="24"/>
    </w:rPr>
  </w:style>
  <w:style w:type="paragraph" w:styleId="22">
    <w:name w:val="footnote text"/>
    <w:basedOn w:val="1"/>
    <w:link w:val="18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unhideWhenUsed/>
    <w:qFormat/>
    <w:uiPriority w:val="99"/>
    <w:pPr>
      <w:widowControl/>
      <w:spacing w:before="100" w:beforeAutospacing="1" w:after="100" w:afterAutospacing="1"/>
      <w:jc w:val="left"/>
    </w:pPr>
    <w:rPr>
      <w:rFonts w:ascii="宋体" w:hAnsi="宋体"/>
      <w:kern w:val="0"/>
      <w:sz w:val="24"/>
    </w:r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basedOn w:val="31"/>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正文文本1"/>
    <w:basedOn w:val="1"/>
    <w:link w:val="215"/>
    <w:qFormat/>
    <w:uiPriority w:val="0"/>
    <w:pPr>
      <w:tabs>
        <w:tab w:val="left" w:pos="567"/>
      </w:tabs>
      <w:spacing w:before="120" w:line="22" w:lineRule="atLeast"/>
    </w:pPr>
    <w:rPr>
      <w:rFonts w:ascii="宋体" w:hAnsi="宋体"/>
      <w:sz w:val="24"/>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1"/>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8"/>
    <w:qFormat/>
    <w:uiPriority w:val="99"/>
  </w:style>
  <w:style w:type="character" w:customStyle="1" w:styleId="54">
    <w:name w:val="Footer Char"/>
    <w:link w:val="17"/>
    <w:qFormat/>
    <w:uiPriority w:val="99"/>
  </w:style>
  <w:style w:type="character" w:customStyle="1" w:styleId="55">
    <w:name w:val="Caption Char"/>
    <w:link w:val="17"/>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2"/>
    <w:qFormat/>
    <w:uiPriority w:val="99"/>
    <w:rPr>
      <w:sz w:val="18"/>
    </w:rPr>
  </w:style>
  <w:style w:type="character" w:customStyle="1" w:styleId="182">
    <w:name w:val="Endnote Text Char"/>
    <w:link w:val="16"/>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6"/>
    <w:qFormat/>
    <w:uiPriority w:val="0"/>
    <w:pPr>
      <w:keepNext/>
      <w:keepLines/>
      <w:spacing w:before="240" w:after="120" w:line="300" w:lineRule="auto"/>
      <w:jc w:val="center"/>
      <w:outlineLvl w:val="0"/>
    </w:pPr>
    <w:rPr>
      <w:rFonts w:ascii="宋体"/>
      <w:b/>
      <w:sz w:val="32"/>
      <w:szCs w:val="20"/>
    </w:rPr>
  </w:style>
  <w:style w:type="paragraph" w:customStyle="1" w:styleId="185">
    <w:name w:val="标题 21"/>
    <w:basedOn w:val="1"/>
    <w:next w:val="186"/>
    <w:link w:val="197"/>
    <w:qFormat/>
    <w:uiPriority w:val="0"/>
    <w:pPr>
      <w:keepNext/>
      <w:keepLines/>
      <w:spacing w:before="120" w:line="300" w:lineRule="auto"/>
      <w:jc w:val="center"/>
      <w:outlineLvl w:val="1"/>
    </w:pPr>
    <w:rPr>
      <w:rFonts w:ascii="Arial" w:hAnsi="Arial" w:eastAsia="黑体"/>
      <w:b/>
      <w:sz w:val="30"/>
      <w:szCs w:val="20"/>
    </w:rPr>
  </w:style>
  <w:style w:type="paragraph" w:customStyle="1" w:styleId="186">
    <w:name w:val="正文缩进11"/>
    <w:basedOn w:val="1"/>
    <w:link w:val="198"/>
    <w:qFormat/>
    <w:uiPriority w:val="0"/>
    <w:pPr>
      <w:ind w:firstLine="420"/>
      <w:jc w:val="left"/>
    </w:pPr>
    <w:rPr>
      <w:rFonts w:ascii="宋体"/>
      <w:sz w:val="24"/>
    </w:rPr>
  </w:style>
  <w:style w:type="paragraph" w:customStyle="1" w:styleId="187">
    <w:name w:val="标题 311"/>
    <w:basedOn w:val="1"/>
    <w:next w:val="1"/>
    <w:link w:val="199"/>
    <w:qFormat/>
    <w:uiPriority w:val="0"/>
    <w:pPr>
      <w:keepNext/>
      <w:keepLines/>
      <w:spacing w:before="360" w:after="120"/>
      <w:jc w:val="left"/>
      <w:outlineLvl w:val="2"/>
    </w:pPr>
    <w:rPr>
      <w:rFonts w:ascii="宋体"/>
      <w:b/>
      <w:sz w:val="24"/>
      <w:szCs w:val="20"/>
      <w:u w:val="single"/>
    </w:rPr>
  </w:style>
  <w:style w:type="paragraph" w:customStyle="1" w:styleId="188">
    <w:name w:val="标题 41"/>
    <w:basedOn w:val="1"/>
    <w:next w:val="1"/>
    <w:link w:val="200"/>
    <w:qFormat/>
    <w:uiPriority w:val="0"/>
    <w:pPr>
      <w:keepNext/>
      <w:keepLines/>
      <w:spacing w:before="280" w:after="290" w:line="376" w:lineRule="atLeast"/>
      <w:outlineLvl w:val="3"/>
    </w:pPr>
    <w:rPr>
      <w:rFonts w:ascii="Arial" w:hAnsi="Arial" w:eastAsia="黑体"/>
      <w:b/>
      <w:sz w:val="28"/>
      <w:szCs w:val="20"/>
    </w:rPr>
  </w:style>
  <w:style w:type="paragraph" w:customStyle="1" w:styleId="189">
    <w:name w:val="标题 51"/>
    <w:basedOn w:val="1"/>
    <w:next w:val="1"/>
    <w:link w:val="201"/>
    <w:qFormat/>
    <w:uiPriority w:val="0"/>
    <w:pPr>
      <w:keepNext/>
      <w:keepLines/>
      <w:spacing w:before="280" w:after="290" w:line="376" w:lineRule="atLeast"/>
      <w:outlineLvl w:val="4"/>
    </w:pPr>
    <w:rPr>
      <w:b/>
      <w:sz w:val="28"/>
      <w:szCs w:val="20"/>
    </w:rPr>
  </w:style>
  <w:style w:type="paragraph" w:customStyle="1" w:styleId="190">
    <w:name w:val="标题 61"/>
    <w:basedOn w:val="1"/>
    <w:next w:val="1"/>
    <w:link w:val="202"/>
    <w:qFormat/>
    <w:uiPriority w:val="0"/>
    <w:pPr>
      <w:keepNext/>
      <w:keepLines/>
      <w:spacing w:before="240" w:after="64" w:line="320" w:lineRule="atLeast"/>
      <w:outlineLvl w:val="5"/>
    </w:pPr>
    <w:rPr>
      <w:rFonts w:ascii="Arial" w:hAnsi="Arial" w:eastAsia="黑体"/>
      <w:b/>
      <w:sz w:val="24"/>
      <w:szCs w:val="20"/>
    </w:rPr>
  </w:style>
  <w:style w:type="paragraph" w:customStyle="1" w:styleId="191">
    <w:name w:val="标题 71"/>
    <w:basedOn w:val="1"/>
    <w:next w:val="1"/>
    <w:link w:val="203"/>
    <w:qFormat/>
    <w:uiPriority w:val="0"/>
    <w:pPr>
      <w:keepNext/>
      <w:keepLines/>
      <w:spacing w:before="240" w:after="64" w:line="320" w:lineRule="atLeast"/>
      <w:outlineLvl w:val="6"/>
    </w:pPr>
    <w:rPr>
      <w:b/>
      <w:sz w:val="24"/>
      <w:szCs w:val="20"/>
    </w:rPr>
  </w:style>
  <w:style w:type="paragraph" w:customStyle="1" w:styleId="192">
    <w:name w:val="标题 81"/>
    <w:basedOn w:val="1"/>
    <w:next w:val="1"/>
    <w:link w:val="204"/>
    <w:qFormat/>
    <w:uiPriority w:val="0"/>
    <w:pPr>
      <w:keepNext/>
      <w:keepLines/>
      <w:spacing w:before="240" w:after="64" w:line="320" w:lineRule="atLeast"/>
      <w:outlineLvl w:val="7"/>
    </w:pPr>
    <w:rPr>
      <w:rFonts w:ascii="Arial" w:hAnsi="Arial" w:eastAsia="黑体"/>
      <w:sz w:val="24"/>
      <w:szCs w:val="20"/>
    </w:rPr>
  </w:style>
  <w:style w:type="paragraph" w:customStyle="1" w:styleId="193">
    <w:name w:val="标题 91"/>
    <w:basedOn w:val="1"/>
    <w:next w:val="1"/>
    <w:link w:val="205"/>
    <w:qFormat/>
    <w:uiPriority w:val="0"/>
    <w:pPr>
      <w:keepNext/>
      <w:keepLines/>
      <w:spacing w:before="240" w:after="64" w:line="320" w:lineRule="atLeast"/>
      <w:outlineLvl w:val="8"/>
    </w:pPr>
    <w:rPr>
      <w:rFonts w:ascii="Arial" w:hAnsi="Arial" w:eastAsia="黑体"/>
      <w:szCs w:val="20"/>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字符"/>
    <w:link w:val="184"/>
    <w:qFormat/>
    <w:uiPriority w:val="0"/>
    <w:rPr>
      <w:rFonts w:ascii="宋体"/>
      <w:b/>
      <w:sz w:val="32"/>
    </w:rPr>
  </w:style>
  <w:style w:type="character" w:customStyle="1" w:styleId="197">
    <w:name w:val="标题 2 字符"/>
    <w:link w:val="185"/>
    <w:qFormat/>
    <w:uiPriority w:val="0"/>
    <w:rPr>
      <w:rFonts w:ascii="Arial" w:hAnsi="Arial" w:eastAsia="黑体"/>
      <w:b/>
      <w:sz w:val="30"/>
      <w:lang w:val="en-US" w:eastAsia="zh-CN" w:bidi="ar-SA"/>
    </w:rPr>
  </w:style>
  <w:style w:type="character" w:customStyle="1" w:styleId="198">
    <w:name w:val="正文缩进 字符"/>
    <w:link w:val="186"/>
    <w:qFormat/>
    <w:uiPriority w:val="0"/>
    <w:rPr>
      <w:rFonts w:ascii="宋体" w:eastAsia="宋体"/>
      <w:sz w:val="24"/>
      <w:szCs w:val="24"/>
      <w:lang w:val="en-US" w:eastAsia="zh-CN" w:bidi="ar-SA"/>
    </w:rPr>
  </w:style>
  <w:style w:type="character" w:customStyle="1" w:styleId="199">
    <w:name w:val="标题 3 字符"/>
    <w:link w:val="187"/>
    <w:qFormat/>
    <w:uiPriority w:val="0"/>
    <w:rPr>
      <w:rFonts w:ascii="宋体" w:eastAsia="宋体"/>
      <w:b/>
      <w:sz w:val="24"/>
      <w:u w:val="single"/>
      <w:lang w:val="en-US" w:eastAsia="zh-CN" w:bidi="ar-SA"/>
    </w:rPr>
  </w:style>
  <w:style w:type="character" w:customStyle="1" w:styleId="200">
    <w:name w:val="标题 4 字符"/>
    <w:link w:val="188"/>
    <w:qFormat/>
    <w:uiPriority w:val="0"/>
    <w:rPr>
      <w:rFonts w:ascii="Arial" w:hAnsi="Arial" w:eastAsia="黑体"/>
      <w:b/>
      <w:sz w:val="28"/>
    </w:rPr>
  </w:style>
  <w:style w:type="character" w:customStyle="1" w:styleId="201">
    <w:name w:val="标题 5 字符"/>
    <w:link w:val="189"/>
    <w:qFormat/>
    <w:uiPriority w:val="0"/>
    <w:rPr>
      <w:b/>
      <w:sz w:val="28"/>
    </w:rPr>
  </w:style>
  <w:style w:type="character" w:customStyle="1" w:styleId="202">
    <w:name w:val="标题 6 字符"/>
    <w:link w:val="190"/>
    <w:qFormat/>
    <w:uiPriority w:val="0"/>
    <w:rPr>
      <w:rFonts w:ascii="Arial" w:hAnsi="Arial" w:eastAsia="黑体"/>
      <w:b/>
      <w:sz w:val="24"/>
    </w:rPr>
  </w:style>
  <w:style w:type="character" w:customStyle="1" w:styleId="203">
    <w:name w:val="标题 7 字符"/>
    <w:link w:val="191"/>
    <w:qFormat/>
    <w:uiPriority w:val="0"/>
    <w:rPr>
      <w:b/>
      <w:sz w:val="24"/>
    </w:rPr>
  </w:style>
  <w:style w:type="character" w:customStyle="1" w:styleId="204">
    <w:name w:val="标题 8 字符"/>
    <w:link w:val="192"/>
    <w:qFormat/>
    <w:uiPriority w:val="0"/>
    <w:rPr>
      <w:rFonts w:ascii="Arial" w:hAnsi="Arial" w:eastAsia="黑体"/>
      <w:sz w:val="24"/>
    </w:rPr>
  </w:style>
  <w:style w:type="character" w:customStyle="1" w:styleId="205">
    <w:name w:val="标题 9 字符"/>
    <w:link w:val="193"/>
    <w:qFormat/>
    <w:uiPriority w:val="0"/>
    <w:rPr>
      <w:rFonts w:ascii="Arial" w:hAnsi="Arial" w:eastAsia="黑体"/>
      <w:sz w:val="21"/>
    </w:rPr>
  </w:style>
  <w:style w:type="paragraph" w:customStyle="1" w:styleId="206">
    <w:name w:val="目录 71"/>
    <w:basedOn w:val="1"/>
    <w:next w:val="1"/>
    <w:qFormat/>
    <w:uiPriority w:val="0"/>
    <w:pPr>
      <w:ind w:left="2520"/>
    </w:pPr>
  </w:style>
  <w:style w:type="paragraph" w:customStyle="1" w:styleId="207">
    <w:name w:val="引文目录1"/>
    <w:basedOn w:val="1"/>
    <w:next w:val="1"/>
    <w:qFormat/>
    <w:uiPriority w:val="99"/>
    <w:pPr>
      <w:ind w:left="420"/>
    </w:pPr>
  </w:style>
  <w:style w:type="paragraph" w:customStyle="1" w:styleId="208">
    <w:name w:val="题注1"/>
    <w:basedOn w:val="1"/>
    <w:next w:val="1"/>
    <w:qFormat/>
    <w:uiPriority w:val="0"/>
    <w:pPr>
      <w:spacing w:line="480" w:lineRule="auto"/>
    </w:pPr>
    <w:rPr>
      <w:rFonts w:ascii="华文中宋" w:hAnsi="华文中宋" w:eastAsia="华文中宋"/>
      <w:sz w:val="36"/>
      <w:szCs w:val="20"/>
    </w:rPr>
  </w:style>
  <w:style w:type="paragraph" w:customStyle="1" w:styleId="209">
    <w:name w:val="文档结构图1"/>
    <w:basedOn w:val="1"/>
    <w:link w:val="210"/>
    <w:qFormat/>
    <w:uiPriority w:val="0"/>
    <w:pPr>
      <w:shd w:val="clear" w:color="auto" w:fill="000080"/>
    </w:pPr>
  </w:style>
  <w:style w:type="character" w:customStyle="1" w:styleId="210">
    <w:name w:val="文档结构图 字符"/>
    <w:link w:val="209"/>
    <w:qFormat/>
    <w:uiPriority w:val="0"/>
    <w:rPr>
      <w:sz w:val="21"/>
      <w:szCs w:val="24"/>
      <w:shd w:val="clear" w:color="auto" w:fill="000080"/>
    </w:rPr>
  </w:style>
  <w:style w:type="paragraph" w:customStyle="1" w:styleId="211">
    <w:name w:val="批注文字1"/>
    <w:basedOn w:val="1"/>
    <w:link w:val="212"/>
    <w:qFormat/>
    <w:uiPriority w:val="99"/>
    <w:pPr>
      <w:jc w:val="left"/>
    </w:pPr>
  </w:style>
  <w:style w:type="character" w:customStyle="1" w:styleId="212">
    <w:name w:val="批注文字 字符1"/>
    <w:link w:val="211"/>
    <w:qFormat/>
    <w:uiPriority w:val="99"/>
    <w:rPr>
      <w:sz w:val="21"/>
      <w:szCs w:val="24"/>
    </w:rPr>
  </w:style>
  <w:style w:type="paragraph" w:customStyle="1" w:styleId="213">
    <w:name w:val="正文文本 31"/>
    <w:basedOn w:val="1"/>
    <w:link w:val="214"/>
    <w:qFormat/>
    <w:uiPriority w:val="0"/>
    <w:pPr>
      <w:spacing w:after="120"/>
    </w:pPr>
    <w:rPr>
      <w:sz w:val="16"/>
      <w:szCs w:val="16"/>
    </w:rPr>
  </w:style>
  <w:style w:type="character" w:customStyle="1" w:styleId="214">
    <w:name w:val="正文文本 3 字符"/>
    <w:link w:val="213"/>
    <w:qFormat/>
    <w:uiPriority w:val="0"/>
    <w:rPr>
      <w:sz w:val="16"/>
      <w:szCs w:val="16"/>
    </w:rPr>
  </w:style>
  <w:style w:type="character" w:customStyle="1" w:styleId="215">
    <w:name w:val="正文文本 字符"/>
    <w:link w:val="35"/>
    <w:qFormat/>
    <w:uiPriority w:val="0"/>
    <w:rPr>
      <w:rFonts w:ascii="宋体" w:hAnsi="宋体"/>
      <w:sz w:val="24"/>
      <w:szCs w:val="24"/>
    </w:rPr>
  </w:style>
  <w:style w:type="paragraph" w:customStyle="1" w:styleId="216">
    <w:name w:val="正文文本缩进111"/>
    <w:basedOn w:val="1"/>
    <w:link w:val="217"/>
    <w:qFormat/>
    <w:uiPriority w:val="0"/>
    <w:pPr>
      <w:spacing w:line="360" w:lineRule="auto"/>
      <w:ind w:firstLine="570"/>
    </w:pPr>
    <w:rPr>
      <w:sz w:val="24"/>
    </w:rPr>
  </w:style>
  <w:style w:type="character" w:customStyle="1" w:styleId="217">
    <w:name w:val="正文文本缩进 字符"/>
    <w:link w:val="216"/>
    <w:qFormat/>
    <w:uiPriority w:val="0"/>
    <w:rPr>
      <w:rFonts w:eastAsia="宋体"/>
      <w:sz w:val="24"/>
      <w:szCs w:val="24"/>
      <w:lang w:val="en-US" w:eastAsia="zh-CN" w:bidi="ar-SA"/>
    </w:rPr>
  </w:style>
  <w:style w:type="paragraph" w:customStyle="1" w:styleId="218">
    <w:name w:val="列表 21"/>
    <w:basedOn w:val="1"/>
    <w:qFormat/>
    <w:uiPriority w:val="0"/>
    <w:pPr>
      <w:ind w:left="100" w:hanging="200"/>
    </w:pPr>
  </w:style>
  <w:style w:type="paragraph" w:customStyle="1" w:styleId="219">
    <w:name w:val="文本块1"/>
    <w:basedOn w:val="1"/>
    <w:qFormat/>
    <w:uiPriority w:val="0"/>
    <w:pPr>
      <w:widowControl/>
      <w:ind w:left="480" w:right="-341" w:firstLine="513"/>
    </w:pPr>
    <w:rPr>
      <w:sz w:val="24"/>
      <w:szCs w:val="20"/>
    </w:rPr>
  </w:style>
  <w:style w:type="paragraph" w:customStyle="1" w:styleId="220">
    <w:name w:val="目录 51"/>
    <w:basedOn w:val="1"/>
    <w:next w:val="1"/>
    <w:qFormat/>
    <w:uiPriority w:val="0"/>
    <w:pPr>
      <w:ind w:left="1680"/>
    </w:pPr>
  </w:style>
  <w:style w:type="paragraph" w:customStyle="1" w:styleId="221">
    <w:name w:val="目录 31"/>
    <w:basedOn w:val="1"/>
    <w:next w:val="1"/>
    <w:qFormat/>
    <w:uiPriority w:val="39"/>
    <w:pPr>
      <w:ind w:left="840"/>
    </w:pPr>
  </w:style>
  <w:style w:type="paragraph" w:customStyle="1" w:styleId="222">
    <w:name w:val="纯文本1"/>
    <w:basedOn w:val="1"/>
    <w:link w:val="223"/>
    <w:qFormat/>
    <w:uiPriority w:val="0"/>
    <w:rPr>
      <w:rFonts w:hint="eastAsia" w:ascii="宋体" w:hAnsi="Courier New"/>
      <w:szCs w:val="20"/>
    </w:rPr>
  </w:style>
  <w:style w:type="character" w:customStyle="1" w:styleId="223">
    <w:name w:val="纯文本 字符2"/>
    <w:link w:val="222"/>
    <w:qFormat/>
    <w:uiPriority w:val="0"/>
    <w:rPr>
      <w:rFonts w:hint="eastAsia" w:ascii="宋体" w:hAnsi="Courier New" w:eastAsia="宋体" w:cs="宋体"/>
      <w:sz w:val="21"/>
    </w:rPr>
  </w:style>
  <w:style w:type="paragraph" w:customStyle="1" w:styleId="224">
    <w:name w:val="目录 81"/>
    <w:basedOn w:val="1"/>
    <w:next w:val="1"/>
    <w:qFormat/>
    <w:uiPriority w:val="0"/>
    <w:pPr>
      <w:ind w:left="2940"/>
    </w:pPr>
  </w:style>
  <w:style w:type="paragraph" w:customStyle="1" w:styleId="225">
    <w:name w:val="日期1"/>
    <w:basedOn w:val="1"/>
    <w:next w:val="1"/>
    <w:link w:val="226"/>
    <w:qFormat/>
    <w:uiPriority w:val="0"/>
    <w:pPr>
      <w:ind w:left="100"/>
    </w:pPr>
    <w:rPr>
      <w:rFonts w:ascii="仿宋_GB2312" w:hAnsi="宋体" w:eastAsia="仿宋_GB2312"/>
      <w:color w:val="000000"/>
      <w:sz w:val="24"/>
    </w:rPr>
  </w:style>
  <w:style w:type="character" w:customStyle="1" w:styleId="226">
    <w:name w:val="日期 字符"/>
    <w:link w:val="225"/>
    <w:qFormat/>
    <w:uiPriority w:val="0"/>
    <w:rPr>
      <w:rFonts w:ascii="仿宋_GB2312" w:hAnsi="宋体" w:eastAsia="仿宋_GB2312"/>
      <w:color w:val="000000"/>
      <w:sz w:val="24"/>
      <w:szCs w:val="24"/>
    </w:rPr>
  </w:style>
  <w:style w:type="paragraph" w:customStyle="1" w:styleId="227">
    <w:name w:val="正文文本缩进 21"/>
    <w:basedOn w:val="1"/>
    <w:link w:val="228"/>
    <w:qFormat/>
    <w:uiPriority w:val="0"/>
    <w:pPr>
      <w:ind w:firstLine="480"/>
    </w:pPr>
    <w:rPr>
      <w:rFonts w:ascii="仿宋_GB2312" w:eastAsia="仿宋_GB2312"/>
      <w:sz w:val="24"/>
    </w:rPr>
  </w:style>
  <w:style w:type="character" w:customStyle="1" w:styleId="228">
    <w:name w:val="正文文本缩进 2 字符"/>
    <w:link w:val="227"/>
    <w:qFormat/>
    <w:uiPriority w:val="0"/>
    <w:rPr>
      <w:rFonts w:ascii="仿宋_GB2312" w:eastAsia="仿宋_GB2312"/>
      <w:sz w:val="24"/>
      <w:szCs w:val="24"/>
    </w:rPr>
  </w:style>
  <w:style w:type="paragraph" w:customStyle="1" w:styleId="229">
    <w:name w:val="批注框文本1"/>
    <w:basedOn w:val="1"/>
    <w:link w:val="230"/>
    <w:qFormat/>
    <w:uiPriority w:val="0"/>
    <w:rPr>
      <w:sz w:val="18"/>
      <w:szCs w:val="18"/>
    </w:rPr>
  </w:style>
  <w:style w:type="character" w:customStyle="1" w:styleId="230">
    <w:name w:val="批注框文本 字符"/>
    <w:link w:val="229"/>
    <w:qFormat/>
    <w:uiPriority w:val="0"/>
    <w:rPr>
      <w:sz w:val="18"/>
      <w:szCs w:val="18"/>
    </w:rPr>
  </w:style>
  <w:style w:type="paragraph" w:customStyle="1" w:styleId="231">
    <w:name w:val="页脚1"/>
    <w:basedOn w:val="1"/>
    <w:link w:val="232"/>
    <w:qFormat/>
    <w:uiPriority w:val="99"/>
    <w:pPr>
      <w:tabs>
        <w:tab w:val="center" w:pos="4153"/>
        <w:tab w:val="right" w:pos="8306"/>
      </w:tabs>
      <w:jc w:val="left"/>
    </w:pPr>
    <w:rPr>
      <w:rFonts w:ascii="宋体"/>
      <w:sz w:val="18"/>
      <w:szCs w:val="20"/>
    </w:rPr>
  </w:style>
  <w:style w:type="character" w:customStyle="1" w:styleId="232">
    <w:name w:val="页脚 字符"/>
    <w:link w:val="231"/>
    <w:qFormat/>
    <w:uiPriority w:val="99"/>
    <w:rPr>
      <w:rFonts w:ascii="宋体" w:eastAsia="宋体"/>
      <w:sz w:val="18"/>
      <w:lang w:val="en-US" w:eastAsia="zh-CN" w:bidi="ar-SA"/>
    </w:rPr>
  </w:style>
  <w:style w:type="paragraph" w:customStyle="1" w:styleId="233">
    <w:name w:val="页眉1"/>
    <w:basedOn w:val="1"/>
    <w:link w:val="234"/>
    <w:qFormat/>
    <w:uiPriority w:val="0"/>
    <w:pPr>
      <w:pBdr>
        <w:bottom w:val="single" w:color="000000" w:sz="6" w:space="1"/>
      </w:pBdr>
      <w:tabs>
        <w:tab w:val="center" w:pos="4153"/>
        <w:tab w:val="right" w:pos="8306"/>
      </w:tabs>
      <w:jc w:val="center"/>
    </w:pPr>
    <w:rPr>
      <w:sz w:val="18"/>
      <w:szCs w:val="18"/>
    </w:rPr>
  </w:style>
  <w:style w:type="character" w:customStyle="1" w:styleId="234">
    <w:name w:val="页眉 字符"/>
    <w:link w:val="233"/>
    <w:qFormat/>
    <w:uiPriority w:val="0"/>
    <w:rPr>
      <w:rFonts w:eastAsia="宋体"/>
      <w:sz w:val="18"/>
      <w:szCs w:val="18"/>
      <w:lang w:val="en-US" w:eastAsia="zh-CN" w:bidi="ar-SA"/>
    </w:rPr>
  </w:style>
  <w:style w:type="paragraph" w:customStyle="1" w:styleId="235">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6">
    <w:name w:val="目录 41"/>
    <w:basedOn w:val="1"/>
    <w:next w:val="1"/>
    <w:qFormat/>
    <w:uiPriority w:val="0"/>
    <w:pPr>
      <w:ind w:left="1260"/>
    </w:pPr>
  </w:style>
  <w:style w:type="paragraph" w:customStyle="1" w:styleId="237">
    <w:name w:val="目录 61"/>
    <w:basedOn w:val="1"/>
    <w:next w:val="1"/>
    <w:qFormat/>
    <w:uiPriority w:val="0"/>
    <w:pPr>
      <w:ind w:left="2100"/>
    </w:pPr>
  </w:style>
  <w:style w:type="paragraph" w:customStyle="1" w:styleId="238">
    <w:name w:val="正文文本缩进 31"/>
    <w:basedOn w:val="1"/>
    <w:link w:val="239"/>
    <w:qFormat/>
    <w:uiPriority w:val="0"/>
    <w:pPr>
      <w:spacing w:before="120" w:line="22" w:lineRule="atLeast"/>
      <w:ind w:left="720" w:firstLine="480"/>
      <w:jc w:val="left"/>
    </w:pPr>
    <w:rPr>
      <w:rFonts w:ascii="宋体"/>
      <w:sz w:val="24"/>
      <w:szCs w:val="20"/>
    </w:rPr>
  </w:style>
  <w:style w:type="character" w:customStyle="1" w:styleId="239">
    <w:name w:val="正文文本缩进 3 字符"/>
    <w:link w:val="238"/>
    <w:qFormat/>
    <w:uiPriority w:val="0"/>
    <w:rPr>
      <w:rFonts w:ascii="宋体"/>
      <w:sz w:val="24"/>
    </w:rPr>
  </w:style>
  <w:style w:type="paragraph" w:customStyle="1" w:styleId="240">
    <w:name w:val="目录 21"/>
    <w:basedOn w:val="1"/>
    <w:next w:val="1"/>
    <w:qFormat/>
    <w:uiPriority w:val="39"/>
    <w:pPr>
      <w:tabs>
        <w:tab w:val="right" w:leader="dot" w:pos="8937"/>
      </w:tabs>
      <w:spacing w:line="312" w:lineRule="auto"/>
      <w:ind w:left="420"/>
    </w:pPr>
  </w:style>
  <w:style w:type="paragraph" w:customStyle="1" w:styleId="241">
    <w:name w:val="目录 91"/>
    <w:basedOn w:val="1"/>
    <w:next w:val="1"/>
    <w:qFormat/>
    <w:uiPriority w:val="0"/>
    <w:pPr>
      <w:ind w:left="3360"/>
    </w:pPr>
  </w:style>
  <w:style w:type="paragraph" w:customStyle="1" w:styleId="242">
    <w:name w:val="正文文本 21"/>
    <w:basedOn w:val="1"/>
    <w:next w:val="35"/>
    <w:qFormat/>
    <w:uiPriority w:val="0"/>
    <w:pPr>
      <w:widowControl w:val="0"/>
      <w:spacing w:after="120" w:line="480" w:lineRule="auto"/>
      <w:jc w:val="both"/>
    </w:pPr>
    <w:rPr>
      <w:sz w:val="21"/>
    </w:rPr>
  </w:style>
  <w:style w:type="paragraph" w:customStyle="1" w:styleId="243">
    <w:name w:val="HTML 预设格式1"/>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4">
    <w:name w:val="HTML 预设格式 字符"/>
    <w:link w:val="243"/>
    <w:qFormat/>
    <w:uiPriority w:val="0"/>
    <w:rPr>
      <w:rFonts w:ascii="宋体" w:hAnsi="宋体" w:cs="宋体"/>
      <w:sz w:val="24"/>
      <w:szCs w:val="24"/>
    </w:rPr>
  </w:style>
  <w:style w:type="paragraph" w:customStyle="1" w:styleId="245">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6">
    <w:name w:val="索引 11"/>
    <w:basedOn w:val="1"/>
    <w:next w:val="1"/>
    <w:qFormat/>
    <w:uiPriority w:val="0"/>
    <w:rPr>
      <w:szCs w:val="20"/>
    </w:rPr>
  </w:style>
  <w:style w:type="paragraph" w:customStyle="1" w:styleId="247">
    <w:name w:val="标题1"/>
    <w:basedOn w:val="1"/>
    <w:link w:val="248"/>
    <w:qFormat/>
    <w:uiPriority w:val="0"/>
    <w:pPr>
      <w:jc w:val="center"/>
      <w:outlineLvl w:val="0"/>
    </w:pPr>
    <w:rPr>
      <w:b/>
      <w:sz w:val="32"/>
      <w:szCs w:val="20"/>
    </w:rPr>
  </w:style>
  <w:style w:type="character" w:customStyle="1" w:styleId="248">
    <w:name w:val="标题 字符"/>
    <w:link w:val="247"/>
    <w:qFormat/>
    <w:uiPriority w:val="0"/>
    <w:rPr>
      <w:b/>
      <w:sz w:val="32"/>
    </w:rPr>
  </w:style>
  <w:style w:type="paragraph" w:customStyle="1" w:styleId="249">
    <w:name w:val="批注主题1"/>
    <w:basedOn w:val="211"/>
    <w:next w:val="211"/>
    <w:link w:val="250"/>
    <w:qFormat/>
    <w:uiPriority w:val="0"/>
    <w:rPr>
      <w:b/>
      <w:bCs/>
    </w:rPr>
  </w:style>
  <w:style w:type="character" w:customStyle="1" w:styleId="250">
    <w:name w:val="批注主题 字符"/>
    <w:link w:val="249"/>
    <w:qFormat/>
    <w:uiPriority w:val="0"/>
    <w:rPr>
      <w:rFonts w:ascii="Times New Roman" w:hAnsi="Times New Roman" w:eastAsia="宋体" w:cs="Times New Roman"/>
      <w:b/>
      <w:bCs/>
      <w:sz w:val="21"/>
      <w:szCs w:val="24"/>
      <w:lang w:val="en-US" w:eastAsia="zh-CN" w:bidi="ar-SA"/>
    </w:rPr>
  </w:style>
  <w:style w:type="paragraph" w:customStyle="1" w:styleId="251">
    <w:name w:val="正文首行缩进 211"/>
    <w:basedOn w:val="216"/>
    <w:link w:val="252"/>
    <w:qFormat/>
    <w:uiPriority w:val="0"/>
    <w:pPr>
      <w:spacing w:after="120" w:line="480" w:lineRule="exact"/>
      <w:ind w:left="420" w:firstLine="420"/>
    </w:pPr>
    <w:rPr>
      <w:szCs w:val="20"/>
    </w:rPr>
  </w:style>
  <w:style w:type="character" w:customStyle="1" w:styleId="252">
    <w:name w:val="正文文本首行缩进 2 字符"/>
    <w:link w:val="251"/>
    <w:qFormat/>
    <w:uiPriority w:val="0"/>
    <w:rPr>
      <w:rFonts w:eastAsia="宋体"/>
      <w:sz w:val="24"/>
      <w:szCs w:val="24"/>
      <w:lang w:val="en-US" w:eastAsia="zh-CN" w:bidi="ar-SA"/>
    </w:rPr>
  </w:style>
  <w:style w:type="table" w:customStyle="1" w:styleId="253">
    <w:name w:val="网格型1"/>
    <w:basedOn w:val="195"/>
    <w:qFormat/>
    <w:uiPriority w:val="39"/>
  </w:style>
  <w:style w:type="table" w:customStyle="1" w:styleId="254">
    <w:name w:val="中等深浅网格 1 - 强调文字颜色 21"/>
    <w:basedOn w:val="195"/>
    <w:qFormat/>
    <w:uiPriority w:val="0"/>
    <w:rPr>
      <w:sz w:val="21"/>
      <w:szCs w:val="24"/>
    </w:rPr>
  </w:style>
  <w:style w:type="character" w:customStyle="1" w:styleId="255">
    <w:name w:val="要点1"/>
    <w:link w:val="1"/>
    <w:qFormat/>
    <w:uiPriority w:val="0"/>
    <w:rPr>
      <w:b/>
      <w:bCs/>
    </w:rPr>
  </w:style>
  <w:style w:type="character" w:customStyle="1" w:styleId="256">
    <w:name w:val="页码1"/>
    <w:link w:val="1"/>
    <w:qFormat/>
    <w:uiPriority w:val="0"/>
  </w:style>
  <w:style w:type="character" w:customStyle="1" w:styleId="257">
    <w:name w:val="已访问的超链接1"/>
    <w:basedOn w:val="194"/>
    <w:link w:val="1"/>
    <w:qFormat/>
    <w:uiPriority w:val="0"/>
    <w:rPr>
      <w:color w:val="800080"/>
      <w:u w:val="none"/>
    </w:rPr>
  </w:style>
  <w:style w:type="character" w:customStyle="1" w:styleId="258">
    <w:name w:val="强调1"/>
    <w:link w:val="1"/>
    <w:qFormat/>
    <w:uiPriority w:val="0"/>
    <w:rPr>
      <w:color w:val="CC0033"/>
    </w:rPr>
  </w:style>
  <w:style w:type="character" w:customStyle="1" w:styleId="259">
    <w:name w:val="HTML 定义1"/>
    <w:basedOn w:val="194"/>
    <w:link w:val="1"/>
    <w:qFormat/>
    <w:uiPriority w:val="0"/>
  </w:style>
  <w:style w:type="character" w:customStyle="1" w:styleId="260">
    <w:name w:val="HTML 打字机1"/>
    <w:basedOn w:val="194"/>
    <w:link w:val="1"/>
    <w:qFormat/>
    <w:uiPriority w:val="0"/>
    <w:rPr>
      <w:rFonts w:ascii="monospace" w:hAnsi="monospace" w:eastAsia="monospace" w:cs="monospace"/>
      <w:sz w:val="20"/>
    </w:rPr>
  </w:style>
  <w:style w:type="character" w:customStyle="1" w:styleId="261">
    <w:name w:val="HTML 缩写1"/>
    <w:basedOn w:val="194"/>
    <w:link w:val="1"/>
    <w:qFormat/>
    <w:uiPriority w:val="0"/>
  </w:style>
  <w:style w:type="character" w:customStyle="1" w:styleId="262">
    <w:name w:val="HTML 变量1"/>
    <w:basedOn w:val="194"/>
    <w:link w:val="1"/>
    <w:qFormat/>
    <w:uiPriority w:val="0"/>
  </w:style>
  <w:style w:type="character" w:customStyle="1" w:styleId="263">
    <w:name w:val="超链接11"/>
    <w:basedOn w:val="194"/>
    <w:link w:val="1"/>
    <w:qFormat/>
    <w:uiPriority w:val="99"/>
    <w:rPr>
      <w:color w:val="0000FF"/>
      <w:u w:val="none"/>
    </w:rPr>
  </w:style>
  <w:style w:type="character" w:customStyle="1" w:styleId="264">
    <w:name w:val="HTML 代码1"/>
    <w:basedOn w:val="194"/>
    <w:link w:val="1"/>
    <w:qFormat/>
    <w:uiPriority w:val="0"/>
    <w:rPr>
      <w:rFonts w:ascii="monospace" w:hAnsi="monospace" w:eastAsia="monospace" w:cs="monospace"/>
      <w:sz w:val="20"/>
    </w:rPr>
  </w:style>
  <w:style w:type="character" w:customStyle="1" w:styleId="265">
    <w:name w:val="批注引用1"/>
    <w:link w:val="1"/>
    <w:qFormat/>
    <w:uiPriority w:val="99"/>
    <w:rPr>
      <w:sz w:val="21"/>
      <w:szCs w:val="21"/>
    </w:rPr>
  </w:style>
  <w:style w:type="character" w:customStyle="1" w:styleId="266">
    <w:name w:val="HTML 引文1"/>
    <w:link w:val="1"/>
    <w:qFormat/>
    <w:uiPriority w:val="0"/>
    <w:rPr>
      <w:i/>
      <w:iCs/>
    </w:rPr>
  </w:style>
  <w:style w:type="character" w:customStyle="1" w:styleId="267">
    <w:name w:val="HTML 键盘1"/>
    <w:basedOn w:val="194"/>
    <w:link w:val="1"/>
    <w:qFormat/>
    <w:uiPriority w:val="0"/>
    <w:rPr>
      <w:rFonts w:ascii="monospace" w:hAnsi="monospace" w:eastAsia="monospace" w:cs="monospace"/>
      <w:sz w:val="20"/>
    </w:rPr>
  </w:style>
  <w:style w:type="character" w:customStyle="1" w:styleId="268">
    <w:name w:val="HTML 样本1"/>
    <w:basedOn w:val="194"/>
    <w:link w:val="1"/>
    <w:qFormat/>
    <w:uiPriority w:val="0"/>
    <w:rPr>
      <w:rFonts w:ascii="monospace" w:hAnsi="monospace" w:eastAsia="monospace" w:cs="monospace"/>
    </w:rPr>
  </w:style>
  <w:style w:type="character" w:customStyle="1" w:styleId="269">
    <w:name w:val="超链接1"/>
    <w:link w:val="1"/>
    <w:qFormat/>
    <w:uiPriority w:val="99"/>
    <w:rPr>
      <w:sz w:val="21"/>
      <w:szCs w:val="24"/>
      <w:lang w:val="en-US" w:eastAsia="zh-CN" w:bidi="ar-SA"/>
    </w:rPr>
  </w:style>
  <w:style w:type="character" w:customStyle="1" w:styleId="270">
    <w:name w:val="成文日期 Char"/>
    <w:link w:val="271"/>
    <w:qFormat/>
    <w:uiPriority w:val="0"/>
    <w:rPr>
      <w:rFonts w:ascii="仿宋_GB2312" w:eastAsia="仿宋_GB2312"/>
      <w:sz w:val="32"/>
    </w:rPr>
  </w:style>
  <w:style w:type="paragraph" w:customStyle="1" w:styleId="271">
    <w:name w:val="成文日期"/>
    <w:basedOn w:val="1"/>
    <w:link w:val="270"/>
    <w:qFormat/>
    <w:uiPriority w:val="0"/>
    <w:pPr>
      <w:spacing w:line="570" w:lineRule="exact"/>
      <w:ind w:right="400" w:firstLine="200"/>
      <w:jc w:val="right"/>
    </w:pPr>
    <w:rPr>
      <w:rFonts w:ascii="仿宋_GB2312" w:eastAsia="仿宋_GB2312"/>
      <w:sz w:val="32"/>
      <w:szCs w:val="20"/>
    </w:rPr>
  </w:style>
  <w:style w:type="character" w:customStyle="1" w:styleId="272">
    <w:name w:val="标题 Char"/>
    <w:link w:val="1"/>
    <w:qFormat/>
    <w:uiPriority w:val="0"/>
    <w:rPr>
      <w:b/>
      <w:sz w:val="32"/>
    </w:rPr>
  </w:style>
  <w:style w:type="character" w:customStyle="1" w:styleId="273">
    <w:name w:val="批注文字 Char"/>
    <w:link w:val="1"/>
    <w:qFormat/>
    <w:uiPriority w:val="99"/>
    <w:rPr>
      <w:sz w:val="21"/>
      <w:szCs w:val="24"/>
    </w:rPr>
  </w:style>
  <w:style w:type="character" w:customStyle="1" w:styleId="274">
    <w:name w:val="标题 2 Char"/>
    <w:link w:val="1"/>
    <w:qFormat/>
    <w:uiPriority w:val="0"/>
    <w:rPr>
      <w:rFonts w:ascii="Arial" w:hAnsi="Arial" w:eastAsia="黑体"/>
      <w:b/>
      <w:sz w:val="30"/>
      <w:lang w:val="en-US" w:eastAsia="zh-CN" w:bidi="ar-SA"/>
    </w:rPr>
  </w:style>
  <w:style w:type="character" w:customStyle="1" w:styleId="275">
    <w:name w:val="正文文本缩进 Char"/>
    <w:link w:val="1"/>
    <w:qFormat/>
    <w:uiPriority w:val="0"/>
    <w:rPr>
      <w:rFonts w:eastAsia="宋体"/>
      <w:sz w:val="24"/>
      <w:szCs w:val="24"/>
      <w:lang w:val="en-US" w:eastAsia="zh-CN" w:bidi="ar-SA"/>
    </w:rPr>
  </w:style>
  <w:style w:type="character" w:customStyle="1" w:styleId="276">
    <w:name w:val="正文缩进 Char"/>
    <w:link w:val="1"/>
    <w:qFormat/>
    <w:uiPriority w:val="0"/>
    <w:rPr>
      <w:rFonts w:ascii="宋体" w:eastAsia="宋体"/>
      <w:sz w:val="24"/>
      <w:szCs w:val="24"/>
      <w:lang w:val="en-US" w:eastAsia="zh-CN" w:bidi="ar-SA"/>
    </w:rPr>
  </w:style>
  <w:style w:type="character" w:customStyle="1" w:styleId="277">
    <w:name w:val="正文格式 Char"/>
    <w:link w:val="278"/>
    <w:qFormat/>
    <w:uiPriority w:val="0"/>
    <w:rPr>
      <w:rFonts w:ascii="宋体" w:hAnsi="宋体"/>
      <w:sz w:val="24"/>
      <w:szCs w:val="24"/>
      <w:lang w:val="en-GB"/>
    </w:rPr>
  </w:style>
  <w:style w:type="paragraph" w:customStyle="1" w:styleId="278">
    <w:name w:val="正文格式"/>
    <w:basedOn w:val="1"/>
    <w:link w:val="277"/>
    <w:qFormat/>
    <w:uiPriority w:val="0"/>
    <w:pPr>
      <w:spacing w:line="360" w:lineRule="auto"/>
      <w:ind w:firstLine="480"/>
    </w:pPr>
    <w:rPr>
      <w:rFonts w:ascii="宋体" w:hAnsi="宋体"/>
      <w:sz w:val="24"/>
      <w:lang w:val="en-GB"/>
    </w:rPr>
  </w:style>
  <w:style w:type="character" w:customStyle="1" w:styleId="279">
    <w:name w:val="纯文本 字符"/>
    <w:link w:val="1"/>
    <w:qFormat/>
    <w:uiPriority w:val="99"/>
    <w:rPr>
      <w:rFonts w:ascii="宋体" w:hAnsi="Courier New" w:eastAsia="宋体" w:cs="Times New Roman"/>
      <w:sz w:val="21"/>
      <w:szCs w:val="21"/>
      <w:lang w:val="en-US" w:eastAsia="zh-CN" w:bidi="ar-SA"/>
    </w:rPr>
  </w:style>
  <w:style w:type="character" w:customStyle="1" w:styleId="280">
    <w:name w:val="注释 Char"/>
    <w:link w:val="281"/>
    <w:qFormat/>
    <w:uiPriority w:val="0"/>
    <w:rPr>
      <w:rFonts w:ascii="宋体" w:hAnsi="宋体"/>
      <w:sz w:val="21"/>
      <w:szCs w:val="21"/>
    </w:rPr>
  </w:style>
  <w:style w:type="paragraph" w:customStyle="1" w:styleId="281">
    <w:name w:val="注释"/>
    <w:basedOn w:val="1"/>
    <w:link w:val="280"/>
    <w:qFormat/>
    <w:uiPriority w:val="0"/>
    <w:pPr>
      <w:ind w:left="420" w:hanging="420"/>
      <w:jc w:val="left"/>
    </w:pPr>
    <w:rPr>
      <w:rFonts w:ascii="宋体" w:hAnsi="宋体"/>
      <w:szCs w:val="21"/>
    </w:rPr>
  </w:style>
  <w:style w:type="character" w:customStyle="1" w:styleId="282">
    <w:name w:val="正文大标题 Char"/>
    <w:link w:val="283"/>
    <w:qFormat/>
    <w:uiPriority w:val="0"/>
    <w:rPr>
      <w:rFonts w:ascii="宋体" w:hAnsi="宋体"/>
      <w:b/>
      <w:color w:val="000000"/>
      <w:sz w:val="28"/>
      <w:szCs w:val="21"/>
    </w:rPr>
  </w:style>
  <w:style w:type="paragraph" w:customStyle="1" w:styleId="283">
    <w:name w:val="正文大标题"/>
    <w:basedOn w:val="284"/>
    <w:next w:val="186"/>
    <w:link w:val="282"/>
    <w:qFormat/>
    <w:uiPriority w:val="0"/>
    <w:pPr>
      <w:jc w:val="center"/>
    </w:pPr>
    <w:rPr>
      <w:i w:val="0"/>
      <w:color w:val="000000"/>
      <w:sz w:val="28"/>
      <w:szCs w:val="21"/>
    </w:rPr>
  </w:style>
  <w:style w:type="paragraph" w:customStyle="1" w:styleId="284">
    <w:name w:val="正文小标题"/>
    <w:basedOn w:val="1"/>
    <w:next w:val="186"/>
    <w:link w:val="285"/>
    <w:qFormat/>
    <w:uiPriority w:val="0"/>
    <w:pPr>
      <w:ind w:firstLine="482"/>
      <w:jc w:val="left"/>
    </w:pPr>
    <w:rPr>
      <w:rFonts w:ascii="宋体" w:hAnsi="宋体"/>
      <w:b/>
      <w:i/>
      <w:color w:val="FF0000"/>
      <w:sz w:val="24"/>
      <w:szCs w:val="20"/>
    </w:rPr>
  </w:style>
  <w:style w:type="character" w:customStyle="1" w:styleId="285">
    <w:name w:val="正文小标题 Char"/>
    <w:link w:val="284"/>
    <w:qFormat/>
    <w:uiPriority w:val="0"/>
    <w:rPr>
      <w:rFonts w:ascii="宋体" w:hAnsi="宋体"/>
      <w:b/>
      <w:i/>
      <w:color w:val="FF0000"/>
      <w:sz w:val="24"/>
    </w:rPr>
  </w:style>
  <w:style w:type="character" w:customStyle="1" w:styleId="286">
    <w:name w:val="正文重点 Char"/>
    <w:link w:val="287"/>
    <w:qFormat/>
    <w:uiPriority w:val="0"/>
    <w:rPr>
      <w:b/>
      <w:sz w:val="24"/>
    </w:rPr>
  </w:style>
  <w:style w:type="paragraph" w:customStyle="1" w:styleId="287">
    <w:name w:val="正文重点"/>
    <w:basedOn w:val="1"/>
    <w:link w:val="286"/>
    <w:qFormat/>
    <w:uiPriority w:val="0"/>
    <w:pPr>
      <w:spacing w:line="360" w:lineRule="auto"/>
      <w:ind w:firstLine="482"/>
      <w:jc w:val="left"/>
    </w:pPr>
    <w:rPr>
      <w:b/>
      <w:sz w:val="24"/>
      <w:szCs w:val="20"/>
    </w:rPr>
  </w:style>
  <w:style w:type="character" w:customStyle="1" w:styleId="288">
    <w:name w:val="正文表格 Char"/>
    <w:link w:val="289"/>
    <w:qFormat/>
    <w:uiPriority w:val="0"/>
    <w:rPr>
      <w:rFonts w:ascii="宋体" w:hAnsi="宋体"/>
      <w:color w:val="000000"/>
      <w:sz w:val="21"/>
      <w:szCs w:val="21"/>
    </w:rPr>
  </w:style>
  <w:style w:type="paragraph" w:customStyle="1" w:styleId="289">
    <w:name w:val="正文表格"/>
    <w:basedOn w:val="1"/>
    <w:link w:val="288"/>
    <w:qFormat/>
    <w:uiPriority w:val="0"/>
    <w:pPr>
      <w:jc w:val="left"/>
    </w:pPr>
    <w:rPr>
      <w:rFonts w:ascii="宋体" w:hAnsi="宋体"/>
      <w:color w:val="000000"/>
      <w:szCs w:val="21"/>
    </w:rPr>
  </w:style>
  <w:style w:type="character" w:customStyle="1" w:styleId="290">
    <w:name w:val="纯文本 Char1"/>
    <w:link w:val="1"/>
    <w:qFormat/>
    <w:uiPriority w:val="0"/>
    <w:rPr>
      <w:rFonts w:ascii="宋体" w:hAnsi="Courier New" w:eastAsia="宋体"/>
      <w:sz w:val="21"/>
      <w:lang w:val="en-US" w:eastAsia="zh-CN" w:bidi="ar-SA"/>
    </w:rPr>
  </w:style>
  <w:style w:type="character" w:customStyle="1" w:styleId="291">
    <w:name w:val="chanpin拷贝"/>
    <w:link w:val="1"/>
    <w:qFormat/>
    <w:uiPriority w:val="0"/>
  </w:style>
  <w:style w:type="character" w:customStyle="1" w:styleId="292">
    <w:name w:val="列表段落 字符"/>
    <w:link w:val="293"/>
    <w:qFormat/>
    <w:uiPriority w:val="34"/>
    <w:rPr>
      <w:rFonts w:ascii="Calibri" w:hAnsi="Calibri" w:eastAsia="宋体"/>
      <w:sz w:val="21"/>
      <w:szCs w:val="22"/>
      <w:lang w:val="en-US" w:eastAsia="zh-CN" w:bidi="ar-SA"/>
    </w:rPr>
  </w:style>
  <w:style w:type="paragraph" w:customStyle="1" w:styleId="293">
    <w:name w:val="列表段落"/>
    <w:basedOn w:val="1"/>
    <w:link w:val="292"/>
    <w:qFormat/>
    <w:uiPriority w:val="34"/>
    <w:pPr>
      <w:ind w:firstLine="420"/>
    </w:pPr>
    <w:rPr>
      <w:rFonts w:ascii="Calibri" w:hAnsi="Calibri"/>
      <w:szCs w:val="22"/>
    </w:rPr>
  </w:style>
  <w:style w:type="character" w:customStyle="1" w:styleId="294">
    <w:name w:val="txt"/>
    <w:link w:val="1"/>
    <w:qFormat/>
    <w:uiPriority w:val="0"/>
  </w:style>
  <w:style w:type="character" w:customStyle="1" w:styleId="295">
    <w:name w:val="Char Char11"/>
    <w:link w:val="1"/>
    <w:qFormat/>
    <w:uiPriority w:val="0"/>
    <w:rPr>
      <w:rFonts w:ascii="宋体" w:eastAsia="宋体"/>
      <w:b/>
      <w:sz w:val="24"/>
      <w:u w:val="single"/>
      <w:lang w:val="en-US" w:eastAsia="zh-CN" w:bidi="ar-SA"/>
    </w:rPr>
  </w:style>
  <w:style w:type="character" w:customStyle="1" w:styleId="296">
    <w:name w:val="正文文本缩进 Char1"/>
    <w:link w:val="297"/>
    <w:qFormat/>
    <w:uiPriority w:val="0"/>
    <w:rPr>
      <w:rFonts w:ascii="宋体" w:hAnsi="宋体" w:eastAsia="宋体"/>
      <w:sz w:val="24"/>
      <w:szCs w:val="24"/>
      <w:lang w:bidi="ar-SA"/>
    </w:rPr>
  </w:style>
  <w:style w:type="paragraph" w:customStyle="1" w:styleId="297">
    <w:name w:val="正文文本缩进1"/>
    <w:basedOn w:val="298"/>
    <w:next w:val="300"/>
    <w:link w:val="296"/>
    <w:qFormat/>
    <w:uiPriority w:val="0"/>
    <w:pPr>
      <w:spacing w:line="480" w:lineRule="exact"/>
      <w:ind w:firstLine="480"/>
    </w:pPr>
    <w:rPr>
      <w:rFonts w:ascii="宋体" w:hAnsi="宋体"/>
      <w:sz w:val="24"/>
    </w:rPr>
  </w:style>
  <w:style w:type="paragraph" w:customStyle="1" w:styleId="298">
    <w:name w:val="正文12"/>
    <w:next w:val="29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9">
    <w:name w:val="无间隔1"/>
    <w:qFormat/>
    <w:uiPriority w:val="0"/>
    <w:rPr>
      <w:rFonts w:hint="default" w:ascii="Calibri" w:hAnsi="Calibri" w:eastAsia="宋体" w:cs="Times New Roman"/>
      <w:sz w:val="22"/>
      <w:lang w:val="en-US" w:eastAsia="zh-CN" w:bidi="ar-SA"/>
    </w:rPr>
  </w:style>
  <w:style w:type="paragraph" w:customStyle="1" w:styleId="300">
    <w:name w:val="寄信人地址1"/>
    <w:basedOn w:val="1"/>
    <w:qFormat/>
    <w:uiPriority w:val="0"/>
    <w:rPr>
      <w:rFonts w:ascii="Arial" w:hAnsi="Arial"/>
    </w:rPr>
  </w:style>
  <w:style w:type="character" w:customStyle="1" w:styleId="301">
    <w:name w:val="locality"/>
    <w:link w:val="1"/>
    <w:qFormat/>
    <w:uiPriority w:val="0"/>
  </w:style>
  <w:style w:type="character" w:customStyle="1" w:styleId="302">
    <w:name w:val="street-address"/>
    <w:link w:val="1"/>
    <w:qFormat/>
    <w:uiPriority w:val="0"/>
  </w:style>
  <w:style w:type="character" w:customStyle="1" w:styleId="303">
    <w:name w:val="Char Char111"/>
    <w:link w:val="1"/>
    <w:qFormat/>
    <w:uiPriority w:val="0"/>
    <w:rPr>
      <w:rFonts w:ascii="宋体" w:eastAsia="宋体"/>
      <w:b/>
      <w:sz w:val="24"/>
      <w:u w:val="single"/>
      <w:lang w:val="en-US" w:eastAsia="zh-CN" w:bidi="ar-SA"/>
    </w:rPr>
  </w:style>
  <w:style w:type="character" w:customStyle="1" w:styleId="304">
    <w:name w:val="标题 2 Char Char"/>
    <w:link w:val="1"/>
    <w:qFormat/>
    <w:uiPriority w:val="0"/>
    <w:rPr>
      <w:rFonts w:ascii="Arial" w:hAnsi="Arial" w:eastAsia="黑体"/>
      <w:b/>
      <w:bCs/>
      <w:sz w:val="32"/>
      <w:szCs w:val="32"/>
      <w:lang w:val="en-US" w:eastAsia="zh-CN" w:bidi="ar-SA"/>
    </w:rPr>
  </w:style>
  <w:style w:type="character" w:customStyle="1" w:styleId="305">
    <w:name w:val="c21"/>
    <w:link w:val="1"/>
    <w:qFormat/>
    <w:uiPriority w:val="0"/>
    <w:rPr>
      <w:rFonts w:ascii="ˎ̥" w:hAnsi="ˎ̥"/>
      <w:color w:val="000000"/>
      <w:sz w:val="20"/>
      <w:szCs w:val="20"/>
      <w:u w:val="none"/>
    </w:rPr>
  </w:style>
  <w:style w:type="character" w:customStyle="1" w:styleId="306">
    <w:name w:val="标题 3 Char Char"/>
    <w:link w:val="1"/>
    <w:qFormat/>
    <w:uiPriority w:val="0"/>
    <w:rPr>
      <w:rFonts w:eastAsia="宋体"/>
      <w:b/>
      <w:bCs/>
      <w:sz w:val="32"/>
      <w:szCs w:val="32"/>
      <w:lang w:val="en-US" w:eastAsia="zh-CN" w:bidi="ar-SA"/>
    </w:rPr>
  </w:style>
  <w:style w:type="character" w:customStyle="1" w:styleId="307">
    <w:name w:val="列出段落 Char"/>
    <w:link w:val="1"/>
    <w:qFormat/>
    <w:uiPriority w:val="0"/>
    <w:rPr>
      <w:rFonts w:ascii="Calibri" w:hAnsi="Calibri" w:eastAsia="宋体"/>
      <w:sz w:val="21"/>
      <w:szCs w:val="22"/>
      <w:lang w:val="en-US" w:eastAsia="zh-CN" w:bidi="ar-SA"/>
    </w:rPr>
  </w:style>
  <w:style w:type="character" w:customStyle="1" w:styleId="308">
    <w:name w:val="段1 Char"/>
    <w:link w:val="1"/>
    <w:qFormat/>
    <w:uiPriority w:val="0"/>
    <w:rPr>
      <w:rFonts w:ascii="宋体" w:eastAsia="宋体"/>
      <w:sz w:val="24"/>
      <w:lang w:val="en-US" w:eastAsia="zh-CN" w:bidi="ar-SA"/>
    </w:rPr>
  </w:style>
  <w:style w:type="character" w:customStyle="1" w:styleId="309">
    <w:name w:val="chanpin1"/>
    <w:link w:val="1"/>
    <w:qFormat/>
    <w:uiPriority w:val="0"/>
    <w:rPr>
      <w:rFonts w:ascii="ˎ̥" w:hAnsi="ˎ̥"/>
      <w:color w:val="000000"/>
      <w:sz w:val="20"/>
      <w:szCs w:val="20"/>
      <w:u w:val="none"/>
    </w:rPr>
  </w:style>
  <w:style w:type="character" w:customStyle="1" w:styleId="310">
    <w:name w:val="标题 3 Char"/>
    <w:link w:val="1"/>
    <w:qFormat/>
    <w:uiPriority w:val="0"/>
    <w:rPr>
      <w:rFonts w:ascii="宋体" w:eastAsia="宋体"/>
      <w:b/>
      <w:sz w:val="24"/>
      <w:u w:val="single"/>
      <w:lang w:val="en-US" w:eastAsia="zh-CN" w:bidi="ar-SA"/>
    </w:rPr>
  </w:style>
  <w:style w:type="character" w:customStyle="1" w:styleId="311">
    <w:name w:val="正文缩进 Char Char"/>
    <w:link w:val="312"/>
    <w:qFormat/>
    <w:uiPriority w:val="0"/>
    <w:rPr>
      <w:rFonts w:ascii="宋体" w:eastAsia="宋体"/>
      <w:color w:val="000000"/>
      <w:sz w:val="28"/>
      <w:lang w:bidi="ar-SA"/>
    </w:rPr>
  </w:style>
  <w:style w:type="paragraph" w:customStyle="1" w:styleId="312">
    <w:name w:val="正文缩进1"/>
    <w:basedOn w:val="1"/>
    <w:link w:val="311"/>
    <w:qFormat/>
    <w:uiPriority w:val="0"/>
    <w:pPr>
      <w:widowControl/>
      <w:spacing w:line="480" w:lineRule="exact"/>
      <w:ind w:firstLine="567"/>
    </w:pPr>
    <w:rPr>
      <w:rFonts w:ascii="宋体"/>
      <w:color w:val="000000"/>
      <w:sz w:val="28"/>
      <w:szCs w:val="20"/>
    </w:rPr>
  </w:style>
  <w:style w:type="character" w:customStyle="1" w:styleId="313">
    <w:name w:val="纯文本 字符1"/>
    <w:link w:val="1"/>
    <w:qFormat/>
    <w:uiPriority w:val="0"/>
    <w:rPr>
      <w:rFonts w:ascii="宋体" w:hAnsi="Courier New"/>
    </w:rPr>
  </w:style>
  <w:style w:type="character" w:customStyle="1" w:styleId="314">
    <w:name w:val="普通文字1 Char1"/>
    <w:link w:val="1"/>
    <w:qFormat/>
    <w:uiPriority w:val="0"/>
    <w:rPr>
      <w:rFonts w:ascii="宋体" w:hAnsi="Courier New" w:eastAsia="宋体"/>
      <w:sz w:val="21"/>
      <w:lang w:val="en-US" w:eastAsia="zh-CN" w:bidi="ar-SA"/>
    </w:rPr>
  </w:style>
  <w:style w:type="character" w:customStyle="1" w:styleId="315">
    <w:name w:val="中等深浅网格 1 - 强调文字颜色 2 Char"/>
    <w:link w:val="316"/>
    <w:qFormat/>
    <w:uiPriority w:val="0"/>
    <w:rPr>
      <w:sz w:val="21"/>
      <w:szCs w:val="24"/>
      <w:lang w:val="zh-CN" w:eastAsia="zh-CN" w:bidi="ar-SA"/>
    </w:rPr>
  </w:style>
  <w:style w:type="paragraph" w:customStyle="1" w:styleId="316">
    <w:name w:val="1"/>
    <w:link w:val="315"/>
    <w:qFormat/>
    <w:uiPriority w:val="0"/>
    <w:rPr>
      <w:rFonts w:hint="default" w:ascii="Times New Roman" w:hAnsi="Times New Roman" w:eastAsia="宋体" w:cs="Times New Roman"/>
      <w:sz w:val="21"/>
      <w:szCs w:val="24"/>
      <w:lang w:val="zh-CN" w:eastAsia="zh-CN" w:bidi="ar-SA"/>
    </w:rPr>
  </w:style>
  <w:style w:type="character" w:customStyle="1" w:styleId="317">
    <w:name w:val="apple-style-span"/>
    <w:link w:val="1"/>
    <w:qFormat/>
    <w:uiPriority w:val="0"/>
    <w:rPr>
      <w:rFonts w:cs="Times New Roman"/>
    </w:rPr>
  </w:style>
  <w:style w:type="character" w:customStyle="1" w:styleId="318">
    <w:name w:val="black1"/>
    <w:link w:val="1"/>
    <w:qFormat/>
    <w:uiPriority w:val="0"/>
    <w:rPr>
      <w:color w:val="000000"/>
    </w:rPr>
  </w:style>
  <w:style w:type="character" w:customStyle="1" w:styleId="319">
    <w:name w:val="页脚 Char"/>
    <w:link w:val="1"/>
    <w:qFormat/>
    <w:uiPriority w:val="0"/>
    <w:rPr>
      <w:rFonts w:ascii="宋体" w:eastAsia="宋体"/>
      <w:sz w:val="18"/>
      <w:lang w:val="en-US" w:eastAsia="zh-CN" w:bidi="ar-SA"/>
    </w:rPr>
  </w:style>
  <w:style w:type="character" w:customStyle="1" w:styleId="320">
    <w:name w:val="页眉 Char"/>
    <w:link w:val="1"/>
    <w:qFormat/>
    <w:uiPriority w:val="0"/>
    <w:rPr>
      <w:rFonts w:eastAsia="宋体"/>
      <w:sz w:val="18"/>
      <w:szCs w:val="18"/>
      <w:lang w:val="en-US" w:eastAsia="zh-CN" w:bidi="ar-SA"/>
    </w:rPr>
  </w:style>
  <w:style w:type="character" w:customStyle="1" w:styleId="321">
    <w:name w:val="bjh-p"/>
    <w:link w:val="1"/>
    <w:qFormat/>
    <w:uiPriority w:val="0"/>
  </w:style>
  <w:style w:type="character" w:customStyle="1" w:styleId="322">
    <w:name w:val="批注文字 字符"/>
    <w:link w:val="1"/>
    <w:qFormat/>
    <w:uiPriority w:val="99"/>
    <w:rPr>
      <w:rFonts w:ascii="Times New Roman" w:hAnsi="Times New Roman" w:eastAsia="宋体" w:cs="Times New Roman"/>
      <w:sz w:val="24"/>
      <w:lang w:val="en-US" w:eastAsia="zh-CN" w:bidi="ar-SA"/>
    </w:rPr>
  </w:style>
  <w:style w:type="character" w:customStyle="1" w:styleId="323">
    <w:name w:val="title4"/>
    <w:link w:val="1"/>
    <w:qFormat/>
    <w:uiPriority w:val="0"/>
    <w:rPr>
      <w:b/>
      <w:bCs/>
      <w:color w:val="1D87B3"/>
      <w:sz w:val="15"/>
      <w:szCs w:val="15"/>
    </w:rPr>
  </w:style>
  <w:style w:type="paragraph" w:customStyle="1" w:styleId="324">
    <w:name w:val="图例"/>
    <w:basedOn w:val="1"/>
    <w:qFormat/>
    <w:uiPriority w:val="0"/>
    <w:pPr>
      <w:spacing w:before="120" w:after="120" w:line="360" w:lineRule="auto"/>
      <w:jc w:val="center"/>
    </w:pPr>
    <w:rPr>
      <w:rFonts w:eastAsia="仿宋_GB2312"/>
      <w:b/>
      <w:sz w:val="24"/>
      <w:szCs w:val="20"/>
    </w:rPr>
  </w:style>
  <w:style w:type="paragraph" w:customStyle="1" w:styleId="325">
    <w:name w:val="Char Char41"/>
    <w:basedOn w:val="1"/>
    <w:qFormat/>
    <w:uiPriority w:val="0"/>
    <w:pPr>
      <w:widowControl/>
      <w:spacing w:line="400" w:lineRule="exact"/>
      <w:jc w:val="center"/>
    </w:pPr>
  </w:style>
  <w:style w:type="paragraph" w:customStyle="1" w:styleId="326">
    <w:name w:val="Char2 Char Char Char Char Char Char1"/>
    <w:basedOn w:val="1"/>
    <w:qFormat/>
    <w:uiPriority w:val="0"/>
    <w:pPr>
      <w:widowControl/>
      <w:spacing w:line="400" w:lineRule="exact"/>
      <w:jc w:val="center"/>
    </w:pPr>
  </w:style>
  <w:style w:type="paragraph" w:customStyle="1" w:styleId="327">
    <w:name w:val="Char Char Char Char Char Char Char Char Char Char2"/>
    <w:basedOn w:val="1"/>
    <w:qFormat/>
    <w:uiPriority w:val="0"/>
    <w:rPr>
      <w:rFonts w:ascii="宋体" w:hAnsi="宋体" w:cs="Courier New"/>
      <w:sz w:val="32"/>
      <w:szCs w:val="32"/>
    </w:rPr>
  </w:style>
  <w:style w:type="paragraph" w:customStyle="1" w:styleId="328">
    <w:name w:val="Char22"/>
    <w:basedOn w:val="1"/>
    <w:qFormat/>
    <w:uiPriority w:val="0"/>
    <w:rPr>
      <w:rFonts w:ascii="Tahoma" w:hAnsi="Tahoma"/>
      <w:sz w:val="24"/>
      <w:szCs w:val="20"/>
    </w:rPr>
  </w:style>
  <w:style w:type="paragraph" w:customStyle="1" w:styleId="329">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330">
    <w:name w:val="Char Char Char Char Char Char Char2"/>
    <w:basedOn w:val="1"/>
    <w:qFormat/>
    <w:uiPriority w:val="0"/>
    <w:pPr>
      <w:spacing w:line="360" w:lineRule="auto"/>
      <w:ind w:firstLine="200"/>
    </w:pPr>
    <w:rPr>
      <w:rFonts w:eastAsia="仿宋_GB2312"/>
      <w:sz w:val="24"/>
    </w:rPr>
  </w:style>
  <w:style w:type="paragraph" w:customStyle="1" w:styleId="331">
    <w:name w:val="Char Char Char2"/>
    <w:basedOn w:val="1"/>
    <w:qFormat/>
    <w:uiPriority w:val="0"/>
    <w:rPr>
      <w:rFonts w:ascii="Tahoma" w:hAnsi="Tahoma"/>
      <w:sz w:val="24"/>
      <w:szCs w:val="20"/>
    </w:rPr>
  </w:style>
  <w:style w:type="paragraph" w:customStyle="1" w:styleId="332">
    <w:name w:val="Char Char Char1 Char2"/>
    <w:basedOn w:val="1"/>
    <w:qFormat/>
    <w:uiPriority w:val="0"/>
    <w:rPr>
      <w:rFonts w:ascii="Tahoma" w:hAnsi="Tahoma"/>
      <w:sz w:val="24"/>
      <w:szCs w:val="20"/>
    </w:rPr>
  </w:style>
  <w:style w:type="paragraph" w:customStyle="1" w:styleId="33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34">
    <w:name w:val="Char Char Char Char Char Char Char Char Char Char Char Char Char Char Char Char1"/>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335">
    <w:name w:val="Char3"/>
    <w:basedOn w:val="1"/>
    <w:qFormat/>
    <w:uiPriority w:val="0"/>
    <w:pPr>
      <w:tabs>
        <w:tab w:val="left" w:pos="360"/>
      </w:tabs>
    </w:pPr>
    <w:rPr>
      <w:sz w:val="24"/>
    </w:rPr>
  </w:style>
  <w:style w:type="paragraph" w:customStyle="1" w:styleId="336">
    <w:name w:val="正文文本缩进2"/>
    <w:basedOn w:val="1"/>
    <w:qFormat/>
    <w:uiPriority w:val="0"/>
    <w:pPr>
      <w:spacing w:line="480" w:lineRule="exact"/>
      <w:ind w:firstLine="480"/>
    </w:pPr>
    <w:rPr>
      <w:rFonts w:ascii="宋体" w:hAnsi="宋体"/>
      <w:sz w:val="24"/>
      <w:lang w:val="zh-CN" w:eastAsia="zh-CN"/>
    </w:rPr>
  </w:style>
  <w:style w:type="paragraph" w:customStyle="1" w:styleId="337">
    <w:name w:val="Char3 Char Char Char2"/>
    <w:basedOn w:val="1"/>
    <w:qFormat/>
    <w:uiPriority w:val="0"/>
    <w:rPr>
      <w:rFonts w:ascii="Tahoma" w:hAnsi="Tahoma"/>
      <w:sz w:val="24"/>
      <w:szCs w:val="20"/>
    </w:rPr>
  </w:style>
  <w:style w:type="paragraph" w:customStyle="1" w:styleId="338">
    <w:name w:val="字元 字元2"/>
    <w:basedOn w:val="1"/>
    <w:qFormat/>
    <w:uiPriority w:val="0"/>
    <w:rPr>
      <w:rFonts w:ascii="Tahoma" w:hAnsi="Tahoma"/>
      <w:sz w:val="24"/>
      <w:szCs w:val="20"/>
    </w:rPr>
  </w:style>
  <w:style w:type="paragraph" w:customStyle="1" w:styleId="339">
    <w:name w:val="正文须知-3级"/>
    <w:basedOn w:val="1"/>
    <w:qFormat/>
    <w:uiPriority w:val="0"/>
    <w:pPr>
      <w:numPr>
        <w:ilvl w:val="2"/>
        <w:numId w:val="1"/>
      </w:numPr>
      <w:spacing w:line="300" w:lineRule="auto"/>
      <w:ind w:hanging="355"/>
    </w:pPr>
    <w:rPr>
      <w:rFonts w:ascii="宋体" w:hAnsi="Calibri"/>
      <w:sz w:val="24"/>
      <w:szCs w:val="21"/>
    </w:rPr>
  </w:style>
  <w:style w:type="paragraph" w:customStyle="1" w:styleId="340">
    <w:name w:val="正文须知-2级"/>
    <w:basedOn w:val="1"/>
    <w:qFormat/>
    <w:uiPriority w:val="0"/>
    <w:pPr>
      <w:numPr>
        <w:ilvl w:val="1"/>
        <w:numId w:val="1"/>
      </w:numPr>
      <w:spacing w:line="300" w:lineRule="auto"/>
    </w:pPr>
    <w:rPr>
      <w:rFonts w:ascii="宋体" w:hAnsi="Calibri"/>
      <w:sz w:val="24"/>
      <w:szCs w:val="21"/>
    </w:rPr>
  </w:style>
  <w:style w:type="paragraph" w:customStyle="1" w:styleId="341">
    <w:name w:val="正文须知-1级"/>
    <w:basedOn w:val="1"/>
    <w:next w:val="1"/>
    <w:qFormat/>
    <w:uiPriority w:val="0"/>
    <w:pPr>
      <w:numPr>
        <w:ilvl w:val="0"/>
        <w:numId w:val="1"/>
      </w:numPr>
      <w:spacing w:line="300" w:lineRule="auto"/>
    </w:pPr>
    <w:rPr>
      <w:rFonts w:ascii="宋体" w:hAnsi="Calibri"/>
      <w:sz w:val="24"/>
      <w:szCs w:val="21"/>
    </w:rPr>
  </w:style>
  <w:style w:type="paragraph" w:customStyle="1" w:styleId="342">
    <w:name w:val="标题1-附件"/>
    <w:basedOn w:val="184"/>
    <w:qFormat/>
    <w:uiPriority w:val="0"/>
    <w:pPr>
      <w:jc w:val="left"/>
    </w:pPr>
    <w:rPr>
      <w:sz w:val="24"/>
      <w:szCs w:val="24"/>
    </w:rPr>
  </w:style>
  <w:style w:type="paragraph" w:customStyle="1" w:styleId="343">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4">
    <w:name w:val="Char3 Char Char Char1"/>
    <w:basedOn w:val="1"/>
    <w:qFormat/>
    <w:uiPriority w:val="0"/>
    <w:rPr>
      <w:rFonts w:ascii="Tahoma" w:hAnsi="Tahoma"/>
      <w:sz w:val="24"/>
      <w:szCs w:val="20"/>
    </w:rPr>
  </w:style>
  <w:style w:type="paragraph" w:customStyle="1" w:styleId="345">
    <w:name w:val="Char Char4"/>
    <w:basedOn w:val="1"/>
    <w:qFormat/>
    <w:uiPriority w:val="0"/>
    <w:pPr>
      <w:widowControl/>
      <w:spacing w:line="400" w:lineRule="exact"/>
      <w:jc w:val="center"/>
    </w:pPr>
  </w:style>
  <w:style w:type="paragraph" w:customStyle="1" w:styleId="346">
    <w:name w:val="Char2 Char Char Char Char Char Char"/>
    <w:basedOn w:val="1"/>
    <w:qFormat/>
    <w:uiPriority w:val="0"/>
    <w:pPr>
      <w:widowControl/>
      <w:spacing w:line="400" w:lineRule="exact"/>
      <w:jc w:val="center"/>
    </w:pPr>
  </w:style>
  <w:style w:type="paragraph" w:customStyle="1" w:styleId="347">
    <w:name w:val="正文文本样式 加粗"/>
    <w:basedOn w:val="348"/>
    <w:qFormat/>
    <w:uiPriority w:val="0"/>
    <w:rPr>
      <w:b/>
    </w:rPr>
  </w:style>
  <w:style w:type="paragraph" w:customStyle="1" w:styleId="348">
    <w:name w:val="正文文本样式"/>
    <w:basedOn w:val="1"/>
    <w:qFormat/>
    <w:uiPriority w:val="0"/>
    <w:pPr>
      <w:spacing w:line="360" w:lineRule="auto"/>
      <w:ind w:firstLine="482"/>
    </w:pPr>
    <w:rPr>
      <w:rFonts w:cs="宋体"/>
      <w:sz w:val="24"/>
      <w:szCs w:val="20"/>
    </w:rPr>
  </w:style>
  <w:style w:type="paragraph" w:customStyle="1" w:styleId="349">
    <w:name w:val="表格文字"/>
    <w:basedOn w:val="216"/>
    <w:qFormat/>
    <w:uiPriority w:val="0"/>
    <w:pPr>
      <w:spacing w:before="20" w:after="20" w:line="240" w:lineRule="auto"/>
      <w:ind w:firstLine="0"/>
    </w:pPr>
    <w:rPr>
      <w:rFonts w:ascii="Century Gothic" w:hAnsi="Century Gothic"/>
      <w:sz w:val="20"/>
      <w:szCs w:val="20"/>
    </w:rPr>
  </w:style>
  <w:style w:type="paragraph" w:customStyle="1" w:styleId="350">
    <w:name w:val="项目编号3"/>
    <w:basedOn w:val="348"/>
    <w:qFormat/>
    <w:uiPriority w:val="0"/>
    <w:pPr>
      <w:numPr>
        <w:ilvl w:val="0"/>
        <w:numId w:val="2"/>
      </w:numPr>
    </w:pPr>
  </w:style>
  <w:style w:type="paragraph" w:customStyle="1" w:styleId="351">
    <w:name w:val="字元 字元1"/>
    <w:basedOn w:val="1"/>
    <w:qFormat/>
    <w:uiPriority w:val="0"/>
    <w:rPr>
      <w:rFonts w:ascii="Tahoma" w:hAnsi="Tahoma"/>
      <w:sz w:val="24"/>
      <w:szCs w:val="20"/>
    </w:rPr>
  </w:style>
  <w:style w:type="paragraph" w:customStyle="1" w:styleId="352">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53">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5">
    <w:name w:val="样式2"/>
    <w:basedOn w:val="246"/>
    <w:qFormat/>
    <w:uiPriority w:val="0"/>
    <w:pPr>
      <w:spacing w:line="360" w:lineRule="auto"/>
      <w:jc w:val="center"/>
    </w:pPr>
    <w:rPr>
      <w:sz w:val="24"/>
    </w:rPr>
  </w:style>
  <w:style w:type="paragraph" w:customStyle="1" w:styleId="356">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7">
    <w:name w:val="Char Char Char Char Char Char Char1"/>
    <w:basedOn w:val="1"/>
    <w:qFormat/>
    <w:uiPriority w:val="0"/>
    <w:pPr>
      <w:spacing w:line="360" w:lineRule="auto"/>
      <w:ind w:firstLine="200"/>
    </w:pPr>
    <w:rPr>
      <w:rFonts w:eastAsia="仿宋_GB2312"/>
      <w:sz w:val="24"/>
    </w:rPr>
  </w:style>
  <w:style w:type="paragraph" w:customStyle="1" w:styleId="358">
    <w:name w:val="Char Char Char1"/>
    <w:basedOn w:val="1"/>
    <w:qFormat/>
    <w:uiPriority w:val="0"/>
    <w:rPr>
      <w:rFonts w:ascii="Tahoma" w:hAnsi="Tahoma"/>
      <w:sz w:val="24"/>
      <w:szCs w:val="20"/>
    </w:rPr>
  </w:style>
  <w:style w:type="paragraph" w:customStyle="1" w:styleId="359">
    <w:name w:val="缺省文本"/>
    <w:basedOn w:val="1"/>
    <w:qFormat/>
    <w:uiPriority w:val="0"/>
    <w:pPr>
      <w:jc w:val="left"/>
    </w:pPr>
    <w:rPr>
      <w:sz w:val="24"/>
    </w:rPr>
  </w:style>
  <w:style w:type="paragraph" w:customStyle="1" w:styleId="36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1">
    <w:name w:val="Char Char Char"/>
    <w:basedOn w:val="1"/>
    <w:qFormat/>
    <w:uiPriority w:val="0"/>
    <w:rPr>
      <w:rFonts w:ascii="Tahoma" w:hAnsi="Tahoma"/>
      <w:sz w:val="24"/>
      <w:szCs w:val="20"/>
    </w:rPr>
  </w:style>
  <w:style w:type="paragraph" w:customStyle="1" w:styleId="36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6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6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65">
    <w:name w:val="默认段落字体 Para Char Char Char Char"/>
    <w:basedOn w:val="1"/>
    <w:qFormat/>
    <w:uiPriority w:val="0"/>
    <w:rPr>
      <w:rFonts w:ascii="Arial" w:hAnsi="Arial" w:cs="Arial"/>
      <w:szCs w:val="21"/>
    </w:rPr>
  </w:style>
  <w:style w:type="paragraph" w:customStyle="1" w:styleId="366">
    <w:name w:val="_Style 160"/>
    <w:qFormat/>
    <w:uiPriority w:val="0"/>
    <w:rPr>
      <w:rFonts w:hint="default" w:ascii="Times New Roman" w:hAnsi="Times New Roman" w:eastAsia="宋体" w:cs="Times New Roman"/>
      <w:sz w:val="21"/>
      <w:szCs w:val="24"/>
      <w:lang w:val="en-US" w:eastAsia="zh-CN" w:bidi="ar-SA"/>
    </w:rPr>
  </w:style>
  <w:style w:type="paragraph" w:customStyle="1" w:styleId="367">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8">
    <w:name w:val="正文列项_字母"/>
    <w:basedOn w:val="1"/>
    <w:qFormat/>
    <w:uiPriority w:val="0"/>
    <w:pPr>
      <w:numPr>
        <w:ilvl w:val="6"/>
        <w:numId w:val="3"/>
      </w:numPr>
      <w:tabs>
        <w:tab w:val="clear" w:pos="635"/>
      </w:tabs>
      <w:spacing w:line="460" w:lineRule="exact"/>
      <w:ind w:left="480" w:hanging="180"/>
      <w:outlineLvl w:val="6"/>
    </w:pPr>
    <w:rPr>
      <w:rFonts w:ascii="宋体"/>
      <w:sz w:val="28"/>
      <w:szCs w:val="20"/>
    </w:rPr>
  </w:style>
  <w:style w:type="paragraph" w:customStyle="1" w:styleId="369">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70">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71">
    <w:name w:val="1名"/>
    <w:basedOn w:val="1"/>
    <w:qFormat/>
    <w:uiPriority w:val="0"/>
    <w:pPr>
      <w:numPr>
        <w:ilvl w:val="0"/>
        <w:numId w:val="4"/>
      </w:numPr>
      <w:spacing w:before="120"/>
    </w:pPr>
    <w:rPr>
      <w:rFonts w:ascii="宋体"/>
      <w:sz w:val="28"/>
      <w:szCs w:val="20"/>
    </w:rPr>
  </w:style>
  <w:style w:type="paragraph" w:customStyle="1" w:styleId="372">
    <w:name w:val="Char Char Char1 Char"/>
    <w:basedOn w:val="1"/>
    <w:qFormat/>
    <w:uiPriority w:val="0"/>
    <w:rPr>
      <w:rFonts w:ascii="Tahoma" w:hAnsi="Tahoma"/>
      <w:sz w:val="24"/>
      <w:szCs w:val="20"/>
    </w:rPr>
  </w:style>
  <w:style w:type="paragraph" w:customStyle="1" w:styleId="373">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7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75">
    <w:name w:val="文档正文"/>
    <w:basedOn w:val="1"/>
    <w:qFormat/>
    <w:uiPriority w:val="0"/>
    <w:pPr>
      <w:spacing w:before="120" w:after="120" w:line="180" w:lineRule="auto"/>
    </w:pPr>
    <w:rPr>
      <w:rFonts w:ascii="Arial" w:hAnsi="Arial"/>
      <w:szCs w:val="20"/>
    </w:rPr>
  </w:style>
  <w:style w:type="paragraph" w:customStyle="1" w:styleId="376">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77">
    <w:name w:val="五级条标题"/>
    <w:basedOn w:val="378"/>
    <w:next w:val="1"/>
    <w:qFormat/>
    <w:uiPriority w:val="0"/>
    <w:pPr>
      <w:numPr>
        <w:ilvl w:val="5"/>
      </w:numPr>
      <w:tabs>
        <w:tab w:val="left" w:pos="360"/>
        <w:tab w:val="left" w:pos="840"/>
      </w:tabs>
      <w:ind w:left="0" w:hanging="840"/>
      <w:outlineLvl w:val="5"/>
    </w:pPr>
  </w:style>
  <w:style w:type="paragraph" w:customStyle="1" w:styleId="378">
    <w:name w:val="四级条标题"/>
    <w:basedOn w:val="379"/>
    <w:next w:val="1"/>
    <w:qFormat/>
    <w:uiPriority w:val="0"/>
    <w:pPr>
      <w:numPr>
        <w:ilvl w:val="4"/>
      </w:numPr>
      <w:tabs>
        <w:tab w:val="left" w:pos="360"/>
        <w:tab w:val="left" w:pos="840"/>
      </w:tabs>
      <w:ind w:left="0" w:hanging="840"/>
      <w:outlineLvl w:val="4"/>
    </w:pPr>
  </w:style>
  <w:style w:type="paragraph" w:customStyle="1" w:styleId="379">
    <w:name w:val="三级条标题"/>
    <w:basedOn w:val="380"/>
    <w:next w:val="1"/>
    <w:qFormat/>
    <w:uiPriority w:val="0"/>
    <w:pPr>
      <w:numPr>
        <w:ilvl w:val="3"/>
        <w:numId w:val="3"/>
      </w:numPr>
      <w:tabs>
        <w:tab w:val="left" w:pos="360"/>
        <w:tab w:val="left" w:pos="840"/>
      </w:tabs>
      <w:ind w:left="0" w:hanging="840"/>
      <w:outlineLvl w:val="3"/>
    </w:pPr>
  </w:style>
  <w:style w:type="paragraph" w:customStyle="1" w:styleId="380">
    <w:name w:val="二级条标题"/>
    <w:basedOn w:val="381"/>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381">
    <w:name w:val="一级条标题"/>
    <w:basedOn w:val="382"/>
    <w:next w:val="1"/>
    <w:qFormat/>
    <w:uiPriority w:val="0"/>
    <w:pPr>
      <w:numPr>
        <w:ilvl w:val="1"/>
      </w:numPr>
      <w:tabs>
        <w:tab w:val="left" w:pos="360"/>
        <w:tab w:val="left" w:pos="840"/>
      </w:tabs>
      <w:ind w:left="0" w:hanging="840"/>
      <w:outlineLvl w:val="1"/>
    </w:pPr>
  </w:style>
  <w:style w:type="paragraph" w:customStyle="1" w:styleId="382">
    <w:name w:val="章标题"/>
    <w:next w:val="1"/>
    <w:qFormat/>
    <w:uiPriority w:val="0"/>
    <w:pPr>
      <w:numPr>
        <w:ilvl w:val="0"/>
        <w:numId w:val="3"/>
      </w:numPr>
      <w:spacing w:line="460" w:lineRule="exact"/>
      <w:ind w:left="0"/>
      <w:jc w:val="both"/>
      <w:outlineLvl w:val="0"/>
    </w:pPr>
    <w:rPr>
      <w:rFonts w:hint="default" w:ascii="黑体" w:hAnsi="Times New Roman" w:eastAsia="黑体" w:cs="Times New Roman"/>
      <w:b/>
      <w:sz w:val="28"/>
      <w:lang w:val="en-US" w:eastAsia="zh-CN" w:bidi="ar-SA"/>
    </w:rPr>
  </w:style>
  <w:style w:type="paragraph" w:customStyle="1" w:styleId="38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84">
    <w:name w:val="项目符号1"/>
    <w:basedOn w:val="348"/>
    <w:qFormat/>
    <w:uiPriority w:val="0"/>
    <w:pPr>
      <w:ind w:left="-25" w:firstLine="0"/>
    </w:pPr>
  </w:style>
  <w:style w:type="paragraph" w:customStyle="1" w:styleId="385">
    <w:name w:val="List Paragraph1"/>
    <w:basedOn w:val="1"/>
    <w:qFormat/>
    <w:uiPriority w:val="0"/>
    <w:pPr>
      <w:ind w:firstLine="420"/>
    </w:pPr>
    <w:rPr>
      <w:rFonts w:ascii="Calibri" w:hAnsi="Calibri"/>
      <w:szCs w:val="22"/>
    </w:rPr>
  </w:style>
  <w:style w:type="paragraph" w:customStyle="1" w:styleId="386">
    <w:name w:val="样式 标题 2 + 宋体 五号 行距: 单倍行距"/>
    <w:basedOn w:val="185"/>
    <w:qFormat/>
    <w:uiPriority w:val="0"/>
    <w:pPr>
      <w:numPr>
        <w:ilvl w:val="1"/>
        <w:numId w:val="5"/>
      </w:numPr>
      <w:spacing w:before="260" w:after="260" w:line="240" w:lineRule="auto"/>
      <w:jc w:val="left"/>
    </w:pPr>
    <w:rPr>
      <w:rFonts w:ascii="宋体" w:hAnsi="宋体" w:eastAsia="宋体"/>
      <w:bCs/>
      <w:sz w:val="21"/>
    </w:rPr>
  </w:style>
  <w:style w:type="paragraph" w:customStyle="1" w:styleId="387">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88">
    <w:name w:val="Char1"/>
    <w:basedOn w:val="1"/>
    <w:qFormat/>
    <w:uiPriority w:val="0"/>
    <w:pPr>
      <w:tabs>
        <w:tab w:val="left" w:pos="360"/>
      </w:tabs>
    </w:pPr>
    <w:rPr>
      <w:sz w:val="24"/>
    </w:rPr>
  </w:style>
  <w:style w:type="paragraph" w:customStyle="1" w:styleId="389">
    <w:name w:val="Char1 Char Char Char1"/>
    <w:basedOn w:val="1"/>
    <w:qFormat/>
    <w:uiPriority w:val="0"/>
    <w:rPr>
      <w:rFonts w:ascii="Tahoma" w:hAnsi="Tahoma" w:cs="仿宋_GB2312"/>
      <w:sz w:val="24"/>
      <w:szCs w:val="28"/>
    </w:rPr>
  </w:style>
  <w:style w:type="paragraph" w:customStyle="1" w:styleId="390">
    <w:name w:val="1 Char Char Char Char"/>
    <w:basedOn w:val="1"/>
    <w:qFormat/>
    <w:uiPriority w:val="0"/>
    <w:rPr>
      <w:rFonts w:ascii="Tahoma" w:hAnsi="Tahoma"/>
      <w:sz w:val="24"/>
      <w:szCs w:val="20"/>
    </w:rPr>
  </w:style>
  <w:style w:type="paragraph" w:customStyle="1" w:styleId="39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92">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9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94">
    <w:name w:val="Char Char1"/>
    <w:basedOn w:val="209"/>
    <w:qFormat/>
    <w:uiPriority w:val="0"/>
    <w:rPr>
      <w:rFonts w:ascii="Tahoma" w:hAnsi="Tahoma"/>
      <w:sz w:val="24"/>
    </w:rPr>
  </w:style>
  <w:style w:type="paragraph" w:customStyle="1" w:styleId="395">
    <w:name w:val="Char21"/>
    <w:basedOn w:val="1"/>
    <w:qFormat/>
    <w:uiPriority w:val="0"/>
    <w:rPr>
      <w:rFonts w:ascii="Tahoma" w:hAnsi="Tahoma"/>
      <w:sz w:val="24"/>
      <w:szCs w:val="20"/>
    </w:rPr>
  </w:style>
  <w:style w:type="paragraph" w:customStyle="1" w:styleId="396">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7">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98">
    <w:name w:val="Table Paragraph"/>
    <w:basedOn w:val="1"/>
    <w:qFormat/>
    <w:uiPriority w:val="1"/>
    <w:pPr>
      <w:jc w:val="left"/>
    </w:pPr>
    <w:rPr>
      <w:rFonts w:ascii="宋体" w:hAnsi="宋体" w:cs="宋体"/>
      <w:sz w:val="22"/>
      <w:szCs w:val="22"/>
      <w:lang w:eastAsia="en-US"/>
    </w:rPr>
  </w:style>
  <w:style w:type="paragraph" w:customStyle="1" w:styleId="399">
    <w:name w:val="Char Char Char Char Char Char Char Char Char Char1"/>
    <w:basedOn w:val="1"/>
    <w:qFormat/>
    <w:uiPriority w:val="0"/>
    <w:rPr>
      <w:rFonts w:ascii="宋体" w:hAnsi="宋体" w:cs="Courier New"/>
      <w:sz w:val="32"/>
      <w:szCs w:val="32"/>
    </w:rPr>
  </w:style>
  <w:style w:type="paragraph" w:customStyle="1" w:styleId="400">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401">
    <w:name w:val="Char"/>
    <w:basedOn w:val="1"/>
    <w:qFormat/>
    <w:uiPriority w:val="0"/>
    <w:pPr>
      <w:tabs>
        <w:tab w:val="left" w:pos="360"/>
      </w:tabs>
    </w:pPr>
    <w:rPr>
      <w:sz w:val="24"/>
    </w:rPr>
  </w:style>
  <w:style w:type="paragraph" w:customStyle="1" w:styleId="402">
    <w:name w:val="font8"/>
    <w:basedOn w:val="1"/>
    <w:qFormat/>
    <w:uiPriority w:val="0"/>
    <w:pPr>
      <w:widowControl/>
      <w:spacing w:before="100" w:beforeAutospacing="1" w:after="100" w:afterAutospacing="1"/>
      <w:jc w:val="left"/>
    </w:pPr>
    <w:rPr>
      <w:sz w:val="36"/>
      <w:szCs w:val="36"/>
    </w:rPr>
  </w:style>
  <w:style w:type="paragraph" w:customStyle="1" w:styleId="40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404">
    <w:name w:val="Char Char Char Char Char Char Char Char Char Char"/>
    <w:basedOn w:val="1"/>
    <w:qFormat/>
    <w:uiPriority w:val="0"/>
  </w:style>
  <w:style w:type="paragraph" w:customStyle="1" w:styleId="4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0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07">
    <w:name w:val="正文列项_数字"/>
    <w:basedOn w:val="1"/>
    <w:qFormat/>
    <w:uiPriority w:val="0"/>
    <w:pPr>
      <w:numPr>
        <w:ilvl w:val="7"/>
        <w:numId w:val="3"/>
      </w:numPr>
      <w:tabs>
        <w:tab w:val="clear" w:pos="860"/>
      </w:tabs>
      <w:spacing w:line="460" w:lineRule="exact"/>
      <w:ind w:left="680" w:hanging="150"/>
      <w:outlineLvl w:val="7"/>
    </w:pPr>
    <w:rPr>
      <w:rFonts w:ascii="宋体"/>
      <w:sz w:val="28"/>
      <w:szCs w:val="20"/>
    </w:rPr>
  </w:style>
  <w:style w:type="paragraph" w:customStyle="1" w:styleId="40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409">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4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41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412">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3">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414">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416">
    <w:name w:val="Char Char Char Char Char Char Char"/>
    <w:basedOn w:val="1"/>
    <w:qFormat/>
    <w:uiPriority w:val="0"/>
    <w:pPr>
      <w:spacing w:line="360" w:lineRule="auto"/>
      <w:ind w:firstLine="200"/>
    </w:pPr>
    <w:rPr>
      <w:rFonts w:eastAsia="仿宋_GB2312"/>
      <w:sz w:val="24"/>
    </w:rPr>
  </w:style>
  <w:style w:type="paragraph" w:customStyle="1" w:styleId="417">
    <w:name w:val="Char2"/>
    <w:basedOn w:val="1"/>
    <w:qFormat/>
    <w:uiPriority w:val="0"/>
    <w:rPr>
      <w:rFonts w:ascii="Tahoma" w:hAnsi="Tahoma"/>
      <w:sz w:val="24"/>
      <w:szCs w:val="20"/>
    </w:rPr>
  </w:style>
  <w:style w:type="paragraph" w:customStyle="1" w:styleId="41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19">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420">
    <w:name w:val="图中文字"/>
    <w:basedOn w:val="1"/>
    <w:qFormat/>
    <w:uiPriority w:val="0"/>
    <w:pPr>
      <w:spacing w:line="0" w:lineRule="atLeast"/>
      <w:jc w:val="center"/>
    </w:pPr>
    <w:rPr>
      <w:sz w:val="24"/>
      <w:szCs w:val="20"/>
    </w:rPr>
  </w:style>
  <w:style w:type="paragraph" w:customStyle="1" w:styleId="421">
    <w:name w:val="图文"/>
    <w:basedOn w:val="1"/>
    <w:qFormat/>
    <w:uiPriority w:val="0"/>
    <w:pPr>
      <w:spacing w:after="50" w:line="360" w:lineRule="auto"/>
    </w:pPr>
    <w:rPr>
      <w:sz w:val="24"/>
    </w:rPr>
  </w:style>
  <w:style w:type="paragraph" w:customStyle="1" w:styleId="422">
    <w:name w:val="项目编号2"/>
    <w:basedOn w:val="423"/>
    <w:qFormat/>
    <w:uiPriority w:val="0"/>
    <w:pPr>
      <w:numPr>
        <w:numId w:val="6"/>
      </w:numPr>
    </w:pPr>
  </w:style>
  <w:style w:type="paragraph" w:customStyle="1" w:styleId="423">
    <w:name w:val="项目编号1"/>
    <w:basedOn w:val="1"/>
    <w:qFormat/>
    <w:uiPriority w:val="0"/>
    <w:pPr>
      <w:numPr>
        <w:ilvl w:val="0"/>
        <w:numId w:val="7"/>
      </w:numPr>
      <w:spacing w:before="100" w:beforeAutospacing="1" w:after="100" w:afterAutospacing="1" w:line="360" w:lineRule="auto"/>
    </w:pPr>
    <w:rPr>
      <w:sz w:val="24"/>
    </w:rPr>
  </w:style>
  <w:style w:type="paragraph" w:customStyle="1" w:styleId="424">
    <w:name w:val="Revision"/>
    <w:qFormat/>
    <w:uiPriority w:val="0"/>
    <w:rPr>
      <w:rFonts w:hint="default" w:ascii="Times New Roman" w:hAnsi="Times New Roman" w:eastAsia="宋体" w:cs="Times New Roman"/>
      <w:sz w:val="21"/>
      <w:szCs w:val="24"/>
      <w:lang w:val="en-US" w:eastAsia="zh-CN" w:bidi="ar-SA"/>
    </w:rPr>
  </w:style>
  <w:style w:type="paragraph" w:customStyle="1" w:styleId="425">
    <w:name w:val="22222222222222"/>
    <w:basedOn w:val="1"/>
    <w:qFormat/>
    <w:uiPriority w:val="0"/>
    <w:pPr>
      <w:widowControl/>
      <w:spacing w:line="360" w:lineRule="auto"/>
      <w:ind w:firstLine="480"/>
      <w:jc w:val="left"/>
    </w:pPr>
    <w:rPr>
      <w:color w:val="FF0000"/>
      <w:sz w:val="24"/>
      <w:szCs w:val="20"/>
    </w:rPr>
  </w:style>
  <w:style w:type="paragraph" w:customStyle="1" w:styleId="42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27">
    <w:name w:val="字元 字元"/>
    <w:basedOn w:val="1"/>
    <w:qFormat/>
    <w:uiPriority w:val="0"/>
    <w:rPr>
      <w:rFonts w:ascii="Tahoma" w:hAnsi="Tahoma"/>
      <w:sz w:val="24"/>
      <w:szCs w:val="20"/>
    </w:rPr>
  </w:style>
  <w:style w:type="paragraph" w:customStyle="1" w:styleId="428">
    <w:name w:val="无标题条"/>
    <w:next w:val="1"/>
    <w:qFormat/>
    <w:uiPriority w:val="0"/>
    <w:pPr>
      <w:jc w:val="both"/>
    </w:pPr>
    <w:rPr>
      <w:rFonts w:hint="default" w:ascii="Times New Roman" w:hAnsi="Times New Roman" w:eastAsia="宋体" w:cs="Times New Roman"/>
      <w:sz w:val="21"/>
      <w:lang w:val="en-US" w:eastAsia="zh-CN" w:bidi="ar-SA"/>
    </w:rPr>
  </w:style>
  <w:style w:type="paragraph" w:customStyle="1" w:styleId="429">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430">
    <w:name w:val="列出段落1"/>
    <w:basedOn w:val="1"/>
    <w:qFormat/>
    <w:uiPriority w:val="0"/>
    <w:pPr>
      <w:ind w:firstLine="420"/>
    </w:pPr>
    <w:rPr>
      <w:rFonts w:ascii="Calibri" w:hAnsi="Calibri"/>
      <w:szCs w:val="22"/>
    </w:rPr>
  </w:style>
  <w:style w:type="paragraph" w:customStyle="1" w:styleId="431">
    <w:name w:val="列出段落2"/>
    <w:basedOn w:val="1"/>
    <w:qFormat/>
    <w:uiPriority w:val="0"/>
    <w:pPr>
      <w:ind w:firstLine="420"/>
    </w:pPr>
    <w:rPr>
      <w:rFonts w:ascii="Calibri" w:hAnsi="Calibri"/>
      <w:szCs w:val="22"/>
    </w:rPr>
  </w:style>
  <w:style w:type="paragraph" w:customStyle="1" w:styleId="432">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43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34">
    <w:name w:val="表格1"/>
    <w:basedOn w:val="1"/>
    <w:qFormat/>
    <w:uiPriority w:val="0"/>
    <w:pPr>
      <w:ind w:firstLine="480"/>
      <w:jc w:val="center"/>
    </w:pPr>
    <w:rPr>
      <w:sz w:val="24"/>
      <w:szCs w:val="20"/>
    </w:rPr>
  </w:style>
  <w:style w:type="paragraph" w:customStyle="1" w:styleId="435">
    <w:name w:val="Char Char Char1 Char1"/>
    <w:basedOn w:val="1"/>
    <w:qFormat/>
    <w:uiPriority w:val="0"/>
    <w:rPr>
      <w:rFonts w:ascii="Tahoma" w:hAnsi="Tahoma"/>
      <w:sz w:val="24"/>
      <w:szCs w:val="20"/>
    </w:rPr>
  </w:style>
  <w:style w:type="paragraph" w:customStyle="1" w:styleId="436">
    <w:name w:val="正文 + 楷体_GB2312"/>
    <w:basedOn w:val="1"/>
    <w:qFormat/>
    <w:uiPriority w:val="0"/>
    <w:pPr>
      <w:widowControl/>
      <w:jc w:val="left"/>
    </w:pPr>
    <w:rPr>
      <w:rFonts w:ascii="楷体_GB2312" w:eastAsia="楷体_GB2312" w:cs="Arial"/>
      <w:sz w:val="24"/>
    </w:rPr>
  </w:style>
  <w:style w:type="paragraph" w:customStyle="1" w:styleId="437">
    <w:name w:val="样式 宋体 五号 行距: 单倍行距"/>
    <w:basedOn w:val="1"/>
    <w:qFormat/>
    <w:uiPriority w:val="0"/>
    <w:pPr>
      <w:jc w:val="left"/>
    </w:pPr>
    <w:rPr>
      <w:rFonts w:ascii="宋体" w:hAnsi="宋体"/>
      <w:szCs w:val="20"/>
    </w:rPr>
  </w:style>
  <w:style w:type="paragraph" w:customStyle="1" w:styleId="438">
    <w:name w:val="Char3 Char Char Char"/>
    <w:basedOn w:val="1"/>
    <w:qFormat/>
    <w:uiPriority w:val="0"/>
    <w:rPr>
      <w:rFonts w:ascii="Tahoma" w:hAnsi="Tahoma"/>
      <w:sz w:val="24"/>
      <w:szCs w:val="20"/>
    </w:rPr>
  </w:style>
  <w:style w:type="paragraph" w:customStyle="1" w:styleId="4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44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44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42">
    <w:name w:val="xl23"/>
    <w:basedOn w:val="1"/>
    <w:qFormat/>
    <w:uiPriority w:val="0"/>
    <w:pPr>
      <w:widowControl/>
      <w:spacing w:before="100" w:beforeAutospacing="1" w:after="100" w:afterAutospacing="1" w:line="360" w:lineRule="auto"/>
    </w:pPr>
    <w:rPr>
      <w:sz w:val="24"/>
      <w:szCs w:val="20"/>
    </w:rPr>
  </w:style>
  <w:style w:type="table" w:customStyle="1" w:styleId="443">
    <w:name w:val="Table Normal"/>
    <w:semiHidden/>
    <w:qFormat/>
    <w:uiPriority w:val="2"/>
    <w:pPr>
      <w:widowControl w:val="0"/>
    </w:pPr>
    <w:rPr>
      <w:rFonts w:ascii="Calibri" w:hAnsi="Calibri"/>
      <w:sz w:val="22"/>
      <w:szCs w:val="22"/>
      <w:lang w:val="en-US" w:eastAsia="en-US" w:bidi="ar-SA"/>
    </w:rPr>
  </w:style>
  <w:style w:type="paragraph" w:customStyle="1" w:styleId="444">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45">
    <w:name w:val="正文首行缩进 21"/>
    <w:basedOn w:val="446"/>
    <w:next w:val="1"/>
    <w:qFormat/>
    <w:uiPriority w:val="0"/>
    <w:pPr>
      <w:spacing w:after="120" w:line="480" w:lineRule="exact"/>
      <w:ind w:left="420" w:firstLine="420"/>
    </w:pPr>
    <w:rPr>
      <w:szCs w:val="20"/>
    </w:rPr>
  </w:style>
  <w:style w:type="paragraph" w:customStyle="1" w:styleId="446">
    <w:name w:val="正文文本缩进11"/>
    <w:basedOn w:val="1"/>
    <w:next w:val="300"/>
    <w:qFormat/>
    <w:uiPriority w:val="0"/>
    <w:pPr>
      <w:spacing w:line="360" w:lineRule="auto"/>
      <w:ind w:firstLine="570"/>
    </w:pPr>
    <w:rPr>
      <w:sz w:val="24"/>
    </w:rPr>
  </w:style>
  <w:style w:type="paragraph" w:customStyle="1" w:styleId="447">
    <w:name w:val="段"/>
    <w:next w:val="1"/>
    <w:qFormat/>
    <w:uiPriority w:val="0"/>
    <w:pPr>
      <w:ind w:firstLine="200"/>
      <w:jc w:val="both"/>
    </w:pPr>
    <w:rPr>
      <w:rFonts w:hint="default" w:ascii="宋体" w:hAnsi="Times New Roman" w:eastAsia="Times New Roman" w:cs="Times New Roman"/>
      <w:sz w:val="21"/>
      <w:lang w:val="en-US" w:eastAsia="zh-CN" w:bidi="ar-SA"/>
    </w:rPr>
  </w:style>
  <w:style w:type="paragraph" w:customStyle="1" w:styleId="448">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449">
    <w:name w:val="font11"/>
    <w:basedOn w:val="194"/>
    <w:link w:val="1"/>
    <w:qFormat/>
    <w:uiPriority w:val="0"/>
    <w:rPr>
      <w:rFonts w:hint="eastAsia" w:ascii="宋体" w:hAnsi="宋体" w:eastAsia="宋体" w:cs="宋体"/>
      <w:color w:val="000000"/>
      <w:sz w:val="24"/>
      <w:szCs w:val="24"/>
      <w:u w:val="none"/>
    </w:rPr>
  </w:style>
  <w:style w:type="character" w:customStyle="1" w:styleId="450">
    <w:name w:val="font01"/>
    <w:basedOn w:val="194"/>
    <w:link w:val="1"/>
    <w:qFormat/>
    <w:uiPriority w:val="0"/>
    <w:rPr>
      <w:rFonts w:hint="eastAsia" w:ascii="宋体" w:hAnsi="宋体" w:eastAsia="宋体" w:cs="宋体"/>
      <w:color w:val="000000"/>
      <w:sz w:val="24"/>
      <w:szCs w:val="24"/>
      <w:u w:val="none"/>
    </w:rPr>
  </w:style>
  <w:style w:type="paragraph" w:customStyle="1" w:styleId="451">
    <w:name w:val="正文111"/>
    <w:next w:val="29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2">
    <w:name w:val="首行缩进"/>
    <w:basedOn w:val="1"/>
    <w:qFormat/>
    <w:uiPriority w:val="0"/>
    <w:pPr>
      <w:spacing w:line="360" w:lineRule="auto"/>
      <w:ind w:firstLine="480"/>
      <w:jc w:val="left"/>
    </w:pPr>
    <w:rPr>
      <w:rFonts w:ascii="宋体" w:hAnsi="宋体"/>
      <w:sz w:val="24"/>
    </w:rPr>
  </w:style>
  <w:style w:type="paragraph" w:customStyle="1" w:styleId="453">
    <w:name w:val="一、"/>
    <w:basedOn w:val="1"/>
    <w:qFormat/>
    <w:uiPriority w:val="0"/>
    <w:pPr>
      <w:ind w:firstLine="640"/>
    </w:pPr>
    <w:rPr>
      <w:rFonts w:eastAsia="黑体"/>
      <w:szCs w:val="32"/>
    </w:rPr>
  </w:style>
  <w:style w:type="character" w:customStyle="1" w:styleId="454">
    <w:name w:val="hour_pm"/>
    <w:basedOn w:val="194"/>
    <w:link w:val="1"/>
    <w:qFormat/>
    <w:uiPriority w:val="0"/>
  </w:style>
  <w:style w:type="character" w:customStyle="1" w:styleId="455">
    <w:name w:val="hover"/>
    <w:basedOn w:val="194"/>
    <w:link w:val="1"/>
    <w:qFormat/>
    <w:uiPriority w:val="0"/>
    <w:rPr>
      <w:shd w:val="clear" w:color="auto" w:fill="EEEEEE"/>
    </w:rPr>
  </w:style>
  <w:style w:type="character" w:customStyle="1" w:styleId="456">
    <w:name w:val="hour_am"/>
    <w:basedOn w:val="194"/>
    <w:link w:val="1"/>
    <w:qFormat/>
    <w:uiPriority w:val="0"/>
  </w:style>
  <w:style w:type="character" w:customStyle="1" w:styleId="457">
    <w:name w:val="old"/>
    <w:basedOn w:val="194"/>
    <w:link w:val="1"/>
    <w:qFormat/>
    <w:uiPriority w:val="0"/>
    <w:rPr>
      <w:color w:val="999999"/>
    </w:rPr>
  </w:style>
  <w:style w:type="character" w:customStyle="1" w:styleId="458">
    <w:name w:val="glyphicon"/>
    <w:basedOn w:val="194"/>
    <w:link w:val="1"/>
    <w:qFormat/>
    <w:uiPriority w:val="0"/>
  </w:style>
  <w:style w:type="paragraph" w:customStyle="1" w:styleId="459">
    <w:name w:val="普通(网站)1"/>
    <w:basedOn w:val="1"/>
    <w:unhideWhenUsed/>
    <w:qFormat/>
    <w:uiPriority w:val="99"/>
    <w:pPr>
      <w:widowControl/>
      <w:spacing w:before="100" w:beforeAutospacing="1" w:after="100" w:afterAutospacing="1"/>
      <w:jc w:val="left"/>
    </w:pPr>
    <w:rPr>
      <w:rFonts w:ascii="宋体" w:hAnsi="宋体" w:cs="宋体"/>
      <w:sz w:val="24"/>
    </w:rPr>
  </w:style>
  <w:style w:type="character" w:customStyle="1" w:styleId="460">
    <w:name w:val="font21"/>
    <w:basedOn w:val="194"/>
    <w:link w:val="1"/>
    <w:qFormat/>
    <w:uiPriority w:val="0"/>
    <w:rPr>
      <w:rFonts w:hint="eastAsia" w:ascii="宋体" w:hAnsi="宋体" w:eastAsia="宋体" w:cs="宋体"/>
      <w:b/>
      <w:bCs/>
      <w:color w:val="000000"/>
      <w:sz w:val="22"/>
      <w:szCs w:val="22"/>
      <w:u w:val="none"/>
    </w:rPr>
  </w:style>
  <w:style w:type="character" w:customStyle="1" w:styleId="461">
    <w:name w:val="font91"/>
    <w:basedOn w:val="194"/>
    <w:link w:val="1"/>
    <w:qFormat/>
    <w:uiPriority w:val="0"/>
    <w:rPr>
      <w:rFonts w:ascii="Times New Roman" w:hAnsi="Times New Roman" w:cs="Times New Roman"/>
      <w:b/>
      <w:bCs/>
      <w:color w:val="000000"/>
      <w:sz w:val="22"/>
      <w:szCs w:val="22"/>
      <w:u w:val="none"/>
    </w:rPr>
  </w:style>
  <w:style w:type="character" w:customStyle="1" w:styleId="462">
    <w:name w:val="font81"/>
    <w:basedOn w:val="194"/>
    <w:link w:val="1"/>
    <w:qFormat/>
    <w:uiPriority w:val="0"/>
    <w:rPr>
      <w:rFonts w:ascii="Times New Roman" w:hAnsi="Times New Roman" w:cs="Times New Roman"/>
      <w:b/>
      <w:bCs/>
      <w:color w:val="000000"/>
      <w:sz w:val="32"/>
      <w:szCs w:val="32"/>
      <w:u w:val="none"/>
    </w:rPr>
  </w:style>
  <w:style w:type="character" w:customStyle="1" w:styleId="463">
    <w:name w:val="font31"/>
    <w:basedOn w:val="194"/>
    <w:link w:val="1"/>
    <w:qFormat/>
    <w:uiPriority w:val="0"/>
    <w:rPr>
      <w:rFonts w:hint="eastAsia" w:ascii="黑体" w:hAnsi="宋体" w:eastAsia="黑体" w:cs="黑体"/>
      <w:color w:val="000000"/>
      <w:sz w:val="20"/>
      <w:szCs w:val="20"/>
      <w:u w:val="none"/>
    </w:rPr>
  </w:style>
  <w:style w:type="character" w:customStyle="1" w:styleId="464">
    <w:name w:val="font101"/>
    <w:basedOn w:val="194"/>
    <w:link w:val="1"/>
    <w:qFormat/>
    <w:uiPriority w:val="0"/>
    <w:rPr>
      <w:rFonts w:ascii="Times New Roman" w:hAnsi="Times New Roman" w:cs="Times New Roman"/>
      <w:color w:val="000000"/>
      <w:sz w:val="22"/>
      <w:szCs w:val="22"/>
      <w:u w:val="none"/>
    </w:rPr>
  </w:style>
  <w:style w:type="character" w:customStyle="1" w:styleId="465">
    <w:name w:val="font112"/>
    <w:basedOn w:val="194"/>
    <w:link w:val="1"/>
    <w:qFormat/>
    <w:uiPriority w:val="0"/>
    <w:rPr>
      <w:rFonts w:ascii="Times New Roman" w:hAnsi="Times New Roman" w:cs="Times New Roman"/>
      <w:b/>
      <w:bCs/>
      <w:color w:val="000000"/>
      <w:sz w:val="20"/>
      <w:szCs w:val="20"/>
      <w:u w:val="none"/>
      <w:vertAlign w:val="superscript"/>
    </w:rPr>
  </w:style>
  <w:style w:type="character" w:customStyle="1" w:styleId="466">
    <w:name w:val="font61"/>
    <w:basedOn w:val="194"/>
    <w:link w:val="1"/>
    <w:qFormat/>
    <w:uiPriority w:val="0"/>
    <w:rPr>
      <w:rFonts w:ascii="Times New Roman" w:hAnsi="Times New Roman" w:cs="Times New Roman"/>
      <w:b/>
      <w:bCs/>
      <w:color w:val="000000"/>
      <w:sz w:val="22"/>
      <w:szCs w:val="22"/>
      <w:u w:val="none"/>
    </w:rPr>
  </w:style>
  <w:style w:type="character" w:customStyle="1" w:styleId="467">
    <w:name w:val="font51"/>
    <w:basedOn w:val="194"/>
    <w:link w:val="1"/>
    <w:qFormat/>
    <w:uiPriority w:val="0"/>
    <w:rPr>
      <w:rFonts w:ascii="Times New Roman" w:hAnsi="Times New Roman" w:cs="Times New Roman"/>
      <w:b/>
      <w:bCs/>
      <w:color w:val="000000"/>
      <w:sz w:val="32"/>
      <w:szCs w:val="32"/>
      <w:u w:val="none"/>
    </w:rPr>
  </w:style>
  <w:style w:type="character" w:customStyle="1" w:styleId="468">
    <w:name w:val="NormalCharacter1"/>
    <w:qFormat/>
    <w:uiPriority w:val="0"/>
  </w:style>
  <w:style w:type="character" w:customStyle="1" w:styleId="469">
    <w:name w:val="标题 5 Char"/>
    <w:link w:val="6"/>
    <w:qFormat/>
    <w:uiPriority w:val="0"/>
    <w:rPr>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Chi</Company>
  <Pages>97</Pages>
  <Words>137</Words>
  <Characters>163</Characters>
  <TotalTime>20</TotalTime>
  <ScaleCrop>false</ScaleCrop>
  <LinksUpToDate>false</LinksUpToDate>
  <CharactersWithSpaces>172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2023-08-03T06:46:00Z</dcterms:created>
  <dc:creator>Yin </dc:creator>
  <cp:lastModifiedBy>施月平</cp:lastModifiedBy>
  <cp:lastPrinted>2026-01-24T07:07:00Z</cp:lastPrinted>
  <dcterms:modified xsi:type="dcterms:W3CDTF">2026-01-29T07:13:59Z</dcterms:modified>
  <dc:title>02年杜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E02730EFB9474EB5A203FA23B58DF05F_13</vt:lpwstr>
  </property>
  <property fmtid="{D5CDD505-2E9C-101B-9397-08002B2CF9AE}" pid="4" name="KSOTemplateDocerSaveRecord">
    <vt:lpwstr>eyJoZGlkIjoiYzdhYTE3ZDE3MjVkMDk4OTdjZWZmZGJiNWQ2Y2ExNTEiLCJ1c2VySWQiOiI0NDU5NjQ0NTEifQ==</vt:lpwstr>
  </property>
</Properties>
</file>