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center"/>
        <w:spacing w:after="287"/>
        <w:rPr>
          <w:rFonts w:hint="eastAsia" w:ascii="楷体" w:hAnsi="楷体" w:eastAsia="楷体"/>
          <w:b/>
          <w:bCs/>
          <w:color w:val="000000"/>
          <w:sz w:val="36"/>
          <w:szCs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兴化市</w:t>
      </w:r>
      <w:r>
        <w:rPr>
          <w:rFonts w:hint="eastAsia" w:ascii="楷体" w:hAnsi="楷体" w:eastAsia="楷体"/>
          <w:b/>
          <w:bCs/>
          <w:color w:val="000000"/>
          <w:sz w:val="36"/>
          <w:szCs w:val="36"/>
          <w:lang w:eastAsia="zh-CN"/>
        </w:rPr>
        <w:t xml:space="preserve">垛田街道王横村2025年宜居宜业和美乡村建设项目</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JSZC-321281047-HCDL-T2026-0002</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val="en-US"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兴化市人民政府垛田街道办事处</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一</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4"/>
                <w:szCs w:val="24"/>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4"/>
                <w:szCs w:val="24"/>
                <w:lang w:eastAsia="zh-CN"/>
              </w:rPr>
              <w:t xml:space="preserve">兴化市</w:t>
            </w:r>
            <w:r>
              <w:rPr>
                <w:rFonts w:hint="eastAsia" w:ascii="仿宋" w:hAnsi="仿宋" w:eastAsia="仿宋"/>
                <w:color w:val="000000"/>
                <w:sz w:val="24"/>
                <w:szCs w:val="24"/>
              </w:rPr>
              <w:t xml:space="preserve">垛田街道王横村2025年宜居宜业和美乡村建设项目</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JSZC-321281047-HCDL-T2026-0002</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9</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2026</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9</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7"/>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7"/>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7"/>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兴化市</w:t>
      </w:r>
      <w:r>
        <w:rPr>
          <w:rFonts w:hint="eastAsia" w:ascii="仿宋" w:hAnsi="仿宋" w:eastAsia="仿宋"/>
          <w:sz w:val="28"/>
          <w:szCs w:val="28"/>
          <w:u w:val="single"/>
        </w:rPr>
        <w:t xml:space="preserve">垛田街道王横村2025年宜居宜业和美乡村建设项目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2026</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2</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5</w:t>
      </w:r>
      <w:r>
        <w:rPr>
          <w:rFonts w:hint="eastAsia" w:ascii="仿宋" w:hAnsi="仿宋" w:eastAsia="仿宋"/>
          <w:sz w:val="28"/>
          <w:szCs w:val="28"/>
          <w:u w:val="none"/>
        </w:rPr>
        <w:t xml:space="preserve">日</w:t>
      </w:r>
      <w:r>
        <w:rPr>
          <w:rFonts w:hint="eastAsia" w:ascii="仿宋" w:hAnsi="仿宋" w:eastAsia="仿宋"/>
          <w:sz w:val="28"/>
          <w:szCs w:val="28"/>
          <w:u w:val="none"/>
          <w:lang w:val="en-US" w:eastAsia="zh-CN"/>
        </w:rPr>
        <w:t xml:space="preserve"> 9</w:t>
      </w:r>
      <w:r>
        <w:rPr>
          <w:rFonts w:hint="eastAsia" w:ascii="仿宋" w:hAnsi="仿宋" w:eastAsia="仿宋"/>
          <w:sz w:val="28"/>
          <w:szCs w:val="28"/>
          <w:u w:val="none"/>
        </w:rPr>
        <w:t xml:space="preserve">:</w:t>
      </w:r>
      <w:r>
        <w:rPr>
          <w:rFonts w:hint="eastAsia" w:ascii="仿宋" w:hAnsi="仿宋" w:eastAsia="仿宋"/>
          <w:sz w:val="28"/>
          <w:szCs w:val="28"/>
          <w:u w:val="non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bookmarkStart w:id="25" w:name="_GoBack"/>
      <w:r/>
      <w:bookmarkEnd w:id="25"/>
      <w:r/>
      <w:r/>
    </w:p>
    <w:p>
      <w:pPr>
        <w:pStyle w:val="867"/>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JSZC-321281047-HCDL-T2026-0002</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67"/>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兴化市</w:t>
      </w:r>
      <w:r>
        <w:rPr>
          <w:rFonts w:hint="eastAsia" w:ascii="仿宋" w:hAnsi="仿宋" w:eastAsia="仿宋"/>
          <w:color w:val="000000"/>
          <w:sz w:val="28"/>
          <w:szCs w:val="28"/>
        </w:rPr>
        <w:t xml:space="preserve">垛田街道王横村2025年宜居宜业和美乡村建设项目</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叁佰贰拾壹万伍仟陆佰伍拾元零陆分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3215650.06</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highlight w:val="none"/>
          <w:lang w:val="en-US" w:eastAsia="zh-CN"/>
        </w:rPr>
        <w:t xml:space="preserve">78</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，最后响应报价高于最高限价的，将被判定为无效响应文件。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highlight w:val="none"/>
        </w:rPr>
        <w:t xml:space="preserve">道路、桥梁、停车场及配套设施建设，公共空间治理、公厕、河道治理、养老服务中心提升、村公示栏提升、道路亮化、一老一小关爱点、百姓大舞台、村庄监控安装等</w:t>
      </w:r>
      <w:r>
        <w:rPr>
          <w:rFonts w:hint="eastAsia" w:ascii="仿宋" w:hAnsi="仿宋" w:eastAsia="仿宋"/>
          <w:color w:val="000000"/>
          <w:sz w:val="28"/>
          <w:szCs w:val="28"/>
        </w:rPr>
        <w:t xml:space="preserve">；详见谈判文件、工程量清单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hint="eastAsia" w:ascii="仿宋" w:hAnsi="仿宋" w:eastAsia="仿宋"/>
          <w:color w:val="000000"/>
          <w:sz w:val="28"/>
          <w:szCs w:val="28"/>
          <w:highlight w:val="yellow"/>
          <w:lang w:val="en-US" w:eastAsia="zh-CN"/>
        </w:rPr>
      </w:pPr>
      <w:r>
        <w:rPr>
          <w:rFonts w:hint="eastAsia" w:ascii="仿宋" w:hAnsi="仿宋" w:eastAsia="仿宋"/>
          <w:color w:val="000000"/>
          <w:sz w:val="28"/>
          <w:szCs w:val="28"/>
        </w:rPr>
        <w:t xml:space="preserve">合同履行期限：采购合同签订后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rPr>
        <w:t xml:space="preserve">日</w:t>
      </w:r>
      <w:r>
        <w:rPr>
          <w:rFonts w:hint="eastAsia" w:ascii="仿宋" w:hAnsi="仿宋" w:eastAsia="仿宋"/>
          <w:color w:val="000000"/>
          <w:sz w:val="28"/>
          <w:szCs w:val="28"/>
          <w:lang w:eastAsia="zh-CN"/>
        </w:rPr>
        <w:t xml:space="preserve">内</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29</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4</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、图纸获取</w:t>
      </w:r>
      <w:r>
        <w:rPr>
          <w:rFonts w:hint="eastAsia" w:ascii="仿宋" w:hAnsi="仿宋" w:eastAsia="仿宋" w:cs="宋体"/>
          <w:color w:val="ff0000"/>
          <w:sz w:val="28"/>
          <w:szCs w:val="28"/>
        </w:rPr>
        <w:t xml:space="preserve">请:</w:t>
      </w:r>
      <w:r>
        <w:rPr>
          <w:rFonts w:hint="eastAsia" w:ascii="仿宋" w:hAnsi="仿宋" w:eastAsia="仿宋" w:cs="宋体"/>
          <w:color w:val="ff0000"/>
          <w:sz w:val="28"/>
          <w:szCs w:val="28"/>
          <w:highlight w:val="none"/>
        </w:rPr>
        <w:t xml:space="preserve">通过网盘分享的文件：预算图纸-垛田街道王横村2025年宜居宜业和美乡村建设项目</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链接:https://pan.baidu.com/s/1UZeAx7BavjMyttd_Hu4jQg?pwd=9nex 提取码: 9nex</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7"/>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5" w:name="_Toc35393802"/>
      <w:r/>
      <w:bookmarkStart w:id="6" w:name="_Toc28359016"/>
      <w:r/>
      <w:bookmarkStart w:id="7" w:name="_Toc35393633"/>
      <w:r/>
      <w:bookmarkStart w:id="8" w:name="_Toc28359093"/>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7"/>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7"/>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7"/>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7"/>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兴化市人民政府垛田街道办事处</w:t>
      </w:r>
      <w:r/>
    </w:p>
    <w:p>
      <w:pPr>
        <w:pStyle w:val="867"/>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泰州市兴化市垛田路 </w:t>
      </w:r>
      <w:r/>
    </w:p>
    <w:p>
      <w:pPr>
        <w:pStyle w:val="867"/>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顾先生 13812381500</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7"/>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顾</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话：13812381500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本项目招标代理服务费参照“《江苏省政府采购代理服务收费指导意见》的通知（苏政采【2024】20号）”文件收费标准收取（差额累进），由成交供应商在领取成交通知书时向本公司缴纳。</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cs="仿宋"/>
          <w:sz w:val="28"/>
          <w:szCs w:val="28"/>
          <w:shd w:val="clear" w:color="auto" w:fill="ffffff"/>
          <w:lang w:val="en-US" w:eastAsia="zh-CN" w:bidi="ar"/>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0"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7"/>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lang w:eastAsia="zh-CN"/>
        </w:rPr>
        <w:t xml:space="preserve">兴化市</w:t>
      </w:r>
      <w:r>
        <w:rPr>
          <w:rFonts w:hint="eastAsia" w:ascii="仿宋" w:hAnsi="仿宋" w:eastAsia="仿宋"/>
          <w:color w:val="000000"/>
          <w:sz w:val="28"/>
          <w:szCs w:val="28"/>
        </w:rPr>
        <w:t xml:space="preserve">垛田街道王横村2025年宜居宜业和美乡村建设项目。</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叁佰贰拾壹万伍仟陆佰伍拾元零陆分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3215650.06</w:t>
      </w:r>
      <w:r>
        <w:rPr>
          <w:rFonts w:hint="eastAsia" w:ascii="仿宋" w:hAnsi="仿宋" w:eastAsia="仿宋"/>
          <w:color w:val="000000"/>
          <w:sz w:val="28"/>
          <w:szCs w:val="28"/>
        </w:rPr>
        <w:t xml:space="preserve">元），本项目最高限价为采购预算金额的</w:t>
      </w:r>
      <w:r>
        <w:rPr>
          <w:rFonts w:hint="eastAsia" w:ascii="仿宋" w:hAnsi="仿宋" w:eastAsia="仿宋"/>
          <w:color w:val="000000"/>
          <w:sz w:val="28"/>
          <w:szCs w:val="28"/>
          <w:highlight w:val="none"/>
          <w:lang w:val="en-US" w:eastAsia="zh-CN"/>
        </w:rPr>
        <w:t xml:space="preserve">78</w:t>
      </w:r>
      <w:r>
        <w:rPr>
          <w:rFonts w:hint="eastAsia" w:ascii="仿宋" w:hAnsi="仿宋" w:eastAsia="仿宋"/>
          <w:color w:val="000000"/>
          <w:sz w:val="28"/>
          <w:szCs w:val="28"/>
        </w:rPr>
        <w:t xml:space="preserve">%，最后响应报价高于最高限价的，将被判定为无效响应文件。</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0"/>
      <w:r>
        <w:rPr>
          <w:rFonts w:hint="eastAsia" w:ascii="仿宋" w:hAnsi="仿宋" w:eastAsia="仿宋"/>
          <w:b/>
          <w:bCs/>
          <w:color w:val="000000"/>
          <w:sz w:val="28"/>
        </w:rPr>
        <w:t xml:space="preserve">：</w:t>
      </w:r>
      <w:r>
        <w:rPr>
          <w:rFonts w:ascii="FangSong" w:hAnsi="FangSong" w:eastAsia="FangSong" w:cs="FangSong"/>
          <w:color w:val="000000"/>
          <w:sz w:val="28"/>
        </w:rPr>
        <w:t xml:space="preserve">道路、桥梁、停车场及配套设施建设，公共空间治理、公厕、河道治理、养老服务中心提升、村公示栏提升、道路亮化、一老一小关爱点、百姓大舞台、村庄监控安装等</w:t>
      </w:r>
      <w:r>
        <w:rPr>
          <w:rFonts w:hint="eastAsia" w:ascii="仿宋" w:hAnsi="仿宋" w:eastAsia="仿宋"/>
          <w:color w:val="000000"/>
          <w:sz w:val="28"/>
          <w:szCs w:val="28"/>
        </w:rPr>
        <w:t xml:space="preserve">；详见谈判文件、工程量清单、图纸及编制说明。</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2014江苏省建筑与装饰工程计价定额》、《2014江苏省市政工程计价定额》、《2014江苏省安装工程计价定额》、《2007江苏省古建园林工程计价定额》、《2009江苏省修缮建筑工程计价定额》、GB50500-2013《江苏省建设工程工程量清单计价项目指引》；</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 根据建设单位提供的图纸进行编制；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（3）《泰州工程造价管理》2025年第12期，信息价中部分无材料价格结合市场价考虑计入。 </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工程类别：按市政工程取费</w:t>
      </w:r>
      <w:r>
        <w:rPr>
          <w:rFonts w:hint="eastAsia" w:ascii="仿宋" w:hAnsi="仿宋" w:eastAsia="仿宋"/>
          <w:color w:val="000000"/>
          <w:sz w:val="28"/>
          <w:szCs w:val="28"/>
          <w:lang w:eastAsia="zh-CN"/>
        </w:rPr>
        <w:t xml:space="preserve">。</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）计价依据参照苏建价（2025）2号文件调整；计税方式按一般计税法计取，税金按9%计取。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）人工工资单价按新文件执行---苏建函价〔2025〕066号。</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）临时设施费按下限计取，建筑工人实名制费用已计取；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lang w:eastAsia="zh-CN"/>
        </w:rPr>
        <w:t xml:space="preserve">）安全文明施工措施费按省、市有关规定执行动态计价。</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二、有关说明</w:t>
      </w:r>
      <w:r/>
    </w:p>
    <w:p>
      <w:pPr>
        <w:pStyle w:val="872"/>
        <w:ind w:firstLine="560"/>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本说明及清单特征未详之处请参照建设单位要求及相关规范理解；</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本工程各种大型机械进出场费只计算一次，包干使用，结算时不做调整；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公共空间治理按1.2万元、成品化粪池按0.9万元、清理僵尸船按1万元、村部公示栏提升按2万元计入暂估价，由建设单位根据实际情况使用；</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）给水管计算至室外水表井，排水管计算至室外第一个污水井；</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）电气室外只考虑进户预埋管，计算至墙外1.5米，进线电缆未计；</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）充电桩1处暂按设备费每处10.5万元计入，结算时以充电桩厂家深化图纸，认质认价按实调整；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）工程量最终按实结算。</w:t>
      </w:r>
      <w:r/>
    </w:p>
    <w:p>
      <w:pPr>
        <w:pStyle w:val="872"/>
        <w:ind w:firstLine="562"/>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olor w:val="000000"/>
          <w:sz w:val="28"/>
          <w:szCs w:val="28"/>
          <w:lang w:eastAsia="zh-CN"/>
        </w:rPr>
        <w:t xml:space="preserve">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lang w:eastAsia="zh-CN"/>
        </w:rPr>
        <w:t xml:space="preserve">日内完成全部工作。 </w:t>
      </w:r>
      <w:r/>
    </w:p>
    <w:p>
      <w:pPr>
        <w:pStyle w:val="872"/>
        <w:ind w:firstLine="562"/>
        <w:spacing w:before="0" w:beforeAutospacing="0" w:after="0" w:afterAutospacing="0" w:line="520" w:lineRule="exact"/>
        <w:rPr>
          <w:rFonts w:hint="eastAsia" w:ascii="仿宋" w:hAnsi="仿宋" w:eastAsia="仿宋" w:cs="仿宋"/>
          <w:color w:val="ff0000"/>
          <w:szCs w:val="28"/>
        </w:rPr>
      </w:pPr>
      <w:r>
        <w:rPr>
          <w:rFonts w:hint="eastAsia" w:ascii="仿宋" w:hAnsi="仿宋" w:eastAsia="仿宋" w:cs="Times New Roman"/>
          <w:b/>
          <w:bCs/>
          <w:color w:val="000000"/>
          <w:sz w:val="28"/>
          <w:szCs w:val="24"/>
          <w:lang w:val="en-US" w:eastAsia="zh-CN" w:bidi="ar-SA"/>
        </w:rPr>
        <w:t xml:space="preserve">6、付款方式：</w:t>
      </w:r>
      <w:r>
        <w:rPr>
          <w:rFonts w:hint="eastAsia" w:ascii="仿宋" w:hAnsi="仿宋" w:eastAsia="仿宋" w:cs="仿宋"/>
          <w:color w:val="ff0000"/>
          <w:sz w:val="28"/>
          <w:szCs w:val="28"/>
        </w:rPr>
        <w:t xml:space="preserve">工程竣工验收合格后付</w:t>
      </w:r>
      <w:r>
        <w:rPr>
          <w:rFonts w:hint="eastAsia" w:ascii="仿宋" w:hAnsi="仿宋" w:eastAsia="仿宋" w:cs="仿宋"/>
          <w:color w:val="ff0000"/>
          <w:sz w:val="28"/>
          <w:szCs w:val="28"/>
          <w:lang w:eastAsia="zh-CN"/>
        </w:rPr>
        <w:t xml:space="preserve">审计价</w:t>
      </w:r>
      <w:r>
        <w:rPr>
          <w:rFonts w:hint="eastAsia" w:ascii="仿宋" w:hAnsi="仿宋" w:eastAsia="仿宋" w:cs="仿宋"/>
          <w:color w:val="ff0000"/>
          <w:sz w:val="28"/>
          <w:szCs w:val="28"/>
        </w:rPr>
        <w:t xml:space="preserve">的</w:t>
      </w:r>
      <w:r>
        <w:rPr>
          <w:rFonts w:hint="eastAsia" w:ascii="仿宋" w:hAnsi="仿宋" w:eastAsia="仿宋" w:cs="仿宋"/>
          <w:color w:val="ff0000"/>
          <w:sz w:val="28"/>
          <w:szCs w:val="28"/>
          <w:highlight w:val="none"/>
          <w:lang w:val="en-US" w:eastAsia="zh-CN"/>
        </w:rPr>
        <w:t xml:space="preserve">5</w:t>
      </w:r>
      <w:r>
        <w:rPr>
          <w:rFonts w:hint="eastAsia" w:ascii="仿宋" w:hAnsi="仿宋" w:eastAsia="仿宋" w:cs="仿宋"/>
          <w:color w:val="ff0000"/>
          <w:sz w:val="28"/>
          <w:szCs w:val="28"/>
          <w:highlight w:val="none"/>
        </w:rPr>
        <w:t xml:space="preserve">0%</w:t>
      </w:r>
      <w:r>
        <w:rPr>
          <w:rFonts w:hint="eastAsia" w:ascii="仿宋" w:hAnsi="仿宋" w:eastAsia="仿宋" w:cs="仿宋"/>
          <w:color w:val="ff0000"/>
          <w:sz w:val="28"/>
          <w:szCs w:val="28"/>
        </w:rPr>
        <w:t xml:space="preserve">；工程竣工验收合格满一年后付至审计价的</w:t>
      </w:r>
      <w:r>
        <w:rPr>
          <w:rFonts w:hint="eastAsia" w:ascii="仿宋" w:hAnsi="仿宋" w:eastAsia="仿宋" w:cs="仿宋"/>
          <w:color w:val="ff0000"/>
          <w:sz w:val="28"/>
          <w:szCs w:val="28"/>
          <w:lang w:val="en-US" w:eastAsia="zh-CN"/>
        </w:rPr>
        <w:t xml:space="preserve">8</w:t>
      </w:r>
      <w:r>
        <w:rPr>
          <w:rFonts w:hint="eastAsia" w:ascii="仿宋" w:hAnsi="仿宋" w:eastAsia="仿宋" w:cs="仿宋"/>
          <w:color w:val="ff0000"/>
          <w:sz w:val="28"/>
          <w:szCs w:val="28"/>
        </w:rPr>
        <w:t xml:space="preserve">0%；余款在工程竣工验收合格满二年后根据审计结果结清（不计息）。每次付款均须开具正式税务发票。</w:t>
      </w:r>
      <w:r/>
    </w:p>
    <w:p>
      <w:pPr>
        <w:pStyle w:val="863"/>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w:t>
      </w:r>
      <w:r>
        <w:rPr>
          <w:rFonts w:hint="eastAsia" w:ascii="仿宋" w:hAnsi="仿宋" w:eastAsia="仿宋" w:cs="仿宋"/>
          <w:b/>
          <w:szCs w:val="28"/>
          <w:lang w:eastAsia="zh-CN"/>
        </w:rPr>
        <w:t xml:space="preserve">网盘</w:t>
      </w:r>
      <w:r>
        <w:rPr>
          <w:rFonts w:hint="eastAsia" w:ascii="仿宋" w:hAnsi="仿宋" w:eastAsia="仿宋" w:cs="仿宋"/>
          <w:b/>
          <w:szCs w:val="28"/>
        </w:rPr>
        <w:t xml:space="preserve">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4、据财库〔2026〕2号文件要求评审过程中出现下列情形之一的，</w:t>
      </w:r>
      <w:r>
        <w:rPr>
          <w:rFonts w:hint="eastAsia" w:ascii="仿宋" w:hAnsi="仿宋" w:eastAsia="仿宋" w:cs="宋体"/>
          <w:b/>
          <w:szCs w:val="28"/>
          <w:lang w:eastAsia="zh-CN"/>
        </w:rPr>
        <w:t xml:space="preserve">评审委员会应当启动异常低价投标（响应）审查程序</w:t>
      </w:r>
      <w:r>
        <w:rPr>
          <w:rFonts w:hint="eastAsia" w:ascii="仿宋" w:hAnsi="仿宋" w:eastAsia="仿宋" w:cs="宋体"/>
          <w:b/>
          <w:szCs w:val="28"/>
        </w:rPr>
        <w:t xml:space="preserve">:</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（1）投标（响应）报价低于全部通过符合性审查供应商投标（响应）报价平均值50%的，即投标（响应）报价&lt;全部通过符合性审查供应商投标（响应）报价平均值×50%;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（2）投标（响应）报价低于通过符合性审查的次低报价供应商投标（响应）报价50%的，即投标（响应）报价&lt;通过符合性审查的次低报价供应商投标（响应）报价×50%;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lang w:eastAsia="zh-CN"/>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4</w:t>
      </w:r>
      <w:r>
        <w:rPr>
          <w:rFonts w:hint="eastAsia" w:ascii="仿宋" w:hAnsi="仿宋" w:eastAsia="仿宋" w:cs="宋体"/>
          <w:b/>
          <w:szCs w:val="28"/>
          <w:lang w:eastAsia="zh-CN"/>
        </w:rPr>
        <w:t xml:space="preserve">）评审委员会基于专业判断，认为供应商报价过低，有可能影响产品质量或者不能诚信履约的其他情形。</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7"/>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6"/>
    <w:uiPriority w:val="99"/>
  </w:style>
  <w:style w:type="character" w:styleId="713">
    <w:name w:val="Footer Char"/>
    <w:basedOn w:val="860"/>
    <w:link w:val="865"/>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5"/>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正文首行缩进 21"/>
    <w:basedOn w:val="863"/>
    <w:next w:val="859"/>
    <w:uiPriority w:val="99"/>
    <w:unhideWhenUsed/>
    <w:qFormat/>
    <w:pPr>
      <w:ind w:firstLine="420"/>
    </w:pPr>
  </w:style>
  <w:style w:type="paragraph" w:styleId="863" w:customStyle="1">
    <w:name w:val="正文文本缩进1"/>
    <w:basedOn w:val="859"/>
    <w:next w:val="864"/>
    <w:uiPriority w:val="0"/>
    <w:qFormat/>
    <w:pPr>
      <w:ind w:firstLine="600"/>
    </w:pPr>
    <w:rPr>
      <w:rFonts w:eastAsia="仿宋_GB2312"/>
      <w:sz w:val="28"/>
    </w:rPr>
  </w:style>
  <w:style w:type="paragraph" w:styleId="864" w:customStyle="1">
    <w:name w:val="寄信人地址1"/>
    <w:basedOn w:val="859"/>
    <w:uiPriority w:val="99"/>
    <w:unhideWhenUsed/>
    <w:qFormat/>
    <w:rPr>
      <w:rFonts w:ascii="Arial" w:hAnsi="Arial"/>
    </w:rPr>
  </w:style>
  <w:style w:type="paragraph" w:styleId="865">
    <w:name w:val="Footer"/>
    <w:basedOn w:val="859"/>
    <w:uiPriority w:val="0"/>
    <w:qFormat/>
    <w:pPr>
      <w:jc w:val="left"/>
      <w:tabs>
        <w:tab w:val="center" w:pos="4153" w:leader="none"/>
        <w:tab w:val="right" w:pos="8306" w:leader="none"/>
      </w:tabs>
    </w:pPr>
    <w:rPr>
      <w:sz w:val="18"/>
    </w:rPr>
  </w:style>
  <w:style w:type="paragraph" w:styleId="866">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Normal (Web)"/>
    <w:basedOn w:val="859"/>
    <w:uiPriority w:val="0"/>
    <w:qFormat/>
    <w:pPr>
      <w:jc w:val="left"/>
      <w:spacing w:before="100" w:beforeAutospacing="1" w:after="100" w:afterAutospacing="1"/>
      <w:widowControl/>
    </w:pPr>
    <w:rPr>
      <w:rFonts w:ascii="宋体" w:hAnsi="宋体"/>
      <w:sz w:val="24"/>
    </w:rPr>
  </w:style>
  <w:style w:type="character" w:styleId="868">
    <w:name w:val="FollowedHyperlink"/>
    <w:basedOn w:val="860"/>
    <w:uiPriority w:val="0"/>
    <w:qFormat/>
    <w:rPr>
      <w:color w:val="333333"/>
      <w:u w:val="none"/>
    </w:rPr>
  </w:style>
  <w:style w:type="character" w:styleId="869">
    <w:name w:val="Hyperlink"/>
    <w:basedOn w:val="860"/>
    <w:uiPriority w:val="0"/>
    <w:qFormat/>
    <w:rPr>
      <w:color w:val="333333"/>
      <w:u w:val="none"/>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2</cp:revision>
  <dcterms:created xsi:type="dcterms:W3CDTF">2024-11-15T08:57:00Z</dcterms:created>
  <dcterms:modified xsi:type="dcterms:W3CDTF">2026-01-29T06:53:13Z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B6F4098ED4214DD399B3B11FA60801BE_12</vt:lpwstr>
  </property>
  <property fmtid="{D5CDD505-2E9C-101B-9397-08002B2CF9AE}" pid="4" name="KSOTemplateDocerSaveRecord">
    <vt:lpwstr>eyJoZGlkIjoiMjdiOGI0YjkyOWJiYTQ2Y2Q4OWE0NDg4OTIyYWI4NjAiLCJ1c2VySWQiOiIxMDExMDcwMzU5In0=</vt:lpwstr>
  </property>
</Properties>
</file>