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bookmarkStart w:id="909" w:name="_GoBack"/>
      <w:r/>
      <w:r/>
    </w:p>
    <w:p>
      <w:pPr>
        <w:ind w:firstLine="300"/>
        <w:spacing w:line="360" w:lineRule="auto"/>
        <w:rPr>
          <w:color w:val="auto"/>
          <w:sz w:val="60"/>
          <w:szCs w:val="60"/>
          <w:highlight w:val="none"/>
        </w:rPr>
      </w:pPr>
      <w:r>
        <w:rPr>
          <w:color w:val="auto"/>
          <w:sz w:val="60"/>
          <w:szCs w:val="60"/>
          <w:highlight w:val="none"/>
        </w:rPr>
      </w:r>
      <w:r/>
    </w:p>
    <w:p>
      <w:pPr>
        <w:jc w:val="center"/>
        <w:rPr>
          <w:rFonts w:hint="eastAsia" w:eastAsia="宋体"/>
          <w:b/>
          <w:bCs/>
          <w:color w:val="auto"/>
          <w:sz w:val="56"/>
          <w:szCs w:val="56"/>
          <w:highlight w:val="none"/>
          <w:lang w:eastAsia="zh-CN"/>
        </w:rPr>
      </w:pPr>
      <w:r>
        <w:rPr>
          <w:rFonts w:hint="eastAsia"/>
          <w:b/>
          <w:bCs/>
          <w:color w:val="auto"/>
          <w:sz w:val="56"/>
          <w:szCs w:val="56"/>
          <w:highlight w:val="none"/>
          <w:lang w:eastAsia="zh-CN"/>
        </w:rPr>
        <w:t xml:space="preserve">遥观镇路灯管养维保项目</w:t>
      </w:r>
      <w:r/>
    </w:p>
    <w:p>
      <w:pPr>
        <w:jc w:val="center"/>
        <w:rPr>
          <w:b/>
          <w:bCs/>
          <w:color w:val="auto"/>
          <w:sz w:val="60"/>
          <w:szCs w:val="60"/>
          <w:highlight w:val="none"/>
        </w:rPr>
      </w:pPr>
      <w:r>
        <w:rPr>
          <w:rFonts w:hint="eastAsia"/>
          <w:b/>
          <w:bCs/>
          <w:color w:val="auto"/>
          <w:sz w:val="60"/>
          <w:szCs w:val="60"/>
          <w:highlight w:val="none"/>
        </w:rPr>
        <w:t xml:space="preserve">公开招标文件</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项目名称：</w:t>
      </w:r>
      <w:r>
        <w:rPr>
          <w:rFonts w:hint="eastAsia"/>
          <w:bCs/>
          <w:color w:val="auto"/>
          <w:sz w:val="36"/>
          <w:szCs w:val="36"/>
          <w:highlight w:val="none"/>
          <w:lang w:eastAsia="zh-CN"/>
        </w:rPr>
        <w:t xml:space="preserve">遥观镇路灯管养维保项目</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项目编号：</w:t>
      </w:r>
      <w:r>
        <w:rPr>
          <w:rFonts w:hint="eastAsia"/>
          <w:bCs/>
          <w:color w:val="auto"/>
          <w:sz w:val="36"/>
          <w:szCs w:val="36"/>
          <w:highlight w:val="none"/>
          <w:lang w:eastAsia="zh-CN"/>
        </w:rPr>
        <w:t xml:space="preserve">JSZC-320412-SYZB-G2026-0006</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采 购 人：</w:t>
      </w:r>
      <w:r>
        <w:rPr>
          <w:rFonts w:hint="eastAsia"/>
          <w:bCs/>
          <w:color w:val="auto"/>
          <w:sz w:val="36"/>
          <w:szCs w:val="36"/>
          <w:highlight w:val="none"/>
          <w:lang w:eastAsia="zh-CN"/>
        </w:rPr>
        <w:t xml:space="preserve">常州市武进区遥观镇人民政府</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江苏尚阳工程管理有限公司</w:t>
      </w:r>
      <w:r/>
    </w:p>
    <w:p>
      <w:pPr>
        <w:jc w:val="center"/>
        <w:spacing w:line="360" w:lineRule="auto"/>
        <w:rPr>
          <w:b/>
          <w:bCs/>
          <w:color w:val="auto"/>
          <w:sz w:val="44"/>
          <w:highlight w:val="none"/>
        </w:rPr>
      </w:pPr>
      <w:r>
        <w:rPr>
          <w:b/>
          <w:bCs/>
          <w:color w:val="auto"/>
          <w:sz w:val="44"/>
          <w:highlight w:val="none"/>
        </w:rPr>
        <w:br w:type="page" w:clear="all"/>
      </w:r>
      <w:bookmarkStart w:id="0" w:name="_Toc99301418"/>
      <w:r/>
      <w:r/>
    </w:p>
    <w:p>
      <w:pPr>
        <w:jc w:val="center"/>
        <w:spacing w:line="360" w:lineRule="auto"/>
        <w:rPr>
          <w:b/>
          <w:bCs/>
          <w:color w:val="auto"/>
          <w:sz w:val="44"/>
          <w:highlight w:val="none"/>
        </w:rPr>
      </w:pPr>
      <w:r>
        <w:rPr>
          <w:b/>
          <w:bCs/>
          <w:color w:val="auto"/>
          <w:sz w:val="44"/>
          <w:highlight w:val="none"/>
        </w:rPr>
        <w:t xml:space="preserve">目      录</w:t>
      </w:r>
      <w:bookmarkEnd w:id="0"/>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pStyle w:val="1301"/>
        <w:spacing w:line="360" w:lineRule="auto"/>
        <w:rPr>
          <w:b w:val="0"/>
          <w:bCs/>
          <w:color w:val="auto"/>
          <w:sz w:val="44"/>
          <w:highlight w:val="none"/>
        </w:rPr>
      </w:pPr>
      <w:r>
        <w:rPr>
          <w:b w:val="0"/>
          <w:bCs/>
          <w:color w:val="auto"/>
          <w:sz w:val="44"/>
          <w:highlight w:val="none"/>
        </w:rPr>
      </w:r>
      <w:r/>
    </w:p>
    <w:p>
      <w:pPr>
        <w:pStyle w:val="1301"/>
        <w:spacing w:line="360" w:lineRule="auto"/>
        <w:rPr>
          <w:rFonts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TOC \o "1-1" \h \u </w:instrText>
      </w:r>
      <w:r>
        <w:rPr>
          <w:rFonts w:hint="eastAsia"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"_Toc15932" </w:instrText>
      </w:r>
      <w:r>
        <w:rPr>
          <w:color w:val="auto"/>
          <w:highlight w:val="none"/>
        </w:rPr>
        <w:fldChar w:fldCharType="separate"/>
      </w:r>
      <w:r>
        <w:rPr>
          <w:rFonts w:hint="eastAsia" w:cs="宋体"/>
          <w:color w:val="auto"/>
          <w:sz w:val="32"/>
          <w:szCs w:val="32"/>
          <w:highlight w:val="none"/>
        </w:rPr>
        <w:t xml:space="preserve">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_Toc15932 \h </w:instrText>
      </w:r>
      <w:r>
        <w:rPr>
          <w:rFonts w:hint="eastAsia" w:cs="宋体"/>
          <w:color w:val="auto"/>
          <w:sz w:val="32"/>
          <w:szCs w:val="32"/>
          <w:highlight w:val="none"/>
        </w:rPr>
        <w:fldChar w:fldCharType="separate"/>
      </w:r>
      <w:r>
        <w:rPr>
          <w:rFonts w:hint="eastAsia" w:cs="宋体"/>
          <w:color w:val="auto"/>
          <w:sz w:val="32"/>
          <w:szCs w:val="32"/>
          <w:highlight w:val="none"/>
        </w:rPr>
        <w:t xml:space="preserve">3</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301"/>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"_Toc11085" </w:instrText>
      </w:r>
      <w:r>
        <w:rPr>
          <w:color w:val="auto"/>
          <w:highlight w:val="none"/>
        </w:rPr>
        <w:fldChar w:fldCharType="separate"/>
      </w:r>
      <w:r>
        <w:rPr>
          <w:rFonts w:hint="eastAsia" w:cs="宋体"/>
          <w:color w:val="auto"/>
          <w:sz w:val="32"/>
          <w:szCs w:val="32"/>
          <w:highlight w:val="none"/>
        </w:rPr>
        <w:t xml:space="preserve">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_Toc11085 \h </w:instrText>
      </w:r>
      <w:r>
        <w:rPr>
          <w:rFonts w:hint="eastAsia" w:cs="宋体"/>
          <w:color w:val="auto"/>
          <w:sz w:val="32"/>
          <w:szCs w:val="32"/>
          <w:highlight w:val="none"/>
        </w:rPr>
        <w:fldChar w:fldCharType="separate"/>
      </w:r>
      <w:r>
        <w:rPr>
          <w:rFonts w:hint="eastAsia" w:cs="宋体"/>
          <w:color w:val="auto"/>
          <w:sz w:val="32"/>
          <w:szCs w:val="32"/>
          <w:highlight w:val="none"/>
        </w:rPr>
        <w:t xml:space="preserve">7</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301"/>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"_Toc4607" </w:instrText>
      </w:r>
      <w:r>
        <w:rPr>
          <w:color w:val="auto"/>
          <w:highlight w:val="none"/>
        </w:rPr>
        <w:fldChar w:fldCharType="separate"/>
      </w:r>
      <w:r>
        <w:rPr>
          <w:rFonts w:hint="eastAsia" w:cs="宋体"/>
          <w:color w:val="auto"/>
          <w:sz w:val="32"/>
          <w:szCs w:val="32"/>
          <w:highlight w:val="none"/>
        </w:rPr>
        <w:t xml:space="preserve">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_Toc4607 \h </w:instrText>
      </w:r>
      <w:r>
        <w:rPr>
          <w:rFonts w:hint="eastAsia" w:cs="宋体"/>
          <w:color w:val="auto"/>
          <w:sz w:val="32"/>
          <w:szCs w:val="32"/>
          <w:highlight w:val="none"/>
        </w:rPr>
        <w:fldChar w:fldCharType="separate"/>
      </w:r>
      <w:r>
        <w:rPr>
          <w:rFonts w:hint="eastAsia" w:cs="宋体"/>
          <w:color w:val="auto"/>
          <w:sz w:val="32"/>
          <w:szCs w:val="32"/>
          <w:highlight w:val="none"/>
        </w:rPr>
        <w:t xml:space="preserve">24</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301"/>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"_Toc8940" </w:instrText>
      </w:r>
      <w:r>
        <w:rPr>
          <w:color w:val="auto"/>
          <w:highlight w:val="none"/>
        </w:rPr>
        <w:fldChar w:fldCharType="separate"/>
      </w:r>
      <w:r>
        <w:rPr>
          <w:rFonts w:hint="eastAsia" w:cs="宋体"/>
          <w:color w:val="auto"/>
          <w:sz w:val="32"/>
          <w:szCs w:val="32"/>
          <w:highlight w:val="none"/>
        </w:rPr>
        <w:t xml:space="preserve">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_Toc8940 \h </w:instrText>
      </w:r>
      <w:r>
        <w:rPr>
          <w:rFonts w:hint="eastAsia" w:cs="宋体"/>
          <w:color w:val="auto"/>
          <w:sz w:val="32"/>
          <w:szCs w:val="32"/>
          <w:highlight w:val="none"/>
        </w:rPr>
        <w:fldChar w:fldCharType="separate"/>
      </w:r>
      <w:r>
        <w:rPr>
          <w:rFonts w:hint="eastAsia" w:cs="宋体"/>
          <w:color w:val="auto"/>
          <w:sz w:val="32"/>
          <w:szCs w:val="32"/>
          <w:highlight w:val="none"/>
        </w:rPr>
        <w:t xml:space="preserve">26</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301"/>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"_Toc29962" </w:instrText>
      </w:r>
      <w:r>
        <w:rPr>
          <w:color w:val="auto"/>
          <w:highlight w:val="none"/>
        </w:rPr>
        <w:fldChar w:fldCharType="separate"/>
      </w:r>
      <w:r>
        <w:rPr>
          <w:rFonts w:hint="eastAsia" w:cs="宋体"/>
          <w:color w:val="auto"/>
          <w:sz w:val="32"/>
          <w:szCs w:val="32"/>
          <w:highlight w:val="none"/>
        </w:rPr>
        <w:t xml:space="preserve">第五章   采购需求</w:t>
      </w:r>
      <w:r>
        <w:rPr>
          <w:rFonts w:hint="eastAsia" w:cs="宋体"/>
          <w:color w:val="auto"/>
          <w:sz w:val="32"/>
          <w:szCs w:val="32"/>
          <w:highlight w:val="none"/>
        </w:rPr>
        <w:tab/>
      </w:r>
      <w:r>
        <w:rPr>
          <w:rFonts w:hint="eastAsia" w:cs="宋体"/>
          <w:color w:val="auto"/>
          <w:sz w:val="32"/>
          <w:szCs w:val="32"/>
          <w:highlight w:val="none"/>
        </w:rPr>
        <w:t xml:space="preserve">3</w:t>
      </w:r>
      <w:r>
        <w:rPr>
          <w:rFonts w:hint="eastAsia" w:cs="宋体"/>
          <w:color w:val="auto"/>
          <w:sz w:val="32"/>
          <w:szCs w:val="32"/>
          <w:highlight w:val="none"/>
        </w:rPr>
        <w:fldChar w:fldCharType="end"/>
      </w:r>
      <w:r>
        <w:rPr>
          <w:rFonts w:hint="eastAsia" w:cs="宋体"/>
          <w:color w:val="auto"/>
          <w:sz w:val="32"/>
          <w:szCs w:val="32"/>
          <w:highlight w:val="none"/>
        </w:rPr>
        <w:t xml:space="preserve">2</w:t>
      </w:r>
      <w:r/>
    </w:p>
    <w:p>
      <w:pPr>
        <w:pStyle w:val="1301"/>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"_Toc13366" </w:instrText>
      </w:r>
      <w:r>
        <w:rPr>
          <w:color w:val="auto"/>
          <w:highlight w:val="none"/>
        </w:rPr>
        <w:fldChar w:fldCharType="separate"/>
      </w:r>
      <w:r>
        <w:rPr>
          <w:rFonts w:hint="eastAsia" w:cs="宋体"/>
          <w:color w:val="auto"/>
          <w:sz w:val="32"/>
          <w:szCs w:val="32"/>
          <w:highlight w:val="none"/>
        </w:rPr>
        <w:t xml:space="preserve">第六章   拟签订的合同文本</w:t>
      </w:r>
      <w:r>
        <w:rPr>
          <w:rFonts w:hint="eastAsia" w:cs="宋体"/>
          <w:color w:val="auto"/>
          <w:sz w:val="32"/>
          <w:szCs w:val="32"/>
          <w:highlight w:val="none"/>
        </w:rPr>
        <w:tab/>
      </w:r>
      <w:r>
        <w:rPr>
          <w:rFonts w:hint="eastAsia" w:cs="宋体"/>
          <w:color w:val="auto"/>
          <w:sz w:val="32"/>
          <w:szCs w:val="32"/>
          <w:highlight w:val="none"/>
        </w:rPr>
        <w:t xml:space="preserve">4</w:t>
      </w:r>
      <w:r>
        <w:rPr>
          <w:rFonts w:hint="eastAsia" w:cs="宋体"/>
          <w:color w:val="auto"/>
          <w:sz w:val="32"/>
          <w:szCs w:val="32"/>
          <w:highlight w:val="none"/>
        </w:rPr>
        <w:fldChar w:fldCharType="end"/>
      </w:r>
      <w:r>
        <w:rPr>
          <w:rFonts w:hint="eastAsia" w:cs="宋体"/>
          <w:color w:val="auto"/>
          <w:sz w:val="32"/>
          <w:szCs w:val="32"/>
          <w:highlight w:val="none"/>
        </w:rPr>
        <w:t xml:space="preserve">1</w:t>
      </w:r>
      <w:r/>
    </w:p>
    <w:p>
      <w:pPr>
        <w:pStyle w:val="1301"/>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"_Toc18832" </w:instrText>
      </w:r>
      <w:r>
        <w:rPr>
          <w:color w:val="auto"/>
          <w:highlight w:val="none"/>
        </w:rPr>
        <w:fldChar w:fldCharType="separate"/>
      </w:r>
      <w:r>
        <w:rPr>
          <w:rFonts w:hint="eastAsia" w:cs="宋体"/>
          <w:color w:val="auto"/>
          <w:sz w:val="32"/>
          <w:szCs w:val="32"/>
          <w:highlight w:val="none"/>
        </w:rPr>
        <w:t xml:space="preserve">第七章   投标文件格式</w:t>
      </w:r>
      <w:r>
        <w:rPr>
          <w:rFonts w:hint="eastAsia" w:cs="宋体"/>
          <w:color w:val="auto"/>
          <w:sz w:val="32"/>
          <w:szCs w:val="32"/>
          <w:highlight w:val="none"/>
        </w:rPr>
        <w:tab/>
      </w:r>
      <w:r>
        <w:rPr>
          <w:rFonts w:hint="eastAsia" w:cs="宋体"/>
          <w:color w:val="auto"/>
          <w:sz w:val="32"/>
          <w:szCs w:val="32"/>
          <w:highlight w:val="none"/>
        </w:rPr>
        <w:t xml:space="preserve">4</w:t>
      </w:r>
      <w:r>
        <w:rPr>
          <w:rFonts w:hint="eastAsia" w:cs="宋体"/>
          <w:color w:val="auto"/>
          <w:sz w:val="32"/>
          <w:szCs w:val="32"/>
          <w:highlight w:val="none"/>
        </w:rPr>
        <w:fldChar w:fldCharType="end"/>
      </w:r>
      <w:r>
        <w:rPr>
          <w:rFonts w:hint="eastAsia" w:cs="宋体"/>
          <w:color w:val="auto"/>
          <w:sz w:val="32"/>
          <w:szCs w:val="32"/>
          <w:highlight w:val="none"/>
        </w:rPr>
        <w:t xml:space="preserve">4</w:t>
      </w:r>
      <w:r/>
    </w:p>
    <w:p>
      <w:pPr>
        <w:pStyle w:val="1301"/>
        <w:spacing w:line="360" w:lineRule="auto"/>
        <w:rPr>
          <w:rFonts w:cs="宋体"/>
          <w:color w:val="auto"/>
          <w:sz w:val="32"/>
          <w:szCs w:val="32"/>
          <w:highlight w:val="none"/>
        </w:rPr>
      </w:pPr>
      <w:r>
        <w:rPr>
          <w:rFonts w:hint="eastAsia" w:cs="宋体"/>
          <w:color w:val="auto"/>
          <w:sz w:val="32"/>
          <w:szCs w:val="32"/>
          <w:highlight w:val="none"/>
        </w:rPr>
        <w:fldChar w:fldCharType="end"/>
      </w:r>
      <w:r/>
    </w:p>
    <w:p>
      <w:pPr>
        <w:pStyle w:val="1301"/>
        <w:jc w:val="center"/>
        <w:spacing w:line="360" w:lineRule="auto"/>
        <w:rPr>
          <w:color w:val="auto"/>
          <w:sz w:val="36"/>
          <w:szCs w:val="36"/>
          <w:highlight w:val="none"/>
        </w:rPr>
      </w:pPr>
      <w:r>
        <w:rPr>
          <w:rFonts w:hint="eastAsia" w:cs="宋体"/>
          <w:color w:val="auto"/>
          <w:sz w:val="32"/>
          <w:szCs w:val="32"/>
          <w:highlight w:val="none"/>
        </w:rPr>
        <w:br w:type="page" w:clear="all"/>
      </w:r>
      <w:bookmarkStart w:id="1" w:name="_Toc15932"/>
      <w:r/>
      <w:bookmarkStart w:id="2" w:name="_Toc99301419"/>
      <w:r>
        <w:rPr>
          <w:color w:val="auto"/>
          <w:sz w:val="36"/>
          <w:szCs w:val="36"/>
          <w:highlight w:val="none"/>
        </w:rPr>
        <w:t xml:space="preserve">第一章   投标邀请</w:t>
      </w:r>
      <w:bookmarkEnd w:id="1"/>
      <w:r/>
      <w:bookmarkEnd w:id="2"/>
      <w:r/>
      <w:r/>
    </w:p>
    <w:p>
      <w:pPr>
        <w:spacing w:line="360" w:lineRule="auto"/>
        <w:rPr>
          <w:rFonts w:ascii="宋体" w:hAnsi="宋体"/>
          <w:b/>
          <w:bCs/>
          <w:color w:val="auto"/>
          <w:sz w:val="24"/>
          <w:highlight w:val="none"/>
        </w:rPr>
      </w:pPr>
      <w:r/>
      <w:bookmarkStart w:id="3" w:name="_Toc35393621"/>
      <w:r/>
      <w:bookmarkStart w:id="4" w:name="_Toc28359079"/>
      <w:r/>
      <w:bookmarkStart w:id="5" w:name="_Toc35393790"/>
      <w:r/>
      <w:bookmarkStart w:id="6" w:name="_Toc28359002"/>
      <w:r/>
      <w:bookmarkStart w:id="7" w:name="_Hlk24379207"/>
      <w:r>
        <w:rPr>
          <w:rFonts w:hint="eastAsia" w:ascii="宋体" w:hAnsi="宋体"/>
          <w:b/>
          <w:bCs/>
          <w:color w:val="auto"/>
          <w:sz w:val="24"/>
          <w:highlight w:val="none"/>
        </w:rPr>
        <w:t xml:space="preserve">一、项目基本情况</w:t>
      </w:r>
      <w:bookmarkEnd w:id="3"/>
      <w:r/>
      <w:bookmarkEnd w:id="4"/>
      <w:r/>
      <w:bookmarkEnd w:id="5"/>
      <w:r/>
      <w:bookmarkEnd w:id="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JSZC-320412-SYZB-G2026-0006</w:t>
      </w:r>
      <w:r>
        <w:rPr>
          <w:rFonts w:hint="eastAsia" w:ascii="宋体" w:hAnsi="宋体" w:cs="宋体"/>
          <w:color w:val="auto"/>
          <w:sz w:val="24"/>
          <w:highlight w:val="none"/>
          <w:u w:val="singl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遥观镇路灯管养维保项目</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.项目预算金额：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300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、项目最高限价：</w:t>
      </w:r>
      <w:r>
        <w:rPr>
          <w:rFonts w:hint="eastAsia" w:ascii="宋体" w:hAnsi="宋体" w:eastAsia="宋体" w:cs="宋体"/>
          <w:color w:val="auto"/>
          <w:sz w:val="24"/>
          <w:szCs w:val="24"/>
          <w:highlight w:val="none"/>
          <w:lang w:val="en-US" w:eastAsia="zh-CN"/>
        </w:rPr>
        <w:t xml:space="preserve">0≤优惠率&lt;100%，超出此范围则视为无效投标。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bookmarkEnd w:id="7"/>
      <w:r/>
      <w:r/>
    </w:p>
    <w:tbl>
      <w:tblPr>
        <w:tblStyle w:val="127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7"/>
        <w:gridCol w:w="2105"/>
        <w:gridCol w:w="845"/>
        <w:gridCol w:w="4764"/>
      </w:tblGrid>
      <w:tr>
        <w:trPr>
          <w:trHeight w:val="454"/>
        </w:trPr>
        <w:tc>
          <w:tcPr>
            <w:tcW w:w="84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标的名称</w:t>
            </w:r>
            <w:r/>
          </w:p>
        </w:tc>
        <w:tc>
          <w:tcPr>
            <w:tcW w:w="11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包</w:t>
            </w:r>
            <w:r>
              <w:rPr>
                <w:rFonts w:hint="eastAsia" w:ascii="宋体" w:hAnsi="宋体" w:eastAsia="宋体" w:cs="宋体"/>
                <w:bCs/>
                <w:color w:val="auto"/>
                <w:sz w:val="24"/>
                <w:szCs w:val="24"/>
                <w:highlight w:val="none"/>
              </w:rPr>
              <w:t xml:space="preserve">预算金额</w:t>
            </w:r>
            <w:r/>
          </w:p>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bCs/>
                <w:color w:val="auto"/>
                <w:sz w:val="24"/>
                <w:szCs w:val="24"/>
                <w:highlight w:val="none"/>
              </w:rPr>
              <w:t xml:space="preserve">）</w:t>
            </w:r>
            <w:r/>
          </w:p>
        </w:tc>
        <w:tc>
          <w:tcPr>
            <w:tcW w:w="455"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数量</w:t>
            </w:r>
            <w:r/>
          </w:p>
        </w:tc>
        <w:tc>
          <w:tcPr>
            <w:tcW w:w="2566"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简要技术需求或服务要求</w:t>
            </w:r>
            <w:r/>
          </w:p>
        </w:tc>
      </w:tr>
      <w:tr>
        <w:trPr>
          <w:trHeight w:val="434"/>
        </w:trPr>
        <w:tc>
          <w:tcPr>
            <w:shd w:val="clear" w:color="auto" w:fill="auto"/>
            <w:tcW w:w="844" w:type="pct"/>
            <w:vAlign w:val="center"/>
            <w:textDirection w:val="lrTb"/>
            <w:noWrap w:val="false"/>
          </w:tcPr>
          <w:p>
            <w:pPr>
              <w:jc w:val="center"/>
              <w:keepLines w:val="0"/>
              <w:keepNext w:val="0"/>
              <w:pageBreakBefore w:val="0"/>
              <w:widowControl w:val="off"/>
              <w:rPr>
                <w:rFonts w:hint="default"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eastAsia="zh-CN"/>
              </w:rPr>
              <w:t xml:space="preserve">遥观镇路灯管养维保</w:t>
            </w:r>
            <w:r/>
          </w:p>
        </w:tc>
        <w:tc>
          <w:tcPr>
            <w:shd w:val="clear" w:color="auto" w:fill="auto"/>
            <w:tcW w:w="1134" w:type="pct"/>
            <w:vAlign w:val="center"/>
            <w:textDirection w:val="lrTb"/>
            <w:noWrap w:val="false"/>
          </w:tcPr>
          <w:p>
            <w:pPr>
              <w:jc w:val="center"/>
              <w:keepLines w:val="0"/>
              <w:keepNext w:val="0"/>
              <w:pageBreakBefore w:val="0"/>
              <w:widowControl w:val="off"/>
              <w:rPr>
                <w:rFonts w:hint="default" w:ascii="宋体" w:hAnsi="宋体" w:eastAsia="宋体" w:cs="宋体"/>
                <w:bCs/>
                <w:color w:val="auto"/>
                <w:sz w:val="24"/>
                <w:szCs w:val="24"/>
                <w:highlight w:val="none"/>
                <w:lang w:val="en-US" w:eastAsia="zh-CN"/>
              </w:rPr>
              <w:outlineLvl w:val="9"/>
            </w:pPr>
            <w:r>
              <w:rPr>
                <w:rFonts w:hint="eastAsia" w:ascii="宋体" w:hAnsi="宋体" w:cs="宋体"/>
                <w:color w:val="auto"/>
                <w:sz w:val="24"/>
                <w:szCs w:val="24"/>
                <w:highlight w:val="none"/>
                <w:u w:val="none"/>
                <w:lang w:val="en-US" w:eastAsia="zh-CN"/>
              </w:rPr>
              <w:t xml:space="preserve">300</w:t>
            </w:r>
            <w:r/>
          </w:p>
        </w:tc>
        <w:tc>
          <w:tcPr>
            <w:shd w:val="clear" w:color="auto" w:fill="auto"/>
            <w:tcW w:w="455"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rPr>
              <w:t xml:space="preserve">1</w:t>
            </w:r>
            <w:r/>
          </w:p>
        </w:tc>
        <w:tc>
          <w:tcPr>
            <w:shd w:val="clear" w:color="auto" w:fill="auto"/>
            <w:tcW w:w="2566" w:type="pct"/>
            <w:vAlign w:val="center"/>
            <w:textDirection w:val="lrTb"/>
            <w:noWrap w:val="false"/>
          </w:tcPr>
          <w:p>
            <w:pPr>
              <w:jc w:val="both"/>
              <w:keepLines w:val="0"/>
              <w:keepNext w:val="0"/>
              <w:pageBreakBefore w:val="0"/>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eastAsia="zh-CN"/>
              </w:rPr>
              <w:t xml:space="preserve">服务内容主要为全镇路灯设施进行日常巡检、故障抢修、灯头更换、电缆检修及亮化应急保障等。</w:t>
            </w:r>
            <w:r/>
          </w:p>
        </w:tc>
      </w:tr>
    </w:tbl>
    <w:p>
      <w:pPr>
        <w:ind w:firstLine="480"/>
        <w:spacing w:before="120"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5.合同履行期限：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1年。</w:t>
      </w:r>
      <w:r>
        <w:rPr>
          <w:rFonts w:hint="eastAsia" w:ascii="宋体" w:hAnsi="宋体" w:cs="宋体"/>
          <w:color w:val="auto"/>
          <w:sz w:val="24"/>
          <w:highlight w:val="none"/>
          <w:u w:val="singl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6.本项目是否接受联合体：□是  ■否。</w:t>
      </w:r>
      <w:r/>
    </w:p>
    <w:p>
      <w:pPr>
        <w:spacing w:line="360" w:lineRule="auto"/>
        <w:rPr>
          <w:rFonts w:ascii="宋体" w:hAnsi="宋体"/>
          <w:b/>
          <w:bCs/>
          <w:color w:val="auto"/>
          <w:sz w:val="24"/>
          <w:highlight w:val="none"/>
        </w:rPr>
      </w:pPr>
      <w:r/>
      <w:bookmarkStart w:id="8" w:name="_Toc35393791"/>
      <w:r/>
      <w:bookmarkStart w:id="9" w:name="_Toc28359003"/>
      <w:r/>
      <w:bookmarkStart w:id="10" w:name="_Toc35393622"/>
      <w:r/>
      <w:bookmarkStart w:id="11" w:name="_Toc28359080"/>
      <w:r>
        <w:rPr>
          <w:rFonts w:hint="eastAsia" w:ascii="宋体" w:hAnsi="宋体"/>
          <w:b/>
          <w:bCs/>
          <w:color w:val="auto"/>
          <w:sz w:val="24"/>
          <w:highlight w:val="none"/>
        </w:rPr>
        <w:t xml:space="preserve">二、申请人的资格要求（须同时满足）</w:t>
      </w:r>
      <w:bookmarkEnd w:id="8"/>
      <w:r/>
      <w:bookmarkEnd w:id="9"/>
      <w:r/>
      <w:bookmarkEnd w:id="10"/>
      <w:r/>
      <w:bookmarkEnd w:id="1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1.满足《中华人民共和国政府采购法》第二十二条规定以及下列情形：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1.2单位负责人为同一人或者存在直接控股、管理关系的不同</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color w:val="auto"/>
          <w:sz w:val="24"/>
          <w:highlight w:val="none"/>
        </w:rPr>
      </w:pPr>
      <w:r/>
      <w:bookmarkStart w:id="12" w:name="_Toc28359081"/>
      <w:r/>
      <w:bookmarkStart w:id="13" w:name="_Toc28359004"/>
      <w:r>
        <w:rPr>
          <w:rFonts w:hint="eastAsia" w:ascii="宋体" w:hAnsi="宋体" w:cs="宋体"/>
          <w:color w:val="auto"/>
          <w:sz w:val="24"/>
          <w:highlight w:val="none"/>
        </w:rPr>
        <w:t xml:space="preserve">2.落实政府采购政策需满足的资格要求：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中小企业政策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□本项目不专门面向中小企业预留采购份额。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■本项目专门面向  ■中小 □小微企业  采购。即：提供的服务全部由符合政策要求的中小企业承接。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i/>
          <w:iCs/>
          <w:color w:val="auto"/>
          <w:sz w:val="24"/>
          <w:highlight w:val="none"/>
          <w:u w:val="single"/>
        </w:rPr>
      </w:pPr>
      <w:r>
        <w:rPr>
          <w:rFonts w:hint="eastAsia" w:ascii="宋体" w:hAnsi="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3.1本项目是否接受分支机构参与投标：□是   ■否；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■是，公益一类事业单位、使用事业编制且由财政拨款保障的群团组织，不得作为承接主体；</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cs="宋体"/>
          <w:color w:val="auto"/>
          <w:sz w:val="24"/>
          <w:highlight w:val="none"/>
        </w:rPr>
        <w:outlineLvl w:val="9"/>
      </w:pPr>
      <w:r>
        <w:rPr>
          <w:rFonts w:hint="eastAsia" w:ascii="宋体" w:hAnsi="宋体" w:cs="宋体"/>
          <w:color w:val="auto"/>
          <w:sz w:val="24"/>
          <w:highlight w:val="none"/>
        </w:rPr>
        <w:t xml:space="preserve">3.3其他特定资格要求：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3.3.1投标人须满足以下任一资质要求：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A.具有城市及道路照明工程专业承包</w:t>
      </w:r>
      <w:r>
        <w:rPr>
          <w:rFonts w:hint="eastAsia" w:ascii="宋体" w:hAnsi="宋体" w:eastAsia="宋体" w:cs="宋体"/>
          <w:color w:val="auto"/>
          <w:sz w:val="24"/>
          <w:szCs w:val="24"/>
          <w:highlight w:val="none"/>
          <w:u w:val="single"/>
          <w:lang w:val="en-US" w:eastAsia="zh-CN"/>
        </w:rPr>
        <w:t xml:space="preserve">三级及以上资质</w:t>
      </w:r>
      <w:r>
        <w:rPr>
          <w:rFonts w:hint="eastAsia" w:ascii="宋体" w:hAnsi="宋体" w:cs="宋体"/>
          <w:color w:val="auto"/>
          <w:sz w:val="24"/>
          <w:szCs w:val="24"/>
          <w:highlight w:val="none"/>
          <w:u w:val="single"/>
          <w:lang w:val="en-US" w:eastAsia="zh-CN"/>
        </w:rPr>
        <w:t xml:space="preserve">或建筑机电安装工程专业承包三级及以上资质，并同时持有有效的安全生产许可证。</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B.具有国家电力监管部门颁发的承装（修、试）电力设施许可证，其许可范围包含三级（35千伏以下）及以上承装、承修、承试资格（适用于新版许可），或五级及以上承装、承修、承试资格（适用于旧版许可）。</w:t>
      </w:r>
      <w:bookmarkEnd w:id="12"/>
      <w:r/>
      <w:bookmarkEnd w:id="13"/>
      <w:r/>
      <w:r/>
    </w:p>
    <w:p>
      <w:pPr>
        <w:spacing w:line="360" w:lineRule="auto"/>
        <w:rPr>
          <w:rFonts w:ascii="宋体" w:hAnsi="宋体"/>
          <w:b/>
          <w:bCs/>
          <w:color w:val="auto"/>
          <w:sz w:val="24"/>
          <w:highlight w:val="none"/>
        </w:rPr>
      </w:pPr>
      <w:r/>
      <w:bookmarkStart w:id="14" w:name="_Toc35393792"/>
      <w:r/>
      <w:bookmarkStart w:id="15" w:name="_Toc35393623"/>
      <w:r>
        <w:rPr>
          <w:rFonts w:hint="eastAsia" w:ascii="宋体" w:hAnsi="宋体"/>
          <w:b/>
          <w:bCs/>
          <w:color w:val="auto"/>
          <w:sz w:val="24"/>
          <w:highlight w:val="none"/>
        </w:rPr>
        <w:t xml:space="preserve">三、获取招标文件</w:t>
      </w:r>
      <w:bookmarkEnd w:id="14"/>
      <w:r/>
      <w:bookmarkEnd w:id="15"/>
      <w:r/>
      <w:r/>
    </w:p>
    <w:p>
      <w:pPr>
        <w:ind w:firstLine="480"/>
        <w:keepLines w:val="0"/>
        <w:keepNext w:val="0"/>
        <w:pageBreakBefore w:val="0"/>
        <w:spacing w:line="360" w:lineRule="auto"/>
        <w:rPr>
          <w:rFonts w:hint="eastAsia" w:ascii="宋体" w:hAnsi="宋体" w:eastAsia="宋体" w:cs="宋体"/>
          <w:color w:val="auto"/>
          <w:sz w:val="24"/>
          <w:highlight w:val="none"/>
          <w:lang w:bidi="ar"/>
        </w:rPr>
        <w:outlineLvl w:val="9"/>
      </w:pPr>
      <w:r/>
      <w:bookmarkStart w:id="16" w:name="_Toc28359005"/>
      <w:r/>
      <w:bookmarkStart w:id="17" w:name="_Toc28359082"/>
      <w:r/>
      <w:bookmarkStart w:id="18" w:name="_Toc35393624"/>
      <w:r/>
      <w:bookmarkStart w:id="19" w:name="_Toc35393793"/>
      <w:r>
        <w:rPr>
          <w:rFonts w:hint="eastAsia" w:ascii="宋体" w:hAnsi="宋体" w:eastAsia="宋体" w:cs="宋体"/>
          <w:color w:val="auto"/>
          <w:sz w:val="24"/>
          <w:highlight w:val="none"/>
          <w:lang w:bidi="ar"/>
        </w:rPr>
        <w:t xml:space="preserve">1.时间：自招标文件公告发布之日起5个工作日。</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2.地点：</w:t>
      </w:r>
      <w:r>
        <w:rPr>
          <w:rFonts w:hint="eastAsia" w:ascii="宋体" w:hAnsi="宋体" w:cs="宋体"/>
          <w:color w:val="auto"/>
          <w:sz w:val="24"/>
          <w:highlight w:val="none"/>
          <w:u w:val="single"/>
        </w:rPr>
        <w:t xml:space="preserve">“苏采云”政府采购一体化平台</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3.方式：</w:t>
      </w:r>
      <w:r>
        <w:rPr>
          <w:rFonts w:hint="eastAsia" w:ascii="宋体" w:hAnsi="宋体" w:cs="宋体"/>
          <w:color w:val="auto"/>
          <w:sz w:val="24"/>
          <w:highlight w:val="none"/>
          <w:u w:val="single"/>
          <w:lang w:bidi="ar"/>
        </w:rPr>
        <w:t xml:space="preserve">投标人</w:t>
      </w:r>
      <w:r>
        <w:rPr>
          <w:rFonts w:hint="eastAsia" w:ascii="宋体" w:hAnsi="宋体" w:cs="宋体"/>
          <w:color w:val="auto"/>
          <w:sz w:val="24"/>
          <w:highlight w:val="none"/>
          <w:u w:val="single"/>
          <w:lang w:eastAsia="zh-CN" w:bidi="ar"/>
        </w:rPr>
        <w:t xml:space="preserve">登录</w:t>
      </w:r>
      <w:r>
        <w:rPr>
          <w:rFonts w:hint="eastAsia" w:ascii="宋体" w:hAnsi="宋体" w:cs="宋体"/>
          <w:color w:val="auto"/>
          <w:sz w:val="24"/>
          <w:highlight w:val="none"/>
          <w:u w:val="single"/>
          <w:lang w:bidi="ar"/>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auto"/>
          <w:sz w:val="24"/>
          <w:highlight w:val="none"/>
          <w:lang w:bidi="ar"/>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 xml:space="preserve">元。</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四、提交投标文件</w:t>
      </w:r>
      <w:bookmarkEnd w:id="16"/>
      <w:r/>
      <w:bookmarkEnd w:id="17"/>
      <w:r>
        <w:rPr>
          <w:rFonts w:hint="eastAsia" w:ascii="宋体" w:hAnsi="宋体"/>
          <w:b/>
          <w:bCs/>
          <w:color w:val="auto"/>
          <w:sz w:val="24"/>
          <w:highlight w:val="none"/>
        </w:rPr>
        <w:t xml:space="preserve">截止时间、开标时间和地点</w:t>
      </w:r>
      <w:bookmarkEnd w:id="18"/>
      <w:r/>
      <w:bookmarkEnd w:id="19"/>
      <w:r/>
      <w:r/>
    </w:p>
    <w:p>
      <w:pPr>
        <w:ind w:firstLine="480"/>
        <w:spacing w:line="360" w:lineRule="auto"/>
        <w:rPr>
          <w:rFonts w:ascii="宋体" w:hAnsi="宋体" w:cs="宋体"/>
          <w:iCs/>
          <w:color w:val="auto"/>
          <w:sz w:val="24"/>
          <w:highlight w:val="none"/>
          <w:lang w:bidi="ar"/>
        </w:rPr>
      </w:pPr>
      <w:r>
        <w:rPr>
          <w:color w:val="auto"/>
          <w:sz w:val="24"/>
          <w:highlight w:val="none"/>
          <w:lang w:bidi="ar"/>
        </w:rPr>
        <w:t xml:space="preserve">投标截止时间、开标时间：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val="en-US" w:eastAsia="zh-CN"/>
        </w:rPr>
        <w:t xml:space="preserve"> 3</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val="en-US" w:eastAsia="zh-CN"/>
        </w:rPr>
        <w:t xml:space="preserve">3</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14</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0</w:t>
      </w:r>
      <w:r>
        <w:rPr>
          <w:rFonts w:hint="eastAsia" w:ascii="宋体" w:hAnsi="宋体" w:cs="宋体"/>
          <w:color w:val="auto"/>
          <w:sz w:val="24"/>
          <w:highlight w:val="none"/>
          <w:u w:val="single"/>
        </w:rPr>
        <w:t xml:space="preserve">0 </w:t>
      </w:r>
      <w:r>
        <w:rPr>
          <w:rFonts w:hint="eastAsia" w:ascii="宋体" w:hAnsi="宋体" w:cs="宋体"/>
          <w:color w:val="auto"/>
          <w:sz w:val="24"/>
          <w:highlight w:val="none"/>
          <w:lang w:bidi="ar"/>
        </w:rPr>
        <w:t xml:space="preserve">分</w:t>
      </w:r>
      <w:r>
        <w:rPr>
          <w:rFonts w:hint="eastAsia" w:ascii="宋体" w:hAnsi="宋体" w:cs="宋体"/>
          <w:bCs/>
          <w:color w:val="auto"/>
          <w:sz w:val="24"/>
          <w:highlight w:val="none"/>
          <w:lang w:bidi="ar"/>
        </w:rPr>
        <w:t xml:space="preserve">（北京时间）</w:t>
      </w:r>
      <w:r>
        <w:rPr>
          <w:rFonts w:hint="eastAsia" w:ascii="宋体" w:hAnsi="宋体" w:cs="宋体"/>
          <w:iCs/>
          <w:color w:val="auto"/>
          <w:sz w:val="24"/>
          <w:highlight w:val="none"/>
          <w:lang w:bidi="ar"/>
        </w:rPr>
        <w:t xml:space="preserve">。</w:t>
      </w:r>
      <w:r/>
    </w:p>
    <w:p>
      <w:pPr>
        <w:ind w:firstLine="480"/>
        <w:spacing w:line="360" w:lineRule="auto"/>
        <w:rPr>
          <w:rFonts w:ascii="宋体" w:hAnsi="宋体" w:cs="宋体"/>
          <w:color w:val="auto"/>
          <w:sz w:val="24"/>
          <w:highlight w:val="none"/>
          <w:u w:val="single"/>
          <w:lang w:bidi="ar"/>
        </w:rPr>
      </w:pPr>
      <w:r/>
      <w:bookmarkStart w:id="20" w:name="_Toc28359007"/>
      <w:r/>
      <w:bookmarkStart w:id="21" w:name="_Toc35393625"/>
      <w:r/>
      <w:bookmarkStart w:id="22" w:name="_Toc35393794"/>
      <w:r/>
      <w:bookmarkStart w:id="23" w:name="_Toc28359084"/>
      <w:r>
        <w:rPr>
          <w:rFonts w:hint="eastAsia" w:ascii="宋体" w:hAnsi="宋体" w:cs="宋体"/>
          <w:color w:val="auto"/>
          <w:sz w:val="24"/>
          <w:highlight w:val="none"/>
          <w:lang w:bidi="ar"/>
        </w:rPr>
        <w:t xml:space="preserve">地点：</w:t>
      </w:r>
      <w:r>
        <w:rPr>
          <w:rFonts w:hint="eastAsia" w:ascii="宋体" w:hAnsi="宋体" w:cs="宋体"/>
          <w:color w:val="auto"/>
          <w:sz w:val="24"/>
          <w:highlight w:val="none"/>
          <w:u w:val="single"/>
          <w:lang w:bidi="ar"/>
        </w:rPr>
        <w:t xml:space="preserve">“苏采云”政府采购</w:t>
      </w:r>
      <w:r>
        <w:rPr>
          <w:rFonts w:hint="eastAsia" w:ascii="宋体" w:hAnsi="宋体" w:cs="宋体"/>
          <w:color w:val="auto"/>
          <w:sz w:val="24"/>
          <w:highlight w:val="none"/>
          <w:u w:val="single"/>
        </w:rPr>
        <w:t xml:space="preserve">一体化平台</w:t>
      </w:r>
      <w:r>
        <w:rPr>
          <w:rFonts w:hint="eastAsia" w:ascii="宋体" w:hAnsi="宋体" w:cs="宋体"/>
          <w:color w:val="auto"/>
          <w:sz w:val="24"/>
          <w:highlight w:val="none"/>
          <w:u w:val="single"/>
          <w:lang w:bidi="ar"/>
        </w:rPr>
        <w:t xml:space="preserve">网上开标大厅</w:t>
      </w:r>
      <w:r>
        <w:rPr>
          <w:rFonts w:hint="eastAsia" w:ascii="宋体" w:hAnsi="宋体" w:cs="宋体"/>
          <w:color w:val="auto"/>
          <w:sz w:val="24"/>
          <w:highlight w:val="none"/>
          <w:lang w:bidi="ar"/>
        </w:rPr>
        <w:t xml:space="preserve">。</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五、公告期限</w:t>
      </w:r>
      <w:bookmarkEnd w:id="20"/>
      <w:r/>
      <w:bookmarkEnd w:id="21"/>
      <w:r/>
      <w:bookmarkEnd w:id="22"/>
      <w:r/>
      <w:bookmarkEnd w:id="23"/>
      <w:r/>
      <w:r/>
    </w:p>
    <w:p>
      <w:pPr>
        <w:ind w:firstLine="480"/>
        <w:spacing w:line="360" w:lineRule="auto"/>
        <w:rPr>
          <w:color w:val="auto"/>
          <w:sz w:val="24"/>
          <w:highlight w:val="none"/>
        </w:rPr>
      </w:pPr>
      <w:r>
        <w:rPr>
          <w:color w:val="auto"/>
          <w:sz w:val="24"/>
          <w:highlight w:val="none"/>
        </w:rPr>
        <w:t xml:space="preserve">自本公告发布之日起5个工作日。</w:t>
      </w:r>
      <w:r/>
    </w:p>
    <w:p>
      <w:pPr>
        <w:spacing w:line="360" w:lineRule="auto"/>
        <w:rPr>
          <w:rFonts w:ascii="宋体" w:hAnsi="宋体"/>
          <w:b/>
          <w:bCs/>
          <w:color w:val="auto"/>
          <w:sz w:val="24"/>
          <w:highlight w:val="none"/>
        </w:rPr>
      </w:pPr>
      <w:r/>
      <w:bookmarkStart w:id="24" w:name="_Toc35393626"/>
      <w:r/>
      <w:bookmarkStart w:id="25" w:name="_Toc35393795"/>
      <w:r>
        <w:rPr>
          <w:rFonts w:hint="eastAsia" w:ascii="宋体" w:hAnsi="宋体"/>
          <w:b/>
          <w:bCs/>
          <w:color w:val="auto"/>
          <w:sz w:val="24"/>
          <w:highlight w:val="none"/>
        </w:rPr>
        <w:t xml:space="preserve">六、其他补充事宜</w:t>
      </w:r>
      <w:bookmarkEnd w:id="24"/>
      <w:r/>
      <w:bookmarkEnd w:id="25"/>
      <w:r/>
      <w:r/>
    </w:p>
    <w:p>
      <w:pPr>
        <w:ind w:firstLine="480"/>
        <w:spacing w:line="360" w:lineRule="auto"/>
        <w:rPr>
          <w:rFonts w:ascii="宋体" w:hAnsi="宋体" w:cs="宋体"/>
          <w:color w:val="auto"/>
          <w:sz w:val="24"/>
          <w:highlight w:val="none"/>
          <w:u w:val="single"/>
        </w:rPr>
      </w:pPr>
      <w:r/>
      <w:bookmarkStart w:id="26" w:name="_Toc35393627"/>
      <w:r/>
      <w:bookmarkStart w:id="27" w:name="_Toc28359008"/>
      <w:r/>
      <w:bookmarkStart w:id="28" w:name="_Toc35393796"/>
      <w:r/>
      <w:bookmarkStart w:id="29" w:name="_Toc28359085"/>
      <w:r>
        <w:rPr>
          <w:rFonts w:hint="eastAsia" w:ascii="宋体" w:hAnsi="宋体" w:cs="宋体"/>
          <w:color w:val="auto"/>
          <w:sz w:val="24"/>
          <w:highlight w:val="none"/>
        </w:rPr>
        <w:t xml:space="preserve">1.本项目需要落实的政府采购政策：</w:t>
      </w:r>
      <w:r>
        <w:rPr>
          <w:rFonts w:hint="eastAsia" w:ascii="宋体" w:hAnsi="宋体" w:eastAsia="宋体" w:cs="宋体"/>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通过苏采云系统参与政府采购项目，需要更换CA数字证书和电子签章。</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.本项目采用远程“不见面”交易方式，无需到现场提交，请</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在提交时间截止前提前登入“苏采云”，通过系统在线提交电子投标文件。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.有关本次招标的事项若存在变动或修改，敬请及时关注“江苏政府采购网”、“常州市政府采购网”发布的更正公告。</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.本项目不收取投标保证金。</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.注意事项</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自行承担。</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可以在“江苏政府采购网”或者“常州市政府采购网”自行免费下载采购文件，但本项目通过“苏采云”系统采用电子化不见面交易的模式，</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通过“江苏政府采购网”或“常州市政府采购网”下载采购文件后，还必须登录“苏采云”系统按照获取采购文件方式要求进行登记、参与及下载电子采购文件方可通过系统进行投标文件的编制和提交。</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，视为未参与该项政府采购活动，不具备对该政府采购项目提出质疑的法定权利，但因</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资格条件或报名时间设定不符合有关法律法规规定等原因使</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权益受损的除外。</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.如潜在</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未按上述要求操作，将自行承担所产生的风险。</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.关于常州市中小企业政府采购信用融资：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.关于深入开展常州市政府采购线上合同信用融资：</w:t>
      </w:r>
      <w:r/>
    </w:p>
    <w:p>
      <w:pPr>
        <w:ind w:firstLine="480"/>
        <w:spacing w:line="360" w:lineRule="auto"/>
        <w:rPr>
          <w:color w:val="auto"/>
          <w:sz w:val="24"/>
          <w:highlight w:val="none"/>
        </w:rPr>
      </w:pPr>
      <w:r>
        <w:rPr>
          <w:rFonts w:hint="eastAsia" w:ascii="宋体" w:hAnsi="宋体" w:cs="宋体"/>
          <w:color w:val="auto"/>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七、对本次招标提出询问，请按以下方式联系。</w:t>
      </w:r>
      <w:bookmarkEnd w:id="26"/>
      <w:r/>
      <w:bookmarkEnd w:id="27"/>
      <w:r/>
      <w:bookmarkEnd w:id="28"/>
      <w:r/>
      <w:bookmarkEnd w:id="29"/>
      <w:r/>
      <w:r/>
    </w:p>
    <w:p>
      <w:pPr>
        <w:ind w:firstLine="482"/>
        <w:jc w:val="left"/>
        <w:spacing w:line="360" w:lineRule="auto"/>
        <w:widowControl/>
        <w:rPr>
          <w:rFonts w:ascii="宋体" w:hAnsi="宋体" w:cs="宋体"/>
          <w:b/>
          <w:bCs/>
          <w:color w:val="auto"/>
          <w:sz w:val="24"/>
          <w:highlight w:val="none"/>
          <w:lang w:val="zh-TW" w:bidi="ar"/>
        </w:rPr>
      </w:pPr>
      <w:r/>
      <w:bookmarkStart w:id="30" w:name="_Toc512937850"/>
      <w:r/>
      <w:bookmarkStart w:id="31" w:name="_Toc353873938"/>
      <w:r/>
      <w:bookmarkStart w:id="32" w:name="_Toc305158854"/>
      <w:r/>
      <w:bookmarkStart w:id="33" w:name="_Toc150774783"/>
      <w:r/>
      <w:bookmarkStart w:id="34" w:name="_Toc305158928"/>
      <w:r/>
      <w:bookmarkStart w:id="35" w:name="_Toc265228423"/>
      <w:r/>
      <w:bookmarkStart w:id="36" w:name="_Toc99301420"/>
      <w:r/>
      <w:bookmarkStart w:id="37" w:name="_Toc195842950"/>
      <w:r/>
      <w:bookmarkStart w:id="38" w:name="_Toc353825548"/>
      <w:r/>
      <w:bookmarkStart w:id="39" w:name="_Toc127151777"/>
      <w:r/>
      <w:bookmarkStart w:id="40" w:name="_Toc127161488"/>
      <w:r/>
      <w:bookmarkStart w:id="41" w:name="_Toc264969275"/>
      <w:r/>
      <w:bookmarkStart w:id="42" w:name="_Toc226965856"/>
      <w:r>
        <w:rPr>
          <w:rFonts w:hint="eastAsia" w:ascii="宋体" w:hAnsi="宋体" w:cs="宋体"/>
          <w:b/>
          <w:bCs/>
          <w:color w:val="auto"/>
          <w:sz w:val="24"/>
          <w:highlight w:val="none"/>
          <w:lang w:val="zh-TW" w:bidi="ar"/>
        </w:rPr>
        <w:t xml:space="preserve">1.采购人信息</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 xml:space="preserve">常州市武进区遥观镇人民政府</w:t>
      </w:r>
      <w:r>
        <w:rPr>
          <w:rFonts w:hint="eastAsia" w:ascii="宋体" w:hAnsi="宋体" w:cs="宋体"/>
          <w:color w:val="auto"/>
          <w:sz w:val="24"/>
          <w:highlight w:val="none"/>
          <w:u w:val="single"/>
          <w:lang w:bidi="ar"/>
        </w:rPr>
        <w:t xml:space="preserve"> </w:t>
      </w:r>
      <w:r/>
    </w:p>
    <w:p>
      <w:pPr>
        <w:ind w:firstLine="480"/>
        <w:jc w:val="left"/>
        <w:keepLines w:val="0"/>
        <w:keepNext w:val="0"/>
        <w:pageBreakBefore w:val="0"/>
        <w:spacing w:line="360" w:lineRule="auto"/>
        <w:widowControl/>
        <w:rPr>
          <w:rFonts w:ascii="宋体" w:hAnsi="宋体" w:eastAsia="宋体" w:cs="宋体"/>
          <w:color w:val="auto"/>
          <w:sz w:val="24"/>
          <w:highlight w:val="none"/>
          <w:u w:val="single"/>
          <w:lang w:val="en-US" w:eastAsia="zh-CN" w:bidi="ar"/>
        </w:rPr>
        <w:outlineLvl w:val="9"/>
      </w:pPr>
      <w:r>
        <w:rPr>
          <w:rFonts w:hint="eastAsia" w:ascii="宋体" w:hAnsi="宋体" w:eastAsia="宋体" w:cs="宋体"/>
          <w:color w:val="auto"/>
          <w:sz w:val="24"/>
          <w:highlight w:val="none"/>
          <w:lang w:val="zh-TW" w:bidi="ar"/>
        </w:rPr>
        <w:t xml:space="preserve">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常州市武进区遥观镇政和路8号 </w:t>
      </w:r>
      <w:r/>
    </w:p>
    <w:p>
      <w:pPr>
        <w:ind w:firstLine="480"/>
        <w:jc w:val="left"/>
        <w:keepLines w:val="0"/>
        <w:keepNext w:val="0"/>
        <w:pageBreakBefore w:val="0"/>
        <w:spacing w:line="360" w:lineRule="auto"/>
        <w:widowControl/>
        <w:rPr>
          <w:rFonts w:ascii="宋体" w:hAnsi="宋体" w:eastAsia="宋体" w:cs="宋体"/>
          <w:color w:val="auto"/>
          <w:sz w:val="24"/>
          <w:highlight w:val="none"/>
          <w:u w:val="single"/>
          <w:lang w:val="en-US" w:eastAsia="zh-CN" w:bidi="ar"/>
        </w:rPr>
        <w:outlineLvl w:val="9"/>
      </w:pPr>
      <w:r>
        <w:rPr>
          <w:rFonts w:hint="eastAsia" w:ascii="宋体" w:hAnsi="宋体" w:eastAsia="宋体" w:cs="宋体"/>
          <w:color w:val="auto"/>
          <w:sz w:val="24"/>
          <w:highlight w:val="none"/>
          <w:lang w:val="zh-TW" w:bidi="ar"/>
        </w:rPr>
        <w:t xml:space="preserve">联系方式：</w:t>
      </w:r>
      <w:r>
        <w:rPr>
          <w:rFonts w:hint="eastAsia" w:ascii="宋体" w:hAnsi="宋体" w:eastAsia="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 xml:space="preserve">陈先生</w:t>
      </w:r>
      <w:r>
        <w:rPr>
          <w:rFonts w:hint="eastAsia" w:ascii="宋体" w:hAnsi="宋体" w:eastAsia="宋体" w:cs="宋体"/>
          <w:color w:val="auto"/>
          <w:sz w:val="24"/>
          <w:highlight w:val="none"/>
          <w:u w:val="single"/>
          <w:lang w:val="en-US" w:eastAsia="zh-CN" w:bidi="ar"/>
        </w:rPr>
        <w:t xml:space="preserve">、0519-88701619</w:t>
      </w:r>
      <w:r>
        <w:rPr>
          <w:rFonts w:hint="eastAsia" w:ascii="宋体" w:hAnsi="宋体"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val="en-US" w:eastAsia="zh-CN" w:bidi="ar"/>
        </w:rPr>
        <w:t xml:space="preserve"> </w:t>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2.采购代理机构信息</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地    址：</w:t>
      </w:r>
      <w:r>
        <w:rPr>
          <w:rFonts w:hint="eastAsia" w:ascii="宋体" w:hAnsi="宋体" w:cs="宋体"/>
          <w:color w:val="auto"/>
          <w:sz w:val="24"/>
          <w:highlight w:val="none"/>
          <w:u w:val="single"/>
          <w:lang w:val="zh-TW" w:bidi="ar"/>
        </w:rPr>
        <w:t xml:space="preserve"> 常州市新北区嵩山路1-301号（太湖明珠苑综合市场3楼）</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联系方式：</w:t>
      </w:r>
      <w:r>
        <w:rPr>
          <w:rFonts w:hint="eastAsia" w:ascii="宋体" w:hAnsi="宋体" w:cs="宋体"/>
          <w:color w:val="auto"/>
          <w:sz w:val="24"/>
          <w:highlight w:val="none"/>
          <w:u w:val="single"/>
          <w:lang w:val="zh-TW" w:bidi="ar"/>
        </w:rPr>
        <w:t xml:space="preserve"> 0519-88818225</w:t>
      </w:r>
      <w:r>
        <w:rPr>
          <w:rFonts w:hint="eastAsia" w:ascii="宋体" w:hAnsi="宋体" w:cs="宋体"/>
          <w:color w:val="auto"/>
          <w:sz w:val="24"/>
          <w:highlight w:val="none"/>
          <w:u w:val="single"/>
          <w:lang w:bidi="ar"/>
        </w:rPr>
        <w:t xml:space="preserve"> </w:t>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3.项目联系方式</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 xml:space="preserve">王涛</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u w:val="single"/>
          <w:lang w:bidi="ar"/>
        </w:rPr>
      </w:pPr>
      <w:r>
        <w:rPr>
          <w:rFonts w:hint="eastAsia" w:ascii="宋体" w:hAnsi="宋体" w:cs="宋体"/>
          <w:color w:val="auto"/>
          <w:sz w:val="24"/>
          <w:highlight w:val="none"/>
          <w:lang w:val="zh-TW" w:bidi="ar"/>
        </w:rPr>
        <w:t xml:space="preserve">电      话：</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 xml:space="preserve">0519-88818292-（8000）</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lang w:val="zh-TW" w:bidi="ar"/>
        </w:rPr>
      </w:pPr>
      <w:r>
        <w:rPr>
          <w:rFonts w:ascii="宋体" w:hAnsi="宋体" w:cs="宋体"/>
          <w:color w:val="auto"/>
          <w:sz w:val="24"/>
          <w:highlight w:val="none"/>
          <w:lang w:val="zh-TW" w:bidi="ar"/>
        </w:rPr>
      </w:r>
      <w:r/>
    </w:p>
    <w:p>
      <w:pPr>
        <w:jc w:val="center"/>
        <w:spacing w:line="360" w:lineRule="auto"/>
        <w:rPr>
          <w:rFonts w:ascii="宋体" w:hAnsi="宋体" w:cs="宋体"/>
          <w:color w:val="auto"/>
          <w:sz w:val="24"/>
          <w:highlight w:val="none"/>
        </w:rPr>
        <w:sectPr>
          <w:headerReference w:type="default" r:id="rId9"/>
          <w:headerReference w:type="first" r:id="rId10"/>
          <w:footerReference w:type="default" r:id="rId19"/>
          <w:footerReference w:type="first" r:id="rId20"/>
          <w:footnotePr/>
          <w:endnotePr/>
          <w:type w:val="nextColumn"/>
          <w:pgSz w:w="11907" w:h="16840" w:orient="portrait"/>
          <w:pgMar w:top="1418" w:right="1134" w:bottom="1418" w:left="1701" w:header="851" w:footer="851" w:gutter="0"/>
          <w:pgNumType w:start="1"/>
          <w:cols w:num="1" w:sep="0" w:space="720" w:equalWidth="1"/>
          <w:docGrid w:linePitch="360"/>
          <w:titlePg/>
        </w:sectPr>
      </w:pPr>
      <w:r>
        <w:rPr>
          <w:rFonts w:ascii="宋体" w:hAnsi="宋体" w:cs="宋体"/>
          <w:color w:val="auto"/>
          <w:sz w:val="24"/>
          <w:highlight w:val="none"/>
        </w:rPr>
      </w:r>
      <w:r/>
    </w:p>
    <w:p>
      <w:pPr>
        <w:jc w:val="center"/>
        <w:spacing w:line="360" w:lineRule="auto"/>
        <w:rPr>
          <w:b/>
          <w:color w:val="auto"/>
          <w:sz w:val="36"/>
          <w:szCs w:val="36"/>
          <w:highlight w:val="none"/>
        </w:rPr>
        <w:outlineLvl w:val="0"/>
      </w:pPr>
      <w:r/>
      <w:bookmarkStart w:id="43" w:name="_Toc11085"/>
      <w:r>
        <w:rPr>
          <w:b/>
          <w:color w:val="auto"/>
          <w:sz w:val="36"/>
          <w:szCs w:val="36"/>
          <w:highlight w:val="none"/>
        </w:rPr>
        <w:t xml:space="preserve">第二章   投标人须知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jc w:val="center"/>
        <w:spacing w:line="360" w:lineRule="auto"/>
        <w:rPr>
          <w:rFonts w:ascii="宋体" w:hAnsi="宋体"/>
          <w:b/>
          <w:bCs/>
          <w:color w:val="auto"/>
          <w:sz w:val="28"/>
          <w:szCs w:val="28"/>
          <w:highlight w:val="none"/>
        </w:rPr>
      </w:pPr>
      <w:r/>
      <w:bookmarkStart w:id="44" w:name="_Toc150774619"/>
      <w:r/>
      <w:bookmarkStart w:id="45" w:name="_Toc164608788"/>
      <w:r/>
      <w:bookmarkStart w:id="46" w:name="_Toc226337215"/>
      <w:r/>
      <w:bookmarkStart w:id="47" w:name="_Toc164351613"/>
      <w:r/>
      <w:bookmarkStart w:id="48" w:name="_Toc142311021"/>
      <w:r/>
      <w:bookmarkStart w:id="49" w:name="_Toc226309763"/>
      <w:r/>
      <w:bookmarkStart w:id="50" w:name="_Toc226965792"/>
      <w:r/>
      <w:bookmarkStart w:id="51" w:name="_Toc127151720"/>
      <w:r/>
      <w:bookmarkStart w:id="52" w:name="_Toc127161433"/>
      <w:r/>
      <w:bookmarkStart w:id="53" w:name="_Toc164229214"/>
      <w:r/>
      <w:bookmarkStart w:id="54" w:name="_Toc520356144"/>
      <w:r/>
      <w:bookmarkStart w:id="55" w:name="_Toc226965709"/>
      <w:r/>
      <w:bookmarkStart w:id="56" w:name="_Toc151190146"/>
      <w:r/>
      <w:bookmarkStart w:id="57" w:name="_Toc151193833"/>
      <w:r/>
      <w:bookmarkStart w:id="58" w:name="_Toc150774724"/>
      <w:r/>
      <w:bookmarkStart w:id="59" w:name="_Toc150480757"/>
      <w:r/>
      <w:bookmarkStart w:id="60" w:name="_Toc151193617"/>
      <w:r/>
      <w:bookmarkStart w:id="61" w:name="_Toc151193689"/>
      <w:r/>
      <w:bookmarkStart w:id="62" w:name="_Toc151193761"/>
      <w:r/>
      <w:bookmarkStart w:id="63" w:name="_Toc149720812"/>
      <w:r/>
      <w:bookmarkStart w:id="64" w:name="_Toc195842884"/>
      <w:r/>
      <w:bookmarkStart w:id="65" w:name="_Toc164229360"/>
      <w:r/>
      <w:bookmarkStart w:id="66" w:name="_Toc127151519"/>
      <w:r/>
      <w:bookmarkStart w:id="67" w:name="_Toc150509270"/>
      <w:r/>
      <w:bookmarkStart w:id="68" w:name="_Toc164608633"/>
      <w:r/>
      <w:bookmarkStart w:id="69" w:name="_Toc151193907"/>
      <w:r>
        <w:rPr>
          <w:rFonts w:hint="eastAsia" w:ascii="宋体" w:hAnsi="宋体"/>
          <w:b/>
          <w:bCs/>
          <w:color w:val="auto"/>
          <w:sz w:val="28"/>
          <w:szCs w:val="28"/>
          <w:highlight w:val="none"/>
        </w:rPr>
        <w:t xml:space="preserve">投标人须知资料表</w:t>
      </w:r>
      <w:r/>
    </w:p>
    <w:p>
      <w:pPr>
        <w:jc w:val="center"/>
        <w:rPr>
          <w:b/>
          <w:color w:val="auto"/>
          <w:sz w:val="28"/>
          <w:szCs w:val="28"/>
          <w:highlight w:val="none"/>
        </w:rPr>
      </w:pPr>
      <w:r>
        <w:rPr>
          <w:b/>
          <w:color w:val="auto"/>
          <w:sz w:val="28"/>
          <w:szCs w:val="28"/>
          <w:highlight w:val="none"/>
        </w:rPr>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本表是对投标人须知的具体补充和修改，如有矛盾，均以本资料表为准。</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标记“■”的选项意为适用于本项目，标记“□”的选项意为不适用于本项目。</w:t>
      </w:r>
      <w:r/>
    </w:p>
    <w:tbl>
      <w:tblPr>
        <w:tblStyle w:val="12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1028"/>
        </w:trPr>
        <w:tc>
          <w:tcPr>
            <w:tcW w:w="988" w:type="dxa"/>
            <w:vAlign w:val="center"/>
            <w:textDirection w:val="lrTb"/>
            <w:noWrap w:val="false"/>
          </w:tcPr>
          <w:p>
            <w:pPr>
              <w:pStyle w:val="129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rFonts w:ascii="宋体" w:hAnsi="宋体" w:cs="宋体"/>
                <w:color w:val="auto"/>
                <w:sz w:val="24"/>
                <w:highlight w:val="none"/>
              </w:rPr>
            </w:pPr>
            <w:r>
              <w:rPr>
                <w:rFonts w:hint="eastAsia" w:ascii="宋体" w:hAnsi="宋体" w:cs="宋体"/>
                <w:color w:val="auto"/>
                <w:sz w:val="24"/>
                <w:highlight w:val="none"/>
              </w:rPr>
              <w:t xml:space="preserve">■服务</w:t>
            </w:r>
            <w:r/>
          </w:p>
          <w:p>
            <w:pPr>
              <w:jc w:val="left"/>
              <w:rPr>
                <w:rFonts w:ascii="宋体" w:hAnsi="宋体" w:cs="宋体"/>
                <w:color w:val="auto"/>
                <w:sz w:val="24"/>
                <w:highlight w:val="none"/>
              </w:rPr>
            </w:pPr>
            <w:r>
              <w:rPr>
                <w:rFonts w:hint="eastAsia" w:ascii="宋体" w:hAnsi="宋体" w:cs="宋体"/>
                <w:color w:val="auto"/>
                <w:sz w:val="24"/>
                <w:highlight w:val="none"/>
              </w:rPr>
              <w:t xml:space="preserve">□货物</w:t>
            </w:r>
            <w:r/>
          </w:p>
        </w:tc>
      </w:tr>
      <w:tr>
        <w:trPr>
          <w:jc w:val="center"/>
          <w:trHeight w:val="1058"/>
        </w:trPr>
        <w:tc>
          <w:tcPr>
            <w:tcW w:w="988" w:type="dxa"/>
            <w:vAlign w:val="center"/>
            <w:vMerge w:val="restart"/>
            <w:textDirection w:val="lrTb"/>
            <w:noWrap w:val="false"/>
          </w:tcPr>
          <w:p>
            <w:pPr>
              <w:pStyle w:val="129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■不组织</w:t>
            </w:r>
            <w:r/>
          </w:p>
          <w:p>
            <w:pPr>
              <w:jc w:val="left"/>
              <w:rPr>
                <w:rFonts w:ascii="宋体" w:hAnsi="宋体" w:cs="宋体"/>
                <w:bCs/>
                <w:color w:val="auto"/>
                <w:sz w:val="24"/>
                <w:highlight w:val="none"/>
              </w:rPr>
            </w:pPr>
            <w:r>
              <w:rPr>
                <w:rFonts w:hint="eastAsia" w:ascii="宋体" w:hAnsi="宋体" w:cs="宋体"/>
                <w:color w:val="auto"/>
                <w:sz w:val="24"/>
                <w:highlight w:val="none"/>
              </w:rPr>
              <w:t xml:space="preserve">□组织，考察时间：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分</w:t>
            </w:r>
            <w:r/>
          </w:p>
          <w:p>
            <w:pPr>
              <w:pStyle w:val="1293"/>
              <w:rPr>
                <w:rFonts w:hint="default" w:hAnsi="宋体" w:cs="宋体"/>
                <w:color w:val="auto"/>
                <w:sz w:val="24"/>
                <w:szCs w:val="24"/>
                <w:highlight w:val="none"/>
              </w:rPr>
            </w:pPr>
            <w:r>
              <w:rPr>
                <w:rFonts w:hAnsi="宋体" w:cs="宋体"/>
                <w:color w:val="auto"/>
                <w:sz w:val="24"/>
                <w:szCs w:val="24"/>
                <w:highlight w:val="none"/>
              </w:rPr>
              <w:t xml:space="preserve">考察地点：</w:t>
            </w:r>
            <w:r>
              <w:rPr>
                <w:rFonts w:hAnsi="宋体" w:cs="宋体"/>
                <w:color w:val="auto"/>
                <w:sz w:val="24"/>
                <w:szCs w:val="24"/>
                <w:highlight w:val="none"/>
                <w:u w:val="single"/>
              </w:rPr>
              <w:t xml:space="preserve">  /  </w:t>
            </w:r>
            <w:r>
              <w:rPr>
                <w:rFonts w:hAnsi="宋体" w:cs="宋体"/>
                <w:color w:val="auto"/>
                <w:sz w:val="24"/>
                <w:szCs w:val="24"/>
                <w:highlight w:val="none"/>
              </w:rPr>
              <w:t xml:space="preserve">。</w:t>
            </w:r>
            <w:r/>
          </w:p>
        </w:tc>
      </w:tr>
      <w:tr>
        <w:trPr>
          <w:jc w:val="center"/>
          <w:trHeight w:val="1073"/>
        </w:trPr>
        <w:tc>
          <w:tcPr>
            <w:tcW w:w="988" w:type="dxa"/>
            <w:vAlign w:val="center"/>
            <w:vMerge w:val="continue"/>
            <w:textDirection w:val="lrTb"/>
            <w:noWrap w:val="false"/>
          </w:tcPr>
          <w:p>
            <w:pPr>
              <w:pStyle w:val="129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开标前答疑会</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■不召开</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分</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680"/>
        </w:trPr>
        <w:tc>
          <w:tcPr>
            <w:tcW w:w="988" w:type="dxa"/>
            <w:vAlign w:val="center"/>
            <w:textDirection w:val="lrTb"/>
            <w:noWrap w:val="false"/>
          </w:tcPr>
          <w:p>
            <w:pPr>
              <w:pStyle w:val="129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5.2.5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widowControl/>
              <w:rPr>
                <w:rFonts w:hint="default" w:ascii="宋体" w:hAnsi="宋体" w:cs="宋体"/>
                <w:color w:val="auto"/>
                <w:sz w:val="24"/>
                <w:highlight w:val="none"/>
                <w:lang w:val="en-US"/>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b/>
                <w:bCs/>
                <w:color w:val="auto"/>
                <w:sz w:val="24"/>
                <w:highlight w:val="none"/>
                <w:u w:val="single"/>
                <w:lang w:val="en-US" w:eastAsia="zh-CN" w:bidi="ar"/>
              </w:rPr>
              <w:t xml:space="preserve">其他未列明行业</w:t>
            </w:r>
            <w:r/>
          </w:p>
        </w:tc>
      </w:tr>
      <w:tr>
        <w:trPr>
          <w:jc w:val="center"/>
          <w:trHeight w:val="1118"/>
        </w:trPr>
        <w:tc>
          <w:tcPr>
            <w:tcW w:w="988" w:type="dxa"/>
            <w:vAlign w:val="center"/>
            <w:textDirection w:val="lrTb"/>
            <w:noWrap w:val="false"/>
          </w:tcPr>
          <w:p>
            <w:pPr>
              <w:pStyle w:val="1293"/>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default" w:ascii="Times New Roman" w:hAnsi="Times New Roman"/>
                <w:color w:val="auto"/>
                <w:sz w:val="24"/>
                <w:szCs w:val="24"/>
                <w:highlight w:val="none"/>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投标报价</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投标报价的特殊规定：</w:t>
            </w:r>
            <w:r/>
          </w:p>
          <w:p>
            <w:pPr>
              <w:jc w:val="left"/>
              <w:rPr>
                <w:rFonts w:ascii="宋体" w:hAnsi="宋体" w:cs="宋体"/>
                <w:color w:val="auto"/>
                <w:sz w:val="24"/>
                <w:highlight w:val="none"/>
              </w:rPr>
            </w:pPr>
            <w:r>
              <w:rPr>
                <w:rFonts w:hint="eastAsia" w:ascii="宋体" w:hAnsi="宋体" w:cs="宋体"/>
                <w:color w:val="auto"/>
                <w:sz w:val="24"/>
                <w:highlight w:val="none"/>
              </w:rPr>
              <w:t xml:space="preserve">■无</w:t>
            </w:r>
            <w:r/>
          </w:p>
          <w:p>
            <w:pPr>
              <w:jc w:val="left"/>
              <w:rPr>
                <w:rFonts w:ascii="宋体" w:hAnsi="宋体" w:cs="宋体"/>
                <w:color w:val="auto"/>
                <w:sz w:val="24"/>
                <w:highlight w:val="none"/>
              </w:rPr>
            </w:pPr>
            <w:r>
              <w:rPr>
                <w:rFonts w:hint="eastAsia" w:ascii="宋体" w:hAnsi="宋体" w:cs="宋体"/>
                <w:color w:val="auto"/>
                <w:sz w:val="24"/>
                <w:highlight w:val="none"/>
              </w:rPr>
              <w:t xml:space="preserve">□有，具体情形：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496"/>
        </w:trPr>
        <w:tc>
          <w:tcPr>
            <w:tcW w:w="988" w:type="dxa"/>
            <w:vAlign w:val="center"/>
            <w:textDirection w:val="lrTb"/>
            <w:noWrap w:val="false"/>
          </w:tcPr>
          <w:p>
            <w:pPr>
              <w:pStyle w:val="1293"/>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投标保证金</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511"/>
        </w:trPr>
        <w:tc>
          <w:tcPr>
            <w:tcW w:w="988" w:type="dxa"/>
            <w:vAlign w:val="center"/>
            <w:textDirection w:val="lrTb"/>
            <w:noWrap w:val="false"/>
          </w:tcPr>
          <w:p>
            <w:pPr>
              <w:pStyle w:val="129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 xml:space="preserve">日历天。</w:t>
            </w:r>
            <w:r/>
          </w:p>
        </w:tc>
      </w:tr>
      <w:tr>
        <w:trPr>
          <w:jc w:val="center"/>
          <w:trHeight w:val="2037"/>
        </w:trPr>
        <w:tc>
          <w:tcPr>
            <w:tcW w:w="988" w:type="dxa"/>
            <w:vAlign w:val="center"/>
            <w:textDirection w:val="lrTb"/>
            <w:noWrap w:val="false"/>
          </w:tcPr>
          <w:p>
            <w:pPr>
              <w:pStyle w:val="129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25.5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■不允许</w:t>
            </w:r>
            <w:r/>
          </w:p>
          <w:p>
            <w:pPr>
              <w:jc w:val="left"/>
              <w:rPr>
                <w:rFonts w:ascii="宋体" w:hAnsi="宋体" w:cs="宋体"/>
                <w:color w:val="auto"/>
                <w:sz w:val="24"/>
                <w:highlight w:val="none"/>
              </w:rPr>
            </w:pPr>
            <w:r>
              <w:rPr>
                <w:rFonts w:hint="eastAsia" w:ascii="宋体" w:hAnsi="宋体" w:cs="宋体"/>
                <w:color w:val="auto"/>
                <w:sz w:val="24"/>
                <w:highlight w:val="none"/>
              </w:rPr>
              <w:t xml:space="preserve">□允许，具体要求：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962"/>
        </w:trPr>
        <w:tc>
          <w:tcPr>
            <w:tcW w:w="988" w:type="dxa"/>
            <w:vAlign w:val="center"/>
            <w:textDirection w:val="lrTb"/>
            <w:noWrap w:val="false"/>
          </w:tcPr>
          <w:p>
            <w:pPr>
              <w:pStyle w:val="129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26.1.1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color w:val="auto"/>
                <w:sz w:val="24"/>
                <w:highlight w:val="none"/>
                <w:u w:val="single"/>
              </w:rPr>
              <w:t xml:space="preserve"> 于</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25</w:t>
            </w:r>
            <w:r>
              <w:rPr>
                <w:rFonts w:hint="eastAsia" w:ascii="宋体" w:hAnsi="宋体" w:cs="宋体"/>
                <w:color w:val="auto"/>
                <w:sz w:val="24"/>
                <w:highlight w:val="none"/>
                <w:u w:val="single"/>
              </w:rPr>
              <w:t xml:space="preserve">日11:00（北京时间）前以书面形式递交至江苏尚阳工程管理有限公司 </w:t>
            </w:r>
            <w:r>
              <w:rPr>
                <w:rFonts w:hint="eastAsia" w:ascii="宋体" w:hAnsi="宋体" w:cs="宋体"/>
                <w:color w:val="auto"/>
                <w:sz w:val="24"/>
                <w:highlight w:val="none"/>
              </w:rPr>
              <w:t xml:space="preserve">。</w:t>
            </w:r>
            <w:r/>
          </w:p>
        </w:tc>
      </w:tr>
      <w:tr>
        <w:trPr>
          <w:jc w:val="center"/>
          <w:trHeight w:val="1340"/>
        </w:trPr>
        <w:tc>
          <w:tcPr>
            <w:tcW w:w="988" w:type="dxa"/>
            <w:vAlign w:val="center"/>
            <w:textDirection w:val="lrTb"/>
            <w:noWrap w:val="false"/>
          </w:tcPr>
          <w:p>
            <w:pPr>
              <w:pStyle w:val="129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26.3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王涛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0519-88818292-（8000）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u w:val="single"/>
              </w:rPr>
              <w:t xml:space="preserve">  常州市新北区嵩山路1-301号  </w:t>
            </w:r>
            <w:r>
              <w:rPr>
                <w:rFonts w:hint="eastAsia" w:ascii="宋体" w:hAnsi="宋体" w:cs="宋体"/>
                <w:color w:val="auto"/>
                <w:sz w:val="24"/>
                <w:highlight w:val="none"/>
              </w:rPr>
              <w:t xml:space="preserve">。</w:t>
            </w:r>
            <w:r/>
          </w:p>
        </w:tc>
      </w:tr>
      <w:tr>
        <w:trPr>
          <w:jc w:val="center"/>
          <w:trHeight w:val="4211"/>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29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收费对象：</w:t>
            </w:r>
            <w:r/>
          </w:p>
          <w:p>
            <w:pPr>
              <w:jc w:val="left"/>
              <w:rPr>
                <w:rFonts w:ascii="宋体" w:hAnsi="宋体" w:cs="宋体"/>
                <w:color w:val="auto"/>
                <w:sz w:val="24"/>
                <w:highlight w:val="none"/>
              </w:rPr>
            </w:pPr>
            <w:r>
              <w:rPr>
                <w:rFonts w:hint="eastAsia" w:ascii="宋体" w:hAnsi="宋体" w:cs="宋体"/>
                <w:color w:val="auto"/>
                <w:sz w:val="24"/>
                <w:highlight w:val="none"/>
              </w:rPr>
              <w:t xml:space="preserve">□采购人</w:t>
            </w:r>
            <w:r/>
          </w:p>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中标人</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收费标准：</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收费比例按差额定率分档累进法计算，收费差额费率：</w:t>
            </w:r>
            <w:r>
              <w:rPr>
                <w:rFonts w:hint="eastAsia" w:ascii="宋体" w:hAnsi="宋体" w:cs="宋体"/>
                <w:color w:val="auto"/>
                <w:sz w:val="24"/>
                <w:highlight w:val="none"/>
                <w:u w:val="single"/>
              </w:rPr>
              <w:t xml:space="preserve">中标</w:t>
            </w:r>
            <w:r>
              <w:rPr>
                <w:rFonts w:hint="eastAsia" w:ascii="宋体" w:hAnsi="宋体" w:eastAsia="宋体" w:cs="宋体"/>
                <w:color w:val="auto"/>
                <w:sz w:val="24"/>
                <w:szCs w:val="24"/>
                <w:highlight w:val="none"/>
                <w:u w:val="single"/>
              </w:rPr>
              <w:t xml:space="preserve">金额在100万元(含)以下的为1.5%，</w:t>
            </w:r>
            <w:r>
              <w:rPr>
                <w:rFonts w:hint="eastAsia" w:ascii="宋体" w:hAnsi="宋体" w:cs="宋体"/>
                <w:color w:val="auto"/>
                <w:sz w:val="24"/>
                <w:highlight w:val="none"/>
                <w:u w:val="single"/>
              </w:rPr>
              <w:t xml:space="preserve">中标</w:t>
            </w:r>
            <w:r>
              <w:rPr>
                <w:rFonts w:hint="eastAsia" w:ascii="宋体" w:hAnsi="宋体" w:eastAsia="宋体" w:cs="宋体"/>
                <w:color w:val="auto"/>
                <w:sz w:val="24"/>
                <w:szCs w:val="24"/>
                <w:highlight w:val="none"/>
                <w:u w:val="single"/>
              </w:rPr>
              <w:t xml:space="preserve">金额在100万元（不含）至500万元（含）的为0.8%</w:t>
            </w:r>
            <w:r>
              <w:rPr>
                <w:rFonts w:hint="eastAsia" w:ascii="宋体" w:hAnsi="宋体" w:eastAsia="宋体" w:cs="宋体"/>
                <w:color w:val="auto"/>
                <w:sz w:val="24"/>
                <w:szCs w:val="24"/>
                <w:highlight w:val="none"/>
                <w:u w:val="single"/>
                <w:shd w:val="clear" w:color="auto" w:fill="auto"/>
              </w:rPr>
              <w:t xml:space="preserve">，</w:t>
            </w:r>
            <w:r>
              <w:rPr>
                <w:rFonts w:hint="eastAsia" w:ascii="宋体" w:hAnsi="宋体" w:eastAsia="宋体" w:cs="宋体"/>
                <w:color w:val="auto"/>
                <w:sz w:val="24"/>
                <w:szCs w:val="24"/>
                <w:highlight w:val="none"/>
                <w:u w:val="single"/>
                <w:lang w:val="en-US" w:eastAsia="zh-CN"/>
              </w:rPr>
              <w:t xml:space="preserve">中标</w:t>
            </w:r>
            <w:r>
              <w:rPr>
                <w:rFonts w:hint="eastAsia" w:ascii="宋体" w:hAnsi="宋体" w:eastAsia="宋体" w:cs="宋体"/>
                <w:color w:val="auto"/>
                <w:sz w:val="24"/>
                <w:szCs w:val="24"/>
                <w:highlight w:val="none"/>
                <w:u w:val="single"/>
              </w:rPr>
              <w:t xml:space="preserve">金额在</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00万元（不含）至</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00万元（含）的为0.</w:t>
            </w:r>
            <w:r>
              <w:rPr>
                <w:rFonts w:hint="eastAsia" w:ascii="宋体" w:hAnsi="宋体" w:eastAsia="宋体" w:cs="宋体"/>
                <w:color w:val="auto"/>
                <w:sz w:val="24"/>
                <w:szCs w:val="24"/>
                <w:highlight w:val="none"/>
                <w:u w:val="single"/>
                <w:lang w:val="en-US" w:eastAsia="zh-CN"/>
              </w:rPr>
              <w:t xml:space="preserve">45</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highlight w:val="none"/>
                <w:u w:val="single"/>
              </w:rPr>
              <w:t xml:space="preserve">中标</w:t>
            </w:r>
            <w:r>
              <w:rPr>
                <w:rFonts w:hint="eastAsia" w:ascii="宋体" w:hAnsi="宋体" w:eastAsia="宋体" w:cs="宋体"/>
                <w:color w:val="auto"/>
                <w:sz w:val="24"/>
                <w:szCs w:val="24"/>
                <w:highlight w:val="none"/>
                <w:u w:val="single"/>
                <w:shd w:val="clear" w:color="auto" w:fill="auto"/>
              </w:rPr>
              <w:t xml:space="preserve">服务收费按上述计算方法</w:t>
            </w:r>
            <w:r>
              <w:rPr>
                <w:rFonts w:hint="eastAsia" w:ascii="宋体" w:hAnsi="宋体" w:cs="宋体"/>
                <w:color w:val="auto"/>
                <w:sz w:val="24"/>
                <w:szCs w:val="24"/>
                <w:highlight w:val="none"/>
                <w:u w:val="single"/>
                <w:shd w:val="clear" w:color="auto" w:fill="auto"/>
                <w:lang w:val="en-US" w:eastAsia="zh-CN"/>
              </w:rPr>
              <w:t xml:space="preserve">的100%</w:t>
            </w:r>
            <w:r>
              <w:rPr>
                <w:rFonts w:hint="eastAsia" w:ascii="宋体" w:hAnsi="宋体" w:eastAsia="宋体" w:cs="宋体"/>
                <w:color w:val="auto"/>
                <w:sz w:val="24"/>
                <w:szCs w:val="24"/>
                <w:highlight w:val="none"/>
                <w:u w:val="single"/>
                <w:shd w:val="clear" w:color="auto" w:fill="auto"/>
                <w:lang w:val="en-US" w:eastAsia="zh-CN"/>
              </w:rPr>
              <w:t xml:space="preserve">收取，</w:t>
            </w:r>
            <w:r>
              <w:rPr>
                <w:rFonts w:hint="eastAsia" w:ascii="宋体" w:hAnsi="宋体" w:eastAsia="宋体" w:cs="宋体"/>
                <w:color w:val="auto"/>
                <w:sz w:val="24"/>
                <w:szCs w:val="24"/>
                <w:highlight w:val="none"/>
                <w:u w:val="single"/>
                <w:shd w:val="clear" w:color="auto" w:fill="auto"/>
              </w:rPr>
              <w:t xml:space="preserve">不足人民币3000元的，按人民币3000元收取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缴纳时间：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中标人</w:t>
            </w:r>
            <w:r>
              <w:rPr>
                <w:rFonts w:hint="eastAsia" w:ascii="宋体" w:hAnsi="宋体" w:cs="宋体"/>
                <w:color w:val="auto"/>
                <w:sz w:val="24"/>
                <w:highlight w:val="none"/>
                <w:u w:val="single"/>
              </w:rPr>
              <w:t xml:space="preserve">应在领取中标通知书时将中标服务费付至采购代理机构的账户并备注项目编号 </w:t>
            </w:r>
            <w:r>
              <w:rPr>
                <w:rFonts w:hint="eastAsia" w:ascii="宋体" w:hAnsi="宋体" w:cs="宋体"/>
                <w:color w:val="auto"/>
                <w:sz w:val="24"/>
                <w:highlight w:val="none"/>
              </w:rPr>
              <w:t xml:space="preserve">。</w:t>
            </w:r>
            <w:r/>
          </w:p>
          <w:p>
            <w:pPr>
              <w:jc w:val="left"/>
              <w:rPr>
                <w:rFonts w:ascii="宋体" w:hAnsi="宋体" w:cs="宋体"/>
                <w:color w:val="auto"/>
                <w:sz w:val="24"/>
                <w:highlight w:val="none"/>
                <w:u w:val="single"/>
              </w:rPr>
            </w:pPr>
            <w:r>
              <w:rPr>
                <w:rFonts w:hint="eastAsia" w:ascii="宋体" w:hAnsi="宋体" w:cs="宋体"/>
                <w:color w:val="auto"/>
                <w:sz w:val="24"/>
                <w:highlight w:val="none"/>
                <w:u w:val="single"/>
              </w:rPr>
              <w:t xml:space="preserve">收款单位：江苏尚阳工程管理有限公司</w:t>
            </w:r>
            <w:r/>
          </w:p>
          <w:p>
            <w:pPr>
              <w:jc w:val="left"/>
              <w:rPr>
                <w:rFonts w:ascii="宋体" w:hAnsi="宋体" w:cs="宋体"/>
                <w:color w:val="auto"/>
                <w:sz w:val="24"/>
                <w:highlight w:val="none"/>
                <w:u w:val="single"/>
              </w:rPr>
            </w:pPr>
            <w:r>
              <w:rPr>
                <w:rFonts w:hint="eastAsia" w:ascii="宋体" w:hAnsi="宋体" w:cs="宋体"/>
                <w:color w:val="auto"/>
                <w:sz w:val="24"/>
                <w:highlight w:val="none"/>
                <w:u w:val="single"/>
              </w:rPr>
              <w:t xml:space="preserve">银行账号：406010100100626575</w:t>
            </w:r>
            <w:r/>
          </w:p>
          <w:p>
            <w:pPr>
              <w:jc w:val="left"/>
              <w:rPr>
                <w:rFonts w:ascii="宋体" w:hAnsi="宋体" w:cs="宋体"/>
                <w:color w:val="auto"/>
                <w:sz w:val="24"/>
                <w:highlight w:val="none"/>
              </w:rPr>
            </w:pPr>
            <w:r>
              <w:rPr>
                <w:rFonts w:hint="eastAsia" w:ascii="宋体" w:hAnsi="宋体" w:cs="宋体"/>
                <w:color w:val="auto"/>
                <w:sz w:val="24"/>
                <w:highlight w:val="none"/>
                <w:u w:val="single"/>
              </w:rPr>
              <w:t xml:space="preserve">开户银行：兴业银行股份有限公司常州分行</w:t>
            </w:r>
            <w:r/>
          </w:p>
        </w:tc>
      </w:tr>
      <w:tr>
        <w:trPr>
          <w:jc w:val="center"/>
          <w:trHeight w:val="2966"/>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293"/>
              <w:jc w:val="center"/>
              <w:rPr>
                <w:rFonts w:hint="default" w:ascii="Times New Roman" w:hAnsi="Times New Roman"/>
                <w:color w:val="auto"/>
                <w:sz w:val="24"/>
                <w:szCs w:val="24"/>
                <w:highlight w:val="none"/>
                <w:lang w:val="en-US"/>
              </w:rPr>
            </w:pPr>
            <w:r>
              <w:rPr>
                <w:rFonts w:hint="eastAsia" w:ascii="Times New Roman" w:hAnsi="Times New Roman"/>
                <w:color w:val="auto"/>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color w:val="auto"/>
                <w:sz w:val="24"/>
                <w:highlight w:val="none"/>
              </w:rPr>
            </w:pPr>
            <w:r>
              <w:rPr>
                <w:rFonts w:hint="eastAsia"/>
                <w:color w:val="auto"/>
                <w:sz w:val="24"/>
                <w:highlight w:val="none"/>
              </w:rPr>
              <w:t xml:space="preserve">电子系统意外情况处理条款</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为确保本项目电子化采购活动顺利进行，防范化解采购风险，特制定相关情形处置举措。所有潜在投标人及参与各方均应知悉并遵守以下规定：</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2.开标前环节故障处置：在</w:t>
            </w:r>
            <w:r>
              <w:rPr>
                <w:rFonts w:hint="eastAsia" w:ascii="宋体" w:hAnsi="宋体" w:cs="宋体"/>
                <w:color w:val="auto"/>
                <w:sz w:val="24"/>
                <w:highlight w:val="none"/>
                <w:u w:val="none"/>
                <w:lang w:eastAsia="zh-CN"/>
              </w:rPr>
              <w:t xml:space="preserve">投标人</w:t>
            </w:r>
            <w:r>
              <w:rPr>
                <w:rFonts w:hint="eastAsia" w:ascii="宋体" w:hAnsi="宋体" w:cs="宋体"/>
                <w:color w:val="auto"/>
                <w:sz w:val="24"/>
                <w:highlight w:val="none"/>
                <w:u w:val="none"/>
              </w:rPr>
              <w:t xml:space="preserve">报名、</w:t>
            </w:r>
            <w:r>
              <w:rPr>
                <w:rFonts w:hint="eastAsia" w:ascii="宋体" w:hAnsi="宋体" w:cs="宋体"/>
                <w:color w:val="auto"/>
                <w:sz w:val="24"/>
                <w:highlight w:val="none"/>
                <w:u w:val="none"/>
                <w:lang w:eastAsia="zh-CN"/>
              </w:rPr>
              <w:t xml:space="preserve">投标文件</w:t>
            </w:r>
            <w:r>
              <w:rPr>
                <w:rFonts w:hint="eastAsia" w:ascii="宋体" w:hAnsi="宋体" w:cs="宋体"/>
                <w:color w:val="auto"/>
                <w:sz w:val="24"/>
                <w:highlight w:val="none"/>
                <w:u w:val="none"/>
              </w:rPr>
              <w:t xml:space="preserve">上传、</w:t>
            </w:r>
            <w:r>
              <w:rPr>
                <w:rFonts w:hint="eastAsia" w:ascii="宋体" w:hAnsi="宋体" w:cs="宋体"/>
                <w:color w:val="auto"/>
                <w:sz w:val="24"/>
                <w:highlight w:val="none"/>
                <w:u w:val="none"/>
                <w:lang w:eastAsia="zh-CN"/>
              </w:rPr>
              <w:t xml:space="preserve">投标文件</w:t>
            </w:r>
            <w:r>
              <w:rPr>
                <w:rFonts w:hint="eastAsia" w:ascii="宋体" w:hAnsi="宋体" w:cs="宋体"/>
                <w:color w:val="auto"/>
                <w:sz w:val="24"/>
                <w:highlight w:val="none"/>
                <w:u w:val="none"/>
              </w:rPr>
              <w:t xml:space="preserve">解密及唱标环节等开标活动开始前的任何环节出现系统无法访问的情形，采购代理机构将按照以下原则处置：</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（一）若故障可在短时间内排除，采购代理机构将等待系统修复后，继续开展采购活动。</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（二）若故障无法在预定开标时间前排除，或故障情况严重影响公平竞争，采购代理机构将通过发布更正公告推迟开标。</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（三）若因故障导致有效投标人不足法定家数或出现其他法定废标情形，采购代理机构将发布废标（终止）公告，重新开展采购活动。</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特别说明：本项目</w:t>
            </w:r>
            <w:r>
              <w:rPr>
                <w:rFonts w:hint="eastAsia" w:ascii="宋体" w:hAnsi="宋体" w:cs="宋体"/>
                <w:color w:val="auto"/>
                <w:sz w:val="24"/>
                <w:highlight w:val="none"/>
                <w:u w:val="none"/>
                <w:lang w:eastAsia="zh-CN"/>
              </w:rPr>
              <w:t xml:space="preserve">投标文件</w:t>
            </w:r>
            <w:r>
              <w:rPr>
                <w:rFonts w:hint="eastAsia" w:ascii="宋体" w:hAnsi="宋体" w:cs="宋体"/>
                <w:color w:val="auto"/>
                <w:sz w:val="24"/>
                <w:highlight w:val="none"/>
                <w:u w:val="none"/>
              </w:rPr>
              <w:t xml:space="preserve">递交方式以招标文件载明为准。在电子系统发生故障时，采购代理机构仅依据上述程序处理，不接受任何现场提交的纸质、U盘等非招标文件规定的</w:t>
            </w:r>
            <w:r>
              <w:rPr>
                <w:rFonts w:hint="eastAsia" w:ascii="宋体" w:hAnsi="宋体" w:cs="宋体"/>
                <w:color w:val="auto"/>
                <w:sz w:val="24"/>
                <w:highlight w:val="none"/>
                <w:u w:val="none"/>
                <w:lang w:eastAsia="zh-CN"/>
              </w:rPr>
              <w:t xml:space="preserve">投标文件</w:t>
            </w:r>
            <w:r>
              <w:rPr>
                <w:rFonts w:hint="eastAsia" w:ascii="宋体" w:hAnsi="宋体" w:cs="宋体"/>
                <w:color w:val="auto"/>
                <w:sz w:val="24"/>
                <w:highlight w:val="none"/>
                <w:u w:val="none"/>
              </w:rPr>
              <w:t xml:space="preserve">。</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3.评审过程中故障处置：在评审委员会组建后至评审报告出具前的评审过程中出现系统无法访问的情形，采购代理机构将按照以下原则处置：</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（一）立即暂停评审：采购代理机构将立即宣布暂停评审活动，并采取必要措施封存所有</w:t>
            </w:r>
            <w:r>
              <w:rPr>
                <w:rFonts w:hint="eastAsia" w:ascii="宋体" w:hAnsi="宋体" w:cs="宋体"/>
                <w:color w:val="auto"/>
                <w:sz w:val="24"/>
                <w:highlight w:val="none"/>
                <w:u w:val="none"/>
                <w:lang w:eastAsia="zh-CN"/>
              </w:rPr>
              <w:t xml:space="preserve">投标文件</w:t>
            </w:r>
            <w:r>
              <w:rPr>
                <w:rFonts w:hint="eastAsia" w:ascii="宋体" w:hAnsi="宋体" w:cs="宋体"/>
                <w:color w:val="auto"/>
                <w:sz w:val="24"/>
                <w:highlight w:val="none"/>
                <w:u w:val="none"/>
              </w:rPr>
              <w:t xml:space="preserve">及评审记录。</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（二）处置方案：视故障排除情况，采购代理机构将选择：</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1.若故障可在短时间内排除，采购代理机构将等待系统修复后，由原评审委员会继续完成评审；</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2. 若故障无法在当日排除，或故障导致评审无法公正进行，将发布废标（终止）公告，重新开展采购活动；</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3.若需在第二日继续评审，采购代理机构将重新从政府采购评审专家库中抽取专家，组建新的评审委员会，在系统修复后继续评审活动。</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w:t>
            </w:r>
            <w:r>
              <w:rPr>
                <w:rFonts w:hint="eastAsia" w:ascii="宋体" w:hAnsi="宋体" w:cs="宋体"/>
                <w:color w:val="auto"/>
                <w:sz w:val="24"/>
                <w:highlight w:val="none"/>
                <w:u w:val="none"/>
                <w:lang w:eastAsia="zh-CN"/>
              </w:rPr>
              <w:t xml:space="preserve">投标人</w:t>
            </w:r>
            <w:r>
              <w:rPr>
                <w:rFonts w:hint="eastAsia" w:ascii="宋体" w:hAnsi="宋体" w:cs="宋体"/>
                <w:color w:val="auto"/>
                <w:sz w:val="24"/>
                <w:highlight w:val="none"/>
                <w:u w:val="none"/>
              </w:rPr>
              <w:t xml:space="preserve">应密切关注上述网站公告，公告内容对各方具有约束力。</w:t>
            </w:r>
            <w:r/>
          </w:p>
          <w:p>
            <w:pPr>
              <w:rPr>
                <w:color w:val="auto"/>
                <w:highlight w:val="none"/>
              </w:rPr>
            </w:pPr>
            <w:r>
              <w:rPr>
                <w:rFonts w:hint="eastAsia" w:ascii="宋体" w:hAnsi="宋体" w:cs="宋体"/>
                <w:color w:val="auto"/>
                <w:sz w:val="24"/>
                <w:highlight w:val="none"/>
                <w:u w:val="none"/>
              </w:rPr>
              <w:t xml:space="preserve">（四）</w:t>
            </w:r>
            <w:r>
              <w:rPr>
                <w:rFonts w:hint="eastAsia" w:ascii="宋体" w:hAnsi="宋体" w:cs="宋体"/>
                <w:color w:val="auto"/>
                <w:sz w:val="24"/>
                <w:highlight w:val="none"/>
                <w:u w:val="none"/>
                <w:lang w:eastAsia="zh-CN"/>
              </w:rPr>
              <w:t xml:space="preserve">投标人</w:t>
            </w:r>
            <w:r>
              <w:rPr>
                <w:rFonts w:hint="eastAsia" w:ascii="宋体" w:hAnsi="宋体" w:cs="宋体"/>
                <w:color w:val="auto"/>
                <w:sz w:val="24"/>
                <w:highlight w:val="none"/>
                <w:u w:val="none"/>
              </w:rPr>
              <w:t xml:space="preserve">责任：</w:t>
            </w:r>
            <w:r>
              <w:rPr>
                <w:rFonts w:hint="eastAsia" w:ascii="宋体" w:hAnsi="宋体" w:cs="宋体"/>
                <w:color w:val="auto"/>
                <w:sz w:val="24"/>
                <w:highlight w:val="none"/>
                <w:u w:val="none"/>
                <w:lang w:eastAsia="zh-CN"/>
              </w:rPr>
              <w:t xml:space="preserve">投标人</w:t>
            </w:r>
            <w:r>
              <w:rPr>
                <w:rFonts w:hint="eastAsia" w:ascii="宋体" w:hAnsi="宋体" w:cs="宋体"/>
                <w:color w:val="auto"/>
                <w:sz w:val="24"/>
                <w:highlight w:val="none"/>
                <w:u w:val="none"/>
              </w:rPr>
              <w:t xml:space="preserve">有责任确保自身网络环境、设备及数字证书（CA）的正常，并在招标文件规定的期限内完成文件上传、解密等操作。因</w:t>
            </w:r>
            <w:r>
              <w:rPr>
                <w:rFonts w:hint="eastAsia" w:ascii="宋体" w:hAnsi="宋体" w:cs="宋体"/>
                <w:color w:val="auto"/>
                <w:sz w:val="24"/>
                <w:highlight w:val="none"/>
                <w:u w:val="none"/>
                <w:lang w:eastAsia="zh-CN"/>
              </w:rPr>
              <w:t xml:space="preserve">投标人</w:t>
            </w:r>
            <w:r>
              <w:rPr>
                <w:rFonts w:hint="eastAsia" w:ascii="宋体" w:hAnsi="宋体" w:cs="宋体"/>
                <w:color w:val="auto"/>
                <w:sz w:val="24"/>
                <w:highlight w:val="none"/>
                <w:u w:val="none"/>
              </w:rPr>
              <w:t xml:space="preserve">自身原因导致的操作失败，不适用本意外情况处理条款。</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r>
    </w:tbl>
    <w:p>
      <w:pPr>
        <w:jc w:val="both"/>
        <w:spacing w:line="360" w:lineRule="auto"/>
        <w:tabs>
          <w:tab w:val="left" w:pos="5580" w:leader="none"/>
        </w:tabs>
        <w:rPr>
          <w:color w:val="auto"/>
          <w:sz w:val="24"/>
          <w:highlight w:val="none"/>
        </w:rPr>
        <w:sectPr>
          <w:headerReference w:type="default" r:id="rId11"/>
          <w:headerReference w:type="first" r:id="rId12"/>
          <w:footerReference w:type="default" r:id="rId21"/>
          <w:footerReference w:type="first" r:id="rId22"/>
          <w:footnotePr/>
          <w:endnotePr/>
          <w:type w:val="nextColumn"/>
          <w:pgSz w:w="11907" w:h="16840" w:orient="portrait"/>
          <w:pgMar w:top="1418" w:right="1134" w:bottom="1418" w:left="1701" w:header="851" w:footer="851" w:gutter="0"/>
          <w:cols w:num="1" w:sep="0" w:space="720" w:equalWidth="1"/>
          <w:docGrid w:linePitch="360"/>
          <w:titlePg/>
        </w:sectPr>
      </w:pPr>
      <w:r>
        <w:rPr>
          <w:color w:val="auto"/>
          <w:sz w:val="24"/>
          <w:highlight w:val="none"/>
        </w:rPr>
      </w:r>
      <w:r/>
    </w:p>
    <w:p>
      <w:pPr>
        <w:jc w:val="center"/>
        <w:spacing w:before="312" w:after="312"/>
        <w:rPr>
          <w:b/>
          <w:color w:val="auto"/>
          <w:sz w:val="28"/>
          <w:szCs w:val="28"/>
          <w:highlight w:val="none"/>
        </w:rPr>
      </w:pPr>
      <w:r/>
      <w:bookmarkStart w:id="70" w:name="_Toc264969207"/>
      <w:r/>
      <w:bookmarkStart w:id="71" w:name="_Toc353873662"/>
      <w:r/>
      <w:bookmarkStart w:id="72" w:name="_Toc195842882"/>
      <w:r/>
      <w:bookmarkStart w:id="73" w:name="_Toc353873932"/>
      <w:r/>
      <w:bookmarkStart w:id="74" w:name="_Toc265228355"/>
      <w:r/>
      <w:bookmarkStart w:id="75" w:name="_Toc226337213"/>
      <w:r/>
      <w:bookmarkStart w:id="76" w:name="_Toc150774722"/>
      <w:r/>
      <w:bookmarkStart w:id="77" w:name="_Toc150480755"/>
      <w:r/>
      <w:bookmarkStart w:id="78" w:name="_Toc127151517"/>
      <w:r/>
      <w:bookmarkStart w:id="79" w:name="_Toc226965790"/>
      <w:r/>
      <w:bookmarkStart w:id="80" w:name="_Toc353825542"/>
      <w:r/>
      <w:bookmarkStart w:id="81" w:name="_Toc305158859"/>
      <w:r/>
      <w:bookmarkStart w:id="82" w:name="_Toc142311019"/>
      <w:r/>
      <w:bookmarkStart w:id="83" w:name="_Toc305158785"/>
      <w:r>
        <w:rPr>
          <w:b/>
          <w:color w:val="auto"/>
          <w:sz w:val="28"/>
          <w:szCs w:val="28"/>
          <w:highlight w:val="none"/>
        </w:rPr>
        <w:t xml:space="preserve">投标人须知</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
    </w:p>
    <w:p>
      <w:pPr>
        <w:jc w:val="center"/>
        <w:spacing w:line="360" w:lineRule="auto"/>
        <w:rPr>
          <w:rFonts w:ascii="宋体" w:hAnsi="宋体"/>
          <w:b/>
          <w:bCs/>
          <w:color w:val="auto"/>
          <w:sz w:val="28"/>
          <w:szCs w:val="28"/>
          <w:highlight w:val="none"/>
        </w:rPr>
      </w:pPr>
      <w:r/>
      <w:bookmarkStart w:id="84" w:name="_Toc265228356"/>
      <w:r/>
      <w:bookmarkStart w:id="85" w:name="_Toc127151518"/>
      <w:r/>
      <w:bookmarkStart w:id="86" w:name="_Toc305158860"/>
      <w:r/>
      <w:bookmarkStart w:id="87" w:name="_Toc520356143"/>
      <w:r/>
      <w:bookmarkStart w:id="88" w:name="_Toc151193832"/>
      <w:r/>
      <w:bookmarkStart w:id="89" w:name="_Toc226965791"/>
      <w:r/>
      <w:bookmarkStart w:id="90" w:name="_Toc150480756"/>
      <w:r/>
      <w:bookmarkStart w:id="91" w:name="_Toc305158786"/>
      <w:r/>
      <w:bookmarkStart w:id="92" w:name="_Toc151193760"/>
      <w:r/>
      <w:bookmarkStart w:id="93" w:name="_Toc142311020"/>
      <w:r/>
      <w:bookmarkStart w:id="94" w:name="_Toc226337214"/>
      <w:r/>
      <w:bookmarkStart w:id="95" w:name="_Toc151190145"/>
      <w:r/>
      <w:bookmarkStart w:id="96" w:name="_Toc195842883"/>
      <w:r/>
      <w:bookmarkStart w:id="97" w:name="_Toc264969208"/>
      <w:r/>
      <w:bookmarkStart w:id="98" w:name="_Toc226965708"/>
      <w:r/>
      <w:bookmarkStart w:id="99" w:name="_Toc150509269"/>
      <w:r/>
      <w:bookmarkStart w:id="100" w:name="_Toc226309762"/>
      <w:r/>
      <w:bookmarkStart w:id="101" w:name="_Toc150774723"/>
      <w:r/>
      <w:bookmarkStart w:id="102" w:name="_Toc150774618"/>
      <w:r/>
      <w:bookmarkStart w:id="103" w:name="_Toc151193616"/>
      <w:r/>
      <w:bookmarkStart w:id="104" w:name="_Toc151193906"/>
      <w:r/>
      <w:bookmarkStart w:id="105" w:name="_Toc151193688"/>
      <w:r>
        <w:rPr>
          <w:rFonts w:hint="eastAsia" w:ascii="宋体" w:hAnsi="宋体"/>
          <w:b/>
          <w:bCs/>
          <w:color w:val="auto"/>
          <w:sz w:val="28"/>
          <w:szCs w:val="28"/>
          <w:highlight w:val="none"/>
        </w:rPr>
        <w:t xml:space="preserve">一   说  明</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
    </w:p>
    <w:p>
      <w:pPr>
        <w:numPr>
          <w:ilvl w:val="0"/>
          <w:numId w:val="8"/>
        </w:numPr>
        <w:ind w:left="357" w:hanging="357"/>
        <w:spacing w:line="360" w:lineRule="auto"/>
        <w:tabs>
          <w:tab w:val="left" w:pos="360" w:leader="none"/>
          <w:tab w:val="clear" w:pos="900" w:leader="none"/>
        </w:tabs>
        <w:rPr>
          <w:rFonts w:ascii="宋体" w:hAnsi="宋体" w:cs="宋体"/>
          <w:color w:val="auto"/>
          <w:sz w:val="24"/>
          <w:highlight w:val="none"/>
        </w:rPr>
      </w:pPr>
      <w:r/>
      <w:bookmarkStart w:id="106" w:name="_Toc265228357"/>
      <w:r/>
      <w:bookmarkStart w:id="107" w:name="_Toc305158861"/>
      <w:r/>
      <w:bookmarkStart w:id="108" w:name="_Toc264969209"/>
      <w:r/>
      <w:bookmarkStart w:id="109" w:name="_Toc305158787"/>
      <w:r>
        <w:rPr>
          <w:rFonts w:hint="eastAsia" w:ascii="宋体" w:hAnsi="宋体" w:cs="宋体"/>
          <w:color w:val="auto"/>
          <w:sz w:val="24"/>
          <w:highlight w:val="none"/>
        </w:rPr>
        <w:t xml:space="preserve">采购人、采购代理机构、投标人</w:t>
      </w:r>
      <w:bookmarkEnd w:id="106"/>
      <w:r/>
      <w:bookmarkEnd w:id="107"/>
      <w:r/>
      <w:bookmarkEnd w:id="108"/>
      <w:r/>
      <w:bookmarkEnd w:id="109"/>
      <w:r>
        <w:rPr>
          <w:rFonts w:hint="eastAsia" w:ascii="宋体" w:hAnsi="宋体" w:cs="宋体"/>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投标人（也称“供应商”、“申请人”）：指向采购人提供货物、工程或者服务的法人、其他组织或者自然人。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rFonts w:ascii="宋体" w:hAnsi="宋体" w:cs="宋体"/>
          <w:color w:val="auto"/>
          <w:sz w:val="24"/>
          <w:highlight w:val="none"/>
        </w:rPr>
      </w:pPr>
      <w:r/>
      <w:bookmarkStart w:id="110" w:name="_Toc226965710"/>
      <w:r/>
      <w:bookmarkStart w:id="111" w:name="_Toc195842885"/>
      <w:r/>
      <w:bookmarkStart w:id="112" w:name="_Toc151190147"/>
      <w:r/>
      <w:bookmarkStart w:id="113" w:name="_Toc149720813"/>
      <w:r/>
      <w:bookmarkStart w:id="114" w:name="_Toc150509271"/>
      <w:r/>
      <w:bookmarkStart w:id="115" w:name="_Toc305158788"/>
      <w:r/>
      <w:bookmarkStart w:id="116" w:name="_Toc142311022"/>
      <w:r/>
      <w:bookmarkStart w:id="117" w:name="_Toc127151520"/>
      <w:r/>
      <w:bookmarkStart w:id="118" w:name="_Toc226965793"/>
      <w:r/>
      <w:bookmarkStart w:id="119" w:name="_Toc264969210"/>
      <w:r/>
      <w:bookmarkStart w:id="120" w:name="_Toc151193834"/>
      <w:r/>
      <w:bookmarkStart w:id="121" w:name="_Toc164351614"/>
      <w:r/>
      <w:bookmarkStart w:id="122" w:name="_Toc164229215"/>
      <w:r/>
      <w:bookmarkStart w:id="123" w:name="_Toc150774620"/>
      <w:r/>
      <w:bookmarkStart w:id="124" w:name="_Toc150480758"/>
      <w:r/>
      <w:bookmarkStart w:id="125" w:name="_Toc127151721"/>
      <w:r/>
      <w:bookmarkStart w:id="126" w:name="_Toc164608789"/>
      <w:r/>
      <w:bookmarkStart w:id="127" w:name="_Toc151193908"/>
      <w:r/>
      <w:bookmarkStart w:id="128" w:name="_Toc151193762"/>
      <w:r/>
      <w:bookmarkStart w:id="129" w:name="_Toc265228358"/>
      <w:r/>
      <w:bookmarkStart w:id="130" w:name="_Toc164608634"/>
      <w:r/>
      <w:bookmarkStart w:id="131" w:name="_Toc150774725"/>
      <w:r/>
      <w:bookmarkStart w:id="132" w:name="_Toc164229361"/>
      <w:r/>
      <w:bookmarkStart w:id="133" w:name="_Toc226309764"/>
      <w:r/>
      <w:bookmarkStart w:id="134" w:name="_Toc305158862"/>
      <w:r/>
      <w:bookmarkStart w:id="135" w:name="_Toc226337216"/>
      <w:r/>
      <w:bookmarkStart w:id="136" w:name="_Toc151193690"/>
      <w:r/>
      <w:bookmarkStart w:id="137" w:name="_Toc151193618"/>
      <w:r/>
      <w:bookmarkStart w:id="138" w:name="_Toc127161434"/>
      <w:r>
        <w:rPr>
          <w:rFonts w:hint="eastAsia" w:ascii="宋体" w:hAnsi="宋体" w:cs="宋体"/>
          <w:color w:val="auto"/>
          <w:sz w:val="24"/>
          <w:highlight w:val="none"/>
        </w:rPr>
        <w:t xml:space="preserve">资金来源</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Pr>
          <w:rFonts w:hint="eastAsia" w:ascii="宋体" w:hAnsi="宋体" w:cs="宋体"/>
          <w:color w:val="auto"/>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是否属于科研仪器设备采购见《投标人须知资料表》。（本项目不涉及）</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核心产品见《投标人须知资料表》。（本项目不涉及）</w:t>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若《投标人须知资料表》中规定了组织现场考察、召开开标前答疑会，则投标人应按要求在规定的时间和地点参加。</w:t>
      </w:r>
      <w:bookmarkStart w:id="139" w:name="_Toc151193692"/>
      <w:r/>
      <w:bookmarkStart w:id="140" w:name="_Toc226965795"/>
      <w:r/>
      <w:bookmarkStart w:id="141" w:name="_Toc150774622"/>
      <w:r/>
      <w:bookmarkStart w:id="142" w:name="_Toc264969212"/>
      <w:r/>
      <w:bookmarkStart w:id="143" w:name="_Toc226965712"/>
      <w:r/>
      <w:bookmarkStart w:id="144" w:name="_Toc151193620"/>
      <w:r/>
      <w:bookmarkStart w:id="145" w:name="_Toc195842887"/>
      <w:r/>
      <w:bookmarkStart w:id="146" w:name="_Toc151193836"/>
      <w:r/>
      <w:bookmarkStart w:id="147" w:name="_Toc150774727"/>
      <w:r/>
      <w:bookmarkStart w:id="148" w:name="_Toc305158790"/>
      <w:r/>
      <w:bookmarkStart w:id="149" w:name="_Toc151193910"/>
      <w:r/>
      <w:bookmarkStart w:id="150" w:name="_Toc127151522"/>
      <w:r/>
      <w:bookmarkStart w:id="151" w:name="_Toc142311024"/>
      <w:r/>
      <w:bookmarkStart w:id="152" w:name="_Toc520356146"/>
      <w:r/>
      <w:bookmarkStart w:id="153" w:name="_Toc265228360"/>
      <w:r/>
      <w:bookmarkStart w:id="154" w:name="_Toc151193764"/>
      <w:r/>
      <w:bookmarkStart w:id="155" w:name="_Toc150480760"/>
      <w:r/>
      <w:bookmarkStart w:id="156" w:name="_Toc151190149"/>
      <w:r/>
      <w:bookmarkStart w:id="157" w:name="_Toc226309766"/>
      <w:r/>
      <w:bookmarkStart w:id="158" w:name="_Toc226337218"/>
      <w:r/>
      <w:bookmarkStart w:id="159" w:name="_Toc150509273"/>
      <w:r/>
      <w:bookmarkStart w:id="160" w:name="_Toc305158864"/>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样品（本项目不涉及）</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 w:val="clear" w:pos="900" w:leader="none"/>
        </w:tabs>
        <w:rPr>
          <w:rFonts w:ascii="宋体" w:hAnsi="宋体" w:cs="宋体"/>
          <w:color w:val="auto"/>
          <w:sz w:val="24"/>
          <w:highlight w:val="none"/>
        </w:rPr>
      </w:pPr>
      <w:r>
        <w:rPr>
          <w:rFonts w:hint="eastAsia" w:ascii="宋体" w:hAnsi="宋体" w:cs="宋体"/>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进口产品（本项目不涉及）</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中小企业、监狱企业及残疾人福利性单位</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中小企业定义：</w:t>
      </w:r>
      <w:r/>
    </w:p>
    <w:p>
      <w:pPr>
        <w:pStyle w:val="1381"/>
        <w:numPr>
          <w:ilvl w:val="0"/>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381"/>
        <w:numPr>
          <w:ilvl w:val="0"/>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381"/>
        <w:numPr>
          <w:ilvl w:val="0"/>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381"/>
        <w:numPr>
          <w:ilvl w:val="0"/>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381"/>
        <w:numPr>
          <w:ilvl w:val="0"/>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381"/>
        <w:numPr>
          <w:ilvl w:val="1"/>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381"/>
        <w:numPr>
          <w:ilvl w:val="1"/>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381"/>
        <w:numPr>
          <w:ilvl w:val="2"/>
          <w:numId w:val="9"/>
        </w:numPr>
        <w:spacing w:line="360" w:lineRule="auto"/>
        <w:tabs>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残疾人福利单位定义：享受政府采购支持政策的残疾人福利性单位应当同时满足以下条件：</w:t>
      </w:r>
      <w:r/>
    </w:p>
    <w:p>
      <w:pPr>
        <w:pStyle w:val="1381"/>
        <w:numPr>
          <w:ilvl w:val="2"/>
          <w:numId w:val="9"/>
        </w:numPr>
        <w:spacing w:line="360" w:lineRule="auto"/>
        <w:tabs>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381"/>
        <w:numPr>
          <w:ilvl w:val="2"/>
          <w:numId w:val="9"/>
        </w:numPr>
        <w:spacing w:line="360" w:lineRule="auto"/>
        <w:tabs>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本项目是否专门面向中小企业预留采购份额见第一章《投标邀请》。</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采购标的对应的中小企业划分标准所属行业见《投标人须知资料表》。</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政府采购节能产品、环境标志产品（本项目不涉及）</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非政府强制采购的节能产品或环境标志产品，依据品目清单和认证证书实施政府优先采购。优先采购的具体规定见第四章《评标方法和评标标准》（本项目不涉及）。</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支持乡村产业振兴管理（本项目不涉及）</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正版软件（本项目不涉及）</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政府采购创新产品政策（本项目不涉及）</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绿色采购政策</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推广应用绿色建材</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优先使用低挥发性有机化合物产品</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投标费用</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jc w:val="center"/>
        <w:spacing w:line="360" w:lineRule="auto"/>
        <w:rPr>
          <w:rFonts w:ascii="宋体" w:hAnsi="宋体"/>
          <w:b/>
          <w:bCs/>
          <w:color w:val="auto"/>
          <w:sz w:val="28"/>
          <w:szCs w:val="28"/>
          <w:highlight w:val="none"/>
        </w:rPr>
      </w:pPr>
      <w:r/>
      <w:bookmarkStart w:id="161" w:name="_1.8_计量单位"/>
      <w:r/>
      <w:bookmarkEnd w:id="161"/>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二   招标文件</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162" w:name="_Toc151193693"/>
      <w:r/>
      <w:bookmarkStart w:id="163" w:name="_Toc151193765"/>
      <w:r/>
      <w:bookmarkStart w:id="164" w:name="_Toc151193621"/>
      <w:r/>
      <w:bookmarkStart w:id="165" w:name="_Toc151190150"/>
      <w:r/>
      <w:bookmarkStart w:id="166" w:name="_Toc195842888"/>
      <w:r/>
      <w:bookmarkStart w:id="167" w:name="_Toc150774728"/>
      <w:r/>
      <w:bookmarkStart w:id="168" w:name="_Toc226965713"/>
      <w:r/>
      <w:bookmarkStart w:id="169" w:name="_Toc142311025"/>
      <w:r/>
      <w:bookmarkStart w:id="170" w:name="_Toc226965796"/>
      <w:r/>
      <w:bookmarkStart w:id="171" w:name="_Toc305158865"/>
      <w:r/>
      <w:bookmarkStart w:id="172" w:name="_Toc151193911"/>
      <w:r/>
      <w:bookmarkStart w:id="173" w:name="_Toc150509274"/>
      <w:r/>
      <w:bookmarkStart w:id="174" w:name="_Toc164229364"/>
      <w:r/>
      <w:bookmarkStart w:id="175" w:name="_Toc520356147"/>
      <w:r/>
      <w:bookmarkStart w:id="176" w:name="_Toc305158791"/>
      <w:r/>
      <w:bookmarkStart w:id="177" w:name="_Toc265228361"/>
      <w:r/>
      <w:bookmarkStart w:id="178" w:name="_Toc150480761"/>
      <w:r/>
      <w:bookmarkStart w:id="179" w:name="_Toc226337219"/>
      <w:r/>
      <w:bookmarkStart w:id="180" w:name="_Toc127161437"/>
      <w:r/>
      <w:bookmarkStart w:id="181" w:name="_Toc127151724"/>
      <w:r/>
      <w:bookmarkStart w:id="182" w:name="_Toc150774623"/>
      <w:r/>
      <w:bookmarkStart w:id="183" w:name="_Toc151193837"/>
      <w:r/>
      <w:bookmarkStart w:id="184" w:name="_Toc164351617"/>
      <w:r/>
      <w:bookmarkStart w:id="185" w:name="_Toc264969213"/>
      <w:r/>
      <w:bookmarkStart w:id="186" w:name="_Toc164229218"/>
      <w:r/>
      <w:bookmarkStart w:id="187" w:name="_Toc127151523"/>
      <w:r/>
      <w:bookmarkStart w:id="188" w:name="_Toc164608792"/>
      <w:r/>
      <w:bookmarkStart w:id="189" w:name="_Toc149720816"/>
      <w:r/>
      <w:bookmarkStart w:id="190" w:name="_Toc164608637"/>
      <w:r/>
      <w:bookmarkStart w:id="191" w:name="_Toc226309767"/>
      <w:r>
        <w:rPr>
          <w:rFonts w:hint="eastAsia" w:ascii="宋体" w:hAnsi="宋体" w:cs="宋体"/>
          <w:color w:val="auto"/>
          <w:sz w:val="24"/>
          <w:highlight w:val="none"/>
        </w:rPr>
        <w:t xml:space="preserve">招标文件构</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Pr>
          <w:rFonts w:hint="eastAsia" w:ascii="宋体" w:hAnsi="宋体" w:cs="宋体"/>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投标邀请</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投标人须知</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资格审查</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jc w:val="center"/>
        <w:spacing w:line="360" w:lineRule="auto"/>
        <w:rPr>
          <w:rFonts w:ascii="宋体" w:hAnsi="宋体"/>
          <w:b/>
          <w:bCs/>
          <w:color w:val="auto"/>
          <w:sz w:val="28"/>
          <w:szCs w:val="28"/>
          <w:highlight w:val="none"/>
        </w:rPr>
      </w:pPr>
      <w:r/>
      <w:bookmarkStart w:id="192" w:name="_Toc516367020"/>
      <w:r/>
      <w:bookmarkStart w:id="193" w:name="_Toc151193696"/>
      <w:r/>
      <w:bookmarkStart w:id="194" w:name="_Toc226965716"/>
      <w:r/>
      <w:bookmarkStart w:id="195" w:name="_Toc151193768"/>
      <w:r/>
      <w:bookmarkStart w:id="196" w:name="_Toc150480764"/>
      <w:r/>
      <w:bookmarkStart w:id="197" w:name="_Toc265228364"/>
      <w:r/>
      <w:bookmarkStart w:id="198" w:name="_Toc226337222"/>
      <w:r/>
      <w:bookmarkStart w:id="199" w:name="_Toc127151526"/>
      <w:r/>
      <w:bookmarkStart w:id="200" w:name="_Toc520356150"/>
      <w:r/>
      <w:bookmarkStart w:id="201" w:name="_Toc150509277"/>
      <w:r/>
      <w:bookmarkStart w:id="202" w:name="_Toc264969216"/>
      <w:r/>
      <w:bookmarkStart w:id="203" w:name="_Toc226309770"/>
      <w:r/>
      <w:bookmarkStart w:id="204" w:name="_Toc305158868"/>
      <w:r/>
      <w:bookmarkStart w:id="205" w:name="_Toc151193914"/>
      <w:r/>
      <w:bookmarkStart w:id="206" w:name="_Toc151193840"/>
      <w:r/>
      <w:bookmarkStart w:id="207" w:name="_Toc226965799"/>
      <w:r/>
      <w:bookmarkStart w:id="208" w:name="_Toc150774626"/>
      <w:r/>
      <w:bookmarkStart w:id="209" w:name="_Toc305158794"/>
      <w:r/>
      <w:bookmarkStart w:id="210" w:name="_Toc151190153"/>
      <w:r/>
      <w:bookmarkStart w:id="211" w:name="_Toc151193624"/>
      <w:r/>
      <w:bookmarkStart w:id="212" w:name="_Toc142311028"/>
      <w:r/>
      <w:bookmarkStart w:id="213" w:name="_Toc195842891"/>
      <w:r/>
      <w:bookmarkStart w:id="214" w:name="_Toc150774731"/>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三   投标文件</w:t>
      </w:r>
      <w:bookmarkEnd w:id="192"/>
      <w:r>
        <w:rPr>
          <w:rFonts w:hint="eastAsia" w:ascii="宋体" w:hAnsi="宋体"/>
          <w:b/>
          <w:bCs/>
          <w:color w:val="auto"/>
          <w:sz w:val="28"/>
          <w:szCs w:val="28"/>
          <w:highlight w:val="none"/>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215" w:name="_Toc305158869"/>
      <w:r/>
      <w:bookmarkStart w:id="216" w:name="_Toc164608641"/>
      <w:r/>
      <w:bookmarkStart w:id="217" w:name="_Toc264969217"/>
      <w:r/>
      <w:bookmarkStart w:id="218" w:name="_Toc142311029"/>
      <w:r/>
      <w:bookmarkStart w:id="219" w:name="_Toc150774732"/>
      <w:r/>
      <w:bookmarkStart w:id="220" w:name="_Toc151193841"/>
      <w:r/>
      <w:bookmarkStart w:id="221" w:name="_Toc164229368"/>
      <w:r/>
      <w:bookmarkStart w:id="222" w:name="_Toc151193697"/>
      <w:r/>
      <w:bookmarkStart w:id="223" w:name="_Toc226337223"/>
      <w:r/>
      <w:bookmarkStart w:id="224" w:name="_Toc164229222"/>
      <w:r/>
      <w:bookmarkStart w:id="225" w:name="_Toc151193625"/>
      <w:r/>
      <w:bookmarkStart w:id="226" w:name="_Toc195842892"/>
      <w:r/>
      <w:bookmarkStart w:id="227" w:name="_Toc516367021"/>
      <w:r/>
      <w:bookmarkStart w:id="228" w:name="_Toc265228365"/>
      <w:r/>
      <w:bookmarkStart w:id="229" w:name="_Toc150774627"/>
      <w:r/>
      <w:bookmarkStart w:id="230" w:name="_Toc164351621"/>
      <w:r/>
      <w:bookmarkStart w:id="231" w:name="_Toc149720820"/>
      <w:r/>
      <w:bookmarkStart w:id="232" w:name="_Toc164608796"/>
      <w:r/>
      <w:bookmarkStart w:id="233" w:name="_Toc150509278"/>
      <w:r/>
      <w:bookmarkStart w:id="234" w:name="_Toc127151728"/>
      <w:r/>
      <w:bookmarkStart w:id="235" w:name="_Toc151190154"/>
      <w:r/>
      <w:bookmarkStart w:id="236" w:name="_Toc226965717"/>
      <w:r/>
      <w:bookmarkStart w:id="237" w:name="_Toc151193769"/>
      <w:r/>
      <w:bookmarkStart w:id="238" w:name="_Toc151193915"/>
      <w:r/>
      <w:bookmarkStart w:id="239" w:name="_Toc226965800"/>
      <w:r/>
      <w:bookmarkStart w:id="240" w:name="_Toc226309771"/>
      <w:r/>
      <w:bookmarkStart w:id="241" w:name="_Toc305158795"/>
      <w:r/>
      <w:bookmarkStart w:id="242" w:name="_Toc127161441"/>
      <w:r/>
      <w:bookmarkStart w:id="243" w:name="_Toc520356151"/>
      <w:r/>
      <w:bookmarkStart w:id="244" w:name="_Toc150480765"/>
      <w:r/>
      <w:bookmarkStart w:id="245" w:name="_Toc127151527"/>
      <w:r>
        <w:rPr>
          <w:rFonts w:hint="eastAsia" w:ascii="宋体" w:hAnsi="宋体" w:cs="宋体"/>
          <w:color w:val="auto"/>
          <w:sz w:val="24"/>
          <w:highlight w:val="none"/>
        </w:rPr>
        <w:t xml:space="preserve">投标范围、投标文件中计量单位的使用</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Pr>
          <w:rFonts w:hint="eastAsia" w:ascii="宋体" w:hAnsi="宋体" w:cs="宋体"/>
          <w:color w:val="auto"/>
          <w:sz w:val="24"/>
          <w:highlight w:val="none"/>
        </w:rPr>
        <w:t xml:space="preserve">及投标语言</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 xml:space="preserve">无效投标</w:t>
      </w:r>
      <w:r>
        <w:rPr>
          <w:rFonts w:hint="eastAsia" w:ascii="宋体" w:hAnsi="宋体" w:cs="宋体"/>
          <w:color w:val="auto"/>
          <w:sz w:val="24"/>
          <w:highlight w:val="none"/>
        </w:rPr>
        <w:t xml:space="preserve">。</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246" w:name="_Ref467306676"/>
      <w:r/>
      <w:bookmarkStart w:id="247" w:name="_Toc516367022"/>
      <w:r/>
      <w:bookmarkStart w:id="248" w:name="_Ref467306195"/>
      <w:r/>
      <w:bookmarkStart w:id="249" w:name="_Toc142311030"/>
      <w:r/>
      <w:bookmarkStart w:id="250" w:name="_Toc127151528"/>
      <w:r/>
      <w:bookmarkStart w:id="251" w:name="_Toc226337224"/>
      <w:r/>
      <w:bookmarkStart w:id="252" w:name="_Toc195842893"/>
      <w:r/>
      <w:bookmarkStart w:id="253" w:name="_Toc305158796"/>
      <w:r/>
      <w:bookmarkStart w:id="254" w:name="_Toc151193698"/>
      <w:r/>
      <w:bookmarkStart w:id="255" w:name="_Toc150480766"/>
      <w:r/>
      <w:bookmarkStart w:id="256" w:name="_Toc226309772"/>
      <w:r/>
      <w:bookmarkStart w:id="257" w:name="_Toc264969218"/>
      <w:r/>
      <w:bookmarkStart w:id="258" w:name="_Toc164608642"/>
      <w:r/>
      <w:bookmarkStart w:id="259" w:name="_Toc150774628"/>
      <w:r/>
      <w:bookmarkStart w:id="260" w:name="_Toc164608797"/>
      <w:r/>
      <w:bookmarkStart w:id="261" w:name="_Toc164229369"/>
      <w:r/>
      <w:bookmarkStart w:id="262" w:name="_Toc265228366"/>
      <w:r/>
      <w:bookmarkStart w:id="263" w:name="_Toc164229223"/>
      <w:r/>
      <w:bookmarkStart w:id="264" w:name="_Toc151193770"/>
      <w:r/>
      <w:bookmarkStart w:id="265" w:name="_Toc226965801"/>
      <w:r/>
      <w:bookmarkStart w:id="266" w:name="_Toc305158870"/>
      <w:r/>
      <w:bookmarkStart w:id="267" w:name="_Toc150774733"/>
      <w:r/>
      <w:bookmarkStart w:id="268" w:name="_Toc164351622"/>
      <w:r/>
      <w:bookmarkStart w:id="269" w:name="_Toc149720821"/>
      <w:r/>
      <w:bookmarkStart w:id="270" w:name="_Toc151193842"/>
      <w:r/>
      <w:bookmarkStart w:id="271" w:name="_Toc520356152"/>
      <w:r/>
      <w:bookmarkStart w:id="272" w:name="_Toc150509279"/>
      <w:r/>
      <w:bookmarkStart w:id="273" w:name="_Toc127151729"/>
      <w:r/>
      <w:bookmarkStart w:id="274" w:name="_Toc151193916"/>
      <w:r/>
      <w:bookmarkStart w:id="275" w:name="_Toc127161442"/>
      <w:r/>
      <w:bookmarkStart w:id="276" w:name="_Toc151193626"/>
      <w:r/>
      <w:bookmarkStart w:id="277" w:name="_Toc151190155"/>
      <w:r/>
      <w:bookmarkStart w:id="278" w:name="_Toc226965718"/>
      <w:r>
        <w:rPr>
          <w:rFonts w:hint="eastAsia" w:ascii="宋体" w:hAnsi="宋体" w:cs="宋体"/>
          <w:color w:val="auto"/>
          <w:sz w:val="24"/>
          <w:highlight w:val="none"/>
        </w:rPr>
        <w:t xml:space="preserve">投标文件</w:t>
      </w:r>
      <w:bookmarkEnd w:id="246"/>
      <w:r/>
      <w:bookmarkEnd w:id="247"/>
      <w:r/>
      <w:bookmarkEnd w:id="248"/>
      <w:r>
        <w:rPr>
          <w:rFonts w:hint="eastAsia" w:ascii="宋体" w:hAnsi="宋体" w:cs="宋体"/>
          <w:color w:val="auto"/>
          <w:sz w:val="24"/>
          <w:highlight w:val="none"/>
        </w:rPr>
        <w:t xml:space="preserve">构成</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bookmarkStart w:id="279" w:name="_Ref467052588"/>
      <w:r>
        <w:rPr>
          <w:rFonts w:hint="eastAsia" w:ascii="宋体" w:hAnsi="宋体" w:cs="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对于招标文件中标记了“实质性格式”文件的，</w:t>
      </w:r>
      <w:r>
        <w:rPr>
          <w:rFonts w:hint="eastAsia" w:ascii="宋体" w:hAnsi="宋体" w:cs="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投标人认为应附的其他材料。</w:t>
      </w:r>
      <w:bookmarkEnd w:id="279"/>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280" w:name="_Toc149720823"/>
      <w:r/>
      <w:bookmarkStart w:id="281" w:name="_Toc150774630"/>
      <w:r/>
      <w:bookmarkStart w:id="282" w:name="_Toc164229371"/>
      <w:r/>
      <w:bookmarkStart w:id="283" w:name="_Toc164351624"/>
      <w:r/>
      <w:bookmarkStart w:id="284" w:name="_Toc150480768"/>
      <w:r/>
      <w:bookmarkStart w:id="285" w:name="_Toc151193628"/>
      <w:r/>
      <w:bookmarkStart w:id="286" w:name="_Toc151193918"/>
      <w:r/>
      <w:bookmarkStart w:id="287" w:name="_Toc127161444"/>
      <w:r/>
      <w:bookmarkStart w:id="288" w:name="_Toc195842895"/>
      <w:r/>
      <w:bookmarkStart w:id="289" w:name="_Toc127151731"/>
      <w:r/>
      <w:bookmarkStart w:id="290" w:name="_Toc127151530"/>
      <w:r/>
      <w:bookmarkStart w:id="291" w:name="_Toc164608644"/>
      <w:r/>
      <w:bookmarkStart w:id="292" w:name="_Toc151193772"/>
      <w:r/>
      <w:bookmarkStart w:id="293" w:name="_Toc151193844"/>
      <w:r/>
      <w:bookmarkStart w:id="294" w:name="_Toc164229225"/>
      <w:r/>
      <w:bookmarkStart w:id="295" w:name="_Toc520356155"/>
      <w:r/>
      <w:bookmarkStart w:id="296" w:name="_Toc164608799"/>
      <w:r/>
      <w:bookmarkStart w:id="297" w:name="_Toc150774735"/>
      <w:r/>
      <w:bookmarkStart w:id="298" w:name="_Toc150509281"/>
      <w:r/>
      <w:bookmarkStart w:id="299" w:name="_Toc142311032"/>
      <w:r/>
      <w:bookmarkStart w:id="300" w:name="_Toc151193700"/>
      <w:r/>
      <w:bookmarkStart w:id="301" w:name="_Toc151190157"/>
      <w:r>
        <w:rPr>
          <w:rFonts w:hint="eastAsia" w:ascii="宋体" w:hAnsi="宋体" w:cs="宋体"/>
          <w:color w:val="auto"/>
          <w:sz w:val="24"/>
          <w:highlight w:val="none"/>
        </w:rPr>
        <w:t xml:space="preserve">投标报价</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投标人的报价应包括为完成本项目所发生的一切费用和税费，采购人将不再支付报价以外的任何费用。投标人的报价应包括但不限于下列内容，《投标人须知资料表》中有特殊规定的，从其规定。</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投标人不能提供任何有选择性或可调整的报价，否则其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302" w:name="_Toc226309775"/>
      <w:r/>
      <w:bookmarkStart w:id="303" w:name="_Toc151190158"/>
      <w:r/>
      <w:bookmarkStart w:id="304" w:name="_Toc151193701"/>
      <w:r/>
      <w:bookmarkStart w:id="305" w:name="_Toc164608645"/>
      <w:r/>
      <w:bookmarkStart w:id="306" w:name="_Ref467306513"/>
      <w:r/>
      <w:bookmarkStart w:id="307" w:name="_Toc151193919"/>
      <w:r/>
      <w:bookmarkStart w:id="308" w:name="_Toc150480769"/>
      <w:r/>
      <w:bookmarkStart w:id="309" w:name="_Toc151193773"/>
      <w:r/>
      <w:bookmarkStart w:id="310" w:name="_Toc226965804"/>
      <w:r/>
      <w:bookmarkStart w:id="311" w:name="_Toc127151531"/>
      <w:r/>
      <w:bookmarkStart w:id="312" w:name="_Toc150509282"/>
      <w:r/>
      <w:bookmarkStart w:id="313" w:name="_Toc164229372"/>
      <w:r/>
      <w:bookmarkStart w:id="314" w:name="_Toc226337227"/>
      <w:r/>
      <w:bookmarkStart w:id="315" w:name="_Toc164229226"/>
      <w:r/>
      <w:bookmarkStart w:id="316" w:name="_Toc149720824"/>
      <w:r/>
      <w:bookmarkStart w:id="317" w:name="_Toc151193629"/>
      <w:r/>
      <w:bookmarkStart w:id="318" w:name="_Toc142311033"/>
      <w:r/>
      <w:bookmarkStart w:id="319" w:name="_Toc305158873"/>
      <w:r/>
      <w:bookmarkStart w:id="320" w:name="_Toc151193845"/>
      <w:r/>
      <w:bookmarkStart w:id="321" w:name="_Toc226965721"/>
      <w:r/>
      <w:bookmarkStart w:id="322" w:name="_Toc127151732"/>
      <w:r/>
      <w:bookmarkStart w:id="323" w:name="_Toc520356156"/>
      <w:r/>
      <w:bookmarkStart w:id="324" w:name="_Toc150774631"/>
      <w:r/>
      <w:bookmarkStart w:id="325" w:name="_Toc127161445"/>
      <w:r/>
      <w:bookmarkStart w:id="326" w:name="_Toc150774736"/>
      <w:r/>
      <w:bookmarkStart w:id="327" w:name="_Toc164608800"/>
      <w:r/>
      <w:bookmarkStart w:id="328" w:name="_Toc305158799"/>
      <w:r/>
      <w:bookmarkStart w:id="329" w:name="_Toc164351625"/>
      <w:r/>
      <w:bookmarkStart w:id="330" w:name="_Toc265228369"/>
      <w:r/>
      <w:bookmarkStart w:id="331" w:name="_Toc264969221"/>
      <w:r/>
      <w:bookmarkStart w:id="332" w:name="_Toc195842896"/>
      <w:r>
        <w:rPr>
          <w:rFonts w:hint="eastAsia" w:ascii="宋体" w:hAnsi="宋体" w:cs="宋体"/>
          <w:color w:val="auto"/>
          <w:sz w:val="24"/>
          <w:highlight w:val="none"/>
        </w:rPr>
        <w:t xml:space="preserve">投标保证金</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ind w:left="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333" w:name="_Toc150480770"/>
      <w:r/>
      <w:bookmarkStart w:id="334" w:name="_Toc164608801"/>
      <w:r/>
      <w:bookmarkStart w:id="335" w:name="_Toc151193774"/>
      <w:r/>
      <w:bookmarkStart w:id="336" w:name="_Toc149720825"/>
      <w:r/>
      <w:bookmarkStart w:id="337" w:name="_Toc151193846"/>
      <w:r/>
      <w:bookmarkStart w:id="338" w:name="_Toc150509283"/>
      <w:r/>
      <w:bookmarkStart w:id="339" w:name="_Toc226309776"/>
      <w:r/>
      <w:bookmarkStart w:id="340" w:name="_Toc142311034"/>
      <w:r/>
      <w:bookmarkStart w:id="341" w:name="_Toc265228370"/>
      <w:r/>
      <w:bookmarkStart w:id="342" w:name="_Toc305158800"/>
      <w:r/>
      <w:bookmarkStart w:id="343" w:name="_Toc226965722"/>
      <w:r/>
      <w:bookmarkStart w:id="344" w:name="_Toc164351626"/>
      <w:r/>
      <w:bookmarkStart w:id="345" w:name="_Toc195842897"/>
      <w:r/>
      <w:bookmarkStart w:id="346" w:name="_Toc164229373"/>
      <w:r/>
      <w:bookmarkStart w:id="347" w:name="_Toc164608646"/>
      <w:r/>
      <w:bookmarkStart w:id="348" w:name="_Toc164229227"/>
      <w:r/>
      <w:bookmarkStart w:id="349" w:name="_Toc305158874"/>
      <w:r/>
      <w:bookmarkStart w:id="350" w:name="_Toc150774737"/>
      <w:r/>
      <w:bookmarkStart w:id="351" w:name="_Toc264969222"/>
      <w:r/>
      <w:bookmarkStart w:id="352" w:name="_Toc520356157"/>
      <w:r/>
      <w:bookmarkStart w:id="353" w:name="_Toc151193920"/>
      <w:r/>
      <w:bookmarkStart w:id="354" w:name="_Toc226337228"/>
      <w:r/>
      <w:bookmarkStart w:id="355" w:name="_Toc150774632"/>
      <w:r/>
      <w:bookmarkStart w:id="356" w:name="_Toc127151733"/>
      <w:r/>
      <w:bookmarkStart w:id="357" w:name="_Toc226965805"/>
      <w:r/>
      <w:bookmarkStart w:id="358" w:name="_Toc127151532"/>
      <w:r/>
      <w:bookmarkStart w:id="359" w:name="_Toc151193702"/>
      <w:r/>
      <w:bookmarkStart w:id="360" w:name="_Toc151190159"/>
      <w:r/>
      <w:bookmarkStart w:id="361" w:name="_Toc151193630"/>
      <w:r/>
      <w:bookmarkStart w:id="362" w:name="_Toc127161446"/>
      <w:r>
        <w:rPr>
          <w:rFonts w:hint="eastAsia" w:ascii="宋体" w:hAnsi="宋体" w:cs="宋体"/>
          <w:color w:val="auto"/>
          <w:sz w:val="24"/>
          <w:highlight w:val="none"/>
        </w:rPr>
        <w:t xml:space="preserve">投标有效期</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63" w:name="_Toc151193703"/>
      <w:r/>
      <w:bookmarkStart w:id="364" w:name="_Toc164608647"/>
      <w:r/>
      <w:bookmarkStart w:id="365" w:name="_Toc151193847"/>
      <w:r/>
      <w:bookmarkStart w:id="366" w:name="_Toc127151533"/>
      <w:r/>
      <w:bookmarkStart w:id="367" w:name="_Toc226965806"/>
      <w:r/>
      <w:bookmarkStart w:id="368" w:name="_Toc164608802"/>
      <w:r/>
      <w:bookmarkStart w:id="369" w:name="_Toc150774633"/>
      <w:r/>
      <w:bookmarkStart w:id="370" w:name="_Toc226337229"/>
      <w:r/>
      <w:bookmarkStart w:id="371" w:name="_Toc150509284"/>
      <w:r/>
      <w:bookmarkStart w:id="372" w:name="_Toc151193921"/>
      <w:r/>
      <w:bookmarkStart w:id="373" w:name="_Toc264969223"/>
      <w:r/>
      <w:bookmarkStart w:id="374" w:name="_Toc520356158"/>
      <w:r/>
      <w:bookmarkStart w:id="375" w:name="_Toc127151734"/>
      <w:r/>
      <w:bookmarkStart w:id="376" w:name="_Toc150480771"/>
      <w:r/>
      <w:bookmarkStart w:id="377" w:name="_Toc164229374"/>
      <w:r/>
      <w:bookmarkStart w:id="378" w:name="_Toc151193775"/>
      <w:r/>
      <w:bookmarkStart w:id="379" w:name="_Toc127161447"/>
      <w:r/>
      <w:bookmarkStart w:id="380" w:name="_Toc305158875"/>
      <w:r/>
      <w:bookmarkStart w:id="381" w:name="_Toc142311035"/>
      <w:r/>
      <w:bookmarkStart w:id="382" w:name="_Toc226965723"/>
      <w:r/>
      <w:bookmarkStart w:id="383" w:name="_Toc149720826"/>
      <w:r/>
      <w:bookmarkStart w:id="384" w:name="_Toc151193631"/>
      <w:r/>
      <w:bookmarkStart w:id="385" w:name="_Toc151190160"/>
      <w:r/>
      <w:bookmarkStart w:id="386" w:name="_Toc265228371"/>
      <w:r/>
      <w:bookmarkStart w:id="387" w:name="_Toc164351627"/>
      <w:r/>
      <w:bookmarkStart w:id="388" w:name="_Toc195842898"/>
      <w:r/>
      <w:bookmarkStart w:id="389" w:name="_Toc164229228"/>
      <w:r/>
      <w:bookmarkStart w:id="390" w:name="_Toc226309777"/>
      <w:r/>
      <w:bookmarkStart w:id="391" w:name="_Toc150774738"/>
      <w:r/>
      <w:bookmarkStart w:id="392" w:name="_Toc305158801"/>
      <w:r/>
      <w:bookmarkStart w:id="393" w:name="_Toc142311036"/>
      <w:r/>
      <w:bookmarkStart w:id="394" w:name="_Toc151193632"/>
      <w:r/>
      <w:bookmarkStart w:id="395" w:name="_Toc265228372"/>
      <w:r/>
      <w:bookmarkStart w:id="396" w:name="_Toc151193848"/>
      <w:r/>
      <w:bookmarkStart w:id="397" w:name="_Toc150774634"/>
      <w:r/>
      <w:bookmarkStart w:id="398" w:name="_Toc150509285"/>
      <w:r/>
      <w:bookmarkStart w:id="399" w:name="_Toc150774739"/>
      <w:r/>
      <w:bookmarkStart w:id="400" w:name="_Toc150480772"/>
      <w:r/>
      <w:bookmarkStart w:id="401" w:name="_Toc264969224"/>
      <w:r/>
      <w:bookmarkStart w:id="402" w:name="_Toc151190161"/>
      <w:r/>
      <w:bookmarkStart w:id="403" w:name="_Toc226965807"/>
      <w:r/>
      <w:bookmarkStart w:id="404" w:name="_Toc305158802"/>
      <w:r/>
      <w:bookmarkStart w:id="405" w:name="_Toc127151534"/>
      <w:r/>
      <w:bookmarkStart w:id="406" w:name="_Toc151193776"/>
      <w:r/>
      <w:bookmarkStart w:id="407" w:name="_Toc195842899"/>
      <w:r/>
      <w:bookmarkStart w:id="408" w:name="_Toc151193704"/>
      <w:r/>
      <w:bookmarkStart w:id="409" w:name="_Toc226337230"/>
      <w:r/>
      <w:bookmarkStart w:id="410" w:name="_Toc226309778"/>
      <w:r/>
      <w:bookmarkStart w:id="411" w:name="_Toc520356159"/>
      <w:r/>
      <w:bookmarkStart w:id="412" w:name="_Toc305158876"/>
      <w:r/>
      <w:bookmarkStart w:id="413" w:name="_Toc226965724"/>
      <w:r/>
      <w:bookmarkStart w:id="414" w:name="_Toc151193922"/>
      <w:r>
        <w:rPr>
          <w:color w:val="auto"/>
          <w:sz w:val="24"/>
          <w:highlight w:val="none"/>
        </w:rPr>
        <w:t xml:space="preserve">投标文件的签署</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Pr>
          <w:color w:val="auto"/>
          <w:sz w:val="24"/>
          <w:highlight w:val="none"/>
        </w:rPr>
        <w:t xml:space="preserve">、加盖公章</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
    </w:p>
    <w:p>
      <w:pPr>
        <w:pStyle w:val="1270"/>
        <w:spacing w:before="0" w:line="360" w:lineRule="auto"/>
        <w:rPr>
          <w:rFonts w:ascii="Times New Roman" w:hAnsi="Times New Roman" w:eastAsia="宋体"/>
          <w:color w:val="auto"/>
          <w:sz w:val="28"/>
          <w:highlight w:val="none"/>
        </w:rPr>
      </w:pPr>
      <w:r/>
      <w:bookmarkStart w:id="415" w:name="_Toc520356169"/>
      <w:r>
        <w:rPr>
          <w:rFonts w:ascii="Times New Roman" w:hAnsi="Times New Roman" w:eastAsia="宋体"/>
          <w:color w:val="auto"/>
          <w:sz w:val="28"/>
          <w:highlight w:val="none"/>
        </w:rPr>
        <w:t xml:space="preserve">四   投标文件的提交</w:t>
      </w:r>
      <w:r/>
    </w:p>
    <w:p>
      <w:pPr>
        <w:numPr>
          <w:ilvl w:val="0"/>
          <w:numId w:val="8"/>
        </w:numPr>
        <w:ind w:left="357" w:hanging="357"/>
        <w:spacing w:line="360" w:lineRule="auto"/>
        <w:tabs>
          <w:tab w:val="left" w:pos="360" w:leader="none"/>
        </w:tabs>
        <w:rPr>
          <w:color w:val="auto"/>
          <w:sz w:val="24"/>
          <w:highlight w:val="none"/>
        </w:rPr>
        <w:outlineLvl w:val="1"/>
      </w:pPr>
      <w:r/>
      <w:bookmarkStart w:id="416" w:name="_Toc127151736"/>
      <w:r/>
      <w:bookmarkStart w:id="417" w:name="_Toc164608804"/>
      <w:r/>
      <w:bookmarkStart w:id="418" w:name="_Toc520356160"/>
      <w:r/>
      <w:bookmarkStart w:id="419" w:name="_Toc264969225"/>
      <w:r/>
      <w:bookmarkStart w:id="420" w:name="_Toc226965725"/>
      <w:r/>
      <w:bookmarkStart w:id="421" w:name="_Toc164608649"/>
      <w:r/>
      <w:bookmarkStart w:id="422" w:name="_Toc226965808"/>
      <w:r/>
      <w:bookmarkStart w:id="423" w:name="_Toc142311037"/>
      <w:r/>
      <w:bookmarkStart w:id="424" w:name="_Toc150774635"/>
      <w:r/>
      <w:bookmarkStart w:id="425" w:name="_Toc149720828"/>
      <w:r/>
      <w:bookmarkStart w:id="426" w:name="_Toc150774740"/>
      <w:r/>
      <w:bookmarkStart w:id="427" w:name="_Toc150509286"/>
      <w:r/>
      <w:bookmarkStart w:id="428" w:name="_Toc164351629"/>
      <w:r/>
      <w:bookmarkStart w:id="429" w:name="_Toc127161449"/>
      <w:r/>
      <w:bookmarkStart w:id="430" w:name="_Toc151193705"/>
      <w:r/>
      <w:bookmarkStart w:id="431" w:name="_Toc151193633"/>
      <w:r/>
      <w:bookmarkStart w:id="432" w:name="_Toc226337231"/>
      <w:r/>
      <w:bookmarkStart w:id="433" w:name="_Toc151190162"/>
      <w:r/>
      <w:bookmarkStart w:id="434" w:name="_Toc127151535"/>
      <w:r/>
      <w:bookmarkStart w:id="435" w:name="_Toc151193923"/>
      <w:r/>
      <w:bookmarkStart w:id="436" w:name="_Toc150480773"/>
      <w:r/>
      <w:bookmarkStart w:id="437" w:name="_Toc164229230"/>
      <w:r/>
      <w:bookmarkStart w:id="438" w:name="_Toc305158803"/>
      <w:r/>
      <w:bookmarkStart w:id="439" w:name="_Toc195842900"/>
      <w:r/>
      <w:bookmarkStart w:id="440" w:name="_Toc265228373"/>
      <w:r/>
      <w:bookmarkStart w:id="441" w:name="_Toc305158877"/>
      <w:r/>
      <w:bookmarkStart w:id="442" w:name="_Toc151193777"/>
      <w:r/>
      <w:bookmarkStart w:id="443" w:name="_Toc151193849"/>
      <w:r/>
      <w:bookmarkStart w:id="444" w:name="_Toc226309779"/>
      <w:r/>
      <w:bookmarkStart w:id="445" w:name="_Toc164229376"/>
      <w:r>
        <w:rPr>
          <w:color w:val="auto"/>
          <w:sz w:val="24"/>
          <w:highlight w:val="none"/>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color w:val="auto"/>
          <w:sz w:val="24"/>
          <w:highlight w:val="none"/>
        </w:rPr>
        <w:t xml:space="preserve">提交</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lang w:bidi="ar"/>
        </w:rPr>
        <w:t xml:space="preserve">“苏采云”政府采购一体化平台</w:t>
      </w:r>
      <w:r>
        <w:rPr>
          <w:color w:val="auto"/>
          <w:sz w:val="24"/>
          <w:highlight w:val="none"/>
        </w:rPr>
        <w:t xml:space="preserve">。投标人根据招标文件及</w:t>
      </w:r>
      <w:r>
        <w:rPr>
          <w:rFonts w:hint="eastAsia"/>
          <w:color w:val="auto"/>
          <w:sz w:val="24"/>
          <w:highlight w:val="none"/>
          <w:lang w:bidi="ar"/>
        </w:rPr>
        <w:t xml:space="preserve">“苏采云”政府采购一体化平台</w:t>
      </w:r>
      <w:r>
        <w:rPr>
          <w:color w:val="auto"/>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w:t>
      </w:r>
      <w:r>
        <w:rPr>
          <w:rFonts w:hint="eastAsia"/>
          <w:color w:val="auto"/>
          <w:sz w:val="24"/>
          <w:highlight w:val="none"/>
        </w:rPr>
        <w:t xml:space="preserve">“苏采云”政府采购一体化平台</w:t>
      </w:r>
      <w:r>
        <w:rPr>
          <w:color w:val="auto"/>
          <w:sz w:val="24"/>
          <w:highlight w:val="none"/>
        </w:rPr>
        <w:t xml:space="preserve">以外任何形式提交的投标文件。</w:t>
      </w:r>
      <w:r/>
    </w:p>
    <w:p>
      <w:pPr>
        <w:numPr>
          <w:ilvl w:val="0"/>
          <w:numId w:val="8"/>
        </w:numPr>
        <w:ind w:left="357" w:hanging="357"/>
        <w:spacing w:line="360" w:lineRule="auto"/>
        <w:tabs>
          <w:tab w:val="left" w:pos="360" w:leader="none"/>
        </w:tabs>
        <w:rPr>
          <w:color w:val="auto"/>
          <w:sz w:val="24"/>
          <w:highlight w:val="none"/>
        </w:rPr>
        <w:outlineLvl w:val="1"/>
      </w:pPr>
      <w:r/>
      <w:bookmarkStart w:id="446" w:name="_Toc142311038"/>
      <w:r/>
      <w:bookmarkStart w:id="447" w:name="_Toc150774741"/>
      <w:r/>
      <w:bookmarkStart w:id="448" w:name="_Toc264969226"/>
      <w:r/>
      <w:bookmarkStart w:id="449" w:name="_Toc150480774"/>
      <w:r/>
      <w:bookmarkStart w:id="450" w:name="_Toc164351630"/>
      <w:r/>
      <w:bookmarkStart w:id="451" w:name="_Toc151193850"/>
      <w:r/>
      <w:bookmarkStart w:id="452" w:name="_Toc127161450"/>
      <w:r/>
      <w:bookmarkStart w:id="453" w:name="_Toc127151536"/>
      <w:r/>
      <w:bookmarkStart w:id="454" w:name="_Toc305158878"/>
      <w:r/>
      <w:bookmarkStart w:id="455" w:name="_Toc151190163"/>
      <w:r/>
      <w:bookmarkStart w:id="456" w:name="_Toc265228374"/>
      <w:r/>
      <w:bookmarkStart w:id="457" w:name="_Toc305158804"/>
      <w:r/>
      <w:bookmarkStart w:id="458" w:name="_Toc151193778"/>
      <w:r/>
      <w:bookmarkStart w:id="459" w:name="_Toc195842901"/>
      <w:r/>
      <w:bookmarkStart w:id="460" w:name="_Toc226337232"/>
      <w:r/>
      <w:bookmarkStart w:id="461" w:name="_Toc520356161"/>
      <w:r/>
      <w:bookmarkStart w:id="462" w:name="_Toc164229377"/>
      <w:r/>
      <w:bookmarkStart w:id="463" w:name="_Toc164229231"/>
      <w:r/>
      <w:bookmarkStart w:id="464" w:name="_Toc150509287"/>
      <w:r/>
      <w:bookmarkStart w:id="465" w:name="_Toc226965809"/>
      <w:r/>
      <w:bookmarkStart w:id="466" w:name="_Toc226965726"/>
      <w:r/>
      <w:bookmarkStart w:id="467" w:name="_Toc226309780"/>
      <w:r/>
      <w:bookmarkStart w:id="468" w:name="_Toc164608650"/>
      <w:r/>
      <w:bookmarkStart w:id="469" w:name="_Toc149720829"/>
      <w:r/>
      <w:bookmarkStart w:id="470" w:name="_Toc151193924"/>
      <w:r/>
      <w:bookmarkStart w:id="471" w:name="_Toc127151737"/>
      <w:r/>
      <w:bookmarkStart w:id="472" w:name="_Toc150774636"/>
      <w:r/>
      <w:bookmarkStart w:id="473" w:name="_Toc151193706"/>
      <w:r/>
      <w:bookmarkStart w:id="474" w:name="_Toc151193634"/>
      <w:r/>
      <w:bookmarkStart w:id="475" w:name="_Toc164608805"/>
      <w:r>
        <w:rPr>
          <w:color w:val="auto"/>
          <w:sz w:val="24"/>
          <w:highlight w:val="none"/>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color w:val="auto"/>
          <w:sz w:val="24"/>
          <w:highlight w:val="none"/>
        </w:rPr>
        <w:t xml:space="preserve">时间</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投标人应在招标文件要求提交投标文件截止时间前，将电子投标文件提交至</w:t>
      </w:r>
      <w:r>
        <w:rPr>
          <w:rFonts w:hint="eastAsia"/>
          <w:color w:val="auto"/>
          <w:sz w:val="24"/>
          <w:highlight w:val="none"/>
        </w:rPr>
        <w:t xml:space="preserve">“苏采云”政府采购一体化平台</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476" w:name="_Toc164351631"/>
      <w:r/>
      <w:bookmarkStart w:id="477" w:name="_Toc195842902"/>
      <w:r/>
      <w:bookmarkStart w:id="478" w:name="_Toc226965727"/>
      <w:r/>
      <w:bookmarkStart w:id="479" w:name="_Toc127151738"/>
      <w:r/>
      <w:bookmarkStart w:id="480" w:name="_Toc150774637"/>
      <w:r/>
      <w:bookmarkStart w:id="481" w:name="_Toc127161451"/>
      <w:r/>
      <w:bookmarkStart w:id="482" w:name="_Toc226309781"/>
      <w:r/>
      <w:bookmarkStart w:id="483" w:name="_Toc164229378"/>
      <w:r/>
      <w:bookmarkStart w:id="484" w:name="_Toc127151537"/>
      <w:r/>
      <w:bookmarkStart w:id="485" w:name="_Toc164608651"/>
      <w:r/>
      <w:bookmarkStart w:id="486" w:name="_Toc151193925"/>
      <w:r/>
      <w:bookmarkStart w:id="487" w:name="_Toc150480775"/>
      <w:r/>
      <w:bookmarkStart w:id="488" w:name="_Toc150774742"/>
      <w:r/>
      <w:bookmarkStart w:id="489" w:name="_Toc164608806"/>
      <w:r/>
      <w:bookmarkStart w:id="490" w:name="_Toc151190164"/>
      <w:r/>
      <w:bookmarkStart w:id="491" w:name="_Toc151193779"/>
      <w:r/>
      <w:bookmarkStart w:id="492" w:name="_Toc305158805"/>
      <w:r/>
      <w:bookmarkStart w:id="493" w:name="_Toc151193851"/>
      <w:r/>
      <w:bookmarkStart w:id="494" w:name="_Toc151193707"/>
      <w:r/>
      <w:bookmarkStart w:id="495" w:name="_Toc151193635"/>
      <w:r/>
      <w:bookmarkStart w:id="496" w:name="_Toc265228375"/>
      <w:r/>
      <w:bookmarkStart w:id="497" w:name="_Toc150509288"/>
      <w:r/>
      <w:bookmarkStart w:id="498" w:name="_Toc226965810"/>
      <w:r/>
      <w:bookmarkStart w:id="499" w:name="_Toc149720830"/>
      <w:r/>
      <w:bookmarkStart w:id="500" w:name="_Toc142311039"/>
      <w:r/>
      <w:bookmarkStart w:id="501" w:name="_Toc226337233"/>
      <w:r/>
      <w:bookmarkStart w:id="502" w:name="_Toc305158879"/>
      <w:r/>
      <w:bookmarkStart w:id="503" w:name="_Toc520356162"/>
      <w:r/>
      <w:bookmarkStart w:id="504" w:name="_Toc164229232"/>
      <w:r/>
      <w:bookmarkStart w:id="505" w:name="_Toc264969227"/>
      <w:r>
        <w:rPr>
          <w:color w:val="auto"/>
          <w:sz w:val="24"/>
          <w:highlight w:val="none"/>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投标截止时间前，投标人可以通过</w:t>
      </w:r>
      <w:r>
        <w:rPr>
          <w:rFonts w:hint="eastAsia"/>
          <w:color w:val="auto"/>
          <w:sz w:val="24"/>
          <w:highlight w:val="none"/>
        </w:rPr>
        <w:t xml:space="preserve">“苏采云”政府采购一体化平台</w:t>
      </w:r>
      <w:r>
        <w:rPr>
          <w:color w:val="auto"/>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spacing w:line="360" w:lineRule="auto"/>
        <w:rPr>
          <w:color w:val="auto"/>
          <w:sz w:val="24"/>
          <w:highlight w:val="none"/>
        </w:rPr>
      </w:pPr>
      <w:r>
        <w:rPr>
          <w:color w:val="auto"/>
          <w:sz w:val="24"/>
          <w:highlight w:val="none"/>
        </w:rPr>
      </w:r>
      <w:r/>
    </w:p>
    <w:p>
      <w:pPr>
        <w:pStyle w:val="1270"/>
        <w:spacing w:before="0" w:line="360" w:lineRule="auto"/>
        <w:rPr>
          <w:rFonts w:ascii="Times New Roman" w:hAnsi="Times New Roman" w:eastAsia="宋体"/>
          <w:color w:val="auto"/>
          <w:sz w:val="28"/>
          <w:highlight w:val="none"/>
        </w:rPr>
      </w:pPr>
      <w:r/>
      <w:bookmarkStart w:id="506" w:name="_Toc151193636"/>
      <w:r/>
      <w:bookmarkStart w:id="507" w:name="_Toc151193852"/>
      <w:r/>
      <w:bookmarkStart w:id="508" w:name="_Toc305158806"/>
      <w:r/>
      <w:bookmarkStart w:id="509" w:name="_Toc151193926"/>
      <w:r/>
      <w:bookmarkStart w:id="510" w:name="_Toc520356163"/>
      <w:r/>
      <w:bookmarkStart w:id="511" w:name="_Toc226965811"/>
      <w:r/>
      <w:bookmarkStart w:id="512" w:name="_Toc195842903"/>
      <w:r/>
      <w:bookmarkStart w:id="513" w:name="_Toc150774638"/>
      <w:r/>
      <w:bookmarkStart w:id="514" w:name="_Toc150480776"/>
      <w:r/>
      <w:bookmarkStart w:id="515" w:name="_Toc127151538"/>
      <w:r/>
      <w:bookmarkStart w:id="516" w:name="_Toc151190165"/>
      <w:r/>
      <w:bookmarkStart w:id="517" w:name="_Toc264969228"/>
      <w:r/>
      <w:bookmarkStart w:id="518" w:name="_Toc226309782"/>
      <w:r/>
      <w:bookmarkStart w:id="519" w:name="_Toc150509289"/>
      <w:r/>
      <w:bookmarkStart w:id="520" w:name="_Toc142311040"/>
      <w:r/>
      <w:bookmarkStart w:id="521" w:name="_Toc305158880"/>
      <w:r/>
      <w:bookmarkStart w:id="522" w:name="_Toc226965728"/>
      <w:r/>
      <w:bookmarkStart w:id="523" w:name="_Toc151193780"/>
      <w:r/>
      <w:bookmarkStart w:id="524" w:name="_Toc226337234"/>
      <w:r/>
      <w:bookmarkStart w:id="525" w:name="_Toc150774743"/>
      <w:r/>
      <w:bookmarkStart w:id="526" w:name="_Toc265228376"/>
      <w:r/>
      <w:bookmarkStart w:id="527" w:name="_Toc151193708"/>
      <w:r>
        <w:rPr>
          <w:rFonts w:ascii="Times New Roman" w:hAnsi="Times New Roman" w:eastAsia="宋体"/>
          <w:color w:val="auto"/>
          <w:sz w:val="28"/>
          <w:highlight w:val="none"/>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numPr>
          <w:ilvl w:val="0"/>
          <w:numId w:val="8"/>
        </w:numPr>
        <w:ind w:left="357" w:hanging="357"/>
        <w:spacing w:line="360" w:lineRule="auto"/>
        <w:tabs>
          <w:tab w:val="left" w:pos="360" w:leader="none"/>
        </w:tabs>
        <w:rPr>
          <w:color w:val="auto"/>
          <w:sz w:val="24"/>
          <w:highlight w:val="none"/>
        </w:rPr>
        <w:outlineLvl w:val="1"/>
      </w:pPr>
      <w:r/>
      <w:bookmarkStart w:id="528" w:name="_Toc150774744"/>
      <w:r/>
      <w:bookmarkStart w:id="529" w:name="_Toc226965812"/>
      <w:r/>
      <w:bookmarkStart w:id="530" w:name="_Toc151193853"/>
      <w:r/>
      <w:bookmarkStart w:id="531" w:name="_Toc265228377"/>
      <w:r/>
      <w:bookmarkStart w:id="532" w:name="_Toc164229234"/>
      <w:r/>
      <w:bookmarkStart w:id="533" w:name="_Toc151193709"/>
      <w:r/>
      <w:bookmarkStart w:id="534" w:name="_Toc150774639"/>
      <w:r/>
      <w:bookmarkStart w:id="535" w:name="_Toc520356164"/>
      <w:r/>
      <w:bookmarkStart w:id="536" w:name="_Toc264969229"/>
      <w:r/>
      <w:bookmarkStart w:id="537" w:name="_Toc164608653"/>
      <w:r/>
      <w:bookmarkStart w:id="538" w:name="_Toc127161453"/>
      <w:r/>
      <w:bookmarkStart w:id="539" w:name="_Toc305158881"/>
      <w:r/>
      <w:bookmarkStart w:id="540" w:name="_Toc151193927"/>
      <w:r/>
      <w:bookmarkStart w:id="541" w:name="_Toc226965729"/>
      <w:r/>
      <w:bookmarkStart w:id="542" w:name="_Toc127151539"/>
      <w:r/>
      <w:bookmarkStart w:id="543" w:name="_Toc150480777"/>
      <w:r/>
      <w:bookmarkStart w:id="544" w:name="_Toc226337235"/>
      <w:r/>
      <w:bookmarkStart w:id="545" w:name="_Toc151190166"/>
      <w:r/>
      <w:bookmarkStart w:id="546" w:name="_Toc164229380"/>
      <w:r/>
      <w:bookmarkStart w:id="547" w:name="_Toc150509290"/>
      <w:r/>
      <w:bookmarkStart w:id="548" w:name="_Toc195842904"/>
      <w:r/>
      <w:bookmarkStart w:id="549" w:name="_Toc151193637"/>
      <w:r/>
      <w:bookmarkStart w:id="550" w:name="_Toc151193781"/>
      <w:r/>
      <w:bookmarkStart w:id="551" w:name="_Toc226309783"/>
      <w:r/>
      <w:bookmarkStart w:id="552" w:name="_Toc305158807"/>
      <w:r/>
      <w:bookmarkStart w:id="553" w:name="_Toc149720832"/>
      <w:r/>
      <w:bookmarkStart w:id="554" w:name="_Toc127151740"/>
      <w:r/>
      <w:bookmarkStart w:id="555" w:name="_Toc164608808"/>
      <w:r/>
      <w:bookmarkStart w:id="556" w:name="_Toc164351633"/>
      <w:r/>
      <w:bookmarkStart w:id="557" w:name="_Toc142311041"/>
      <w:r>
        <w:rPr>
          <w:color w:val="auto"/>
          <w:sz w:val="24"/>
          <w:highlight w:val="none"/>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“苏采云”政府采购一体化平台在线进行开标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开标过程将使用</w:t>
      </w:r>
      <w:r>
        <w:rPr>
          <w:rFonts w:hint="eastAsia"/>
          <w:color w:val="auto"/>
          <w:sz w:val="24"/>
          <w:highlight w:val="none"/>
        </w:rPr>
        <w:t xml:space="preserve">“苏采云”政府采购一体化平台公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bookmarkStart w:id="558" w:name="_Toc520356165"/>
      <w:r>
        <w:rPr>
          <w:rFonts w:hint="eastAsia"/>
          <w:color w:val="auto"/>
          <w:sz w:val="24"/>
          <w:highlight w:val="none"/>
        </w:rPr>
        <w:t xml:space="preserve">。投标人超过规定时间未确认但是未提出疑义的，系统将视同已确认</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投标人</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w:t>
      </w:r>
      <w:r>
        <w:rPr>
          <w:rFonts w:hint="eastAsia"/>
          <w:color w:val="auto"/>
          <w:sz w:val="24"/>
          <w:highlight w:val="none"/>
          <w:lang w:val="en-US" w:eastAsia="zh-CN"/>
        </w:rPr>
        <w:t xml:space="preserve">评标委员会</w:t>
      </w:r>
      <w:r>
        <w:rPr>
          <w:rFonts w:hint="eastAsia"/>
          <w:color w:val="auto"/>
          <w:sz w:val="24"/>
          <w:highlight w:val="none"/>
        </w:rPr>
        <w:t xml:space="preserve">发出的指令和要求进行响应操作。如果因为无人值守造成不能及时回应系统或者</w:t>
      </w:r>
      <w:r>
        <w:rPr>
          <w:rFonts w:hint="eastAsia"/>
          <w:color w:val="auto"/>
          <w:sz w:val="24"/>
          <w:highlight w:val="none"/>
          <w:lang w:val="en-US" w:eastAsia="zh-CN"/>
        </w:rPr>
        <w:t xml:space="preserve">评标委员会</w:t>
      </w:r>
      <w:r>
        <w:rPr>
          <w:rFonts w:hint="eastAsia"/>
          <w:color w:val="auto"/>
          <w:sz w:val="24"/>
          <w:highlight w:val="none"/>
        </w:rPr>
        <w:t xml:space="preserve">指令和要求从而导致影响开标、评审结果的，责任由投标人承担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“苏采云”政府采购一体化平台系统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资格审查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见第三章《资格审查》。</w:t>
      </w:r>
      <w:bookmarkEnd w:id="558"/>
      <w:r/>
      <w:r/>
    </w:p>
    <w:p>
      <w:pPr>
        <w:numPr>
          <w:ilvl w:val="0"/>
          <w:numId w:val="8"/>
        </w:numPr>
        <w:ind w:left="357" w:hanging="357"/>
        <w:spacing w:line="360" w:lineRule="auto"/>
        <w:tabs>
          <w:tab w:val="left" w:pos="360" w:leader="none"/>
        </w:tabs>
        <w:rPr>
          <w:color w:val="auto"/>
          <w:sz w:val="24"/>
          <w:highlight w:val="none"/>
        </w:rPr>
        <w:outlineLvl w:val="1"/>
      </w:pPr>
      <w:r/>
      <w:bookmarkStart w:id="559" w:name="_Toc226337236"/>
      <w:r/>
      <w:bookmarkStart w:id="560" w:name="_Toc127151540"/>
      <w:r/>
      <w:bookmarkStart w:id="561" w:name="_Toc127161454"/>
      <w:r/>
      <w:bookmarkStart w:id="562" w:name="_Toc142311042"/>
      <w:r/>
      <w:bookmarkStart w:id="563" w:name="_Toc264969230"/>
      <w:r/>
      <w:bookmarkStart w:id="564" w:name="_Toc195842905"/>
      <w:r/>
      <w:bookmarkStart w:id="565" w:name="_Toc150774745"/>
      <w:r/>
      <w:bookmarkStart w:id="566" w:name="_Toc226965730"/>
      <w:r/>
      <w:bookmarkStart w:id="567" w:name="_Toc151193782"/>
      <w:r/>
      <w:bookmarkStart w:id="568" w:name="_Toc151193638"/>
      <w:r/>
      <w:bookmarkStart w:id="569" w:name="_Toc151193854"/>
      <w:r/>
      <w:bookmarkStart w:id="570" w:name="_Toc149720833"/>
      <w:r/>
      <w:bookmarkStart w:id="571" w:name="_Toc150480778"/>
      <w:r/>
      <w:bookmarkStart w:id="572" w:name="_Toc151193928"/>
      <w:r/>
      <w:bookmarkStart w:id="573" w:name="_Toc151190167"/>
      <w:r/>
      <w:bookmarkStart w:id="574" w:name="_Toc164351634"/>
      <w:r/>
      <w:bookmarkStart w:id="575" w:name="_Toc164608654"/>
      <w:r/>
      <w:bookmarkStart w:id="576" w:name="_Toc265228378"/>
      <w:r/>
      <w:bookmarkStart w:id="577" w:name="_Toc127151741"/>
      <w:r/>
      <w:bookmarkStart w:id="578" w:name="_Toc305158882"/>
      <w:r/>
      <w:bookmarkStart w:id="579" w:name="_Toc226965813"/>
      <w:r/>
      <w:bookmarkStart w:id="580" w:name="_Toc150774640"/>
      <w:r/>
      <w:bookmarkStart w:id="581" w:name="_Toc164229381"/>
      <w:r/>
      <w:bookmarkStart w:id="582" w:name="_Toc164608809"/>
      <w:r/>
      <w:bookmarkStart w:id="583" w:name="_Toc150509291"/>
      <w:r/>
      <w:bookmarkStart w:id="584" w:name="_Toc226309784"/>
      <w:r/>
      <w:bookmarkStart w:id="585" w:name="_Toc305158808"/>
      <w:r/>
      <w:bookmarkStart w:id="586" w:name="_Toc151193710"/>
      <w:r/>
      <w:bookmarkStart w:id="587" w:name="_Toc164229235"/>
      <w:r>
        <w:rPr>
          <w:color w:val="auto"/>
          <w:sz w:val="24"/>
          <w:highlight w:val="none"/>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588"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88"/>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见第四章《评标程序、评标方法和评标标准》。</w:t>
      </w:r>
      <w:r/>
    </w:p>
    <w:p>
      <w:pPr>
        <w:jc w:val="center"/>
        <w:spacing w:line="360" w:lineRule="auto"/>
        <w:rPr>
          <w:rFonts w:ascii="宋体" w:hAnsi="宋体"/>
          <w:b/>
          <w:bCs/>
          <w:color w:val="auto"/>
          <w:sz w:val="28"/>
          <w:szCs w:val="28"/>
          <w:highlight w:val="none"/>
        </w:rPr>
      </w:pPr>
      <w:r/>
      <w:bookmarkStart w:id="589" w:name="_Toc226965818"/>
      <w:r/>
      <w:bookmarkStart w:id="590" w:name="_Toc226309789"/>
      <w:r/>
      <w:bookmarkStart w:id="591" w:name="_Toc151193643"/>
      <w:r/>
      <w:bookmarkStart w:id="592" w:name="_Toc226337241"/>
      <w:r/>
      <w:bookmarkStart w:id="593" w:name="_Toc151193787"/>
      <w:r/>
      <w:bookmarkStart w:id="594" w:name="_Toc142311047"/>
      <w:r/>
      <w:bookmarkStart w:id="595" w:name="_Toc226965735"/>
      <w:r/>
      <w:bookmarkStart w:id="596" w:name="_Toc151193715"/>
      <w:r/>
      <w:bookmarkStart w:id="597" w:name="_Toc195842910"/>
      <w:r/>
      <w:bookmarkStart w:id="598" w:name="_Toc264969235"/>
      <w:r/>
      <w:bookmarkStart w:id="599" w:name="_Toc150480783"/>
      <w:r/>
      <w:bookmarkStart w:id="600" w:name="_Toc151190172"/>
      <w:r/>
      <w:bookmarkStart w:id="601" w:name="_Toc305158813"/>
      <w:r/>
      <w:bookmarkStart w:id="602" w:name="_Toc151193859"/>
      <w:r/>
      <w:bookmarkStart w:id="603" w:name="_Toc127151545"/>
      <w:r/>
      <w:bookmarkStart w:id="604" w:name="_Toc150509296"/>
      <w:r/>
      <w:bookmarkStart w:id="605" w:name="_Toc305158887"/>
      <w:r/>
      <w:bookmarkStart w:id="606" w:name="_Toc150774645"/>
      <w:r/>
      <w:bookmarkStart w:id="607" w:name="_Toc151193933"/>
      <w:r/>
      <w:bookmarkStart w:id="608" w:name="_Toc150774750"/>
      <w:r/>
      <w:bookmarkStart w:id="609" w:name="_Toc265228383"/>
      <w:r>
        <w:rPr>
          <w:rFonts w:hint="eastAsia" w:ascii="宋体" w:hAnsi="宋体"/>
          <w:b/>
          <w:bCs/>
          <w:color w:val="auto"/>
          <w:sz w:val="28"/>
          <w:szCs w:val="28"/>
          <w:highlight w:val="none"/>
        </w:rPr>
        <w:t xml:space="preserve">六   </w:t>
      </w:r>
      <w:bookmarkEnd w:id="415"/>
      <w:r>
        <w:rPr>
          <w:rFonts w:hint="eastAsia" w:ascii="宋体" w:hAnsi="宋体"/>
          <w:b/>
          <w:bCs/>
          <w:color w:val="auto"/>
          <w:sz w:val="28"/>
          <w:szCs w:val="28"/>
          <w:highlight w:val="none"/>
        </w:rPr>
        <w:t xml:space="preserve">确定中标</w:t>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Start w:id="610" w:name="_Toc226337243"/>
      <w:r/>
      <w:bookmarkStart w:id="611" w:name="_Toc150774752"/>
      <w:r/>
      <w:bookmarkStart w:id="612" w:name="_Toc164229242"/>
      <w:r/>
      <w:bookmarkStart w:id="613" w:name="_Toc150509298"/>
      <w:r/>
      <w:bookmarkStart w:id="614" w:name="_Toc305158889"/>
      <w:r/>
      <w:bookmarkStart w:id="615" w:name="_Toc164608816"/>
      <w:r/>
      <w:bookmarkStart w:id="616" w:name="_Toc164351641"/>
      <w:r/>
      <w:bookmarkStart w:id="617" w:name="_Toc226965737"/>
      <w:r/>
      <w:bookmarkStart w:id="618" w:name="_Toc164229388"/>
      <w:r/>
      <w:bookmarkStart w:id="619" w:name="_Toc151190174"/>
      <w:r/>
      <w:bookmarkStart w:id="620" w:name="_Toc150774647"/>
      <w:r/>
      <w:bookmarkStart w:id="621" w:name="_Toc264969237"/>
      <w:r/>
      <w:bookmarkStart w:id="622" w:name="_Toc151193645"/>
      <w:r/>
      <w:bookmarkStart w:id="623" w:name="_Toc226309791"/>
      <w:r/>
      <w:bookmarkStart w:id="624" w:name="_Toc127161461"/>
      <w:r/>
      <w:bookmarkStart w:id="625" w:name="_Toc226965820"/>
      <w:r/>
      <w:bookmarkStart w:id="626" w:name="_Toc150480785"/>
      <w:r/>
      <w:bookmarkStart w:id="627" w:name="_Toc151193935"/>
      <w:r/>
      <w:bookmarkStart w:id="628" w:name="_Toc305158815"/>
      <w:r/>
      <w:bookmarkStart w:id="629" w:name="_Toc151193717"/>
      <w:r/>
      <w:bookmarkStart w:id="630" w:name="_Toc151193861"/>
      <w:r/>
      <w:bookmarkStart w:id="631" w:name="_Toc142311049"/>
      <w:r/>
      <w:bookmarkStart w:id="632" w:name="_Toc265228385"/>
      <w:r/>
      <w:bookmarkStart w:id="633" w:name="_Toc151193789"/>
      <w:r/>
      <w:bookmarkStart w:id="634" w:name="_Toc149720840"/>
      <w:r/>
      <w:bookmarkStart w:id="635" w:name="_Toc127151748"/>
      <w:r/>
      <w:bookmarkStart w:id="636" w:name="_Toc127151547"/>
      <w:r/>
      <w:bookmarkStart w:id="637" w:name="_Toc164608661"/>
      <w:r/>
      <w:bookmarkStart w:id="638" w:name="_Toc195842912"/>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确定</w:t>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rFonts w:hint="eastAsia" w:ascii="宋体" w:hAnsi="宋体" w:cs="宋体"/>
          <w:color w:val="auto"/>
          <w:sz w:val="24"/>
          <w:highlight w:val="none"/>
          <w:lang w:eastAsia="zh-CN"/>
        </w:rPr>
        <w:t xml:space="preserve">中标人</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采购人将在评标报告确定的中标候选人名单中按顺序确定</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，中标候选人并列的，由采购人依法确定。</w:t>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639" w:name="_Toc305158891"/>
      <w:r/>
      <w:bookmarkStart w:id="640" w:name="_Toc305158817"/>
      <w:r/>
      <w:bookmarkStart w:id="641" w:name="_Toc151193791"/>
      <w:r/>
      <w:bookmarkStart w:id="642" w:name="_Toc164608663"/>
      <w:r/>
      <w:bookmarkStart w:id="643" w:name="_Toc151193863"/>
      <w:r/>
      <w:bookmarkStart w:id="644" w:name="_Toc151193719"/>
      <w:r/>
      <w:bookmarkStart w:id="645" w:name="_Toc150774649"/>
      <w:r/>
      <w:bookmarkStart w:id="646" w:name="_Toc127151549"/>
      <w:r/>
      <w:bookmarkStart w:id="647" w:name="_Toc265228387"/>
      <w:r/>
      <w:bookmarkStart w:id="648" w:name="_Toc150480787"/>
      <w:r/>
      <w:bookmarkStart w:id="649" w:name="_Toc164351643"/>
      <w:r/>
      <w:bookmarkStart w:id="650" w:name="_Toc151193647"/>
      <w:r/>
      <w:bookmarkStart w:id="651" w:name="_Toc149720842"/>
      <w:r/>
      <w:bookmarkStart w:id="652" w:name="_Toc226309793"/>
      <w:r/>
      <w:bookmarkStart w:id="653" w:name="_Toc264969239"/>
      <w:r/>
      <w:bookmarkStart w:id="654" w:name="_Toc195842914"/>
      <w:r/>
      <w:bookmarkStart w:id="655" w:name="_Toc127161463"/>
      <w:r/>
      <w:bookmarkStart w:id="656" w:name="_Toc150774754"/>
      <w:r/>
      <w:bookmarkStart w:id="657" w:name="_Toc127151750"/>
      <w:r/>
      <w:bookmarkStart w:id="658" w:name="_Toc226965822"/>
      <w:r/>
      <w:bookmarkStart w:id="659" w:name="_Toc164229244"/>
      <w:r/>
      <w:bookmarkStart w:id="660" w:name="_Toc150509300"/>
      <w:r/>
      <w:bookmarkStart w:id="661" w:name="_Toc142311051"/>
      <w:r/>
      <w:bookmarkStart w:id="662" w:name="_Toc226337245"/>
      <w:r/>
      <w:bookmarkStart w:id="663" w:name="_Toc164229390"/>
      <w:r/>
      <w:bookmarkStart w:id="664" w:name="_Toc226965739"/>
      <w:r/>
      <w:bookmarkStart w:id="665" w:name="_Toc151190176"/>
      <w:r/>
      <w:bookmarkStart w:id="666" w:name="_Toc164608818"/>
      <w:r/>
      <w:bookmarkStart w:id="667" w:name="_Toc151193937"/>
      <w:r/>
      <w:bookmarkStart w:id="668" w:name="_Ref467307090"/>
      <w:r/>
      <w:bookmarkStart w:id="669" w:name="_Toc520356176"/>
      <w:r/>
      <w:bookmarkStart w:id="670" w:name="_Ref467306425"/>
      <w:r>
        <w:rPr>
          <w:rFonts w:hint="eastAsia" w:ascii="宋体" w:hAnsi="宋体" w:cs="宋体"/>
          <w:color w:val="auto"/>
          <w:sz w:val="24"/>
          <w:highlight w:val="none"/>
        </w:rPr>
        <w:t xml:space="preserve">中标公告与中标通知书</w:t>
      </w:r>
      <w:bookmarkEnd w:id="639"/>
      <w:r/>
      <w:bookmarkEnd w:id="640"/>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采购人或采购代理机构自</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确定之日起2个工作日内，</w:t>
      </w:r>
      <w:r>
        <w:rPr>
          <w:rFonts w:hint="eastAsia" w:ascii="宋体" w:hAnsi="宋体" w:cs="宋体"/>
          <w:color w:val="auto"/>
          <w:sz w:val="24"/>
          <w:highlight w:val="none"/>
        </w:rPr>
        <w:t xml:space="preserve">在江苏政府采购网、常州市政府采购网</w:t>
      </w:r>
      <w:r>
        <w:rPr>
          <w:rFonts w:hint="eastAsia" w:ascii="宋体" w:hAnsi="宋体" w:cs="宋体"/>
          <w:color w:val="auto"/>
          <w:sz w:val="24"/>
          <w:highlight w:val="none"/>
        </w:rPr>
        <w:t xml:space="preserve">和江苏尚阳工程管理有限公司网</w:t>
      </w:r>
      <w:r>
        <w:rPr>
          <w:rFonts w:hint="eastAsia" w:ascii="宋体" w:hAnsi="宋体" w:cs="宋体"/>
          <w:color w:val="auto"/>
          <w:sz w:val="24"/>
          <w:highlight w:val="none"/>
        </w:rPr>
        <w:t xml:space="preserve">公告中标结果</w:t>
      </w:r>
      <w:r>
        <w:rPr>
          <w:rFonts w:hint="eastAsia" w:ascii="宋体" w:hAnsi="宋体" w:cs="宋体"/>
          <w:color w:val="auto"/>
          <w:sz w:val="24"/>
          <w:highlight w:val="none"/>
        </w:rPr>
        <w:t xml:space="preserve">，同时向</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发出中标通知书，中标公告期限为1个工作日。</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中标通知书对采购人和</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均具有法律效力。中标通知书发出后，采购人改变中标结果的，或者</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放弃中标项目的，应当依法承担法律责任。</w:t>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废标</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在招标采购中，出现下列情形之一的，应予废标：</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符合专业条件的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或者对招标文件作实质响应的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不足三家的；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出现影响采购公正的违法、违规行为的；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投标人的报价均超过了采购预算，采购人不能支付的；</w:t>
      </w:r>
      <w:r/>
    </w:p>
    <w:p>
      <w:pPr>
        <w:numPr>
          <w:ilvl w:val="2"/>
          <w:numId w:val="8"/>
        </w:numPr>
        <w:spacing w:line="360" w:lineRule="auto"/>
        <w:rPr>
          <w:color w:val="auto"/>
          <w:sz w:val="24"/>
          <w:highlight w:val="none"/>
        </w:rPr>
      </w:pPr>
      <w:r>
        <w:rPr>
          <w:rFonts w:hint="eastAsia" w:ascii="宋体" w:hAnsi="宋体" w:cs="宋体"/>
          <w:color w:val="auto"/>
          <w:sz w:val="24"/>
          <w:highlight w:val="none"/>
        </w:rPr>
        <w:t xml:space="preserve">因重大变故，采购任务取消的。</w:t>
      </w:r>
      <w:r/>
    </w:p>
    <w:p>
      <w:pPr>
        <w:numPr>
          <w:ilvl w:val="2"/>
          <w:numId w:val="8"/>
        </w:numPr>
        <w:spacing w:line="360" w:lineRule="auto"/>
        <w:rPr>
          <w:rFonts w:ascii="宋体" w:hAnsi="宋体" w:cs="宋体"/>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废标后，采购人将废标理由通知所有投标人。</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671" w:name="_Toc226965740"/>
      <w:r/>
      <w:bookmarkStart w:id="672" w:name="_Toc264969240"/>
      <w:r/>
      <w:bookmarkStart w:id="673" w:name="_Toc164608819"/>
      <w:r/>
      <w:bookmarkStart w:id="674" w:name="_Ref467306377"/>
      <w:r/>
      <w:bookmarkStart w:id="675" w:name="_Toc151193648"/>
      <w:r/>
      <w:bookmarkStart w:id="676" w:name="_Toc265228388"/>
      <w:r/>
      <w:bookmarkStart w:id="677" w:name="_Toc151193792"/>
      <w:r/>
      <w:bookmarkStart w:id="678" w:name="_Toc150509301"/>
      <w:r/>
      <w:bookmarkStart w:id="679" w:name="_Toc127161464"/>
      <w:r/>
      <w:bookmarkStart w:id="680" w:name="_Toc164608664"/>
      <w:r/>
      <w:bookmarkStart w:id="681" w:name="_Toc226337246"/>
      <w:r/>
      <w:bookmarkStart w:id="682" w:name="_Toc520356175"/>
      <w:r/>
      <w:bookmarkStart w:id="683" w:name="_Toc150480788"/>
      <w:r/>
      <w:bookmarkStart w:id="684" w:name="_Ref467307062"/>
      <w:r/>
      <w:bookmarkStart w:id="685" w:name="_Toc164229245"/>
      <w:r/>
      <w:bookmarkStart w:id="686" w:name="_Toc149720843"/>
      <w:r/>
      <w:bookmarkStart w:id="687" w:name="_Toc127151751"/>
      <w:r/>
      <w:bookmarkStart w:id="688" w:name="_Toc127151550"/>
      <w:r/>
      <w:bookmarkStart w:id="689" w:name="_Toc305158818"/>
      <w:r/>
      <w:bookmarkStart w:id="690" w:name="_Toc195842915"/>
      <w:r/>
      <w:bookmarkStart w:id="691" w:name="_Toc151193938"/>
      <w:r/>
      <w:bookmarkStart w:id="692" w:name="_Toc151193864"/>
      <w:r/>
      <w:bookmarkStart w:id="693" w:name="_Toc226309794"/>
      <w:r/>
      <w:bookmarkStart w:id="694" w:name="_Toc142311052"/>
      <w:r/>
      <w:bookmarkStart w:id="695" w:name="_Toc150774650"/>
      <w:r/>
      <w:bookmarkStart w:id="696" w:name="_Toc164229391"/>
      <w:r/>
      <w:bookmarkStart w:id="697" w:name="_Ref467306978"/>
      <w:r/>
      <w:bookmarkStart w:id="698" w:name="_Toc151193720"/>
      <w:r/>
      <w:bookmarkStart w:id="699" w:name="_Toc226965823"/>
      <w:r/>
      <w:bookmarkStart w:id="700" w:name="_Toc164351644"/>
      <w:r/>
      <w:bookmarkStart w:id="701" w:name="_Ref467307204"/>
      <w:r/>
      <w:bookmarkStart w:id="702" w:name="_Toc150774755"/>
      <w:r/>
      <w:bookmarkStart w:id="703" w:name="_Toc305158892"/>
      <w:r/>
      <w:bookmarkStart w:id="704" w:name="_Toc151190177"/>
      <w:r>
        <w:rPr>
          <w:rFonts w:hint="eastAsia" w:ascii="宋体" w:hAnsi="宋体" w:cs="宋体"/>
          <w:color w:val="auto"/>
          <w:sz w:val="24"/>
          <w:highlight w:val="none"/>
        </w:rPr>
        <w:t xml:space="preserve">签订合同</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、采购人应当自中标通知书发出之日起30日内，按照招标文件和</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投标文件的规定签订书面合同。所签订的合同不得对招标文件确定的事项和</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的投标文件作实质性修改。</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拒绝与采购人签订合同的，采购人可以按照评标报告推荐的中标候选人名单排序，确定下一候选人为</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，也可以重新开展政府采购活动。</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本项目的非主体、非关键性工作是否允许分包，见《投标人须知资料表》。</w:t>
      </w:r>
      <w:bookmarkEnd w:id="668"/>
      <w:r/>
      <w:bookmarkEnd w:id="669"/>
      <w:r/>
      <w:bookmarkEnd w:id="670"/>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采购人或采购代理机构对</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321"/>
          <w:rFonts w:hint="eastAsia" w:ascii="宋体" w:hAnsi="宋体" w:cs="宋体"/>
          <w:color w:val="auto"/>
          <w:sz w:val="24"/>
          <w:highlight w:val="none"/>
        </w:rPr>
        <w:t xml:space="preserve">http://gk</w:t>
      </w:r>
      <w:bookmarkStart w:id="705" w:name="_Hlt100654014"/>
      <w:r>
        <w:rPr>
          <w:rStyle w:val="1321"/>
          <w:rFonts w:hint="eastAsia" w:ascii="宋体" w:hAnsi="宋体" w:cs="宋体"/>
          <w:color w:val="auto"/>
          <w:sz w:val="24"/>
          <w:highlight w:val="none"/>
        </w:rPr>
        <w:t xml:space="preserve">s</w:t>
      </w:r>
      <w:bookmarkEnd w:id="705"/>
      <w:r>
        <w:rPr>
          <w:rStyle w:val="1321"/>
          <w:rFonts w:hint="eastAsia" w:ascii="宋体" w:hAnsi="宋体" w:cs="宋体"/>
          <w:color w:val="auto"/>
          <w:sz w:val="24"/>
          <w:highlight w:val="none"/>
        </w:rPr>
        <w:t xml:space="preserve">.m</w:t>
      </w:r>
      <w:bookmarkStart w:id="706" w:name="_Hlt100653993"/>
      <w:r/>
      <w:bookmarkStart w:id="707" w:name="_Hlt100653994"/>
      <w:r>
        <w:rPr>
          <w:rStyle w:val="1321"/>
          <w:rFonts w:hint="eastAsia" w:ascii="宋体" w:hAnsi="宋体" w:cs="宋体"/>
          <w:color w:val="auto"/>
          <w:sz w:val="24"/>
          <w:highlight w:val="none"/>
        </w:rPr>
        <w:t xml:space="preserve">o</w:t>
      </w:r>
      <w:bookmarkEnd w:id="706"/>
      <w:r/>
      <w:bookmarkEnd w:id="707"/>
      <w:r>
        <w:rPr>
          <w:rStyle w:val="1321"/>
          <w:rFonts w:hint="eastAsia" w:ascii="宋体" w:hAnsi="宋体" w:cs="宋体"/>
          <w:color w:val="auto"/>
          <w:sz w:val="24"/>
          <w:highlight w:val="none"/>
        </w:rPr>
        <w:t xml:space="preserve">f.gov.cn/ztztz/zhengfucaigouguanli/201802/t20180201_2804589.htm</w:t>
      </w:r>
      <w:r>
        <w:rPr>
          <w:rStyle w:val="1321"/>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接收询问和质疑的联系部门、联系电话和通讯地址见《投标人须知资料表》。</w:t>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highlight w:val="none"/>
        </w:rPr>
        <w:t xml:space="preserve">收费对象、收费标准及缴纳时间见《投标人须知资料表》。由</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支付的，</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须一次性向采购代理机构缴纳代理费，投标报价应包含代理费用。</w:t>
      </w:r>
      <w:r/>
    </w:p>
    <w:p>
      <w:pPr>
        <w:jc w:val="center"/>
        <w:spacing w:line="360" w:lineRule="auto"/>
        <w:rPr>
          <w:b/>
          <w:color w:val="auto"/>
          <w:sz w:val="36"/>
          <w:szCs w:val="36"/>
          <w:highlight w:val="none"/>
        </w:rPr>
        <w:outlineLvl w:val="0"/>
      </w:pPr>
      <w:r/>
      <w:bookmarkStart w:id="708" w:name="_Toc353873664"/>
      <w:r/>
      <w:bookmarkStart w:id="709" w:name="_Toc353873934"/>
      <w:r/>
      <w:bookmarkStart w:id="710" w:name="_Toc150774759"/>
      <w:r/>
      <w:bookmarkStart w:id="711" w:name="_Toc142311056"/>
      <w:r/>
      <w:bookmarkStart w:id="712" w:name="_Toc226965827"/>
      <w:r/>
      <w:bookmarkStart w:id="713" w:name="_Toc150480792"/>
      <w:r/>
      <w:bookmarkStart w:id="714" w:name="_Toc305158822"/>
      <w:r/>
      <w:bookmarkStart w:id="715" w:name="_Toc264969244"/>
      <w:r/>
      <w:bookmarkStart w:id="716" w:name="_Toc305158896"/>
      <w:r/>
      <w:bookmarkStart w:id="717" w:name="_Toc353825544"/>
      <w:r/>
      <w:bookmarkStart w:id="718" w:name="_Toc265228392"/>
      <w:r/>
      <w:bookmarkStart w:id="719" w:name="_Toc127151554"/>
      <w:r/>
      <w:bookmarkStart w:id="720" w:name="_Toc226337250"/>
      <w:r/>
      <w:bookmarkStart w:id="721" w:name="_Toc99301421"/>
      <w:r/>
      <w:bookmarkStart w:id="722" w:name="_Toc4607"/>
      <w:r>
        <w:rPr>
          <w:b/>
          <w:color w:val="auto"/>
          <w:sz w:val="36"/>
          <w:szCs w:val="36"/>
          <w:highlight w:val="none"/>
        </w:rPr>
        <w:t xml:space="preserve">第三章   </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b/>
          <w:color w:val="auto"/>
          <w:sz w:val="36"/>
          <w:szCs w:val="36"/>
          <w:highlight w:val="none"/>
        </w:rPr>
        <w:t xml:space="preserve">资格审查</w:t>
      </w:r>
      <w:bookmarkEnd w:id="721"/>
      <w:r/>
      <w:bookmarkEnd w:id="722"/>
      <w:r/>
      <w:bookmarkStart w:id="723" w:name="_Toc487900382"/>
      <w:r/>
      <w:r/>
    </w:p>
    <w:p>
      <w:pPr>
        <w:jc w:val="center"/>
        <w:spacing w:line="360" w:lineRule="auto"/>
        <w:rPr>
          <w:rFonts w:ascii="宋体" w:hAnsi="宋体"/>
          <w:b/>
          <w:bCs/>
          <w:color w:val="auto"/>
          <w:sz w:val="28"/>
          <w:szCs w:val="28"/>
          <w:highlight w:val="none"/>
        </w:rPr>
      </w:pPr>
      <w:r/>
      <w:bookmarkStart w:id="724" w:name="_Toc99301422"/>
      <w:r>
        <w:rPr>
          <w:rFonts w:hint="eastAsia" w:ascii="宋体" w:hAnsi="宋体"/>
          <w:b/>
          <w:bCs/>
          <w:color w:val="auto"/>
          <w:sz w:val="28"/>
          <w:szCs w:val="28"/>
          <w:highlight w:val="none"/>
        </w:rPr>
        <w:t xml:space="preserve">一、资格审查程序</w:t>
      </w:r>
      <w:bookmarkEnd w:id="724"/>
      <w:r/>
      <w:r/>
    </w:p>
    <w:p>
      <w:pPr>
        <w:numPr>
          <w:ilvl w:val="0"/>
          <w:numId w:val="11"/>
        </w:numPr>
        <w:ind w:left="425" w:hanging="425"/>
        <w:spacing w:line="360" w:lineRule="auto"/>
        <w:tabs>
          <w:tab w:val="left" w:pos="426" w:leader="none"/>
          <w:tab w:val="left" w:pos="851" w:leader="none"/>
          <w:tab w:val="clear" w:pos="900" w:leader="none"/>
        </w:tabs>
        <w:rPr>
          <w:rFonts w:ascii="宋体" w:hAnsi="宋体" w:cs="宋体"/>
          <w:color w:val="auto"/>
          <w:sz w:val="24"/>
          <w:highlight w:val="none"/>
        </w:rPr>
      </w:pPr>
      <w:r>
        <w:rPr>
          <w:rFonts w:hint="eastAsia" w:ascii="宋体" w:hAnsi="宋体" w:cs="宋体"/>
          <w:color w:val="auto"/>
          <w:sz w:val="24"/>
          <w:highlight w:val="none"/>
        </w:rPr>
        <w:t xml:space="preserve">开标结束后，采购人将根据《资格审查要求》中的规定，对投标人进行资格审查，并形成资格审查结果。</w:t>
      </w:r>
      <w:r/>
    </w:p>
    <w:p>
      <w:pPr>
        <w:numPr>
          <w:ilvl w:val="0"/>
          <w:numId w:val="11"/>
        </w:numPr>
        <w:ind w:left="425" w:hanging="425"/>
        <w:spacing w:line="360" w:lineRule="auto"/>
        <w:tabs>
          <w:tab w:val="left" w:pos="426" w:leader="none"/>
          <w:tab w:val="left" w:pos="851" w:leader="none"/>
          <w:tab w:val="clear" w:pos="900" w:leader="none"/>
        </w:tabs>
        <w:rPr>
          <w:rFonts w:ascii="宋体" w:hAnsi="宋体" w:cs="宋体"/>
          <w:color w:val="auto"/>
          <w:sz w:val="24"/>
          <w:highlight w:val="none"/>
        </w:rPr>
      </w:pPr>
      <w:r>
        <w:rPr>
          <w:rFonts w:hint="eastAsia" w:ascii="宋体" w:hAnsi="宋体" w:cs="宋体"/>
          <w:color w:val="auto"/>
          <w:sz w:val="24"/>
          <w:highlight w:val="none"/>
        </w:rPr>
        <w:t xml:space="preserve">《资格审查要求》中对格式有要求的，除招标文件另有规定外，均为“实质性格式”文件。</w:t>
      </w:r>
      <w:r/>
    </w:p>
    <w:p>
      <w:pPr>
        <w:numPr>
          <w:ilvl w:val="0"/>
          <w:numId w:val="11"/>
        </w:numPr>
        <w:ind w:left="425" w:hanging="425"/>
        <w:spacing w:line="360" w:lineRule="auto"/>
        <w:tabs>
          <w:tab w:val="left" w:pos="426" w:leader="none"/>
          <w:tab w:val="left" w:pos="851" w:leader="none"/>
          <w:tab w:val="clear" w:pos="900" w:leader="none"/>
        </w:tabs>
        <w:rPr>
          <w:rFonts w:ascii="宋体" w:hAnsi="宋体" w:cs="宋体"/>
          <w:color w:val="auto"/>
          <w:sz w:val="24"/>
          <w:highlight w:val="none"/>
        </w:rPr>
      </w:pPr>
      <w:r>
        <w:rPr>
          <w:rFonts w:hint="eastAsia" w:ascii="宋体" w:hAnsi="宋体" w:cs="宋体"/>
          <w:color w:val="auto"/>
          <w:sz w:val="24"/>
          <w:highlight w:val="none"/>
        </w:rPr>
        <w:t xml:space="preserve">投标人《资格证明文件》有任何一项不符合《资格审查要求》的，资格审查不合格，其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11"/>
        </w:numPr>
        <w:ind w:left="425" w:hanging="425"/>
        <w:spacing w:line="360" w:lineRule="auto"/>
        <w:tabs>
          <w:tab w:val="left" w:pos="426" w:leader="none"/>
          <w:tab w:val="left" w:pos="851" w:leader="none"/>
          <w:tab w:val="clear" w:pos="900" w:leader="none"/>
        </w:tabs>
        <w:rPr>
          <w:rFonts w:ascii="宋体" w:hAnsi="宋体" w:cs="宋体"/>
          <w:color w:val="auto"/>
          <w:sz w:val="24"/>
          <w:highlight w:val="none"/>
        </w:rPr>
      </w:pPr>
      <w:r>
        <w:rPr>
          <w:rFonts w:hint="eastAsia" w:ascii="宋体" w:hAnsi="宋体" w:cs="宋体"/>
          <w:color w:val="auto"/>
          <w:sz w:val="24"/>
          <w:highlight w:val="none"/>
        </w:rPr>
        <w:t xml:space="preserve">资格审查合格的投标人不足3家的，不进行评标。</w:t>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二、资格审查要求</w:t>
      </w:r>
      <w:r/>
    </w:p>
    <w:tbl>
      <w:tblPr>
        <w:tblStyle w:val="1279"/>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jc w:val="center"/>
              <w:tabs>
                <w:tab w:val="left" w:pos="1080" w:leader="none"/>
              </w:tabs>
              <w:rPr>
                <w:b/>
                <w:color w:val="auto"/>
                <w:sz w:val="24"/>
                <w:highlight w:val="none"/>
              </w:rPr>
            </w:pPr>
            <w:r/>
            <w:bookmarkStart w:id="725" w:name="_Hlt487972895"/>
            <w:r/>
            <w:bookmarkEnd w:id="725"/>
            <w:r>
              <w:rPr>
                <w:b/>
                <w:color w:val="auto"/>
                <w:sz w:val="24"/>
                <w:highlight w:val="none"/>
              </w:rPr>
              <w:t xml:space="preserve">序号</w:t>
            </w:r>
            <w:r/>
          </w:p>
        </w:tc>
        <w:tc>
          <w:tcPr>
            <w:tcW w:w="1982"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4822"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638"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846"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W w:w="1982"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4822"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1638"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846"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982"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投标人资格声明函</w:t>
            </w:r>
            <w:r/>
          </w:p>
        </w:tc>
        <w:tc>
          <w:tcPr>
            <w:tcW w:w="4822" w:type="dxa"/>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w:t>
            </w:r>
            <w:r>
              <w:rPr>
                <w:rFonts w:hint="eastAsia"/>
                <w:color w:val="auto"/>
                <w:sz w:val="24"/>
                <w:highlight w:val="none"/>
              </w:rPr>
              <w:t xml:space="preserve">投标人资格声明函</w:t>
            </w:r>
            <w:r>
              <w:rPr>
                <w:color w:val="auto"/>
                <w:sz w:val="24"/>
                <w:highlight w:val="none"/>
              </w:rPr>
              <w:t xml:space="preserve">》。</w:t>
            </w:r>
            <w:r/>
          </w:p>
        </w:tc>
        <w:tc>
          <w:tcPr>
            <w:tcW w:w="1638"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846"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982" w:type="dxa"/>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4822" w:type="dxa"/>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w:t>
            </w:r>
            <w:r/>
          </w:p>
        </w:tc>
        <w:tc>
          <w:tcPr>
            <w:tcW w:w="1638"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无须投标人提供，由采购人查询。</w:t>
            </w:r>
            <w:r/>
          </w:p>
        </w:tc>
      </w:tr>
      <w:tr>
        <w:trPr>
          <w:cantSplit/>
          <w:trHeight w:val="468"/>
        </w:trPr>
        <w:tc>
          <w:tcPr>
            <w:shd w:val="clear" w:color="auto" w:fill="auto"/>
            <w:tcW w:w="846"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bookmarkStart w:id="726" w:name="_Toc127161490"/>
            <w:r/>
            <w:bookmarkStart w:id="727" w:name="_Toc353825550"/>
            <w:r/>
            <w:bookmarkStart w:id="728" w:name="_Toc127151779"/>
            <w:r/>
            <w:bookmarkStart w:id="729" w:name="_Toc353873940"/>
            <w:r/>
            <w:bookmarkStart w:id="730" w:name="_Toc226965858"/>
            <w:r>
              <w:rPr>
                <w:rFonts w:hint="eastAsia" w:ascii="宋体" w:hAnsi="宋体" w:cs="宋体"/>
                <w:color w:val="auto"/>
                <w:sz w:val="24"/>
                <w:highlight w:val="none"/>
              </w:rPr>
              <w:t xml:space="preserve">2</w:t>
            </w:r>
            <w:r/>
          </w:p>
        </w:tc>
        <w:tc>
          <w:tcPr>
            <w:shd w:val="clear" w:color="auto" w:fill="auto"/>
            <w:tcW w:w="1982" w:type="dxa"/>
            <w:vAlign w:val="center"/>
            <w:textDirection w:val="lrTb"/>
            <w:noWrap w:val="false"/>
          </w:tcPr>
          <w:p>
            <w:pPr>
              <w:tabs>
                <w:tab w:val="left" w:pos="1080" w:leader="none"/>
              </w:tabs>
              <w:rPr>
                <w:rFonts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落实政府采购政策需满足的资格要求</w:t>
            </w:r>
            <w:r/>
          </w:p>
        </w:tc>
        <w:tc>
          <w:tcPr>
            <w:shd w:val="clear" w:color="auto" w:fill="auto"/>
            <w:tcW w:w="4822" w:type="dxa"/>
            <w:vAlign w:val="center"/>
            <w:textDirection w:val="lrTb"/>
            <w:noWrap w:val="false"/>
          </w:tcPr>
          <w:p>
            <w:pPr>
              <w:tabs>
                <w:tab w:val="left" w:pos="1080" w:leader="none"/>
              </w:tabs>
              <w:rPr>
                <w:rFonts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具体要求见第一章《</w:t>
            </w:r>
            <w:r>
              <w:rPr>
                <w:color w:val="auto"/>
                <w:sz w:val="24"/>
                <w:highlight w:val="none"/>
              </w:rPr>
              <w:t xml:space="preserve">投标邀请</w:t>
            </w:r>
            <w:r>
              <w:rPr>
                <w:rFonts w:hint="eastAsia" w:ascii="宋体" w:hAnsi="宋体" w:cs="宋体"/>
                <w:color w:val="auto"/>
                <w:sz w:val="24"/>
                <w:highlight w:val="none"/>
              </w:rPr>
              <w:t xml:space="preserve">》</w:t>
            </w:r>
            <w:r/>
          </w:p>
        </w:tc>
        <w:tc>
          <w:tcPr>
            <w:shd w:val="clear" w:color="auto" w:fill="auto"/>
            <w:tcW w:w="1638" w:type="dxa"/>
            <w:vAlign w:val="center"/>
            <w:textDirection w:val="lrTb"/>
            <w:noWrap w:val="false"/>
          </w:tcPr>
          <w:p>
            <w:pPr>
              <w:tabs>
                <w:tab w:val="left" w:pos="1080" w:leader="none"/>
              </w:tabs>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23"/>
            <w:r/>
            <w:r/>
          </w:p>
        </w:tc>
      </w:tr>
      <w:tr>
        <w:trPr>
          <w:cantSplit/>
          <w:trHeight w:val="468"/>
        </w:trPr>
        <w:tc>
          <w:tcPr>
            <w:shd w:val="clear" w:color="auto" w:fill="auto"/>
            <w:tcW w:w="0" w:type="auto"/>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2-1</w:t>
            </w:r>
            <w:r/>
          </w:p>
        </w:tc>
        <w:tc>
          <w:tcPr>
            <w:shd w:val="clear" w:color="auto" w:fill="auto"/>
            <w:tcW w:w="0" w:type="auto"/>
            <w:vAlign w:val="center"/>
            <w:textDirection w:val="lrTb"/>
            <w:noWrap w:val="false"/>
          </w:tcPr>
          <w:p>
            <w:pPr>
              <w:tabs>
                <w:tab w:val="left" w:pos="1080" w:leader="none"/>
              </w:tabs>
              <w:rPr>
                <w:rFonts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中小企业声明函</w:t>
            </w:r>
            <w:r/>
          </w:p>
        </w:tc>
        <w:tc>
          <w:tcPr>
            <w:shd w:val="clear" w:color="auto" w:fill="auto"/>
            <w:tcW w:w="0" w:type="auto"/>
            <w:vAlign w:val="center"/>
            <w:textDirection w:val="lrTb"/>
            <w:noWrap w:val="false"/>
          </w:tcPr>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投标人单独投标的，应提供中小企业声明函；如为监狱企业或残疾人福利性单位，不必提供中小企业声明函，但须按注1或注2要求提供证明材料。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ascii="Times New Roman" w:hAnsi="Times New Roman" w:eastAsia="宋体" w:cs="Times New Roman"/>
                <w:color w:val="auto"/>
                <w:sz w:val="24"/>
                <w:szCs w:val="24"/>
                <w:highlight w:val="none"/>
                <w:lang w:val="en-US" w:eastAsia="zh-CN" w:bidi="ar-SA"/>
              </w:rPr>
            </w:pPr>
            <w:r>
              <w:rPr>
                <w:rFonts w:hint="eastAsia" w:ascii="宋体" w:hAnsi="宋体" w:cs="宋体"/>
                <w:bCs/>
                <w:color w:val="auto"/>
                <w:sz w:val="24"/>
                <w:highlight w:val="none"/>
              </w:rPr>
              <w:t xml:space="preserve">注2：残疾人福利性单位须按招标文件要求提供《残疾人福利性单位声明函》。</w:t>
            </w:r>
            <w:r/>
          </w:p>
        </w:tc>
        <w:tc>
          <w:tcPr>
            <w:shd w:val="clear" w:color="auto" w:fill="auto"/>
            <w:tcW w:w="0" w:type="auto"/>
            <w:vAlign w:val="center"/>
            <w:textDirection w:val="lrTb"/>
            <w:noWrap w:val="false"/>
          </w:tcPr>
          <w:p>
            <w:pPr>
              <w:tabs>
                <w:tab w:val="left" w:pos="1080" w:leader="none"/>
              </w:tabs>
              <w:rPr>
                <w:rFonts w:hint="eastAsia"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格式见《投标文件格式》</w:t>
            </w:r>
            <w:r/>
          </w:p>
        </w:tc>
      </w:tr>
      <w:tr>
        <w:trPr>
          <w:cantSplit/>
          <w:trHeight w:val="468"/>
        </w:trPr>
        <w:tc>
          <w:tcPr>
            <w:shd w:val="clear" w:color="auto" w:fill="auto"/>
            <w:tcW w:w="846" w:type="dxa"/>
            <w:vAlign w:val="center"/>
            <w:textDirection w:val="lrTb"/>
            <w:noWrap w:val="false"/>
          </w:tcPr>
          <w:p>
            <w:pPr>
              <w:jc w:val="center"/>
              <w:keepLines w:val="0"/>
              <w:keepNext w:val="0"/>
              <w:pageBreakBefore w:val="0"/>
              <w:widowControl w:val="off"/>
              <w:tabs>
                <w:tab w:val="left" w:pos="1080" w:leader="none"/>
              </w:tabs>
              <w:rPr>
                <w:rFonts w:hint="eastAsia" w:ascii="宋体" w:hAnsi="宋体" w:cs="宋体"/>
                <w:color w:val="auto"/>
                <w:sz w:val="24"/>
                <w:highlight w:val="none"/>
              </w:rPr>
              <w:outlineLvl w:val="9"/>
            </w:pPr>
            <w:r>
              <w:rPr>
                <w:rFonts w:hint="eastAsia" w:ascii="宋体" w:hAnsi="宋体" w:eastAsia="宋体" w:cs="宋体"/>
                <w:color w:val="auto"/>
                <w:sz w:val="24"/>
                <w:highlight w:val="none"/>
                <w:lang w:val="en-US" w:eastAsia="zh-CN"/>
              </w:rPr>
              <w:t xml:space="preserve">3</w:t>
            </w:r>
            <w:r/>
          </w:p>
        </w:tc>
        <w:tc>
          <w:tcPr>
            <w:shd w:val="clear" w:color="auto" w:fill="auto"/>
            <w:tcW w:w="1982" w:type="dxa"/>
            <w:vAlign w:val="center"/>
            <w:textDirection w:val="lrTb"/>
            <w:noWrap w:val="false"/>
          </w:tcPr>
          <w:p>
            <w:pPr>
              <w:keepLines w:val="0"/>
              <w:keepNext w:val="0"/>
              <w:pageBreakBefore w:val="0"/>
              <w:widowControl w:val="off"/>
              <w:tabs>
                <w:tab w:val="left" w:pos="1080" w:leader="none"/>
              </w:tabs>
              <w:rPr>
                <w:rFonts w:hint="eastAsia" w:ascii="宋体" w:hAnsi="宋体" w:cs="宋体"/>
                <w:color w:val="auto"/>
                <w:sz w:val="24"/>
                <w:highlight w:val="none"/>
              </w:rPr>
              <w:outlineLvl w:val="9"/>
            </w:pPr>
            <w:r>
              <w:rPr>
                <w:rFonts w:hint="eastAsia" w:ascii="宋体" w:hAnsi="宋体" w:eastAsia="宋体" w:cs="宋体"/>
                <w:color w:val="auto"/>
                <w:sz w:val="24"/>
                <w:highlight w:val="none"/>
              </w:rPr>
              <w:t xml:space="preserve">本项目的特定资格要求</w:t>
            </w:r>
            <w:r/>
          </w:p>
        </w:tc>
        <w:tc>
          <w:tcPr>
            <w:shd w:val="clear" w:color="auto" w:fill="auto"/>
            <w:tcW w:w="4822" w:type="dxa"/>
            <w:vAlign w:val="center"/>
            <w:textDirection w:val="lrTb"/>
            <w:noWrap w:val="false"/>
          </w:tcPr>
          <w:p>
            <w:pPr>
              <w:keepLines w:val="0"/>
              <w:keepNext w:val="0"/>
              <w:pageBreakBefore w:val="0"/>
              <w:widowControl w:val="off"/>
              <w:tabs>
                <w:tab w:val="left" w:pos="1080" w:leader="none"/>
              </w:tabs>
              <w:rPr>
                <w:rFonts w:hint="eastAsia" w:ascii="宋体" w:hAnsi="宋体" w:cs="宋体"/>
                <w:bCs/>
                <w:color w:val="auto"/>
                <w:sz w:val="24"/>
                <w:highlight w:val="none"/>
              </w:rPr>
              <w:outlineLvl w:val="9"/>
            </w:pPr>
            <w:r>
              <w:rPr>
                <w:rFonts w:hint="eastAsia" w:ascii="宋体" w:hAnsi="宋体" w:eastAsia="宋体" w:cs="宋体"/>
                <w:color w:val="auto"/>
                <w:sz w:val="24"/>
                <w:highlight w:val="none"/>
              </w:rPr>
              <w:t xml:space="preserve">见第一章《采购邀请》</w:t>
            </w:r>
            <w:r/>
          </w:p>
        </w:tc>
        <w:tc>
          <w:tcPr>
            <w:shd w:val="clear" w:color="auto" w:fill="auto"/>
            <w:tcW w:w="1638" w:type="dxa"/>
            <w:vAlign w:val="center"/>
            <w:textDirection w:val="lrTb"/>
            <w:noWrap w:val="false"/>
          </w:tcPr>
          <w:p>
            <w:pPr>
              <w:keepLines w:val="0"/>
              <w:keepNext w:val="0"/>
              <w:pageBreakBefore w:val="0"/>
              <w:widowControl w:val="off"/>
              <w:tabs>
                <w:tab w:val="left" w:pos="1080" w:leader="none"/>
              </w:tabs>
              <w:rPr>
                <w:rFonts w:hint="eastAsia" w:ascii="宋体" w:hAnsi="宋体" w:cs="宋体"/>
                <w:color w:val="auto"/>
                <w:sz w:val="24"/>
                <w:highlight w:val="none"/>
              </w:rPr>
              <w:outlineLvl w:val="9"/>
            </w:pPr>
            <w:r>
              <w:rPr>
                <w:rFonts w:hint="eastAsia" w:ascii="宋体" w:hAnsi="宋体" w:cs="宋体"/>
                <w:color w:val="auto"/>
                <w:sz w:val="24"/>
                <w:highlight w:val="none"/>
              </w:rPr>
            </w:r>
            <w:r/>
          </w:p>
        </w:tc>
      </w:tr>
      <w:tr>
        <w:trPr>
          <w:cantSplit/>
          <w:trHeight w:val="468"/>
        </w:trPr>
        <w:tc>
          <w:tcPr>
            <w:shd w:val="clear" w:color="auto" w:fill="auto"/>
            <w:tcW w:w="846" w:type="dxa"/>
            <w:vAlign w:val="center"/>
            <w:textDirection w:val="lrTb"/>
            <w:noWrap w:val="false"/>
          </w:tcPr>
          <w:p>
            <w:pPr>
              <w:jc w:val="center"/>
              <w:keepLines w:val="0"/>
              <w:keepNext w:val="0"/>
              <w:pageBreakBefore w:val="0"/>
              <w:widowControl w:val="off"/>
              <w:tabs>
                <w:tab w:val="left" w:pos="1080" w:leader="none"/>
              </w:tabs>
              <w:rPr>
                <w:rFonts w:hint="eastAsia" w:ascii="宋体" w:hAnsi="宋体" w:cs="宋体"/>
                <w:color w:val="auto"/>
                <w:sz w:val="24"/>
                <w:highlight w:val="none"/>
              </w:rPr>
              <w:outlineLvl w:val="9"/>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w:t>
            </w:r>
            <w:r/>
          </w:p>
        </w:tc>
        <w:tc>
          <w:tcPr>
            <w:shd w:val="clear" w:color="auto" w:fill="auto"/>
            <w:tcW w:w="1982" w:type="dxa"/>
            <w:vAlign w:val="center"/>
            <w:textDirection w:val="lrTb"/>
            <w:noWrap w:val="false"/>
          </w:tcPr>
          <w:p>
            <w:pPr>
              <w:keepLines w:val="0"/>
              <w:keepNext w:val="0"/>
              <w:pageBreakBefore w:val="0"/>
              <w:widowControl w:val="off"/>
              <w:tabs>
                <w:tab w:val="left" w:pos="1080" w:leader="none"/>
              </w:tabs>
              <w:rPr>
                <w:rFonts w:hint="eastAsia" w:ascii="宋体" w:hAnsi="宋体" w:cs="宋体"/>
                <w:color w:val="auto"/>
                <w:sz w:val="24"/>
                <w:highlight w:val="none"/>
              </w:rPr>
              <w:outlineLvl w:val="9"/>
            </w:pPr>
            <w:r>
              <w:rPr>
                <w:rFonts w:hint="eastAsia" w:ascii="宋体" w:hAnsi="宋体" w:eastAsia="宋体" w:cs="宋体"/>
                <w:color w:val="auto"/>
                <w:sz w:val="24"/>
                <w:highlight w:val="none"/>
              </w:rPr>
              <w:t xml:space="preserve">其他特定资格要求</w:t>
            </w:r>
            <w:r/>
          </w:p>
        </w:tc>
        <w:tc>
          <w:tcPr>
            <w:shd w:val="clear" w:color="auto" w:fill="auto"/>
            <w:tcW w:w="4822" w:type="dxa"/>
            <w:vAlign w:val="center"/>
            <w:textDirection w:val="lrTb"/>
            <w:noWrap w:val="false"/>
          </w:tcPr>
          <w:p>
            <w:pPr>
              <w:keepLines w:val="0"/>
              <w:keepNext w:val="0"/>
              <w:pageBreakBefore w:val="0"/>
              <w:widowControl w:val="off"/>
              <w:tabs>
                <w:tab w:val="left" w:pos="1080" w:leader="none"/>
              </w:tabs>
              <w:rPr>
                <w:rFonts w:hint="eastAsia" w:ascii="宋体" w:hAnsi="宋体" w:cs="宋体"/>
                <w:bCs/>
                <w:color w:val="auto"/>
                <w:sz w:val="24"/>
                <w:highlight w:val="none"/>
              </w:rPr>
              <w:outlineLvl w:val="9"/>
            </w:pPr>
            <w:r>
              <w:rPr>
                <w:rFonts w:hint="eastAsia" w:ascii="宋体" w:hAnsi="宋体" w:eastAsia="宋体" w:cs="宋体"/>
                <w:color w:val="auto"/>
                <w:sz w:val="24"/>
                <w:highlight w:val="none"/>
              </w:rPr>
              <w:t xml:space="preserve">见第一章《采购邀请》</w:t>
            </w:r>
            <w:r/>
          </w:p>
        </w:tc>
        <w:tc>
          <w:tcPr>
            <w:shd w:val="clear" w:color="auto" w:fill="auto"/>
            <w:tcW w:w="1638" w:type="dxa"/>
            <w:vAlign w:val="center"/>
            <w:textDirection w:val="lrTb"/>
            <w:noWrap w:val="false"/>
          </w:tcPr>
          <w:p>
            <w:pPr>
              <w:keepLines w:val="0"/>
              <w:keepNext w:val="0"/>
              <w:pageBreakBefore w:val="0"/>
              <w:widowControl w:val="off"/>
              <w:tabs>
                <w:tab w:val="left" w:pos="1080" w:leader="none"/>
              </w:tabs>
              <w:rPr>
                <w:rFonts w:hint="eastAsia" w:ascii="宋体" w:hAnsi="宋体" w:cs="宋体"/>
                <w:color w:val="auto"/>
                <w:sz w:val="24"/>
                <w:highlight w:val="none"/>
              </w:rPr>
              <w:outlineLvl w:val="9"/>
            </w:pP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证书的电子件或电子证照</w:t>
            </w:r>
            <w:r>
              <w:rPr>
                <w:rFonts w:hint="eastAsia" w:ascii="宋体" w:hAnsi="宋体" w:eastAsia="宋体" w:cs="宋体"/>
                <w:color w:val="auto"/>
                <w:sz w:val="24"/>
                <w:highlight w:val="none"/>
                <w:lang w:eastAsia="zh-CN"/>
              </w:rPr>
              <w:t xml:space="preserve">。</w:t>
            </w:r>
            <w:r/>
          </w:p>
        </w:tc>
      </w:tr>
    </w:tbl>
    <w:p>
      <w:pPr>
        <w:jc w:val="center"/>
        <w:widowControl/>
        <w:rPr>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sz w:val="24"/>
          <w:highlight w:val="none"/>
        </w:rPr>
      </w:r>
      <w:r/>
    </w:p>
    <w:p>
      <w:pPr>
        <w:jc w:val="center"/>
        <w:widowControl/>
        <w:rPr>
          <w:b/>
          <w:color w:val="auto"/>
          <w:sz w:val="36"/>
          <w:szCs w:val="36"/>
          <w:highlight w:val="none"/>
        </w:rPr>
        <w:outlineLvl w:val="0"/>
      </w:pPr>
      <w:r/>
      <w:bookmarkStart w:id="731" w:name="_Toc99301423"/>
      <w:r/>
      <w:bookmarkStart w:id="732" w:name="_Toc8940"/>
      <w:r>
        <w:rPr>
          <w:b/>
          <w:color w:val="auto"/>
          <w:sz w:val="36"/>
          <w:szCs w:val="36"/>
          <w:highlight w:val="none"/>
        </w:rPr>
        <w:t xml:space="preserve">第四章   </w:t>
      </w:r>
      <w:bookmarkEnd w:id="726"/>
      <w:r/>
      <w:bookmarkEnd w:id="727"/>
      <w:r/>
      <w:bookmarkEnd w:id="728"/>
      <w:r/>
      <w:bookmarkEnd w:id="729"/>
      <w:r/>
      <w:bookmarkEnd w:id="730"/>
      <w:r/>
      <w:bookmarkStart w:id="733" w:name="_Hlt164229061"/>
      <w:r/>
      <w:bookmarkEnd w:id="733"/>
      <w:r>
        <w:rPr>
          <w:b/>
          <w:color w:val="auto"/>
          <w:sz w:val="36"/>
          <w:szCs w:val="36"/>
          <w:highlight w:val="none"/>
        </w:rPr>
        <w:t xml:space="preserve">评标程序、评标方法和评标标准</w:t>
      </w:r>
      <w:bookmarkEnd w:id="731"/>
      <w:r/>
      <w:bookmarkEnd w:id="732"/>
      <w:r/>
      <w:r/>
    </w:p>
    <w:p>
      <w:pPr>
        <w:jc w:val="center"/>
        <w:spacing w:line="360" w:lineRule="auto"/>
        <w:tabs>
          <w:tab w:val="left" w:pos="360" w:leader="none"/>
          <w:tab w:val="left" w:pos="900" w:leader="none"/>
        </w:tabs>
        <w:rPr>
          <w:b/>
          <w:color w:val="auto"/>
          <w:highlight w:val="none"/>
        </w:rPr>
      </w:pPr>
      <w:r>
        <w:rPr>
          <w:b/>
          <w:color w:val="auto"/>
          <w:sz w:val="24"/>
          <w:highlight w:val="none"/>
        </w:rPr>
        <w:t xml:space="preserve">一、评标</w:t>
      </w:r>
      <w:r>
        <w:rPr>
          <w:rFonts w:hint="eastAsia"/>
          <w:b/>
          <w:color w:val="auto"/>
          <w:sz w:val="24"/>
          <w:highlight w:val="none"/>
        </w:rPr>
        <w:t xml:space="preserve">程序</w:t>
      </w:r>
      <w:r/>
    </w:p>
    <w:p>
      <w:pPr>
        <w:numPr>
          <w:ilvl w:val="0"/>
          <w:numId w:val="12"/>
        </w:numPr>
        <w:spacing w:line="360" w:lineRule="auto"/>
        <w:tabs>
          <w:tab w:val="left" w:pos="360" w:leader="none"/>
        </w:tabs>
        <w:rPr>
          <w:color w:val="auto"/>
          <w:sz w:val="24"/>
          <w:highlight w:val="none"/>
        </w:rPr>
      </w:pPr>
      <w:r/>
      <w:bookmarkStart w:id="734" w:name="_Toc142311043"/>
      <w:r/>
      <w:bookmarkStart w:id="735" w:name="_Toc164608810"/>
      <w:r/>
      <w:bookmarkStart w:id="736" w:name="_Toc151193929"/>
      <w:r/>
      <w:bookmarkStart w:id="737" w:name="_Toc150774746"/>
      <w:r/>
      <w:bookmarkStart w:id="738" w:name="_Toc150480779"/>
      <w:r/>
      <w:bookmarkStart w:id="739" w:name="_Toc264969231"/>
      <w:r/>
      <w:bookmarkStart w:id="740" w:name="_Toc164229236"/>
      <w:r/>
      <w:bookmarkStart w:id="741" w:name="_Toc164229382"/>
      <w:r/>
      <w:bookmarkStart w:id="742" w:name="_Toc127151742"/>
      <w:r/>
      <w:bookmarkStart w:id="743" w:name="_Toc151193639"/>
      <w:r/>
      <w:bookmarkStart w:id="744" w:name="_Toc151193855"/>
      <w:r/>
      <w:bookmarkStart w:id="745" w:name="_Toc305158883"/>
      <w:r/>
      <w:bookmarkStart w:id="746" w:name="_Toc151193711"/>
      <w:r/>
      <w:bookmarkStart w:id="747" w:name="_Toc150509292"/>
      <w:r/>
      <w:bookmarkStart w:id="748" w:name="_Toc305158809"/>
      <w:r/>
      <w:bookmarkStart w:id="749" w:name="_Toc164351635"/>
      <w:r/>
      <w:bookmarkStart w:id="750" w:name="_Toc164608655"/>
      <w:r/>
      <w:bookmarkStart w:id="751" w:name="_Toc265228379"/>
      <w:r/>
      <w:bookmarkStart w:id="752" w:name="_Toc127151541"/>
      <w:r/>
      <w:bookmarkStart w:id="753" w:name="_Toc151193783"/>
      <w:r/>
      <w:bookmarkStart w:id="754" w:name="_Toc226965731"/>
      <w:r/>
      <w:bookmarkStart w:id="755" w:name="_Toc149720834"/>
      <w:r/>
      <w:bookmarkStart w:id="756" w:name="_Toc151190168"/>
      <w:r/>
      <w:bookmarkStart w:id="757" w:name="_Toc226309785"/>
      <w:r/>
      <w:bookmarkStart w:id="758" w:name="_Toc127161455"/>
      <w:r/>
      <w:bookmarkStart w:id="759" w:name="_Toc150774641"/>
      <w:r/>
      <w:bookmarkStart w:id="760" w:name="_Toc226337237"/>
      <w:r/>
      <w:bookmarkStart w:id="761" w:name="_Toc195842906"/>
      <w:r/>
      <w:bookmarkStart w:id="762" w:name="_Toc226965814"/>
      <w:r/>
      <w:bookmarkStart w:id="763" w:name="_Toc353825551"/>
      <w:r/>
      <w:bookmarkStart w:id="764" w:name="_Toc353873941"/>
      <w:r/>
      <w:bookmarkStart w:id="765" w:name="_Toc264969245"/>
      <w:r/>
      <w:bookmarkStart w:id="766" w:name="_Toc142311057"/>
      <w:r/>
      <w:bookmarkStart w:id="767" w:name="_Toc226965828"/>
      <w:r/>
      <w:bookmarkStart w:id="768" w:name="_Toc150480793"/>
      <w:r/>
      <w:bookmarkStart w:id="769" w:name="_Toc150774760"/>
      <w:r/>
      <w:bookmarkStart w:id="770" w:name="_Toc305158823"/>
      <w:r/>
      <w:bookmarkStart w:id="771" w:name="_Toc353873665"/>
      <w:r/>
      <w:bookmarkStart w:id="772" w:name="_Toc353873935"/>
      <w:r/>
      <w:bookmarkStart w:id="773" w:name="_Toc226337251"/>
      <w:r/>
      <w:bookmarkStart w:id="774" w:name="_Toc305158897"/>
      <w:r/>
      <w:bookmarkStart w:id="775" w:name="_Toc195842920"/>
      <w:r/>
      <w:bookmarkStart w:id="776" w:name="_Toc127151555"/>
      <w:r/>
      <w:bookmarkStart w:id="777" w:name="_Toc265228393"/>
      <w:r/>
      <w:bookmarkStart w:id="778" w:name="_Toc353825545"/>
      <w:r>
        <w:rPr>
          <w:color w:val="auto"/>
          <w:sz w:val="24"/>
          <w:highlight w:val="none"/>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79" w:name="_Toc520356167"/>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79"/>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1279"/>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75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813"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6725"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813" w:type="dxa"/>
            <w:vAlign w:val="center"/>
            <w:textDirection w:val="lrTb"/>
            <w:noWrap w:val="false"/>
          </w:tcPr>
          <w:p>
            <w:pPr>
              <w:jc w:val="left"/>
              <w:widowControl/>
              <w:rPr>
                <w:color w:val="auto"/>
                <w:sz w:val="24"/>
                <w:highlight w:val="none"/>
              </w:rPr>
            </w:pPr>
            <w:r>
              <w:rPr>
                <w:rFonts w:hint="eastAsia"/>
                <w:color w:val="auto"/>
                <w:sz w:val="24"/>
                <w:highlight w:val="none"/>
              </w:rPr>
              <w:t xml:space="preserve">投标函、</w:t>
            </w:r>
            <w:r>
              <w:rPr>
                <w:rFonts w:hint="eastAsia"/>
                <w:color w:val="auto"/>
                <w:sz w:val="24"/>
                <w:highlight w:val="none"/>
              </w:rPr>
              <w:t xml:space="preserve">法定代表人资格证明书和政府采购供应商信用承诺书</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按招标文件要求提供</w:t>
            </w:r>
            <w:r>
              <w:rPr>
                <w:rFonts w:hint="eastAsia"/>
                <w:color w:val="auto"/>
                <w:sz w:val="24"/>
                <w:highlight w:val="none"/>
              </w:rPr>
              <w:t xml:space="preserve">投标函、</w:t>
            </w:r>
            <w:r>
              <w:rPr>
                <w:rFonts w:hint="eastAsia"/>
                <w:color w:val="auto"/>
                <w:sz w:val="24"/>
                <w:highlight w:val="none"/>
              </w:rPr>
              <w:t xml:space="preserve">法定代表人资格证明书和政府采购供应商信用承诺书</w:t>
            </w:r>
            <w:r>
              <w:rPr>
                <w:color w:val="auto"/>
                <w:sz w:val="24"/>
                <w:highlight w:val="none"/>
              </w:rPr>
              <w:t xml:space="preserve">；</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投标完整性</w:t>
            </w:r>
            <w:r/>
          </w:p>
        </w:tc>
        <w:tc>
          <w:tcPr>
            <w:tcW w:w="6725" w:type="dxa"/>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w:t>
            </w:r>
            <w:r>
              <w:rPr>
                <w:rFonts w:hint="eastAsia"/>
                <w:color w:val="auto"/>
                <w:sz w:val="24"/>
                <w:highlight w:val="none"/>
                <w:lang w:val="en-US" w:eastAsia="zh-CN"/>
              </w:rPr>
              <w:t xml:space="preserve">项目</w:t>
            </w:r>
            <w:r>
              <w:rPr>
                <w:color w:val="auto"/>
                <w:sz w:val="24"/>
                <w:highlight w:val="none"/>
              </w:rPr>
              <w:t xml:space="preserve">中的内容拆开投标；</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投标报价</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投标报价</w:t>
            </w:r>
            <w:r>
              <w:rPr>
                <w:rFonts w:hint="eastAsia"/>
                <w:color w:val="auto"/>
                <w:sz w:val="24"/>
                <w:highlight w:val="none"/>
              </w:rPr>
              <w:t xml:space="preserve">未</w:t>
            </w:r>
            <w:r>
              <w:rPr>
                <w:color w:val="auto"/>
                <w:sz w:val="24"/>
                <w:highlight w:val="none"/>
              </w:rPr>
              <w:t xml:space="preserve">超过招标文件中规定的项目预算金额或者项目最高限价</w:t>
            </w:r>
            <w:r>
              <w:rPr>
                <w:color w:val="auto"/>
                <w:sz w:val="24"/>
                <w:highlight w:val="none"/>
              </w:rPr>
              <w:t xml:space="preserve">；</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rFonts w:hint="eastAsia"/>
                <w:color w:val="auto"/>
                <w:sz w:val="24"/>
                <w:highlight w:val="none"/>
              </w:rPr>
              <w:t xml:space="preserve">出现可选择性或可调整的报价（招标文件另有规定的除外）</w:t>
            </w:r>
            <w:r>
              <w:rPr>
                <w:color w:val="auto"/>
                <w:sz w:val="24"/>
                <w:highlight w:val="none"/>
              </w:rPr>
              <w:t xml:space="preserve">；</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投标有效期</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p>
        </w:tc>
      </w:tr>
      <w:tr>
        <w:trPr>
          <w:jc w:val="center"/>
          <w:trHeight w:val="685"/>
        </w:trPr>
        <w:tc>
          <w:tcPr>
            <w:tcW w:w="75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813"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6725" w:type="dxa"/>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813" w:type="dxa"/>
            <w:vAlign w:val="center"/>
            <w:textDirection w:val="lrTb"/>
            <w:noWrap w:val="false"/>
          </w:tcPr>
          <w:p>
            <w:pPr>
              <w:jc w:val="left"/>
              <w:widowControl/>
              <w:rPr>
                <w:rFonts w:hint="eastAsia" w:eastAsia="宋体"/>
                <w:color w:val="auto"/>
                <w:sz w:val="24"/>
                <w:highlight w:val="none"/>
                <w:lang w:eastAsia="zh-CN"/>
              </w:rPr>
            </w:pPr>
            <w:r>
              <w:rPr>
                <w:color w:val="auto"/>
                <w:sz w:val="24"/>
                <w:highlight w:val="none"/>
              </w:rPr>
              <w:t xml:space="preserve">报价的修正</w:t>
            </w:r>
            <w:r>
              <w:rPr>
                <w:rFonts w:hint="eastAsia"/>
                <w:color w:val="auto"/>
                <w:sz w:val="24"/>
                <w:highlight w:val="none"/>
                <w:lang w:val="en-US" w:eastAsia="zh-CN"/>
              </w:rPr>
              <w:t xml:space="preserve"> </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w:t>
            </w:r>
            <w:r/>
          </w:p>
        </w:tc>
      </w:tr>
      <w:tr>
        <w:trPr>
          <w:jc w:val="center"/>
          <w:trHeight w:val="685"/>
        </w:trPr>
        <w:tc>
          <w:tcPr>
            <w:tcW w:w="750" w:type="dxa"/>
            <w:vAlign w:val="center"/>
            <w:textDirection w:val="lrTb"/>
            <w:noWrap w:val="false"/>
          </w:tcPr>
          <w:p>
            <w:pPr>
              <w:jc w:val="center"/>
              <w:widowControl/>
              <w:rPr>
                <w:rFonts w:hint="eastAsia" w:eastAsia="宋体"/>
                <w:color w:val="auto"/>
                <w:sz w:val="24"/>
                <w:highlight w:val="none"/>
                <w:lang w:val="en-US" w:eastAsia="zh-CN"/>
              </w:rPr>
            </w:pPr>
            <w:r>
              <w:rPr>
                <w:rFonts w:hint="eastAsia"/>
                <w:color w:val="auto"/>
                <w:sz w:val="24"/>
                <w:highlight w:val="none"/>
                <w:lang w:val="en-US" w:eastAsia="zh-CN"/>
              </w:rPr>
              <w:t xml:space="preserve">9</w:t>
            </w:r>
            <w:r/>
          </w:p>
        </w:tc>
        <w:tc>
          <w:tcPr>
            <w:tcW w:w="1813" w:type="dxa"/>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投标文件满足招标文件</w:t>
            </w:r>
            <w:r>
              <w:rPr>
                <w:color w:val="auto"/>
                <w:sz w:val="24"/>
                <w:highlight w:val="none"/>
              </w:rPr>
              <w:t xml:space="preserve">第五章《采购需求》</w:t>
            </w:r>
            <w:r>
              <w:rPr>
                <w:color w:val="auto"/>
                <w:sz w:val="24"/>
                <w:highlight w:val="none"/>
              </w:rPr>
              <w:t xml:space="preserve">中</w:t>
            </w:r>
            <w:r>
              <w:rPr>
                <w:rFonts w:ascii="Segoe UI Symbol" w:hAnsi="Segoe UI Symbol" w:cs="Segoe UI Symbol"/>
                <w:color w:val="auto"/>
                <w:sz w:val="24"/>
                <w:highlight w:val="none"/>
              </w:rPr>
              <w:t xml:space="preserve">★</w:t>
            </w:r>
            <w:r>
              <w:rPr>
                <w:color w:val="auto"/>
                <w:sz w:val="24"/>
                <w:highlight w:val="none"/>
              </w:rPr>
              <w:t xml:space="preserve">号条款要求的；</w:t>
            </w:r>
            <w:r/>
          </w:p>
        </w:tc>
      </w:tr>
      <w:tr>
        <w:trPr>
          <w:jc w:val="center"/>
          <w:trHeight w:val="1309"/>
        </w:trPr>
        <w:tc>
          <w:tcPr>
            <w:tcW w:w="750" w:type="dxa"/>
            <w:vAlign w:val="center"/>
            <w:textDirection w:val="lrTb"/>
            <w:noWrap w:val="false"/>
          </w:tcPr>
          <w:p>
            <w:pPr>
              <w:jc w:val="center"/>
              <w:widowControl/>
              <w:rPr>
                <w:rFonts w:hint="default" w:eastAsia="宋体"/>
                <w:color w:val="auto"/>
                <w:sz w:val="24"/>
                <w:highlight w:val="none"/>
                <w:lang w:val="en-US" w:eastAsia="zh-CN"/>
              </w:rPr>
            </w:pPr>
            <w:r>
              <w:rPr>
                <w:rFonts w:hint="eastAsia"/>
                <w:color w:val="auto"/>
                <w:sz w:val="24"/>
                <w:highlight w:val="none"/>
                <w:lang w:val="en-US" w:eastAsia="zh-CN"/>
              </w:rPr>
              <w:t xml:space="preserve">10</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报价合理性</w:t>
            </w:r>
            <w:r/>
          </w:p>
        </w:tc>
        <w:tc>
          <w:tcPr>
            <w:tcW w:w="6725" w:type="dxa"/>
            <w:vAlign w:val="center"/>
            <w:textDirection w:val="lrTb"/>
            <w:noWrap w:val="false"/>
          </w:tcPr>
          <w:p>
            <w:pPr>
              <w:jc w:val="left"/>
              <w:widowControl/>
              <w:rPr>
                <w:rFonts w:hint="default" w:eastAsia="宋体"/>
                <w:color w:val="auto"/>
                <w:sz w:val="24"/>
                <w:highlight w:val="none"/>
                <w:lang w:val="en-US" w:eastAsia="zh-CN"/>
              </w:rPr>
            </w:pPr>
            <w:r>
              <w:rPr>
                <w:rFonts w:hint="eastAsia" w:ascii="宋体" w:hAnsi="宋体" w:eastAsia="宋体" w:cs="宋体"/>
                <w:color w:val="auto"/>
                <w:sz w:val="24"/>
                <w:highlight w:val="none"/>
              </w:rPr>
              <w:t xml:space="preserve">报价合理，或投标人的报价明显低于其他通过符合性审查投标人的报价，有可能影响服务质量或者不能诚信履约的，能够应评标委员会要求在规定时间内证明其报价合理性的；</w:t>
            </w:r>
            <w:r>
              <w:rPr>
                <w:rFonts w:hint="eastAsia" w:ascii="宋体" w:hAnsi="宋体" w:cs="宋体"/>
                <w:color w:val="auto"/>
                <w:sz w:val="24"/>
                <w:highlight w:val="none"/>
                <w:lang w:val="en-US" w:eastAsia="zh-CN"/>
              </w:rPr>
              <w:t xml:space="preserve">具体详见2.2.1</w:t>
            </w:r>
            <w:r/>
          </w:p>
        </w:tc>
      </w:tr>
      <w:tr>
        <w:trPr>
          <w:jc w:val="center"/>
          <w:trHeight w:val="685"/>
        </w:trPr>
        <w:tc>
          <w:tcPr>
            <w:tcW w:w="750" w:type="dxa"/>
            <w:vAlign w:val="center"/>
            <w:textDirection w:val="lrTb"/>
            <w:noWrap w:val="false"/>
          </w:tcPr>
          <w:p>
            <w:pPr>
              <w:jc w:val="center"/>
              <w:widowControl/>
              <w:rPr>
                <w:rFonts w:hint="default" w:eastAsia="宋体"/>
                <w:color w:val="auto"/>
                <w:sz w:val="24"/>
                <w:highlight w:val="none"/>
                <w:lang w:val="en-US" w:eastAsia="zh-CN"/>
              </w:rPr>
            </w:pPr>
            <w:r>
              <w:rPr>
                <w:rFonts w:hint="eastAsia"/>
                <w:color w:val="auto"/>
                <w:sz w:val="24"/>
                <w:highlight w:val="none"/>
                <w:lang w:val="en-US" w:eastAsia="zh-CN"/>
              </w:rPr>
              <w:t xml:space="preserve">11</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750" w:type="dxa"/>
            <w:vAlign w:val="center"/>
            <w:textDirection w:val="lrTb"/>
            <w:noWrap w:val="false"/>
          </w:tcPr>
          <w:p>
            <w:pPr>
              <w:jc w:val="center"/>
              <w:widowControl/>
              <w:rPr>
                <w:rFonts w:hint="default" w:eastAsia="宋体"/>
                <w:color w:val="auto"/>
                <w:sz w:val="24"/>
                <w:highlight w:val="none"/>
                <w:lang w:val="en-US" w:eastAsia="zh-CN"/>
              </w:rPr>
            </w:pPr>
            <w:r>
              <w:rPr>
                <w:rFonts w:hint="eastAsia"/>
                <w:color w:val="auto"/>
                <w:sz w:val="24"/>
                <w:highlight w:val="none"/>
                <w:lang w:val="en-US" w:eastAsia="zh-CN"/>
              </w:rPr>
              <w:t xml:space="preserve">12</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串通投标</w:t>
            </w:r>
            <w:r/>
          </w:p>
        </w:tc>
        <w:tc>
          <w:tcPr>
            <w:tcW w:w="6725" w:type="dxa"/>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（包含使用同一MAC地址的计算机制作电子投标文件的情形）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（包含使用同一MAC地址的计算机提交或者解密电子投标文件的情形）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；（三）不同投标人的投标文件载明的项目管理成员或者联系人员为同一人；（四）不同投标人的投标文件异常一致或者投标报价呈规律性差异；</w:t>
            </w:r>
            <w:r/>
          </w:p>
        </w:tc>
      </w:tr>
      <w:tr>
        <w:trPr>
          <w:jc w:val="center"/>
          <w:trHeight w:val="685"/>
        </w:trPr>
        <w:tc>
          <w:tcPr>
            <w:tcW w:w="750" w:type="dxa"/>
            <w:vAlign w:val="center"/>
            <w:textDirection w:val="lrTb"/>
            <w:noWrap w:val="false"/>
          </w:tcPr>
          <w:p>
            <w:pPr>
              <w:jc w:val="center"/>
              <w:widowControl/>
              <w:rPr>
                <w:rFonts w:hint="default" w:eastAsia="宋体"/>
                <w:color w:val="auto"/>
                <w:sz w:val="24"/>
                <w:highlight w:val="none"/>
                <w:lang w:val="en-US" w:eastAsia="zh-CN"/>
              </w:rPr>
            </w:pPr>
            <w:r>
              <w:rPr>
                <w:rFonts w:hint="eastAsia"/>
                <w:color w:val="auto"/>
                <w:sz w:val="24"/>
                <w:highlight w:val="none"/>
                <w:lang w:val="en-US" w:eastAsia="zh-CN"/>
              </w:rPr>
              <w:t xml:space="preserve">13</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750" w:type="dxa"/>
            <w:vAlign w:val="center"/>
            <w:textDirection w:val="lrTb"/>
            <w:noWrap w:val="false"/>
          </w:tcPr>
          <w:p>
            <w:pPr>
              <w:jc w:val="center"/>
              <w:widowControl/>
              <w:rPr>
                <w:rFonts w:hint="default" w:eastAsia="宋体"/>
                <w:color w:val="auto"/>
                <w:sz w:val="24"/>
                <w:highlight w:val="none"/>
                <w:lang w:val="en-US" w:eastAsia="zh-CN"/>
              </w:rPr>
            </w:pPr>
            <w:r>
              <w:rPr>
                <w:rFonts w:hint="eastAsia"/>
                <w:color w:val="auto"/>
                <w:sz w:val="24"/>
                <w:highlight w:val="none"/>
                <w:lang w:val="en-US" w:eastAsia="zh-CN"/>
              </w:rPr>
              <w:t xml:space="preserve">14</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r/>
          </w:p>
        </w:tc>
      </w:tr>
    </w:tbl>
    <w:p>
      <w:pPr>
        <w:numPr>
          <w:ilvl w:val="0"/>
          <w:numId w:val="12"/>
        </w:numPr>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投标文件有关事项的澄清或者说明</w:t>
      </w:r>
      <w:r/>
    </w:p>
    <w:p>
      <w:pPr>
        <w:numPr>
          <w:ilvl w:val="1"/>
          <w:numId w:val="12"/>
        </w:numPr>
        <w:ind w:left="1077" w:hanging="720"/>
        <w:spacing w:line="360" w:lineRule="auto"/>
        <w:tabs>
          <w:tab w:val="left" w:pos="1080" w:leader="none"/>
        </w:tabs>
        <w:rPr>
          <w:rFonts w:hint="eastAsia"/>
          <w:color w:val="auto"/>
          <w:sz w:val="24"/>
          <w:highlight w:val="none"/>
        </w:rPr>
      </w:pPr>
      <w:r>
        <w:rPr>
          <w:color w:val="auto"/>
          <w:sz w:val="24"/>
          <w:highlight w:val="none"/>
        </w:rPr>
        <w:t xml:space="preserve">评标过程中，评标委员会将</w:t>
      </w:r>
      <w:r>
        <w:rPr>
          <w:rFonts w:hint="eastAsia"/>
          <w:color w:val="auto"/>
          <w:sz w:val="24"/>
          <w:highlight w:val="none"/>
        </w:rPr>
        <w:t xml:space="preserve">通过“苏采云”政府采购一体化平台系统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rPr>
          <w:rFonts w:hint="eastAsia"/>
          <w:color w:val="auto"/>
          <w:sz w:val="24"/>
          <w:highlight w:val="none"/>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b/>
          <w:bCs/>
          <w:color w:val="auto"/>
          <w:sz w:val="24"/>
          <w:highlight w:val="none"/>
        </w:rPr>
        <w:t xml:space="preserve">无效投标处理。</w:t>
      </w:r>
      <w:r/>
    </w:p>
    <w:p>
      <w:pPr>
        <w:numPr>
          <w:ilvl w:val="0"/>
          <w:numId w:val="0"/>
        </w:numPr>
        <w:ind w:left="0"/>
        <w:keepLines w:val="0"/>
        <w:keepNext w:val="0"/>
        <w:pageBreakBefore w:val="0"/>
        <w:spacing w:line="360" w:lineRule="auto"/>
        <w:tabs>
          <w:tab w:val="left" w:pos="1080" w:leader="none"/>
        </w:tabs>
        <w:rPr>
          <w:rFonts w:hint="eastAsia"/>
          <w:b/>
          <w:bCs/>
          <w:color w:val="auto"/>
          <w:sz w:val="24"/>
          <w:highlight w:val="none"/>
        </w:rPr>
      </w:pPr>
      <w:r>
        <w:rPr>
          <w:rFonts w:hint="eastAsia"/>
          <w:b/>
          <w:bCs/>
          <w:color w:val="auto"/>
          <w:sz w:val="24"/>
          <w:highlight w:val="none"/>
        </w:rPr>
        <w:t xml:space="preserve">2.</w:t>
      </w:r>
      <w:r>
        <w:rPr>
          <w:rFonts w:hint="eastAsia"/>
          <w:b/>
          <w:bCs/>
          <w:color w:val="auto"/>
          <w:sz w:val="24"/>
          <w:highlight w:val="none"/>
          <w:lang w:val="en-US" w:eastAsia="zh-CN"/>
        </w:rPr>
        <w:t xml:space="preserve">2</w:t>
      </w:r>
      <w:r>
        <w:rPr>
          <w:rFonts w:hint="eastAsia"/>
          <w:b/>
          <w:bCs/>
          <w:color w:val="auto"/>
          <w:sz w:val="24"/>
          <w:highlight w:val="none"/>
        </w:rPr>
        <w:t xml:space="preserve">.1实施政府采购异常低价审查的有关要求：具体按照财</w:t>
      </w:r>
      <w:r>
        <w:rPr>
          <w:rFonts w:hint="eastAsia"/>
          <w:b/>
          <w:bCs/>
          <w:color w:val="auto"/>
          <w:sz w:val="24"/>
          <w:highlight w:val="none"/>
          <w:lang w:val="en-US" w:eastAsia="zh-CN"/>
        </w:rPr>
        <w:t xml:space="preserve">库</w:t>
      </w:r>
      <w:r>
        <w:rPr>
          <w:rFonts w:hint="eastAsia"/>
          <w:b/>
          <w:bCs/>
          <w:color w:val="auto"/>
          <w:sz w:val="24"/>
          <w:highlight w:val="none"/>
        </w:rPr>
        <w:t xml:space="preserve">〔202</w:t>
      </w:r>
      <w:r>
        <w:rPr>
          <w:rFonts w:hint="eastAsia"/>
          <w:b/>
          <w:bCs/>
          <w:color w:val="auto"/>
          <w:sz w:val="24"/>
          <w:highlight w:val="none"/>
          <w:lang w:val="en-US" w:eastAsia="zh-CN"/>
        </w:rPr>
        <w:t xml:space="preserve">6</w:t>
      </w:r>
      <w:r>
        <w:rPr>
          <w:rFonts w:hint="eastAsia"/>
          <w:b/>
          <w:bCs/>
          <w:color w:val="auto"/>
          <w:sz w:val="24"/>
          <w:highlight w:val="none"/>
        </w:rPr>
        <w:t xml:space="preserve">〕</w:t>
      </w:r>
      <w:r>
        <w:rPr>
          <w:rFonts w:hint="eastAsia"/>
          <w:b/>
          <w:bCs/>
          <w:color w:val="auto"/>
          <w:sz w:val="24"/>
          <w:highlight w:val="none"/>
          <w:lang w:val="en-US" w:eastAsia="zh-CN"/>
        </w:rPr>
        <w:t xml:space="preserve">2</w:t>
      </w:r>
      <w:r>
        <w:rPr>
          <w:rFonts w:hint="eastAsia"/>
          <w:b/>
          <w:bCs/>
          <w:color w:val="auto"/>
          <w:sz w:val="24"/>
          <w:highlight w:val="none"/>
        </w:rPr>
        <w:t xml:space="preserve">号《关于推动解决政府采购异常低价问题的通知》要求：</w:t>
      </w:r>
      <w:r/>
    </w:p>
    <w:p>
      <w:pPr>
        <w:ind w:left="0" w:right="0" w:firstLine="640"/>
        <w:jc w:val="both"/>
        <w:keepLines w:val="0"/>
        <w:keepNext w:val="0"/>
        <w:pageBreakBefore w:val="0"/>
        <w:spacing w:before="0" w:beforeAutospacing="0" w:after="0" w:afterAutospacing="0" w:line="360" w:lineRule="auto"/>
        <w:shd w:val="clear" w:color="auto" w:fill="ffffff"/>
        <w:widowControl/>
        <w:rPr>
          <w:rFonts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（一）政府采购评审中出现下列情形之一的，评审委员会应当启动异常低价投标（响应）审查程序：</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3.投标（响应）报价低于采购项目最高限价45%的，即投标（响应）报价&lt;采购项目最高限价×45%；</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采购人可以结合具体项目实际情况，提高上述第1项至第3项中启动异常低价投标（响应）审查的数值标准，但是最高不得超过65%。</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相关法律法规对供应商报价有规定的，从其规定。</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eastAsia="宋体" w:cs="宋体"/>
          <w:color w:val="auto"/>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auto"/>
          <w:sz w:val="24"/>
          <w:highlight w:val="none"/>
          <w:lang w:eastAsia="zh-CN"/>
        </w:rPr>
        <w:t xml:space="preserve">采购</w:t>
      </w:r>
      <w:r>
        <w:rPr>
          <w:rFonts w:hint="eastAsia" w:ascii="宋体" w:hAnsi="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中的内容拆开投标，其</w:t>
      </w:r>
      <w:r>
        <w:rPr>
          <w:rFonts w:hint="eastAsia" w:ascii="宋体" w:hAnsi="宋体" w:eastAsia="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rPr>
        <w:outlineLvl w:val="9"/>
      </w:pPr>
      <w:r>
        <w:rPr>
          <w:rFonts w:hint="eastAsia" w:ascii="宋体" w:hAnsi="宋体" w:cs="宋体"/>
          <w:color w:val="auto"/>
          <w:sz w:val="24"/>
          <w:highlight w:val="none"/>
        </w:rPr>
        <w:t xml:space="preserve">落实政府采购政策的价格调整：</w:t>
      </w:r>
      <w:r>
        <w:rPr>
          <w:rFonts w:hint="eastAsia" w:ascii="宋体" w:hAnsi="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w:t>
      </w:r>
      <w:r/>
    </w:p>
    <w:p>
      <w:pPr>
        <w:numPr>
          <w:ilvl w:val="0"/>
          <w:numId w:val="12"/>
        </w:numPr>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投标文件的比较和评价</w:t>
      </w:r>
      <w:bookmarkEnd w:id="763"/>
      <w:r/>
      <w:bookmarkEnd w:id="764"/>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ascii="宋体" w:hAnsi="宋体" w:cs="宋体"/>
          <w:color w:val="auto"/>
          <w:sz w:val="24"/>
          <w:highlight w:val="none"/>
        </w:rPr>
      </w:pPr>
      <w:r>
        <w:rPr>
          <w:rFonts w:hint="eastAsia" w:ascii="宋体" w:hAnsi="宋体" w:cs="宋体"/>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spacing w:line="360" w:lineRule="auto"/>
        <w:tabs>
          <w:tab w:val="left" w:pos="900" w:leader="none"/>
          <w:tab w:val="left" w:pos="1589" w:leader="none"/>
          <w:tab w:val="left" w:pos="1701" w:leader="none"/>
        </w:tabs>
        <w:rPr>
          <w:rFonts w:ascii="宋体" w:hAnsi="宋体" w:cs="宋体"/>
          <w:color w:val="auto"/>
          <w:sz w:val="24"/>
          <w:highlight w:val="none"/>
        </w:rPr>
      </w:pPr>
      <w:r>
        <w:rPr>
          <w:rFonts w:hint="eastAsia" w:ascii="宋体" w:hAnsi="宋体" w:cs="宋体"/>
          <w:color w:val="auto"/>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□随机抽取</w:t>
      </w:r>
      <w:r/>
    </w:p>
    <w:p>
      <w:pPr>
        <w:ind w:left="2035"/>
        <w:spacing w:line="360" w:lineRule="auto"/>
        <w:tabs>
          <w:tab w:val="left" w:pos="1080" w:leader="none"/>
          <w:tab w:val="left" w:pos="1589" w:leader="none"/>
          <w:tab w:val="left" w:pos="2035" w:leader="none"/>
        </w:tabs>
        <w:rPr>
          <w:rFonts w:ascii="宋体" w:hAnsi="宋体" w:cs="宋体"/>
          <w:color w:val="auto"/>
          <w:sz w:val="24"/>
          <w:highlight w:val="none"/>
          <w:u w:val="single"/>
        </w:rPr>
      </w:pPr>
      <w:r>
        <w:rPr>
          <w:rFonts w:hint="eastAsia" w:ascii="宋体" w:hAnsi="宋体" w:cs="宋体"/>
          <w:color w:val="auto"/>
          <w:sz w:val="24"/>
          <w:highlight w:val="none"/>
        </w:rPr>
        <w:t xml:space="preserve">□其他方式，具体要求：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2"/>
          <w:numId w:val="12"/>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2"/>
          <w:numId w:val="12"/>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0"/>
          <w:numId w:val="12"/>
        </w:numPr>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确定</w:t>
      </w:r>
      <w:bookmarkStart w:id="780" w:name="_Toc150774751"/>
      <w:r/>
      <w:bookmarkStart w:id="781" w:name="_Toc151193716"/>
      <w:r/>
      <w:bookmarkStart w:id="782" w:name="_Toc149720839"/>
      <w:r/>
      <w:bookmarkStart w:id="783" w:name="_Toc226965819"/>
      <w:r/>
      <w:bookmarkStart w:id="784" w:name="_Toc151190173"/>
      <w:r/>
      <w:bookmarkStart w:id="785" w:name="_Toc150480784"/>
      <w:r/>
      <w:bookmarkStart w:id="786" w:name="_Toc264969236"/>
      <w:r/>
      <w:bookmarkStart w:id="787" w:name="_Toc226337242"/>
      <w:r/>
      <w:bookmarkStart w:id="788" w:name="_Toc151193788"/>
      <w:r/>
      <w:bookmarkStart w:id="789" w:name="_Toc142311048"/>
      <w:r/>
      <w:bookmarkStart w:id="790" w:name="_Toc127151747"/>
      <w:r/>
      <w:bookmarkStart w:id="791" w:name="_Toc164351640"/>
      <w:r/>
      <w:bookmarkStart w:id="792" w:name="_Toc150509297"/>
      <w:r/>
      <w:bookmarkStart w:id="793" w:name="_Toc164608660"/>
      <w:r/>
      <w:bookmarkStart w:id="794" w:name="_Toc127151546"/>
      <w:r/>
      <w:bookmarkStart w:id="795" w:name="_Toc164608815"/>
      <w:r/>
      <w:bookmarkStart w:id="796" w:name="_Toc226309790"/>
      <w:r/>
      <w:bookmarkStart w:id="797" w:name="_Toc305158814"/>
      <w:r/>
      <w:bookmarkStart w:id="798" w:name="_Toc164229241"/>
      <w:r/>
      <w:bookmarkStart w:id="799" w:name="_Toc151193644"/>
      <w:r/>
      <w:bookmarkStart w:id="800" w:name="_Toc150774646"/>
      <w:r/>
      <w:bookmarkStart w:id="801" w:name="_Toc151193860"/>
      <w:r/>
      <w:bookmarkStart w:id="802" w:name="_Toc151193934"/>
      <w:r/>
      <w:bookmarkStart w:id="803" w:name="_Toc305158888"/>
      <w:r/>
      <w:bookmarkStart w:id="804" w:name="_Toc520356170"/>
      <w:r/>
      <w:bookmarkStart w:id="805" w:name="_Toc195842911"/>
      <w:r/>
      <w:bookmarkStart w:id="806" w:name="_Ref467307010"/>
      <w:r/>
      <w:bookmarkStart w:id="807" w:name="_Toc164229387"/>
      <w:r/>
      <w:bookmarkStart w:id="808" w:name="_Toc127161460"/>
      <w:r/>
      <w:bookmarkStart w:id="809" w:name="_Toc265228384"/>
      <w:r/>
      <w:bookmarkStart w:id="810" w:name="_Toc226965736"/>
      <w:r>
        <w:rPr>
          <w:rFonts w:hint="eastAsia" w:ascii="宋体" w:hAnsi="宋体" w:cs="宋体"/>
          <w:color w:val="auto"/>
          <w:sz w:val="24"/>
          <w:highlight w:val="none"/>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评标委员会要对评分汇总情况进行复核，特别是对排名第一的、报价最低的、投标或投标文件被认定为无效的情形进行重点复核。</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eastAsia="宋体" w:cs="宋体"/>
          <w:color w:val="auto"/>
          <w:sz w:val="24"/>
          <w:highlight w:val="none"/>
        </w:rPr>
        <w:t xml:space="preserve">评标委员会将根据各投标人的评标排序，依次推荐本项目的中标候选人，起草并签署评标报告。本项目评标委员会共推荐不少于3名中标候选人</w:t>
      </w:r>
      <w:r>
        <w:rPr>
          <w:rFonts w:hint="eastAsia" w:ascii="宋体" w:hAnsi="宋体" w:cs="宋体"/>
          <w:color w:val="auto"/>
          <w:sz w:val="24"/>
          <w:highlight w:val="none"/>
        </w:rPr>
        <w:t xml:space="preserve">。</w:t>
      </w:r>
      <w:r/>
    </w:p>
    <w:p>
      <w:pPr>
        <w:numPr>
          <w:ilvl w:val="0"/>
          <w:numId w:val="12"/>
        </w:numPr>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报告违法行为</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numPr>
          <w:ilvl w:val="0"/>
          <w:numId w:val="13"/>
        </w:numPr>
        <w:jc w:val="center"/>
        <w:spacing w:line="360" w:lineRule="auto"/>
        <w:widowControl/>
        <w:rPr>
          <w:rFonts w:ascii="宋体" w:hAnsi="宋体"/>
          <w:b/>
          <w:bCs/>
          <w:color w:val="auto"/>
          <w:sz w:val="28"/>
          <w:szCs w:val="28"/>
          <w:highlight w:val="none"/>
        </w:rPr>
      </w:pPr>
      <w:r>
        <w:rPr>
          <w:rFonts w:hint="eastAsia" w:ascii="宋体" w:hAnsi="宋体" w:cs="宋体"/>
          <w:b/>
          <w:color w:val="auto"/>
          <w:sz w:val="24"/>
          <w:highlight w:val="none"/>
        </w:rPr>
        <w:br w:type="page" w:clear="all"/>
      </w:r>
      <w:r>
        <w:rPr>
          <w:rFonts w:hint="eastAsia" w:ascii="宋体" w:hAnsi="宋体"/>
          <w:b/>
          <w:bCs/>
          <w:color w:val="auto"/>
          <w:sz w:val="28"/>
          <w:szCs w:val="28"/>
          <w:highlight w:val="none"/>
        </w:rPr>
        <w:t xml:space="preserve">评标标准</w:t>
      </w:r>
      <w:r/>
    </w:p>
    <w:tbl>
      <w:tblPr>
        <w:tblStyle w:val="12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77"/>
        <w:gridCol w:w="1200"/>
        <w:gridCol w:w="5820"/>
        <w:gridCol w:w="725"/>
      </w:tblGrid>
      <w:tr>
        <w:trPr>
          <w:trHeight w:val="355"/>
        </w:trPr>
        <w:tc>
          <w:tcPr>
            <w:tcMar>
              <w:left w:w="108" w:type="dxa"/>
              <w:top w:w="0" w:type="dxa"/>
              <w:right w:w="108" w:type="dxa"/>
              <w:bottom w:w="0" w:type="dxa"/>
            </w:tcMar>
            <w:tcW w:w="777" w:type="dxa"/>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200" w:type="dxa"/>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评分因素</w:t>
            </w:r>
            <w:r/>
          </w:p>
        </w:tc>
        <w:tc>
          <w:tcPr>
            <w:tcMar>
              <w:left w:w="108" w:type="dxa"/>
              <w:top w:w="0" w:type="dxa"/>
              <w:right w:w="108" w:type="dxa"/>
              <w:bottom w:w="0" w:type="dxa"/>
            </w:tcMar>
            <w:tcW w:w="5820" w:type="dxa"/>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评分标准</w:t>
            </w:r>
            <w:r/>
          </w:p>
        </w:tc>
        <w:tc>
          <w:tcPr>
            <w:tcMar>
              <w:left w:w="108" w:type="dxa"/>
              <w:top w:w="0" w:type="dxa"/>
              <w:right w:w="108" w:type="dxa"/>
              <w:bottom w:w="0" w:type="dxa"/>
            </w:tcMar>
            <w:tcW w:w="725" w:type="dxa"/>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分值</w:t>
            </w:r>
            <w:r/>
          </w:p>
        </w:tc>
      </w:tr>
      <w:tr>
        <w:trPr>
          <w:trHeight w:val="448"/>
        </w:trPr>
        <w:tc>
          <w:tcPr>
            <w:gridSpan w:val="4"/>
            <w:tcMar>
              <w:left w:w="108" w:type="dxa"/>
              <w:top w:w="0" w:type="dxa"/>
              <w:right w:w="108" w:type="dxa"/>
              <w:bottom w:w="0" w:type="dxa"/>
            </w:tcMar>
            <w:tcW w:w="8522" w:type="dxa"/>
            <w:vAlign w:val="center"/>
            <w:textDirection w:val="lrTb"/>
            <w:noWrap w:val="false"/>
          </w:tcPr>
          <w:p>
            <w:pPr>
              <w:jc w:val="both"/>
              <w:keepLines w:val="0"/>
              <w:keepNext w:val="0"/>
              <w:pageBreakBefore w:val="0"/>
              <w:spacing w:line="360" w:lineRule="auto"/>
              <w:tabs>
                <w:tab w:val="left" w:pos="426" w:leader="none"/>
              </w:tabs>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一、报价（</w:t>
            </w:r>
            <w:r>
              <w:rPr>
                <w:rFonts w:hint="eastAsia" w:ascii="宋体" w:hAnsi="宋体" w:eastAsia="宋体" w:cs="宋体"/>
                <w:b/>
                <w:color w:val="auto"/>
                <w:sz w:val="24"/>
                <w:szCs w:val="24"/>
                <w:highlight w:val="none"/>
                <w:lang w:val="en-US" w:eastAsia="zh-CN"/>
              </w:rPr>
              <w:t xml:space="preserve">50</w:t>
            </w:r>
            <w:r>
              <w:rPr>
                <w:rFonts w:hint="eastAsia" w:ascii="宋体" w:hAnsi="宋体" w:eastAsia="宋体" w:cs="宋体"/>
                <w:b/>
                <w:color w:val="auto"/>
                <w:sz w:val="24"/>
                <w:szCs w:val="24"/>
                <w:highlight w:val="none"/>
              </w:rPr>
              <w:t xml:space="preserve">分）</w:t>
            </w:r>
            <w:r/>
          </w:p>
        </w:tc>
      </w:tr>
      <w:tr>
        <w:trPr>
          <w:trHeight w:val="1562"/>
        </w:trPr>
        <w:tc>
          <w:tcPr>
            <w:tcMar>
              <w:left w:w="108" w:type="dxa"/>
              <w:top w:w="0" w:type="dxa"/>
              <w:right w:w="108" w:type="dxa"/>
              <w:bottom w:w="0" w:type="dxa"/>
            </w:tcMar>
            <w:tcW w:w="777" w:type="dxa"/>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w:t>
            </w:r>
            <w:r/>
          </w:p>
        </w:tc>
        <w:tc>
          <w:tcPr>
            <w:tcMar>
              <w:left w:w="108" w:type="dxa"/>
              <w:top w:w="0" w:type="dxa"/>
              <w:right w:w="108" w:type="dxa"/>
              <w:bottom w:w="0" w:type="dxa"/>
            </w:tcMar>
            <w:tcW w:w="1200"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价格</w:t>
            </w:r>
            <w:r/>
          </w:p>
        </w:tc>
        <w:tc>
          <w:tcPr>
            <w:tcMar>
              <w:left w:w="108" w:type="dxa"/>
              <w:top w:w="0" w:type="dxa"/>
              <w:right w:w="108" w:type="dxa"/>
              <w:bottom w:w="0" w:type="dxa"/>
            </w:tcMar>
            <w:tcW w:w="5820" w:type="dxa"/>
            <w:vAlign w:val="center"/>
            <w:textDirection w:val="lrTb"/>
            <w:noWrap w:val="false"/>
          </w:tcPr>
          <w:p>
            <w:pPr>
              <w:jc w:val="left"/>
              <w:keepLines w:val="0"/>
              <w:keepNext w:val="0"/>
              <w:pageBreakBefore w:val="0"/>
              <w:spacing w:line="360" w:lineRule="auto"/>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lang w:val="zh-Hans"/>
              </w:rPr>
              <w:t xml:space="preserve">满足招标文件要求且报价（即1-优惠率）最低的报价为评标基准价，其价格分为满分。其他投标</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lang w:val="zh-Hans"/>
              </w:rPr>
              <w:t xml:space="preserve">的价格分统一按照下列公式计算：价格分得分＝（评标基准价/</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lang w:val="zh-Hans"/>
              </w:rPr>
              <w:t xml:space="preserve">报价）×分值。</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注：此处报价指经过报价修正后的报价。</w:t>
            </w:r>
            <w:r/>
          </w:p>
        </w:tc>
        <w:tc>
          <w:tcPr>
            <w:tcMar>
              <w:left w:w="108" w:type="dxa"/>
              <w:top w:w="0" w:type="dxa"/>
              <w:right w:w="108" w:type="dxa"/>
              <w:bottom w:w="0" w:type="dxa"/>
            </w:tcMar>
            <w:tcW w:w="725" w:type="dxa"/>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p>
        </w:tc>
      </w:tr>
      <w:tr>
        <w:trPr>
          <w:trHeight w:val="283"/>
        </w:trPr>
        <w:tc>
          <w:tcPr>
            <w:gridSpan w:val="4"/>
            <w:tcMar>
              <w:left w:w="108" w:type="dxa"/>
              <w:top w:w="0" w:type="dxa"/>
              <w:right w:w="108" w:type="dxa"/>
              <w:bottom w:w="0" w:type="dxa"/>
            </w:tcMar>
            <w:tcW w:w="8522" w:type="dxa"/>
            <w:vAlign w:val="center"/>
            <w:textDirection w:val="lrTb"/>
            <w:noWrap w:val="false"/>
          </w:tcPr>
          <w:p>
            <w:pPr>
              <w:jc w:val="both"/>
              <w:keepLines w:val="0"/>
              <w:keepNext w:val="0"/>
              <w:pageBreakBefore w:val="0"/>
              <w:spacing w:line="360" w:lineRule="auto"/>
              <w:tabs>
                <w:tab w:val="left" w:pos="426" w:leader="none"/>
              </w:tabs>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履约能力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2</w:t>
            </w:r>
            <w:r>
              <w:rPr>
                <w:rFonts w:hint="eastAsia" w:ascii="宋体" w:hAnsi="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r>
      <w:tr>
        <w:trPr>
          <w:trHeight w:val="283"/>
        </w:trPr>
        <w:tc>
          <w:tcPr>
            <w:tcMar>
              <w:left w:w="108" w:type="dxa"/>
              <w:top w:w="0" w:type="dxa"/>
              <w:right w:w="108" w:type="dxa"/>
              <w:bottom w:w="0" w:type="dxa"/>
            </w:tcMar>
            <w:tcW w:w="777" w:type="dxa"/>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w:t>
            </w:r>
            <w:r/>
          </w:p>
        </w:tc>
        <w:tc>
          <w:tcPr>
            <w:tcMar>
              <w:left w:w="108" w:type="dxa"/>
              <w:top w:w="0" w:type="dxa"/>
              <w:right w:w="108" w:type="dxa"/>
              <w:bottom w:w="0" w:type="dxa"/>
            </w:tcMar>
            <w:tcW w:w="1200" w:type="dxa"/>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业绩</w:t>
            </w:r>
            <w:r/>
          </w:p>
        </w:tc>
        <w:tc>
          <w:tcPr>
            <w:tcMar>
              <w:left w:w="108" w:type="dxa"/>
              <w:top w:w="0" w:type="dxa"/>
              <w:right w:w="108" w:type="dxa"/>
              <w:bottom w:w="0" w:type="dxa"/>
            </w:tcMar>
            <w:tcW w:w="5820" w:type="dxa"/>
            <w:vAlign w:val="center"/>
            <w:textDirection w:val="lrTb"/>
            <w:noWrap w:val="false"/>
          </w:tcPr>
          <w:p>
            <w:pPr>
              <w:pStyle w:val="1502"/>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w:t>
            </w:r>
            <w:r>
              <w:rPr>
                <w:rFonts w:hint="eastAsia" w:ascii="宋体" w:hAnsi="宋体" w:eastAsia="宋体" w:cs="宋体"/>
                <w:color w:val="auto"/>
                <w:sz w:val="24"/>
                <w:szCs w:val="24"/>
                <w:highlight w:val="none"/>
                <w:lang w:val="en-US" w:eastAsia="zh-CN"/>
              </w:rPr>
              <w:t xml:space="preserve">1日</w:t>
            </w:r>
            <w:r>
              <w:rPr>
                <w:rFonts w:hint="eastAsia" w:ascii="宋体" w:hAnsi="宋体" w:eastAsia="宋体" w:cs="宋体"/>
                <w:color w:val="auto"/>
                <w:sz w:val="24"/>
                <w:szCs w:val="24"/>
                <w:highlight w:val="none"/>
              </w:rPr>
              <w:t xml:space="preserve">以来</w:t>
            </w:r>
            <w:r>
              <w:rPr>
                <w:rFonts w:hint="eastAsia" w:ascii="宋体" w:hAnsi="宋体" w:eastAsia="宋体" w:cs="宋体"/>
                <w:color w:val="auto"/>
                <w:sz w:val="24"/>
                <w:szCs w:val="24"/>
                <w:highlight w:val="none"/>
                <w:lang w:val="en-US" w:eastAsia="zh-CN"/>
              </w:rPr>
              <w:t xml:space="preserve">（以合同签订日期为准）</w:t>
            </w:r>
            <w:r>
              <w:rPr>
                <w:rFonts w:hint="eastAsia" w:ascii="宋体" w:hAnsi="宋体" w:eastAsia="宋体" w:cs="宋体"/>
                <w:color w:val="auto"/>
                <w:sz w:val="24"/>
                <w:szCs w:val="24"/>
                <w:highlight w:val="none"/>
              </w:rPr>
              <w:t xml:space="preserve">承担过</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项目的，有一个得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rPr>
              <w:t xml:space="preserve">注：</w:t>
            </w:r>
            <w:r>
              <w:rPr>
                <w:rFonts w:hint="eastAsia" w:ascii="宋体" w:hAnsi="宋体" w:cs="宋体"/>
                <w:b/>
                <w:bCs/>
                <w:color w:val="auto"/>
                <w:sz w:val="24"/>
                <w:highlight w:val="none"/>
              </w:rPr>
              <w:t xml:space="preserve">提供合同</w:t>
            </w:r>
            <w:r>
              <w:rPr>
                <w:rFonts w:hint="eastAsia" w:ascii="宋体" w:hAnsi="宋体" w:cs="宋体"/>
                <w:b/>
                <w:bCs/>
                <w:color w:val="auto"/>
                <w:sz w:val="24"/>
                <w:highlight w:val="none"/>
                <w:lang w:val="en-US" w:eastAsia="zh-CN"/>
              </w:rPr>
              <w:t xml:space="preserve">作为证明材料。电子投标文件中提供合同的原件或</w:t>
            </w:r>
            <w:r>
              <w:rPr>
                <w:rFonts w:hint="eastAsia" w:ascii="宋体" w:hAnsi="宋体" w:cs="宋体"/>
                <w:b/>
                <w:bCs/>
                <w:color w:val="auto"/>
                <w:sz w:val="24"/>
                <w:highlight w:val="none"/>
              </w:rPr>
              <w:t xml:space="preserve">复印件</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扫描形成的电子文档，</w:t>
            </w:r>
            <w:r>
              <w:rPr>
                <w:rFonts w:hint="eastAsia" w:ascii="宋体" w:hAnsi="宋体" w:cs="宋体"/>
                <w:b/>
                <w:bCs/>
                <w:color w:val="auto"/>
                <w:sz w:val="24"/>
                <w:highlight w:val="none"/>
              </w:rPr>
              <w:t xml:space="preserve">加盖</w:t>
            </w:r>
            <w:r>
              <w:rPr>
                <w:rFonts w:hint="eastAsia" w:ascii="宋体" w:hAnsi="宋体" w:cs="宋体"/>
                <w:b/>
                <w:bCs/>
                <w:color w:val="auto"/>
                <w:sz w:val="24"/>
                <w:szCs w:val="24"/>
                <w:highlight w:val="none"/>
                <w:lang w:val="en-US" w:eastAsia="zh-CN"/>
              </w:rPr>
              <w:t xml:space="preserve">投标人</w:t>
            </w:r>
            <w:r>
              <w:rPr>
                <w:rFonts w:hint="eastAsia" w:ascii="宋体" w:hAnsi="宋体" w:cs="宋体"/>
                <w:b/>
                <w:bCs/>
                <w:color w:val="auto"/>
                <w:sz w:val="24"/>
                <w:highlight w:val="none"/>
              </w:rPr>
              <w:t xml:space="preserve">公章，否则不得分。</w:t>
            </w:r>
            <w:r/>
          </w:p>
        </w:tc>
        <w:tc>
          <w:tcPr>
            <w:tcMar>
              <w:left w:w="108" w:type="dxa"/>
              <w:top w:w="0" w:type="dxa"/>
              <w:right w:w="108" w:type="dxa"/>
              <w:bottom w:w="0" w:type="dxa"/>
            </w:tcMar>
            <w:tcW w:w="725" w:type="dxa"/>
            <w:vAlign w:val="center"/>
            <w:textDirection w:val="lrTb"/>
            <w:noWrap w:val="false"/>
          </w:tcPr>
          <w:p>
            <w:pPr>
              <w:jc w:val="center"/>
              <w:keepLines w:val="0"/>
              <w:keepNext w:val="0"/>
              <w:pageBreakBefore w:val="0"/>
              <w:spacing w:line="360" w:lineRule="auto"/>
              <w:tabs>
                <w:tab w:val="left" w:pos="426" w:leader="none"/>
              </w:tabs>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w:t>
            </w:r>
            <w:r/>
          </w:p>
        </w:tc>
      </w:tr>
      <w:tr>
        <w:trPr>
          <w:trHeight w:val="283"/>
        </w:trPr>
        <w:tc>
          <w:tcPr>
            <w:tcMar>
              <w:left w:w="108" w:type="dxa"/>
              <w:top w:w="0" w:type="dxa"/>
              <w:right w:w="108" w:type="dxa"/>
              <w:bottom w:w="0" w:type="dxa"/>
            </w:tcMar>
            <w:tcW w:w="777" w:type="dxa"/>
            <w:vAlign w:val="center"/>
            <w:textDirection w:val="lrTb"/>
            <w:noWrap w:val="false"/>
          </w:tcPr>
          <w:p>
            <w:pPr>
              <w:jc w:val="center"/>
              <w:keepLines w:val="0"/>
              <w:keepNext w:val="0"/>
              <w:pageBreakBefore w:val="0"/>
              <w:spacing w:line="360" w:lineRule="auto"/>
              <w:tabs>
                <w:tab w:val="left" w:pos="426" w:leader="none"/>
              </w:tabs>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w:t>
            </w:r>
            <w:r/>
          </w:p>
        </w:tc>
        <w:tc>
          <w:tcPr>
            <w:tcMar>
              <w:left w:w="108" w:type="dxa"/>
              <w:top w:w="0" w:type="dxa"/>
              <w:right w:w="108" w:type="dxa"/>
              <w:bottom w:w="0" w:type="dxa"/>
            </w:tcMar>
            <w:tcW w:w="1200" w:type="dxa"/>
            <w:vAlign w:val="center"/>
            <w:textDirection w:val="lrTb"/>
            <w:noWrap w:val="false"/>
          </w:tcPr>
          <w:p>
            <w:pPr>
              <w:jc w:val="center"/>
              <w:keepLines w:val="0"/>
              <w:keepNext w:val="0"/>
              <w:pageBreakBefore w:val="0"/>
              <w:spacing w:line="360" w:lineRule="auto"/>
              <w:tabs>
                <w:tab w:val="left" w:pos="426" w:leader="none"/>
              </w:tabs>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人员配备</w:t>
            </w:r>
            <w:r/>
          </w:p>
        </w:tc>
        <w:tc>
          <w:tcPr>
            <w:tcMar>
              <w:left w:w="108" w:type="dxa"/>
              <w:top w:w="0" w:type="dxa"/>
              <w:right w:w="108" w:type="dxa"/>
              <w:bottom w:w="0" w:type="dxa"/>
            </w:tcMar>
            <w:tcW w:w="5820" w:type="dxa"/>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bCs/>
                <w:color w:val="auto"/>
                <w:sz w:val="24"/>
                <w:szCs w:val="24"/>
                <w:highlight w:val="none"/>
                <w:lang w:val="en-US" w:eastAsia="zh-CN" w:bidi="ar-SA"/>
              </w:rPr>
              <w:outlineLvl w:val="9"/>
            </w:pPr>
            <w:r>
              <w:rPr>
                <w:rFonts w:hint="eastAsia" w:ascii="宋体" w:hAnsi="宋体" w:cs="宋体"/>
                <w:b/>
                <w:bCs/>
                <w:color w:val="auto"/>
                <w:sz w:val="24"/>
                <w:szCs w:val="24"/>
                <w:highlight w:val="none"/>
                <w:lang w:val="en-US" w:eastAsia="zh-CN" w:bidi="ar-SA"/>
              </w:rPr>
              <w:t xml:space="preserve">项目组成员（投标人在满足采购需求的情况下增加以下人员）</w:t>
            </w:r>
            <w:r>
              <w:rPr>
                <w:rFonts w:hint="eastAsia" w:ascii="宋体" w:hAnsi="宋体" w:eastAsia="宋体" w:cs="宋体"/>
                <w:bCs/>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1.操作电工：具有低压电工证或建筑电工证，有一个得1分，最高得4分；</w:t>
            </w:r>
            <w:r/>
          </w:p>
          <w:p>
            <w:pPr>
              <w:keepLines w:val="0"/>
              <w:keepNext w:val="0"/>
              <w:pageBreakBefore w:val="0"/>
              <w:spacing w:line="360" w:lineRule="auto"/>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2.</w:t>
            </w:r>
            <w:r>
              <w:rPr>
                <w:rFonts w:ascii="FangSong" w:hAnsi="FangSong" w:eastAsia="FangSong" w:cs="FangSong"/>
                <w:color w:val="000000"/>
                <w:sz w:val="28"/>
              </w:rPr>
              <w:t xml:space="preserve">具有安全监管部门颁发的“特种作业操作证（电工）”，有一个得1分，最高得3分。</w:t>
            </w:r>
            <w:r>
              <w:rPr>
                <w:rFonts w:hint="eastAsia" w:ascii="宋体" w:hAnsi="宋体" w:cs="宋体"/>
                <w:b w:val="0"/>
                <w:bCs w:val="0"/>
                <w:color w:val="auto"/>
                <w:sz w:val="24"/>
                <w:szCs w:val="24"/>
                <w:highlight w:val="none"/>
                <w:lang w:val="en-US" w:eastAsia="zh-CN" w:bidi="ar-SA"/>
              </w:rPr>
            </w:r>
            <w:r/>
          </w:p>
          <w:p>
            <w:pP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bidi="ar-SA"/>
              </w:rPr>
              <w:t xml:space="preserve">注：投标文件中提供相关证书</w:t>
            </w:r>
            <w:r>
              <w:rPr>
                <w:rFonts w:hint="eastAsia" w:ascii="宋体" w:hAnsi="宋体" w:cs="宋体"/>
                <w:b/>
                <w:bCs/>
                <w:color w:val="auto"/>
                <w:sz w:val="24"/>
                <w:highlight w:val="none"/>
              </w:rPr>
              <w:t xml:space="preserve">及</w:t>
            </w:r>
            <w:r>
              <w:rPr>
                <w:rFonts w:hint="eastAsia" w:ascii="宋体" w:hAnsi="宋体" w:cs="宋体"/>
                <w:b/>
                <w:bCs/>
                <w:color w:val="auto"/>
                <w:sz w:val="24"/>
                <w:highlight w:val="none"/>
              </w:rPr>
              <w:t xml:space="preserve">2025年</w:t>
            </w:r>
            <w:r>
              <w:rPr>
                <w:rFonts w:hint="eastAsia" w:ascii="宋体" w:hAnsi="宋体" w:cs="宋体"/>
                <w:b/>
                <w:bCs/>
                <w:color w:val="auto"/>
                <w:sz w:val="24"/>
                <w:highlight w:val="none"/>
                <w:lang w:val="en-US" w:eastAsia="zh-CN"/>
              </w:rPr>
              <w:t xml:space="preserve">11</w:t>
            </w:r>
            <w:r>
              <w:rPr>
                <w:rFonts w:hint="eastAsia" w:ascii="宋体" w:hAnsi="宋体" w:cs="宋体"/>
                <w:b/>
                <w:bCs/>
                <w:color w:val="auto"/>
                <w:sz w:val="24"/>
                <w:highlight w:val="none"/>
              </w:rPr>
              <w:t xml:space="preserve">月至202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月中任意一个月</w:t>
            </w:r>
            <w:r>
              <w:rPr>
                <w:rFonts w:hint="eastAsia" w:cs="宋体"/>
                <w:b/>
                <w:bCs/>
                <w:color w:val="auto"/>
                <w:sz w:val="24"/>
                <w:highlight w:val="none"/>
                <w:lang w:val="en-US" w:eastAsia="zh-CN"/>
              </w:rPr>
              <w:t xml:space="preserve">投标人</w:t>
            </w:r>
            <w:r>
              <w:rPr>
                <w:rFonts w:hint="eastAsia" w:ascii="宋体" w:hAnsi="宋体" w:cs="宋体"/>
                <w:b/>
                <w:bCs/>
                <w:color w:val="auto"/>
                <w:sz w:val="24"/>
                <w:highlight w:val="none"/>
              </w:rPr>
              <w:t xml:space="preserve">为上述人员缴纳的社保证明并加盖</w:t>
            </w:r>
            <w:r>
              <w:rPr>
                <w:rFonts w:hint="eastAsia" w:cs="宋体"/>
                <w:b/>
                <w:bCs/>
                <w:color w:val="auto"/>
                <w:sz w:val="24"/>
                <w:highlight w:val="none"/>
                <w:lang w:val="en-US" w:eastAsia="zh-CN"/>
              </w:rPr>
              <w:t xml:space="preserve">投标人</w:t>
            </w:r>
            <w:r>
              <w:rPr>
                <w:rFonts w:hint="eastAsia" w:ascii="宋体" w:hAnsi="宋体" w:cs="宋体"/>
                <w:b/>
                <w:bCs/>
                <w:color w:val="auto"/>
                <w:sz w:val="24"/>
                <w:highlight w:val="none"/>
              </w:rPr>
              <w:t xml:space="preserve">公章，否则不得分。</w:t>
            </w:r>
            <w:r/>
          </w:p>
        </w:tc>
        <w:tc>
          <w:tcPr>
            <w:tcMar>
              <w:left w:w="108" w:type="dxa"/>
              <w:top w:w="0" w:type="dxa"/>
              <w:right w:w="108" w:type="dxa"/>
              <w:bottom w:w="0" w:type="dxa"/>
            </w:tcMar>
            <w:tcW w:w="725" w:type="dxa"/>
            <w:vAlign w:val="center"/>
            <w:textDirection w:val="lrTb"/>
            <w:noWrap w:val="false"/>
          </w:tcPr>
          <w:p>
            <w:pPr>
              <w:jc w:val="center"/>
              <w:keepLines w:val="0"/>
              <w:keepNext w:val="0"/>
              <w:pageBreakBefore w:val="0"/>
              <w:spacing w:line="360" w:lineRule="auto"/>
              <w:tabs>
                <w:tab w:val="left" w:pos="426" w:leader="none"/>
              </w:tabs>
              <w:rPr>
                <w:rFonts w:hint="default"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7</w:t>
            </w:r>
            <w:r/>
          </w:p>
        </w:tc>
      </w:tr>
      <w:tr>
        <w:trPr>
          <w:trHeight w:val="283"/>
        </w:trPr>
        <w:tc>
          <w:tcPr>
            <w:tcMar>
              <w:left w:w="108" w:type="dxa"/>
              <w:top w:w="0" w:type="dxa"/>
              <w:right w:w="108" w:type="dxa"/>
              <w:bottom w:w="0" w:type="dxa"/>
            </w:tcMar>
            <w:tcW w:w="777" w:type="dxa"/>
            <w:vAlign w:val="center"/>
            <w:textDirection w:val="lrTb"/>
            <w:noWrap w:val="false"/>
          </w:tcPr>
          <w:p>
            <w:pPr>
              <w:jc w:val="center"/>
              <w:keepLines w:val="0"/>
              <w:keepNext w:val="0"/>
              <w:pageBreakBefore w:val="0"/>
              <w:spacing w:line="360" w:lineRule="auto"/>
              <w:tabs>
                <w:tab w:val="left" w:pos="426" w:leader="none"/>
              </w:tabs>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1200" w:type="dxa"/>
            <w:vAlign w:val="center"/>
            <w:textDirection w:val="lrTb"/>
            <w:noWrap w:val="false"/>
          </w:tcPr>
          <w:p>
            <w:pPr>
              <w:jc w:val="center"/>
              <w:keepLines w:val="0"/>
              <w:keepNext w:val="0"/>
              <w:pageBreakBefore w:val="0"/>
              <w:spacing w:line="360" w:lineRule="auto"/>
              <w:tabs>
                <w:tab w:val="left" w:pos="426" w:leader="none"/>
              </w:tabs>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车辆配备</w:t>
            </w:r>
            <w:r/>
          </w:p>
        </w:tc>
        <w:tc>
          <w:tcPr>
            <w:tcMar>
              <w:left w:w="108" w:type="dxa"/>
              <w:top w:w="0" w:type="dxa"/>
              <w:right w:w="108" w:type="dxa"/>
              <w:bottom w:w="0" w:type="dxa"/>
            </w:tcMar>
            <w:tcW w:w="5820" w:type="dxa"/>
            <w:vAlign w:val="center"/>
            <w:textDirection w:val="lrTb"/>
            <w:noWrap w:val="false"/>
          </w:tcPr>
          <w:p>
            <w:pPr>
              <w:keepLines w:val="0"/>
              <w:keepNext w:val="0"/>
              <w:pageBreakBefore w:val="0"/>
              <w:spacing w:line="360" w:lineRule="auto"/>
              <w:widowControl/>
              <w:rPr>
                <w:rFonts w:hint="eastAsia" w:ascii="宋体" w:hAnsi="宋体" w:cs="宋体"/>
                <w:b/>
                <w:bCs/>
                <w:color w:val="auto"/>
                <w:sz w:val="24"/>
                <w:szCs w:val="24"/>
                <w:highlight w:val="none"/>
                <w:lang w:val="en-US" w:eastAsia="zh-CN" w:bidi="ar-SA"/>
              </w:rPr>
              <w:outlineLvl w:val="9"/>
            </w:pPr>
            <w:r>
              <w:rPr>
                <w:rFonts w:hint="eastAsia" w:ascii="宋体" w:hAnsi="宋体" w:cs="宋体"/>
                <w:b/>
                <w:bCs/>
                <w:color w:val="auto"/>
                <w:sz w:val="24"/>
                <w:szCs w:val="24"/>
                <w:highlight w:val="none"/>
                <w:lang w:val="en-US" w:eastAsia="zh-CN" w:bidi="ar-SA"/>
              </w:rPr>
              <w:t xml:space="preserve">投标人在满足采购需求的情况下另外增加自有或租赁的车辆：</w:t>
            </w:r>
            <w:r/>
          </w:p>
          <w:p>
            <w:pPr>
              <w:keepLines w:val="0"/>
              <w:keepNext w:val="0"/>
              <w:pageBreakBefore w:val="0"/>
              <w:spacing w:line="360" w:lineRule="auto"/>
              <w:widowControl/>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1、22米或以上高空作业车1辆的得3分；</w:t>
            </w:r>
            <w:r/>
          </w:p>
          <w:p>
            <w:pPr>
              <w:keepLines w:val="0"/>
              <w:keepNext w:val="0"/>
              <w:pageBreakBefore w:val="0"/>
              <w:spacing w:line="360" w:lineRule="auto"/>
              <w:widowControl/>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2、14米及以上高空作业车1辆的得3分；</w:t>
            </w:r>
            <w:r/>
          </w:p>
          <w:p>
            <w:pPr>
              <w:numPr>
                <w:ilvl w:val="0"/>
                <w:numId w:val="14"/>
              </w:numPr>
              <w:keepLines w:val="0"/>
              <w:keepNext w:val="0"/>
              <w:pageBreakBefore w:val="0"/>
              <w:spacing w:line="360" w:lineRule="auto"/>
              <w:widowControl/>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2.5吨及以上（</w:t>
            </w:r>
            <w:r>
              <w:rPr>
                <w:rFonts w:hint="eastAsia" w:ascii="宋体" w:hAnsi="宋体" w:cs="宋体"/>
                <w:b w:val="0"/>
                <w:bCs w:val="0"/>
                <w:color w:val="auto"/>
                <w:sz w:val="24"/>
                <w:szCs w:val="24"/>
                <w:highlight w:val="none"/>
                <w:lang w:val="en-US" w:eastAsia="zh-CN" w:bidi="ar-SA"/>
              </w:rPr>
              <w:t xml:space="preserve">总质量：‌车辆自重+载重</w:t>
            </w:r>
            <w:r>
              <w:rPr>
                <w:rFonts w:hint="eastAsia" w:ascii="宋体" w:hAnsi="宋体" w:cs="宋体"/>
                <w:b w:val="0"/>
                <w:bCs w:val="0"/>
                <w:color w:val="auto"/>
                <w:sz w:val="24"/>
                <w:szCs w:val="24"/>
                <w:highlight w:val="none"/>
                <w:lang w:val="en-US" w:eastAsia="zh-CN" w:bidi="ar-SA"/>
              </w:rPr>
              <w:t xml:space="preserve">）的工程抢修车（卡车或皮卡均可）1辆的得2分；</w:t>
            </w:r>
            <w:r/>
          </w:p>
          <w:p>
            <w:pPr>
              <w:keepLines w:val="0"/>
              <w:keepNext w:val="0"/>
              <w:pageBreakBefore w:val="0"/>
              <w:spacing w:line="360" w:lineRule="auto"/>
              <w:widowControl/>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4、其他巡检车辆1辆的得2分。</w:t>
            </w:r>
            <w:r/>
          </w:p>
          <w:p>
            <w:pPr>
              <w:keepLines w:val="0"/>
              <w:keepNext w:val="0"/>
              <w:pageBreakBefore w:val="0"/>
              <w:spacing w:line="360" w:lineRule="auto"/>
              <w:widowControl/>
              <w:rPr>
                <w:rFonts w:hint="eastAsia" w:ascii="宋体" w:hAnsi="宋体" w:eastAsia="Times New Roman" w:cs="宋体"/>
                <w:b/>
                <w:bCs/>
                <w:color w:val="auto"/>
                <w:sz w:val="24"/>
                <w:highlight w:val="none"/>
                <w:lang w:val="en-US" w:eastAsia="zh-CN"/>
              </w:rPr>
              <w:outlineLvl w:val="9"/>
            </w:pPr>
            <w:r>
              <w:rPr>
                <w:rFonts w:hint="eastAsia" w:ascii="宋体" w:hAnsi="宋体" w:eastAsia="宋体" w:cs="宋体"/>
                <w:b/>
                <w:bCs/>
                <w:color w:val="auto"/>
                <w:sz w:val="24"/>
                <w:szCs w:val="24"/>
                <w:highlight w:val="none"/>
              </w:rPr>
              <w:t xml:space="preserve">注：</w:t>
            </w:r>
            <w:r>
              <w:rPr>
                <w:rFonts w:hint="eastAsia" w:ascii="宋体" w:hAnsi="宋体" w:cs="宋体"/>
                <w:b/>
                <w:bCs/>
                <w:color w:val="auto"/>
                <w:sz w:val="24"/>
                <w:highlight w:val="none"/>
              </w:rPr>
              <w:t xml:space="preserve">电</w:t>
            </w:r>
            <w:r>
              <w:rPr>
                <w:rFonts w:hint="eastAsia" w:ascii="宋体" w:hAnsi="宋体" w:eastAsia="Times New Roman" w:cs="宋体"/>
                <w:b/>
                <w:bCs/>
                <w:color w:val="auto"/>
                <w:sz w:val="24"/>
                <w:highlight w:val="none"/>
              </w:rPr>
              <w:t xml:space="preserve">子投标文件中提供</w:t>
            </w:r>
            <w:r>
              <w:rPr>
                <w:rFonts w:hint="eastAsia" w:ascii="宋体" w:hAnsi="宋体" w:eastAsia="Times New Roman" w:cs="宋体"/>
                <w:b/>
                <w:bCs/>
                <w:color w:val="auto"/>
                <w:sz w:val="24"/>
                <w:highlight w:val="none"/>
                <w:lang w:val="en-US" w:eastAsia="zh-CN"/>
              </w:rPr>
              <w:t xml:space="preserve">相关证明材料：</w:t>
            </w:r>
            <w:r/>
          </w:p>
          <w:p>
            <w:pPr>
              <w:keepLines w:val="0"/>
              <w:keepNext w:val="0"/>
              <w:pageBreakBefore w:val="0"/>
              <w:spacing w:line="360" w:lineRule="auto"/>
              <w:widowControl/>
              <w:rPr>
                <w:rFonts w:hint="eastAsia" w:ascii="宋体" w:hAnsi="宋体" w:eastAsia="Times New Roman" w:cs="宋体"/>
                <w:b/>
                <w:bCs/>
                <w:color w:val="auto"/>
                <w:sz w:val="24"/>
                <w:szCs w:val="21"/>
                <w:highlight w:val="none"/>
                <w:lang w:val="en-US" w:eastAsia="zh-CN"/>
              </w:rPr>
              <w:outlineLvl w:val="9"/>
            </w:pPr>
            <w:r>
              <w:rPr>
                <w:rFonts w:hint="eastAsia" w:ascii="宋体" w:hAnsi="宋体" w:eastAsia="Times New Roman" w:cs="宋体"/>
                <w:b/>
                <w:bCs/>
                <w:color w:val="auto"/>
                <w:sz w:val="24"/>
                <w:szCs w:val="21"/>
                <w:highlight w:val="none"/>
                <w:lang w:val="en-US" w:eastAsia="zh-CN"/>
              </w:rPr>
              <w:t xml:space="preserve">若为自有车辆：</w:t>
            </w:r>
            <w:r/>
          </w:p>
          <w:p>
            <w:pPr>
              <w:keepLines w:val="0"/>
              <w:keepNext w:val="0"/>
              <w:pageBreakBefore w:val="0"/>
              <w:spacing w:line="360" w:lineRule="auto"/>
              <w:widowControl/>
              <w:rPr>
                <w:rFonts w:hint="eastAsia" w:ascii="宋体" w:hAnsi="宋体" w:eastAsia="Times New Roman" w:cs="宋体"/>
                <w:b/>
                <w:bCs/>
                <w:color w:val="auto"/>
                <w:sz w:val="24"/>
                <w:szCs w:val="21"/>
                <w:highlight w:val="none"/>
                <w:lang w:val="en-US" w:eastAsia="zh-CN"/>
              </w:rPr>
              <w:outlineLvl w:val="9"/>
            </w:pPr>
            <w:r>
              <w:rPr>
                <w:rFonts w:hint="eastAsia" w:ascii="宋体" w:hAnsi="宋体" w:eastAsia="Times New Roman" w:cs="宋体"/>
                <w:b/>
                <w:bCs/>
                <w:color w:val="auto"/>
                <w:sz w:val="24"/>
                <w:szCs w:val="21"/>
                <w:highlight w:val="none"/>
                <w:lang w:val="en-US" w:eastAsia="zh-CN"/>
              </w:rPr>
              <w:t xml:space="preserve">须提供①在年审有效期内的《机动车行驶证》；②有效期内的《机动车登记证》；③车辆购置发票；④照片，四项缺一不可，否则不得分。</w:t>
            </w:r>
            <w:r/>
          </w:p>
          <w:p>
            <w:pPr>
              <w:keepLines w:val="0"/>
              <w:keepNext w:val="0"/>
              <w:pageBreakBefore w:val="0"/>
              <w:spacing w:line="360" w:lineRule="auto"/>
              <w:widowControl/>
              <w:rPr>
                <w:rFonts w:hint="eastAsia" w:ascii="宋体" w:hAnsi="宋体" w:eastAsia="Times New Roman" w:cs="宋体"/>
                <w:b/>
                <w:bCs/>
                <w:color w:val="auto"/>
                <w:sz w:val="24"/>
                <w:szCs w:val="21"/>
                <w:highlight w:val="none"/>
                <w:lang w:val="en-US" w:eastAsia="zh-CN"/>
              </w:rPr>
              <w:outlineLvl w:val="9"/>
            </w:pPr>
            <w:r>
              <w:rPr>
                <w:rFonts w:hint="eastAsia" w:ascii="宋体" w:hAnsi="宋体" w:eastAsia="Times New Roman" w:cs="宋体"/>
                <w:b/>
                <w:bCs/>
                <w:color w:val="auto"/>
                <w:sz w:val="24"/>
                <w:szCs w:val="21"/>
                <w:highlight w:val="none"/>
                <w:lang w:val="en-US" w:eastAsia="zh-CN"/>
              </w:rPr>
              <w:t xml:space="preserve">若为租赁车辆：</w:t>
            </w:r>
            <w:r/>
          </w:p>
          <w:p>
            <w:pPr>
              <w:keepLines w:val="0"/>
              <w:keepNext w:val="0"/>
              <w:pageBreakBefore w:val="0"/>
              <w:spacing w:line="360" w:lineRule="auto"/>
              <w:widowControl/>
              <w:rPr>
                <w:rFonts w:hint="eastAsia" w:ascii="宋体" w:hAnsi="宋体" w:cs="宋体"/>
                <w:b/>
                <w:bCs/>
                <w:color w:val="auto"/>
                <w:sz w:val="24"/>
                <w:szCs w:val="24"/>
                <w:highlight w:val="none"/>
                <w:lang w:val="en-US" w:eastAsia="zh-CN" w:bidi="ar-SA"/>
              </w:rPr>
              <w:outlineLvl w:val="9"/>
            </w:pPr>
            <w:r>
              <w:rPr>
                <w:rFonts w:hint="eastAsia" w:ascii="宋体" w:hAnsi="宋体" w:eastAsia="Times New Roman" w:cs="宋体"/>
                <w:b/>
                <w:bCs/>
                <w:color w:val="auto"/>
                <w:sz w:val="24"/>
                <w:szCs w:val="21"/>
                <w:highlight w:val="none"/>
                <w:lang w:val="en-US" w:eastAsia="zh-CN"/>
              </w:rPr>
              <w:t xml:space="preserve">须提供①在年审有效期内的《机动车行驶证》；②有效期内的《机动车登记证》；③车辆租赁合同（租赁协议）及租赁发票（合同期或协议期须覆盖本项目服务期），三项缺一不可，否则不得分。</w:t>
            </w:r>
            <w:r/>
          </w:p>
        </w:tc>
        <w:tc>
          <w:tcPr>
            <w:tcMar>
              <w:left w:w="108" w:type="dxa"/>
              <w:top w:w="0" w:type="dxa"/>
              <w:right w:w="108" w:type="dxa"/>
              <w:bottom w:w="0" w:type="dxa"/>
            </w:tcMar>
            <w:tcW w:w="725" w:type="dxa"/>
            <w:vAlign w:val="center"/>
            <w:textDirection w:val="lrTb"/>
            <w:noWrap w:val="false"/>
          </w:tcPr>
          <w:p>
            <w:pPr>
              <w:jc w:val="center"/>
              <w:keepLines w:val="0"/>
              <w:keepNext w:val="0"/>
              <w:pageBreakBefore w:val="0"/>
              <w:spacing w:line="360" w:lineRule="auto"/>
              <w:tabs>
                <w:tab w:val="left" w:pos="426" w:leader="none"/>
              </w:tabs>
              <w:rPr>
                <w:rFonts w:hint="default"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10</w:t>
            </w:r>
            <w:r/>
          </w:p>
        </w:tc>
      </w:tr>
      <w:tr>
        <w:trPr>
          <w:trHeight w:val="283"/>
        </w:trPr>
        <w:tc>
          <w:tcPr>
            <w:gridSpan w:val="4"/>
            <w:tcMar>
              <w:left w:w="108" w:type="dxa"/>
              <w:top w:w="0" w:type="dxa"/>
              <w:right w:w="108" w:type="dxa"/>
              <w:bottom w:w="0" w:type="dxa"/>
            </w:tcMar>
            <w:tcW w:w="8522" w:type="dxa"/>
            <w:vAlign w:val="center"/>
            <w:textDirection w:val="lrTb"/>
            <w:noWrap w:val="false"/>
          </w:tcPr>
          <w:p>
            <w:pPr>
              <w:jc w:val="both"/>
              <w:keepLines w:val="0"/>
              <w:keepNext w:val="0"/>
              <w:pageBreakBefore w:val="0"/>
              <w:spacing w:line="360" w:lineRule="auto"/>
              <w:tabs>
                <w:tab w:val="left" w:pos="426" w:leader="none"/>
              </w:tabs>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rPr>
              <w:t xml:space="preserve">方案</w:t>
            </w: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r>
      <w:tr>
        <w:trPr>
          <w:trHeight w:val="283"/>
        </w:trPr>
        <w:tc>
          <w:tcPr>
            <w:tcMar>
              <w:left w:w="108" w:type="dxa"/>
              <w:top w:w="0" w:type="dxa"/>
              <w:right w:w="108" w:type="dxa"/>
              <w:bottom w:w="0" w:type="dxa"/>
            </w:tcMar>
            <w:tcW w:w="777" w:type="dxa"/>
            <w:vAlign w:val="center"/>
            <w:textDirection w:val="lrTb"/>
            <w:noWrap w:val="false"/>
          </w:tcPr>
          <w:p>
            <w:pPr>
              <w:pStyle w:val="1502"/>
              <w:jc w:val="center"/>
              <w:keepLines w:val="0"/>
              <w:keepNext w:val="0"/>
              <w:pageBreakBefore w:val="0"/>
              <w:spacing w:line="360" w:lineRule="auto"/>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Mar>
              <w:left w:w="108" w:type="dxa"/>
              <w:top w:w="0" w:type="dxa"/>
              <w:right w:w="108" w:type="dxa"/>
              <w:bottom w:w="0" w:type="dxa"/>
            </w:tcMar>
            <w:tcW w:w="1200" w:type="dxa"/>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总体概述</w:t>
            </w:r>
            <w:r/>
          </w:p>
        </w:tc>
        <w:tc>
          <w:tcPr>
            <w:tcMar>
              <w:left w:w="108" w:type="dxa"/>
              <w:top w:w="0" w:type="dxa"/>
              <w:right w:w="108" w:type="dxa"/>
              <w:bottom w:w="0" w:type="dxa"/>
            </w:tcMar>
            <w:tcW w:w="582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评标委员会</w:t>
            </w: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提供的</w:t>
            </w:r>
            <w:r>
              <w:rPr>
                <w:rFonts w:hint="eastAsia" w:ascii="宋体" w:hAnsi="宋体" w:eastAsia="宋体" w:cs="宋体"/>
                <w:color w:val="auto"/>
                <w:sz w:val="24"/>
                <w:szCs w:val="24"/>
                <w:highlight w:val="none"/>
                <w:lang w:val="en-US" w:eastAsia="zh-CN"/>
              </w:rPr>
              <w:t xml:space="preserve">总体概述（</w:t>
            </w:r>
            <w:r>
              <w:rPr>
                <w:rFonts w:hint="eastAsia" w:ascii="宋体" w:hAnsi="宋体" w:eastAsia="宋体" w:cs="宋体"/>
                <w:color w:val="auto"/>
                <w:sz w:val="24"/>
                <w:szCs w:val="24"/>
                <w:highlight w:val="none"/>
                <w:lang w:val="en-US" w:eastAsia="zh-CN" w:bidi="ar-SA"/>
              </w:rPr>
              <w:t xml:space="preserve">包括：工程概况、施工组织总体设想、方案的针对性及施工段的划分等</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进行综合评审。</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（1）方案先进、完整，主导工程内容、施工方法明确、详尽、合理，能完全满足项目实施要求，得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（2）方案较先进，主导工程内容、施工方法明确、详尽、合理，能基本满足项目实施要求，得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（3）方案内容较简单，对项目实施要求响应一般，得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（4）方案内容较差、无针对性，得2分；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（5）全不符合</w:t>
            </w:r>
            <w:r>
              <w:rPr>
                <w:rFonts w:hint="eastAsia" w:ascii="宋体" w:hAnsi="宋体" w:cs="宋体"/>
                <w:color w:val="auto"/>
                <w:sz w:val="24"/>
                <w:szCs w:val="24"/>
                <w:highlight w:val="none"/>
                <w:lang w:val="en-US" w:eastAsia="zh-CN" w:bidi="ar-SA"/>
              </w:rPr>
              <w:t xml:space="preserve">招标文件</w:t>
            </w:r>
            <w:r>
              <w:rPr>
                <w:rFonts w:hint="eastAsia" w:ascii="宋体" w:hAnsi="宋体" w:eastAsia="宋体" w:cs="宋体"/>
                <w:color w:val="auto"/>
                <w:sz w:val="24"/>
                <w:szCs w:val="24"/>
                <w:highlight w:val="none"/>
                <w:lang w:val="en-US" w:eastAsia="zh-CN" w:bidi="ar-SA"/>
              </w:rPr>
              <w:t xml:space="preserve">要求或未提供方案的不得分。</w:t>
            </w:r>
            <w:r/>
          </w:p>
        </w:tc>
        <w:tc>
          <w:tcPr>
            <w:tcMar>
              <w:left w:w="108" w:type="dxa"/>
              <w:top w:w="0" w:type="dxa"/>
              <w:right w:w="108" w:type="dxa"/>
              <w:bottom w:w="0" w:type="dxa"/>
            </w:tcMar>
            <w:tcW w:w="725" w:type="dxa"/>
            <w:vAlign w:val="center"/>
            <w:textDirection w:val="lrTb"/>
            <w:noWrap w:val="false"/>
          </w:tcPr>
          <w:p>
            <w:pPr>
              <w:jc w:val="center"/>
              <w:keepLines w:val="0"/>
              <w:keepNext w:val="0"/>
              <w:pageBreakBefore w:val="0"/>
              <w:spacing w:line="360" w:lineRule="auto"/>
              <w:tabs>
                <w:tab w:val="left" w:pos="426" w:leader="none"/>
              </w:tabs>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5</w:t>
            </w:r>
            <w:r/>
          </w:p>
        </w:tc>
      </w:tr>
      <w:tr>
        <w:trPr>
          <w:trHeight w:val="283"/>
        </w:trPr>
        <w:tc>
          <w:tcPr>
            <w:tcMar>
              <w:left w:w="108" w:type="dxa"/>
              <w:top w:w="0" w:type="dxa"/>
              <w:right w:w="108" w:type="dxa"/>
              <w:bottom w:w="0" w:type="dxa"/>
            </w:tcMar>
            <w:tcW w:w="777" w:type="dxa"/>
            <w:vAlign w:val="center"/>
            <w:textDirection w:val="lrTb"/>
            <w:noWrap w:val="false"/>
          </w:tcPr>
          <w:p>
            <w:pPr>
              <w:pStyle w:val="1502"/>
              <w:jc w:val="center"/>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w:t>
            </w:r>
            <w:r/>
          </w:p>
        </w:tc>
        <w:tc>
          <w:tcPr>
            <w:tcMar>
              <w:left w:w="108" w:type="dxa"/>
              <w:top w:w="0" w:type="dxa"/>
              <w:right w:w="108" w:type="dxa"/>
              <w:bottom w:w="0" w:type="dxa"/>
            </w:tcMar>
            <w:tcW w:w="1200" w:type="dxa"/>
            <w:vAlign w:val="center"/>
            <w:textDirection w:val="lrTb"/>
            <w:noWrap w:val="false"/>
          </w:tcPr>
          <w:p>
            <w:pPr>
              <w:jc w:val="center"/>
              <w:keepLines w:val="0"/>
              <w:keepNext w:val="0"/>
              <w:pageBreakBefore w:val="0"/>
              <w:spacing w:line="360" w:lineRule="auto"/>
              <w:tabs>
                <w:tab w:val="left" w:pos="426" w:leader="none"/>
              </w:tabs>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实施方案</w:t>
            </w:r>
            <w:r/>
          </w:p>
        </w:tc>
        <w:tc>
          <w:tcPr>
            <w:tcMar>
              <w:left w:w="108" w:type="dxa"/>
              <w:top w:w="0" w:type="dxa"/>
              <w:right w:w="108" w:type="dxa"/>
              <w:bottom w:w="0" w:type="dxa"/>
            </w:tcMar>
            <w:tcW w:w="582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评标委员会</w:t>
            </w: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为本项目制定的</w:t>
            </w:r>
            <w:r>
              <w:rPr>
                <w:rFonts w:hint="eastAsia" w:ascii="宋体" w:hAnsi="宋体" w:eastAsia="宋体" w:cs="宋体"/>
                <w:color w:val="auto"/>
                <w:sz w:val="24"/>
                <w:szCs w:val="24"/>
                <w:highlight w:val="none"/>
                <w:lang w:val="en-US" w:eastAsia="zh-CN"/>
              </w:rPr>
              <w:t xml:space="preserve">实施方案</w:t>
            </w:r>
            <w:r>
              <w:rPr>
                <w:rFonts w:hint="eastAsia" w:ascii="宋体" w:hAnsi="宋体" w:eastAsia="宋体" w:cs="宋体"/>
                <w:color w:val="auto"/>
                <w:sz w:val="24"/>
                <w:szCs w:val="24"/>
                <w:highlight w:val="none"/>
                <w:lang w:val="en-US" w:eastAsia="zh-CN" w:bidi="ar-SA"/>
              </w:rPr>
              <w:t xml:space="preserve">进行综合评审。</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（1）方案完整，能完全满足项目实施要求，得5分；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（2）方案较具体，能基本满足项目实施要求，得4分；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（3）方案内容较简单，对项目实施要求响应一般，得3分；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（4）方案内容较差、无针对性，得2分；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（5）全不符合</w:t>
            </w:r>
            <w:r>
              <w:rPr>
                <w:rFonts w:hint="eastAsia" w:ascii="宋体" w:hAnsi="宋体" w:cs="宋体"/>
                <w:color w:val="auto"/>
                <w:sz w:val="24"/>
                <w:szCs w:val="24"/>
                <w:highlight w:val="none"/>
                <w:lang w:val="en-US" w:eastAsia="zh-CN" w:bidi="ar-SA"/>
              </w:rPr>
              <w:t xml:space="preserve">招标文件</w:t>
            </w:r>
            <w:r>
              <w:rPr>
                <w:rFonts w:hint="eastAsia" w:ascii="宋体" w:hAnsi="宋体" w:eastAsia="宋体" w:cs="宋体"/>
                <w:color w:val="auto"/>
                <w:sz w:val="24"/>
                <w:szCs w:val="24"/>
                <w:highlight w:val="none"/>
                <w:lang w:val="en-US" w:eastAsia="zh-CN" w:bidi="ar-SA"/>
              </w:rPr>
              <w:t xml:space="preserve">要求或未提供方案的不得分。</w:t>
            </w:r>
            <w:r/>
          </w:p>
        </w:tc>
        <w:tc>
          <w:tcPr>
            <w:tcMar>
              <w:left w:w="108" w:type="dxa"/>
              <w:top w:w="0" w:type="dxa"/>
              <w:right w:w="108" w:type="dxa"/>
              <w:bottom w:w="0" w:type="dxa"/>
            </w:tcMar>
            <w:tcW w:w="725" w:type="dxa"/>
            <w:vAlign w:val="center"/>
            <w:textDirection w:val="lrTb"/>
            <w:noWrap w:val="false"/>
          </w:tcPr>
          <w:p>
            <w:pPr>
              <w:jc w:val="center"/>
              <w:keepLines w:val="0"/>
              <w:keepNext w:val="0"/>
              <w:pageBreakBefore w:val="0"/>
              <w:spacing w:line="360" w:lineRule="auto"/>
              <w:tabs>
                <w:tab w:val="left" w:pos="426" w:leader="none"/>
              </w:tabs>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w:t>
            </w:r>
            <w:r/>
          </w:p>
        </w:tc>
      </w:tr>
      <w:tr>
        <w:trPr>
          <w:trHeight w:val="283"/>
        </w:trPr>
        <w:tc>
          <w:tcPr>
            <w:tcMar>
              <w:left w:w="108" w:type="dxa"/>
              <w:top w:w="0" w:type="dxa"/>
              <w:right w:w="108" w:type="dxa"/>
              <w:bottom w:w="0" w:type="dxa"/>
            </w:tcMar>
            <w:tcW w:w="777" w:type="dxa"/>
            <w:vAlign w:val="center"/>
            <w:textDirection w:val="lrTb"/>
            <w:noWrap w:val="false"/>
          </w:tcPr>
          <w:p>
            <w:pPr>
              <w:pStyle w:val="1502"/>
              <w:jc w:val="center"/>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3</w:t>
            </w:r>
            <w:r/>
          </w:p>
        </w:tc>
        <w:tc>
          <w:tcPr>
            <w:tcMar>
              <w:left w:w="108" w:type="dxa"/>
              <w:top w:w="0" w:type="dxa"/>
              <w:right w:w="108" w:type="dxa"/>
              <w:bottom w:w="0" w:type="dxa"/>
            </w:tcMar>
            <w:tcW w:w="1200" w:type="dxa"/>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进度、质量保证措施方案</w:t>
            </w:r>
            <w:r/>
          </w:p>
        </w:tc>
        <w:tc>
          <w:tcPr>
            <w:tcMar>
              <w:left w:w="108" w:type="dxa"/>
              <w:top w:w="0" w:type="dxa"/>
              <w:right w:w="108" w:type="dxa"/>
              <w:bottom w:w="0" w:type="dxa"/>
            </w:tcMar>
            <w:tcW w:w="582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评标委员会</w:t>
            </w: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为本项目制定的进度、质量保证措施方案进行综合评审。</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（1）措施方案完整，能完全满足项目实施要求，得5分；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（2）措施方案较具体，能基本满足项目实施要求，得4分；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（3）措施方案内容较简单，对项目实施要求响应一般，得3分；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（4）措施方案内容较差、无针对性，得2分；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zh-Hans" w:eastAsia="zh-CN" w:bidi="ar-SA"/>
              </w:rPr>
              <w:outlineLvl w:val="9"/>
            </w:pPr>
            <w:r>
              <w:rPr>
                <w:rFonts w:hint="eastAsia" w:ascii="宋体" w:hAnsi="宋体" w:eastAsia="宋体" w:cs="宋体"/>
                <w:color w:val="auto"/>
                <w:sz w:val="24"/>
                <w:szCs w:val="24"/>
                <w:highlight w:val="none"/>
                <w:lang w:val="en-US" w:eastAsia="zh-CN" w:bidi="ar-SA"/>
              </w:rPr>
              <w:t xml:space="preserve">（5）全不符合</w:t>
            </w:r>
            <w:r>
              <w:rPr>
                <w:rFonts w:hint="eastAsia" w:ascii="宋体" w:hAnsi="宋体" w:cs="宋体"/>
                <w:color w:val="auto"/>
                <w:sz w:val="24"/>
                <w:szCs w:val="24"/>
                <w:highlight w:val="none"/>
                <w:lang w:val="en-US" w:eastAsia="zh-CN" w:bidi="ar-SA"/>
              </w:rPr>
              <w:t xml:space="preserve">招标文件</w:t>
            </w:r>
            <w:r>
              <w:rPr>
                <w:rFonts w:hint="eastAsia" w:ascii="宋体" w:hAnsi="宋体" w:eastAsia="宋体" w:cs="宋体"/>
                <w:color w:val="auto"/>
                <w:sz w:val="24"/>
                <w:szCs w:val="24"/>
                <w:highlight w:val="none"/>
                <w:lang w:val="en-US" w:eastAsia="zh-CN" w:bidi="ar-SA"/>
              </w:rPr>
              <w:t xml:space="preserve">要求或未提供方案的不得分。</w:t>
            </w:r>
            <w:r/>
          </w:p>
        </w:tc>
        <w:tc>
          <w:tcPr>
            <w:tcMar>
              <w:left w:w="108" w:type="dxa"/>
              <w:top w:w="0" w:type="dxa"/>
              <w:right w:w="108" w:type="dxa"/>
              <w:bottom w:w="0" w:type="dxa"/>
            </w:tcMar>
            <w:tcW w:w="725" w:type="dxa"/>
            <w:vAlign w:val="center"/>
            <w:textDirection w:val="lrTb"/>
            <w:noWrap w:val="false"/>
          </w:tcPr>
          <w:p>
            <w:pPr>
              <w:jc w:val="center"/>
              <w:keepLines w:val="0"/>
              <w:keepNext w:val="0"/>
              <w:pageBreakBefore w:val="0"/>
              <w:spacing w:line="360" w:lineRule="auto"/>
              <w:tabs>
                <w:tab w:val="left" w:pos="426" w:leader="none"/>
              </w:tabs>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w:t>
            </w:r>
            <w:r/>
          </w:p>
        </w:tc>
      </w:tr>
      <w:tr>
        <w:trPr>
          <w:trHeight w:val="283"/>
        </w:trPr>
        <w:tc>
          <w:tcPr>
            <w:tcMar>
              <w:left w:w="108" w:type="dxa"/>
              <w:top w:w="0" w:type="dxa"/>
              <w:right w:w="108" w:type="dxa"/>
              <w:bottom w:w="0" w:type="dxa"/>
            </w:tcMar>
            <w:tcW w:w="777" w:type="dxa"/>
            <w:vAlign w:val="center"/>
            <w:textDirection w:val="lrTb"/>
            <w:noWrap w:val="false"/>
          </w:tcPr>
          <w:p>
            <w:pPr>
              <w:pStyle w:val="1502"/>
              <w:jc w:val="center"/>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w:t>
            </w:r>
            <w:r/>
          </w:p>
        </w:tc>
        <w:tc>
          <w:tcPr>
            <w:tcMar>
              <w:left w:w="108" w:type="dxa"/>
              <w:top w:w="0" w:type="dxa"/>
              <w:right w:w="108" w:type="dxa"/>
              <w:bottom w:w="0" w:type="dxa"/>
            </w:tcMar>
            <w:tcW w:w="1200" w:type="dxa"/>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劳动力、机械设备和材料投入计划</w:t>
            </w:r>
            <w:r/>
          </w:p>
        </w:tc>
        <w:tc>
          <w:tcPr>
            <w:tcMar>
              <w:left w:w="108" w:type="dxa"/>
              <w:top w:w="0" w:type="dxa"/>
              <w:right w:w="108" w:type="dxa"/>
              <w:bottom w:w="0" w:type="dxa"/>
            </w:tcMar>
            <w:tcW w:w="582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评标委员会</w:t>
            </w: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为本项目制定的劳动力、机械设备和材料投入计划进行综合评审。</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（1）计划方案完整，能完全满足项目实施要求，得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（2）计划方案较具体，能基本满足项目实施要求，得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（3）计划方案内容较简单，对项目实施要求响应一般，得3分；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（4）计划方案内容较差、无针对性，得2分；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zh-Hans" w:eastAsia="zh-CN" w:bidi="ar-SA"/>
              </w:rPr>
              <w:outlineLvl w:val="9"/>
            </w:pPr>
            <w:r>
              <w:rPr>
                <w:rFonts w:hint="eastAsia" w:ascii="宋体" w:hAnsi="宋体" w:eastAsia="宋体" w:cs="宋体"/>
                <w:color w:val="auto"/>
                <w:sz w:val="24"/>
                <w:szCs w:val="24"/>
                <w:highlight w:val="none"/>
                <w:lang w:val="en-US" w:eastAsia="zh-CN" w:bidi="ar-SA"/>
              </w:rPr>
              <w:t xml:space="preserve">（5）全不符合</w:t>
            </w:r>
            <w:r>
              <w:rPr>
                <w:rFonts w:hint="eastAsia" w:ascii="宋体" w:hAnsi="宋体" w:cs="宋体"/>
                <w:color w:val="auto"/>
                <w:sz w:val="24"/>
                <w:szCs w:val="24"/>
                <w:highlight w:val="none"/>
                <w:lang w:val="en-US" w:eastAsia="zh-CN" w:bidi="ar-SA"/>
              </w:rPr>
              <w:t xml:space="preserve">招标文件</w:t>
            </w:r>
            <w:r>
              <w:rPr>
                <w:rFonts w:hint="eastAsia" w:ascii="宋体" w:hAnsi="宋体" w:eastAsia="宋体" w:cs="宋体"/>
                <w:color w:val="auto"/>
                <w:sz w:val="24"/>
                <w:szCs w:val="24"/>
                <w:highlight w:val="none"/>
                <w:lang w:val="en-US" w:eastAsia="zh-CN" w:bidi="ar-SA"/>
              </w:rPr>
              <w:t xml:space="preserve">要求或未提供方案的不得分。</w:t>
            </w:r>
            <w:r/>
          </w:p>
        </w:tc>
        <w:tc>
          <w:tcPr>
            <w:tcMar>
              <w:left w:w="108" w:type="dxa"/>
              <w:top w:w="0" w:type="dxa"/>
              <w:right w:w="108" w:type="dxa"/>
              <w:bottom w:w="0" w:type="dxa"/>
            </w:tcMar>
            <w:tcW w:w="725" w:type="dxa"/>
            <w:vAlign w:val="center"/>
            <w:textDirection w:val="lrTb"/>
            <w:noWrap w:val="false"/>
          </w:tcPr>
          <w:p>
            <w:pPr>
              <w:jc w:val="center"/>
              <w:keepLines w:val="0"/>
              <w:keepNext w:val="0"/>
              <w:pageBreakBefore w:val="0"/>
              <w:spacing w:line="360" w:lineRule="auto"/>
              <w:tabs>
                <w:tab w:val="left" w:pos="426" w:leader="none"/>
              </w:tabs>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5</w:t>
            </w:r>
            <w:r/>
          </w:p>
        </w:tc>
      </w:tr>
      <w:tr>
        <w:trPr>
          <w:trHeight w:val="283"/>
        </w:trPr>
        <w:tc>
          <w:tcPr>
            <w:tcMar>
              <w:left w:w="108" w:type="dxa"/>
              <w:top w:w="0" w:type="dxa"/>
              <w:right w:w="108" w:type="dxa"/>
              <w:bottom w:w="0" w:type="dxa"/>
            </w:tcMar>
            <w:tcW w:w="777" w:type="dxa"/>
            <w:vAlign w:val="center"/>
            <w:textDirection w:val="lrTb"/>
            <w:noWrap w:val="false"/>
          </w:tcPr>
          <w:p>
            <w:pPr>
              <w:pStyle w:val="1502"/>
              <w:jc w:val="center"/>
              <w:keepLines w:val="0"/>
              <w:keepNext w:val="0"/>
              <w:pageBreakBefore w:val="0"/>
              <w:spacing w:line="360" w:lineRule="auto"/>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5</w:t>
            </w:r>
            <w:r/>
          </w:p>
        </w:tc>
        <w:tc>
          <w:tcPr>
            <w:tcMar>
              <w:left w:w="108" w:type="dxa"/>
              <w:top w:w="0" w:type="dxa"/>
              <w:right w:w="108" w:type="dxa"/>
              <w:bottom w:w="0" w:type="dxa"/>
            </w:tcMar>
            <w:tcW w:w="1200" w:type="dxa"/>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关键施工技术、工艺及工程项目实施的重点、难点和解决方案</w:t>
            </w:r>
            <w:r/>
          </w:p>
        </w:tc>
        <w:tc>
          <w:tcPr>
            <w:tcMar>
              <w:left w:w="108" w:type="dxa"/>
              <w:top w:w="0" w:type="dxa"/>
              <w:right w:w="108" w:type="dxa"/>
              <w:bottom w:w="0" w:type="dxa"/>
            </w:tcMar>
            <w:tcW w:w="582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评标委员会</w:t>
            </w: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提供的</w:t>
            </w:r>
            <w:r>
              <w:rPr>
                <w:rFonts w:hint="eastAsia" w:ascii="宋体" w:hAnsi="宋体" w:eastAsia="宋体" w:cs="宋体"/>
                <w:color w:val="auto"/>
                <w:sz w:val="24"/>
                <w:szCs w:val="24"/>
                <w:highlight w:val="none"/>
                <w:lang w:val="en-US" w:eastAsia="zh-CN"/>
              </w:rPr>
              <w:t xml:space="preserve">关键施工技术、工艺及工程项目实施的重点、难点和解决方案</w:t>
            </w:r>
            <w:r>
              <w:rPr>
                <w:rFonts w:hint="eastAsia" w:ascii="宋体" w:hAnsi="宋体" w:eastAsia="宋体" w:cs="宋体"/>
                <w:color w:val="auto"/>
                <w:sz w:val="24"/>
                <w:szCs w:val="24"/>
                <w:highlight w:val="none"/>
                <w:lang w:val="en-US" w:eastAsia="zh-CN" w:bidi="ar-SA"/>
              </w:rPr>
              <w:t xml:space="preserve">进行综合评审。</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（1）方案完整，能完全满足项目实施要求，得5分；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（2）方案较具体，能基本满足项目实施要求，得4分；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（3）方案内容较简单，对项目实施要求响应一般，得3分；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（4）方案内容较差、无针对性，得2分；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（5）全不符合</w:t>
            </w:r>
            <w:r>
              <w:rPr>
                <w:rFonts w:hint="eastAsia" w:ascii="宋体" w:hAnsi="宋体" w:cs="宋体"/>
                <w:color w:val="auto"/>
                <w:sz w:val="24"/>
                <w:szCs w:val="24"/>
                <w:highlight w:val="none"/>
                <w:lang w:val="en-US" w:eastAsia="zh-CN" w:bidi="ar-SA"/>
              </w:rPr>
              <w:t xml:space="preserve">招标文件</w:t>
            </w:r>
            <w:r>
              <w:rPr>
                <w:rFonts w:hint="eastAsia" w:ascii="宋体" w:hAnsi="宋体" w:eastAsia="宋体" w:cs="宋体"/>
                <w:color w:val="auto"/>
                <w:sz w:val="24"/>
                <w:szCs w:val="24"/>
                <w:highlight w:val="none"/>
                <w:lang w:val="en-US" w:eastAsia="zh-CN" w:bidi="ar-SA"/>
              </w:rPr>
              <w:t xml:space="preserve">要求或未提供方案的不得分。</w:t>
            </w:r>
            <w:r/>
          </w:p>
        </w:tc>
        <w:tc>
          <w:tcPr>
            <w:tcMar>
              <w:left w:w="108" w:type="dxa"/>
              <w:top w:w="0" w:type="dxa"/>
              <w:right w:w="108" w:type="dxa"/>
              <w:bottom w:w="0" w:type="dxa"/>
            </w:tcMar>
            <w:tcW w:w="725" w:type="dxa"/>
            <w:vAlign w:val="center"/>
            <w:textDirection w:val="lrTb"/>
            <w:noWrap w:val="false"/>
          </w:tcPr>
          <w:p>
            <w:pPr>
              <w:jc w:val="center"/>
              <w:keepLines w:val="0"/>
              <w:keepNext w:val="0"/>
              <w:pageBreakBefore w:val="0"/>
              <w:spacing w:line="360" w:lineRule="auto"/>
              <w:tabs>
                <w:tab w:val="left" w:pos="426" w:leader="none"/>
              </w:tabs>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w:t>
            </w:r>
            <w:r/>
          </w:p>
        </w:tc>
      </w:tr>
      <w:tr>
        <w:trPr>
          <w:trHeight w:val="283"/>
        </w:trPr>
        <w:tc>
          <w:tcPr>
            <w:tcMar>
              <w:left w:w="108" w:type="dxa"/>
              <w:top w:w="0" w:type="dxa"/>
              <w:right w:w="108" w:type="dxa"/>
              <w:bottom w:w="0" w:type="dxa"/>
            </w:tcMar>
            <w:tcW w:w="777" w:type="dxa"/>
            <w:vAlign w:val="center"/>
            <w:textDirection w:val="lrTb"/>
            <w:noWrap w:val="false"/>
          </w:tcPr>
          <w:p>
            <w:pPr>
              <w:pStyle w:val="1502"/>
              <w:jc w:val="center"/>
              <w:keepLines w:val="0"/>
              <w:keepNext w:val="0"/>
              <w:pageBreakBefore w:val="0"/>
              <w:spacing w:line="360" w:lineRule="auto"/>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w:t>
            </w:r>
            <w:r/>
          </w:p>
        </w:tc>
        <w:tc>
          <w:tcPr>
            <w:tcMar>
              <w:left w:w="108" w:type="dxa"/>
              <w:top w:w="0" w:type="dxa"/>
              <w:right w:w="108" w:type="dxa"/>
              <w:bottom w:w="0" w:type="dxa"/>
            </w:tcMar>
            <w:tcW w:w="1200" w:type="dxa"/>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后期服务方案</w:t>
            </w:r>
            <w:r/>
          </w:p>
        </w:tc>
        <w:tc>
          <w:tcPr>
            <w:tcMar>
              <w:left w:w="108" w:type="dxa"/>
              <w:top w:w="0" w:type="dxa"/>
              <w:right w:w="108" w:type="dxa"/>
              <w:bottom w:w="0" w:type="dxa"/>
            </w:tcMar>
            <w:tcW w:w="582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评标委员会</w:t>
            </w: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为本项目制定的</w:t>
            </w:r>
            <w:r>
              <w:rPr>
                <w:rFonts w:hint="eastAsia" w:ascii="宋体" w:hAnsi="宋体" w:eastAsia="宋体" w:cs="宋体"/>
                <w:color w:val="auto"/>
                <w:sz w:val="24"/>
                <w:szCs w:val="24"/>
                <w:highlight w:val="none"/>
                <w:lang w:val="en-US" w:eastAsia="zh-CN"/>
              </w:rPr>
              <w:t xml:space="preserve">后期服务方案</w:t>
            </w:r>
            <w:r>
              <w:rPr>
                <w:rFonts w:hint="eastAsia" w:ascii="宋体" w:hAnsi="宋体" w:eastAsia="宋体" w:cs="宋体"/>
                <w:color w:val="auto"/>
                <w:sz w:val="24"/>
                <w:szCs w:val="24"/>
                <w:highlight w:val="none"/>
                <w:lang w:val="en-US" w:eastAsia="zh-CN" w:bidi="ar-SA"/>
              </w:rPr>
              <w:t xml:space="preserve">进行综合评审。</w:t>
            </w:r>
            <w:r/>
          </w:p>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（1）服务方案内容精细详尽，针对性强得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（2）服务方案内容较完整，针对性较强得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（3）服务方案内容基本完整，针对性一般得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（4）服务方案内容不够完整，没有针对性得2分；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（5）全不符合</w:t>
            </w:r>
            <w:r>
              <w:rPr>
                <w:rFonts w:hint="eastAsia" w:ascii="宋体" w:hAnsi="宋体" w:cs="宋体"/>
                <w:color w:val="auto"/>
                <w:sz w:val="24"/>
                <w:szCs w:val="24"/>
                <w:highlight w:val="none"/>
                <w:lang w:val="en-US" w:eastAsia="zh-CN" w:bidi="ar-SA"/>
              </w:rPr>
              <w:t xml:space="preserve">招标文件</w:t>
            </w:r>
            <w:r>
              <w:rPr>
                <w:rFonts w:hint="eastAsia" w:ascii="宋体" w:hAnsi="宋体" w:eastAsia="宋体" w:cs="宋体"/>
                <w:color w:val="auto"/>
                <w:sz w:val="24"/>
                <w:szCs w:val="24"/>
                <w:highlight w:val="none"/>
                <w:lang w:val="en-US" w:eastAsia="zh-CN" w:bidi="ar-SA"/>
              </w:rPr>
              <w:t xml:space="preserve">要求或未提供方案的不得分。</w:t>
            </w:r>
            <w:r/>
          </w:p>
        </w:tc>
        <w:tc>
          <w:tcPr>
            <w:tcMar>
              <w:left w:w="108" w:type="dxa"/>
              <w:top w:w="0" w:type="dxa"/>
              <w:right w:w="108" w:type="dxa"/>
              <w:bottom w:w="0" w:type="dxa"/>
            </w:tcMar>
            <w:tcW w:w="725" w:type="dxa"/>
            <w:vAlign w:val="center"/>
            <w:textDirection w:val="lrTb"/>
            <w:noWrap w:val="false"/>
          </w:tcPr>
          <w:p>
            <w:pPr>
              <w:jc w:val="center"/>
              <w:keepLines w:val="0"/>
              <w:keepNext w:val="0"/>
              <w:pageBreakBefore w:val="0"/>
              <w:spacing w:line="360" w:lineRule="auto"/>
              <w:tabs>
                <w:tab w:val="left" w:pos="426" w:leader="none"/>
              </w:tabs>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5</w:t>
            </w:r>
            <w:r/>
          </w:p>
        </w:tc>
      </w:tr>
    </w:tbl>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注：1.评分细则中要求提供的证明文件及资料等在投标文件中提供并加盖公章，否则不得分。</w:t>
      </w:r>
      <w:r/>
    </w:p>
    <w:p>
      <w:pPr>
        <w:contextualSpacing/>
        <w:ind w:firstLine="480"/>
        <w:spacing w:line="360" w:lineRule="auto"/>
        <w:rPr>
          <w:color w:val="auto"/>
          <w:highlight w:val="none"/>
        </w:rPr>
      </w:pPr>
      <w:r>
        <w:rPr>
          <w:rFonts w:hint="eastAsia" w:ascii="宋体" w:hAnsi="宋体" w:cs="宋体"/>
          <w:bCs/>
          <w:color w:val="auto"/>
          <w:sz w:val="24"/>
          <w:highlight w:val="none"/>
        </w:rPr>
        <w:t xml:space="preserve">2.评审时，未能按以上要求提供相应证明的，不作为评审依据，不得分。</w:t>
      </w:r>
      <w:r/>
    </w:p>
    <w:p>
      <w:pPr>
        <w:pStyle w:val="1314"/>
        <w:ind w:firstLine="480"/>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jc w:val="center"/>
        <w:spacing w:line="360" w:lineRule="auto"/>
        <w:rPr>
          <w:b/>
          <w:color w:val="auto"/>
          <w:sz w:val="36"/>
          <w:szCs w:val="36"/>
          <w:highlight w:val="none"/>
        </w:rPr>
        <w:outlineLvl w:val="0"/>
      </w:pPr>
      <w:r/>
      <w:bookmarkStart w:id="811" w:name="_Toc99301424"/>
      <w:r/>
      <w:bookmarkStart w:id="812" w:name="_Toc29962"/>
      <w:r>
        <w:rPr>
          <w:b/>
          <w:color w:val="auto"/>
          <w:sz w:val="36"/>
          <w:szCs w:val="36"/>
          <w:highlight w:val="none"/>
        </w:rPr>
        <w:t xml:space="preserve">第五章   采购需求</w:t>
      </w:r>
      <w:bookmarkEnd w:id="811"/>
      <w:r/>
      <w:bookmarkEnd w:id="812"/>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一、采购标的</w:t>
      </w:r>
      <w:r/>
    </w:p>
    <w:p>
      <w:pPr>
        <w:ind w:firstLine="488"/>
        <w:keepLines w:val="0"/>
        <w:keepNext w:val="0"/>
        <w:pageBreakBefore w:val="0"/>
        <w:spacing w:line="360" w:lineRule="auto"/>
        <w:widowControl w:val="off"/>
        <w:rPr>
          <w:rFonts w:hint="eastAsia" w:ascii="宋体" w:hAnsi="宋体" w:cs="宋体"/>
          <w:color w:val="auto"/>
          <w:spacing w:val="2"/>
          <w:sz w:val="24"/>
          <w:szCs w:val="24"/>
          <w:highlight w:val="none"/>
          <w:u w:val="none"/>
          <w:lang w:eastAsia="zh-CN"/>
        </w:rPr>
        <w:outlineLvl w:val="9"/>
      </w:pPr>
      <w:r>
        <w:rPr>
          <w:rFonts w:hint="eastAsia" w:ascii="宋体" w:hAnsi="宋体" w:cs="宋体"/>
          <w:color w:val="auto"/>
          <w:spacing w:val="2"/>
          <w:sz w:val="24"/>
          <w:szCs w:val="24"/>
          <w:highlight w:val="none"/>
          <w:u w:val="none"/>
          <w:lang w:val="en-US" w:eastAsia="zh-CN"/>
        </w:rPr>
        <w:t xml:space="preserve">1</w:t>
      </w:r>
      <w:r>
        <w:rPr>
          <w:rFonts w:hint="eastAsia" w:ascii="宋体" w:hAnsi="宋体" w:cs="宋体"/>
          <w:color w:val="auto"/>
          <w:spacing w:val="2"/>
          <w:sz w:val="24"/>
          <w:szCs w:val="24"/>
          <w:highlight w:val="none"/>
          <w:u w:val="none"/>
          <w:lang w:eastAsia="zh-CN"/>
        </w:rPr>
        <w:t xml:space="preserve">.项目内容：</w:t>
      </w:r>
      <w:r>
        <w:rPr>
          <w:rFonts w:hint="eastAsia" w:ascii="宋体" w:hAnsi="宋体" w:cs="宋体"/>
          <w:color w:val="auto"/>
          <w:sz w:val="24"/>
          <w:szCs w:val="24"/>
          <w:highlight w:val="none"/>
          <w:lang w:eastAsia="zh-CN"/>
        </w:rPr>
        <w:t xml:space="preserve">服务内容主要为全镇路灯设施进行日常巡检、故障抢修、灯头更换、电缆检修及亮化应急保障等。</w:t>
      </w:r>
      <w:r/>
    </w:p>
    <w:p>
      <w:pPr>
        <w:ind w:firstLine="488"/>
        <w:keepLines w:val="0"/>
        <w:keepNext w:val="0"/>
        <w:pageBreakBefore w:val="0"/>
        <w:spacing w:line="360" w:lineRule="auto"/>
        <w:widowControl w:val="off"/>
        <w:rPr>
          <w:rFonts w:hint="eastAsia" w:ascii="宋体" w:hAnsi="宋体" w:cs="宋体"/>
          <w:color w:val="auto"/>
          <w:spacing w:val="2"/>
          <w:sz w:val="24"/>
          <w:szCs w:val="24"/>
          <w:highlight w:val="none"/>
          <w:u w:val="none"/>
          <w:lang w:eastAsia="zh-CN"/>
        </w:rPr>
        <w:outlineLvl w:val="9"/>
      </w:pPr>
      <w:r>
        <w:rPr>
          <w:rFonts w:hint="eastAsia" w:ascii="宋体" w:hAnsi="宋体" w:cs="宋体"/>
          <w:color w:val="auto"/>
          <w:spacing w:val="2"/>
          <w:sz w:val="24"/>
          <w:szCs w:val="24"/>
          <w:highlight w:val="none"/>
          <w:u w:val="none"/>
          <w:lang w:val="en-US" w:eastAsia="zh-CN"/>
        </w:rPr>
        <w:t xml:space="preserve">2</w:t>
      </w:r>
      <w:r>
        <w:rPr>
          <w:rFonts w:hint="eastAsia" w:ascii="宋体" w:hAnsi="宋体" w:cs="宋体"/>
          <w:color w:val="auto"/>
          <w:spacing w:val="2"/>
          <w:sz w:val="24"/>
          <w:szCs w:val="24"/>
          <w:highlight w:val="none"/>
          <w:u w:val="none"/>
          <w:lang w:eastAsia="zh-CN"/>
        </w:rPr>
        <w:t xml:space="preserve">.项目地点：常州市</w:t>
      </w:r>
      <w:r>
        <w:rPr>
          <w:rFonts w:hint="eastAsia" w:ascii="宋体" w:hAnsi="宋体" w:cs="宋体"/>
          <w:color w:val="auto"/>
          <w:spacing w:val="2"/>
          <w:sz w:val="24"/>
          <w:szCs w:val="24"/>
          <w:highlight w:val="none"/>
          <w:u w:val="none"/>
          <w:lang w:val="en-US" w:eastAsia="zh-CN"/>
        </w:rPr>
        <w:t xml:space="preserve">遥观</w:t>
      </w:r>
      <w:r>
        <w:rPr>
          <w:rFonts w:hint="eastAsia" w:ascii="宋体" w:hAnsi="宋体" w:cs="宋体"/>
          <w:color w:val="auto"/>
          <w:spacing w:val="2"/>
          <w:sz w:val="24"/>
          <w:szCs w:val="24"/>
          <w:highlight w:val="none"/>
          <w:u w:val="none"/>
          <w:lang w:eastAsia="zh-CN"/>
        </w:rPr>
        <w:t xml:space="preserve">镇</w:t>
      </w:r>
      <w:r>
        <w:rPr>
          <w:rFonts w:hint="eastAsia" w:ascii="宋体" w:hAnsi="宋体" w:cs="宋体"/>
          <w:color w:val="auto"/>
          <w:spacing w:val="2"/>
          <w:sz w:val="24"/>
          <w:szCs w:val="24"/>
          <w:highlight w:val="none"/>
          <w:u w:val="none"/>
          <w:lang w:val="en-US" w:eastAsia="zh-CN"/>
        </w:rPr>
        <w:t xml:space="preserve">内</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二、商务要求</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rPr>
        <w:t xml:space="preserve">服务期限</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1年。</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2.付款方式</w:t>
      </w:r>
      <w:r/>
    </w:p>
    <w:p>
      <w:pPr>
        <w:contextualSpacing/>
        <w:ind w:firstLine="48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竣工验收完成结算审计后付至审定价的80%；验收合格之日起贰年后付审定价的20%。</w:t>
      </w:r>
      <w:r/>
    </w:p>
    <w:p>
      <w:pPr>
        <w:numPr>
          <w:ilvl w:val="0"/>
          <w:numId w:val="0"/>
        </w:numPr>
        <w:contextualSpacing/>
        <w:ind w:firstLine="482"/>
        <w:spacing w:line="360" w:lineRule="auto"/>
        <w:rPr>
          <w:rFonts w:hint="eastAsia" w:ascii="宋体" w:hAnsi="宋体" w:cs="宋体"/>
          <w:bCs/>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t xml:space="preserve">3.质保期</w:t>
      </w:r>
      <w:r/>
    </w:p>
    <w:p>
      <w:pPr>
        <w:numPr>
          <w:ilvl w:val="0"/>
          <w:numId w:val="0"/>
        </w:numPr>
        <w:contextualSpacing/>
        <w:ind w:firstLine="480"/>
        <w:spacing w:line="360" w:lineRule="auto"/>
        <w:rPr>
          <w:rFonts w:hint="default" w:ascii="宋体" w:hAnsi="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2年。</w:t>
      </w:r>
      <w:r/>
    </w:p>
    <w:p>
      <w:pPr>
        <w:keepLines w:val="0"/>
        <w:keepNext w:val="0"/>
        <w:pageBreakBefore w:val="0"/>
        <w:spacing w:line="36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三、技术要求</w:t>
      </w:r>
      <w:r/>
    </w:p>
    <w:p>
      <w:pPr>
        <w:contextualSpacing/>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1、配备人员：（</w:t>
      </w:r>
      <w:r>
        <w:rPr>
          <w:rFonts w:hint="eastAsia" w:ascii="宋体" w:hAnsi="宋体" w:cs="宋体"/>
          <w:b/>
          <w:bCs/>
          <w:color w:val="auto"/>
          <w:sz w:val="24"/>
          <w:highlight w:val="none"/>
          <w:lang w:val="en-US" w:eastAsia="zh-CN"/>
        </w:rPr>
        <w:t xml:space="preserve">13</w:t>
      </w:r>
      <w:r>
        <w:rPr>
          <w:rFonts w:hint="eastAsia" w:ascii="宋体" w:hAnsi="宋体" w:cs="宋体"/>
          <w:b/>
          <w:bCs/>
          <w:color w:val="auto"/>
          <w:sz w:val="24"/>
          <w:highlight w:val="none"/>
        </w:rPr>
        <w:t xml:space="preserve">人）</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（1）项目经理、技术负责人、安全员、质量员各一人。</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（2）技术工人（不少于5人），其中：</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操作电工2人，需持有低压电工证或建筑电工证，高压操作电工1人，需持有国家能源局颁发的电工进网作业许可证；高空作业车驾驶员2人，需持有机动车A2证；</w:t>
      </w:r>
      <w:r/>
    </w:p>
    <w:p>
      <w:pPr>
        <w:numPr>
          <w:ilvl w:val="0"/>
          <w:numId w:val="0"/>
        </w:num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车辆配置：具有22米或以上高空作业车1辆、14米及以上高空作业车1辆、</w:t>
      </w:r>
      <w:r>
        <w:rPr>
          <w:rFonts w:hint="eastAsia" w:ascii="宋体" w:hAnsi="宋体" w:cs="宋体"/>
          <w:color w:val="auto"/>
          <w:sz w:val="24"/>
          <w:highlight w:val="none"/>
        </w:rPr>
        <w:t xml:space="preserve">2.5吨及以上（</w:t>
      </w:r>
      <w:r>
        <w:rPr>
          <w:rFonts w:hint="eastAsia" w:ascii="宋体" w:hAnsi="宋体" w:cs="宋体"/>
          <w:color w:val="auto"/>
          <w:sz w:val="24"/>
          <w:highlight w:val="none"/>
        </w:rPr>
        <w:t xml:space="preserve">总质量：‌车辆自重+载重</w:t>
      </w:r>
      <w:r>
        <w:rPr>
          <w:rFonts w:hint="eastAsia" w:ascii="宋体" w:hAnsi="宋体" w:cs="宋体"/>
          <w:color w:val="auto"/>
          <w:sz w:val="24"/>
          <w:highlight w:val="none"/>
        </w:rPr>
        <w:t xml:space="preserve">）的工程抢修车（卡车或皮卡均可）1辆</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其他</w:t>
      </w:r>
      <w:r>
        <w:rPr>
          <w:rFonts w:hint="eastAsia" w:ascii="宋体" w:hAnsi="宋体" w:cs="宋体"/>
          <w:color w:val="auto"/>
          <w:sz w:val="24"/>
          <w:highlight w:val="none"/>
          <w:lang w:val="en-US" w:eastAsia="zh-CN"/>
        </w:rPr>
        <w:t xml:space="preserve">巡检</w:t>
      </w:r>
      <w:r>
        <w:rPr>
          <w:rFonts w:hint="eastAsia" w:ascii="宋体" w:hAnsi="宋体" w:cs="宋体"/>
          <w:color w:val="auto"/>
          <w:sz w:val="24"/>
          <w:highlight w:val="none"/>
        </w:rPr>
        <w:t xml:space="preserve">车辆1辆。</w:t>
      </w:r>
      <w:r/>
    </w:p>
    <w:p>
      <w:pPr>
        <w:numPr>
          <w:ilvl w:val="0"/>
          <w:numId w:val="0"/>
        </w:num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驾驶员1人、维护工2人、集控巡查1人</w:t>
      </w:r>
      <w:r/>
    </w:p>
    <w:p>
      <w:pPr>
        <w:contextualSpacing/>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路灯照明设施的日常操作和维护管理</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（一）管护内容：</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道路路灯</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小区路灯（含庭院灯）</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负责路灯照明设施更换维修，确保亮灯效果；</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负责路灯灯具灯杆、管线、控制箱、箱变、单灯控制器、接地设施及其它相关设备安装牢固情况的检查及维修；</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负责所有电控柜、箱变的检查调试维修，电气元件更换；</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负责所有电缆、电线的检测、维修、更换；</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运行值班：</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除正常维护外，还需做好各项领导检查及节日保障活动；做好防盗工作，承担维护范围内发生的失窃、人为破坏等管护责任；</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管护标准：确保路灯亮灯率在99%以上，设施完好率95%以上。一般故障24小时修复，特殊事故72小时修复。110、12345派单事件及时完成率100%。</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（二）保洁工作：</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负责计量箱、控制箱、箱变及路灯灯杆及灯具的清洁工作；</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（三）日常巡检：</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维护按道路2个维护班组，小区1个维护班组，实行24小时人员值班制，每班需配备人员4人（驾驶员1人、维护工2人、集控巡查1人）</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巡检人员每日都要对管辖内设备进行巡视检查，管理人员要保持24小时通讯畅通；</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电气元件、电气设备、电缆、灯具、箱变等照明设施运行参数检测、漏电安全检测、灵敏度检测、绝缘检测、老化检测；易损易耗件更换，补足；</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巡查设施运行情况、观察有无异常振动及噪声，检查电气控制柜中元件有无发黑的触点，电缆、电线是否有过热、变色、烧焦等现象；</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养护期限内发生偷盗或被其它车辆或施工单位撞毁、损毁无法追责其责任人的视为特殊情况，由采购人承担修复的所有费用。偷盗必须在第一时间内向采购人管理人员反映，同时向辖区内派出所报案。</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（四）故障维修说明：</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制定相关应急预案，如有意外事故发生应采取紧急处理措施，防止事故扩大化﹙如遇台风、洪涝等﹚；</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进行维修更换作业时，应尊重原设计，原样恢复。特殊情况下，经采购人许可，方可使用替代品，但造价、品牌、质量不得低于原设计的材料设备质量标准；</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现场须有足够的备品备件，备品备件使用后要立即补足；</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人员及</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委派人员均须服从采购人代表及采购人现场派驻人员的管理，采购人现场派驻人员负责对</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日常维护工作进行监督、检查、维修工作量审核确定等工作；</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（五）路灯照明维护单位内部管理要求</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（1）机构及硬件设施</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路灯照明维护单位必须建立合理完善高效的运作管理体制。应建立由公司总经理领导、项目质量技术负责人负责的质量管理机构。采用项目法施工管理，根据路灯照明维修的特点、规模及项目施工要求成立项目经理部。</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2、应建立齐全规范的人员岗位管理、考勤值班、日常巡修制度、施工质量管理、服务承诺、安全生产管理、抢修应急预案、技术人员管理培训、设备材料管理、内部资料档案管理、财务管理等各项制度。</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3、必须具备固定的办公和工作场所，具备办公室、仓库、停车场等场所。</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4、必须配备用于路灯照明维护的施工机械设备，如路灯升降车、抢修车、维修巡检车辆、高空作业装备及相应的电工工具等。</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5、应建立和健全所管辖区域内路灯照明设施资料管理档案（控制系统图、分布图等），并根据变化及时修正，保证其准确性。</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6、各维修队伍应根据各自维修区域、维修总量及其特点制定完整合理的书面应急预案，建立反应迅速、运转高效的应急响应机制。明确各岗位职责，确保任何地点发生故障均能在30分钟内到达现场。</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7、维护单位必须准备充足的维修材料（如灯杆、灯具、电缆、镇流器、光源、控制箱等），以应对日常维修及突发事件需要。</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（六）工作人员要求</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1、工作人员必须熟悉路灯照明配电设备、所管辖区域内路灯照明控制线路网络的正确操作和维护方法，确保路灯照明配电设备安全运行无事故。</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2、工作人员必须按规定着统一标识服装，严格遵守各项安全操作规程和交通管理规则，作业时安全防护用品必须穿戴齐全。</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3、工作人员应按制定的计划认真巡修，并做好巡修记录。</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（七）安全、文明施工</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1、确定安全责任制度，总经理为安全第一责任人，全面负责景观照明维修人员、装备等安全工作，项目经理为安全负责人。</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2、为所有上岗的员工购买人身意外保险、工程平安保险及第三方保险和工作意外事故保险，且保额不低于150万元。</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3、建立完善的安全生产管理制度，包括①安全生产检查制度②电工安全操作规程③高空作业安全操作规程④安全行车的有关规定⑤员工安全生产教育培训制度。</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4、路灯照明设施因维护不到位引起的安全事故由维修单位承担。</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5、路灯照明维护单位应严格执行安全施工的相关规定，施工人员必须持证上岗并进行安全教育，确保不发生人身伤亡事故和火灾事故。</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6、路灯照明维护单位必须建立完善的文明施工、环境保护措施，落实文明施工和环境保护相关责任人。因维修工作造成对居民财产损坏的，由维护单位负责赔偿。</w:t>
      </w:r>
      <w:r/>
    </w:p>
    <w:p>
      <w:pPr>
        <w:contextualSpacing/>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（八）照明设施维护质量标准</w:t>
      </w:r>
      <w:r/>
    </w:p>
    <w:tbl>
      <w:tblPr>
        <w:tblStyle w:val="127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936"/>
        <w:gridCol w:w="7022"/>
      </w:tblGrid>
      <w:tr>
        <w:trPr>
          <w:jc w:val="center"/>
          <w:trHeight w:val="948"/>
        </w:trPr>
        <w:tc>
          <w:tcPr>
            <w:tcW w:w="372"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47"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4180" w:type="pct"/>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w:t>
            </w:r>
            <w:r/>
          </w:p>
        </w:tc>
      </w:tr>
      <w:tr>
        <w:trPr>
          <w:jc w:val="center"/>
          <w:trHeight w:val="931"/>
        </w:trPr>
        <w:tc>
          <w:tcPr>
            <w:tcW w:w="372" w:type="pct"/>
            <w:vAlign w:val="center"/>
            <w:textDirection w:val="lrTb"/>
            <w:noWrap w:val="false"/>
          </w:tcPr>
          <w:p>
            <w:pPr>
              <w:ind w:firstLine="1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47"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洁</w:t>
            </w:r>
            <w:r/>
          </w:p>
        </w:tc>
        <w:tc>
          <w:tcPr>
            <w:tcW w:w="4180" w:type="pct"/>
            <w:vAlign w:val="center"/>
            <w:textDirection w:val="lrTb"/>
            <w:noWrap w:val="false"/>
          </w:tcPr>
          <w:p>
            <w:pPr>
              <w:numPr>
                <w:ilvl w:val="0"/>
                <w:numId w:val="15"/>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路灯变压器、计量箱、控制箱、灯杆等相关设施外观整洁，无积污、无破损、无严重锈蚀、无乱张贴、乱涂写、乱牵乱挂等影响市容的情况。</w:t>
            </w:r>
            <w:r/>
          </w:p>
          <w:p>
            <w:pPr>
              <w:numPr>
                <w:ilvl w:val="0"/>
                <w:numId w:val="15"/>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无未经批准设置的户外广告或其他悬挂物品。</w:t>
            </w:r>
            <w:r/>
          </w:p>
          <w:p>
            <w:pPr>
              <w:numPr>
                <w:ilvl w:val="0"/>
                <w:numId w:val="15"/>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灯具（含透光罩、反光器）、灯杆等应定期清洗。</w:t>
            </w:r>
            <w:r/>
          </w:p>
        </w:tc>
      </w:tr>
      <w:tr>
        <w:trPr>
          <w:jc w:val="center"/>
          <w:trHeight w:val="505"/>
        </w:trPr>
        <w:tc>
          <w:tcPr>
            <w:tcW w:w="372" w:type="pct"/>
            <w:vAlign w:val="center"/>
            <w:textDirection w:val="lrTb"/>
            <w:noWrap w:val="false"/>
          </w:tcPr>
          <w:p>
            <w:pPr>
              <w:ind w:firstLine="1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47"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        电        箱        （柜）     室</w:t>
            </w:r>
            <w:r/>
          </w:p>
        </w:tc>
        <w:tc>
          <w:tcPr>
            <w:tcW w:w="4180" w:type="pct"/>
            <w:vAlign w:val="center"/>
            <w:textDirection w:val="lrTb"/>
            <w:noWrap w:val="false"/>
          </w:tcPr>
          <w:p>
            <w:pPr>
              <w:ind w:left="458" w:hanging="42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配电室（箱）门窗清洁无破损，挂锁完好，室内整洁无异物，警告标志齐全，房屋无渗漏水现象。</w:t>
            </w:r>
            <w:r/>
          </w:p>
          <w:p>
            <w:pPr>
              <w:ind w:left="458" w:hanging="42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配电箱（柜）体保持完整无缺，不渗水、无积灰、无锈蚀，安装牢固；高压配电装置按电力系统要求定期进行巡修及实验。</w:t>
            </w:r>
            <w:r/>
          </w:p>
          <w:p>
            <w:pPr>
              <w:ind w:left="458" w:hanging="42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箱内电器安装整齐牢固、无积灰积垢、线路排列整齐。</w:t>
            </w:r>
            <w:r/>
          </w:p>
          <w:p>
            <w:pPr>
              <w:ind w:left="458" w:hanging="42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接触器、开关、熔断器等电器元件和导线，应绝缘良好，各零部件无变形缺损，运行正常，无异响。</w:t>
            </w:r>
            <w:r/>
          </w:p>
          <w:p>
            <w:pPr>
              <w:ind w:left="458" w:hanging="42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电器各触点、熔断器无烧热变色。</w:t>
            </w:r>
            <w:r/>
          </w:p>
          <w:p>
            <w:pPr>
              <w:ind w:left="458" w:hanging="42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配电柜仪表完好，指示正确，各部件联结紧固无松动。</w:t>
            </w:r>
            <w:r/>
          </w:p>
          <w:p>
            <w:pPr>
              <w:ind w:left="458" w:hanging="42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各路出线标志清楚，并有完整负荷分配图。</w:t>
            </w:r>
            <w:r/>
          </w:p>
          <w:p>
            <w:pPr>
              <w:ind w:left="458" w:hanging="42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室内配电柜及附属设施应符合消防安全规程要求。</w:t>
            </w:r>
            <w:r/>
          </w:p>
          <w:p>
            <w:pPr>
              <w:ind w:left="458" w:hanging="42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9、三相供电负荷应定期检测，不平衡度小于20％。</w:t>
            </w:r>
            <w:r/>
          </w:p>
          <w:p>
            <w:pPr>
              <w:ind w:left="458" w:hanging="42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10、箱柜接地电阻符合相关电气规定，接地电阻≤4欧。</w:t>
            </w:r>
            <w:r/>
          </w:p>
        </w:tc>
      </w:tr>
      <w:tr>
        <w:trPr>
          <w:jc w:val="center"/>
          <w:trHeight w:val="2282"/>
        </w:trPr>
        <w:tc>
          <w:tcPr>
            <w:tcW w:w="372" w:type="pct"/>
            <w:vAlign w:val="center"/>
            <w:textDirection w:val="lrTb"/>
            <w:noWrap w:val="false"/>
          </w:tcPr>
          <w:p>
            <w:pPr>
              <w:ind w:firstLine="1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47"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架        空         线        路</w:t>
            </w:r>
            <w:r/>
          </w:p>
        </w:tc>
        <w:tc>
          <w:tcPr>
            <w:tcW w:w="4180" w:type="pct"/>
            <w:vAlign w:val="center"/>
            <w:textDirection w:val="lrTb"/>
            <w:noWrap w:val="false"/>
          </w:tcPr>
          <w:p>
            <w:pPr>
              <w:numPr>
                <w:ilvl w:val="0"/>
                <w:numId w:val="16"/>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电杆不歪斜，横担平直。</w:t>
            </w:r>
            <w:r/>
          </w:p>
          <w:p>
            <w:pPr>
              <w:numPr>
                <w:ilvl w:val="0"/>
                <w:numId w:val="16"/>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导线弧垂符合规定，无断股。</w:t>
            </w:r>
            <w:r/>
          </w:p>
          <w:p>
            <w:pPr>
              <w:numPr>
                <w:ilvl w:val="0"/>
                <w:numId w:val="16"/>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瓷瓶完整无缺，无裂纹，瓷瓶绑线无松脱现象。</w:t>
            </w:r>
            <w:r/>
          </w:p>
          <w:p>
            <w:pPr>
              <w:numPr>
                <w:ilvl w:val="0"/>
                <w:numId w:val="16"/>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拉线无锈蚀，无松弛现象。</w:t>
            </w:r>
            <w:r/>
          </w:p>
          <w:p>
            <w:pPr>
              <w:numPr>
                <w:ilvl w:val="0"/>
                <w:numId w:val="16"/>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架空线路周围无影响线路正常运行的树木。</w:t>
            </w:r>
            <w:r/>
          </w:p>
          <w:p>
            <w:pPr>
              <w:numPr>
                <w:ilvl w:val="0"/>
                <w:numId w:val="16"/>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所有横担、瓷瓶、抱箍、拉线等紧固螺栓无松动和锈蚀现象。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7、混凝土杆身完整无裂缝、破损现象。</w:t>
            </w:r>
            <w:r/>
          </w:p>
        </w:tc>
      </w:tr>
      <w:tr>
        <w:trPr>
          <w:jc w:val="center"/>
          <w:trHeight w:val="2981"/>
        </w:trPr>
        <w:tc>
          <w:tcPr>
            <w:tcW w:w="372" w:type="pct"/>
            <w:vAlign w:val="center"/>
            <w:textDirection w:val="lrTb"/>
            <w:noWrap w:val="false"/>
          </w:tcPr>
          <w:p>
            <w:pPr>
              <w:ind w:firstLine="1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47"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缆        线         路</w:t>
            </w:r>
            <w:r/>
          </w:p>
        </w:tc>
        <w:tc>
          <w:tcPr>
            <w:tcW w:w="4180" w:type="pct"/>
            <w:vAlign w:val="center"/>
            <w:textDirection w:val="lrTb"/>
            <w:noWrap w:val="false"/>
          </w:tcPr>
          <w:p>
            <w:pPr>
              <w:numPr>
                <w:ilvl w:val="0"/>
                <w:numId w:val="17"/>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电缆线路（穿管地埋线路）的路面上应无开挖、新的建筑打桩、植树及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有可能腐蚀电缆的化学物品。</w:t>
            </w:r>
            <w:r/>
          </w:p>
          <w:p>
            <w:pPr>
              <w:numPr>
                <w:ilvl w:val="0"/>
                <w:numId w:val="17"/>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电缆未端电压应不低于额定电压的20%。</w:t>
            </w:r>
            <w:r/>
          </w:p>
          <w:p>
            <w:pPr>
              <w:numPr>
                <w:ilvl w:val="0"/>
                <w:numId w:val="17"/>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电缆线路在地上部分的钢带、保护管、固定设备无锈蚀，标桩完整无缺。</w:t>
            </w:r>
            <w:r/>
          </w:p>
          <w:p>
            <w:pPr>
              <w:numPr>
                <w:ilvl w:val="0"/>
                <w:numId w:val="17"/>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接头紧固螺母（压接管）无松动、发热现象，绝缘包带无老化开裂，钢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带接地良好。</w:t>
            </w:r>
            <w:r/>
          </w:p>
          <w:p>
            <w:pPr>
              <w:numPr>
                <w:ilvl w:val="0"/>
                <w:numId w:val="17"/>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分段的绝缘电阻不低于10兆欧。</w:t>
            </w:r>
            <w:r/>
          </w:p>
          <w:p>
            <w:pPr>
              <w:numPr>
                <w:ilvl w:val="0"/>
                <w:numId w:val="17"/>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灯箱座、人孔、手孔井内干净无异物，电缆标志牌齐全、字迹清楚。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7、巡视检查对有严重缺陷和损伤，并已无法处理的电缆（穿管导线）线路应分段或全部更新。</w:t>
            </w:r>
            <w:r/>
          </w:p>
        </w:tc>
      </w:tr>
      <w:tr>
        <w:trPr>
          <w:jc w:val="center"/>
          <w:trHeight w:val="2697"/>
        </w:trPr>
        <w:tc>
          <w:tcPr>
            <w:tcW w:w="372" w:type="pct"/>
            <w:vAlign w:val="center"/>
            <w:textDirection w:val="lrTb"/>
            <w:noWrap w:val="false"/>
          </w:tcPr>
          <w:p>
            <w:pPr>
              <w:ind w:firstLine="1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447"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照        明        器        具</w:t>
            </w:r>
            <w:r/>
          </w:p>
        </w:tc>
        <w:tc>
          <w:tcPr>
            <w:tcW w:w="4180" w:type="pct"/>
            <w:vAlign w:val="center"/>
            <w:textDirection w:val="lrTb"/>
            <w:noWrap w:val="false"/>
          </w:tcPr>
          <w:p>
            <w:pPr>
              <w:numPr>
                <w:ilvl w:val="0"/>
                <w:numId w:val="18"/>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灯具、灯架完好清洁、无断裂、脱焊及严重锈蚀，对严重影响照明安全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的器件应予整修更换。</w:t>
            </w:r>
            <w:r/>
          </w:p>
          <w:p>
            <w:pPr>
              <w:numPr>
                <w:ilvl w:val="0"/>
                <w:numId w:val="18"/>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灯具引下线和管内穿线绝缘良好，无破皮、绝缘开裂等现象，引下线中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间不能有接头。</w:t>
            </w:r>
            <w:r/>
          </w:p>
          <w:p>
            <w:pPr>
              <w:numPr>
                <w:ilvl w:val="0"/>
                <w:numId w:val="18"/>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透明罩或玻璃灯罩无破碎和长度大于50毫米的裂纹，无穿孔、缺边。</w:t>
            </w:r>
            <w:r/>
          </w:p>
          <w:p>
            <w:pPr>
              <w:numPr>
                <w:ilvl w:val="0"/>
                <w:numId w:val="18"/>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灯罩内反光器无变形断裂，保持光亮无积污。</w:t>
            </w:r>
            <w:r/>
          </w:p>
          <w:p>
            <w:pPr>
              <w:numPr>
                <w:ilvl w:val="0"/>
                <w:numId w:val="18"/>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悬臂灯架引下线瓷瓶、熔断器完整无缺，所有紧固螺母牢固无松动。</w:t>
            </w:r>
            <w:r/>
          </w:p>
          <w:p>
            <w:pPr>
              <w:numPr>
                <w:ilvl w:val="0"/>
                <w:numId w:val="18"/>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更换损坏的光源、电器元件应符合安装质量标准并与原设计规格一致。</w:t>
            </w:r>
            <w:r/>
          </w:p>
        </w:tc>
      </w:tr>
      <w:tr>
        <w:trPr>
          <w:jc w:val="center"/>
          <w:trHeight w:val="2679"/>
        </w:trPr>
        <w:tc>
          <w:tcPr>
            <w:tcW w:w="372" w:type="pct"/>
            <w:vAlign w:val="center"/>
            <w:textDirection w:val="lrTb"/>
            <w:noWrap w:val="false"/>
          </w:tcPr>
          <w:p>
            <w:pPr>
              <w:ind w:firstLine="1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447"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        杆        照        明</w:t>
            </w:r>
            <w:r/>
          </w:p>
        </w:tc>
        <w:tc>
          <w:tcPr>
            <w:tcW w:w="4180" w:type="pct"/>
            <w:vAlign w:val="center"/>
            <w:textDirection w:val="lrTb"/>
            <w:noWrap w:val="false"/>
          </w:tcPr>
          <w:p>
            <w:pPr>
              <w:numPr>
                <w:ilvl w:val="0"/>
                <w:numId w:val="19"/>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灯盘、灯具、透明罩、反光器等应符合照明器具维护要求。</w:t>
            </w:r>
            <w:r/>
          </w:p>
          <w:p>
            <w:pPr>
              <w:numPr>
                <w:ilvl w:val="0"/>
                <w:numId w:val="19"/>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传动机构钢丝绳无损伤、无锈蚀，接头无松动等现象，挂脱钩机构灵活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可靠无异常，灯盘连接牢固。</w:t>
            </w:r>
            <w:r/>
          </w:p>
          <w:p>
            <w:pPr>
              <w:numPr>
                <w:ilvl w:val="0"/>
                <w:numId w:val="19"/>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电动机、变速箱支架牢固可靠，变速箱无油质污染、缺油等情况，齿轮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无异常。</w:t>
            </w:r>
            <w:r/>
          </w:p>
          <w:p>
            <w:pPr>
              <w:numPr>
                <w:ilvl w:val="0"/>
                <w:numId w:val="19"/>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限位开关触点准确、控制电器触头无电蚀、接头接点完好无损。</w:t>
            </w:r>
            <w:r/>
          </w:p>
          <w:p>
            <w:pPr>
              <w:numPr>
                <w:ilvl w:val="0"/>
                <w:numId w:val="19"/>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导线应无受压、受夹、受损、老化等现象，各相工作电流正常。</w:t>
            </w:r>
            <w:r/>
          </w:p>
          <w:p>
            <w:pPr>
              <w:numPr>
                <w:ilvl w:val="0"/>
                <w:numId w:val="19"/>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灯杆、灯盘骨架无锈蚀，保护接地装置良好，接地电阻≤4欧。</w:t>
            </w:r>
            <w:r/>
          </w:p>
        </w:tc>
      </w:tr>
      <w:tr>
        <w:trPr>
          <w:jc w:val="center"/>
          <w:trHeight w:val="1611"/>
        </w:trPr>
        <w:tc>
          <w:tcPr>
            <w:tcW w:w="372" w:type="pct"/>
            <w:vAlign w:val="center"/>
            <w:textDirection w:val="lrTb"/>
            <w:noWrap w:val="false"/>
          </w:tcPr>
          <w:p>
            <w:pPr>
              <w:ind w:firstLine="1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447"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        用        灯        杆</w:t>
            </w:r>
            <w:r/>
          </w:p>
        </w:tc>
        <w:tc>
          <w:tcPr>
            <w:tcW w:w="4180" w:type="pct"/>
            <w:vAlign w:val="center"/>
            <w:textDirection w:val="lrTb"/>
            <w:noWrap w:val="false"/>
          </w:tcPr>
          <w:p>
            <w:pPr>
              <w:numPr>
                <w:ilvl w:val="0"/>
                <w:numId w:val="2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灯杆杆身倾斜不超过杆长1%。</w:t>
            </w:r>
            <w:r/>
          </w:p>
          <w:p>
            <w:pPr>
              <w:numPr>
                <w:ilvl w:val="0"/>
                <w:numId w:val="2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金属灯杆杆身无破损、锈蚀现象，喷塑无脱落，油漆杆无油漆剥落。</w:t>
            </w:r>
            <w:r/>
          </w:p>
          <w:p>
            <w:pPr>
              <w:numPr>
                <w:ilvl w:val="0"/>
                <w:numId w:val="2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灯杆基础周围土地坚实无松动凸筋。</w:t>
            </w:r>
            <w:r/>
          </w:p>
          <w:p>
            <w:pPr>
              <w:numPr>
                <w:ilvl w:val="0"/>
                <w:numId w:val="2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基础法兰螺栓无松动。</w:t>
            </w:r>
            <w:r/>
          </w:p>
          <w:p>
            <w:pPr>
              <w:numPr>
                <w:ilvl w:val="0"/>
                <w:numId w:val="2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金属灯杆保护接地良好，接地电阻≤4欧。</w:t>
            </w:r>
            <w:r/>
          </w:p>
        </w:tc>
      </w:tr>
      <w:tr>
        <w:trPr>
          <w:jc w:val="center"/>
          <w:trHeight w:val="1072"/>
        </w:trPr>
        <w:tc>
          <w:tcPr>
            <w:tcW w:w="372" w:type="pct"/>
            <w:vAlign w:val="center"/>
            <w:textDirection w:val="lrTb"/>
            <w:noWrap w:val="false"/>
          </w:tcPr>
          <w:p>
            <w:pPr>
              <w:ind w:firstLine="1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447"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三遥集控                及时控器       </w:t>
            </w:r>
            <w:r/>
          </w:p>
        </w:tc>
        <w:tc>
          <w:tcPr>
            <w:tcW w:w="4180"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“三遥”集控终端无擅自拆除、移位、调整线路等改变“三遥”集控终端数据信息的操作。</w:t>
            </w:r>
            <w:r/>
          </w:p>
        </w:tc>
      </w:tr>
      <w:tr>
        <w:trPr>
          <w:jc w:val="center"/>
          <w:trHeight w:val="1112"/>
        </w:trPr>
        <w:tc>
          <w:tcPr>
            <w:tcW w:w="372" w:type="pct"/>
            <w:vAlign w:val="center"/>
            <w:textDirection w:val="lrTb"/>
            <w:noWrap w:val="false"/>
          </w:tcPr>
          <w:p>
            <w:pPr>
              <w:ind w:firstLine="1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47"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安全保护           </w:t>
            </w:r>
            <w:r/>
          </w:p>
        </w:tc>
        <w:tc>
          <w:tcPr>
            <w:tcW w:w="4180" w:type="pct"/>
            <w:vAlign w:val="center"/>
            <w:textDirection w:val="lrTb"/>
            <w:noWrap w:val="false"/>
          </w:tcPr>
          <w:p>
            <w:pPr>
              <w:numPr>
                <w:ilvl w:val="0"/>
                <w:numId w:val="21"/>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保护接地线路连接可靠，无锈蚀。</w:t>
            </w:r>
            <w:r/>
          </w:p>
          <w:p>
            <w:pPr>
              <w:numPr>
                <w:ilvl w:val="0"/>
                <w:numId w:val="21"/>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接地电阻满足要求。</w:t>
            </w:r>
            <w:r/>
          </w:p>
          <w:p>
            <w:pPr>
              <w:numPr>
                <w:ilvl w:val="0"/>
                <w:numId w:val="21"/>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剩余电流动作保护器运行正常。</w:t>
            </w:r>
            <w:r/>
          </w:p>
        </w:tc>
      </w:tr>
      <w:tr>
        <w:trPr>
          <w:jc w:val="center"/>
          <w:trHeight w:val="872"/>
        </w:trPr>
        <w:tc>
          <w:tcPr>
            <w:tcW w:w="372" w:type="pct"/>
            <w:vAlign w:val="center"/>
            <w:textDirection w:val="lrTb"/>
            <w:noWrap w:val="false"/>
          </w:tcPr>
          <w:p>
            <w:pPr>
              <w:ind w:firstLine="1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447"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亮灯率</w:t>
            </w:r>
            <w:r/>
          </w:p>
        </w:tc>
        <w:tc>
          <w:tcPr>
            <w:tcW w:w="4180" w:type="pct"/>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亮灯率≥99%</w:t>
            </w:r>
            <w:r/>
          </w:p>
        </w:tc>
      </w:tr>
      <w:tr>
        <w:trPr>
          <w:jc w:val="center"/>
          <w:trHeight w:val="872"/>
        </w:trPr>
        <w:tc>
          <w:tcPr>
            <w:tcW w:w="372" w:type="pct"/>
            <w:vAlign w:val="center"/>
            <w:textDirection w:val="lrTb"/>
            <w:noWrap w:val="false"/>
          </w:tcPr>
          <w:p>
            <w:pPr>
              <w:ind w:firstLine="1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447"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完好率</w:t>
            </w:r>
            <w:r/>
          </w:p>
        </w:tc>
        <w:tc>
          <w:tcPr>
            <w:tcW w:w="4180" w:type="pct"/>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完好率≥95%</w:t>
            </w:r>
            <w:r/>
          </w:p>
        </w:tc>
      </w:tr>
    </w:tbl>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（九）纪律约束：</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有权对路灯照明设施进行改造工作，</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须配合</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工作，并对变更设施量继续承担养护责任；</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须确保路灯照明设施正常运行，确保现场维护人员的安全作业，“无论何种原因”，发生人身安全事故等重大责任事故，</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均承担全部责任。</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1、养护期内如遇部分路灯照明设施提升改造、大修等情况，</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有权单方面终止该改造部分的维护，维护费用扣除改造部分后再予以支付，</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不得因此终止履行该维护合同。</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2、文明施工：施工应注意保护建筑物及周围环境，以免造成损坏引起漏水、影响市容环境等情况；安装、维修结束后，做好现场卫生清洁工作。因不文明施工引起的后果由</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负全部责任。</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3、由于不可抗力造成的损失（不包含偷盗等人为因素）由</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提供材料，</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对已破坏设施进行原样恢复，并承担人工费用。</w:t>
      </w:r>
      <w:r/>
    </w:p>
    <w:p>
      <w:pPr>
        <w:contextualSpacing/>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4、具有22米或以上高空作业车1辆、14米及以上高空作业车1辆、2.5吨及以上（总质量：‌车辆自重+载重）的工程抢修车（卡车或皮卡均可）1辆，其他巡检车辆1辆（用于平时巡查照明设施）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投标人须</w:t>
      </w:r>
      <w:r>
        <w:rPr>
          <w:rFonts w:hint="eastAsia" w:ascii="宋体" w:hAnsi="宋体" w:cs="宋体"/>
          <w:color w:val="auto"/>
          <w:sz w:val="24"/>
          <w:szCs w:val="24"/>
          <w:highlight w:val="none"/>
        </w:rPr>
        <w:t xml:space="preserve">承诺在中标后一个月内安装GPS车辆定位系统交</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管理，相关费用由</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负责</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投标文件中提供承诺函并加盖投标人公章，否则视为无效投标。</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6、合同期内处理交通事故撞坏路灯设施，必须在接到</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或者12345、110通知后半小时内赶到事故现场处理，路灯设施撞坏事故赔偿费用按照采购方汇同物价局核价为准。</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7、合同期内</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需派人巡查设施完好情况，如发生交通事故等造成路灯设施损坏应及时上报</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，超出一周上报的视为</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巡查不力，所发生的费用由</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承担。</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四、</w:t>
      </w:r>
      <w:r>
        <w:rPr>
          <w:rFonts w:hint="eastAsia" w:ascii="宋体" w:hAnsi="宋体" w:cs="宋体"/>
          <w:b/>
          <w:color w:val="auto"/>
          <w:sz w:val="24"/>
          <w:highlight w:val="none"/>
        </w:rPr>
        <w:t xml:space="preserve">双方权利和义务</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A.采购人</w:t>
      </w:r>
      <w:r>
        <w:rPr>
          <w:rFonts w:hint="eastAsia" w:ascii="宋体" w:hAnsi="宋体" w:cs="宋体"/>
          <w:color w:val="auto"/>
          <w:sz w:val="24"/>
          <w:highlight w:val="none"/>
        </w:rPr>
        <w:t xml:space="preserve">：</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有权在服务范围内对</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的工作职责、工作任务、服务区域、服务标准提出具体要求。</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有权根据管护服务工作考核办法，对</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的工作业绩进行检查和考核，并根据考核结果支付或者扣减管护服务费用。</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有权对</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的日常服务工作进行监督和管理，如</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的管护人员不履行合同约定的服务内容，或者不服从</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合理的工作安排和监督管理的，视其情节轻重，</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有权要求</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对其采取批评教育、处分、撤换等措施，</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必须按</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要求处理。</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（四）法律、法规规定的其他权利和义务。</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B.</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根据有关法律、法规、规章、政策和本项目合同的规定在服务区域内开展公共照明设施管护活动，不得损害国家、集体及第三人的合法权益，不得获取不当利益。由此所产生的一切法律责任由</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承担。导致</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承担法律责任和经济责任的，</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可依法向</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追偿。</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根据</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要求选派思想品德好、纪律性和责任心强、业务水平过硬的公共照明设施管护人员，并对其进行岗前和岗中培训。</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按照相关法律法规对公共照明设施管护人员进行管理，向公共照明设施管护人员提供劳动和社会保险待遇，包括工资福利待遇、加班费、工伤、解除或者终止劳动关系经济补偿金、赔偿金等费用，为公共照明设施管护人员缴纳社会保险费和购买人身意外险，以及保障公共照明设施管护人员的休息权利等。</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保证其用工行为符合国家法律有关规定，</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与公共照明设施管护人员的任何劳动纠纷与</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无关。</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在服务区域内开展路灯照明设施管护活动时，应遵照执行</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制定的工作标准和路灯照明设施管护办法，自觉接受</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的管理、指导和监督。路灯照明设施管护人员须配备统一的工作服装和必要的交通、通信以及取证等设备。</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在路灯照明设施管护人员服务活动中，侵害第三人合法权益或者损害公共利益的，由</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承担所有的经济责任和法律责任，</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对此不承担任何责任。</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（六）法律、法规规定的其他权利和义务。</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（有未尽事项，由</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与</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另行协商解决。）</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六、合同履行期内，</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有下列行为的，</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有权单方终止合同：</w:t>
      </w:r>
      <w:r/>
    </w:p>
    <w:p>
      <w:pPr>
        <w:contextualSpacing/>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月度考核扣款超出中标价/12个月20%以上时</w:t>
      </w:r>
      <w:r>
        <w:rPr>
          <w:rFonts w:hint="eastAsia" w:ascii="宋体" w:hAnsi="宋体" w:cs="宋体"/>
          <w:color w:val="auto"/>
          <w:sz w:val="24"/>
          <w:highlight w:val="none"/>
          <w:lang w:eastAsia="zh-CN"/>
        </w:rPr>
        <w:t xml:space="preserve">；</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未提供合格服务，受到社会媒体曝光、群众投诉、上级部门考核批评等，经查证属实满三次的；</w:t>
      </w:r>
      <w:r/>
    </w:p>
    <w:p>
      <w:pPr>
        <w:contextualSpacing/>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3）亮灯率考连续两个月低于97%的</w:t>
      </w:r>
      <w:r>
        <w:rPr>
          <w:rFonts w:hint="eastAsia" w:ascii="宋体" w:hAnsi="宋体" w:cs="宋体"/>
          <w:color w:val="auto"/>
          <w:sz w:val="24"/>
          <w:highlight w:val="none"/>
          <w:lang w:eastAsia="zh-CN"/>
        </w:rPr>
        <w:t xml:space="preserve">；</w:t>
      </w:r>
      <w:r/>
    </w:p>
    <w:p>
      <w:pPr>
        <w:contextualSpacing/>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4）完好率核连续两个月低于93%的</w:t>
      </w:r>
      <w:r>
        <w:rPr>
          <w:rFonts w:hint="eastAsia" w:ascii="宋体" w:hAnsi="宋体" w:cs="宋体"/>
          <w:color w:val="auto"/>
          <w:sz w:val="24"/>
          <w:highlight w:val="none"/>
          <w:lang w:eastAsia="zh-CN"/>
        </w:rPr>
        <w:t xml:space="preserve">；</w:t>
      </w:r>
      <w:r/>
    </w:p>
    <w:p>
      <w:pPr>
        <w:contextualSpacing/>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将养护中发现和存在的问题以限期整改意见书形式通知维护单位，维护单位超过三周整改或不整改的</w:t>
      </w:r>
      <w:r>
        <w:rPr>
          <w:rFonts w:hint="eastAsia" w:ascii="宋体" w:hAnsi="宋体" w:cs="宋体"/>
          <w:color w:val="auto"/>
          <w:sz w:val="24"/>
          <w:highlight w:val="none"/>
          <w:lang w:eastAsia="zh-CN"/>
        </w:rPr>
        <w:t xml:space="preserve">；</w:t>
      </w:r>
      <w:r/>
    </w:p>
    <w:p>
      <w:pPr>
        <w:contextualSpacing/>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6）</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应按规定做好市里举办的各类国际国内及大型节庆活动保障，确保路灯照明设施正常运行。活动前一周维护单位应反复检查养护区域内设施，及时排除各类故障，要求亮灯情况、设施完好情况达到规定要求，活动当天应安排工作人员现场保障，在接到</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的书面通知后未响应的</w:t>
      </w:r>
      <w:r>
        <w:rPr>
          <w:rFonts w:hint="eastAsia" w:ascii="宋体" w:hAnsi="宋体" w:cs="宋体"/>
          <w:color w:val="auto"/>
          <w:sz w:val="24"/>
          <w:highlight w:val="none"/>
          <w:lang w:eastAsia="zh-CN"/>
        </w:rPr>
        <w:t xml:space="preserve">；</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7）其他严重不遵守约定事项或不服从管理的。</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验收标准：根据招标文件中的养护要求内容及考核标准由采购</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验收通过。</w:t>
      </w:r>
      <w:r/>
    </w:p>
    <w:p>
      <w:pPr>
        <w:contextualSpacing/>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五、其他要求</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cs="宋体"/>
          <w:color w:val="auto"/>
          <w:sz w:val="24"/>
          <w:highlight w:val="none"/>
          <w:u w:val="single"/>
          <w:lang w:val="en-US" w:eastAsia="zh-CN"/>
        </w:rPr>
        <w:t xml:space="preserve"> 100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、采用的主要技术规范</w:t>
      </w:r>
      <w:r/>
    </w:p>
    <w:p>
      <w:pPr>
        <w:contextualSpacing/>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1.本工程采用的主要技术规范</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本项目依据《GB50500-2013 建设工程工程量清单计价规范》、《江苏省建</w:t>
      </w:r>
      <w:r>
        <w:rPr>
          <w:rFonts w:hint="eastAsia" w:ascii="宋体" w:hAnsi="宋体" w:cs="宋体"/>
          <w:color w:val="auto"/>
          <w:sz w:val="24"/>
          <w:highlight w:val="none"/>
        </w:rPr>
        <w:t xml:space="preserve">筑与装饰工程计价表2014版》、《江苏省安装工程计价表2014版》、《江苏省建设工程费用定额2014版》、《江苏省市政工程计价定额》（2014版）等、常建（2014）279号文件【常州市关于贯彻《建设工程工程量清单计价规范》（GB50500-2013）等国家标准和省2014年建筑与装饰、安装、市政等专业工程计价定额及费用定额的通知】、苏建价(2014)448号文件【省住房城乡建设厅关于《建设工程工程量清单计价规范》（GB50500-2013）及其9本工程量计算规范的贯彻意见】、省住房城乡建设厅关于建筑业实施</w:t>
      </w:r>
      <w:r>
        <w:rPr>
          <w:rFonts w:hint="eastAsia" w:ascii="宋体" w:hAnsi="宋体" w:cs="宋体"/>
          <w:color w:val="auto"/>
          <w:sz w:val="24"/>
          <w:highlight w:val="none"/>
        </w:rPr>
        <w:t xml:space="preserve">营改增后江苏省建设工程计价依据调整的通知（苏建价[2016]154号）、关于转发《省住房城乡建设厅关于建筑业实施营改增后江苏省建设工程计价依据调整的通知》的通知（常建〔2016〕94号）、《江苏省房屋修缮工程计价表》（2014年）等规范、文件和要求进行计价；工程类别：建筑工程按三类工程，安装工程按三类工程，修缮工程按三类工程；人工费按施工当月政策性文件计算（其中装饰工程人工工资指导价取中计算）及工程施工期间政府相关政策性指导文件计取；材料价格采用施工期间常州市信息指导价（除税指导价），指导价中未包括的价格由</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提出，经采购人按市场价格确定。</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执行苏建价（2016）154号《省住房城乡建设厅关于建筑业实施营改增后江苏省建设工程计价依据调整的通知》和常建【2016】94号《关于转发《省住房城乡建设厅关于建筑业实施营改增后江苏省建设工程计价依据调整的通知》的通知》，本工程计价已按一般计税法计价。由于国家税收“营改增”实施，涉及影响工程造价的，请各供应商自行考虑</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风险。</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用于本工程的所有材料、设备必须符合有关规范、规定的质量要求。且所有材料及设备的品牌、规格型号、色号、产地、生产产家、参数、性能、价格等均须征求采购人同意。即</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对用于本工程的所有材料及设备的品牌、规格型号、色号、产地、生产产家、参数、性能、价格等负责。</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以上相关法规规范，若有更新，均以最新版为准。</w:t>
      </w:r>
      <w:r/>
    </w:p>
    <w:p>
      <w:pPr>
        <w:contextualSpacing/>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2.对材料的质量、试验及施工工艺的要求</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按国家、省、市现行文件和标准规定。</w:t>
      </w:r>
      <w:r/>
    </w:p>
    <w:p>
      <w:pPr>
        <w:numPr>
          <w:ilvl w:val="0"/>
          <w:numId w:val="0"/>
        </w:numPr>
        <w:ind w:right="21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u w:val="none"/>
          <w:lang w:eastAsia="zh-CN"/>
        </w:rPr>
        <w:outlineLvl w:val="9"/>
      </w:pPr>
      <w:r>
        <w:rPr>
          <w:rFonts w:hint="eastAsia" w:ascii="宋体" w:hAnsi="宋体" w:cs="宋体"/>
          <w:b/>
          <w:bCs/>
          <w:color w:val="auto"/>
          <w:sz w:val="24"/>
          <w:highlight w:val="none"/>
        </w:rPr>
        <w:t xml:space="preserve">3.按市现行文件和标准规定执行。</w:t>
      </w:r>
      <w:r/>
    </w:p>
    <w:p>
      <w:pPr>
        <w:numPr>
          <w:ilvl w:val="0"/>
          <w:numId w:val="0"/>
        </w:numPr>
        <w:ind w:right="210"/>
        <w:jc w:val="left"/>
        <w:keepLines w:val="0"/>
        <w:keepNext w:val="0"/>
        <w:pageBreakBefore w:val="0"/>
        <w:spacing w:line="360" w:lineRule="auto"/>
        <w:widowControl w:val="off"/>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、结算原则</w:t>
      </w:r>
      <w:r/>
    </w:p>
    <w:p>
      <w:pPr>
        <w:ind w:right="210" w:firstLine="48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本项目依据《GB50500-2013 建设工程工程量清单计价规范》、《江苏省建筑与装饰工程计价表2014版》</w:t>
      </w:r>
      <w:r>
        <w:rPr>
          <w:rFonts w:hint="eastAsia" w:ascii="宋体" w:hAnsi="宋体" w:cs="宋体"/>
          <w:color w:val="auto"/>
          <w:sz w:val="24"/>
          <w:highlight w:val="none"/>
        </w:rPr>
        <w:t xml:space="preserve">、《江苏省安装工程计价表2014版》、《江苏省建设工程费用定额2014版》、《江苏省市政工程计价定额》（2014版）等、常建（2014）279号文件【常州市关于贯彻《建设工程工程量清单计价规范》（GB50500-2013）等国家标准和省2014年建筑与装饰、安装、市政等专业工程计价定额及费用定额的通知】、苏建价(2014)448号文件【省住房城乡建设厅关于《建设工程工程量清单计价规范》（GB50500-2013）及其9本工程量计算规范的贯彻意见】、省住房城乡建设厅关于建筑业实施营改增后江苏省建设工程计价依据</w:t>
      </w:r>
      <w:r>
        <w:rPr>
          <w:rFonts w:hint="eastAsia" w:ascii="宋体" w:hAnsi="宋体" w:cs="宋体"/>
          <w:color w:val="auto"/>
          <w:sz w:val="24"/>
          <w:highlight w:val="none"/>
        </w:rPr>
        <w:t xml:space="preserve">调整的通知（苏建价[2016]154号）、关于转发《省住房城乡建设厅关于建筑业实施营改增后江苏省建设工程计价依据调整的通知》的通知（常建〔2016〕94号）、《江苏省房屋修缮工程计价表》（2014年）等规范、文件和要求进行计价；工程类别：建筑工程按三类工程，安装工程按三类工程，修缮工程按三类工程；计价表人工费按施工当月政策性文件计算（其中装饰工程人工工资指导价取中计算）及工程施工期间政府相关政策性指导文件计取；材料价格采用施工期间常州市信息指导价（除税指导价），指导价中未包括的价格由成交供应商提出，经采购人</w:t>
      </w:r>
      <w:r>
        <w:rPr>
          <w:rFonts w:hint="eastAsia" w:ascii="宋体" w:hAnsi="宋体" w:cs="宋体"/>
          <w:color w:val="auto"/>
          <w:sz w:val="24"/>
          <w:highlight w:val="none"/>
          <w:lang w:val="en-US" w:eastAsia="zh-CN"/>
        </w:rPr>
        <w:t xml:space="preserve">审核后</w:t>
      </w:r>
      <w:r>
        <w:rPr>
          <w:rFonts w:hint="eastAsia" w:ascii="宋体" w:hAnsi="宋体" w:cs="宋体"/>
          <w:color w:val="auto"/>
          <w:sz w:val="24"/>
          <w:highlight w:val="none"/>
        </w:rPr>
        <w:t xml:space="preserve">按市场价格确定。</w:t>
      </w:r>
      <w:r/>
    </w:p>
    <w:p>
      <w:pPr>
        <w:ind w:right="210" w:firstLine="48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项目执行苏建价（2016）154号《省住房城乡建设厅关于建筑业实施营改增后江苏省建设工程计价依据调整的通知》和常建【2016】94号《关于转发《省住房城乡建设厅关于建筑业实施营改增后江苏省建设工程计价依据调整的通知》的通知》，本工程计价已按一般计税法计价。由于国家税收“营改增”实施，涉及影响工程造价的，请各供应商自行考虑风险。</w:t>
      </w:r>
      <w:r/>
    </w:p>
    <w:p>
      <w:pPr>
        <w:ind w:right="210" w:firstLine="48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工程材料、机械、设备使用费按照施工期间信息指导价的平均价计算（无信息指导价的由双方协商确认）；人工工资按施工当月政策性文件计算，其中装饰工程人工工资指导价取中计算。</w:t>
      </w:r>
      <w:r/>
    </w:p>
    <w:p>
      <w:pPr>
        <w:ind w:right="210" w:firstLine="480"/>
        <w:jc w:val="left"/>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套用定额的部分，经第三方审定后，进行结算，结算价=审定价*（1-中标优惠率）。</w:t>
      </w:r>
      <w:r/>
    </w:p>
    <w:p>
      <w:pPr>
        <w:ind w:right="210" w:firstLine="482"/>
        <w:jc w:val="left"/>
        <w:keepLines w:val="0"/>
        <w:keepNext w:val="0"/>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不能套取定额的部分，价格由采购人、审计、</w:t>
      </w:r>
      <w:r>
        <w:rPr>
          <w:rFonts w:hint="eastAsia" w:ascii="宋体" w:hAnsi="宋体" w:cs="宋体"/>
          <w:b/>
          <w:bCs/>
          <w:color w:val="auto"/>
          <w:sz w:val="24"/>
          <w:highlight w:val="none"/>
          <w:lang w:val="en-US" w:eastAsia="zh-CN"/>
        </w:rPr>
        <w:t xml:space="preserve">中标人</w:t>
      </w:r>
      <w:r>
        <w:rPr>
          <w:rFonts w:hint="eastAsia" w:ascii="宋体" w:hAnsi="宋体" w:cs="宋体"/>
          <w:b/>
          <w:bCs/>
          <w:color w:val="auto"/>
          <w:sz w:val="24"/>
          <w:highlight w:val="none"/>
        </w:rPr>
        <w:t xml:space="preserve">三方确认后，进行结算。</w:t>
      </w:r>
      <w:r/>
    </w:p>
    <w:p>
      <w:pPr>
        <w:ind w:right="210"/>
        <w:jc w:val="left"/>
        <w:keepLines w:val="0"/>
        <w:keepNext w:val="0"/>
        <w:pageBreakBefore w:val="0"/>
        <w:spacing w:line="360" w:lineRule="auto"/>
        <w:widowControl w:val="off"/>
        <w:rPr>
          <w:rFonts w:hint="eastAsia" w:ascii="宋体" w:hAnsi="宋体" w:eastAsia="宋体" w:cs="宋体"/>
          <w:b/>
          <w:color w:val="auto"/>
          <w:sz w:val="24"/>
          <w:szCs w:val="24"/>
          <w:highlight w:val="none"/>
          <w:u w:val="none"/>
        </w:rPr>
      </w:pPr>
      <w:r>
        <w:rPr>
          <w:rFonts w:hint="eastAsia" w:ascii="宋体" w:hAnsi="宋体" w:cs="宋体"/>
          <w:b/>
          <w:color w:val="auto"/>
          <w:sz w:val="24"/>
          <w:szCs w:val="24"/>
          <w:highlight w:val="none"/>
          <w:u w:val="none"/>
          <w:lang w:val="en-US" w:eastAsia="zh-CN"/>
        </w:rPr>
        <w:t xml:space="preserve">八</w:t>
      </w:r>
      <w:r>
        <w:rPr>
          <w:rFonts w:hint="eastAsia" w:ascii="宋体" w:hAnsi="宋体" w:eastAsia="宋体" w:cs="宋体"/>
          <w:b/>
          <w:color w:val="auto"/>
          <w:sz w:val="24"/>
          <w:szCs w:val="24"/>
          <w:highlight w:val="none"/>
          <w:u w:val="none"/>
        </w:rPr>
        <w:t xml:space="preserve">、报价方式</w:t>
      </w:r>
      <w:r/>
    </w:p>
    <w:p>
      <w:pPr>
        <w:ind w:firstLine="488"/>
        <w:keepLines w:val="0"/>
        <w:keepNext w:val="0"/>
        <w:pageBreakBefore w:val="0"/>
        <w:spacing w:line="360" w:lineRule="auto"/>
        <w:shd w:val="clear" w:color="auto" w:fill="auto"/>
        <w:widowControl w:val="off"/>
        <w:rPr>
          <w:rFonts w:hint="eastAsia" w:ascii="宋体" w:hAnsi="宋体" w:eastAsia="宋体" w:cs="宋体"/>
          <w:color w:val="auto"/>
          <w:spacing w:val="2"/>
          <w:sz w:val="24"/>
          <w:szCs w:val="24"/>
          <w:highlight w:val="none"/>
          <w:u w:val="none"/>
        </w:rPr>
      </w:pPr>
      <w:r>
        <w:rPr>
          <w:rFonts w:hint="eastAsia" w:ascii="宋体" w:hAnsi="宋体" w:eastAsia="宋体" w:cs="宋体"/>
          <w:color w:val="auto"/>
          <w:spacing w:val="2"/>
          <w:sz w:val="24"/>
          <w:szCs w:val="24"/>
          <w:highlight w:val="none"/>
          <w:u w:val="none"/>
        </w:rPr>
        <w:t xml:space="preserve">本项目报价为</w:t>
      </w:r>
      <w:r>
        <w:rPr>
          <w:rFonts w:hint="eastAsia" w:ascii="宋体" w:hAnsi="宋体" w:eastAsia="宋体" w:cs="宋体"/>
          <w:b/>
          <w:bCs/>
          <w:color w:val="auto"/>
          <w:spacing w:val="2"/>
          <w:sz w:val="24"/>
          <w:szCs w:val="24"/>
          <w:highlight w:val="none"/>
          <w:u w:val="none"/>
        </w:rPr>
        <w:t xml:space="preserve">固定</w:t>
      </w:r>
      <w:r>
        <w:rPr>
          <w:rFonts w:hint="eastAsia" w:ascii="宋体" w:hAnsi="宋体" w:eastAsia="宋体" w:cs="宋体"/>
          <w:b/>
          <w:bCs/>
          <w:color w:val="auto"/>
          <w:sz w:val="24"/>
          <w:szCs w:val="24"/>
          <w:highlight w:val="none"/>
          <w:lang w:val="en-US" w:eastAsia="zh-CN"/>
        </w:rPr>
        <w:t xml:space="preserve">优惠率</w:t>
      </w:r>
      <w:r>
        <w:rPr>
          <w:rFonts w:hint="eastAsia" w:ascii="宋体" w:hAnsi="宋体" w:eastAsia="宋体" w:cs="宋体"/>
          <w:color w:val="auto"/>
          <w:spacing w:val="2"/>
          <w:sz w:val="24"/>
          <w:szCs w:val="24"/>
          <w:highlight w:val="none"/>
          <w:u w:val="none"/>
        </w:rPr>
        <w:t xml:space="preserve">，</w:t>
      </w:r>
      <w:r>
        <w:rPr>
          <w:rFonts w:hint="eastAsia" w:ascii="宋体" w:hAnsi="宋体" w:eastAsia="宋体" w:cs="宋体"/>
          <w:color w:val="auto"/>
          <w:spacing w:val="2"/>
          <w:sz w:val="24"/>
          <w:szCs w:val="24"/>
          <w:highlight w:val="none"/>
          <w:u w:val="none"/>
          <w:lang w:val="en-US" w:eastAsia="zh-CN"/>
        </w:rPr>
        <w:t xml:space="preserve">投标报价</w:t>
      </w:r>
      <w:r>
        <w:rPr>
          <w:rFonts w:hint="eastAsia" w:ascii="宋体" w:hAnsi="宋体" w:eastAsia="宋体" w:cs="宋体"/>
          <w:color w:val="auto"/>
          <w:spacing w:val="2"/>
          <w:sz w:val="24"/>
          <w:szCs w:val="24"/>
          <w:highlight w:val="none"/>
          <w:u w:val="none"/>
        </w:rPr>
        <w:t xml:space="preserve">应包括</w:t>
      </w:r>
      <w:r>
        <w:rPr>
          <w:rFonts w:hint="eastAsia" w:ascii="宋体" w:hAnsi="宋体" w:eastAsia="宋体" w:cs="宋体"/>
          <w:color w:val="auto"/>
          <w:spacing w:val="2"/>
          <w:sz w:val="24"/>
          <w:szCs w:val="24"/>
          <w:highlight w:val="none"/>
          <w:u w:val="none"/>
          <w:lang w:eastAsia="zh-CN"/>
        </w:rPr>
        <w:t xml:space="preserve">招标文件</w:t>
      </w:r>
      <w:r>
        <w:rPr>
          <w:rFonts w:hint="eastAsia" w:ascii="宋体" w:hAnsi="宋体" w:eastAsia="宋体" w:cs="宋体"/>
          <w:color w:val="auto"/>
          <w:spacing w:val="2"/>
          <w:sz w:val="24"/>
          <w:szCs w:val="24"/>
          <w:highlight w:val="none"/>
          <w:u w:val="none"/>
        </w:rPr>
        <w:t xml:space="preserve">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cs="宋体"/>
          <w:color w:val="auto"/>
          <w:spacing w:val="2"/>
          <w:sz w:val="24"/>
          <w:szCs w:val="24"/>
          <w:highlight w:val="none"/>
          <w:u w:val="none"/>
          <w:lang w:eastAsia="zh-CN"/>
        </w:rPr>
        <w:t xml:space="preserve">采购人</w:t>
      </w:r>
      <w:r>
        <w:rPr>
          <w:rFonts w:hint="eastAsia" w:ascii="宋体" w:hAnsi="宋体" w:eastAsia="宋体" w:cs="宋体"/>
          <w:color w:val="auto"/>
          <w:spacing w:val="2"/>
          <w:sz w:val="24"/>
          <w:szCs w:val="24"/>
          <w:highlight w:val="none"/>
          <w:u w:val="none"/>
        </w:rPr>
        <w:t xml:space="preserve">不再支付其他任何费用。</w:t>
      </w:r>
      <w:r/>
    </w:p>
    <w:p>
      <w:pPr>
        <w:ind w:firstLine="488"/>
        <w:keepLines w:val="0"/>
        <w:keepNext w:val="0"/>
        <w:pageBreakBefore w:val="0"/>
        <w:spacing w:line="360" w:lineRule="auto"/>
        <w:widowControl w:val="off"/>
        <w:rPr>
          <w:rFonts w:hint="eastAsia" w:ascii="宋体" w:hAnsi="宋体" w:eastAsia="宋体" w:cs="宋体"/>
          <w:color w:val="auto"/>
          <w:spacing w:val="2"/>
          <w:sz w:val="24"/>
          <w:szCs w:val="24"/>
          <w:highlight w:val="none"/>
          <w:u w:val="none"/>
        </w:rPr>
      </w:pPr>
      <w:r>
        <w:rPr>
          <w:rFonts w:hint="eastAsia" w:ascii="宋体" w:hAnsi="宋体" w:eastAsia="宋体" w:cs="宋体"/>
          <w:color w:val="auto"/>
          <w:spacing w:val="2"/>
          <w:sz w:val="24"/>
          <w:szCs w:val="24"/>
          <w:highlight w:val="none"/>
          <w:u w:val="none"/>
        </w:rPr>
        <w:t xml:space="preserve">报价货币为人民币，评审时以人民币为准。</w:t>
      </w:r>
      <w:r/>
    </w:p>
    <w:p>
      <w:pPr>
        <w:rPr>
          <w:b/>
          <w:color w:val="auto"/>
          <w:sz w:val="36"/>
          <w:szCs w:val="36"/>
          <w:highlight w:val="none"/>
        </w:rPr>
      </w:pPr>
      <w:r/>
      <w:bookmarkStart w:id="813" w:name="_Toc13366"/>
      <w:r/>
      <w:bookmarkStart w:id="814" w:name="_Toc99301425"/>
      <w:r>
        <w:rPr>
          <w:b/>
          <w:color w:val="auto"/>
          <w:sz w:val="36"/>
          <w:szCs w:val="36"/>
          <w:highlight w:val="none"/>
        </w:rPr>
        <w:br w:type="page" w:clear="all"/>
      </w:r>
      <w:r/>
    </w:p>
    <w:p>
      <w:pPr>
        <w:jc w:val="center"/>
        <w:spacing w:line="360" w:lineRule="auto"/>
        <w:rPr>
          <w:b/>
          <w:color w:val="auto"/>
          <w:sz w:val="36"/>
          <w:szCs w:val="36"/>
          <w:highlight w:val="none"/>
        </w:rPr>
        <w:outlineLvl w:val="0"/>
      </w:pPr>
      <w:r>
        <w:rPr>
          <w:b/>
          <w:color w:val="auto"/>
          <w:sz w:val="36"/>
          <w:szCs w:val="36"/>
          <w:highlight w:val="none"/>
        </w:rPr>
        <w:t xml:space="preserve">第六章   拟签订的合同文本</w:t>
      </w:r>
      <w:bookmarkEnd w:id="813"/>
      <w:r/>
      <w:bookmarkEnd w:id="814"/>
      <w:r/>
      <w:r/>
    </w:p>
    <w:p>
      <w:pPr>
        <w:pStyle w:val="1293"/>
        <w:spacing w:line="360" w:lineRule="auto"/>
        <w:rPr>
          <w:rFonts w:hAnsi="宋体" w:cs="宋体"/>
          <w:color w:val="auto"/>
          <w:sz w:val="24"/>
          <w:szCs w:val="24"/>
          <w:highlight w:val="none"/>
        </w:rPr>
      </w:pPr>
      <w:r/>
      <w:bookmarkStart w:id="815" w:name="_Toc18832"/>
      <w:r/>
      <w:bookmarkStart w:id="816" w:name="_Toc99301426"/>
      <w:r>
        <w:rPr>
          <w:rFonts w:hAnsi="宋体" w:cs="宋体"/>
          <w:b/>
          <w:color w:val="auto"/>
          <w:sz w:val="24"/>
          <w:szCs w:val="24"/>
          <w:highlight w:val="none"/>
          <w:lang w:val="zh-CN"/>
        </w:rPr>
        <w:t xml:space="preserve">采购人（以下称甲</w:t>
      </w:r>
      <w:r>
        <w:rPr>
          <w:rFonts w:hAnsi="宋体" w:cs="宋体"/>
          <w:b/>
          <w:color w:val="auto"/>
          <w:sz w:val="24"/>
          <w:szCs w:val="24"/>
          <w:highlight w:val="none"/>
        </w:rPr>
        <w:t xml:space="preserve">方）:                       </w:t>
      </w:r>
      <w:r>
        <w:rPr>
          <w:rFonts w:hAnsi="宋体" w:cs="宋体"/>
          <w:color w:val="auto"/>
          <w:sz w:val="24"/>
          <w:szCs w:val="24"/>
          <w:highlight w:val="none"/>
        </w:rPr>
        <w:t xml:space="preserve">合同编号：</w:t>
      </w:r>
      <w:r/>
    </w:p>
    <w:p>
      <w:pPr>
        <w:pStyle w:val="1293"/>
        <w:spacing w:line="360" w:lineRule="auto"/>
        <w:rPr>
          <w:rFonts w:hAnsi="宋体" w:cs="宋体"/>
          <w:color w:val="auto"/>
          <w:sz w:val="24"/>
          <w:szCs w:val="24"/>
          <w:highlight w:val="none"/>
          <w:u w:val="single"/>
        </w:rPr>
      </w:pPr>
      <w:r>
        <w:rPr>
          <w:rFonts w:hint="eastAsia" w:hAnsi="宋体" w:cs="宋体"/>
          <w:b/>
          <w:color w:val="auto"/>
          <w:sz w:val="24"/>
          <w:szCs w:val="24"/>
          <w:highlight w:val="none"/>
          <w:lang w:val="en-US" w:eastAsia="zh-CN"/>
        </w:rPr>
        <w:t xml:space="preserve">中标人</w:t>
      </w:r>
      <w:r>
        <w:rPr>
          <w:rFonts w:hAnsi="宋体" w:cs="宋体"/>
          <w:b/>
          <w:color w:val="auto"/>
          <w:sz w:val="24"/>
          <w:szCs w:val="24"/>
          <w:highlight w:val="none"/>
        </w:rPr>
        <w:t xml:space="preserve">（</w:t>
      </w:r>
      <w:r>
        <w:rPr>
          <w:rFonts w:hAnsi="宋体" w:cs="宋体"/>
          <w:b/>
          <w:color w:val="auto"/>
          <w:sz w:val="24"/>
          <w:szCs w:val="24"/>
          <w:highlight w:val="none"/>
          <w:lang w:val="zh-CN"/>
        </w:rPr>
        <w:t xml:space="preserve">以下称</w:t>
      </w:r>
      <w:r>
        <w:rPr>
          <w:rFonts w:hAnsi="宋体" w:cs="宋体"/>
          <w:b/>
          <w:color w:val="auto"/>
          <w:sz w:val="24"/>
          <w:szCs w:val="24"/>
          <w:highlight w:val="none"/>
        </w:rPr>
        <w:t xml:space="preserve">乙方）:                       </w:t>
      </w:r>
      <w:r>
        <w:rPr>
          <w:rFonts w:hAnsi="宋体" w:cs="宋体"/>
          <w:color w:val="auto"/>
          <w:sz w:val="24"/>
          <w:szCs w:val="24"/>
          <w:highlight w:val="none"/>
        </w:rPr>
        <w:t xml:space="preserve">签订地点：</w:t>
      </w:r>
      <w:r/>
    </w:p>
    <w:p>
      <w:pPr>
        <w:pStyle w:val="1280"/>
        <w:jc w:val="right"/>
        <w:spacing w:line="360" w:lineRule="auto"/>
        <w:rPr>
          <w:rFonts w:hint="eastAsia" w:hAnsi="宋体" w:cs="宋体"/>
          <w:b/>
          <w:color w:val="auto"/>
          <w:highlight w:val="none"/>
        </w:rPr>
      </w:pPr>
      <w:r>
        <w:rPr>
          <w:rFonts w:hint="eastAsia" w:hAnsi="宋体" w:cs="宋体"/>
          <w:color w:val="auto"/>
          <w:highlight w:val="none"/>
        </w:rPr>
        <w:t xml:space="preserve">合同时间: </w:t>
      </w:r>
      <w:r>
        <w:rPr>
          <w:rFonts w:hint="eastAsia" w:hAnsi="宋体" w:cs="宋体"/>
          <w:color w:val="auto"/>
          <w:highlight w:val="none"/>
          <w:u w:val="single"/>
        </w:rPr>
        <w:t xml:space="preserve">    年   月   日</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甲乙双方依据《中华人民共和国民法典》以及有关法律、法规的规定，经协商一致，订立本合同，以便共同遵守。</w:t>
      </w:r>
      <w:r/>
    </w:p>
    <w:p>
      <w:pPr>
        <w:pStyle w:val="1293"/>
        <w:spacing w:line="360" w:lineRule="auto"/>
        <w:rPr>
          <w:rFonts w:hAnsi="宋体" w:cs="宋体"/>
          <w:b/>
          <w:bCs/>
          <w:color w:val="auto"/>
          <w:sz w:val="24"/>
          <w:szCs w:val="24"/>
          <w:highlight w:val="none"/>
        </w:rPr>
      </w:pPr>
      <w:r>
        <w:rPr>
          <w:rFonts w:hAnsi="宋体" w:cs="宋体"/>
          <w:b/>
          <w:bCs/>
          <w:color w:val="auto"/>
          <w:sz w:val="24"/>
          <w:szCs w:val="24"/>
          <w:highlight w:val="none"/>
        </w:rPr>
        <w:t xml:space="preserve">第1条  工程概况</w:t>
      </w:r>
      <w:r/>
    </w:p>
    <w:p>
      <w:pPr>
        <w:pStyle w:val="1293"/>
        <w:ind w:firstLine="484"/>
        <w:spacing w:line="360" w:lineRule="auto"/>
        <w:rPr>
          <w:rFonts w:hint="default" w:hAnsi="宋体" w:cs="宋体"/>
          <w:color w:val="auto"/>
          <w:sz w:val="24"/>
          <w:szCs w:val="24"/>
          <w:highlight w:val="none"/>
        </w:rPr>
      </w:pPr>
      <w:r>
        <w:rPr>
          <w:rFonts w:hAnsi="宋体" w:cs="宋体"/>
          <w:color w:val="auto"/>
          <w:sz w:val="24"/>
          <w:szCs w:val="24"/>
          <w:highlight w:val="none"/>
        </w:rPr>
        <w:t xml:space="preserve">1.项目名称：</w:t>
      </w:r>
      <w:r>
        <w:rPr>
          <w:rFonts w:hAnsi="宋体" w:cs="宋体"/>
          <w:color w:val="auto"/>
          <w:sz w:val="24"/>
          <w:szCs w:val="24"/>
          <w:highlight w:val="none"/>
          <w:u w:val="single"/>
        </w:rPr>
        <w:t xml:space="preserve"> </w:t>
      </w:r>
      <w:r>
        <w:rPr>
          <w:rFonts w:hint="eastAsia" w:hAnsi="宋体" w:cs="宋体"/>
          <w:color w:val="auto"/>
          <w:sz w:val="24"/>
          <w:szCs w:val="24"/>
          <w:highlight w:val="none"/>
          <w:u w:val="single"/>
          <w:lang w:eastAsia="zh-CN"/>
        </w:rPr>
        <w:t xml:space="preserve">遥观镇路灯管养维保项目</w:t>
      </w:r>
      <w:r>
        <w:rPr>
          <w:rFonts w:hAnsi="宋体" w:cs="宋体"/>
          <w:color w:val="auto"/>
          <w:sz w:val="24"/>
          <w:szCs w:val="24"/>
          <w:highlight w:val="none"/>
          <w:u w:val="single"/>
        </w:rPr>
        <w:t xml:space="preserve"> </w:t>
      </w:r>
      <w:r/>
    </w:p>
    <w:p>
      <w:pPr>
        <w:pStyle w:val="1293"/>
        <w:ind w:firstLine="484"/>
        <w:spacing w:line="360" w:lineRule="auto"/>
        <w:rPr>
          <w:rFonts w:hint="default" w:hAnsi="宋体" w:cs="宋体"/>
          <w:color w:val="auto"/>
          <w:sz w:val="24"/>
          <w:szCs w:val="24"/>
          <w:highlight w:val="none"/>
        </w:rPr>
      </w:pPr>
      <w:r>
        <w:rPr>
          <w:rFonts w:hAnsi="宋体" w:cs="宋体"/>
          <w:color w:val="auto"/>
          <w:sz w:val="24"/>
          <w:szCs w:val="24"/>
          <w:highlight w:val="none"/>
        </w:rPr>
        <w:t xml:space="preserve">2.项目地点：</w:t>
      </w:r>
      <w:r>
        <w:rPr>
          <w:rFonts w:hAnsi="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rPr>
          <w:rFonts w:hAnsi="宋体" w:cs="宋体"/>
          <w:color w:val="auto"/>
          <w:sz w:val="24"/>
          <w:szCs w:val="24"/>
          <w:highlight w:val="none"/>
          <w:u w:val="single"/>
        </w:rPr>
        <w:t xml:space="preserve"> </w:t>
      </w:r>
      <w:r/>
    </w:p>
    <w:p>
      <w:pPr>
        <w:pStyle w:val="1293"/>
        <w:ind w:firstLine="484"/>
        <w:spacing w:line="360" w:lineRule="auto"/>
        <w:rPr>
          <w:rFonts w:hint="eastAsia" w:hAnsi="宋体" w:eastAsia="宋体" w:cs="宋体"/>
          <w:color w:val="auto"/>
          <w:sz w:val="24"/>
          <w:szCs w:val="24"/>
          <w:highlight w:val="none"/>
          <w:lang w:val="en-US" w:eastAsia="zh-CN"/>
        </w:rPr>
      </w:pPr>
      <w:r>
        <w:rPr>
          <w:rFonts w:hAnsi="宋体" w:cs="宋体"/>
          <w:color w:val="auto"/>
          <w:sz w:val="24"/>
          <w:szCs w:val="24"/>
          <w:highlight w:val="none"/>
        </w:rPr>
        <w:t xml:space="preserve">3.承包范围：</w:t>
      </w:r>
      <w:r>
        <w:rPr>
          <w:rFonts w:hAnsi="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rPr>
          <w:rFonts w:hAnsi="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p>
    <w:p>
      <w:pPr>
        <w:pStyle w:val="1293"/>
        <w:ind w:firstLine="484"/>
        <w:spacing w:line="360" w:lineRule="auto"/>
        <w:rPr>
          <w:rFonts w:hint="default" w:hAnsi="宋体" w:cs="宋体"/>
          <w:color w:val="auto"/>
          <w:sz w:val="24"/>
          <w:szCs w:val="24"/>
          <w:highlight w:val="none"/>
        </w:rPr>
      </w:pPr>
      <w:r>
        <w:rPr>
          <w:rFonts w:hAnsi="宋体" w:cs="宋体"/>
          <w:color w:val="auto"/>
          <w:sz w:val="24"/>
          <w:szCs w:val="24"/>
          <w:highlight w:val="none"/>
        </w:rPr>
        <w:t xml:space="preserve">4.承包方式:</w:t>
      </w:r>
      <w:r>
        <w:rPr>
          <w:rFonts w:hAnsi="宋体" w:cs="宋体"/>
          <w:color w:val="auto"/>
          <w:sz w:val="24"/>
          <w:szCs w:val="24"/>
          <w:highlight w:val="none"/>
          <w:u w:val="single"/>
        </w:rPr>
        <w:t xml:space="preserve"> 包工包料 </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5.服务期限</w:t>
      </w:r>
      <w:r>
        <w:rPr>
          <w:rFonts w:hint="eastAsia" w:hAnsi="宋体" w:cs="宋体"/>
          <w:color w:val="auto"/>
          <w:sz w:val="24"/>
          <w:highlight w:val="none"/>
        </w:rPr>
        <w:t xml:space="preserve">：</w:t>
      </w:r>
      <w:r>
        <w:rPr>
          <w:rFonts w:hint="eastAsia" w:hAnsi="宋体" w:cs="宋体"/>
          <w:color w:val="auto"/>
          <w:sz w:val="24"/>
          <w:highlight w:val="none"/>
          <w:u w:val="single"/>
        </w:rPr>
        <w:t xml:space="preserve"> </w:t>
      </w:r>
      <w:r>
        <w:rPr>
          <w:rFonts w:hint="eastAsia" w:hAnsi="宋体" w:cs="宋体"/>
          <w:color w:val="auto"/>
          <w:sz w:val="24"/>
          <w:highlight w:val="none"/>
          <w:u w:val="single"/>
          <w:lang w:val="en-US" w:eastAsia="zh-CN"/>
        </w:rPr>
        <w:t xml:space="preserve">1年</w:t>
      </w:r>
      <w:r>
        <w:rPr>
          <w:rFonts w:hint="eastAsia" w:ascii="宋体" w:hAnsi="宋体" w:cs="宋体"/>
          <w:bCs/>
          <w:color w:val="auto"/>
          <w:sz w:val="24"/>
          <w:highlight w:val="none"/>
          <w:u w:val="single"/>
        </w:rPr>
        <w:t xml:space="preserve">。</w:t>
      </w:r>
      <w:r/>
    </w:p>
    <w:p>
      <w:pPr>
        <w:pStyle w:val="1293"/>
        <w:ind w:firstLine="484"/>
        <w:spacing w:line="360" w:lineRule="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6.质保期</w:t>
      </w:r>
      <w:r>
        <w:rPr>
          <w:rFonts w:hint="eastAsia" w:hAnsi="宋体" w:cs="宋体"/>
          <w:color w:val="auto"/>
          <w:sz w:val="24"/>
          <w:highlight w:val="none"/>
        </w:rPr>
        <w:t xml:space="preserve">：</w:t>
      </w:r>
      <w:r>
        <w:rPr>
          <w:rFonts w:hint="eastAsia" w:hAnsi="宋体" w:cs="宋体"/>
          <w:color w:val="auto"/>
          <w:sz w:val="24"/>
          <w:highlight w:val="none"/>
          <w:u w:val="single"/>
        </w:rPr>
        <w:t xml:space="preserve"> </w:t>
      </w:r>
      <w:r>
        <w:rPr>
          <w:rFonts w:hint="eastAsia" w:hAnsi="宋体" w:cs="宋体"/>
          <w:color w:val="auto"/>
          <w:sz w:val="24"/>
          <w:highlight w:val="none"/>
          <w:u w:val="single"/>
          <w:lang w:val="en-US" w:eastAsia="zh-CN"/>
        </w:rPr>
        <w:t xml:space="preserve">2年</w:t>
      </w:r>
      <w:r>
        <w:rPr>
          <w:rFonts w:hint="eastAsia" w:ascii="宋体" w:hAnsi="宋体" w:cs="宋体"/>
          <w:bCs/>
          <w:color w:val="auto"/>
          <w:sz w:val="24"/>
          <w:highlight w:val="none"/>
          <w:u w:val="single"/>
        </w:rPr>
        <w:t xml:space="preserve">。</w:t>
      </w:r>
      <w:r/>
    </w:p>
    <w:p>
      <w:pPr>
        <w:pStyle w:val="1293"/>
        <w:ind w:firstLine="484"/>
        <w:spacing w:line="360" w:lineRule="auto"/>
        <w:rPr>
          <w:rFonts w:hAnsi="宋体" w:cs="宋体"/>
          <w:color w:val="auto"/>
          <w:sz w:val="24"/>
          <w:szCs w:val="24"/>
          <w:highlight w:val="none"/>
        </w:rPr>
      </w:pPr>
      <w:r>
        <w:rPr>
          <w:rFonts w:hint="eastAsia" w:hAnsi="宋体" w:cs="宋体"/>
          <w:color w:val="auto"/>
          <w:sz w:val="24"/>
          <w:szCs w:val="24"/>
          <w:highlight w:val="none"/>
          <w:lang w:val="en-US" w:eastAsia="zh-CN"/>
        </w:rPr>
        <w:t xml:space="preserve">7</w:t>
      </w:r>
      <w:r>
        <w:rPr>
          <w:rFonts w:hAnsi="宋体" w:cs="宋体"/>
          <w:color w:val="auto"/>
          <w:sz w:val="24"/>
          <w:szCs w:val="24"/>
          <w:highlight w:val="none"/>
        </w:rPr>
        <w:t xml:space="preserve">.项目质量：</w:t>
      </w:r>
      <w:r>
        <w:rPr>
          <w:rFonts w:hAnsi="宋体" w:cs="宋体"/>
          <w:color w:val="auto"/>
          <w:sz w:val="24"/>
          <w:szCs w:val="24"/>
          <w:highlight w:val="none"/>
          <w:u w:val="single"/>
        </w:rPr>
        <w:t xml:space="preserve"> 按国家相关验收标准，一次性验收合格。 </w:t>
      </w:r>
      <w:r/>
    </w:p>
    <w:p>
      <w:pPr>
        <w:pStyle w:val="1293"/>
        <w:ind w:firstLine="484"/>
        <w:spacing w:line="360" w:lineRule="auto"/>
        <w:rPr>
          <w:rFonts w:hint="default" w:hAnsi="宋体" w:cs="宋体"/>
          <w:color w:val="auto"/>
          <w:sz w:val="24"/>
          <w:szCs w:val="24"/>
          <w:highlight w:val="none"/>
        </w:rPr>
      </w:pPr>
      <w:r>
        <w:rPr>
          <w:rFonts w:hint="eastAsia" w:hAnsi="宋体" w:cs="宋体"/>
          <w:color w:val="auto"/>
          <w:sz w:val="24"/>
          <w:szCs w:val="24"/>
          <w:highlight w:val="none"/>
          <w:lang w:val="en-US" w:eastAsia="zh-CN"/>
        </w:rPr>
        <w:t xml:space="preserve">8</w:t>
      </w:r>
      <w:r>
        <w:rPr>
          <w:rFonts w:hAnsi="宋体" w:cs="宋体"/>
          <w:color w:val="auto"/>
          <w:sz w:val="24"/>
          <w:szCs w:val="24"/>
          <w:highlight w:val="none"/>
        </w:rPr>
        <w:t xml:space="preserve">.合同价款:</w:t>
      </w:r>
      <w:r>
        <w:rPr>
          <w:rFonts w:hAnsi="宋体" w:cs="宋体"/>
          <w:color w:val="auto"/>
          <w:sz w:val="24"/>
          <w:szCs w:val="24"/>
          <w:highlight w:val="none"/>
          <w:u w:val="single"/>
        </w:rPr>
        <w:t xml:space="preserve"> </w:t>
      </w:r>
      <w:r>
        <w:rPr>
          <w:rFonts w:hint="eastAsia" w:hAnsi="宋体" w:cs="宋体"/>
          <w:color w:val="auto"/>
          <w:sz w:val="24"/>
          <w:szCs w:val="24"/>
          <w:highlight w:val="none"/>
          <w:u w:val="single"/>
          <w:lang w:eastAsia="zh-CN"/>
        </w:rPr>
        <w:t xml:space="preserve">优惠率</w:t>
      </w:r>
      <w:r>
        <w:rPr>
          <w:rFonts w:hAnsi="宋体" w:cs="宋体"/>
          <w:color w:val="auto"/>
          <w:sz w:val="24"/>
          <w:szCs w:val="24"/>
          <w:highlight w:val="none"/>
          <w:u w:val="single"/>
        </w:rPr>
        <w:t xml:space="preserve">      % </w:t>
      </w:r>
      <w:r/>
    </w:p>
    <w:p>
      <w:pPr>
        <w:pStyle w:val="1293"/>
        <w:spacing w:line="360" w:lineRule="auto"/>
        <w:rPr>
          <w:rFonts w:hAnsi="宋体" w:cs="宋体"/>
          <w:b/>
          <w:bCs/>
          <w:color w:val="auto"/>
          <w:sz w:val="24"/>
          <w:szCs w:val="24"/>
          <w:highlight w:val="none"/>
        </w:rPr>
      </w:pPr>
      <w:r>
        <w:rPr>
          <w:rFonts w:hAnsi="宋体" w:cs="宋体"/>
          <w:b/>
          <w:bCs/>
          <w:color w:val="auto"/>
          <w:sz w:val="24"/>
          <w:szCs w:val="24"/>
          <w:highlight w:val="none"/>
        </w:rPr>
        <w:t xml:space="preserve">第2条  甲方工作</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1.开工前向乙方提供相关资料或向乙方进行现场交底。向乙方提供施工所需的水、电、气及电讯等设备，并说明使用注意事项。办理施工所涉及的各种申请、批件等手续。</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2.指派各部门相关人员为各自部门的代表，负责合同履行。对工程质量、进度进行监督检查，办理验收、变更、登记手续和其他事宜。</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3.如确实需要拆改原建筑物结构或设备管线，负责到有关部门办理相应审批手续。</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4.协调有关部门做好现场保卫、消防等工作。</w:t>
      </w:r>
      <w:r/>
    </w:p>
    <w:p>
      <w:pPr>
        <w:pStyle w:val="1293"/>
        <w:ind w:firstLine="484"/>
        <w:spacing w:line="360" w:lineRule="auto"/>
        <w:rPr>
          <w:rFonts w:hint="default" w:hAnsi="宋体" w:cs="宋体"/>
          <w:color w:val="auto"/>
          <w:sz w:val="24"/>
          <w:szCs w:val="24"/>
          <w:highlight w:val="none"/>
        </w:rPr>
      </w:pPr>
      <w:r>
        <w:rPr>
          <w:rFonts w:hAnsi="宋体" w:cs="宋体"/>
          <w:color w:val="auto"/>
          <w:sz w:val="24"/>
          <w:szCs w:val="24"/>
          <w:highlight w:val="none"/>
        </w:rPr>
        <w:t xml:space="preserve">5.在合同期间，甲方有权根据维修任务量大小、质量维修情况的及时性、特殊情况来进行相应调整。</w:t>
      </w:r>
      <w:r/>
    </w:p>
    <w:p>
      <w:pPr>
        <w:pStyle w:val="1293"/>
        <w:spacing w:line="360" w:lineRule="auto"/>
        <w:rPr>
          <w:rFonts w:hAnsi="宋体" w:cs="宋体"/>
          <w:b/>
          <w:bCs/>
          <w:color w:val="auto"/>
          <w:sz w:val="24"/>
          <w:szCs w:val="24"/>
          <w:highlight w:val="none"/>
        </w:rPr>
      </w:pPr>
      <w:r>
        <w:rPr>
          <w:rFonts w:hAnsi="宋体" w:cs="宋体"/>
          <w:b/>
          <w:bCs/>
          <w:color w:val="auto"/>
          <w:sz w:val="24"/>
          <w:szCs w:val="24"/>
          <w:highlight w:val="none"/>
        </w:rPr>
        <w:t xml:space="preserve">第3条  乙方工作</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1.参加甲方组织的施工图纸或作法说明的现场交底，拟定施工方案和进度计划，交甲方审定。按照甲方要求的工作程序进行工作。</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2.指派</w:t>
      </w:r>
      <w:r>
        <w:rPr>
          <w:rFonts w:hAnsi="宋体" w:cs="宋体"/>
          <w:color w:val="auto"/>
          <w:sz w:val="24"/>
          <w:szCs w:val="24"/>
          <w:highlight w:val="none"/>
          <w:u w:val="single"/>
        </w:rPr>
        <w:t xml:space="preserve">      </w:t>
      </w:r>
      <w:r>
        <w:rPr>
          <w:rFonts w:hAnsi="宋体" w:cs="宋体"/>
          <w:color w:val="auto"/>
          <w:sz w:val="24"/>
          <w:szCs w:val="24"/>
          <w:highlight w:val="none"/>
        </w:rPr>
        <w:t xml:space="preserve">为乙方驻工地代表，负责合同履行。按要求组织施工，保质、保量、按期完成施工任务，解决由乙方负责的各项事宜。</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3.严格执行施工规范、安全操作规程、防火安全规定。严格按照图纸或作法说明进行施工，做好各项质量检查记录。参加竣工验收，编制工程结算。</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4.服从甲方合理合法管理，按甲方要求，配合做好施工进度、施工质量监管及材料进场验收（不限于以上内容）等一切与施工有关的监管工作。</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5.遵守国家或地方政府及有关部门对施工现场管理的规定，妥善保护好施工现场周围建筑物、设备管线、古树名木不受损坏。做好施工现场保卫和垃圾清理等工作，处理好由于施工带来的扰民问题及与周围单位（居民）的关系。</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6.施工中未经甲方同意或有关部门批准，不得随便拆改原建筑物结构及各种设备管线。</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7.工程竣工未移交甲方之前，负责对现场的一切设施和工程成品进行保护。</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8.乙方无条件接受甲方根据维修任务量大小、质量维修情况的及时性、特殊情况进行的相应调整。</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9.乙方更换甲方认为需要更换的维修材料。</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10.乙方在规定时限内安排实施甲方下达的抢修任务。</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11.乙方在要求时限内完成甲方安排的突击整治等工作。</w:t>
      </w:r>
      <w:r/>
    </w:p>
    <w:p>
      <w:pPr>
        <w:pStyle w:val="1293"/>
        <w:ind w:firstLine="484"/>
        <w:spacing w:line="360" w:lineRule="auto"/>
        <w:rPr>
          <w:rFonts w:hint="default" w:hAnsi="宋体" w:cs="宋体"/>
          <w:color w:val="auto"/>
          <w:sz w:val="24"/>
          <w:szCs w:val="24"/>
          <w:highlight w:val="none"/>
        </w:rPr>
      </w:pPr>
      <w:r>
        <w:rPr>
          <w:rFonts w:hAnsi="宋体" w:cs="宋体"/>
          <w:color w:val="auto"/>
          <w:sz w:val="24"/>
          <w:szCs w:val="24"/>
          <w:highlight w:val="none"/>
        </w:rPr>
        <w:t xml:space="preserve">12.</w:t>
      </w:r>
      <w:r>
        <w:rPr>
          <w:rFonts w:hint="default" w:hAnsi="宋体" w:cs="宋体"/>
          <w:color w:val="auto"/>
          <w:sz w:val="24"/>
          <w:szCs w:val="24"/>
          <w:highlight w:val="none"/>
        </w:rPr>
        <w:t xml:space="preserve">乙方无条件服从甲方根据上级要求适时调整维修期限。</w:t>
      </w:r>
      <w:r/>
    </w:p>
    <w:p>
      <w:pPr>
        <w:pStyle w:val="1293"/>
        <w:spacing w:line="360" w:lineRule="auto"/>
        <w:rPr>
          <w:rFonts w:hAnsi="宋体" w:cs="宋体"/>
          <w:b/>
          <w:bCs/>
          <w:color w:val="auto"/>
          <w:sz w:val="24"/>
          <w:szCs w:val="24"/>
          <w:highlight w:val="none"/>
        </w:rPr>
      </w:pPr>
      <w:r>
        <w:rPr>
          <w:rFonts w:hAnsi="宋体" w:cs="宋体"/>
          <w:b/>
          <w:bCs/>
          <w:color w:val="auto"/>
          <w:sz w:val="24"/>
          <w:szCs w:val="24"/>
          <w:highlight w:val="none"/>
        </w:rPr>
        <w:t xml:space="preserve">第4条  关于工期的约定</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1.因甲方未按约定完成工作，影响工期，工期顺延。</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2.因乙方责任，不能按期开工或中途无故停工，影响工期，工期不得顺延。</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3.因变更或非乙方原因造成的停电、停水、停气及不可抗力因素，导致停工8小时以上（一周内累计计算），工期相应顺延。</w:t>
      </w:r>
      <w:r/>
    </w:p>
    <w:p>
      <w:pPr>
        <w:pStyle w:val="1293"/>
        <w:spacing w:line="360" w:lineRule="auto"/>
        <w:rPr>
          <w:rFonts w:hAnsi="宋体" w:cs="宋体"/>
          <w:b/>
          <w:bCs/>
          <w:color w:val="auto"/>
          <w:sz w:val="24"/>
          <w:szCs w:val="24"/>
          <w:highlight w:val="none"/>
        </w:rPr>
      </w:pPr>
      <w:r>
        <w:rPr>
          <w:rFonts w:hAnsi="宋体" w:cs="宋体"/>
          <w:b/>
          <w:bCs/>
          <w:color w:val="auto"/>
          <w:sz w:val="24"/>
          <w:szCs w:val="24"/>
          <w:highlight w:val="none"/>
        </w:rPr>
        <w:t xml:space="preserve">第5条  关于工程质量及验收的约定</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1.本工程以施工图纸、作法说明、变更和《建筑工程施工质量验收统一标准》（GB50300——2013）、《建筑装饰装修工程施工质量验收规范》（GB50210——2011）等国家制订的施工及验收规范为质量评定验收标准。</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2.本工程质量应达到国家质量评定</w:t>
      </w:r>
      <w:r>
        <w:rPr>
          <w:rFonts w:hAnsi="宋体" w:cs="宋体"/>
          <w:color w:val="auto"/>
          <w:sz w:val="24"/>
          <w:szCs w:val="24"/>
          <w:highlight w:val="none"/>
          <w:u w:val="single"/>
        </w:rPr>
        <w:t xml:space="preserve">  合格  </w:t>
      </w:r>
      <w:r>
        <w:rPr>
          <w:rFonts w:hAnsi="宋体" w:cs="宋体"/>
          <w:color w:val="auto"/>
          <w:sz w:val="24"/>
          <w:szCs w:val="24"/>
          <w:highlight w:val="none"/>
        </w:rPr>
        <w:t xml:space="preserve">标准。</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3.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4.乙方负责采购的材料，应严格按</w:t>
      </w:r>
      <w:r>
        <w:rPr>
          <w:rFonts w:hint="eastAsia" w:hAnsi="宋体" w:cs="宋体"/>
          <w:color w:val="auto"/>
          <w:sz w:val="24"/>
          <w:szCs w:val="24"/>
          <w:highlight w:val="none"/>
          <w:lang w:eastAsia="zh-CN"/>
        </w:rPr>
        <w:t xml:space="preserve">招标文件</w:t>
      </w:r>
      <w:r>
        <w:rPr>
          <w:rFonts w:hAnsi="宋体" w:cs="宋体"/>
          <w:color w:val="auto"/>
          <w:sz w:val="24"/>
          <w:szCs w:val="24"/>
          <w:highlight w:val="none"/>
        </w:rPr>
        <w:t xml:space="preserve">要求采购,并提供产品合格证明,对材料质量负责。乙方采购的材料在使用前,应按照甲方或监理的要求进行检验或试验,不合格的不得使用,检验或试验费用由乙方承担。</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5.由于乙方原因造成质量事故，其损失及费用由乙方承担，工期不顺延。</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6.工程竣工后，乙方应通知甲方验收，甲方自接到验收通知日内组织验收，并办理验收、移交手续。如甲方在规定时间内未能组织验收，需及时通知乙方，另定验收日期。</w:t>
      </w:r>
      <w:r/>
    </w:p>
    <w:p>
      <w:pPr>
        <w:pStyle w:val="1293"/>
        <w:spacing w:line="360" w:lineRule="auto"/>
        <w:rPr>
          <w:rFonts w:hAnsi="宋体" w:cs="宋体"/>
          <w:b/>
          <w:bCs/>
          <w:color w:val="auto"/>
          <w:sz w:val="24"/>
          <w:szCs w:val="24"/>
          <w:highlight w:val="none"/>
        </w:rPr>
      </w:pPr>
      <w:r>
        <w:rPr>
          <w:rFonts w:hAnsi="宋体" w:cs="宋体"/>
          <w:b/>
          <w:bCs/>
          <w:color w:val="auto"/>
          <w:sz w:val="24"/>
          <w:szCs w:val="24"/>
          <w:highlight w:val="none"/>
        </w:rPr>
        <w:t xml:space="preserve">第6条  关于工程价款及结算的约定</w:t>
      </w:r>
      <w:r/>
    </w:p>
    <w:p>
      <w:pPr>
        <w:pStyle w:val="1293"/>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1.本项目依据《GB50500-2013 建设工程工程量清单计价规范》、《江苏省建筑与装</w:t>
      </w:r>
      <w:r>
        <w:rPr>
          <w:rFonts w:hint="eastAsia" w:ascii="宋体" w:hAnsi="宋体" w:cs="宋体"/>
          <w:color w:val="auto"/>
          <w:sz w:val="24"/>
          <w:highlight w:val="none"/>
        </w:rPr>
        <w:t xml:space="preserve">饰工程计价表2014版》、《江苏省安装工程计价表2014版》、《江苏省建设工程费用定额2014版》、《江苏省市政工程计价定额》（2014版）等、常建（2014）279号文件【常州市关于贯彻《建设工程工程量清单计价规范》（GB50500-2013）等国家标准和省2014年建筑与装饰、安装、市政等专业工程计价定额及费用定额的通知】、苏建价(2014)448号文件【省住房城乡建设厅关于《建设工程工程量清单计价规范》（GB50500-2013）及其9本工程量计算规范的贯彻意见】、省住房城乡建设厅关于建筑业实施营改增</w:t>
      </w:r>
      <w:r>
        <w:rPr>
          <w:rFonts w:hint="eastAsia" w:ascii="宋体" w:hAnsi="宋体" w:cs="宋体"/>
          <w:color w:val="auto"/>
          <w:sz w:val="24"/>
          <w:highlight w:val="none"/>
        </w:rPr>
        <w:t xml:space="preserve">后江苏省建设工程计价依据调整的通知（苏建价[2016]154号）、关于转发《省住房城乡建设厅关于建筑业实施营改增后江苏省建设工程计价依据调整的通知》的通知（常建〔2016〕94号）、《江苏省房屋修缮工程计价表》（2014年）等规范、文件和要求进行计价；工程类别：建筑工程按三类工程，安装工程按三类工程，修缮工程按三类工程；计价表人工费按施工当月政策性文件计算（其中装饰工程人工工资指导价取中计算）及工程施工期间政府相关政策性指导文件计取；材料价格采用施工期间常州市信息指导价（除税指导价），指导价中未包括的价格由</w:t>
      </w:r>
      <w:r>
        <w:rPr>
          <w:rFonts w:hint="eastAsia" w:hAnsi="宋体" w:cs="宋体"/>
          <w:color w:val="auto"/>
          <w:sz w:val="24"/>
          <w:highlight w:val="none"/>
          <w:lang w:val="en-US" w:eastAsia="zh-CN"/>
        </w:rPr>
        <w:t xml:space="preserve">乙方</w:t>
      </w:r>
      <w:r>
        <w:rPr>
          <w:rFonts w:hint="eastAsia" w:ascii="宋体" w:hAnsi="宋体" w:cs="宋体"/>
          <w:color w:val="auto"/>
          <w:sz w:val="24"/>
          <w:highlight w:val="none"/>
        </w:rPr>
        <w:t xml:space="preserve">提出，经</w:t>
      </w:r>
      <w:r>
        <w:rPr>
          <w:rFonts w:hint="eastAsia" w:hAnsi="宋体" w:cs="宋体"/>
          <w:color w:val="auto"/>
          <w:sz w:val="24"/>
          <w:highlight w:val="none"/>
          <w:lang w:val="en-US" w:eastAsia="zh-CN"/>
        </w:rPr>
        <w:t xml:space="preserve">甲方</w:t>
      </w:r>
      <w:r>
        <w:rPr>
          <w:rFonts w:hint="eastAsia" w:ascii="宋体" w:hAnsi="宋体" w:cs="宋体"/>
          <w:color w:val="auto"/>
          <w:sz w:val="24"/>
          <w:highlight w:val="none"/>
          <w:lang w:val="en-US" w:eastAsia="zh-CN"/>
        </w:rPr>
        <w:t xml:space="preserve">审核后</w:t>
      </w:r>
      <w:r>
        <w:rPr>
          <w:rFonts w:hint="eastAsia" w:ascii="宋体" w:hAnsi="宋体" w:cs="宋体"/>
          <w:color w:val="auto"/>
          <w:sz w:val="24"/>
          <w:highlight w:val="none"/>
        </w:rPr>
        <w:t xml:space="preserve">按市场价格确定。</w:t>
      </w:r>
      <w:r/>
    </w:p>
    <w:p>
      <w:pPr>
        <w:pStyle w:val="1293"/>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执行苏建价（2016）154号《省住房城乡建设厅关于建筑业实施营改增后江苏省建设工程计价依据调整的通知》和常建【2016】94号《关于转发《省住房城乡建设厅关于建筑业实施营改增后江苏省建设工程计价依据调整的通知》的通知》，本工程计价已按一般计税法计价。由于国家税收“营改增”实施，涉及影响工程造价的，请各供应商自行考虑风险。</w:t>
      </w:r>
      <w:r/>
    </w:p>
    <w:p>
      <w:pPr>
        <w:pStyle w:val="1293"/>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工程材料、机械、设备使用费按照施工期间信息指导价的平均价计算（无信息指导价的由双方协商确认）；人工工资按施工当月政策性文件计算，其中装饰工程人工工资指导价取中计算。</w:t>
      </w:r>
      <w:r/>
    </w:p>
    <w:p>
      <w:pPr>
        <w:pStyle w:val="1293"/>
        <w:ind w:firstLine="487"/>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套用定额的部分，经第三方审定后，进行结算，结算价=审定价*（1-中标优惠率）。</w:t>
      </w:r>
      <w:r/>
    </w:p>
    <w:p>
      <w:pPr>
        <w:pStyle w:val="1293"/>
        <w:ind w:firstLine="487"/>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不能套取定额的部分，价格由甲方、审计、乙方三方确认后，进行结算。</w:t>
      </w:r>
      <w:r/>
    </w:p>
    <w:p>
      <w:pPr>
        <w:pStyle w:val="1293"/>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2.本合同生效后，按以下约定支付工程款：</w:t>
      </w:r>
      <w:r>
        <w:rPr>
          <w:rFonts w:hint="eastAsia" w:ascii="宋体" w:hAnsi="宋体" w:cs="宋体"/>
          <w:b/>
          <w:bCs/>
          <w:color w:val="auto"/>
          <w:sz w:val="24"/>
          <w:highlight w:val="none"/>
        </w:rPr>
        <w:t xml:space="preserve">竣工验收完成结算审计后付至审定价的80%；验收合格之日起贰年后付审定价的20%。</w:t>
      </w:r>
      <w:r/>
    </w:p>
    <w:p>
      <w:pPr>
        <w:pStyle w:val="1293"/>
        <w:ind w:firstLine="484"/>
        <w:spacing w:line="360" w:lineRule="auto"/>
        <w:rPr>
          <w:rFonts w:hAnsi="宋体" w:cs="宋体"/>
          <w:color w:val="auto"/>
          <w:sz w:val="24"/>
          <w:szCs w:val="24"/>
          <w:highlight w:val="none"/>
        </w:rPr>
      </w:pPr>
      <w:r>
        <w:rPr>
          <w:rFonts w:hint="eastAsia" w:ascii="宋体" w:hAnsi="宋体" w:cs="宋体"/>
          <w:color w:val="auto"/>
          <w:sz w:val="24"/>
          <w:highlight w:val="none"/>
        </w:rPr>
        <w:t xml:space="preserve">3.工程竣工验收后，乙方提出工程结算并将有关资料送交甲方。由甲方将相关的工程结算资料报相关业务处，实施工程结算审计，并作为最终决算的依据。</w:t>
      </w:r>
      <w:r/>
    </w:p>
    <w:p>
      <w:pPr>
        <w:pStyle w:val="1293"/>
        <w:spacing w:line="360" w:lineRule="auto"/>
        <w:rPr>
          <w:rFonts w:hAnsi="宋体" w:cs="宋体"/>
          <w:b/>
          <w:bCs/>
          <w:color w:val="auto"/>
          <w:sz w:val="24"/>
          <w:szCs w:val="24"/>
          <w:highlight w:val="none"/>
        </w:rPr>
      </w:pPr>
      <w:r>
        <w:rPr>
          <w:rFonts w:hAnsi="宋体" w:cs="宋体"/>
          <w:b/>
          <w:bCs/>
          <w:color w:val="auto"/>
          <w:sz w:val="24"/>
          <w:szCs w:val="24"/>
          <w:highlight w:val="none"/>
        </w:rPr>
        <w:t xml:space="preserve">第7条  关于材料供应的约定</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1.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由于乙方保管不当造成损失，由乙方负责赔偿。</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2.凡由乙方采购的材料、设备，如不符合质量要求或规格差异，应禁止使用。若已使用，对工程造成的损失由乙方负责。</w:t>
      </w:r>
      <w:r/>
    </w:p>
    <w:p>
      <w:pPr>
        <w:pStyle w:val="1293"/>
        <w:spacing w:line="360" w:lineRule="auto"/>
        <w:rPr>
          <w:rFonts w:hAnsi="宋体" w:cs="宋体"/>
          <w:b/>
          <w:bCs/>
          <w:color w:val="auto"/>
          <w:sz w:val="24"/>
          <w:szCs w:val="24"/>
          <w:highlight w:val="none"/>
        </w:rPr>
      </w:pPr>
      <w:r>
        <w:rPr>
          <w:rFonts w:hAnsi="宋体" w:cs="宋体"/>
          <w:b/>
          <w:bCs/>
          <w:color w:val="auto"/>
          <w:sz w:val="24"/>
          <w:szCs w:val="24"/>
          <w:highlight w:val="none"/>
        </w:rPr>
        <w:t xml:space="preserve">第8条  有关安全生产和防火的约定</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1.甲方提供的施工图纸或作法说明，应符合《中华人民共和国消防条例》和有关防火设计规范。</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2.乙方在施工期间应严格遵守《建筑安装工程安全技术规程》、《建筑安装工人安全操作规程》、《中华人民共和国消防条例》和其他相关的法规、规范。</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3.由于乙方在施工生产过程中违反有关安全操作规程、消防条例，导致发生安全或火灾事故，乙方应承担由此引发的一切经济损失。</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4.安全、文明施工</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（1）执行国家有关安全施工的规定，建立健全安全保证体系。</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（2）对施工操作人员进行安全教育，使施工人员对所使用的材料性能及安全措施有较全面的了解，并在操作中严格执行劳动保护制度。</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（3）高空作业时，必须佩带安全帽，系好安全绳，禁止酒后作业。</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（4）施工范围应做到工完、料尽、场地清。</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（5）建立完善的施工现场安全组织结构，明确岗位、职责，在施工中出现的一切安全事故，由乙方自行解决，并承担由此产生的一切责任。</w:t>
      </w:r>
      <w:r/>
    </w:p>
    <w:p>
      <w:pPr>
        <w:pStyle w:val="1293"/>
        <w:spacing w:line="360" w:lineRule="auto"/>
        <w:rPr>
          <w:rFonts w:hAnsi="宋体" w:cs="宋体"/>
          <w:b/>
          <w:bCs/>
          <w:color w:val="auto"/>
          <w:sz w:val="24"/>
          <w:szCs w:val="24"/>
          <w:highlight w:val="none"/>
        </w:rPr>
      </w:pPr>
      <w:r>
        <w:rPr>
          <w:rFonts w:hAnsi="宋体" w:cs="宋体"/>
          <w:b/>
          <w:bCs/>
          <w:color w:val="auto"/>
          <w:sz w:val="24"/>
          <w:szCs w:val="24"/>
          <w:highlight w:val="none"/>
        </w:rPr>
        <w:t xml:space="preserve">第9条  奖励和违约责任</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1.施工过程中甲方将对乙方采购使用的材料进行抽检，如检验结果材料不合格，严禁使用，检验或试验费用由乙方承担。未经甲方批准，乙方擅自使用品牌、规格、技术参数等与</w:t>
      </w:r>
      <w:r>
        <w:rPr>
          <w:rFonts w:hint="eastAsia" w:hAnsi="宋体" w:cs="宋体"/>
          <w:color w:val="auto"/>
          <w:sz w:val="24"/>
          <w:szCs w:val="24"/>
          <w:highlight w:val="none"/>
          <w:lang w:eastAsia="zh-CN"/>
        </w:rPr>
        <w:t xml:space="preserve">甲方</w:t>
      </w:r>
      <w:r>
        <w:rPr>
          <w:rFonts w:hAnsi="宋体" w:cs="宋体"/>
          <w:color w:val="auto"/>
          <w:sz w:val="24"/>
          <w:szCs w:val="24"/>
          <w:highlight w:val="none"/>
        </w:rPr>
        <w:t xml:space="preserve">要求不相符的材料，该材料所涉及的分项目将不予验收结算；并做返工处理。</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2.由于甲方原因导致延期开工或中途停工，工期顺延。</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3.由于乙方原因，逾期竣工，每逾期一天，乙方支付甲方</w:t>
      </w:r>
      <w:r>
        <w:rPr>
          <w:rFonts w:hAnsi="宋体" w:cs="宋体"/>
          <w:color w:val="auto"/>
          <w:sz w:val="24"/>
          <w:szCs w:val="24"/>
          <w:highlight w:val="none"/>
          <w:u w:val="single"/>
        </w:rPr>
        <w:t xml:space="preserve">     </w:t>
      </w:r>
      <w:r>
        <w:rPr>
          <w:rFonts w:hAnsi="宋体" w:cs="宋体"/>
          <w:color w:val="auto"/>
          <w:sz w:val="24"/>
          <w:szCs w:val="24"/>
          <w:highlight w:val="none"/>
        </w:rPr>
        <w:t xml:space="preserve">元滞纳金，第8天起每天支付</w:t>
      </w:r>
      <w:r>
        <w:rPr>
          <w:rFonts w:hAnsi="宋体" w:cs="宋体"/>
          <w:color w:val="auto"/>
          <w:sz w:val="24"/>
          <w:szCs w:val="24"/>
          <w:highlight w:val="none"/>
          <w:u w:val="single"/>
        </w:rPr>
        <w:t xml:space="preserve">      </w:t>
      </w:r>
      <w:r>
        <w:rPr>
          <w:rFonts w:hAnsi="宋体" w:cs="宋体"/>
          <w:color w:val="auto"/>
          <w:sz w:val="24"/>
          <w:szCs w:val="24"/>
          <w:highlight w:val="none"/>
        </w:rPr>
        <w:t xml:space="preserve">元。</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4.甲方发出的指令单乙方必须按要求及时全面的执行，否则按500元/次向甲方支付违约金。</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5.乙方应在接到甲方通知后</w:t>
      </w:r>
      <w:r>
        <w:rPr>
          <w:rFonts w:hAnsi="宋体" w:cs="宋体"/>
          <w:color w:val="auto"/>
          <w:sz w:val="24"/>
          <w:szCs w:val="24"/>
          <w:highlight w:val="none"/>
          <w:u w:val="single"/>
        </w:rPr>
        <w:t xml:space="preserve">       </w:t>
      </w:r>
      <w:r>
        <w:rPr>
          <w:rFonts w:hAnsi="宋体" w:cs="宋体"/>
          <w:color w:val="auto"/>
          <w:sz w:val="24"/>
          <w:szCs w:val="24"/>
          <w:highlight w:val="none"/>
        </w:rPr>
        <w:t xml:space="preserve">小时内响应，</w:t>
      </w:r>
      <w:r>
        <w:rPr>
          <w:rFonts w:hAnsi="宋体" w:cs="宋体"/>
          <w:color w:val="auto"/>
          <w:sz w:val="24"/>
          <w:szCs w:val="24"/>
          <w:highlight w:val="none"/>
          <w:u w:val="single"/>
        </w:rPr>
        <w:t xml:space="preserve">        </w:t>
      </w:r>
      <w:r>
        <w:rPr>
          <w:rFonts w:hAnsi="宋体" w:cs="宋体"/>
          <w:color w:val="auto"/>
          <w:sz w:val="24"/>
          <w:szCs w:val="24"/>
          <w:highlight w:val="none"/>
        </w:rPr>
        <w:t xml:space="preserve">小时内上门进行维修。由于乙方原因引起延误，每延误24小时罚500元/天。</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6.若有施工造成的维修质量问题，甲方应书面通知乙方并约定时间进行整改。乙方未按约定时间及时维修，甲方有权扣除维修费1000元-2000元/次作为乙方向甲方支付的违约金。如果乙方在服务过程中连续三次未按甲方要求整改，甲方有权解除合同，并不免除乙方应支付的违约金。</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7.乙方不按甲方关于工程质量、工程维修进度等要求施工维修的，在经过甲方一次书面警告后，仍不能按甲方要求进行维修施工时，甲方有权终止乙方的维修施工权，并有权安排其他施工维修单位接手乙方的施工维修工程，乙方按中止施工前的工程量进行结算。</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8.未经甲方同意，乙方擅自拆改原建筑物结构或设备管线，由此发生的损失或事故（包括罚款），由乙方负责并承担损失。</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9.因一方原因，合同无法继续履行时，应通知对方，办理合同终止协议，并由责任方赔偿对方由此造成的经济损失。</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10.项目安全生产的达标目标及相应事项的约定：</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（1）乙方在施工期间须针对周边情况做好防尘降噪工作，应遵守《中华人民共和国安全生产法》及地方政府和有关部门对施工场地交通、噪声、污水、现场环境卫生和场外污染等管理规定并办理有关手续。</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2）乙方须做好文明施工、安全生产，在施工过程中应完善文明施工措施，在施工过程中造成的相应安全事故由乙方全部承担，同时协调处理好与当地居民、周边单位的关系，如发生问题均由乙方负责协调处理，并承担相应费用及后果，并且有义务消除对甲方的不利影响。</w:t>
      </w:r>
      <w:r/>
    </w:p>
    <w:p>
      <w:pPr>
        <w:pStyle w:val="1293"/>
        <w:spacing w:line="360" w:lineRule="auto"/>
        <w:rPr>
          <w:rFonts w:hAnsi="宋体" w:cs="宋体"/>
          <w:b/>
          <w:bCs/>
          <w:color w:val="auto"/>
          <w:sz w:val="24"/>
          <w:szCs w:val="24"/>
          <w:highlight w:val="none"/>
        </w:rPr>
      </w:pPr>
      <w:r>
        <w:rPr>
          <w:rFonts w:hAnsi="宋体" w:cs="宋体"/>
          <w:b/>
          <w:bCs/>
          <w:color w:val="auto"/>
          <w:sz w:val="24"/>
          <w:szCs w:val="24"/>
          <w:highlight w:val="none"/>
        </w:rPr>
        <w:t xml:space="preserve">第10条  争议的解决方式</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）种方式解决争议：</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（1）向甲方所在地人民法院提起诉讼；</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（2）向甲方所在地仲裁委员会按其仲裁规则申请仲裁。</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如没有约定，默认采取第2种方式解决争议。</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2.在法院审理和仲裁期间，除有争议部分外，本合同其他部分应继续履行。</w:t>
      </w:r>
      <w:r/>
    </w:p>
    <w:p>
      <w:pPr>
        <w:pStyle w:val="1293"/>
        <w:ind w:firstLine="484"/>
        <w:spacing w:line="360" w:lineRule="auto"/>
        <w:rPr>
          <w:rFonts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3.守约方于争议解决过程发生的费用（包括但不限于诉讼费、仲裁费、公证费、律师费、鉴定费、差旅费、保全费、担保费等），应由违约方承担。</w:t>
      </w:r>
      <w:r/>
    </w:p>
    <w:p>
      <w:pPr>
        <w:pStyle w:val="1293"/>
        <w:spacing w:line="360" w:lineRule="auto"/>
        <w:rPr>
          <w:rFonts w:hAnsi="宋体" w:cs="宋体"/>
          <w:b/>
          <w:bCs/>
          <w:color w:val="auto"/>
          <w:sz w:val="24"/>
          <w:szCs w:val="24"/>
          <w:highlight w:val="none"/>
        </w:rPr>
      </w:pPr>
      <w:r>
        <w:rPr>
          <w:rFonts w:hAnsi="宋体" w:cs="宋体"/>
          <w:b/>
          <w:bCs/>
          <w:color w:val="auto"/>
          <w:sz w:val="24"/>
          <w:szCs w:val="24"/>
          <w:highlight w:val="none"/>
        </w:rPr>
        <w:t xml:space="preserve">第11条  其它约定:</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1.工程结算审计工作由甲方负责实施；如发生重大变更事项及超采购预算时，必须经甲方批准后方可实施。工程结算审定价超预算部分如无正常合法手续的，概不支付、结算。</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2.工程施工管理、竣工验收工作由甲方负责组织实施。</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3.乙方必须注意确保安全生产、文明施工；如发生违法乱纪及人身伤亡等事故，一切责任均由乙方负责并承担一切损失。</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4.补充图纸和指示：甲方有权向乙方发出任何图纸变更或指令，乙方应无条件遵照执行。其他未尽事宜详见</w:t>
      </w:r>
      <w:r>
        <w:rPr>
          <w:rFonts w:hint="eastAsia" w:hAnsi="宋体" w:cs="宋体"/>
          <w:color w:val="auto"/>
          <w:sz w:val="24"/>
          <w:szCs w:val="24"/>
          <w:highlight w:val="none"/>
          <w:lang w:eastAsia="zh-CN"/>
        </w:rPr>
        <w:t xml:space="preserve">招标文件</w:t>
      </w:r>
      <w:r>
        <w:rPr>
          <w:rFonts w:hAnsi="宋体" w:cs="宋体"/>
          <w:color w:val="auto"/>
          <w:sz w:val="24"/>
          <w:szCs w:val="24"/>
          <w:highlight w:val="none"/>
        </w:rPr>
        <w:t xml:space="preserve">、</w:t>
      </w:r>
      <w:r>
        <w:rPr>
          <w:rFonts w:hint="eastAsia" w:hAnsi="宋体" w:cs="宋体"/>
          <w:color w:val="auto"/>
          <w:sz w:val="24"/>
          <w:szCs w:val="24"/>
          <w:highlight w:val="none"/>
          <w:lang w:eastAsia="zh-CN"/>
        </w:rPr>
        <w:t xml:space="preserve">投标文件</w:t>
      </w:r>
      <w:r>
        <w:rPr>
          <w:rFonts w:hAnsi="宋体" w:cs="宋体"/>
          <w:color w:val="auto"/>
          <w:sz w:val="24"/>
          <w:szCs w:val="24"/>
          <w:highlight w:val="none"/>
        </w:rPr>
        <w:t xml:space="preserve">。</w:t>
      </w:r>
      <w:r/>
    </w:p>
    <w:p>
      <w:pPr>
        <w:pStyle w:val="1293"/>
        <w:spacing w:line="360" w:lineRule="auto"/>
        <w:rPr>
          <w:rFonts w:hAnsi="宋体" w:cs="宋体"/>
          <w:b/>
          <w:bCs/>
          <w:color w:val="auto"/>
          <w:sz w:val="24"/>
          <w:szCs w:val="24"/>
          <w:highlight w:val="none"/>
        </w:rPr>
      </w:pPr>
      <w:r>
        <w:rPr>
          <w:rFonts w:hAnsi="宋体" w:cs="宋体"/>
          <w:b/>
          <w:bCs/>
          <w:color w:val="auto"/>
          <w:sz w:val="24"/>
          <w:szCs w:val="24"/>
          <w:highlight w:val="none"/>
        </w:rPr>
        <w:t xml:space="preserve">第12条  附则</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12.1  本合同保修期为</w:t>
      </w:r>
      <w:r>
        <w:rPr>
          <w:rFonts w:hint="eastAsia" w:hAnsi="宋体" w:cs="宋体"/>
          <w:color w:val="auto"/>
          <w:sz w:val="24"/>
          <w:szCs w:val="24"/>
          <w:highlight w:val="none"/>
          <w:u w:val="single"/>
          <w:lang w:val="en-US" w:eastAsia="zh-CN"/>
        </w:rPr>
        <w:t xml:space="preserve">2</w:t>
      </w:r>
      <w:r>
        <w:rPr>
          <w:rFonts w:hAnsi="宋体" w:cs="宋体"/>
          <w:color w:val="auto"/>
          <w:sz w:val="24"/>
          <w:szCs w:val="24"/>
          <w:highlight w:val="none"/>
          <w:u w:val="single"/>
        </w:rPr>
        <w:t xml:space="preserve"> </w:t>
      </w:r>
      <w:r>
        <w:rPr>
          <w:rFonts w:hAnsi="宋体" w:cs="宋体"/>
          <w:color w:val="auto"/>
          <w:sz w:val="24"/>
          <w:szCs w:val="24"/>
          <w:highlight w:val="none"/>
        </w:rPr>
        <w:t xml:space="preserve">年。保修方法参照国家及地方相关规定执行。</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12.2 本合同一式</w:t>
      </w:r>
      <w:r>
        <w:rPr>
          <w:rFonts w:hint="eastAsia" w:hAnsi="宋体" w:cs="宋体"/>
          <w:color w:val="auto"/>
          <w:sz w:val="24"/>
          <w:szCs w:val="24"/>
          <w:highlight w:val="none"/>
          <w:lang w:val="en-US" w:eastAsia="zh-CN"/>
        </w:rPr>
        <w:t xml:space="preserve">肆</w:t>
      </w:r>
      <w:r>
        <w:rPr>
          <w:rFonts w:hAnsi="宋体" w:cs="宋体"/>
          <w:color w:val="auto"/>
          <w:sz w:val="24"/>
          <w:szCs w:val="24"/>
          <w:highlight w:val="none"/>
        </w:rPr>
        <w:t xml:space="preserve">份，甲方执贰份，乙方执贰份。</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12.3  本合同履行完成后自动终止。</w:t>
      </w:r>
      <w:r/>
    </w:p>
    <w:p>
      <w:pPr>
        <w:pStyle w:val="1293"/>
        <w:spacing w:line="360" w:lineRule="auto"/>
        <w:rPr>
          <w:rFonts w:hAnsi="宋体" w:cs="宋体"/>
          <w:b/>
          <w:bCs/>
          <w:color w:val="auto"/>
          <w:sz w:val="24"/>
          <w:szCs w:val="24"/>
          <w:highlight w:val="none"/>
        </w:rPr>
      </w:pPr>
      <w:r>
        <w:rPr>
          <w:rFonts w:hAnsi="宋体" w:cs="宋体"/>
          <w:b/>
          <w:bCs/>
          <w:color w:val="auto"/>
          <w:sz w:val="24"/>
          <w:szCs w:val="24"/>
          <w:highlight w:val="none"/>
        </w:rPr>
        <w:t xml:space="preserve">第13条  诚实信用 </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乙方应诚实信用，严格按照</w:t>
      </w:r>
      <w:r>
        <w:rPr>
          <w:rFonts w:hint="eastAsia" w:hAnsi="宋体" w:cs="宋体"/>
          <w:color w:val="auto"/>
          <w:sz w:val="24"/>
          <w:szCs w:val="24"/>
          <w:highlight w:val="none"/>
          <w:lang w:eastAsia="zh-CN"/>
        </w:rPr>
        <w:t xml:space="preserve">招标文件</w:t>
      </w:r>
      <w:r>
        <w:rPr>
          <w:rFonts w:hAnsi="宋体" w:cs="宋体"/>
          <w:color w:val="auto"/>
          <w:sz w:val="24"/>
          <w:szCs w:val="24"/>
          <w:highlight w:val="none"/>
        </w:rPr>
        <w:t xml:space="preserve">要求和</w:t>
      </w:r>
      <w:r>
        <w:rPr>
          <w:rFonts w:hint="eastAsia" w:hAnsi="宋体" w:cs="宋体"/>
          <w:color w:val="auto"/>
          <w:sz w:val="24"/>
          <w:szCs w:val="24"/>
          <w:highlight w:val="none"/>
          <w:lang w:val="en-US" w:eastAsia="zh-CN"/>
        </w:rPr>
        <w:t xml:space="preserve">投标</w:t>
      </w:r>
      <w:r>
        <w:rPr>
          <w:rFonts w:hAnsi="宋体" w:cs="宋体"/>
          <w:color w:val="auto"/>
          <w:sz w:val="24"/>
          <w:szCs w:val="24"/>
          <w:highlight w:val="none"/>
        </w:rPr>
        <w:t xml:space="preserve">承诺履行合同，不向甲方进行商业贿赂或者提供不正当利益。</w:t>
      </w:r>
      <w:r/>
    </w:p>
    <w:p>
      <w:pPr>
        <w:pStyle w:val="1293"/>
        <w:spacing w:line="360" w:lineRule="auto"/>
        <w:rPr>
          <w:rFonts w:hAnsi="宋体" w:cs="宋体"/>
          <w:b/>
          <w:bCs/>
          <w:color w:val="auto"/>
          <w:sz w:val="24"/>
          <w:szCs w:val="24"/>
          <w:highlight w:val="none"/>
        </w:rPr>
      </w:pPr>
      <w:r>
        <w:rPr>
          <w:rFonts w:hAnsi="宋体" w:cs="宋体"/>
          <w:b/>
          <w:bCs/>
          <w:color w:val="auto"/>
          <w:sz w:val="24"/>
          <w:szCs w:val="24"/>
          <w:highlight w:val="none"/>
        </w:rPr>
        <w:t xml:space="preserve">第14条  合同生效及其他</w:t>
      </w:r>
      <w:r/>
    </w:p>
    <w:p>
      <w:pPr>
        <w:pStyle w:val="1293"/>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本合同自经甲乙双方授权代表签订并加盖公章后，自签订之日起生效。</w:t>
      </w:r>
      <w:r/>
    </w:p>
    <w:p>
      <w:pPr>
        <w:rPr>
          <w:rFonts w:hint="eastAsia"/>
          <w:color w:val="auto"/>
          <w:highlight w:val="none"/>
        </w:rPr>
      </w:pPr>
      <w:r>
        <w:rPr>
          <w:rFonts w:hint="eastAsia"/>
          <w:color w:val="auto"/>
          <w:highlight w:val="none"/>
        </w:rPr>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甲    方</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单位名称（章）：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单位地址：</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       委托代理人：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乙    方</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单位名称（章）：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单位地址：</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     委托代理人：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账</w:t>
      </w:r>
      <w:r>
        <w:rPr>
          <w:rFonts w:hint="eastAsia" w:ascii="宋体" w:hAnsi="宋体" w:eastAsia="宋体" w:cs="宋体"/>
          <w:color w:val="auto"/>
          <w:sz w:val="24"/>
          <w:szCs w:val="24"/>
          <w:highlight w:val="none"/>
        </w:rPr>
        <w:t xml:space="preserve">号：</w:t>
      </w:r>
      <w:r/>
    </w:p>
    <w:p>
      <w:pPr>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auto"/>
          <w:sz w:val="24"/>
          <w:szCs w:val="24"/>
          <w:highlight w:val="none"/>
          <w:lang w:val="en-US" w:eastAsia="zh-CN"/>
        </w:rPr>
        <w:sectPr>
          <w:headerReference w:type="default" r:id="rId13"/>
          <w:footerReference w:type="default" r:id="rId2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sz w:val="24"/>
          <w:szCs w:val="24"/>
          <w:highlight w:val="none"/>
          <w:lang w:val="en-US" w:eastAsia="zh-CN"/>
        </w:rPr>
      </w:r>
      <w:r/>
    </w:p>
    <w:p>
      <w:pPr>
        <w:spacing w:line="40" w:lineRule="exact"/>
        <w:rPr>
          <w:color w:val="auto"/>
          <w:highlight w:val="none"/>
        </w:rPr>
      </w:pPr>
      <w:r>
        <w:rPr>
          <w:color w:val="auto"/>
          <w:highlight w:val="none"/>
        </w:rPr>
      </w:r>
      <w:r/>
    </w:p>
    <w:p>
      <w:pPr>
        <w:contextualSpacing/>
        <w:jc w:val="center"/>
        <w:spacing w:line="360" w:lineRule="auto"/>
        <w:rPr>
          <w:b/>
          <w:color w:val="auto"/>
          <w:sz w:val="36"/>
          <w:szCs w:val="36"/>
          <w:highlight w:val="none"/>
        </w:rPr>
        <w:outlineLvl w:val="0"/>
      </w:pPr>
      <w:r>
        <w:rPr>
          <w:b/>
          <w:color w:val="auto"/>
          <w:sz w:val="36"/>
          <w:szCs w:val="36"/>
          <w:highlight w:val="none"/>
        </w:rPr>
        <w:t xml:space="preserve">第七章   投标文件格式</w:t>
      </w:r>
      <w:bookmarkEnd w:id="815"/>
      <w:r/>
      <w:bookmarkEnd w:id="816"/>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对于招标文件中标记了“实质性格式”文件的，</w:t>
      </w:r>
      <w:r>
        <w:rPr>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auto"/>
          <w:sz w:val="24"/>
          <w:highlight w:val="none"/>
        </w:rPr>
        <w:t xml:space="preserve">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jc w:val="left"/>
        <w:widowControl/>
        <w:rPr>
          <w:b/>
          <w:color w:val="auto"/>
          <w:sz w:val="30"/>
          <w:szCs w:val="20"/>
          <w:highlight w:val="none"/>
        </w:rPr>
      </w:pPr>
      <w:r>
        <w:rPr>
          <w:color w:val="auto"/>
          <w:sz w:val="24"/>
          <w:highlight w:val="none"/>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Pr>
          <w:b/>
          <w:color w:val="auto"/>
          <w:spacing w:val="20"/>
          <w:sz w:val="24"/>
          <w:highlight w:val="none"/>
        </w:rPr>
        <w:t xml:space="preserve">一、资格证明文件格式</w:t>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b/>
          <w:color w:val="auto"/>
          <w:highlight w:val="none"/>
        </w:rPr>
      </w:pPr>
      <w:r>
        <w:rPr>
          <w:b/>
          <w:color w:val="auto"/>
          <w:highlight w:val="none"/>
        </w:rPr>
      </w:r>
      <w:r/>
    </w:p>
    <w:p>
      <w:pPr>
        <w:spacing w:line="360" w:lineRule="auto"/>
        <w:rPr>
          <w:color w:val="auto"/>
          <w:sz w:val="24"/>
          <w:szCs w:val="20"/>
          <w:highlight w:val="none"/>
        </w:rPr>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rPr>
          <w:b/>
          <w:bCs/>
          <w:color w:val="auto"/>
          <w:highlight w:val="none"/>
        </w:rPr>
      </w:pPr>
      <w:r>
        <w:rPr>
          <w:b/>
          <w:color w:val="auto"/>
          <w:highlight w:val="none"/>
        </w:rPr>
        <w:t xml:space="preserve">1-</w:t>
      </w:r>
      <w:r>
        <w:rPr>
          <w:rFonts w:hint="eastAsia"/>
          <w:b/>
          <w:color w:val="auto"/>
          <w:highlight w:val="none"/>
        </w:rPr>
        <w:t xml:space="preserve">1</w:t>
      </w:r>
      <w:r>
        <w:rPr>
          <w:b/>
          <w:color w:val="auto"/>
          <w:highlight w:val="none"/>
        </w:rPr>
        <w:t xml:space="preserve"> 投标人资格声明</w:t>
      </w:r>
      <w:r>
        <w:rPr>
          <w:rFonts w:hint="eastAsia"/>
          <w:b/>
          <w:color w:val="auto"/>
          <w:highlight w:val="none"/>
        </w:rPr>
        <w:t xml:space="preserve">函 </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280"/>
        <w:ind w:firstLine="480"/>
        <w:spacing w:line="460" w:lineRule="exact"/>
        <w:rPr>
          <w:color w:val="auto"/>
          <w:highlight w:val="none"/>
        </w:rPr>
      </w:pPr>
      <w:r>
        <w:rPr>
          <w:color w:val="auto"/>
          <w:highlight w:val="none"/>
        </w:rPr>
      </w:r>
      <w:r/>
    </w:p>
    <w:p>
      <w:pPr>
        <w:pStyle w:val="1280"/>
        <w:ind w:firstLine="480"/>
        <w:spacing w:line="460" w:lineRule="exact"/>
        <w:rPr>
          <w:color w:val="auto"/>
          <w:highlight w:val="none"/>
        </w:rPr>
      </w:pPr>
      <w:r>
        <w:rPr>
          <w:rFonts w:hint="eastAsia"/>
          <w:color w:val="auto"/>
          <w:highlight w:val="none"/>
        </w:rPr>
        <w:t xml:space="preserve">致：江苏尚阳工程管理有限公司</w:t>
      </w:r>
      <w:r/>
    </w:p>
    <w:p>
      <w:pPr>
        <w:pStyle w:val="1280"/>
        <w:ind w:firstLine="960"/>
        <w:spacing w:line="460" w:lineRule="exact"/>
        <w:rPr>
          <w:color w:val="auto"/>
          <w:highlight w:val="none"/>
          <w:u w:val="single"/>
        </w:rPr>
      </w:pPr>
      <w:r>
        <w:rPr>
          <w:rFonts w:hint="eastAsia"/>
          <w:color w:val="auto"/>
          <w:highlight w:val="none"/>
          <w:u w:val="single"/>
        </w:rPr>
        <w:t xml:space="preserve">（采购人名称）</w:t>
      </w:r>
      <w:r/>
    </w:p>
    <w:p>
      <w:pPr>
        <w:pStyle w:val="1280"/>
        <w:ind w:firstLine="480"/>
        <w:spacing w:line="460" w:lineRule="exact"/>
        <w:rPr>
          <w:color w:val="auto"/>
          <w:highlight w:val="none"/>
        </w:rPr>
      </w:pPr>
      <w:r>
        <w:rPr>
          <w:color w:val="auto"/>
          <w:highlight w:val="none"/>
        </w:rPr>
      </w:r>
      <w:r/>
    </w:p>
    <w:p>
      <w:pPr>
        <w:pStyle w:val="1280"/>
        <w:ind w:firstLine="480"/>
        <w:spacing w:line="460" w:lineRule="exact"/>
        <w:rPr>
          <w:color w:val="auto"/>
          <w:highlight w:val="none"/>
        </w:rPr>
      </w:pPr>
      <w:r>
        <w:rPr>
          <w:rFonts w:hint="eastAsia"/>
          <w:color w:val="auto"/>
          <w:highlight w:val="none"/>
        </w:rPr>
        <w:t xml:space="preserve">按照《中华人民共和国政府采购法》第二十二条和招标文件的规定，我单位郑重声明如下：</w:t>
      </w:r>
      <w:r/>
    </w:p>
    <w:p>
      <w:pPr>
        <w:pStyle w:val="1280"/>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280"/>
        <w:ind w:firstLine="480"/>
        <w:spacing w:line="460" w:lineRule="exact"/>
        <w:rPr>
          <w:color w:val="auto"/>
          <w:highlight w:val="none"/>
        </w:rPr>
      </w:pPr>
      <w:r>
        <w:rPr>
          <w:rFonts w:hint="eastAsia"/>
          <w:color w:val="auto"/>
          <w:highlight w:val="none"/>
        </w:rPr>
        <w:t xml:space="preserve">二、我单位具有良好的商业信誉（指投标人经营状况良好，无本资格声明第十条情形）和健全的财务会计制度。</w:t>
      </w:r>
      <w:r/>
    </w:p>
    <w:p>
      <w:pPr>
        <w:pStyle w:val="1280"/>
        <w:ind w:firstLine="480"/>
        <w:spacing w:line="460" w:lineRule="exact"/>
        <w:rPr>
          <w:color w:val="auto"/>
          <w:highlight w:val="none"/>
        </w:rPr>
      </w:pPr>
      <w:r>
        <w:rPr>
          <w:rFonts w:hint="eastAsia"/>
          <w:color w:val="auto"/>
          <w:highlight w:val="none"/>
        </w:rPr>
        <w:t xml:space="preserve">三、我单位依法进行纳税和社会保险申报并实际履行了义务。</w:t>
      </w:r>
      <w:r/>
    </w:p>
    <w:p>
      <w:pPr>
        <w:pStyle w:val="1280"/>
        <w:ind w:firstLine="480"/>
        <w:spacing w:line="460" w:lineRule="exact"/>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280"/>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280"/>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280"/>
        <w:ind w:firstLine="480"/>
        <w:spacing w:line="460" w:lineRule="exact"/>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w:t>
      </w:r>
      <w:r>
        <w:rPr>
          <w:rFonts w:hint="eastAsia"/>
          <w:color w:val="auto"/>
          <w:highlight w:val="none"/>
          <w:lang w:val="en-US" w:eastAsia="zh-CN"/>
        </w:rPr>
        <w:t xml:space="preserve">国务院</w:t>
      </w:r>
      <w:r>
        <w:rPr>
          <w:rFonts w:hint="eastAsia"/>
          <w:color w:val="auto"/>
          <w:highlight w:val="none"/>
        </w:rPr>
        <w:t xml:space="preserve">有关行政主管部门对“较大数额罚款”标准另有规定的，从其规定。（供应商如在参加政府采购活动前3年内因违法经营被禁止在一定期限内参加政府采购活动，期限届满的，可以参加政府采购活动。）</w:t>
      </w:r>
      <w:r/>
    </w:p>
    <w:p>
      <w:pPr>
        <w:pStyle w:val="1280"/>
        <w:ind w:firstLine="480"/>
        <w:spacing w:line="460" w:lineRule="exact"/>
        <w:rPr>
          <w:color w:val="auto"/>
          <w:highlight w:val="none"/>
        </w:rPr>
      </w:pPr>
      <w:r>
        <w:rPr>
          <w:rFonts w:hint="eastAsia"/>
          <w:color w:val="auto"/>
          <w:highlight w:val="none"/>
        </w:rPr>
        <w:t xml:space="preserve">六、我单位具备法律、行政法规规定的其他条件。</w:t>
      </w:r>
      <w:r/>
    </w:p>
    <w:p>
      <w:pPr>
        <w:pStyle w:val="1280"/>
        <w:ind w:firstLine="480"/>
        <w:spacing w:line="460" w:lineRule="exact"/>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p>
    <w:p>
      <w:pPr>
        <w:pStyle w:val="1280"/>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280"/>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280"/>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280"/>
        <w:ind w:firstLine="480"/>
        <w:spacing w:line="460" w:lineRule="exact"/>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不属于为本项目提供整体设计、规范编制或者项目管理、监理、检测等服务的投标人。</w:t>
      </w:r>
      <w:r/>
    </w:p>
    <w:p>
      <w:pPr>
        <w:pStyle w:val="1280"/>
        <w:ind w:firstLine="480"/>
        <w:spacing w:line="460" w:lineRule="exact"/>
        <w:rPr>
          <w:color w:val="auto"/>
          <w:highlight w:val="none"/>
        </w:rPr>
      </w:pPr>
      <w:r>
        <w:rPr>
          <w:rFonts w:hint="eastAsia"/>
          <w:color w:val="auto"/>
          <w:highlight w:val="none"/>
        </w:rPr>
        <w:t xml:space="preserve">九、</w:t>
      </w:r>
      <w:r>
        <w:rPr>
          <w:color w:val="auto"/>
          <w:highlight w:val="none"/>
        </w:rPr>
        <w:t xml:space="preserve">我单位无以下不良信用记录情形：</w:t>
      </w:r>
      <w:r/>
    </w:p>
    <w:p>
      <w:pPr>
        <w:pStyle w:val="1280"/>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280"/>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280"/>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280"/>
        <w:ind w:firstLine="480"/>
        <w:spacing w:line="460" w:lineRule="exact"/>
        <w:rPr>
          <w:color w:val="auto"/>
          <w:highlight w:val="none"/>
        </w:rPr>
      </w:pPr>
      <w:r>
        <w:rPr>
          <w:color w:val="auto"/>
          <w:highlight w:val="none"/>
        </w:rPr>
      </w:r>
      <w:r/>
    </w:p>
    <w:p>
      <w:pPr>
        <w:pStyle w:val="1280"/>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280"/>
        <w:ind w:firstLine="480"/>
        <w:spacing w:line="460" w:lineRule="exact"/>
        <w:rPr>
          <w:color w:val="auto"/>
          <w:highlight w:val="none"/>
        </w:rPr>
      </w:pPr>
      <w:r>
        <w:rPr>
          <w:color w:val="auto"/>
          <w:highlight w:val="none"/>
        </w:rPr>
      </w:r>
      <w:r/>
    </w:p>
    <w:p>
      <w:pPr>
        <w:pStyle w:val="1280"/>
        <w:ind w:firstLine="480"/>
        <w:spacing w:line="460" w:lineRule="exact"/>
        <w:rPr>
          <w:color w:val="auto"/>
          <w:highlight w:val="none"/>
        </w:rPr>
      </w:pPr>
      <w:r>
        <w:rPr>
          <w:color w:val="auto"/>
          <w:highlight w:val="none"/>
        </w:rPr>
      </w:r>
      <w:r/>
    </w:p>
    <w:p>
      <w:pPr>
        <w:pStyle w:val="1280"/>
        <w:ind w:firstLine="480"/>
        <w:spacing w:line="460" w:lineRule="exact"/>
        <w:rPr>
          <w:color w:val="auto"/>
          <w:highlight w:val="none"/>
        </w:rPr>
      </w:pPr>
      <w:r>
        <w:rPr>
          <w:rFonts w:hint="eastAsia"/>
          <w:color w:val="auto"/>
          <w:highlight w:val="none"/>
        </w:rPr>
        <w:t xml:space="preserve">                                            投标人：（加盖公章）</w:t>
      </w:r>
      <w:r/>
    </w:p>
    <w:p>
      <w:pPr>
        <w:pStyle w:val="1280"/>
        <w:ind w:firstLine="480"/>
        <w:spacing w:line="460" w:lineRule="exact"/>
        <w:rPr>
          <w:color w:val="auto"/>
          <w:highlight w:val="none"/>
        </w:rPr>
      </w:pPr>
      <w:r>
        <w:rPr>
          <w:rFonts w:hint="eastAsia"/>
          <w:color w:val="auto"/>
          <w:highlight w:val="none"/>
        </w:rPr>
        <w:t xml:space="preserve">                                           法定代表人（或单位负责人）签字或盖章：</w:t>
      </w:r>
      <w:r/>
    </w:p>
    <w:p>
      <w:pPr>
        <w:pStyle w:val="1280"/>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投标人承诺不实的，依据《政府采购法》第七十七条“提供虚假材料谋取中标的”有关规定予以处理</w:t>
      </w:r>
      <w:r>
        <w:rPr>
          <w:color w:val="auto"/>
          <w:sz w:val="24"/>
          <w:highlight w:val="none"/>
        </w:rPr>
        <w:t xml:space="preserve">。</w:t>
      </w:r>
      <w:r/>
    </w:p>
    <w:p>
      <w:pPr>
        <w:spacing w:line="360" w:lineRule="auto"/>
        <w:tabs>
          <w:tab w:val="left" w:pos="5580" w:leader="none"/>
        </w:tabs>
        <w:rPr>
          <w:color w:val="auto"/>
          <w:sz w:val="24"/>
          <w:highlight w:val="none"/>
        </w:rPr>
        <w:sectPr>
          <w:headerReference w:type="default" r:id="rId14"/>
          <w:footerReference w:type="default" r:id="rId24"/>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spacing w:line="360" w:lineRule="auto"/>
        <w:rPr>
          <w:rFonts w:hint="default" w:eastAsia="宋体"/>
          <w:color w:val="auto"/>
          <w:sz w:val="24"/>
          <w:szCs w:val="20"/>
          <w:highlight w:val="none"/>
          <w:lang w:val="en-US" w:eastAsia="zh-CN"/>
        </w:rPr>
        <w:outlineLvl w:val="2"/>
      </w:pPr>
      <w:r>
        <w:rPr>
          <w:rFonts w:hint="eastAsia"/>
          <w:color w:val="auto"/>
          <w:sz w:val="24"/>
          <w:szCs w:val="20"/>
          <w:highlight w:val="none"/>
          <w:lang w:val="en-US" w:eastAsia="zh-CN"/>
        </w:rPr>
        <w:t xml:space="preserve">2 落实政府采购政策需满足的资格要求</w:t>
      </w:r>
      <w:r/>
    </w:p>
    <w:p>
      <w:pPr>
        <w:spacing w:line="360" w:lineRule="auto"/>
        <w:rPr>
          <w:color w:val="auto"/>
          <w:sz w:val="24"/>
          <w:szCs w:val="20"/>
          <w:highlight w:val="none"/>
        </w:rPr>
        <w:outlineLvl w:val="2"/>
      </w:pPr>
      <w:r>
        <w:rPr>
          <w:rFonts w:hint="eastAsia"/>
          <w:color w:val="auto"/>
          <w:sz w:val="24"/>
          <w:szCs w:val="20"/>
          <w:highlight w:val="none"/>
        </w:rPr>
        <w:t xml:space="preserve">2</w:t>
      </w:r>
      <w:r>
        <w:rPr>
          <w:rFonts w:hint="eastAsia"/>
          <w:color w:val="auto"/>
          <w:sz w:val="24"/>
          <w:szCs w:val="20"/>
          <w:highlight w:val="none"/>
          <w:lang w:val="en-US" w:eastAsia="zh-CN"/>
        </w:rPr>
        <w:t xml:space="preserve">-1</w:t>
      </w:r>
      <w:r>
        <w:rPr>
          <w:color w:val="auto"/>
          <w:sz w:val="24"/>
          <w:szCs w:val="20"/>
          <w:highlight w:val="none"/>
        </w:rPr>
        <w:t xml:space="preserve">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rFonts w:hint="eastAsia"/>
          <w:color w:val="auto"/>
          <w:sz w:val="24"/>
          <w:highlight w:val="none"/>
          <w:lang w:eastAsia="zh-CN"/>
        </w:rPr>
        <w:t xml:space="preserve">（</w:t>
      </w:r>
      <w:r>
        <w:rPr>
          <w:rFonts w:hint="eastAsia"/>
          <w:color w:val="auto"/>
          <w:sz w:val="24"/>
          <w:highlight w:val="none"/>
        </w:rPr>
        <w:t xml:space="preserve">1）本项目</w:t>
      </w:r>
      <w:r>
        <w:rPr>
          <w:rFonts w:hint="eastAsia"/>
          <w:color w:val="auto"/>
          <w:sz w:val="24"/>
          <w:highlight w:val="none"/>
          <w:lang w:val="en-US" w:eastAsia="zh-CN"/>
        </w:rPr>
        <w:t xml:space="preserve">专门面向中小企业采购，须提供《中小企业声明函》（实质性格式）</w:t>
      </w:r>
      <w:r>
        <w:rPr>
          <w:rFonts w:hint="eastAsia"/>
          <w:color w:val="auto"/>
          <w:sz w:val="24"/>
          <w:highlight w:val="none"/>
        </w:rPr>
        <w:t xml:space="preserve">。</w:t>
      </w:r>
      <w:r/>
    </w:p>
    <w:p>
      <w:pPr>
        <w:spacing w:line="360" w:lineRule="auto"/>
        <w:tabs>
          <w:tab w:val="left" w:pos="5580" w:leader="none"/>
        </w:tabs>
        <w:rPr>
          <w:rFonts w:hint="default"/>
          <w:color w:val="auto"/>
          <w:sz w:val="24"/>
          <w:highlight w:val="none"/>
          <w:lang w:val="en-US" w:eastAsia="zh-CN"/>
        </w:rPr>
      </w:pPr>
      <w:r>
        <w:rPr>
          <w:rFonts w:hint="eastAsia"/>
          <w:color w:val="auto"/>
          <w:sz w:val="24"/>
          <w:highlight w:val="none"/>
          <w:lang w:eastAsia="zh-CN"/>
        </w:rPr>
        <w:t xml:space="preserve">（</w:t>
      </w:r>
      <w:r>
        <w:rPr>
          <w:rFonts w:hint="eastAsia"/>
          <w:color w:val="auto"/>
          <w:sz w:val="24"/>
          <w:highlight w:val="none"/>
        </w:rPr>
        <w:t xml:space="preserve">2）</w:t>
      </w:r>
      <w:r>
        <w:rPr>
          <w:rFonts w:hint="eastAsia"/>
          <w:color w:val="auto"/>
          <w:sz w:val="24"/>
          <w:highlight w:val="none"/>
          <w:lang w:val="en-US" w:eastAsia="zh-CN"/>
        </w:rPr>
        <w:t xml:space="preserve">中小企业参加政府采购活动，应当出具此格式文件。《中小企业声明函》由参加政府采购活动的供应商出具。</w:t>
      </w:r>
      <w:r/>
    </w:p>
    <w:p>
      <w:pPr>
        <w:spacing w:line="360" w:lineRule="auto"/>
        <w:tabs>
          <w:tab w:val="left" w:pos="5580" w:leader="none"/>
        </w:tabs>
        <w:rPr>
          <w:rFonts w:hint="eastAsia"/>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3</w:t>
      </w:r>
      <w:r>
        <w:rPr>
          <w:rFonts w:hint="eastAsia"/>
          <w:color w:val="auto"/>
          <w:sz w:val="24"/>
          <w:highlight w:val="none"/>
        </w:rPr>
        <w:t xml:space="preserve">）中小企业认定标准以《关于印发中小企业划型标准规定的通知》（工信部联企业〔2011〕300号）文件规定为准。</w:t>
      </w:r>
      <w:r/>
    </w:p>
    <w:p>
      <w:pPr>
        <w:spacing w:line="360" w:lineRule="auto"/>
        <w:tabs>
          <w:tab w:val="left" w:pos="5580" w:leader="none"/>
        </w:tabs>
        <w:rPr>
          <w:rFonts w:hint="eastAsia"/>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4</w:t>
      </w:r>
      <w:r>
        <w:rPr>
          <w:rFonts w:hint="eastAsia"/>
          <w:color w:val="auto"/>
          <w:sz w:val="24"/>
          <w:highlight w:val="none"/>
        </w:rPr>
        <w:t xml:space="preserve">）温馨提示：为方便广大中小企业识别企业规模类型，工业和信息化部组织开发了中小企业规模类型自测小程序，在国务院客户端和工业和信息化部网站上均有链接，</w:t>
      </w:r>
      <w:r>
        <w:rPr>
          <w:rFonts w:hint="eastAsia"/>
          <w:color w:val="auto"/>
          <w:sz w:val="24"/>
          <w:highlight w:val="none"/>
          <w:lang w:val="en-US" w:eastAsia="zh-CN"/>
        </w:rPr>
        <w:t xml:space="preserve">投标人</w:t>
      </w:r>
      <w:r>
        <w:rPr>
          <w:rFonts w:hint="eastAsia"/>
          <w:color w:val="auto"/>
          <w:sz w:val="24"/>
          <w:highlight w:val="none"/>
        </w:rPr>
        <w:t xml:space="preserve">填写所属的行业和指标数据可自动生成企业规模类型测试结果。（工信部网址：https://baosong.miit.gov.cn/ScaleTest）</w:t>
      </w:r>
      <w:r/>
    </w:p>
    <w:p>
      <w:pPr>
        <w:jc w:val="left"/>
        <w:widowControl/>
        <w:rPr>
          <w:b/>
          <w:bCs/>
          <w:color w:val="auto"/>
          <w:sz w:val="24"/>
          <w:highlight w:val="none"/>
        </w:rPr>
      </w:pPr>
      <w:r>
        <w:rPr>
          <w:color w:val="auto"/>
          <w:sz w:val="24"/>
          <w:szCs w:val="20"/>
          <w:highlight w:val="none"/>
        </w:rPr>
        <w:br w:type="page" w:clear="all"/>
      </w:r>
      <w:r/>
    </w:p>
    <w:p>
      <w:pPr>
        <w:jc w:val="center"/>
        <w:spacing w:before="240" w:after="240" w:line="360" w:lineRule="auto"/>
        <w:rPr>
          <w:b/>
          <w:bCs/>
          <w:color w:val="auto"/>
          <w:sz w:val="36"/>
          <w:szCs w:val="36"/>
          <w:highlight w:val="none"/>
        </w:rPr>
      </w:pPr>
      <w:r>
        <w:rPr>
          <w:rFonts w:hint="eastAsia"/>
          <w:b/>
          <w:bCs/>
          <w:color w:val="auto"/>
          <w:sz w:val="36"/>
          <w:szCs w:val="36"/>
          <w:highlight w:val="none"/>
        </w:rPr>
        <w:t xml:space="preserve">中小企业声明函</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color w:val="auto"/>
          <w:spacing w:val="6"/>
          <w:sz w:val="24"/>
          <w:highlight w:val="none"/>
          <w:u w:val="single"/>
        </w:rPr>
        <w:t xml:space="preserve">（</w:t>
      </w:r>
      <w:r>
        <w:rPr>
          <w:rFonts w:hint="eastAsia"/>
          <w:color w:val="auto"/>
          <w:spacing w:val="6"/>
          <w:sz w:val="24"/>
          <w:highlight w:val="none"/>
          <w:u w:val="single"/>
        </w:rPr>
        <w:t xml:space="preserve">此处填</w:t>
      </w:r>
      <w:r>
        <w:rPr>
          <w:rFonts w:hint="eastAsia"/>
          <w:color w:val="auto"/>
          <w:spacing w:val="6"/>
          <w:sz w:val="24"/>
          <w:highlight w:val="none"/>
          <w:u w:val="single"/>
          <w:lang w:val="en-US" w:eastAsia="zh-CN"/>
        </w:rPr>
        <w:t xml:space="preserve">供应商</w:t>
      </w:r>
      <w:r>
        <w:rPr>
          <w:color w:val="auto"/>
          <w:spacing w:val="6"/>
          <w:sz w:val="24"/>
          <w:highlight w:val="none"/>
          <w:u w:val="single"/>
        </w:rPr>
        <w:t xml:space="preserve">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江苏尚阳工程管理有限公司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采购人</w:t>
      </w:r>
      <w:r>
        <w:rPr>
          <w:rFonts w:hint="eastAsia" w:ascii="宋体" w:hAnsi="宋体" w:eastAsia="宋体" w:cs="宋体"/>
          <w:color w:val="auto"/>
          <w:sz w:val="24"/>
          <w:szCs w:val="24"/>
          <w:highlight w:val="none"/>
          <w:u w:val="single"/>
        </w:rPr>
        <w:t xml:space="preserve">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p>
    <w:p>
      <w:pPr>
        <w:ind w:firstLine="360"/>
        <w:spacing w:line="57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企业名称（加盖CA电子公章）⑫：</w:t>
      </w:r>
      <w:r/>
    </w:p>
    <w:p>
      <w:pPr>
        <w:ind w:right="480" w:firstLine="540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名称①）：填写本项目采购人单位名称，如常州市XXX局。</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2.采购编号为②：填写本项目编号，如JSZC-3204XX-SYZB-</w:t>
      </w:r>
      <w:r>
        <w:rPr>
          <w:rFonts w:hint="eastAsia" w:ascii="宋体" w:hAnsi="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20XX-XX。</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3.（项目名称③）：填写本项目名称，如常州市XXX项目。</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4.（分包号：④）：填写分包编号，如有分包的，分别填写分包号，没有的填“无”。</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5.（标的名称⑤）：填写本项目标的名称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如XX服务</w:t>
      </w:r>
      <w:r>
        <w:rPr>
          <w:rFonts w:hint="eastAsia" w:ascii="宋体" w:hAnsi="宋体" w:eastAsia="宋体" w:cs="宋体"/>
          <w:color w:val="auto"/>
          <w:sz w:val="24"/>
          <w:szCs w:val="24"/>
          <w:highlight w:val="none"/>
        </w:rPr>
        <w:t xml:space="preserve">。</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6.（采购文件中明确的所属行业⑥）：填写本项目采购标的所属行业。须根据采购文件“第二章  供应商须知”表格中列明的所属行业进行填写。如：</w:t>
      </w:r>
      <w:r>
        <w:rPr>
          <w:rFonts w:hint="eastAsia" w:ascii="宋体" w:hAnsi="宋体" w:eastAsia="宋体" w:cs="宋体"/>
          <w:color w:val="auto"/>
          <w:sz w:val="24"/>
          <w:szCs w:val="24"/>
          <w:highlight w:val="none"/>
          <w:lang w:val="en-US" w:eastAsia="zh-CN"/>
        </w:rPr>
        <w:t xml:space="preserve">其他未列明行业</w:t>
      </w:r>
      <w:r>
        <w:rPr>
          <w:rFonts w:hint="eastAsia" w:ascii="宋体" w:hAnsi="宋体" w:eastAsia="宋体" w:cs="宋体"/>
          <w:color w:val="auto"/>
          <w:sz w:val="24"/>
          <w:szCs w:val="24"/>
          <w:highlight w:val="none"/>
        </w:rPr>
        <w:t xml:space="preserve">。</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7.（企业名称⑦）：填写</w:t>
      </w:r>
      <w:r>
        <w:rPr>
          <w:rFonts w:hint="eastAsia" w:ascii="宋体" w:hAnsi="宋体" w:eastAsia="宋体" w:cs="宋体"/>
          <w:b/>
          <w:bCs/>
          <w:color w:val="auto"/>
          <w:sz w:val="24"/>
          <w:szCs w:val="24"/>
          <w:highlight w:val="none"/>
        </w:rPr>
        <w:t xml:space="preserve">投标人的名称</w:t>
      </w:r>
      <w:r>
        <w:rPr>
          <w:rFonts w:hint="eastAsia" w:ascii="宋体" w:hAnsi="宋体" w:eastAsia="宋体" w:cs="宋体"/>
          <w:color w:val="auto"/>
          <w:sz w:val="24"/>
          <w:szCs w:val="24"/>
          <w:highlight w:val="none"/>
        </w:rPr>
        <w:t xml:space="preserve">，如XXX公司。</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8.从业人员⑧人，营业收入为⑨万元，资产总额为⑩万元：填报</w:t>
      </w:r>
      <w:r>
        <w:rPr>
          <w:rFonts w:hint="eastAsia" w:ascii="宋体" w:hAnsi="宋体" w:eastAsia="宋体" w:cs="宋体"/>
          <w:b/>
          <w:bCs/>
          <w:color w:val="auto"/>
          <w:sz w:val="24"/>
          <w:szCs w:val="24"/>
          <w:highlight w:val="none"/>
        </w:rPr>
        <w:t xml:space="preserve">投标人</w:t>
      </w:r>
      <w:r>
        <w:rPr>
          <w:rFonts w:hint="eastAsia" w:ascii="宋体" w:hAnsi="宋体" w:eastAsia="宋体" w:cs="宋体"/>
          <w:color w:val="auto"/>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9.（中型企业、小型企业、微型企业</w:t>
      </w:r>
      <w:r>
        <w:rPr>
          <w:rFonts w:hint="eastAsia" w:ascii="宋体" w:hAnsi="宋体" w:eastAsia="宋体" w:cs="宋体"/>
          <w:color w:val="auto"/>
          <w:sz w:val="24"/>
          <w:szCs w:val="24"/>
          <w:highlight w:val="none"/>
          <w:u w:val="single"/>
        </w:rPr>
        <w:t xml:space="preserve">⑪</w:t>
      </w:r>
      <w:r>
        <w:rPr>
          <w:rFonts w:hint="eastAsia" w:ascii="宋体" w:hAnsi="宋体" w:eastAsia="宋体" w:cs="宋体"/>
          <w:color w:val="auto"/>
          <w:sz w:val="24"/>
          <w:szCs w:val="24"/>
          <w:highlight w:val="none"/>
        </w:rPr>
        <w:t xml:space="preserve">）：根据</w:t>
      </w:r>
      <w:r>
        <w:rPr>
          <w:rFonts w:hint="eastAsia" w:ascii="宋体" w:hAnsi="宋体" w:eastAsia="宋体" w:cs="宋体"/>
          <w:b/>
          <w:bCs/>
          <w:color w:val="auto"/>
          <w:sz w:val="24"/>
          <w:szCs w:val="24"/>
          <w:highlight w:val="none"/>
        </w:rPr>
        <w:t xml:space="preserve">投标人</w:t>
      </w:r>
      <w:r>
        <w:rPr>
          <w:rFonts w:hint="eastAsia" w:ascii="宋体" w:hAnsi="宋体" w:eastAsia="宋体" w:cs="宋体"/>
          <w:color w:val="auto"/>
          <w:sz w:val="24"/>
          <w:szCs w:val="24"/>
          <w:highlight w:val="none"/>
        </w:rPr>
        <w:t xml:space="preserve">的企业规模情况填写中型企业、小型企业或微型企业</w:t>
      </w:r>
      <w:r>
        <w:rPr>
          <w:rFonts w:hint="eastAsia" w:ascii="宋体" w:hAnsi="宋体" w:eastAsia="宋体" w:cs="宋体"/>
          <w:b/>
          <w:bCs/>
          <w:color w:val="auto"/>
          <w:sz w:val="24"/>
          <w:szCs w:val="24"/>
          <w:highlight w:val="none"/>
        </w:rPr>
        <w:t xml:space="preserve">（只能填写三种其中的一种）</w:t>
      </w:r>
      <w:r>
        <w:rPr>
          <w:rFonts w:hint="eastAsia" w:ascii="宋体" w:hAnsi="宋体" w:eastAsia="宋体" w:cs="宋体"/>
          <w:color w:val="auto"/>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10.企业名称（盖章）⑫：加盖</w:t>
      </w:r>
      <w:r>
        <w:rPr>
          <w:rFonts w:hint="eastAsia" w:ascii="宋体" w:hAnsi="宋体" w:eastAsia="宋体" w:cs="宋体"/>
          <w:b/>
          <w:bCs/>
          <w:color w:val="auto"/>
          <w:sz w:val="24"/>
          <w:szCs w:val="24"/>
          <w:highlight w:val="none"/>
        </w:rPr>
        <w:t xml:space="preserve">投标人</w:t>
      </w:r>
      <w:r>
        <w:rPr>
          <w:rFonts w:hint="eastAsia" w:ascii="宋体" w:hAnsi="宋体" w:eastAsia="宋体" w:cs="宋体"/>
          <w:color w:val="auto"/>
          <w:sz w:val="24"/>
          <w:szCs w:val="24"/>
          <w:highlight w:val="none"/>
        </w:rPr>
        <w:t xml:space="preserve">CA电子公章。</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11.如是</w:t>
      </w:r>
      <w:r>
        <w:rPr>
          <w:rFonts w:hint="eastAsia" w:ascii="宋体" w:hAnsi="宋体" w:eastAsia="宋体" w:cs="宋体"/>
          <w:b/>
          <w:color w:val="auto"/>
          <w:sz w:val="24"/>
          <w:szCs w:val="24"/>
          <w:highlight w:val="none"/>
        </w:rPr>
        <w:t xml:space="preserve">专门面向中小企业预留份额</w:t>
      </w:r>
      <w:r>
        <w:rPr>
          <w:rFonts w:hint="eastAsia" w:ascii="宋体" w:hAnsi="宋体" w:eastAsia="宋体" w:cs="宋体"/>
          <w:color w:val="auto"/>
          <w:sz w:val="24"/>
          <w:szCs w:val="24"/>
          <w:highlight w:val="none"/>
        </w:rPr>
        <w:t xml:space="preserve">的采购项目，供应商未提供此声明函的，资格审查不予通过，作为</w:t>
      </w:r>
      <w:r>
        <w:rPr>
          <w:rFonts w:hint="eastAsia" w:ascii="宋体" w:hAnsi="宋体" w:eastAsia="宋体" w:cs="宋体"/>
          <w:b/>
          <w:color w:val="auto"/>
          <w:sz w:val="24"/>
          <w:szCs w:val="24"/>
          <w:highlight w:val="none"/>
        </w:rPr>
        <w:t xml:space="preserve">无效投标（响应）</w:t>
      </w:r>
      <w:r>
        <w:rPr>
          <w:rFonts w:hint="eastAsia" w:ascii="宋体" w:hAnsi="宋体" w:eastAsia="宋体" w:cs="宋体"/>
          <w:color w:val="auto"/>
          <w:sz w:val="24"/>
          <w:szCs w:val="24"/>
          <w:highlight w:val="none"/>
        </w:rPr>
        <w:t xml:space="preserve">。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r/>
    </w:p>
    <w:p>
      <w:pPr>
        <w:pStyle w:val="1532"/>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12.温馨提示</w:t>
      </w:r>
      <w:r/>
    </w:p>
    <w:p>
      <w:pPr>
        <w:pStyle w:val="1532"/>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（1）对于已纳入统计部门统计范围的企业，所属行业、从业人员、营业收入、资产总额、规模类型应与统计部门报表保持一致。</w:t>
      </w:r>
      <w:r/>
    </w:p>
    <w:p>
      <w:pPr>
        <w:pStyle w:val="1532"/>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532"/>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532"/>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（4）对于采购文件确实允许非独立法人参与采购活动的，应按其所属集团公司合并财务报表数据情况予以填报。</w:t>
      </w:r>
      <w:r/>
    </w:p>
    <w:p>
      <w:pPr>
        <w:pStyle w:val="1532"/>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（5）《中小企业声明函》真实性由其出具的供应商负责。《中小企业声明函》中相关企业[制造商、承接企业]所属行业应当与采购标的的所属行业相一致。《中小企业声明函》应当充分、准确反映供应商的信息。</w:t>
      </w:r>
      <w:r/>
    </w:p>
    <w:p>
      <w:pPr>
        <w:pStyle w:val="1532"/>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532"/>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spacing w:line="360" w:lineRule="auto"/>
        <w:rPr>
          <w:color w:val="auto"/>
          <w:sz w:val="24"/>
          <w:szCs w:val="20"/>
          <w:highlight w:val="none"/>
        </w:rPr>
        <w:outlineLvl w:val="2"/>
      </w:pPr>
      <w:r>
        <w:rPr>
          <w:color w:val="auto"/>
          <w:sz w:val="24"/>
          <w:szCs w:val="20"/>
          <w:highlight w:val="none"/>
        </w:rPr>
        <w:br w:type="page" w:clear="all"/>
      </w:r>
      <w:r/>
    </w:p>
    <w:p>
      <w:pPr>
        <w:jc w:val="center"/>
        <w:spacing w:before="240" w:after="240" w:line="360" w:lineRule="auto"/>
        <w:rPr>
          <w:color w:val="auto"/>
          <w:sz w:val="36"/>
          <w:szCs w:val="36"/>
          <w:highlight w:val="none"/>
        </w:rPr>
      </w:pPr>
      <w:r>
        <w:rPr>
          <w:b/>
          <w:bCs/>
          <w:color w:val="auto"/>
          <w:sz w:val="36"/>
          <w:szCs w:val="36"/>
          <w:highlight w:val="none"/>
        </w:rPr>
        <w:t xml:space="preserve">残疾人福利性单位声明函格式</w:t>
      </w:r>
      <w:r>
        <w:rPr>
          <w:color w:val="auto"/>
          <w:sz w:val="36"/>
          <w:szCs w:val="36"/>
          <w:highlight w:val="none"/>
        </w:rPr>
        <w:t xml:space="preserve"> </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w:t>
      </w:r>
      <w:r>
        <w:rPr>
          <w:rFonts w:hint="eastAsia"/>
          <w:color w:val="auto"/>
          <w:spacing w:val="6"/>
          <w:sz w:val="24"/>
          <w:highlight w:val="none"/>
        </w:rPr>
        <w:t xml:space="preserve">，</w:t>
      </w:r>
      <w:r>
        <w:rPr>
          <w:color w:val="auto"/>
          <w:spacing w:val="6"/>
          <w:sz w:val="24"/>
          <w:highlight w:val="none"/>
        </w:rPr>
        <w:t xml:space="preserve">由本单位提供服务。</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 xml:space="preserve">单位名称（加盖公章）：</w:t>
      </w:r>
      <w:r/>
    </w:p>
    <w:p>
      <w:pPr>
        <w:ind w:firstLine="504"/>
        <w:spacing w:line="588" w:lineRule="exact"/>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 xml:space="preserve">日  期：</w:t>
      </w:r>
      <w:r/>
    </w:p>
    <w:p>
      <w:pPr>
        <w:spacing w:line="360" w:lineRule="auto"/>
        <w:rPr>
          <w:rFonts w:hint="eastAsia" w:ascii="Times New Roman" w:hAnsi="Times New Roman" w:eastAsia="宋体" w:cs="Times New Roman"/>
          <w:color w:val="auto"/>
          <w:sz w:val="24"/>
          <w:highlight w:val="none"/>
        </w:rPr>
      </w:pPr>
      <w:r>
        <w:rPr>
          <w:rFonts w:ascii="Times New Roman" w:hAnsi="Times New Roman" w:eastAsia="宋体" w:cs="Times New Roman"/>
          <w:color w:val="auto"/>
          <w:spacing w:val="6"/>
          <w:sz w:val="24"/>
          <w:highlight w:val="none"/>
        </w:rPr>
        <w:br w:type="page" w:clear="all"/>
      </w:r>
      <w:r>
        <w:rPr>
          <w:rFonts w:hint="eastAsia"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 本项目的特定资格要求</w:t>
      </w:r>
      <w:r/>
    </w:p>
    <w:p>
      <w:pPr>
        <w:spacing w:line="360" w:lineRule="auto"/>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3.3.1投标人须满足以下任一资质要求：</w:t>
      </w:r>
      <w:r/>
    </w:p>
    <w:p>
      <w:pPr>
        <w:spacing w:line="360" w:lineRule="auto"/>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A.具有城市及道路照明工程专业承包三级及以上资质或建筑机电安装工程专业承包三级及以上资质，并同时持有有效的安全生产许可证。</w:t>
      </w:r>
      <w:r/>
    </w:p>
    <w:p>
      <w:pPr>
        <w:spacing w:line="360" w:lineRule="auto"/>
        <w:rPr>
          <w:rFonts w:ascii="宋体" w:hAnsi="宋体"/>
          <w:b/>
          <w:color w:val="auto"/>
          <w:sz w:val="32"/>
          <w:szCs w:val="32"/>
          <w:highlight w:val="none"/>
        </w:rPr>
      </w:pPr>
      <w:r>
        <w:rPr>
          <w:rFonts w:hint="eastAsia" w:cs="Times New Roman"/>
          <w:color w:val="auto"/>
          <w:sz w:val="24"/>
          <w:highlight w:val="none"/>
          <w:lang w:val="en-US" w:eastAsia="zh-CN"/>
        </w:rPr>
        <w:t xml:space="preserve">B.具有国家电力监管部门颁发的承装（修、试）电力设施许可证，其许可范围包含三级（35千伏以下）及以上承装、承修、承试资格（适用于新版许可），或五级及以上承装、承修、承试资格（适用于旧版许可）。 </w:t>
      </w:r>
      <w:r>
        <w:rPr>
          <w:rFonts w:hint="eastAsia" w:cs="Times New Roman"/>
          <w:color w:val="auto"/>
          <w:sz w:val="24"/>
          <w:highlight w:val="none"/>
          <w:lang w:val="en-US" w:eastAsia="zh-CN"/>
        </w:rPr>
        <w:br w:type="page" w:clear="all"/>
      </w:r>
      <w:r>
        <w:rPr>
          <w:rFonts w:ascii="宋体" w:hAnsi="宋体"/>
          <w:b/>
          <w:color w:val="auto"/>
          <w:sz w:val="32"/>
          <w:szCs w:val="32"/>
          <w:highlight w:val="none"/>
        </w:rPr>
        <w:t xml:space="preserve">二、商务技术文件格式</w:t>
      </w:r>
      <w:bookmarkStart w:id="817" w:name="_Toc226965829"/>
      <w:r/>
      <w:bookmarkStart w:id="818" w:name="_Toc150480794"/>
      <w:r/>
      <w:bookmarkStart w:id="819" w:name="_Ref467988698"/>
      <w:r/>
      <w:bookmarkStart w:id="820" w:name="_Toc226965746"/>
      <w:r/>
      <w:bookmarkStart w:id="821" w:name="_Toc480942349"/>
      <w:r/>
      <w:bookmarkStart w:id="822" w:name="_Toc195842921"/>
      <w:r/>
      <w:bookmarkStart w:id="823" w:name="_Toc127151556"/>
      <w:r/>
      <w:bookmarkStart w:id="824" w:name="_Toc150774761"/>
      <w:r/>
      <w:bookmarkStart w:id="825" w:name="_Toc520356217"/>
      <w:r/>
      <w:bookmarkStart w:id="826" w:name="_Toc142311058"/>
      <w:r/>
      <w:bookmarkStart w:id="827" w:name="_Toc226337252"/>
      <w:r/>
      <w:bookmarkStart w:id="828" w:name="_Toc226309800"/>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color w:val="auto"/>
          <w:sz w:val="24"/>
          <w:szCs w:val="20"/>
          <w:highlight w:val="none"/>
        </w:rPr>
      </w:pPr>
      <w:r>
        <w:rPr>
          <w:rFonts w:hint="eastAsia"/>
          <w:color w:val="auto"/>
          <w:sz w:val="24"/>
          <w:highlight w:val="none"/>
        </w:rPr>
        <w:t xml:space="preserve">1</w:t>
      </w:r>
      <w:r>
        <w:rPr>
          <w:color w:val="auto"/>
          <w:sz w:val="24"/>
          <w:szCs w:val="20"/>
          <w:highlight w:val="none"/>
        </w:rPr>
        <w:t xml:space="preserve">  </w:t>
      </w:r>
      <w:r>
        <w:rPr>
          <w:color w:val="auto"/>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color w:val="auto"/>
          <w:sz w:val="24"/>
          <w:highlight w:val="none"/>
        </w:rPr>
        <w:t xml:space="preserve">函</w:t>
      </w:r>
      <w:r>
        <w:rPr>
          <w:rFonts w:hint="eastAsia"/>
          <w:color w:val="auto"/>
          <w:sz w:val="24"/>
          <w:szCs w:val="20"/>
          <w:highlight w:val="none"/>
        </w:rPr>
        <w:t xml:space="preserve"> </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投标函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我方参加你方就___________（项目名称，项目编号）组织的招标活动，并对此项目进行投标。</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已详细审查全部招标文件</w:t>
      </w:r>
      <w:r>
        <w:rPr>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（1）本投标有效期为自提交投标文件的截止之日起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与本投标有关的一切正式往来信函请寄：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投标人名称（加盖公章）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829" w:name="_Hlt520355938"/>
      <w:r/>
      <w:bookmarkEnd w:id="829"/>
      <w:r/>
      <w:bookmarkStart w:id="830" w:name="_Hlt520356243"/>
      <w:r/>
      <w:bookmarkEnd w:id="830"/>
      <w:r>
        <w:rPr>
          <w:color w:val="auto"/>
          <w:sz w:val="24"/>
          <w:highlight w:val="none"/>
        </w:rPr>
        <w:br w:type="page" w:clear="all"/>
      </w: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法定代表人资格证明书</w:t>
      </w:r>
      <w:r>
        <w:rPr>
          <w:rFonts w:hint="eastAsia"/>
          <w:color w:val="auto"/>
          <w:sz w:val="24"/>
          <w:szCs w:val="20"/>
          <w:highlight w:val="none"/>
        </w:rPr>
        <w:t xml:space="preserve"> </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287"/>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电子件。</w:t>
      </w:r>
      <w:r/>
    </w:p>
    <w:tbl>
      <w:tblPr>
        <w:tblStyle w:val="12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或签章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rPr>
          <w:color w:val="auto"/>
          <w:highlight w:val="none"/>
        </w:rPr>
      </w:pPr>
      <w:r>
        <w:rPr>
          <w:color w:val="auto"/>
          <w:highlight w:val="none"/>
        </w:rPr>
      </w:r>
      <w:r/>
    </w:p>
    <w:p>
      <w:pPr>
        <w:jc w:val="left"/>
        <w:widowControl/>
        <w:rPr>
          <w:rFonts w:ascii="宋体" w:hAnsi="宋体"/>
          <w:color w:val="auto"/>
          <w:sz w:val="24"/>
          <w:szCs w:val="20"/>
          <w:highlight w:val="none"/>
        </w:rPr>
      </w:pP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sectPr>
          <w:headerReference w:type="even" r:id="rId15"/>
          <w:headerReference w:type="first" r:id="rId16"/>
          <w:footerReference w:type="even" r:id="rId25"/>
          <w:footerReference w:type="first" r:id="rId26"/>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jc w:val="left"/>
        <w:widowControl/>
        <w:rPr>
          <w:color w:val="auto"/>
          <w:sz w:val="24"/>
          <w:highlight w:val="none"/>
        </w:rPr>
      </w:pPr>
      <w:r>
        <w:rPr>
          <w:rFonts w:hint="eastAsia"/>
          <w:color w:val="auto"/>
          <w:sz w:val="24"/>
          <w:highlight w:val="none"/>
        </w:rPr>
        <w:t xml:space="preserve">3  政府采购供应商信用承诺书</w:t>
      </w:r>
      <w:r>
        <w:rPr>
          <w:rFonts w:hint="eastAsia"/>
          <w:color w:val="auto"/>
          <w:sz w:val="24"/>
          <w:szCs w:val="20"/>
          <w:highlight w:val="none"/>
        </w:rPr>
        <w:t xml:space="preserve"> </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w:t>
      </w:r>
      <w:r>
        <w:rPr>
          <w:rFonts w:hint="eastAsia" w:ascii="宋体" w:hAnsi="宋体"/>
          <w:color w:val="auto"/>
          <w:sz w:val="24"/>
          <w:highlight w:val="none"/>
          <w:lang w:eastAsia="zh-CN"/>
        </w:rPr>
        <w:t xml:space="preserve">成分</w:t>
      </w:r>
      <w:r>
        <w:rPr>
          <w:rFonts w:hint="eastAsia" w:ascii="宋体" w:hAnsi="宋体"/>
          <w:color w:val="auto"/>
          <w:sz w:val="24"/>
          <w:highlight w:val="none"/>
        </w:rPr>
        <w:t xml:space="preserve">，并对所提供资料的真实性负责。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395"/>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jc w:val="left"/>
        <w:widowControl/>
        <w:rPr>
          <w:color w:val="auto"/>
          <w:sz w:val="24"/>
          <w:szCs w:val="20"/>
          <w:highlight w:val="none"/>
        </w:rPr>
      </w:pPr>
      <w:r/>
      <w:bookmarkStart w:id="831" w:name="_Hlt520343000"/>
      <w:r/>
      <w:bookmarkEnd w:id="831"/>
      <w:r/>
      <w:bookmarkStart w:id="832" w:name="_Hlt520274065"/>
      <w:r/>
      <w:bookmarkEnd w:id="832"/>
      <w:r/>
      <w:bookmarkStart w:id="833" w:name="_Hlt520355504"/>
      <w:r/>
      <w:bookmarkEnd w:id="833"/>
      <w:r/>
      <w:bookmarkStart w:id="834" w:name="_Hlt520273711"/>
      <w:r/>
      <w:bookmarkEnd w:id="834"/>
      <w:r/>
      <w:bookmarkStart w:id="835" w:name="_Hlt520350918"/>
      <w:r/>
      <w:bookmarkEnd w:id="835"/>
      <w:r/>
      <w:bookmarkStart w:id="836" w:name="_Hlt520343392"/>
      <w:r/>
      <w:bookmarkEnd w:id="836"/>
      <w:r/>
      <w:bookmarkStart w:id="837" w:name="_Hlt520274393"/>
      <w:r/>
      <w:bookmarkEnd w:id="837"/>
      <w:r/>
      <w:bookmarkStart w:id="838" w:name="_Hlt520271212"/>
      <w:r/>
      <w:bookmarkEnd w:id="838"/>
      <w:r/>
      <w:bookmarkStart w:id="839" w:name="_Hlt520274407"/>
      <w:r/>
      <w:bookmarkEnd w:id="839"/>
      <w:r/>
      <w:bookmarkStart w:id="840" w:name="_Hlt520274121"/>
      <w:r/>
      <w:bookmarkEnd w:id="840"/>
      <w:r/>
      <w:bookmarkStart w:id="841" w:name="_Ref467988705"/>
      <w:r/>
      <w:bookmarkStart w:id="842" w:name="_Toc226309801"/>
      <w:r/>
      <w:bookmarkStart w:id="843" w:name="_Toc264969247"/>
      <w:r/>
      <w:bookmarkStart w:id="844" w:name="_Toc226965747"/>
      <w:r/>
      <w:bookmarkStart w:id="845" w:name="_Toc520356218"/>
      <w:r/>
      <w:bookmarkStart w:id="846" w:name="_Toc265228395"/>
      <w:r/>
      <w:bookmarkStart w:id="847" w:name="_Toc305158899"/>
      <w:r/>
      <w:bookmarkStart w:id="848" w:name="_Toc150774762"/>
      <w:r/>
      <w:bookmarkStart w:id="849" w:name="_Toc150480795"/>
      <w:r/>
      <w:bookmarkStart w:id="850" w:name="_Toc305158825"/>
      <w:r/>
      <w:bookmarkStart w:id="851" w:name="_Toc142311059"/>
      <w:r/>
      <w:bookmarkStart w:id="852" w:name="_Toc195842922"/>
      <w:r/>
      <w:bookmarkStart w:id="853" w:name="_Toc226337253"/>
      <w:r/>
      <w:bookmarkStart w:id="854" w:name="_Toc226965830"/>
      <w:r/>
      <w:bookmarkStart w:id="855" w:name="_Toc480942350"/>
      <w:r/>
      <w:bookmarkStart w:id="856" w:name="_Toc127151557"/>
      <w:r>
        <w:rPr>
          <w:color w:val="auto"/>
          <w:sz w:val="24"/>
          <w:szCs w:val="20"/>
          <w:highlight w:val="none"/>
        </w:rPr>
        <w:br w:type="page" w:clear="all"/>
      </w:r>
      <w:r>
        <w:rPr>
          <w:rFonts w:hint="eastAsia"/>
          <w:color w:val="auto"/>
          <w:sz w:val="24"/>
          <w:szCs w:val="20"/>
          <w:highlight w:val="none"/>
        </w:rPr>
        <w:t xml:space="preserve">4</w:t>
      </w:r>
      <w:r>
        <w:rPr>
          <w:color w:val="auto"/>
          <w:sz w:val="24"/>
          <w:szCs w:val="20"/>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
    </w:p>
    <w:p>
      <w:pPr>
        <w:jc w:val="center"/>
        <w:spacing w:line="360" w:lineRule="exact"/>
        <w:rPr>
          <w:b/>
          <w:color w:val="auto"/>
          <w:sz w:val="36"/>
          <w:szCs w:val="36"/>
          <w:highlight w:val="none"/>
        </w:rPr>
      </w:pPr>
      <w:r/>
      <w:bookmarkStart w:id="857" w:name="_Toc264969248"/>
      <w:r/>
      <w:bookmarkStart w:id="858" w:name="_Toc226965831"/>
      <w:r/>
      <w:bookmarkStart w:id="859" w:name="_Toc265228396"/>
      <w:r/>
      <w:bookmarkStart w:id="860" w:name="_Toc305158826"/>
      <w:r/>
      <w:bookmarkStart w:id="861" w:name="_Toc226337254"/>
      <w:r/>
      <w:bookmarkStart w:id="862" w:name="_Toc164608827"/>
      <w:r/>
      <w:bookmarkStart w:id="863" w:name="_Toc305158900"/>
      <w:r/>
      <w:bookmarkStart w:id="864" w:name="_Toc226965748"/>
      <w:r/>
      <w:bookmarkStart w:id="865" w:name="_Toc195842923"/>
      <w:r/>
      <w:bookmarkStart w:id="866" w:name="_Toc164608672"/>
      <w:r/>
      <w:bookmarkStart w:id="867" w:name="_Toc226309802"/>
      <w:r>
        <w:rPr>
          <w:rFonts w:hint="eastAsia"/>
          <w:b/>
          <w:color w:val="auto"/>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jc w:val="left"/>
        <w:spacing w:line="360" w:lineRule="auto"/>
        <w:tabs>
          <w:tab w:val="left" w:pos="1800" w:leader="none"/>
          <w:tab w:val="left" w:pos="5580" w:leader="none"/>
        </w:tabs>
        <w:rPr>
          <w:i/>
          <w:color w:val="auto"/>
          <w:sz w:val="24"/>
          <w:highlight w:val="none"/>
        </w:rPr>
      </w:pPr>
      <w:r>
        <w:rPr>
          <w:i/>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w:t>
      </w:r>
      <w:r/>
    </w:p>
    <w:tbl>
      <w:tblPr>
        <w:tblStyle w:val="127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78"/>
        <w:gridCol w:w="3993"/>
        <w:gridCol w:w="3807"/>
      </w:tblGrid>
      <w:tr>
        <w:trPr>
          <w:jc w:val="center"/>
          <w:trHeight w:val="531"/>
        </w:trPr>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tabs>
                <w:tab w:val="left" w:pos="5580" w:leader="none"/>
              </w:tabs>
              <w:rPr>
                <w:b/>
                <w:color w:val="auto"/>
                <w:sz w:val="24"/>
                <w:highlight w:val="none"/>
              </w:rPr>
              <w:outlineLvl w:val="9"/>
            </w:pPr>
            <w:r>
              <w:rPr>
                <w:rFonts w:hint="eastAsia"/>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jc w:val="center"/>
              <w:tabs>
                <w:tab w:val="left" w:pos="5580" w:leader="none"/>
              </w:tabs>
              <w:rPr>
                <w:b/>
                <w:color w:val="auto"/>
                <w:sz w:val="24"/>
                <w:highlight w:val="none"/>
              </w:rPr>
              <w:outlineLvl w:val="9"/>
            </w:pPr>
            <w:r>
              <w:rPr>
                <w:rFonts w:hint="eastAsia"/>
                <w:b/>
                <w:color w:val="auto"/>
                <w:sz w:val="24"/>
                <w:highlight w:val="none"/>
                <w:lang w:val="en-US" w:eastAsia="zh-CN"/>
              </w:rPr>
              <w:t xml:space="preserve">投标人</w:t>
            </w:r>
            <w:r>
              <w:rPr>
                <w:rFonts w:hint="eastAsia"/>
                <w:b/>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center"/>
              <w:tabs>
                <w:tab w:val="left" w:pos="5580" w:leader="none"/>
              </w:tabs>
              <w:rPr>
                <w:rFonts w:hint="eastAsia" w:eastAsia="宋体"/>
                <w:b/>
                <w:color w:val="auto"/>
                <w:sz w:val="24"/>
                <w:highlight w:val="none"/>
                <w:lang w:eastAsia="zh-CN"/>
              </w:rPr>
              <w:outlineLvl w:val="9"/>
            </w:pPr>
            <w:r>
              <w:rPr>
                <w:rFonts w:hint="eastAsia"/>
                <w:b/>
                <w:color w:val="auto"/>
                <w:sz w:val="24"/>
                <w:highlight w:val="none"/>
                <w:lang w:eastAsia="zh-CN"/>
              </w:rPr>
              <w:t xml:space="preserve">优惠率</w:t>
            </w:r>
            <w:r>
              <w:rPr>
                <w:rFonts w:hint="eastAsia"/>
                <w:b/>
                <w:color w:val="auto"/>
                <w:sz w:val="24"/>
                <w:highlight w:val="none"/>
              </w:rPr>
              <w:t xml:space="preserve">（%）</w:t>
            </w:r>
            <w:r/>
          </w:p>
        </w:tc>
      </w:tr>
      <w:tr>
        <w:trPr>
          <w:jc w:val="center"/>
          <w:trHeight w:val="3050"/>
        </w:trPr>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tabs>
                <w:tab w:val="left" w:pos="5580" w:leader="none"/>
              </w:tabs>
              <w:rPr>
                <w:color w:val="auto"/>
                <w:sz w:val="24"/>
                <w:highlight w:val="none"/>
              </w:rPr>
              <w:outlineLvl w:val="9"/>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jc w:val="center"/>
              <w:tabs>
                <w:tab w:val="left" w:pos="5580" w:leader="none"/>
              </w:tabs>
              <w:rPr>
                <w:color w:val="auto"/>
                <w:sz w:val="24"/>
                <w:highlight w:val="none"/>
              </w:rPr>
              <w:outlineLvl w:val="9"/>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left"/>
              <w:tabs>
                <w:tab w:val="left" w:pos="5580" w:leader="none"/>
              </w:tabs>
              <w:rPr>
                <w:rFonts w:hint="default"/>
                <w:color w:val="auto"/>
                <w:sz w:val="24"/>
                <w:highlight w:val="none"/>
                <w:lang w:val="en-US"/>
              </w:rPr>
              <w:outlineLvl w:val="9"/>
            </w:pPr>
            <w:r>
              <w:rPr>
                <w:rFonts w:hint="default"/>
                <w:color w:val="auto"/>
                <w:sz w:val="24"/>
                <w:highlight w:val="none"/>
                <w:lang w:val="en-US"/>
              </w:rPr>
            </w:r>
            <w:r/>
          </w:p>
        </w:tc>
      </w:tr>
    </w:tbl>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rFonts w:hint="eastAsia"/>
          <w:color w:val="auto"/>
          <w:sz w:val="24"/>
          <w:highlight w:val="none"/>
          <w:lang w:eastAsia="zh-CN"/>
        </w:rPr>
        <w:t xml:space="preserve">投标人</w:t>
      </w:r>
      <w:r>
        <w:rPr>
          <w:color w:val="auto"/>
          <w:sz w:val="24"/>
          <w:highlight w:val="none"/>
        </w:rPr>
        <w:t xml:space="preserve">名称（加盖公章）</w:t>
      </w:r>
      <w:r>
        <w:rPr>
          <w:color w:val="auto"/>
          <w:sz w:val="24"/>
          <w:highlight w:val="none"/>
          <w:lang w:val="zh-CN"/>
        </w:rPr>
        <w:t xml:space="preserve">：____________</w:t>
      </w:r>
      <w:r/>
    </w:p>
    <w:p>
      <w:pPr>
        <w:spacing w:before="25" w:after="25" w:line="360" w:lineRule="auto"/>
        <w:rPr>
          <w:color w:val="auto"/>
          <w:sz w:val="36"/>
          <w:szCs w:val="36"/>
          <w:highlight w:val="none"/>
        </w:rPr>
      </w:pPr>
      <w:r>
        <w:rPr>
          <w:color w:val="auto"/>
          <w:sz w:val="24"/>
          <w:szCs w:val="20"/>
          <w:highlight w:val="none"/>
        </w:rPr>
        <w:t xml:space="preserve">日期：_____年______月______日   </w:t>
      </w:r>
      <w:bookmarkStart w:id="868" w:name="_Toc150480796"/>
      <w:r/>
      <w:bookmarkStart w:id="869" w:name="_Toc265228397"/>
      <w:r/>
      <w:bookmarkStart w:id="870" w:name="_Toc226965832"/>
      <w:r/>
      <w:bookmarkStart w:id="871" w:name="_Toc226337255"/>
      <w:r/>
      <w:bookmarkStart w:id="872" w:name="_Toc127151558"/>
      <w:r/>
      <w:bookmarkStart w:id="873" w:name="_Toc142311060"/>
      <w:r/>
      <w:bookmarkStart w:id="874" w:name="_Toc195842924"/>
      <w:r/>
      <w:bookmarkStart w:id="875" w:name="_Toc150774763"/>
      <w:r/>
      <w:bookmarkStart w:id="876" w:name="_Toc305158901"/>
      <w:r/>
      <w:bookmarkStart w:id="877" w:name="_Toc264969249"/>
      <w:r/>
      <w:bookmarkStart w:id="878" w:name="_Toc226309803"/>
      <w:r/>
      <w:bookmarkStart w:id="879" w:name="_Toc226965749"/>
      <w:r/>
      <w:bookmarkStart w:id="880" w:name="_Toc305158827"/>
      <w:r>
        <w:rPr>
          <w:color w:val="auto"/>
          <w:sz w:val="24"/>
          <w:szCs w:val="20"/>
          <w:highlight w:val="none"/>
        </w:rPr>
        <w:br w:type="page" w:clear="all"/>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
    </w:p>
    <w:p>
      <w:pPr>
        <w:spacing w:before="25" w:after="25" w:line="360" w:lineRule="auto"/>
        <w:rPr>
          <w:color w:val="auto"/>
          <w:sz w:val="24"/>
          <w:szCs w:val="20"/>
          <w:highlight w:val="none"/>
        </w:rPr>
      </w:pPr>
      <w:r/>
      <w:bookmarkStart w:id="881" w:name="_Toc150774765"/>
      <w:r/>
      <w:bookmarkStart w:id="882" w:name="_Toc127151562"/>
      <w:r/>
      <w:bookmarkStart w:id="883" w:name="_Toc226337258"/>
      <w:r/>
      <w:bookmarkStart w:id="884" w:name="_Toc195842927"/>
      <w:r/>
      <w:bookmarkStart w:id="885" w:name="_Toc142311062"/>
      <w:r/>
      <w:bookmarkStart w:id="886" w:name="_Toc264969252"/>
      <w:r/>
      <w:bookmarkStart w:id="887" w:name="_Toc226965752"/>
      <w:r/>
      <w:bookmarkStart w:id="888" w:name="_Toc226965835"/>
      <w:r/>
      <w:bookmarkStart w:id="889" w:name="_Toc265228400"/>
      <w:r/>
      <w:bookmarkStart w:id="890" w:name="_Toc305158830"/>
      <w:r/>
      <w:bookmarkStart w:id="891" w:name="_Toc305158904"/>
      <w:r/>
      <w:bookmarkStart w:id="892" w:name="_Toc150480798"/>
      <w:r/>
      <w:bookmarkStart w:id="893" w:name="_Toc226309806"/>
      <w:r/>
      <w:bookmarkStart w:id="894" w:name="_Toc142311061"/>
      <w:r/>
      <w:bookmarkStart w:id="895" w:name="_Toc150774764"/>
      <w:r/>
      <w:bookmarkStart w:id="896" w:name="_Toc264969251"/>
      <w:r/>
      <w:bookmarkStart w:id="897" w:name="_Toc265228399"/>
      <w:r/>
      <w:bookmarkStart w:id="898" w:name="_Toc226337257"/>
      <w:r/>
      <w:bookmarkStart w:id="899" w:name="_Toc195842926"/>
      <w:r/>
      <w:bookmarkStart w:id="900" w:name="_Toc305158903"/>
      <w:r/>
      <w:bookmarkStart w:id="901" w:name="_Toc150480797"/>
      <w:r/>
      <w:bookmarkStart w:id="902" w:name="_Toc305158829"/>
      <w:r/>
      <w:bookmarkStart w:id="903" w:name="_Toc226965751"/>
      <w:r/>
      <w:bookmarkStart w:id="904" w:name="_Toc226309805"/>
      <w:r/>
      <w:bookmarkStart w:id="905" w:name="_Toc127151561"/>
      <w:r/>
      <w:bookmarkStart w:id="906" w:name="_Toc226965834"/>
      <w:r>
        <w:rPr>
          <w:rFonts w:hint="eastAsia"/>
          <w:color w:val="auto"/>
          <w:sz w:val="24"/>
          <w:szCs w:val="20"/>
          <w:highlight w:val="none"/>
          <w:lang w:val="en-US" w:eastAsia="zh-CN"/>
        </w:rPr>
        <w:t xml:space="preserve">5</w:t>
      </w:r>
      <w:r>
        <w:rPr>
          <w:color w:val="auto"/>
          <w:sz w:val="24"/>
          <w:szCs w:val="20"/>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hint="eastAsia"/>
          <w:color w:val="auto"/>
          <w:sz w:val="24"/>
          <w:szCs w:val="20"/>
          <w:highlight w:val="none"/>
        </w:rPr>
        <w:t xml:space="preserve"> </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合同条款偏离表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项目编号：_____________________     项目名称：_____________</w:t>
      </w:r>
      <w:r/>
    </w:p>
    <w:tbl>
      <w:tblPr>
        <w:tblStyle w:val="12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w:t>
            </w:r>
            <w:r>
              <w:rPr>
                <w:b/>
                <w:color w:val="auto"/>
                <w:sz w:val="24"/>
                <w:highlight w:val="none"/>
              </w:rPr>
              <w:t xml:space="preserve">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如有偏离，</w:t>
            </w:r>
            <w:r>
              <w:rPr>
                <w:color w:val="auto"/>
                <w:sz w:val="24"/>
                <w:highlight w:val="none"/>
              </w:rPr>
              <w:t xml:space="preserve">则</w:t>
            </w:r>
            <w:r>
              <w:rPr>
                <w:rFonts w:hint="eastAsia"/>
                <w:color w:val="auto"/>
                <w:sz w:val="24"/>
                <w:highlight w:val="none"/>
              </w:rPr>
              <w:t xml:space="preserve">应</w:t>
            </w:r>
            <w:r>
              <w:rPr>
                <w:color w:val="auto"/>
                <w:sz w:val="24"/>
                <w:highlight w:val="none"/>
              </w:rPr>
              <w:t xml:space="preserve">在本表中对偏离项逐一列明）</w:t>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290"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1980"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1981" w:type="dxa"/>
            <w:vAlign w:val="center"/>
            <w:textDirection w:val="lrTb"/>
            <w:noWrap w:val="false"/>
          </w:tcPr>
          <w:p>
            <w:pPr>
              <w:jc w:val="center"/>
              <w:rPr>
                <w:color w:val="auto"/>
                <w:sz w:val="24"/>
                <w:highlight w:val="none"/>
              </w:rPr>
            </w:pPr>
            <w:r>
              <w:rPr>
                <w:color w:val="auto"/>
                <w:sz w:val="24"/>
                <w:highlight w:val="none"/>
              </w:rPr>
              <w:t xml:space="preserve">投标文件内容</w:t>
            </w:r>
            <w:r/>
          </w:p>
        </w:tc>
        <w:tc>
          <w:tcPr>
            <w:tcW w:w="2423"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2"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3"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3"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3"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t xml:space="preserve">……</w:t>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3"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w:t>
      </w:r>
      <w:r>
        <w:rPr>
          <w:rFonts w:hint="eastAsia"/>
          <w:color w:val="auto"/>
          <w:sz w:val="24"/>
          <w:highlight w:val="none"/>
        </w:rPr>
        <w:t xml:space="preserve">投标</w:t>
      </w:r>
      <w:r>
        <w:rPr>
          <w:rFonts w:hint="eastAsia"/>
          <w:color w:val="auto"/>
          <w:sz w:val="24"/>
          <w:highlight w:val="none"/>
          <w:lang w:val="en-US" w:eastAsia="zh-CN"/>
        </w:rPr>
        <w:t xml:space="preserve">人</w:t>
      </w:r>
      <w:r>
        <w:rPr>
          <w:color w:val="auto"/>
          <w:sz w:val="24"/>
          <w:highlight w:val="none"/>
        </w:rPr>
        <w:t xml:space="preserve">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 xml:space="preserve">6</w:t>
      </w:r>
      <w:r>
        <w:rPr>
          <w:color w:val="auto"/>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color w:val="auto"/>
          <w:sz w:val="24"/>
          <w:szCs w:val="20"/>
          <w:highlight w:val="none"/>
        </w:rPr>
        <w:t xml:space="preserve">采购需求偏离表</w:t>
      </w:r>
      <w:r>
        <w:rPr>
          <w:rFonts w:hint="eastAsia"/>
          <w:color w:val="auto"/>
          <w:sz w:val="24"/>
          <w:szCs w:val="20"/>
          <w:highlight w:val="none"/>
        </w:rPr>
        <w:t xml:space="preserve"> </w:t>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w:t>
      </w:r>
      <w:r/>
    </w:p>
    <w:tbl>
      <w:tblPr>
        <w:tblStyle w:val="12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招标文件条目号(页码)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招标文件要求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投标响应内容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t xml:space="preserve">……</w:t>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对招标文件中的所有商务、技术要求，除本表所列明的所有偏离外，均视作</w:t>
      </w:r>
      <w:r>
        <w:rPr>
          <w:rFonts w:hint="eastAsia"/>
          <w:color w:val="auto"/>
          <w:sz w:val="24"/>
          <w:highlight w:val="none"/>
          <w:lang w:eastAsia="zh-CN"/>
        </w:rPr>
        <w:t xml:space="preserve">投标人</w:t>
      </w:r>
      <w:r>
        <w:rPr>
          <w:color w:val="auto"/>
          <w:sz w:val="24"/>
          <w:highlight w:val="none"/>
        </w:rPr>
        <w:t xml:space="preserve">已对之理解和</w:t>
      </w:r>
      <w:r>
        <w:rPr>
          <w:rFonts w:hint="eastAsia"/>
          <w:color w:val="auto"/>
          <w:sz w:val="24"/>
          <w:highlight w:val="none"/>
        </w:rPr>
        <w:t xml:space="preserve">响应</w:t>
      </w:r>
      <w:r>
        <w:rPr>
          <w:color w:val="auto"/>
          <w:sz w:val="24"/>
          <w:highlight w:val="none"/>
        </w:rPr>
        <w:t xml:space="preserve">。</w:t>
      </w:r>
      <w:r>
        <w:rPr>
          <w:rFonts w:hint="eastAsia"/>
          <w:color w:val="auto"/>
          <w:sz w:val="24"/>
          <w:highlight w:val="none"/>
        </w:rPr>
        <w:t xml:space="preserve">此表中若无任何文字说明，内容为空白，</w:t>
      </w:r>
      <w:r>
        <w:rPr>
          <w:rFonts w:hint="eastAsia"/>
          <w:b/>
          <w:color w:val="auto"/>
          <w:sz w:val="24"/>
          <w:highlight w:val="none"/>
        </w:rPr>
        <w:t xml:space="preserve">投标无效。</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ind w:firstLine="480"/>
        <w:spacing w:line="588" w:lineRule="exact"/>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 xml:space="preserve">7</w:t>
      </w:r>
      <w:r>
        <w:rPr>
          <w:color w:val="auto"/>
          <w:sz w:val="24"/>
          <w:szCs w:val="20"/>
          <w:highlight w:val="none"/>
        </w:rPr>
        <w:t xml:space="preserve">  </w:t>
      </w:r>
      <w:r>
        <w:rPr>
          <w:rFonts w:hint="eastAsia"/>
          <w:color w:val="auto"/>
          <w:sz w:val="24"/>
          <w:szCs w:val="20"/>
          <w:highlight w:val="none"/>
        </w:rPr>
        <w:t xml:space="preserve">项目实施方案等，包括但不限于如下主题：</w:t>
      </w:r>
      <w:r/>
    </w:p>
    <w:p>
      <w:pPr>
        <w:ind w:firstLine="480"/>
        <w:spacing w:line="560" w:lineRule="exact"/>
        <w:rPr>
          <w:rFonts w:hint="eastAsia"/>
          <w:color w:val="auto"/>
          <w:sz w:val="24"/>
          <w:szCs w:val="20"/>
          <w:highlight w:val="none"/>
          <w:lang w:eastAsia="zh-CN"/>
        </w:rPr>
      </w:pPr>
      <w:r>
        <w:rPr>
          <w:rFonts w:hint="eastAsia"/>
          <w:color w:val="auto"/>
          <w:sz w:val="24"/>
          <w:szCs w:val="20"/>
          <w:highlight w:val="none"/>
          <w:lang w:eastAsia="zh-CN"/>
        </w:rPr>
        <w:t xml:space="preserve">（1）总体概述</w:t>
      </w:r>
      <w:r/>
    </w:p>
    <w:p>
      <w:pPr>
        <w:ind w:firstLine="480"/>
        <w:spacing w:line="560" w:lineRule="exact"/>
        <w:rPr>
          <w:rFonts w:hint="eastAsia"/>
          <w:color w:val="auto"/>
          <w:sz w:val="24"/>
          <w:szCs w:val="20"/>
          <w:highlight w:val="none"/>
          <w:lang w:eastAsia="zh-CN"/>
        </w:rPr>
      </w:pP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2</w:t>
      </w:r>
      <w:r>
        <w:rPr>
          <w:rFonts w:hint="eastAsia"/>
          <w:color w:val="auto"/>
          <w:sz w:val="24"/>
          <w:szCs w:val="20"/>
          <w:highlight w:val="none"/>
          <w:lang w:eastAsia="zh-CN"/>
        </w:rPr>
        <w:t xml:space="preserve">）实施方案</w:t>
      </w:r>
      <w:r/>
    </w:p>
    <w:p>
      <w:pPr>
        <w:ind w:firstLine="480"/>
        <w:spacing w:line="560" w:lineRule="exact"/>
        <w:rPr>
          <w:rFonts w:hint="eastAsia"/>
          <w:color w:val="auto"/>
          <w:sz w:val="24"/>
          <w:szCs w:val="20"/>
          <w:highlight w:val="none"/>
          <w:lang w:eastAsia="zh-CN"/>
        </w:rPr>
      </w:pP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3</w:t>
      </w:r>
      <w:r>
        <w:rPr>
          <w:rFonts w:hint="eastAsia"/>
          <w:color w:val="auto"/>
          <w:sz w:val="24"/>
          <w:szCs w:val="20"/>
          <w:highlight w:val="none"/>
          <w:lang w:eastAsia="zh-CN"/>
        </w:rPr>
        <w:t xml:space="preserve">）进度、质量保证措施方案</w:t>
      </w:r>
      <w:r/>
    </w:p>
    <w:p>
      <w:pPr>
        <w:ind w:firstLine="480"/>
        <w:spacing w:line="560" w:lineRule="exact"/>
        <w:rPr>
          <w:rFonts w:hint="eastAsia"/>
          <w:color w:val="auto"/>
          <w:sz w:val="24"/>
          <w:szCs w:val="20"/>
          <w:highlight w:val="none"/>
          <w:lang w:eastAsia="zh-CN"/>
        </w:rPr>
      </w:pP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4</w:t>
      </w:r>
      <w:r>
        <w:rPr>
          <w:rFonts w:hint="eastAsia"/>
          <w:color w:val="auto"/>
          <w:sz w:val="24"/>
          <w:szCs w:val="20"/>
          <w:highlight w:val="none"/>
          <w:lang w:eastAsia="zh-CN"/>
        </w:rPr>
        <w:t xml:space="preserve">）劳动力、机械设备和材料投入计划</w:t>
      </w:r>
      <w:r/>
    </w:p>
    <w:p>
      <w:pPr>
        <w:ind w:firstLine="480"/>
        <w:spacing w:line="560" w:lineRule="exact"/>
        <w:rPr>
          <w:rFonts w:hint="eastAsia"/>
          <w:color w:val="auto"/>
          <w:sz w:val="24"/>
          <w:szCs w:val="20"/>
          <w:highlight w:val="none"/>
          <w:lang w:eastAsia="zh-CN"/>
        </w:rPr>
      </w:pP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5</w:t>
      </w:r>
      <w:r>
        <w:rPr>
          <w:rFonts w:hint="eastAsia"/>
          <w:color w:val="auto"/>
          <w:sz w:val="24"/>
          <w:szCs w:val="20"/>
          <w:highlight w:val="none"/>
          <w:lang w:eastAsia="zh-CN"/>
        </w:rPr>
        <w:t xml:space="preserve">）关键施工技术、工艺及工程项目实施的重点、难点和解决方案</w:t>
      </w:r>
      <w:r/>
    </w:p>
    <w:p>
      <w:pPr>
        <w:ind w:firstLine="480"/>
        <w:spacing w:line="560" w:lineRule="exact"/>
        <w:rPr>
          <w:rFonts w:hint="eastAsia"/>
          <w:color w:val="auto"/>
          <w:sz w:val="24"/>
          <w:szCs w:val="20"/>
          <w:highlight w:val="none"/>
          <w:lang w:eastAsia="zh-CN"/>
        </w:rPr>
      </w:pP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6</w:t>
      </w:r>
      <w:r>
        <w:rPr>
          <w:rFonts w:hint="eastAsia"/>
          <w:color w:val="auto"/>
          <w:sz w:val="24"/>
          <w:szCs w:val="20"/>
          <w:highlight w:val="none"/>
          <w:lang w:eastAsia="zh-CN"/>
        </w:rPr>
        <w:t xml:space="preserve">）后期服务方案</w:t>
      </w:r>
      <w:r/>
    </w:p>
    <w:p>
      <w:pPr>
        <w:ind w:firstLine="480"/>
        <w:spacing w:line="560" w:lineRule="exact"/>
        <w:rPr>
          <w:rFonts w:hint="eastAsia"/>
          <w:color w:val="auto"/>
          <w:sz w:val="24"/>
          <w:szCs w:val="20"/>
          <w:highlight w:val="none"/>
        </w:rPr>
      </w:pPr>
      <w:r>
        <w:rPr>
          <w:rFonts w:hint="eastAsia"/>
          <w:color w:val="auto"/>
          <w:sz w:val="24"/>
          <w:szCs w:val="20"/>
          <w:highlight w:val="none"/>
        </w:rPr>
      </w:r>
      <w:r/>
    </w:p>
    <w:p>
      <w:pPr>
        <w:ind w:firstLine="480"/>
        <w:spacing w:line="560" w:lineRule="exact"/>
        <w:rPr>
          <w:rFonts w:hint="eastAsia"/>
          <w:color w:val="auto"/>
          <w:sz w:val="24"/>
          <w:szCs w:val="20"/>
          <w:highlight w:val="none"/>
          <w:lang w:eastAsia="zh-CN"/>
        </w:rPr>
        <w:outlineLvl w:val="9"/>
      </w:pPr>
      <w:r>
        <w:rPr>
          <w:rFonts w:hint="eastAsia"/>
          <w:color w:val="auto"/>
          <w:sz w:val="24"/>
          <w:szCs w:val="20"/>
          <w:highlight w:val="none"/>
          <w:lang w:eastAsia="zh-CN"/>
        </w:rPr>
      </w:r>
      <w:r/>
    </w:p>
    <w:p>
      <w:pPr>
        <w:ind w:firstLine="480"/>
        <w:spacing w:line="560" w:lineRule="exact"/>
        <w:rPr>
          <w:rFonts w:hint="eastAsia" w:eastAsia="宋体"/>
          <w:color w:val="auto"/>
          <w:sz w:val="24"/>
          <w:szCs w:val="20"/>
          <w:highlight w:val="none"/>
          <w:lang w:val="en-US" w:eastAsia="zh-CN"/>
        </w:rPr>
        <w:sectPr>
          <w:headerReference w:type="even" r:id="rId17"/>
          <w:headerReference w:type="first" r:id="rId18"/>
          <w:footerReference w:type="even" r:id="rId27"/>
          <w:footerReference w:type="first" r:id="rId28"/>
          <w:footnotePr/>
          <w:endnotePr/>
          <w:type w:val="nextPage"/>
          <w:pgSz w:w="11907" w:h="16840" w:orient="portrait"/>
          <w:pgMar w:top="1418" w:right="1134" w:bottom="1418" w:left="1701" w:header="851" w:footer="851" w:gutter="0"/>
          <w:cols w:num="1" w:sep="0" w:space="720" w:equalWidth="1"/>
          <w:docGrid w:linePitch="360"/>
        </w:sectPr>
      </w:pPr>
      <w:r>
        <w:rPr>
          <w:rFonts w:hint="eastAsia" w:eastAsia="宋体"/>
          <w:color w:val="auto"/>
          <w:sz w:val="24"/>
          <w:szCs w:val="20"/>
          <w:highlight w:val="none"/>
          <w:lang w:val="en-US" w:eastAsia="zh-CN"/>
        </w:rPr>
      </w:r>
      <w:r/>
    </w:p>
    <w:p>
      <w:pPr>
        <w:rPr>
          <w:color w:val="auto"/>
          <w:sz w:val="24"/>
          <w:szCs w:val="20"/>
          <w:highlight w:val="none"/>
        </w:rPr>
      </w:pPr>
      <w:r>
        <w:rPr>
          <w:rFonts w:hint="eastAsia"/>
          <w:color w:val="auto"/>
          <w:sz w:val="24"/>
          <w:szCs w:val="20"/>
          <w:highlight w:val="none"/>
          <w:lang w:val="en-US" w:eastAsia="zh-CN"/>
        </w:rPr>
        <w:t xml:space="preserve">8</w:t>
      </w:r>
      <w:r>
        <w:rPr>
          <w:rFonts w:hint="eastAsia"/>
          <w:color w:val="auto"/>
          <w:sz w:val="24"/>
          <w:szCs w:val="20"/>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279"/>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907" w:name="_Toc288738839"/>
      <w:r/>
      <w:bookmarkStart w:id="908" w:name="_Toc288738397"/>
      <w:r>
        <w:rPr>
          <w:rFonts w:hint="eastAsia"/>
          <w:color w:val="auto"/>
          <w:sz w:val="24"/>
          <w:szCs w:val="20"/>
          <w:highlight w:val="none"/>
          <w:lang w:val="en-US" w:eastAsia="zh-CN"/>
        </w:rPr>
        <w:t xml:space="preserve">9</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07"/>
      <w:r/>
      <w:bookmarkEnd w:id="908"/>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279"/>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rFonts w:hint="eastAsia"/>
          <w:color w:val="auto"/>
          <w:sz w:val="24"/>
          <w:szCs w:val="20"/>
          <w:highlight w:val="none"/>
          <w:lang w:val="en-US" w:eastAsia="zh-CN"/>
        </w:rPr>
        <w:t xml:space="preserve">10</w:t>
      </w:r>
      <w:r>
        <w:rPr>
          <w:rFonts w:hint="eastAsia"/>
          <w:color w:val="auto"/>
          <w:sz w:val="24"/>
          <w:szCs w:val="20"/>
          <w:highlight w:val="none"/>
        </w:rPr>
        <w:t xml:space="preserve">  </w:t>
      </w:r>
      <w:r>
        <w:rPr>
          <w:color w:val="auto"/>
          <w:sz w:val="24"/>
          <w:szCs w:val="20"/>
          <w:highlight w:val="none"/>
        </w:rPr>
        <w:t xml:space="preserve">招标文件要求提供或投标人认为应附的其他材料</w:t>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bookmarkEnd w:id="909"/>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egoe UI Symbol">
    <w:panose1 w:val="020B0502040204020203"/>
  </w:font>
  <w:font w:name="CESI黑体-GB2312">
    <w:panose1 w:val="020B0503020202020204"/>
  </w:font>
  <w:font w:name="Wingdings">
    <w:panose1 w:val="05000000000000000000"/>
  </w:font>
  <w:font w:name="方正仿宋_GB2312">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8"/>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8"/>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rPr>
        <w:rStyle w:val="13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8"/>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8"/>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p>
    <w:pPr>
      <w:pStyle w:val="1298"/>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8"/>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8"/>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p>
    <w:pPr>
      <w:pStyle w:val="129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8"/>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8"/>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p>
    <w:pPr>
      <w:pStyle w:val="129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rPr>
        <w:rStyle w:val="1318"/>
      </w:rPr>
      <w:framePr w:wrap="around" w:vAnchor="text" w:hAnchor="margin" w:xAlign="right" w:y="1"/>
    </w:pPr>
    <w:r>
      <w:rPr>
        <w:rStyle w:val="1318"/>
      </w:rPr>
      <w:fldChar w:fldCharType="begin"/>
    </w:r>
    <w:r>
      <w:rPr>
        <w:rStyle w:val="1318"/>
      </w:rPr>
      <w:instrText xml:space="preserve">PAGE  </w:instrText>
    </w:r>
    <w:r>
      <w:rPr>
        <w:rStyle w:val="1318"/>
      </w:rPr>
      <w:fldChar w:fldCharType="end"/>
    </w:r>
    <w:r/>
  </w:p>
  <w:p>
    <w:pPr>
      <w:pStyle w:val="1298"/>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rPr>
        <w:rStyle w:val="1318"/>
      </w:rPr>
      <w:framePr w:wrap="around" w:vAnchor="text" w:hAnchor="margin" w:xAlign="right" w:y="1"/>
    </w:pPr>
    <w:r>
      <w:rPr>
        <w:rStyle w:val="1318"/>
      </w:rPr>
      <w:fldChar w:fldCharType="begin"/>
    </w:r>
    <w:r>
      <w:rPr>
        <w:rStyle w:val="1318"/>
      </w:rPr>
      <w:instrText xml:space="preserve">PAGE  </w:instrText>
    </w:r>
    <w:r>
      <w:rPr>
        <w:rStyle w:val="1318"/>
      </w:rPr>
      <w:fldChar w:fldCharType="end"/>
    </w:r>
    <w:r/>
  </w:p>
  <w:p>
    <w:pPr>
      <w:pStyle w:val="1298"/>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jc w:val="right"/>
      <w:pBdr>
        <w:bottom w:val="single" w:color="auto" w:sz="4" w:space="1"/>
      </w:pBdr>
    </w:pPr>
    <w:r>
      <w:rPr>
        <w:rFonts w:hint="eastAsia"/>
        <w:lang w:eastAsia="zh-CN"/>
      </w:rPr>
      <w:t xml:space="preserve">遥观镇路灯管养维保项目</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jc w:val="right"/>
      <w:pBdr>
        <w:bottom w:val="single" w:color="auto" w:sz="4" w:space="1"/>
      </w:pBdr>
    </w:pPr>
    <w:r>
      <w:rPr>
        <w:rFonts w:hint="eastAsia"/>
        <w:lang w:eastAsia="zh-CN"/>
      </w:rPr>
      <w:t xml:space="preserve">遥观镇路灯管养维保项目</w:t>
    </w:r>
    <w:r>
      <w:rPr>
        <w:rFonts w:hint="eastAsia"/>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jc w:val="right"/>
    </w:pPr>
    <w:r>
      <w:rPr>
        <w:rFonts w:hint="eastAsia"/>
        <w:lang w:eastAsia="zh-CN"/>
      </w:rPr>
      <w:t xml:space="preserve">遥观镇路灯管养维保项目</w:t>
    </w:r>
    <w:r>
      <w:rPr>
        <w:rFonts w:hint="eastAsia"/>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jc w:val="right"/>
    </w:pPr>
    <w:r>
      <w:rPr>
        <w:rFonts w:hint="eastAsia"/>
        <w:lang w:eastAsia="zh-CN"/>
      </w:rPr>
      <w:t xml:space="preserve">遥观镇路灯管养维保项目</w:t>
    </w:r>
    <w:r>
      <w:rPr>
        <w:rFonts w:hint="eastAsia"/>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pPr>
    <w:r/>
    <w:r/>
  </w:p>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pStyle w:val="143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50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pStyle w:val="1444"/>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1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41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498"/>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509"/>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520"/>
      <w:isLgl/>
      <w:suff w:val="nothing"/>
      <w:lvlText w:val="%1.%2.%3.%4.%5.%6　"/>
      <w:lvlJc w:val="left"/>
      <w:pPr>
        <w:ind w:left="-25" w:firstLine="0"/>
      </w:pPr>
      <w:rPr>
        <w:rFonts w:hint="default" w:ascii="Times New Roman" w:hAnsi="Times New Roman" w:eastAsia="宋体"/>
        <w:b/>
        <w:i w:val="0"/>
        <w:sz w:val="28"/>
      </w:rPr>
    </w:lvl>
    <w:lvl w:ilvl="6">
      <w:start w:val="1"/>
      <w:numFmt w:val="lowerLetter"/>
      <w:pStyle w:val="1443"/>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457"/>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40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46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404"/>
      <w:isLgl w:val="false"/>
      <w:suff w:val="tab"/>
      <w:lvlText w:val="%1"/>
      <w:lvlJc w:val="left"/>
      <w:pPr>
        <w:ind w:left="680" w:hanging="680"/>
      </w:pPr>
      <w:rPr>
        <w:rFonts w:hint="eastAsia" w:ascii="宋体" w:hAnsi="宋体" w:eastAsia="宋体"/>
      </w:rPr>
    </w:lvl>
    <w:lvl w:ilvl="1">
      <w:start w:val="1"/>
      <w:numFmt w:val="decimal"/>
      <w:pStyle w:val="1468"/>
      <w:isLgl w:val="false"/>
      <w:suff w:val="tab"/>
      <w:lvlText w:val="%1.%2"/>
      <w:lvlJc w:val="left"/>
      <w:pPr>
        <w:ind w:left="851" w:hanging="851"/>
      </w:pPr>
      <w:rPr>
        <w:rFonts w:hint="eastAsia" w:ascii="宋体" w:hAnsi="宋体" w:eastAsia="宋体"/>
        <w:color w:val="auto"/>
      </w:rPr>
    </w:lvl>
    <w:lvl w:ilvl="2">
      <w:start w:val="1"/>
      <w:numFmt w:val="decimal"/>
      <w:pStyle w:val="143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9">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9"/>
  </w:num>
  <w:num w:numId="3">
    <w:abstractNumId w:val="5"/>
  </w:num>
  <w:num w:numId="4">
    <w:abstractNumId w:val="2"/>
  </w:num>
  <w:num w:numId="5">
    <w:abstractNumId w:val="4"/>
  </w:num>
  <w:num w:numId="6">
    <w:abstractNumId w:val="8"/>
  </w:num>
  <w:num w:numId="7">
    <w:abstractNumId w:val="3"/>
  </w:num>
  <w:num w:numId="8">
    <w:abstractNumId w:val="7"/>
  </w:num>
  <w:num w:numId="9">
    <w:abstractNumId w:val="13"/>
  </w:num>
  <w:num w:numId="10">
    <w:abstractNumId w:val="1"/>
  </w:num>
  <w:num w:numId="11">
    <w:abstractNumId w:val="18"/>
  </w:num>
  <w:num w:numId="12">
    <w:abstractNumId w:val="10"/>
  </w:num>
  <w:num w:numId="13">
    <w:abstractNumId w:val="16"/>
  </w:num>
  <w:num w:numId="14">
    <w:abstractNumId w:val="0"/>
  </w:num>
  <w:num w:numId="15">
    <w:abstractNumId w:val="11"/>
  </w:num>
  <w:num w:numId="16">
    <w:abstractNumId w:val="17"/>
  </w:num>
  <w:num w:numId="17">
    <w:abstractNumId w:val="15"/>
  </w:num>
  <w:num w:numId="18">
    <w:abstractNumId w:val="12"/>
  </w:num>
  <w:num w:numId="19">
    <w:abstractNumId w:val="14"/>
  </w:num>
  <w:num w:numId="20">
    <w:abstractNumId w:val="2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18">
    <w:name w:val="Heading 1 Char"/>
    <w:basedOn w:val="1278"/>
    <w:link w:val="1269"/>
    <w:uiPriority w:val="9"/>
    <w:rPr>
      <w:rFonts w:ascii="Arial" w:hAnsi="Arial" w:eastAsia="Arial" w:cs="Arial"/>
      <w:sz w:val="40"/>
      <w:szCs w:val="40"/>
    </w:rPr>
  </w:style>
  <w:style w:type="character" w:styleId="1119">
    <w:name w:val="Heading 2 Char"/>
    <w:basedOn w:val="1278"/>
    <w:link w:val="1270"/>
    <w:uiPriority w:val="9"/>
    <w:rPr>
      <w:rFonts w:ascii="Arial" w:hAnsi="Arial" w:eastAsia="Arial" w:cs="Arial"/>
      <w:sz w:val="34"/>
    </w:rPr>
  </w:style>
  <w:style w:type="character" w:styleId="1120">
    <w:name w:val="Heading 3 Char"/>
    <w:basedOn w:val="1278"/>
    <w:link w:val="1271"/>
    <w:uiPriority w:val="9"/>
    <w:rPr>
      <w:rFonts w:ascii="Arial" w:hAnsi="Arial" w:eastAsia="Arial" w:cs="Arial"/>
      <w:sz w:val="30"/>
      <w:szCs w:val="30"/>
    </w:rPr>
  </w:style>
  <w:style w:type="character" w:styleId="1121">
    <w:name w:val="Heading 4 Char"/>
    <w:basedOn w:val="1278"/>
    <w:link w:val="1272"/>
    <w:uiPriority w:val="9"/>
    <w:rPr>
      <w:rFonts w:ascii="Arial" w:hAnsi="Arial" w:eastAsia="Arial" w:cs="Arial"/>
      <w:b/>
      <w:bCs/>
      <w:sz w:val="26"/>
      <w:szCs w:val="26"/>
    </w:rPr>
  </w:style>
  <w:style w:type="character" w:styleId="1122">
    <w:name w:val="Heading 5 Char"/>
    <w:basedOn w:val="1278"/>
    <w:link w:val="1273"/>
    <w:uiPriority w:val="9"/>
    <w:rPr>
      <w:rFonts w:ascii="Arial" w:hAnsi="Arial" w:eastAsia="Arial" w:cs="Arial"/>
      <w:b/>
      <w:bCs/>
      <w:sz w:val="24"/>
      <w:szCs w:val="24"/>
    </w:rPr>
  </w:style>
  <w:style w:type="character" w:styleId="1123">
    <w:name w:val="Heading 6 Char"/>
    <w:basedOn w:val="1278"/>
    <w:link w:val="1274"/>
    <w:uiPriority w:val="9"/>
    <w:rPr>
      <w:rFonts w:ascii="Arial" w:hAnsi="Arial" w:eastAsia="Arial" w:cs="Arial"/>
      <w:b/>
      <w:bCs/>
      <w:sz w:val="22"/>
      <w:szCs w:val="22"/>
    </w:rPr>
  </w:style>
  <w:style w:type="character" w:styleId="1124">
    <w:name w:val="Heading 7 Char"/>
    <w:basedOn w:val="1278"/>
    <w:link w:val="1275"/>
    <w:uiPriority w:val="9"/>
    <w:rPr>
      <w:rFonts w:ascii="Arial" w:hAnsi="Arial" w:eastAsia="Arial" w:cs="Arial"/>
      <w:b/>
      <w:bCs/>
      <w:i/>
      <w:iCs/>
      <w:sz w:val="22"/>
      <w:szCs w:val="22"/>
    </w:rPr>
  </w:style>
  <w:style w:type="character" w:styleId="1125">
    <w:name w:val="Heading 8 Char"/>
    <w:basedOn w:val="1278"/>
    <w:link w:val="1276"/>
    <w:uiPriority w:val="9"/>
    <w:rPr>
      <w:rFonts w:ascii="Arial" w:hAnsi="Arial" w:eastAsia="Arial" w:cs="Arial"/>
      <w:i/>
      <w:iCs/>
      <w:sz w:val="22"/>
      <w:szCs w:val="22"/>
    </w:rPr>
  </w:style>
  <w:style w:type="character" w:styleId="1126">
    <w:name w:val="Heading 9 Char"/>
    <w:basedOn w:val="1278"/>
    <w:link w:val="1277"/>
    <w:uiPriority w:val="9"/>
    <w:rPr>
      <w:rFonts w:ascii="Arial" w:hAnsi="Arial" w:eastAsia="Arial" w:cs="Arial"/>
      <w:i/>
      <w:iCs/>
      <w:sz w:val="21"/>
      <w:szCs w:val="21"/>
    </w:rPr>
  </w:style>
  <w:style w:type="character" w:styleId="1127">
    <w:name w:val="Title Char"/>
    <w:basedOn w:val="1278"/>
    <w:link w:val="1312"/>
    <w:uiPriority w:val="10"/>
    <w:rPr>
      <w:sz w:val="48"/>
      <w:szCs w:val="48"/>
    </w:rPr>
  </w:style>
  <w:style w:type="character" w:styleId="1128">
    <w:name w:val="Subtitle Char"/>
    <w:basedOn w:val="1278"/>
    <w:link w:val="1303"/>
    <w:uiPriority w:val="11"/>
    <w:rPr>
      <w:sz w:val="24"/>
      <w:szCs w:val="24"/>
    </w:rPr>
  </w:style>
  <w:style w:type="paragraph" w:styleId="1129">
    <w:name w:val="Quote"/>
    <w:basedOn w:val="1268"/>
    <w:next w:val="1268"/>
    <w:link w:val="1130"/>
    <w:uiPriority w:val="29"/>
    <w:qFormat/>
    <w:pPr>
      <w:ind w:left="720" w:right="720"/>
    </w:pPr>
    <w:rPr>
      <w:i/>
    </w:rPr>
  </w:style>
  <w:style w:type="character" w:styleId="1130">
    <w:name w:val="Quote Char"/>
    <w:link w:val="1129"/>
    <w:uiPriority w:val="29"/>
    <w:rPr>
      <w:i/>
    </w:rPr>
  </w:style>
  <w:style w:type="paragraph" w:styleId="1131">
    <w:name w:val="Intense Quote"/>
    <w:basedOn w:val="1268"/>
    <w:next w:val="1268"/>
    <w:link w:val="11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2">
    <w:name w:val="Intense Quote Char"/>
    <w:link w:val="1131"/>
    <w:uiPriority w:val="30"/>
    <w:rPr>
      <w:i/>
    </w:rPr>
  </w:style>
  <w:style w:type="character" w:styleId="1133">
    <w:name w:val="Header Char"/>
    <w:basedOn w:val="1278"/>
    <w:link w:val="1300"/>
    <w:uiPriority w:val="99"/>
  </w:style>
  <w:style w:type="character" w:styleId="1134">
    <w:name w:val="Footer Char"/>
    <w:basedOn w:val="1278"/>
    <w:link w:val="1298"/>
    <w:uiPriority w:val="99"/>
  </w:style>
  <w:style w:type="character" w:styleId="1135">
    <w:name w:val="Caption Char"/>
    <w:basedOn w:val="1282"/>
    <w:link w:val="1298"/>
    <w:uiPriority w:val="99"/>
  </w:style>
  <w:style w:type="table" w:styleId="1136">
    <w:name w:val="Table Grid Light"/>
    <w:basedOn w:val="12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37">
    <w:name w:val="Plain Table 1"/>
    <w:basedOn w:val="12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8">
    <w:name w:val="Plain Table 2"/>
    <w:basedOn w:val="12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9">
    <w:name w:val="Plain Table 3"/>
    <w:basedOn w:val="12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0">
    <w:name w:val="Plain Table 4"/>
    <w:basedOn w:val="12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1">
    <w:name w:val="Plain Table 5"/>
    <w:basedOn w:val="12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42">
    <w:name w:val="Grid Table 1 Light"/>
    <w:basedOn w:val="12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43">
    <w:name w:val="Grid Table 1 Light - Accent 1"/>
    <w:basedOn w:val="12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44">
    <w:name w:val="Grid Table 1 Light - Accent 2"/>
    <w:basedOn w:val="12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45">
    <w:name w:val="Grid Table 1 Light - Accent 3"/>
    <w:basedOn w:val="12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46">
    <w:name w:val="Grid Table 1 Light - Accent 4"/>
    <w:basedOn w:val="12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47">
    <w:name w:val="Grid Table 1 Light - Accent 5"/>
    <w:basedOn w:val="12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48">
    <w:name w:val="Grid Table 1 Light - Accent 6"/>
    <w:basedOn w:val="12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49">
    <w:name w:val="Grid Table 2"/>
    <w:basedOn w:val="12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50">
    <w:name w:val="Grid Table 2 - Accent 1"/>
    <w:basedOn w:val="12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51">
    <w:name w:val="Grid Table 2 - Accent 2"/>
    <w:basedOn w:val="12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52">
    <w:name w:val="Grid Table 2 - Accent 3"/>
    <w:basedOn w:val="12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53">
    <w:name w:val="Grid Table 2 - Accent 4"/>
    <w:basedOn w:val="12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54">
    <w:name w:val="Grid Table 2 - Accent 5"/>
    <w:basedOn w:val="12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55">
    <w:name w:val="Grid Table 2 - Accent 6"/>
    <w:basedOn w:val="12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56">
    <w:name w:val="Grid Table 3"/>
    <w:basedOn w:val="12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7">
    <w:name w:val="Grid Table 3 - Accent 1"/>
    <w:basedOn w:val="12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8">
    <w:name w:val="Grid Table 3 - Accent 2"/>
    <w:basedOn w:val="12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9">
    <w:name w:val="Grid Table 3 - Accent 3"/>
    <w:basedOn w:val="12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0">
    <w:name w:val="Grid Table 3 - Accent 4"/>
    <w:basedOn w:val="12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1">
    <w:name w:val="Grid Table 3 - Accent 5"/>
    <w:basedOn w:val="12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2">
    <w:name w:val="Grid Table 3 - Accent 6"/>
    <w:basedOn w:val="12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3">
    <w:name w:val="Grid Table 4"/>
    <w:basedOn w:val="12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4">
    <w:name w:val="Grid Table 4 - Accent 1"/>
    <w:basedOn w:val="12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65">
    <w:name w:val="Grid Table 4 - Accent 2"/>
    <w:basedOn w:val="12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66">
    <w:name w:val="Grid Table 4 - Accent 3"/>
    <w:basedOn w:val="12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67">
    <w:name w:val="Grid Table 4 - Accent 4"/>
    <w:basedOn w:val="12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68">
    <w:name w:val="Grid Table 4 - Accent 5"/>
    <w:basedOn w:val="12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69">
    <w:name w:val="Grid Table 4 - Accent 6"/>
    <w:basedOn w:val="12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70">
    <w:name w:val="Grid Table 5 Dark"/>
    <w:basedOn w:val="12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71">
    <w:name w:val="Grid Table 5 Dark- Accent 1"/>
    <w:basedOn w:val="12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172">
    <w:name w:val="Grid Table 5 Dark - Accent 2"/>
    <w:basedOn w:val="12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173">
    <w:name w:val="Grid Table 5 Dark - Accent 3"/>
    <w:basedOn w:val="12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174">
    <w:name w:val="Grid Table 5 Dark- Accent 4"/>
    <w:basedOn w:val="12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175">
    <w:name w:val="Grid Table 5 Dark - Accent 5"/>
    <w:basedOn w:val="12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176">
    <w:name w:val="Grid Table 5 Dark - Accent 6"/>
    <w:basedOn w:val="12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177">
    <w:name w:val="Grid Table 6 Colorful"/>
    <w:basedOn w:val="12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78">
    <w:name w:val="Grid Table 6 Colorful - Accent 1"/>
    <w:basedOn w:val="12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179">
    <w:name w:val="Grid Table 6 Colorful - Accent 2"/>
    <w:basedOn w:val="12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180">
    <w:name w:val="Grid Table 6 Colorful - Accent 3"/>
    <w:basedOn w:val="12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181">
    <w:name w:val="Grid Table 6 Colorful - Accent 4"/>
    <w:basedOn w:val="12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182">
    <w:name w:val="Grid Table 6 Colorful - Accent 5"/>
    <w:basedOn w:val="12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183">
    <w:name w:val="Grid Table 6 Colorful - Accent 6"/>
    <w:basedOn w:val="12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184">
    <w:name w:val="Grid Table 7 Colorful"/>
    <w:basedOn w:val="12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85">
    <w:name w:val="Grid Table 7 Colorful - Accent 1"/>
    <w:basedOn w:val="12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86">
    <w:name w:val="Grid Table 7 Colorful - Accent 2"/>
    <w:basedOn w:val="12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87">
    <w:name w:val="Grid Table 7 Colorful - Accent 3"/>
    <w:basedOn w:val="12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88">
    <w:name w:val="Grid Table 7 Colorful - Accent 4"/>
    <w:basedOn w:val="12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89">
    <w:name w:val="Grid Table 7 Colorful - Accent 5"/>
    <w:basedOn w:val="12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90">
    <w:name w:val="Grid Table 7 Colorful - Accent 6"/>
    <w:basedOn w:val="12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91">
    <w:name w:val="List Table 1 Light"/>
    <w:basedOn w:val="12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2">
    <w:name w:val="List Table 1 Light - Accent 1"/>
    <w:basedOn w:val="127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93">
    <w:name w:val="List Table 1 Light - Accent 2"/>
    <w:basedOn w:val="127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94">
    <w:name w:val="List Table 1 Light - Accent 3"/>
    <w:basedOn w:val="127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95">
    <w:name w:val="List Table 1 Light - Accent 4"/>
    <w:basedOn w:val="127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96">
    <w:name w:val="List Table 1 Light - Accent 5"/>
    <w:basedOn w:val="127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97">
    <w:name w:val="List Table 1 Light - Accent 6"/>
    <w:basedOn w:val="127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98">
    <w:name w:val="List Table 2"/>
    <w:basedOn w:val="12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99">
    <w:name w:val="List Table 2 - Accent 1"/>
    <w:basedOn w:val="12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00">
    <w:name w:val="List Table 2 - Accent 2"/>
    <w:basedOn w:val="12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01">
    <w:name w:val="List Table 2 - Accent 3"/>
    <w:basedOn w:val="12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02">
    <w:name w:val="List Table 2 - Accent 4"/>
    <w:basedOn w:val="12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03">
    <w:name w:val="List Table 2 - Accent 5"/>
    <w:basedOn w:val="12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04">
    <w:name w:val="List Table 2 - Accent 6"/>
    <w:basedOn w:val="12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05">
    <w:name w:val="List Table 3"/>
    <w:basedOn w:val="12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6">
    <w:name w:val="List Table 3 - Accent 1"/>
    <w:basedOn w:val="12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07">
    <w:name w:val="List Table 3 - Accent 2"/>
    <w:basedOn w:val="12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8">
    <w:name w:val="List Table 3 - Accent 3"/>
    <w:basedOn w:val="12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09">
    <w:name w:val="List Table 3 - Accent 4"/>
    <w:basedOn w:val="12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10">
    <w:name w:val="List Table 3 - Accent 5"/>
    <w:basedOn w:val="12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11">
    <w:name w:val="List Table 3 - Accent 6"/>
    <w:basedOn w:val="12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12">
    <w:name w:val="List Table 4"/>
    <w:basedOn w:val="12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3">
    <w:name w:val="List Table 4 - Accent 1"/>
    <w:basedOn w:val="12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14">
    <w:name w:val="List Table 4 - Accent 2"/>
    <w:basedOn w:val="12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15">
    <w:name w:val="List Table 4 - Accent 3"/>
    <w:basedOn w:val="12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16">
    <w:name w:val="List Table 4 - Accent 4"/>
    <w:basedOn w:val="12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17">
    <w:name w:val="List Table 4 - Accent 5"/>
    <w:basedOn w:val="12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218">
    <w:name w:val="List Table 4 - Accent 6"/>
    <w:basedOn w:val="12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219">
    <w:name w:val="List Table 5 Dark"/>
    <w:basedOn w:val="12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0">
    <w:name w:val="List Table 5 Dark - Accent 1"/>
    <w:basedOn w:val="12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1">
    <w:name w:val="List Table 5 Dark - Accent 2"/>
    <w:basedOn w:val="12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2">
    <w:name w:val="List Table 5 Dark - Accent 3"/>
    <w:basedOn w:val="12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3">
    <w:name w:val="List Table 5 Dark - Accent 4"/>
    <w:basedOn w:val="12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4">
    <w:name w:val="List Table 5 Dark - Accent 5"/>
    <w:basedOn w:val="12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5">
    <w:name w:val="List Table 5 Dark - Accent 6"/>
    <w:basedOn w:val="12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6">
    <w:name w:val="List Table 6 Colorful"/>
    <w:basedOn w:val="12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27">
    <w:name w:val="List Table 6 Colorful - Accent 1"/>
    <w:basedOn w:val="12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228">
    <w:name w:val="List Table 6 Colorful - Accent 2"/>
    <w:basedOn w:val="12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229">
    <w:name w:val="List Table 6 Colorful - Accent 3"/>
    <w:basedOn w:val="12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230">
    <w:name w:val="List Table 6 Colorful - Accent 4"/>
    <w:basedOn w:val="12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231">
    <w:name w:val="List Table 6 Colorful - Accent 5"/>
    <w:basedOn w:val="12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232">
    <w:name w:val="List Table 6 Colorful - Accent 6"/>
    <w:basedOn w:val="12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233">
    <w:name w:val="List Table 7 Colorful"/>
    <w:basedOn w:val="12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34">
    <w:name w:val="List Table 7 Colorful - Accent 1"/>
    <w:basedOn w:val="12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235">
    <w:name w:val="List Table 7 Colorful - Accent 2"/>
    <w:basedOn w:val="12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236">
    <w:name w:val="List Table 7 Colorful - Accent 3"/>
    <w:basedOn w:val="12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237">
    <w:name w:val="List Table 7 Colorful - Accent 4"/>
    <w:basedOn w:val="12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238">
    <w:name w:val="List Table 7 Colorful - Accent 5"/>
    <w:basedOn w:val="12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239">
    <w:name w:val="List Table 7 Colorful - Accent 6"/>
    <w:basedOn w:val="12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240">
    <w:name w:val="Lined - Accent"/>
    <w:basedOn w:val="12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1">
    <w:name w:val="Lined - Accent 1"/>
    <w:basedOn w:val="12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242">
    <w:name w:val="Lined - Accent 2"/>
    <w:basedOn w:val="12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243">
    <w:name w:val="Lined - Accent 3"/>
    <w:basedOn w:val="12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244">
    <w:name w:val="Lined - Accent 4"/>
    <w:basedOn w:val="12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245">
    <w:name w:val="Lined - Accent 5"/>
    <w:basedOn w:val="12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246">
    <w:name w:val="Lined - Accent 6"/>
    <w:basedOn w:val="12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247">
    <w:name w:val="Bordered &amp; Lined - Accent"/>
    <w:basedOn w:val="12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8">
    <w:name w:val="Bordered &amp; Lined - Accent 1"/>
    <w:basedOn w:val="12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249">
    <w:name w:val="Bordered &amp; Lined - Accent 2"/>
    <w:basedOn w:val="12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250">
    <w:name w:val="Bordered &amp; Lined - Accent 3"/>
    <w:basedOn w:val="12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251">
    <w:name w:val="Bordered &amp; Lined - Accent 4"/>
    <w:basedOn w:val="12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252">
    <w:name w:val="Bordered &amp; Lined - Accent 5"/>
    <w:basedOn w:val="12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253">
    <w:name w:val="Bordered &amp; Lined - Accent 6"/>
    <w:basedOn w:val="12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254">
    <w:name w:val="Bordered"/>
    <w:basedOn w:val="12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55">
    <w:name w:val="Bordered - Accent 1"/>
    <w:basedOn w:val="12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56">
    <w:name w:val="Bordered - Accent 2"/>
    <w:basedOn w:val="12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57">
    <w:name w:val="Bordered - Accent 3"/>
    <w:basedOn w:val="12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58">
    <w:name w:val="Bordered - Accent 4"/>
    <w:basedOn w:val="12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59">
    <w:name w:val="Bordered - Accent 5"/>
    <w:basedOn w:val="12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60">
    <w:name w:val="Bordered - Accent 6"/>
    <w:basedOn w:val="12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61">
    <w:name w:val="Footnote Text Char"/>
    <w:link w:val="1304"/>
    <w:uiPriority w:val="99"/>
    <w:rPr>
      <w:sz w:val="18"/>
    </w:rPr>
  </w:style>
  <w:style w:type="character" w:styleId="1262">
    <w:name w:val="footnote reference"/>
    <w:basedOn w:val="1278"/>
    <w:uiPriority w:val="99"/>
    <w:unhideWhenUsed/>
    <w:rPr>
      <w:vertAlign w:val="superscript"/>
    </w:rPr>
  </w:style>
  <w:style w:type="paragraph" w:styleId="1263">
    <w:name w:val="endnote text"/>
    <w:basedOn w:val="1268"/>
    <w:link w:val="1264"/>
    <w:uiPriority w:val="99"/>
    <w:semiHidden/>
    <w:unhideWhenUsed/>
    <w:pPr>
      <w:spacing w:after="0" w:line="240" w:lineRule="auto"/>
    </w:pPr>
    <w:rPr>
      <w:sz w:val="20"/>
    </w:rPr>
  </w:style>
  <w:style w:type="character" w:styleId="1264">
    <w:name w:val="Endnote Text Char"/>
    <w:link w:val="1263"/>
    <w:uiPriority w:val="99"/>
    <w:rPr>
      <w:sz w:val="20"/>
    </w:rPr>
  </w:style>
  <w:style w:type="character" w:styleId="1265">
    <w:name w:val="endnote reference"/>
    <w:basedOn w:val="1278"/>
    <w:uiPriority w:val="99"/>
    <w:semiHidden/>
    <w:unhideWhenUsed/>
    <w:rPr>
      <w:vertAlign w:val="superscript"/>
    </w:rPr>
  </w:style>
  <w:style w:type="paragraph" w:styleId="1266">
    <w:name w:val="TOC Heading"/>
    <w:uiPriority w:val="39"/>
    <w:unhideWhenUsed/>
  </w:style>
  <w:style w:type="paragraph" w:styleId="1267">
    <w:name w:val="table of figures"/>
    <w:basedOn w:val="1268"/>
    <w:next w:val="1268"/>
    <w:uiPriority w:val="99"/>
    <w:unhideWhenUsed/>
    <w:pPr>
      <w:spacing w:after="0" w:afterAutospacing="0"/>
    </w:pPr>
  </w:style>
  <w:style w:type="paragraph" w:styleId="126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269">
    <w:name w:val="Heading 1"/>
    <w:basedOn w:val="1268"/>
    <w:next w:val="1268"/>
    <w:link w:val="1326"/>
    <w:uiPriority w:val="0"/>
    <w:qFormat/>
    <w:pPr>
      <w:jc w:val="center"/>
      <w:keepLines/>
      <w:keepNext/>
      <w:spacing w:before="240" w:after="120" w:line="300" w:lineRule="auto"/>
      <w:outlineLvl w:val="0"/>
    </w:pPr>
    <w:rPr>
      <w:rFonts w:ascii="宋体"/>
      <w:b/>
      <w:sz w:val="32"/>
      <w:szCs w:val="20"/>
    </w:rPr>
  </w:style>
  <w:style w:type="paragraph" w:styleId="1270">
    <w:name w:val="Heading 2"/>
    <w:basedOn w:val="1268"/>
    <w:next w:val="1280"/>
    <w:link w:val="1327"/>
    <w:uiPriority w:val="0"/>
    <w:qFormat/>
    <w:pPr>
      <w:jc w:val="center"/>
      <w:keepLines/>
      <w:keepNext/>
      <w:spacing w:before="120" w:line="300" w:lineRule="auto"/>
      <w:outlineLvl w:val="1"/>
    </w:pPr>
    <w:rPr>
      <w:rFonts w:ascii="Arial" w:hAnsi="Arial" w:eastAsia="黑体"/>
      <w:b/>
      <w:sz w:val="30"/>
      <w:szCs w:val="20"/>
    </w:rPr>
  </w:style>
  <w:style w:type="paragraph" w:styleId="1271">
    <w:name w:val="Heading 3"/>
    <w:basedOn w:val="1268"/>
    <w:next w:val="1268"/>
    <w:link w:val="1329"/>
    <w:uiPriority w:val="0"/>
    <w:qFormat/>
    <w:pPr>
      <w:jc w:val="left"/>
      <w:keepLines/>
      <w:keepNext/>
      <w:spacing w:before="360" w:after="120"/>
      <w:outlineLvl w:val="2"/>
    </w:pPr>
    <w:rPr>
      <w:rFonts w:ascii="宋体"/>
      <w:b/>
      <w:sz w:val="24"/>
      <w:szCs w:val="20"/>
      <w:u w:val="single"/>
    </w:rPr>
  </w:style>
  <w:style w:type="paragraph" w:styleId="1272">
    <w:name w:val="Heading 4"/>
    <w:basedOn w:val="1268"/>
    <w:next w:val="1280"/>
    <w:link w:val="1330"/>
    <w:uiPriority w:val="0"/>
    <w:qFormat/>
    <w:pPr>
      <w:keepLines/>
      <w:keepNext/>
      <w:spacing w:before="280" w:after="290" w:line="376" w:lineRule="atLeast"/>
      <w:outlineLvl w:val="3"/>
    </w:pPr>
    <w:rPr>
      <w:rFonts w:ascii="Arial" w:hAnsi="Arial" w:eastAsia="黑体"/>
      <w:b/>
      <w:sz w:val="28"/>
      <w:szCs w:val="20"/>
    </w:rPr>
  </w:style>
  <w:style w:type="paragraph" w:styleId="1273">
    <w:name w:val="Heading 5"/>
    <w:basedOn w:val="1268"/>
    <w:next w:val="1268"/>
    <w:link w:val="1331"/>
    <w:uiPriority w:val="0"/>
    <w:qFormat/>
    <w:pPr>
      <w:keepLines/>
      <w:keepNext/>
      <w:spacing w:before="280" w:after="290" w:line="376" w:lineRule="atLeast"/>
      <w:outlineLvl w:val="4"/>
    </w:pPr>
    <w:rPr>
      <w:b/>
      <w:sz w:val="28"/>
      <w:szCs w:val="20"/>
    </w:rPr>
  </w:style>
  <w:style w:type="paragraph" w:styleId="1274">
    <w:name w:val="Heading 6"/>
    <w:basedOn w:val="1268"/>
    <w:next w:val="1268"/>
    <w:link w:val="1332"/>
    <w:uiPriority w:val="0"/>
    <w:qFormat/>
    <w:pPr>
      <w:keepLines/>
      <w:keepNext/>
      <w:spacing w:before="240" w:after="64" w:line="320" w:lineRule="atLeast"/>
      <w:outlineLvl w:val="5"/>
    </w:pPr>
    <w:rPr>
      <w:rFonts w:ascii="Arial" w:hAnsi="Arial" w:eastAsia="黑体"/>
      <w:b/>
      <w:sz w:val="24"/>
      <w:szCs w:val="20"/>
    </w:rPr>
  </w:style>
  <w:style w:type="paragraph" w:styleId="1275">
    <w:name w:val="Heading 7"/>
    <w:basedOn w:val="1268"/>
    <w:next w:val="1268"/>
    <w:link w:val="1333"/>
    <w:uiPriority w:val="0"/>
    <w:qFormat/>
    <w:pPr>
      <w:keepLines/>
      <w:keepNext/>
      <w:spacing w:before="240" w:after="64" w:line="320" w:lineRule="atLeast"/>
      <w:outlineLvl w:val="6"/>
    </w:pPr>
    <w:rPr>
      <w:b/>
      <w:sz w:val="24"/>
      <w:szCs w:val="20"/>
    </w:rPr>
  </w:style>
  <w:style w:type="paragraph" w:styleId="1276">
    <w:name w:val="Heading 8"/>
    <w:basedOn w:val="1268"/>
    <w:next w:val="1268"/>
    <w:link w:val="1334"/>
    <w:uiPriority w:val="0"/>
    <w:qFormat/>
    <w:pPr>
      <w:keepLines/>
      <w:keepNext/>
      <w:spacing w:before="240" w:after="64" w:line="320" w:lineRule="atLeast"/>
      <w:outlineLvl w:val="7"/>
    </w:pPr>
    <w:rPr>
      <w:rFonts w:ascii="Arial" w:hAnsi="Arial" w:eastAsia="黑体"/>
      <w:sz w:val="24"/>
      <w:szCs w:val="20"/>
    </w:rPr>
  </w:style>
  <w:style w:type="paragraph" w:styleId="1277">
    <w:name w:val="Heading 9"/>
    <w:basedOn w:val="1268"/>
    <w:next w:val="1268"/>
    <w:link w:val="1335"/>
    <w:uiPriority w:val="0"/>
    <w:qFormat/>
    <w:pPr>
      <w:keepLines/>
      <w:keepNext/>
      <w:spacing w:before="240" w:after="64" w:line="320" w:lineRule="atLeast"/>
      <w:outlineLvl w:val="8"/>
    </w:pPr>
    <w:rPr>
      <w:rFonts w:ascii="Arial" w:hAnsi="Arial" w:eastAsia="黑体"/>
      <w:szCs w:val="20"/>
    </w:rPr>
  </w:style>
  <w:style w:type="character" w:styleId="1278" w:default="1">
    <w:name w:val="Default Paragraph Font"/>
    <w:uiPriority w:val="1"/>
    <w:semiHidden/>
    <w:unhideWhenUsed/>
    <w:qFormat/>
  </w:style>
  <w:style w:type="table" w:styleId="1279" w:default="1">
    <w:name w:val="Normal Table"/>
    <w:uiPriority w:val="99"/>
    <w:semiHidden/>
    <w:unhideWhenUsed/>
    <w:qFormat/>
    <w:tblPr>
      <w:tblCellMar>
        <w:left w:w="108" w:type="dxa"/>
        <w:top w:w="0" w:type="dxa"/>
        <w:right w:w="108" w:type="dxa"/>
        <w:bottom w:w="0" w:type="dxa"/>
      </w:tblCellMar>
    </w:tblPr>
  </w:style>
  <w:style w:type="paragraph" w:styleId="1280">
    <w:name w:val="Normal Indent"/>
    <w:basedOn w:val="1268"/>
    <w:next w:val="1268"/>
    <w:link w:val="1328"/>
    <w:uiPriority w:val="0"/>
    <w:qFormat/>
    <w:pPr>
      <w:ind w:firstLine="420"/>
      <w:jc w:val="left"/>
    </w:pPr>
    <w:rPr>
      <w:rFonts w:ascii="宋体"/>
      <w:sz w:val="24"/>
    </w:rPr>
  </w:style>
  <w:style w:type="paragraph" w:styleId="1281">
    <w:name w:val="toc 7"/>
    <w:basedOn w:val="1268"/>
    <w:next w:val="1268"/>
    <w:uiPriority w:val="0"/>
    <w:qFormat/>
    <w:pPr>
      <w:ind w:left="2520"/>
    </w:pPr>
  </w:style>
  <w:style w:type="paragraph" w:styleId="1282">
    <w:name w:val="Caption"/>
    <w:basedOn w:val="1268"/>
    <w:next w:val="1268"/>
    <w:uiPriority w:val="0"/>
    <w:qFormat/>
    <w:pPr>
      <w:spacing w:line="480" w:lineRule="auto"/>
    </w:pPr>
    <w:rPr>
      <w:rFonts w:ascii="华文中宋" w:hAnsi="华文中宋" w:eastAsia="华文中宋"/>
      <w:sz w:val="36"/>
      <w:szCs w:val="20"/>
    </w:rPr>
  </w:style>
  <w:style w:type="paragraph" w:styleId="1283">
    <w:name w:val="index 5"/>
    <w:basedOn w:val="1268"/>
    <w:next w:val="1268"/>
    <w:uiPriority w:val="99"/>
    <w:unhideWhenUsed/>
    <w:qFormat/>
    <w:pPr>
      <w:ind w:left="800"/>
    </w:pPr>
  </w:style>
  <w:style w:type="paragraph" w:styleId="1284">
    <w:name w:val="Document Map"/>
    <w:basedOn w:val="1268"/>
    <w:link w:val="1336"/>
    <w:uiPriority w:val="0"/>
    <w:qFormat/>
    <w:pPr>
      <w:shd w:val="clear" w:color="auto" w:fill="000080"/>
    </w:pPr>
  </w:style>
  <w:style w:type="paragraph" w:styleId="1285">
    <w:name w:val="annotation text"/>
    <w:basedOn w:val="1268"/>
    <w:link w:val="1337"/>
    <w:uiPriority w:val="0"/>
    <w:qFormat/>
    <w:pPr>
      <w:jc w:val="left"/>
    </w:pPr>
  </w:style>
  <w:style w:type="paragraph" w:styleId="1286">
    <w:name w:val="Body Text 3"/>
    <w:basedOn w:val="1268"/>
    <w:link w:val="1338"/>
    <w:uiPriority w:val="0"/>
    <w:qFormat/>
    <w:pPr>
      <w:spacing w:after="120"/>
    </w:pPr>
    <w:rPr>
      <w:sz w:val="16"/>
      <w:szCs w:val="16"/>
    </w:rPr>
  </w:style>
  <w:style w:type="paragraph" w:styleId="1287">
    <w:name w:val="Body Text"/>
    <w:basedOn w:val="1268"/>
    <w:next w:val="1268"/>
    <w:link w:val="1339"/>
    <w:uiPriority w:val="0"/>
    <w:qFormat/>
    <w:pPr>
      <w:spacing w:before="120" w:line="22" w:lineRule="atLeast"/>
      <w:tabs>
        <w:tab w:val="left" w:pos="567" w:leader="none"/>
      </w:tabs>
    </w:pPr>
    <w:rPr>
      <w:rFonts w:ascii="宋体" w:hAnsi="宋体"/>
      <w:sz w:val="24"/>
    </w:rPr>
  </w:style>
  <w:style w:type="paragraph" w:styleId="1288">
    <w:name w:val="Body Text Indent"/>
    <w:basedOn w:val="1268"/>
    <w:next w:val="1268"/>
    <w:link w:val="1340"/>
    <w:uiPriority w:val="0"/>
    <w:qFormat/>
    <w:pPr>
      <w:ind w:firstLine="570"/>
      <w:spacing w:line="360" w:lineRule="auto"/>
    </w:pPr>
    <w:rPr>
      <w:sz w:val="24"/>
    </w:rPr>
  </w:style>
  <w:style w:type="paragraph" w:styleId="1289">
    <w:name w:val="List 2"/>
    <w:basedOn w:val="1268"/>
    <w:uiPriority w:val="0"/>
    <w:qFormat/>
    <w:pPr>
      <w:ind w:left="100" w:hanging="200"/>
    </w:pPr>
  </w:style>
  <w:style w:type="paragraph" w:styleId="1290">
    <w:name w:val="Block Text"/>
    <w:basedOn w:val="1268"/>
    <w:uiPriority w:val="0"/>
    <w:qFormat/>
    <w:pPr>
      <w:ind w:left="480" w:right="-341" w:firstLine="513"/>
      <w:widowControl/>
    </w:pPr>
    <w:rPr>
      <w:sz w:val="24"/>
      <w:szCs w:val="20"/>
    </w:rPr>
  </w:style>
  <w:style w:type="paragraph" w:styleId="1291">
    <w:name w:val="toc 5"/>
    <w:basedOn w:val="1268"/>
    <w:next w:val="1268"/>
    <w:uiPriority w:val="0"/>
    <w:qFormat/>
    <w:pPr>
      <w:ind w:left="1680"/>
    </w:pPr>
  </w:style>
  <w:style w:type="paragraph" w:styleId="1292">
    <w:name w:val="toc 3"/>
    <w:basedOn w:val="1268"/>
    <w:next w:val="1268"/>
    <w:uiPriority w:val="39"/>
    <w:qFormat/>
    <w:pPr>
      <w:ind w:left="840"/>
    </w:pPr>
  </w:style>
  <w:style w:type="paragraph" w:styleId="1293">
    <w:name w:val="Plain Text"/>
    <w:basedOn w:val="1268"/>
    <w:next w:val="1280"/>
    <w:link w:val="1341"/>
    <w:uiPriority w:val="0"/>
    <w:qFormat/>
    <w:rPr>
      <w:rFonts w:hint="eastAsia" w:ascii="宋体" w:hAnsi="Courier New"/>
      <w:szCs w:val="20"/>
    </w:rPr>
  </w:style>
  <w:style w:type="paragraph" w:styleId="1294">
    <w:name w:val="toc 8"/>
    <w:basedOn w:val="1268"/>
    <w:next w:val="1268"/>
    <w:uiPriority w:val="0"/>
    <w:qFormat/>
    <w:pPr>
      <w:ind w:left="2940"/>
    </w:pPr>
  </w:style>
  <w:style w:type="paragraph" w:styleId="1295">
    <w:name w:val="Date"/>
    <w:basedOn w:val="1268"/>
    <w:next w:val="1268"/>
    <w:link w:val="1342"/>
    <w:uiPriority w:val="0"/>
    <w:qFormat/>
    <w:pPr>
      <w:ind w:left="100"/>
    </w:pPr>
    <w:rPr>
      <w:rFonts w:ascii="仿宋_GB2312" w:hAnsi="宋体" w:eastAsia="仿宋_GB2312"/>
      <w:color w:val="000000"/>
      <w:sz w:val="24"/>
    </w:rPr>
  </w:style>
  <w:style w:type="paragraph" w:styleId="1296">
    <w:name w:val="Body Text Indent 2"/>
    <w:basedOn w:val="1268"/>
    <w:link w:val="1343"/>
    <w:uiPriority w:val="0"/>
    <w:qFormat/>
    <w:pPr>
      <w:ind w:firstLine="480"/>
    </w:pPr>
    <w:rPr>
      <w:rFonts w:ascii="仿宋_GB2312" w:eastAsia="仿宋_GB2312"/>
      <w:sz w:val="24"/>
    </w:rPr>
  </w:style>
  <w:style w:type="paragraph" w:styleId="1297">
    <w:name w:val="Balloon Text"/>
    <w:basedOn w:val="1268"/>
    <w:link w:val="1344"/>
    <w:uiPriority w:val="0"/>
    <w:qFormat/>
    <w:rPr>
      <w:sz w:val="18"/>
      <w:szCs w:val="18"/>
    </w:rPr>
  </w:style>
  <w:style w:type="paragraph" w:styleId="1298">
    <w:name w:val="Footer"/>
    <w:basedOn w:val="1268"/>
    <w:link w:val="1345"/>
    <w:uiPriority w:val="99"/>
    <w:qFormat/>
    <w:pPr>
      <w:jc w:val="left"/>
      <w:tabs>
        <w:tab w:val="center" w:pos="4153" w:leader="none"/>
        <w:tab w:val="right" w:pos="8306" w:leader="none"/>
      </w:tabs>
    </w:pPr>
    <w:rPr>
      <w:rFonts w:ascii="宋体"/>
      <w:sz w:val="18"/>
      <w:szCs w:val="20"/>
    </w:rPr>
  </w:style>
  <w:style w:type="paragraph" w:styleId="1299">
    <w:name w:val="envelope return"/>
    <w:basedOn w:val="1268"/>
    <w:uiPriority w:val="0"/>
    <w:qFormat/>
    <w:rPr>
      <w:rFonts w:ascii="Arial" w:hAnsi="Arial"/>
    </w:rPr>
  </w:style>
  <w:style w:type="paragraph" w:styleId="1300">
    <w:name w:val="Header"/>
    <w:basedOn w:val="1268"/>
    <w:link w:val="1346"/>
    <w:uiPriority w:val="0"/>
    <w:qFormat/>
    <w:pPr>
      <w:jc w:val="center"/>
      <w:tabs>
        <w:tab w:val="center" w:pos="4153" w:leader="none"/>
        <w:tab w:val="right" w:pos="8306" w:leader="none"/>
      </w:tabs>
      <w:pBdr>
        <w:bottom w:val="single" w:color="auto" w:sz="6" w:space="1"/>
      </w:pBdr>
    </w:pPr>
    <w:rPr>
      <w:sz w:val="18"/>
      <w:szCs w:val="18"/>
    </w:rPr>
  </w:style>
  <w:style w:type="paragraph" w:styleId="1301">
    <w:name w:val="toc 1"/>
    <w:basedOn w:val="1268"/>
    <w:next w:val="1268"/>
    <w:uiPriority w:val="39"/>
    <w:qFormat/>
    <w:pPr>
      <w:spacing w:line="300" w:lineRule="auto"/>
      <w:tabs>
        <w:tab w:val="left" w:pos="1050" w:leader="none"/>
        <w:tab w:val="right" w:pos="8937" w:leader="dot"/>
      </w:tabs>
    </w:pPr>
    <w:rPr>
      <w:rFonts w:ascii="宋体" w:hAnsi="宋体"/>
      <w:b/>
      <w:sz w:val="24"/>
    </w:rPr>
  </w:style>
  <w:style w:type="paragraph" w:styleId="1302">
    <w:name w:val="toc 4"/>
    <w:basedOn w:val="1268"/>
    <w:next w:val="1268"/>
    <w:uiPriority w:val="0"/>
    <w:qFormat/>
    <w:pPr>
      <w:ind w:left="1260"/>
    </w:pPr>
  </w:style>
  <w:style w:type="paragraph" w:styleId="1303">
    <w:name w:val="Subtitle"/>
    <w:basedOn w:val="1268"/>
    <w:next w:val="1268"/>
    <w:uiPriority w:val="0"/>
    <w:qFormat/>
    <w:pPr>
      <w:jc w:val="center"/>
      <w:spacing w:before="240" w:after="60" w:line="312" w:lineRule="auto"/>
      <w:outlineLvl w:val="1"/>
    </w:pPr>
    <w:rPr>
      <w:rFonts w:ascii="Arial" w:hAnsi="Arial" w:cs="Arial"/>
      <w:b/>
      <w:bCs/>
      <w:sz w:val="32"/>
      <w:szCs w:val="32"/>
    </w:rPr>
  </w:style>
  <w:style w:type="paragraph" w:styleId="1304">
    <w:name w:val="footnote text"/>
    <w:basedOn w:val="1268"/>
    <w:next w:val="1283"/>
    <w:uiPriority w:val="0"/>
    <w:qFormat/>
    <w:pPr>
      <w:ind w:firstLine="425"/>
      <w:jc w:val="left"/>
      <w:spacing w:before="120" w:line="360" w:lineRule="auto"/>
    </w:pPr>
    <w:rPr>
      <w:sz w:val="18"/>
      <w:szCs w:val="20"/>
    </w:rPr>
  </w:style>
  <w:style w:type="paragraph" w:styleId="1305">
    <w:name w:val="toc 6"/>
    <w:basedOn w:val="1268"/>
    <w:next w:val="1268"/>
    <w:uiPriority w:val="0"/>
    <w:qFormat/>
    <w:pPr>
      <w:ind w:left="2100"/>
    </w:pPr>
  </w:style>
  <w:style w:type="paragraph" w:styleId="1306">
    <w:name w:val="Body Text Indent 3"/>
    <w:basedOn w:val="1268"/>
    <w:link w:val="1347"/>
    <w:uiPriority w:val="0"/>
    <w:qFormat/>
    <w:pPr>
      <w:ind w:left="720" w:firstLine="480"/>
      <w:jc w:val="left"/>
      <w:spacing w:before="120" w:line="22" w:lineRule="atLeast"/>
    </w:pPr>
    <w:rPr>
      <w:rFonts w:ascii="宋体"/>
      <w:sz w:val="24"/>
      <w:szCs w:val="20"/>
    </w:rPr>
  </w:style>
  <w:style w:type="paragraph" w:styleId="1307">
    <w:name w:val="toc 2"/>
    <w:basedOn w:val="1268"/>
    <w:next w:val="1268"/>
    <w:uiPriority w:val="39"/>
    <w:qFormat/>
    <w:pPr>
      <w:ind w:left="420"/>
      <w:spacing w:line="312" w:lineRule="auto"/>
      <w:tabs>
        <w:tab w:val="right" w:pos="8937" w:leader="dot"/>
      </w:tabs>
    </w:pPr>
  </w:style>
  <w:style w:type="paragraph" w:styleId="1308">
    <w:name w:val="toc 9"/>
    <w:basedOn w:val="1268"/>
    <w:next w:val="1268"/>
    <w:uiPriority w:val="0"/>
    <w:qFormat/>
    <w:pPr>
      <w:ind w:left="3360"/>
    </w:pPr>
  </w:style>
  <w:style w:type="paragraph" w:styleId="1309">
    <w:name w:val="HTML Preformatted"/>
    <w:basedOn w:val="1268"/>
    <w:link w:val="13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310">
    <w:name w:val="Normal (Web)"/>
    <w:basedOn w:val="1268"/>
    <w:uiPriority w:val="0"/>
    <w:unhideWhenUsed/>
    <w:qFormat/>
    <w:pPr>
      <w:jc w:val="left"/>
      <w:spacing w:before="100" w:beforeAutospacing="1" w:after="100" w:afterAutospacing="1"/>
      <w:widowControl/>
    </w:pPr>
    <w:rPr>
      <w:rFonts w:ascii="宋体" w:hAnsi="宋体" w:cs="宋体"/>
      <w:sz w:val="24"/>
    </w:rPr>
  </w:style>
  <w:style w:type="paragraph" w:styleId="1311">
    <w:name w:val="index 1"/>
    <w:basedOn w:val="1268"/>
    <w:next w:val="1268"/>
    <w:uiPriority w:val="0"/>
    <w:qFormat/>
    <w:rPr>
      <w:szCs w:val="20"/>
    </w:rPr>
  </w:style>
  <w:style w:type="paragraph" w:styleId="1312">
    <w:name w:val="Title"/>
    <w:basedOn w:val="1268"/>
    <w:link w:val="1349"/>
    <w:uiPriority w:val="0"/>
    <w:qFormat/>
    <w:pPr>
      <w:jc w:val="center"/>
      <w:outlineLvl w:val="0"/>
    </w:pPr>
    <w:rPr>
      <w:b/>
      <w:sz w:val="32"/>
      <w:szCs w:val="20"/>
    </w:rPr>
  </w:style>
  <w:style w:type="paragraph" w:styleId="1313">
    <w:name w:val="annotation subject"/>
    <w:basedOn w:val="1285"/>
    <w:next w:val="1285"/>
    <w:link w:val="1350"/>
    <w:uiPriority w:val="0"/>
    <w:qFormat/>
    <w:rPr>
      <w:b/>
      <w:bCs/>
    </w:rPr>
  </w:style>
  <w:style w:type="paragraph" w:styleId="1314">
    <w:name w:val="Body Text First Indent 2"/>
    <w:basedOn w:val="1288"/>
    <w:next w:val="1268"/>
    <w:link w:val="1352"/>
    <w:uiPriority w:val="0"/>
    <w:qFormat/>
    <w:pPr>
      <w:ind w:left="420" w:firstLine="420"/>
      <w:spacing w:after="120" w:line="480" w:lineRule="exact"/>
    </w:pPr>
    <w:rPr>
      <w:szCs w:val="20"/>
    </w:rPr>
  </w:style>
  <w:style w:type="table" w:styleId="1315">
    <w:name w:val="Table Grid"/>
    <w:basedOn w:val="127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16">
    <w:name w:val="Medium Grid 1 Accent 2"/>
    <w:basedOn w:val="1279"/>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317">
    <w:name w:val="Strong"/>
    <w:uiPriority w:val="0"/>
    <w:qFormat/>
    <w:rPr>
      <w:b/>
      <w:bCs/>
    </w:rPr>
  </w:style>
  <w:style w:type="character" w:styleId="1318">
    <w:name w:val="page number"/>
    <w:uiPriority w:val="0"/>
    <w:qFormat/>
  </w:style>
  <w:style w:type="character" w:styleId="1319">
    <w:name w:val="FollowedHyperlink"/>
    <w:uiPriority w:val="0"/>
    <w:qFormat/>
    <w:rPr>
      <w:color w:val="800080"/>
      <w:u w:val="single"/>
    </w:rPr>
  </w:style>
  <w:style w:type="character" w:styleId="1320">
    <w:name w:val="Emphasis"/>
    <w:uiPriority w:val="0"/>
    <w:qFormat/>
    <w:rPr>
      <w:color w:val="cc0033"/>
    </w:rPr>
  </w:style>
  <w:style w:type="character" w:styleId="1321">
    <w:name w:val="Hyperlink"/>
    <w:uiPriority w:val="99"/>
    <w:qFormat/>
    <w:rPr>
      <w:color w:val="0000ff"/>
      <w:u w:val="single"/>
    </w:rPr>
  </w:style>
  <w:style w:type="character" w:styleId="1322">
    <w:name w:val="annotation reference"/>
    <w:uiPriority w:val="99"/>
    <w:qFormat/>
    <w:rPr>
      <w:sz w:val="21"/>
      <w:szCs w:val="21"/>
    </w:rPr>
  </w:style>
  <w:style w:type="character" w:styleId="1323">
    <w:name w:val="HTML Cite"/>
    <w:uiPriority w:val="0"/>
    <w:qFormat/>
    <w:rPr>
      <w:i/>
      <w:iCs/>
    </w:rPr>
  </w:style>
  <w:style w:type="paragraph" w:styleId="1324" w:customStyle="1">
    <w:name w:val="Default"/>
    <w:next w:val="1268"/>
    <w:uiPriority w:val="0"/>
    <w:qFormat/>
    <w:pPr>
      <w:widowControl w:val="off"/>
    </w:pPr>
    <w:rPr>
      <w:rFonts w:ascii="Symbol" w:hAnsi="Symbol" w:eastAsia="宋体" w:cs="Symbol"/>
      <w:color w:val="000000"/>
      <w:sz w:val="24"/>
      <w:szCs w:val="24"/>
      <w:lang w:val="en-US" w:eastAsia="zh-CN" w:bidi="ar-SA"/>
    </w:rPr>
  </w:style>
  <w:style w:type="paragraph" w:styleId="1325" w:customStyle="1">
    <w:name w:val="段"/>
    <w:next w:val="1268"/>
    <w:uiPriority w:val="0"/>
    <w:qFormat/>
    <w:pPr>
      <w:ind w:firstLine="200"/>
      <w:jc w:val="both"/>
    </w:pPr>
    <w:rPr>
      <w:rFonts w:ascii="宋体" w:hAnsi="Times New Roman" w:eastAsia="宋体" w:cs="Times New Roman"/>
      <w:sz w:val="21"/>
      <w:lang w:val="en-US" w:eastAsia="zh-CN" w:bidi="ar-SA"/>
    </w:rPr>
  </w:style>
  <w:style w:type="character" w:styleId="1326" w:customStyle="1">
    <w:name w:val="标题 1 字符"/>
    <w:link w:val="1269"/>
    <w:uiPriority w:val="0"/>
    <w:qFormat/>
    <w:rPr>
      <w:rFonts w:ascii="宋体"/>
      <w:b/>
      <w:sz w:val="32"/>
    </w:rPr>
  </w:style>
  <w:style w:type="character" w:styleId="1327" w:customStyle="1">
    <w:name w:val="标题 2 字符"/>
    <w:link w:val="1270"/>
    <w:uiPriority w:val="0"/>
    <w:qFormat/>
    <w:rPr>
      <w:rFonts w:ascii="Arial" w:hAnsi="Arial" w:eastAsia="黑体"/>
      <w:b/>
      <w:sz w:val="30"/>
      <w:lang w:val="en-US" w:eastAsia="zh-CN" w:bidi="ar-SA"/>
    </w:rPr>
  </w:style>
  <w:style w:type="character" w:styleId="1328" w:customStyle="1">
    <w:name w:val="正文缩进 字符"/>
    <w:link w:val="1280"/>
    <w:uiPriority w:val="0"/>
    <w:qFormat/>
    <w:rPr>
      <w:rFonts w:ascii="宋体" w:eastAsia="宋体"/>
      <w:sz w:val="24"/>
      <w:szCs w:val="24"/>
      <w:lang w:val="en-US" w:eastAsia="zh-CN" w:bidi="ar-SA"/>
    </w:rPr>
  </w:style>
  <w:style w:type="character" w:styleId="1329" w:customStyle="1">
    <w:name w:val="标题 3 字符"/>
    <w:link w:val="1271"/>
    <w:uiPriority w:val="0"/>
    <w:qFormat/>
    <w:rPr>
      <w:rFonts w:ascii="宋体" w:eastAsia="宋体"/>
      <w:b/>
      <w:sz w:val="24"/>
      <w:u w:val="single"/>
      <w:lang w:val="en-US" w:eastAsia="zh-CN" w:bidi="ar-SA"/>
    </w:rPr>
  </w:style>
  <w:style w:type="character" w:styleId="1330" w:customStyle="1">
    <w:name w:val="标题 4 字符"/>
    <w:link w:val="1272"/>
    <w:uiPriority w:val="0"/>
    <w:qFormat/>
    <w:rPr>
      <w:rFonts w:ascii="Arial" w:hAnsi="Arial" w:eastAsia="黑体"/>
      <w:b/>
      <w:sz w:val="28"/>
    </w:rPr>
  </w:style>
  <w:style w:type="character" w:styleId="1331" w:customStyle="1">
    <w:name w:val="标题 5 字符"/>
    <w:link w:val="1273"/>
    <w:uiPriority w:val="0"/>
    <w:qFormat/>
    <w:rPr>
      <w:b/>
      <w:sz w:val="28"/>
    </w:rPr>
  </w:style>
  <w:style w:type="character" w:styleId="1332" w:customStyle="1">
    <w:name w:val="标题 6 字符"/>
    <w:link w:val="1274"/>
    <w:uiPriority w:val="0"/>
    <w:qFormat/>
    <w:rPr>
      <w:rFonts w:ascii="Arial" w:hAnsi="Arial" w:eastAsia="黑体"/>
      <w:b/>
      <w:sz w:val="24"/>
    </w:rPr>
  </w:style>
  <w:style w:type="character" w:styleId="1333" w:customStyle="1">
    <w:name w:val="标题 7 字符"/>
    <w:link w:val="1275"/>
    <w:uiPriority w:val="0"/>
    <w:qFormat/>
    <w:rPr>
      <w:b/>
      <w:sz w:val="24"/>
    </w:rPr>
  </w:style>
  <w:style w:type="character" w:styleId="1334" w:customStyle="1">
    <w:name w:val="标题 8 字符"/>
    <w:link w:val="1276"/>
    <w:uiPriority w:val="0"/>
    <w:qFormat/>
    <w:rPr>
      <w:rFonts w:ascii="Arial" w:hAnsi="Arial" w:eastAsia="黑体"/>
      <w:sz w:val="24"/>
    </w:rPr>
  </w:style>
  <w:style w:type="character" w:styleId="1335" w:customStyle="1">
    <w:name w:val="标题 9 字符"/>
    <w:link w:val="1277"/>
    <w:uiPriority w:val="0"/>
    <w:qFormat/>
    <w:rPr>
      <w:rFonts w:ascii="Arial" w:hAnsi="Arial" w:eastAsia="黑体"/>
      <w:sz w:val="21"/>
    </w:rPr>
  </w:style>
  <w:style w:type="character" w:styleId="1336" w:customStyle="1">
    <w:name w:val="文档结构图 字符"/>
    <w:link w:val="1284"/>
    <w:uiPriority w:val="0"/>
    <w:qFormat/>
    <w:rPr>
      <w:sz w:val="21"/>
      <w:szCs w:val="24"/>
      <w:shd w:val="clear" w:color="auto" w:fill="000080"/>
    </w:rPr>
  </w:style>
  <w:style w:type="character" w:styleId="1337" w:customStyle="1">
    <w:name w:val="批注文字 字符1"/>
    <w:link w:val="1285"/>
    <w:uiPriority w:val="99"/>
    <w:qFormat/>
    <w:rPr>
      <w:sz w:val="21"/>
      <w:szCs w:val="24"/>
    </w:rPr>
  </w:style>
  <w:style w:type="character" w:styleId="1338" w:customStyle="1">
    <w:name w:val="正文文本 3 字符"/>
    <w:link w:val="1286"/>
    <w:uiPriority w:val="0"/>
    <w:qFormat/>
    <w:rPr>
      <w:sz w:val="16"/>
      <w:szCs w:val="16"/>
    </w:rPr>
  </w:style>
  <w:style w:type="character" w:styleId="1339" w:customStyle="1">
    <w:name w:val="正文文本 字符"/>
    <w:link w:val="1287"/>
    <w:uiPriority w:val="0"/>
    <w:qFormat/>
    <w:rPr>
      <w:rFonts w:ascii="宋体" w:hAnsi="宋体"/>
      <w:sz w:val="24"/>
      <w:szCs w:val="24"/>
    </w:rPr>
  </w:style>
  <w:style w:type="character" w:styleId="1340" w:customStyle="1">
    <w:name w:val="正文文本缩进 字符"/>
    <w:link w:val="1288"/>
    <w:uiPriority w:val="0"/>
    <w:qFormat/>
    <w:rPr>
      <w:rFonts w:eastAsia="宋体"/>
      <w:sz w:val="24"/>
      <w:szCs w:val="24"/>
      <w:lang w:val="en-US" w:eastAsia="zh-CN" w:bidi="ar-SA"/>
    </w:rPr>
  </w:style>
  <w:style w:type="character" w:styleId="1341" w:customStyle="1">
    <w:name w:val="纯文本 字符2"/>
    <w:link w:val="1293"/>
    <w:uiPriority w:val="0"/>
    <w:qFormat/>
    <w:rPr>
      <w:rFonts w:hint="eastAsia" w:ascii="宋体" w:hAnsi="Courier New" w:eastAsia="宋体" w:cs="宋体"/>
      <w:sz w:val="21"/>
    </w:rPr>
  </w:style>
  <w:style w:type="character" w:styleId="1342" w:customStyle="1">
    <w:name w:val="日期 字符"/>
    <w:link w:val="1295"/>
    <w:uiPriority w:val="0"/>
    <w:qFormat/>
    <w:rPr>
      <w:rFonts w:ascii="仿宋_GB2312" w:hAnsi="宋体" w:eastAsia="仿宋_GB2312"/>
      <w:color w:val="000000"/>
      <w:sz w:val="24"/>
      <w:szCs w:val="24"/>
    </w:rPr>
  </w:style>
  <w:style w:type="character" w:styleId="1343" w:customStyle="1">
    <w:name w:val="正文文本缩进 2 字符"/>
    <w:link w:val="1296"/>
    <w:uiPriority w:val="0"/>
    <w:qFormat/>
    <w:rPr>
      <w:rFonts w:ascii="仿宋_GB2312" w:eastAsia="仿宋_GB2312"/>
      <w:sz w:val="24"/>
      <w:szCs w:val="24"/>
    </w:rPr>
  </w:style>
  <w:style w:type="character" w:styleId="1344" w:customStyle="1">
    <w:name w:val="批注框文本 字符"/>
    <w:link w:val="1297"/>
    <w:uiPriority w:val="0"/>
    <w:qFormat/>
    <w:rPr>
      <w:sz w:val="18"/>
      <w:szCs w:val="18"/>
    </w:rPr>
  </w:style>
  <w:style w:type="character" w:styleId="1345" w:customStyle="1">
    <w:name w:val="页脚 字符"/>
    <w:link w:val="1298"/>
    <w:uiPriority w:val="99"/>
    <w:qFormat/>
    <w:rPr>
      <w:rFonts w:ascii="宋体" w:eastAsia="宋体"/>
      <w:sz w:val="18"/>
      <w:lang w:val="en-US" w:eastAsia="zh-CN" w:bidi="ar-SA"/>
    </w:rPr>
  </w:style>
  <w:style w:type="character" w:styleId="1346" w:customStyle="1">
    <w:name w:val="页眉 字符"/>
    <w:link w:val="1300"/>
    <w:uiPriority w:val="0"/>
    <w:qFormat/>
    <w:rPr>
      <w:rFonts w:eastAsia="宋体"/>
      <w:sz w:val="18"/>
      <w:szCs w:val="18"/>
      <w:lang w:val="en-US" w:eastAsia="zh-CN" w:bidi="ar-SA"/>
    </w:rPr>
  </w:style>
  <w:style w:type="character" w:styleId="1347" w:customStyle="1">
    <w:name w:val="正文文本缩进 3 字符"/>
    <w:link w:val="1306"/>
    <w:uiPriority w:val="0"/>
    <w:qFormat/>
    <w:rPr>
      <w:rFonts w:ascii="宋体"/>
      <w:sz w:val="24"/>
    </w:rPr>
  </w:style>
  <w:style w:type="character" w:styleId="1348" w:customStyle="1">
    <w:name w:val="HTML 预设格式 字符"/>
    <w:link w:val="1309"/>
    <w:uiPriority w:val="0"/>
    <w:qFormat/>
    <w:rPr>
      <w:rFonts w:ascii="宋体" w:hAnsi="宋体" w:cs="宋体"/>
      <w:sz w:val="24"/>
      <w:szCs w:val="24"/>
    </w:rPr>
  </w:style>
  <w:style w:type="character" w:styleId="1349" w:customStyle="1">
    <w:name w:val="标题 字符"/>
    <w:link w:val="1312"/>
    <w:uiPriority w:val="0"/>
    <w:qFormat/>
    <w:rPr>
      <w:b/>
      <w:sz w:val="32"/>
    </w:rPr>
  </w:style>
  <w:style w:type="character" w:styleId="1350" w:customStyle="1">
    <w:name w:val="批注主题 字符"/>
    <w:link w:val="1313"/>
    <w:uiPriority w:val="0"/>
    <w:qFormat/>
    <w:rPr>
      <w:rFonts w:ascii="Times New Roman" w:hAnsi="Times New Roman" w:eastAsia="宋体" w:cs="Times New Roman"/>
      <w:b/>
      <w:bCs/>
      <w:sz w:val="21"/>
      <w:szCs w:val="24"/>
      <w:lang w:val="en-US" w:eastAsia="zh-CN" w:bidi="ar-SA"/>
    </w:rPr>
  </w:style>
  <w:style w:type="character" w:styleId="1351" w:customStyle="1">
    <w:name w:val="批注文字 字符"/>
    <w:uiPriority w:val="99"/>
    <w:qFormat/>
    <w:rPr>
      <w:rFonts w:ascii="Times New Roman" w:hAnsi="Times New Roman" w:eastAsia="宋体" w:cs="Times New Roman"/>
      <w:sz w:val="24"/>
      <w:lang w:val="en-US" w:eastAsia="zh-CN" w:bidi="ar-SA"/>
    </w:rPr>
  </w:style>
  <w:style w:type="character" w:styleId="1352" w:customStyle="1">
    <w:name w:val="正文首行缩进 2 字符"/>
    <w:link w:val="1314"/>
    <w:uiPriority w:val="0"/>
    <w:qFormat/>
    <w:rPr>
      <w:rFonts w:eastAsia="宋体"/>
      <w:sz w:val="24"/>
      <w:szCs w:val="24"/>
      <w:lang w:val="en-US" w:eastAsia="zh-CN" w:bidi="ar-SA"/>
    </w:rPr>
  </w:style>
  <w:style w:type="character" w:styleId="1353" w:customStyle="1">
    <w:name w:val="Char Char111"/>
    <w:uiPriority w:val="0"/>
    <w:qFormat/>
    <w:rPr>
      <w:rFonts w:ascii="宋体" w:eastAsia="宋体"/>
      <w:b/>
      <w:sz w:val="24"/>
      <w:u w:val="single"/>
      <w:lang w:val="en-US" w:eastAsia="zh-CN" w:bidi="ar-SA"/>
    </w:rPr>
  </w:style>
  <w:style w:type="character" w:styleId="1354" w:customStyle="1">
    <w:name w:val="bjh-p"/>
    <w:uiPriority w:val="0"/>
    <w:qFormat/>
  </w:style>
  <w:style w:type="character" w:styleId="1355" w:customStyle="1">
    <w:name w:val="纯文本 字符"/>
    <w:uiPriority w:val="99"/>
    <w:qFormat/>
    <w:rPr>
      <w:rFonts w:ascii="宋体" w:hAnsi="Courier New" w:eastAsia="宋体" w:cs="Times New Roman"/>
      <w:sz w:val="21"/>
      <w:szCs w:val="21"/>
      <w:lang w:val="en-US" w:eastAsia="zh-CN" w:bidi="ar-SA"/>
    </w:rPr>
  </w:style>
  <w:style w:type="character" w:styleId="1356" w:customStyle="1">
    <w:name w:val="正文重点 Char"/>
    <w:link w:val="1357"/>
    <w:uiPriority w:val="0"/>
    <w:qFormat/>
    <w:rPr>
      <w:b/>
      <w:sz w:val="24"/>
    </w:rPr>
  </w:style>
  <w:style w:type="paragraph" w:styleId="1357" w:customStyle="1">
    <w:name w:val="正文重点"/>
    <w:basedOn w:val="1268"/>
    <w:link w:val="1356"/>
    <w:uiPriority w:val="0"/>
    <w:qFormat/>
    <w:pPr>
      <w:ind w:firstLine="482"/>
      <w:jc w:val="left"/>
      <w:spacing w:line="360" w:lineRule="auto"/>
    </w:pPr>
    <w:rPr>
      <w:b/>
      <w:sz w:val="24"/>
      <w:szCs w:val="20"/>
    </w:rPr>
  </w:style>
  <w:style w:type="character" w:styleId="1358" w:customStyle="1">
    <w:name w:val="Char Char11"/>
    <w:uiPriority w:val="0"/>
    <w:qFormat/>
    <w:rPr>
      <w:rFonts w:ascii="宋体" w:eastAsia="宋体"/>
      <w:b/>
      <w:sz w:val="24"/>
      <w:u w:val="single"/>
      <w:lang w:val="en-US" w:eastAsia="zh-CN" w:bidi="ar-SA"/>
    </w:rPr>
  </w:style>
  <w:style w:type="character" w:styleId="1359" w:customStyle="1">
    <w:name w:val="chanpin1"/>
    <w:uiPriority w:val="0"/>
    <w:qFormat/>
    <w:rPr>
      <w:rFonts w:hint="default" w:ascii="ˎ̥" w:hAnsi="ˎ̥"/>
      <w:color w:val="000000"/>
      <w:sz w:val="20"/>
      <w:szCs w:val="20"/>
      <w:u w:val="none"/>
    </w:rPr>
  </w:style>
  <w:style w:type="character" w:styleId="1360" w:customStyle="1">
    <w:name w:val="标题 Char"/>
    <w:uiPriority w:val="0"/>
    <w:qFormat/>
    <w:rPr>
      <w:b/>
      <w:sz w:val="32"/>
    </w:rPr>
  </w:style>
  <w:style w:type="character" w:styleId="1361" w:customStyle="1">
    <w:name w:val="段1 Char"/>
    <w:uiPriority w:val="0"/>
    <w:qFormat/>
    <w:rPr>
      <w:rFonts w:ascii="宋体" w:eastAsia="宋体"/>
      <w:sz w:val="24"/>
      <w:lang w:val="en-US" w:eastAsia="zh-CN" w:bidi="ar-SA"/>
    </w:rPr>
  </w:style>
  <w:style w:type="character" w:styleId="1362" w:customStyle="1">
    <w:name w:val="页脚 Char"/>
    <w:uiPriority w:val="0"/>
    <w:qFormat/>
    <w:rPr>
      <w:rFonts w:ascii="宋体" w:eastAsia="宋体"/>
      <w:sz w:val="18"/>
      <w:lang w:val="en-US" w:eastAsia="zh-CN" w:bidi="ar-SA"/>
    </w:rPr>
  </w:style>
  <w:style w:type="character" w:styleId="1363" w:customStyle="1">
    <w:name w:val="c21"/>
    <w:uiPriority w:val="0"/>
    <w:qFormat/>
    <w:rPr>
      <w:rFonts w:hint="default" w:ascii="ˎ̥" w:hAnsi="ˎ̥"/>
      <w:color w:val="000000"/>
      <w:sz w:val="20"/>
      <w:szCs w:val="20"/>
      <w:u w:val="none"/>
    </w:rPr>
  </w:style>
  <w:style w:type="character" w:styleId="1364" w:customStyle="1">
    <w:name w:val="标题 3 Char"/>
    <w:uiPriority w:val="0"/>
    <w:qFormat/>
    <w:rPr>
      <w:rFonts w:ascii="宋体" w:eastAsia="宋体"/>
      <w:b/>
      <w:sz w:val="24"/>
      <w:u w:val="single"/>
      <w:lang w:val="en-US" w:eastAsia="zh-CN" w:bidi="ar-SA"/>
    </w:rPr>
  </w:style>
  <w:style w:type="character" w:styleId="1365" w:customStyle="1">
    <w:name w:val="正文大标题 Char"/>
    <w:link w:val="1366"/>
    <w:uiPriority w:val="0"/>
    <w:qFormat/>
    <w:rPr>
      <w:rFonts w:ascii="宋体" w:hAnsi="宋体"/>
      <w:b/>
      <w:color w:val="000000"/>
      <w:sz w:val="28"/>
      <w:szCs w:val="21"/>
    </w:rPr>
  </w:style>
  <w:style w:type="paragraph" w:styleId="1366" w:customStyle="1">
    <w:name w:val="正文大标题"/>
    <w:basedOn w:val="1367"/>
    <w:next w:val="1280"/>
    <w:link w:val="1365"/>
    <w:uiPriority w:val="0"/>
    <w:qFormat/>
    <w:pPr>
      <w:jc w:val="center"/>
    </w:pPr>
    <w:rPr>
      <w:i w:val="0"/>
      <w:color w:val="000000"/>
      <w:sz w:val="28"/>
      <w:szCs w:val="21"/>
    </w:rPr>
  </w:style>
  <w:style w:type="paragraph" w:styleId="1367" w:customStyle="1">
    <w:name w:val="正文小标题"/>
    <w:basedOn w:val="1268"/>
    <w:next w:val="1280"/>
    <w:link w:val="1368"/>
    <w:uiPriority w:val="0"/>
    <w:qFormat/>
    <w:pPr>
      <w:ind w:firstLine="482"/>
      <w:jc w:val="left"/>
      <w:spacing w:before="312" w:after="312"/>
    </w:pPr>
    <w:rPr>
      <w:rFonts w:ascii="宋体" w:hAnsi="宋体"/>
      <w:b/>
      <w:i/>
      <w:color w:val="ff0000"/>
      <w:sz w:val="24"/>
      <w:szCs w:val="20"/>
    </w:rPr>
  </w:style>
  <w:style w:type="character" w:styleId="1368" w:customStyle="1">
    <w:name w:val="正文小标题 Char"/>
    <w:link w:val="1367"/>
    <w:uiPriority w:val="0"/>
    <w:qFormat/>
    <w:rPr>
      <w:rFonts w:ascii="宋体" w:hAnsi="宋体"/>
      <w:b/>
      <w:i/>
      <w:color w:val="ff0000"/>
      <w:sz w:val="24"/>
    </w:rPr>
  </w:style>
  <w:style w:type="character" w:styleId="1369" w:customStyle="1">
    <w:name w:val="正文格式 Char"/>
    <w:link w:val="1370"/>
    <w:uiPriority w:val="0"/>
    <w:qFormat/>
    <w:rPr>
      <w:rFonts w:ascii="宋体" w:hAnsi="宋体"/>
      <w:sz w:val="24"/>
      <w:szCs w:val="24"/>
      <w:lang w:val="en-GB"/>
    </w:rPr>
  </w:style>
  <w:style w:type="paragraph" w:styleId="1370" w:customStyle="1">
    <w:name w:val="正文格式"/>
    <w:basedOn w:val="1268"/>
    <w:link w:val="1369"/>
    <w:uiPriority w:val="0"/>
    <w:qFormat/>
    <w:pPr>
      <w:ind w:firstLine="480"/>
      <w:spacing w:line="360" w:lineRule="auto"/>
    </w:pPr>
    <w:rPr>
      <w:rFonts w:ascii="宋体" w:hAnsi="宋体"/>
      <w:sz w:val="24"/>
      <w:lang w:val="en-GB"/>
    </w:rPr>
  </w:style>
  <w:style w:type="character" w:styleId="1371" w:customStyle="1">
    <w:name w:val="中等深浅网格 1 - 强调文字颜色 2 Char"/>
    <w:link w:val="1372"/>
    <w:uiPriority w:val="0"/>
    <w:qFormat/>
    <w:rPr>
      <w:sz w:val="21"/>
      <w:szCs w:val="24"/>
      <w:lang w:val="zh-CN" w:eastAsia="zh-CN" w:bidi="ar-SA"/>
    </w:rPr>
  </w:style>
  <w:style w:type="paragraph" w:styleId="1372" w:customStyle="1">
    <w:name w:val="1"/>
    <w:link w:val="1371"/>
    <w:uiPriority w:val="0"/>
    <w:qFormat/>
    <w:rPr>
      <w:rFonts w:ascii="Times New Roman" w:hAnsi="Times New Roman" w:eastAsia="宋体" w:cs="Times New Roman"/>
      <w:sz w:val="21"/>
      <w:szCs w:val="24"/>
      <w:lang w:val="zh-CN" w:eastAsia="zh-CN" w:bidi="ar-SA"/>
    </w:rPr>
  </w:style>
  <w:style w:type="character" w:styleId="1373" w:customStyle="1">
    <w:name w:val="locality"/>
    <w:uiPriority w:val="0"/>
    <w:qFormat/>
  </w:style>
  <w:style w:type="character" w:styleId="1374" w:customStyle="1">
    <w:name w:val="批注文字 Char"/>
    <w:uiPriority w:val="99"/>
    <w:qFormat/>
    <w:rPr>
      <w:sz w:val="21"/>
      <w:szCs w:val="24"/>
    </w:rPr>
  </w:style>
  <w:style w:type="character" w:styleId="1375" w:customStyle="1">
    <w:name w:val="正文表格 Char"/>
    <w:link w:val="1376"/>
    <w:uiPriority w:val="0"/>
    <w:qFormat/>
    <w:rPr>
      <w:rFonts w:ascii="宋体" w:hAnsi="宋体"/>
      <w:color w:val="000000"/>
      <w:sz w:val="21"/>
      <w:szCs w:val="21"/>
    </w:rPr>
  </w:style>
  <w:style w:type="paragraph" w:styleId="1376" w:customStyle="1">
    <w:name w:val="正文表格"/>
    <w:basedOn w:val="1268"/>
    <w:link w:val="1375"/>
    <w:uiPriority w:val="0"/>
    <w:qFormat/>
    <w:pPr>
      <w:jc w:val="left"/>
    </w:pPr>
    <w:rPr>
      <w:rFonts w:ascii="宋体" w:hAnsi="宋体"/>
      <w:color w:val="000000"/>
      <w:szCs w:val="21"/>
    </w:rPr>
  </w:style>
  <w:style w:type="character" w:styleId="1377" w:customStyle="1">
    <w:name w:val="纯文本 字符1"/>
    <w:uiPriority w:val="0"/>
    <w:qFormat/>
    <w:rPr>
      <w:rFonts w:ascii="宋体" w:hAnsi="Courier New"/>
    </w:rPr>
  </w:style>
  <w:style w:type="character" w:styleId="1378" w:customStyle="1">
    <w:name w:val="纯文本 Char1"/>
    <w:uiPriority w:val="0"/>
    <w:qFormat/>
    <w:rPr>
      <w:rFonts w:ascii="宋体" w:hAnsi="Courier New" w:eastAsia="宋体"/>
      <w:sz w:val="21"/>
      <w:lang w:val="en-US" w:eastAsia="zh-CN" w:bidi="ar-SA"/>
    </w:rPr>
  </w:style>
  <w:style w:type="character" w:styleId="1379" w:customStyle="1">
    <w:name w:val="street-address"/>
    <w:uiPriority w:val="0"/>
    <w:qFormat/>
  </w:style>
  <w:style w:type="character" w:styleId="1380" w:customStyle="1">
    <w:name w:val="列出段落 字符"/>
    <w:link w:val="1381"/>
    <w:uiPriority w:val="34"/>
    <w:qFormat/>
    <w:rPr>
      <w:rFonts w:ascii="Calibri" w:hAnsi="Calibri" w:eastAsia="宋体"/>
      <w:sz w:val="21"/>
      <w:szCs w:val="22"/>
      <w:lang w:val="en-US" w:eastAsia="zh-CN" w:bidi="ar-SA"/>
    </w:rPr>
  </w:style>
  <w:style w:type="paragraph" w:styleId="1381">
    <w:name w:val="List Paragraph"/>
    <w:basedOn w:val="1268"/>
    <w:link w:val="1380"/>
    <w:uiPriority w:val="34"/>
    <w:qFormat/>
    <w:pPr>
      <w:ind w:firstLine="420"/>
    </w:pPr>
    <w:rPr>
      <w:rFonts w:ascii="Calibri" w:hAnsi="Calibri"/>
      <w:szCs w:val="22"/>
    </w:rPr>
  </w:style>
  <w:style w:type="character" w:styleId="1382" w:customStyle="1">
    <w:name w:val="txt"/>
    <w:uiPriority w:val="0"/>
    <w:qFormat/>
  </w:style>
  <w:style w:type="character" w:styleId="1383" w:customStyle="1">
    <w:name w:val="列出段落 Char"/>
    <w:uiPriority w:val="0"/>
    <w:qFormat/>
    <w:rPr>
      <w:rFonts w:ascii="Calibri" w:hAnsi="Calibri" w:eastAsia="宋体"/>
      <w:sz w:val="21"/>
      <w:szCs w:val="22"/>
      <w:lang w:val="en-US" w:eastAsia="zh-CN" w:bidi="ar-SA"/>
    </w:rPr>
  </w:style>
  <w:style w:type="character" w:styleId="1384" w:customStyle="1">
    <w:name w:val="black1"/>
    <w:uiPriority w:val="0"/>
    <w:qFormat/>
    <w:rPr>
      <w:color w:val="000000"/>
    </w:rPr>
  </w:style>
  <w:style w:type="character" w:styleId="1385" w:customStyle="1">
    <w:name w:val="正文文本缩进 Char"/>
    <w:uiPriority w:val="0"/>
    <w:qFormat/>
    <w:rPr>
      <w:rFonts w:eastAsia="宋体"/>
      <w:sz w:val="24"/>
      <w:szCs w:val="24"/>
      <w:lang w:val="en-US" w:eastAsia="zh-CN" w:bidi="ar-SA"/>
    </w:rPr>
  </w:style>
  <w:style w:type="character" w:styleId="1386" w:customStyle="1">
    <w:name w:val="正文缩进 Char Char"/>
    <w:link w:val="1387"/>
    <w:uiPriority w:val="0"/>
    <w:qFormat/>
    <w:rPr>
      <w:rFonts w:ascii="宋体" w:eastAsia="宋体"/>
      <w:color w:val="000000"/>
      <w:sz w:val="28"/>
      <w:lang w:bidi="ar-SA"/>
    </w:rPr>
  </w:style>
  <w:style w:type="paragraph" w:styleId="1387" w:customStyle="1">
    <w:name w:val="正文缩进1"/>
    <w:basedOn w:val="1268"/>
    <w:link w:val="1386"/>
    <w:uiPriority w:val="0"/>
    <w:qFormat/>
    <w:pPr>
      <w:ind w:firstLine="567"/>
      <w:spacing w:line="480" w:lineRule="exact"/>
      <w:widowControl/>
    </w:pPr>
    <w:rPr>
      <w:rFonts w:ascii="宋体"/>
      <w:color w:val="000000"/>
      <w:sz w:val="28"/>
      <w:szCs w:val="20"/>
    </w:rPr>
  </w:style>
  <w:style w:type="character" w:styleId="1388" w:customStyle="1">
    <w:name w:val="标题 2 Char Char"/>
    <w:uiPriority w:val="0"/>
    <w:qFormat/>
    <w:rPr>
      <w:rFonts w:ascii="Arial" w:hAnsi="Arial" w:eastAsia="黑体"/>
      <w:b/>
      <w:bCs/>
      <w:sz w:val="32"/>
      <w:szCs w:val="32"/>
      <w:lang w:val="en-US" w:eastAsia="zh-CN" w:bidi="ar-SA"/>
    </w:rPr>
  </w:style>
  <w:style w:type="character" w:styleId="1389" w:customStyle="1">
    <w:name w:val="正文缩进 Char"/>
    <w:uiPriority w:val="0"/>
    <w:qFormat/>
    <w:rPr>
      <w:rFonts w:ascii="宋体" w:eastAsia="宋体"/>
      <w:sz w:val="24"/>
      <w:szCs w:val="24"/>
      <w:lang w:val="en-US" w:eastAsia="zh-CN" w:bidi="ar-SA"/>
    </w:rPr>
  </w:style>
  <w:style w:type="character" w:styleId="1390" w:customStyle="1">
    <w:name w:val="普通文字1 Char1"/>
    <w:uiPriority w:val="0"/>
    <w:qFormat/>
    <w:rPr>
      <w:rFonts w:ascii="宋体" w:hAnsi="Courier New" w:eastAsia="宋体"/>
      <w:sz w:val="21"/>
      <w:lang w:val="en-US" w:eastAsia="zh-CN" w:bidi="ar-SA"/>
    </w:rPr>
  </w:style>
  <w:style w:type="character" w:styleId="1391" w:customStyle="1">
    <w:name w:val="页眉 Char"/>
    <w:uiPriority w:val="0"/>
    <w:qFormat/>
    <w:rPr>
      <w:rFonts w:eastAsia="宋体"/>
      <w:sz w:val="18"/>
      <w:szCs w:val="18"/>
      <w:lang w:val="en-US" w:eastAsia="zh-CN" w:bidi="ar-SA"/>
    </w:rPr>
  </w:style>
  <w:style w:type="character" w:styleId="1392" w:customStyle="1">
    <w:name w:val="注释 Char"/>
    <w:link w:val="1393"/>
    <w:uiPriority w:val="0"/>
    <w:qFormat/>
    <w:rPr>
      <w:rFonts w:ascii="宋体" w:hAnsi="宋体"/>
      <w:sz w:val="21"/>
      <w:szCs w:val="21"/>
    </w:rPr>
  </w:style>
  <w:style w:type="paragraph" w:styleId="1393" w:customStyle="1">
    <w:name w:val="注释"/>
    <w:basedOn w:val="1268"/>
    <w:link w:val="1392"/>
    <w:uiPriority w:val="0"/>
    <w:qFormat/>
    <w:pPr>
      <w:ind w:left="420" w:hanging="420"/>
      <w:jc w:val="left"/>
    </w:pPr>
    <w:rPr>
      <w:rFonts w:ascii="宋体" w:hAnsi="宋体"/>
      <w:szCs w:val="21"/>
    </w:rPr>
  </w:style>
  <w:style w:type="character" w:styleId="1394" w:customStyle="1">
    <w:name w:val="成文日期 Char"/>
    <w:link w:val="1395"/>
    <w:uiPriority w:val="0"/>
    <w:qFormat/>
    <w:rPr>
      <w:rFonts w:ascii="仿宋_GB2312" w:eastAsia="仿宋_GB2312"/>
      <w:sz w:val="32"/>
    </w:rPr>
  </w:style>
  <w:style w:type="paragraph" w:styleId="1395" w:customStyle="1">
    <w:name w:val="成文日期"/>
    <w:basedOn w:val="1268"/>
    <w:link w:val="1394"/>
    <w:uiPriority w:val="0"/>
    <w:qFormat/>
    <w:pPr>
      <w:ind w:right="400" w:firstLine="200"/>
      <w:jc w:val="right"/>
      <w:spacing w:line="570" w:lineRule="exact"/>
    </w:pPr>
    <w:rPr>
      <w:rFonts w:ascii="仿宋_GB2312" w:eastAsia="仿宋_GB2312"/>
      <w:sz w:val="32"/>
      <w:szCs w:val="20"/>
    </w:rPr>
  </w:style>
  <w:style w:type="character" w:styleId="1396" w:customStyle="1">
    <w:name w:val="apple-style-span"/>
    <w:uiPriority w:val="0"/>
    <w:qFormat/>
    <w:rPr>
      <w:rFonts w:cs="Times New Roman"/>
    </w:rPr>
  </w:style>
  <w:style w:type="character" w:styleId="1397" w:customStyle="1">
    <w:name w:val="title4"/>
    <w:uiPriority w:val="0"/>
    <w:qFormat/>
    <w:rPr>
      <w:b/>
      <w:bCs/>
      <w:color w:val="1d87b3"/>
      <w:sz w:val="15"/>
      <w:szCs w:val="15"/>
    </w:rPr>
  </w:style>
  <w:style w:type="character" w:styleId="1398" w:customStyle="1">
    <w:name w:val="标题 2 Char"/>
    <w:uiPriority w:val="0"/>
    <w:qFormat/>
    <w:rPr>
      <w:rFonts w:ascii="Arial" w:hAnsi="Arial" w:eastAsia="黑体"/>
      <w:b/>
      <w:sz w:val="30"/>
      <w:lang w:val="en-US" w:eastAsia="zh-CN" w:bidi="ar-SA"/>
    </w:rPr>
  </w:style>
  <w:style w:type="character" w:styleId="1399" w:customStyle="1">
    <w:name w:val="标题 3 Char Char"/>
    <w:uiPriority w:val="0"/>
    <w:qFormat/>
    <w:rPr>
      <w:rFonts w:eastAsia="宋体"/>
      <w:b/>
      <w:bCs/>
      <w:sz w:val="32"/>
      <w:szCs w:val="32"/>
      <w:lang w:val="en-US" w:eastAsia="zh-CN" w:bidi="ar-SA"/>
    </w:rPr>
  </w:style>
  <w:style w:type="character" w:styleId="1400" w:customStyle="1">
    <w:name w:val="正文文本缩进 Char1"/>
    <w:link w:val="1401"/>
    <w:uiPriority w:val="0"/>
    <w:qFormat/>
    <w:rPr>
      <w:rFonts w:ascii="宋体" w:hAnsi="宋体" w:eastAsia="宋体"/>
      <w:sz w:val="24"/>
      <w:szCs w:val="24"/>
      <w:lang w:bidi="ar-SA"/>
    </w:rPr>
  </w:style>
  <w:style w:type="paragraph" w:styleId="1401" w:customStyle="1">
    <w:name w:val="正文文本缩进1"/>
    <w:basedOn w:val="1268"/>
    <w:link w:val="1400"/>
    <w:uiPriority w:val="0"/>
    <w:qFormat/>
    <w:pPr>
      <w:ind w:firstLine="480"/>
      <w:spacing w:line="480" w:lineRule="exact"/>
    </w:pPr>
    <w:rPr>
      <w:rFonts w:ascii="宋体" w:hAnsi="宋体"/>
      <w:sz w:val="24"/>
    </w:rPr>
  </w:style>
  <w:style w:type="character" w:styleId="1402" w:customStyle="1">
    <w:name w:val="chanpin拷贝"/>
    <w:uiPriority w:val="0"/>
    <w:qFormat/>
  </w:style>
  <w:style w:type="paragraph" w:styleId="1403" w:customStyle="1">
    <w:name w:val="样式 标题 2 + 宋体 五号 行距: 单倍行距"/>
    <w:basedOn w:val="1270"/>
    <w:uiPriority w:val="0"/>
    <w:qFormat/>
    <w:pPr>
      <w:numPr>
        <w:ilvl w:val="1"/>
        <w:numId w:val="1"/>
      </w:numPr>
      <w:jc w:val="left"/>
      <w:spacing w:before="260" w:after="260" w:line="240" w:lineRule="auto"/>
    </w:pPr>
    <w:rPr>
      <w:rFonts w:ascii="宋体" w:hAnsi="宋体" w:eastAsia="宋体"/>
      <w:bCs/>
      <w:sz w:val="21"/>
    </w:rPr>
  </w:style>
  <w:style w:type="paragraph" w:styleId="1404" w:customStyle="1">
    <w:name w:val="正文须知-1级"/>
    <w:basedOn w:val="1268"/>
    <w:next w:val="1268"/>
    <w:uiPriority w:val="0"/>
    <w:qFormat/>
    <w:pPr>
      <w:numPr>
        <w:ilvl w:val="0"/>
        <w:numId w:val="2"/>
      </w:numPr>
      <w:spacing w:line="300" w:lineRule="auto"/>
    </w:pPr>
    <w:rPr>
      <w:rFonts w:ascii="宋体" w:hAnsi="Calibri"/>
      <w:sz w:val="24"/>
      <w:szCs w:val="21"/>
    </w:rPr>
  </w:style>
  <w:style w:type="paragraph" w:styleId="1405" w:customStyle="1">
    <w:name w:val="background1"/>
    <w:basedOn w:val="1268"/>
    <w:uiPriority w:val="0"/>
    <w:qFormat/>
    <w:pPr>
      <w:jc w:val="left"/>
      <w:spacing w:before="100" w:beforeAutospacing="1" w:after="100" w:afterAutospacing="1"/>
      <w:widowControl/>
    </w:pPr>
    <w:rPr>
      <w:rFonts w:ascii="宋体" w:hAnsi="宋体" w:cs="宋体"/>
      <w:sz w:val="24"/>
    </w:rPr>
  </w:style>
  <w:style w:type="paragraph" w:styleId="1406" w:customStyle="1">
    <w:name w:val="xl40"/>
    <w:basedOn w:val="12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07" w:customStyle="1">
    <w:name w:val="纯文本1"/>
    <w:next w:val="1302"/>
    <w:uiPriority w:val="0"/>
    <w:qFormat/>
    <w:pPr>
      <w:jc w:val="both"/>
      <w:widowControl w:val="off"/>
    </w:pPr>
    <w:rPr>
      <w:rFonts w:ascii="宋体" w:hAnsi="宋体" w:eastAsia="宋体" w:cs="Times New Roman"/>
      <w:sz w:val="26"/>
      <w:lang w:val="en-US" w:eastAsia="zh-CN" w:bidi="ar-SA"/>
    </w:rPr>
  </w:style>
  <w:style w:type="paragraph" w:styleId="1408" w:customStyle="1">
    <w:name w:val="修订1"/>
    <w:uiPriority w:val="0"/>
    <w:qFormat/>
    <w:rPr>
      <w:rFonts w:ascii="Times New Roman" w:hAnsi="Times New Roman" w:eastAsia="宋体" w:cs="Times New Roman"/>
      <w:sz w:val="21"/>
      <w:szCs w:val="24"/>
      <w:lang w:val="en-US" w:eastAsia="zh-CN" w:bidi="ar-SA"/>
    </w:rPr>
  </w:style>
  <w:style w:type="paragraph" w:styleId="1409" w:customStyle="1">
    <w:name w:val="二级条标题"/>
    <w:basedOn w:val="1410"/>
    <w:next w:val="126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410" w:customStyle="1">
    <w:name w:val="一级条标题"/>
    <w:basedOn w:val="1411"/>
    <w:next w:val="1268"/>
    <w:uiPriority w:val="0"/>
    <w:qFormat/>
    <w:pPr>
      <w:numPr>
        <w:ilvl w:val="1"/>
      </w:numPr>
      <w:ind w:left="0" w:hanging="840"/>
      <w:tabs>
        <w:tab w:val="left" w:pos="360" w:leader="none"/>
        <w:tab w:val="left" w:pos="840" w:leader="none"/>
      </w:tabs>
      <w:outlineLvl w:val="1"/>
    </w:pPr>
  </w:style>
  <w:style w:type="paragraph" w:styleId="1411" w:customStyle="1">
    <w:name w:val="章标题"/>
    <w:next w:val="1268"/>
    <w:uiPriority w:val="0"/>
    <w:qFormat/>
    <w:pPr>
      <w:numPr>
        <w:ilvl w:val="0"/>
        <w:numId w:val="3"/>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412" w:customStyle="1">
    <w:name w:val="Char Char1 Char Char Char Char Char Char Char Char"/>
    <w:basedOn w:val="1268"/>
    <w:uiPriority w:val="0"/>
    <w:qFormat/>
    <w:pPr>
      <w:jc w:val="left"/>
      <w:spacing w:after="160" w:line="240" w:lineRule="exact"/>
      <w:widowControl/>
    </w:pPr>
    <w:rPr>
      <w:rFonts w:ascii="Verdana" w:hAnsi="Verdana"/>
      <w:sz w:val="20"/>
      <w:szCs w:val="20"/>
      <w:lang w:eastAsia="en-US"/>
    </w:rPr>
  </w:style>
  <w:style w:type="paragraph" w:styleId="1413" w:customStyle="1">
    <w:name w:val="Char Char Char1 Char"/>
    <w:basedOn w:val="1268"/>
    <w:uiPriority w:val="0"/>
    <w:qFormat/>
    <w:rPr>
      <w:rFonts w:ascii="Tahoma" w:hAnsi="Tahoma"/>
      <w:sz w:val="24"/>
      <w:szCs w:val="20"/>
    </w:rPr>
  </w:style>
  <w:style w:type="paragraph" w:styleId="1414" w:customStyle="1">
    <w:name w:val="xl42"/>
    <w:basedOn w:val="12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415" w:customStyle="1">
    <w:name w:val="xl24"/>
    <w:basedOn w:val="12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16" w:customStyle="1">
    <w:name w:val="Char2 Char Char Char Char Char Char"/>
    <w:basedOn w:val="1268"/>
    <w:uiPriority w:val="0"/>
    <w:qFormat/>
    <w:pPr>
      <w:jc w:val="center"/>
      <w:spacing w:line="400" w:lineRule="exact"/>
      <w:widowControl/>
    </w:pPr>
  </w:style>
  <w:style w:type="paragraph" w:styleId="1417" w:customStyle="1">
    <w:name w:val="xl39"/>
    <w:basedOn w:val="12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18" w:customStyle="1">
    <w:name w:val="1 Char Char Char Char"/>
    <w:basedOn w:val="1268"/>
    <w:uiPriority w:val="0"/>
    <w:qFormat/>
    <w:rPr>
      <w:rFonts w:ascii="Tahoma" w:hAnsi="Tahoma"/>
      <w:sz w:val="24"/>
      <w:szCs w:val="20"/>
    </w:rPr>
  </w:style>
  <w:style w:type="paragraph" w:styleId="1419" w:customStyle="1">
    <w:name w:val="xl43"/>
    <w:basedOn w:val="126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420" w:customStyle="1">
    <w:name w:val="字元 字元"/>
    <w:basedOn w:val="1268"/>
    <w:uiPriority w:val="0"/>
    <w:qFormat/>
    <w:rPr>
      <w:rFonts w:ascii="Tahoma" w:hAnsi="Tahoma"/>
      <w:sz w:val="24"/>
      <w:szCs w:val="20"/>
    </w:rPr>
  </w:style>
  <w:style w:type="paragraph" w:styleId="1421" w:customStyle="1">
    <w:name w:val="font7"/>
    <w:basedOn w:val="1268"/>
    <w:uiPriority w:val="0"/>
    <w:qFormat/>
    <w:pPr>
      <w:jc w:val="left"/>
      <w:spacing w:before="100" w:beforeAutospacing="1" w:after="100" w:afterAutospacing="1"/>
      <w:widowControl/>
    </w:pPr>
    <w:rPr>
      <w:rFonts w:eastAsia="Arial Unicode MS"/>
      <w:b/>
      <w:bCs/>
      <w:color w:val="000000"/>
      <w:sz w:val="20"/>
      <w:szCs w:val="20"/>
    </w:rPr>
  </w:style>
  <w:style w:type="paragraph" w:styleId="1422" w:customStyle="1">
    <w:name w:val="Char Char1 Char Char Char Char Char Char1"/>
    <w:basedOn w:val="1268"/>
    <w:uiPriority w:val="0"/>
    <w:qFormat/>
    <w:pPr>
      <w:jc w:val="left"/>
      <w:spacing w:after="160" w:line="240" w:lineRule="exact"/>
      <w:widowControl/>
    </w:pPr>
    <w:rPr>
      <w:rFonts w:ascii="Verdana" w:hAnsi="Verdana" w:eastAsia="仿宋_GB2312"/>
      <w:sz w:val="24"/>
      <w:szCs w:val="20"/>
      <w:lang w:eastAsia="en-US"/>
    </w:rPr>
  </w:style>
  <w:style w:type="paragraph" w:styleId="1423" w:customStyle="1">
    <w:name w:val="字元 字元1"/>
    <w:basedOn w:val="1268"/>
    <w:uiPriority w:val="0"/>
    <w:qFormat/>
    <w:rPr>
      <w:rFonts w:ascii="Tahoma" w:hAnsi="Tahoma"/>
      <w:sz w:val="24"/>
      <w:szCs w:val="20"/>
    </w:rPr>
  </w:style>
  <w:style w:type="paragraph" w:styleId="1424" w:customStyle="1">
    <w:name w:val="Char Char1 Char Char Char Char Char Char"/>
    <w:basedOn w:val="1268"/>
    <w:uiPriority w:val="0"/>
    <w:qFormat/>
    <w:pPr>
      <w:jc w:val="left"/>
      <w:spacing w:after="160" w:line="240" w:lineRule="exact"/>
      <w:widowControl/>
    </w:pPr>
    <w:rPr>
      <w:rFonts w:ascii="Verdana" w:hAnsi="Verdana" w:eastAsia="仿宋_GB2312"/>
      <w:sz w:val="24"/>
      <w:szCs w:val="20"/>
      <w:lang w:eastAsia="en-US"/>
    </w:rPr>
  </w:style>
  <w:style w:type="paragraph" w:styleId="1425" w:customStyle="1">
    <w:name w:val="xl26"/>
    <w:basedOn w:val="12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426" w:customStyle="1">
    <w:name w:val="font8"/>
    <w:basedOn w:val="1268"/>
    <w:uiPriority w:val="0"/>
    <w:qFormat/>
    <w:pPr>
      <w:jc w:val="left"/>
      <w:spacing w:before="100" w:beforeAutospacing="1" w:after="100" w:afterAutospacing="1"/>
      <w:widowControl/>
    </w:pPr>
    <w:rPr>
      <w:sz w:val="36"/>
      <w:szCs w:val="36"/>
    </w:rPr>
  </w:style>
  <w:style w:type="paragraph" w:styleId="1427" w:customStyle="1">
    <w:name w:val="Char Char41"/>
    <w:basedOn w:val="1268"/>
    <w:uiPriority w:val="0"/>
    <w:qFormat/>
    <w:pPr>
      <w:jc w:val="center"/>
      <w:spacing w:line="400" w:lineRule="exact"/>
      <w:widowControl/>
    </w:pPr>
  </w:style>
  <w:style w:type="paragraph" w:styleId="1428" w:customStyle="1">
    <w:name w:val="Char2"/>
    <w:basedOn w:val="1268"/>
    <w:uiPriority w:val="0"/>
    <w:qFormat/>
    <w:rPr>
      <w:rFonts w:ascii="Tahoma" w:hAnsi="Tahoma"/>
      <w:sz w:val="24"/>
      <w:szCs w:val="20"/>
    </w:rPr>
  </w:style>
  <w:style w:type="paragraph" w:styleId="1429" w:customStyle="1">
    <w:name w:val="正文文本样式 加粗"/>
    <w:basedOn w:val="1430"/>
    <w:uiPriority w:val="0"/>
    <w:qFormat/>
    <w:rPr>
      <w:b/>
    </w:rPr>
  </w:style>
  <w:style w:type="paragraph" w:styleId="1430" w:customStyle="1">
    <w:name w:val="正文文本样式"/>
    <w:basedOn w:val="1268"/>
    <w:uiPriority w:val="0"/>
    <w:qFormat/>
    <w:pPr>
      <w:ind w:firstLine="482"/>
      <w:spacing w:line="360" w:lineRule="auto"/>
    </w:pPr>
    <w:rPr>
      <w:rFonts w:cs="宋体"/>
      <w:sz w:val="24"/>
      <w:szCs w:val="20"/>
    </w:rPr>
  </w:style>
  <w:style w:type="paragraph" w:styleId="1431" w:customStyle="1">
    <w:name w:val="项目编号1"/>
    <w:basedOn w:val="1268"/>
    <w:uiPriority w:val="0"/>
    <w:qFormat/>
    <w:pPr>
      <w:numPr>
        <w:ilvl w:val="0"/>
        <w:numId w:val="4"/>
      </w:numPr>
      <w:spacing w:before="100" w:beforeAutospacing="1" w:after="100" w:afterAutospacing="1" w:line="360" w:lineRule="auto"/>
    </w:pPr>
    <w:rPr>
      <w:sz w:val="24"/>
    </w:rPr>
  </w:style>
  <w:style w:type="paragraph" w:styleId="1432" w:customStyle="1">
    <w:name w:val="xl23"/>
    <w:basedOn w:val="1268"/>
    <w:uiPriority w:val="0"/>
    <w:qFormat/>
    <w:pPr>
      <w:spacing w:before="100" w:beforeAutospacing="1" w:after="100" w:afterAutospacing="1" w:line="360" w:lineRule="auto"/>
      <w:widowControl/>
    </w:pPr>
    <w:rPr>
      <w:sz w:val="24"/>
      <w:szCs w:val="20"/>
    </w:rPr>
  </w:style>
  <w:style w:type="paragraph" w:styleId="1433" w:customStyle="1">
    <w:name w:val="_Style 15"/>
    <w:basedOn w:val="1268"/>
    <w:next w:val="1268"/>
    <w:uiPriority w:val="0"/>
    <w:qFormat/>
    <w:pPr>
      <w:ind w:left="420" w:firstLine="420"/>
      <w:spacing w:after="120"/>
    </w:pPr>
    <w:rPr>
      <w:szCs w:val="22"/>
    </w:rPr>
  </w:style>
  <w:style w:type="paragraph" w:styleId="1434" w:customStyle="1">
    <w:name w:val="xl32"/>
    <w:basedOn w:val="126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35" w:customStyle="1">
    <w:name w:val="正文须知-3级"/>
    <w:basedOn w:val="1268"/>
    <w:uiPriority w:val="0"/>
    <w:qFormat/>
    <w:pPr>
      <w:numPr>
        <w:ilvl w:val="2"/>
        <w:numId w:val="2"/>
      </w:numPr>
      <w:ind w:hanging="355"/>
      <w:spacing w:line="300" w:lineRule="auto"/>
    </w:pPr>
    <w:rPr>
      <w:rFonts w:ascii="宋体" w:hAnsi="Calibri"/>
      <w:sz w:val="24"/>
      <w:szCs w:val="21"/>
    </w:rPr>
  </w:style>
  <w:style w:type="paragraph" w:styleId="1436" w:customStyle="1">
    <w:name w:val="标题1-附件"/>
    <w:basedOn w:val="1269"/>
    <w:uiPriority w:val="0"/>
    <w:qFormat/>
    <w:pPr>
      <w:jc w:val="left"/>
    </w:pPr>
    <w:rPr>
      <w:sz w:val="24"/>
      <w:szCs w:val="24"/>
    </w:rPr>
  </w:style>
  <w:style w:type="paragraph" w:styleId="1437" w:customStyle="1">
    <w:name w:val="Char3"/>
    <w:basedOn w:val="1268"/>
    <w:uiPriority w:val="0"/>
    <w:qFormat/>
    <w:pPr>
      <w:tabs>
        <w:tab w:val="left" w:pos="360" w:leader="none"/>
      </w:tabs>
    </w:pPr>
    <w:rPr>
      <w:sz w:val="24"/>
    </w:rPr>
  </w:style>
  <w:style w:type="paragraph" w:styleId="1438" w:customStyle="1">
    <w:name w:val="xl31"/>
    <w:basedOn w:val="126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39" w:customStyle="1">
    <w:name w:val="xl53"/>
    <w:basedOn w:val="12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40" w:customStyle="1">
    <w:name w:val="font6"/>
    <w:basedOn w:val="1268"/>
    <w:uiPriority w:val="0"/>
    <w:qFormat/>
    <w:pPr>
      <w:jc w:val="left"/>
      <w:spacing w:before="100" w:beforeAutospacing="1" w:after="100" w:afterAutospacing="1"/>
      <w:widowControl/>
    </w:pPr>
    <w:rPr>
      <w:rFonts w:ascii="宋体" w:hAnsi="宋体" w:cs="宋体"/>
      <w:sz w:val="20"/>
      <w:szCs w:val="20"/>
    </w:rPr>
  </w:style>
  <w:style w:type="paragraph" w:styleId="1441" w:customStyle="1">
    <w:name w:val="xl35"/>
    <w:basedOn w:val="126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42" w:customStyle="1">
    <w:name w:val="Char Char Char1 Char2"/>
    <w:basedOn w:val="1268"/>
    <w:uiPriority w:val="0"/>
    <w:qFormat/>
    <w:rPr>
      <w:rFonts w:ascii="Tahoma" w:hAnsi="Tahoma"/>
      <w:sz w:val="24"/>
      <w:szCs w:val="20"/>
    </w:rPr>
  </w:style>
  <w:style w:type="paragraph" w:styleId="1443" w:customStyle="1">
    <w:name w:val="正文列项_字母"/>
    <w:basedOn w:val="1268"/>
    <w:uiPriority w:val="0"/>
    <w:qFormat/>
    <w:pPr>
      <w:numPr>
        <w:ilvl w:val="6"/>
        <w:numId w:val="3"/>
      </w:numPr>
      <w:ind w:left="480" w:hanging="180"/>
      <w:spacing w:line="460" w:lineRule="exact"/>
      <w:tabs>
        <w:tab w:val="clear" w:pos="635" w:leader="none"/>
      </w:tabs>
      <w:outlineLvl w:val="6"/>
    </w:pPr>
    <w:rPr>
      <w:rFonts w:ascii="宋体"/>
      <w:sz w:val="28"/>
      <w:szCs w:val="20"/>
    </w:rPr>
  </w:style>
  <w:style w:type="paragraph" w:styleId="1444" w:customStyle="1">
    <w:name w:val="1名"/>
    <w:basedOn w:val="1268"/>
    <w:uiPriority w:val="0"/>
    <w:qFormat/>
    <w:pPr>
      <w:numPr>
        <w:ilvl w:val="0"/>
        <w:numId w:val="5"/>
      </w:numPr>
      <w:spacing w:before="120"/>
    </w:pPr>
    <w:rPr>
      <w:rFonts w:ascii="宋体"/>
      <w:sz w:val="28"/>
      <w:szCs w:val="20"/>
    </w:rPr>
  </w:style>
  <w:style w:type="paragraph" w:styleId="1445" w:customStyle="1">
    <w:name w:val="样式 宋体 五号 行距: 单倍行距"/>
    <w:basedOn w:val="1268"/>
    <w:uiPriority w:val="0"/>
    <w:qFormat/>
    <w:pPr>
      <w:jc w:val="left"/>
    </w:pPr>
    <w:rPr>
      <w:rFonts w:ascii="宋体" w:hAnsi="宋体"/>
      <w:szCs w:val="20"/>
    </w:rPr>
  </w:style>
  <w:style w:type="paragraph" w:styleId="1446" w:customStyle="1">
    <w:name w:val="表格1"/>
    <w:basedOn w:val="1268"/>
    <w:uiPriority w:val="0"/>
    <w:qFormat/>
    <w:pPr>
      <w:ind w:firstLine="480"/>
      <w:jc w:val="center"/>
    </w:pPr>
    <w:rPr>
      <w:sz w:val="24"/>
      <w:szCs w:val="20"/>
    </w:rPr>
  </w:style>
  <w:style w:type="paragraph" w:styleId="1447" w:customStyle="1">
    <w:name w:val="字元 字元2"/>
    <w:basedOn w:val="1268"/>
    <w:uiPriority w:val="0"/>
    <w:qFormat/>
    <w:rPr>
      <w:rFonts w:ascii="Tahoma" w:hAnsi="Tahoma"/>
      <w:sz w:val="24"/>
      <w:szCs w:val="20"/>
    </w:rPr>
  </w:style>
  <w:style w:type="paragraph" w:styleId="1448" w:customStyle="1">
    <w:name w:val="文档正文"/>
    <w:basedOn w:val="1268"/>
    <w:uiPriority w:val="0"/>
    <w:qFormat/>
    <w:pPr>
      <w:spacing w:before="120" w:after="120" w:line="180" w:lineRule="auto"/>
    </w:pPr>
    <w:rPr>
      <w:rFonts w:ascii="Arial" w:hAnsi="Arial"/>
      <w:szCs w:val="20"/>
    </w:rPr>
  </w:style>
  <w:style w:type="paragraph" w:styleId="1449" w:customStyle="1">
    <w:name w:val="xl48"/>
    <w:basedOn w:val="12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450" w:customStyle="1">
    <w:name w:val="xl51"/>
    <w:basedOn w:val="126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51" w:customStyle="1">
    <w:name w:val="xl37"/>
    <w:basedOn w:val="126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52" w:customStyle="1">
    <w:name w:val="Char1 Char Char Char1"/>
    <w:basedOn w:val="1268"/>
    <w:uiPriority w:val="0"/>
    <w:qFormat/>
    <w:rPr>
      <w:rFonts w:ascii="Tahoma" w:hAnsi="Tahoma" w:cs="仿宋_GB2312"/>
      <w:sz w:val="24"/>
      <w:szCs w:val="28"/>
    </w:rPr>
  </w:style>
  <w:style w:type="paragraph" w:styleId="1453" w:customStyle="1">
    <w:name w:val="图例"/>
    <w:basedOn w:val="1268"/>
    <w:uiPriority w:val="0"/>
    <w:qFormat/>
    <w:pPr>
      <w:jc w:val="center"/>
      <w:spacing w:before="120" w:after="120" w:line="360" w:lineRule="auto"/>
    </w:pPr>
    <w:rPr>
      <w:rFonts w:eastAsia="仿宋_GB2312"/>
      <w:b/>
      <w:sz w:val="24"/>
      <w:szCs w:val="20"/>
    </w:rPr>
  </w:style>
  <w:style w:type="paragraph" w:styleId="1454" w:customStyle="1">
    <w:name w:val="Char Char1"/>
    <w:basedOn w:val="1284"/>
    <w:uiPriority w:val="0"/>
    <w:qFormat/>
    <w:rPr>
      <w:rFonts w:ascii="Tahoma" w:hAnsi="Tahoma"/>
      <w:sz w:val="24"/>
    </w:rPr>
  </w:style>
  <w:style w:type="paragraph" w:styleId="1455" w:customStyle="1">
    <w:name w:val="Char Char Char Char Char Char Char Char Char Char Char Char Char Char Char Char"/>
    <w:basedOn w:val="1268"/>
    <w:uiPriority w:val="0"/>
    <w:qFormat/>
    <w:pPr>
      <w:jc w:val="center"/>
      <w:spacing w:after="160" w:line="240" w:lineRule="exact"/>
      <w:widowControl/>
    </w:pPr>
    <w:rPr>
      <w:rFonts w:ascii="宋体" w:hAnsi="宋体"/>
      <w:b/>
      <w:sz w:val="30"/>
      <w:szCs w:val="30"/>
      <w:lang w:eastAsia="en-US"/>
    </w:rPr>
  </w:style>
  <w:style w:type="paragraph" w:styleId="1456" w:customStyle="1">
    <w:name w:val="xl25"/>
    <w:basedOn w:val="12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57" w:customStyle="1">
    <w:name w:val="正文列项_数字"/>
    <w:basedOn w:val="1268"/>
    <w:uiPriority w:val="0"/>
    <w:qFormat/>
    <w:pPr>
      <w:numPr>
        <w:ilvl w:val="7"/>
        <w:numId w:val="3"/>
      </w:numPr>
      <w:ind w:left="680" w:hanging="150"/>
      <w:spacing w:line="460" w:lineRule="exact"/>
      <w:tabs>
        <w:tab w:val="clear" w:pos="860" w:leader="none"/>
      </w:tabs>
      <w:outlineLvl w:val="7"/>
    </w:pPr>
    <w:rPr>
      <w:rFonts w:ascii="宋体"/>
      <w:sz w:val="28"/>
      <w:szCs w:val="20"/>
    </w:rPr>
  </w:style>
  <w:style w:type="paragraph" w:styleId="1458" w:customStyle="1">
    <w:name w:val="默认段落字体 Para Char Char Char Char"/>
    <w:basedOn w:val="1268"/>
    <w:uiPriority w:val="0"/>
    <w:qFormat/>
    <w:rPr>
      <w:rFonts w:ascii="Arial" w:hAnsi="Arial" w:cs="Arial"/>
      <w:szCs w:val="21"/>
    </w:rPr>
  </w:style>
  <w:style w:type="paragraph" w:styleId="1459" w:customStyle="1">
    <w:name w:val="xl44"/>
    <w:basedOn w:val="126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460" w:customStyle="1">
    <w:name w:val="xl29"/>
    <w:basedOn w:val="12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461" w:customStyle="1">
    <w:name w:val="font9"/>
    <w:basedOn w:val="126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62" w:customStyle="1">
    <w:name w:val="Char Char Char Char Char Char Char1"/>
    <w:basedOn w:val="1268"/>
    <w:uiPriority w:val="0"/>
    <w:qFormat/>
    <w:pPr>
      <w:ind w:firstLine="200"/>
      <w:spacing w:line="360" w:lineRule="auto"/>
    </w:pPr>
    <w:rPr>
      <w:rFonts w:eastAsia="仿宋_GB2312"/>
      <w:sz w:val="24"/>
    </w:rPr>
  </w:style>
  <w:style w:type="paragraph" w:styleId="1463" w:customStyle="1">
    <w:name w:val="Char Char4"/>
    <w:basedOn w:val="1268"/>
    <w:uiPriority w:val="0"/>
    <w:qFormat/>
    <w:pPr>
      <w:jc w:val="center"/>
      <w:spacing w:line="400" w:lineRule="exact"/>
      <w:widowControl/>
    </w:pPr>
  </w:style>
  <w:style w:type="paragraph" w:styleId="1464" w:customStyle="1">
    <w:name w:val="xl50"/>
    <w:basedOn w:val="12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465" w:customStyle="1">
    <w:name w:val="xl52"/>
    <w:basedOn w:val="126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466" w:customStyle="1">
    <w:name w:val="Char Char Char"/>
    <w:basedOn w:val="1268"/>
    <w:uiPriority w:val="0"/>
    <w:qFormat/>
    <w:rPr>
      <w:rFonts w:ascii="Tahoma" w:hAnsi="Tahoma"/>
      <w:sz w:val="24"/>
      <w:szCs w:val="20"/>
    </w:rPr>
  </w:style>
  <w:style w:type="paragraph" w:styleId="1467" w:customStyle="1">
    <w:name w:val="项目编号2"/>
    <w:basedOn w:val="1431"/>
    <w:uiPriority w:val="0"/>
    <w:qFormat/>
    <w:pPr>
      <w:numPr>
        <w:numId w:val="6"/>
      </w:numPr>
    </w:pPr>
  </w:style>
  <w:style w:type="paragraph" w:styleId="1468" w:customStyle="1">
    <w:name w:val="正文须知-2级"/>
    <w:basedOn w:val="1268"/>
    <w:uiPriority w:val="0"/>
    <w:qFormat/>
    <w:pPr>
      <w:numPr>
        <w:ilvl w:val="1"/>
        <w:numId w:val="2"/>
      </w:numPr>
      <w:spacing w:line="300" w:lineRule="auto"/>
    </w:pPr>
    <w:rPr>
      <w:rFonts w:ascii="宋体" w:hAnsi="Calibri"/>
      <w:sz w:val="24"/>
      <w:szCs w:val="21"/>
    </w:rPr>
  </w:style>
  <w:style w:type="paragraph" w:styleId="1469" w:customStyle="1">
    <w:name w:val="Char Char Char Char Char Char Char2"/>
    <w:basedOn w:val="1268"/>
    <w:uiPriority w:val="0"/>
    <w:qFormat/>
    <w:pPr>
      <w:ind w:firstLine="200"/>
      <w:spacing w:line="360" w:lineRule="auto"/>
    </w:pPr>
    <w:rPr>
      <w:rFonts w:eastAsia="仿宋_GB2312"/>
      <w:sz w:val="24"/>
    </w:rPr>
  </w:style>
  <w:style w:type="paragraph" w:styleId="147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471" w:customStyle="1">
    <w:name w:val="Char Char Char2"/>
    <w:basedOn w:val="1268"/>
    <w:uiPriority w:val="0"/>
    <w:qFormat/>
    <w:rPr>
      <w:rFonts w:ascii="Tahoma" w:hAnsi="Tahoma"/>
      <w:sz w:val="24"/>
      <w:szCs w:val="20"/>
    </w:rPr>
  </w:style>
  <w:style w:type="paragraph" w:styleId="1472" w:customStyle="1">
    <w:name w:val="Revision"/>
    <w:uiPriority w:val="99"/>
    <w:unhideWhenUsed/>
    <w:qFormat/>
    <w:rPr>
      <w:rFonts w:ascii="Times New Roman" w:hAnsi="Times New Roman" w:eastAsia="宋体" w:cs="Times New Roman"/>
      <w:sz w:val="21"/>
      <w:szCs w:val="24"/>
      <w:lang w:val="en-US" w:eastAsia="zh-CN" w:bidi="ar-SA"/>
    </w:rPr>
  </w:style>
  <w:style w:type="paragraph" w:styleId="1473" w:customStyle="1">
    <w:name w:val="xl45"/>
    <w:basedOn w:val="126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474" w:customStyle="1">
    <w:name w:val="列出段落2"/>
    <w:basedOn w:val="1268"/>
    <w:uiPriority w:val="0"/>
    <w:qFormat/>
    <w:pPr>
      <w:ind w:firstLine="420"/>
    </w:pPr>
    <w:rPr>
      <w:rFonts w:ascii="Calibri" w:hAnsi="Calibri"/>
      <w:szCs w:val="22"/>
    </w:rPr>
  </w:style>
  <w:style w:type="paragraph" w:styleId="1475" w:customStyle="1">
    <w:name w:val="xl30"/>
    <w:basedOn w:val="12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76" w:customStyle="1">
    <w:name w:val="图中文字"/>
    <w:basedOn w:val="1268"/>
    <w:uiPriority w:val="0"/>
    <w:qFormat/>
    <w:pPr>
      <w:jc w:val="center"/>
      <w:spacing w:line="0" w:lineRule="atLeast"/>
    </w:pPr>
    <w:rPr>
      <w:sz w:val="24"/>
      <w:szCs w:val="20"/>
    </w:rPr>
  </w:style>
  <w:style w:type="paragraph" w:styleId="1477" w:customStyle="1">
    <w:name w:val="Table Paragraph"/>
    <w:basedOn w:val="1268"/>
    <w:uiPriority w:val="1"/>
    <w:qFormat/>
    <w:pPr>
      <w:jc w:val="left"/>
    </w:pPr>
    <w:rPr>
      <w:rFonts w:ascii="宋体" w:hAnsi="宋体" w:cs="宋体"/>
      <w:sz w:val="22"/>
      <w:szCs w:val="22"/>
      <w:lang w:eastAsia="en-US"/>
    </w:rPr>
  </w:style>
  <w:style w:type="paragraph" w:styleId="1478" w:customStyle="1">
    <w:name w:val="正文 + 楷体_GB2312"/>
    <w:basedOn w:val="1268"/>
    <w:uiPriority w:val="0"/>
    <w:qFormat/>
    <w:pPr>
      <w:jc w:val="left"/>
      <w:widowControl/>
    </w:pPr>
    <w:rPr>
      <w:rFonts w:ascii="楷体_GB2312" w:eastAsia="楷体_GB2312" w:cs="Arial"/>
      <w:sz w:val="24"/>
    </w:rPr>
  </w:style>
  <w:style w:type="paragraph" w:styleId="1479" w:customStyle="1">
    <w:name w:val="缺省文本"/>
    <w:basedOn w:val="1268"/>
    <w:uiPriority w:val="0"/>
    <w:qFormat/>
    <w:pPr>
      <w:jc w:val="left"/>
    </w:pPr>
    <w:rPr>
      <w:sz w:val="24"/>
    </w:rPr>
  </w:style>
  <w:style w:type="paragraph" w:styleId="1480" w:customStyle="1">
    <w:name w:val="样式2"/>
    <w:basedOn w:val="1311"/>
    <w:uiPriority w:val="0"/>
    <w:qFormat/>
    <w:pPr>
      <w:jc w:val="center"/>
      <w:spacing w:line="360" w:lineRule="auto"/>
    </w:pPr>
    <w:rPr>
      <w:sz w:val="24"/>
    </w:rPr>
  </w:style>
  <w:style w:type="paragraph" w:styleId="1481" w:customStyle="1">
    <w:name w:val="_Style 11"/>
    <w:basedOn w:val="1268"/>
    <w:next w:val="1268"/>
    <w:uiPriority w:val="0"/>
    <w:qFormat/>
    <w:pPr>
      <w:ind w:left="420" w:firstLine="420"/>
      <w:spacing w:after="120"/>
    </w:pPr>
  </w:style>
  <w:style w:type="paragraph" w:styleId="1482" w:customStyle="1">
    <w:name w:val="图文"/>
    <w:basedOn w:val="1268"/>
    <w:uiPriority w:val="0"/>
    <w:qFormat/>
    <w:pPr>
      <w:spacing w:after="50" w:line="360" w:lineRule="auto"/>
    </w:pPr>
    <w:rPr>
      <w:sz w:val="24"/>
    </w:rPr>
  </w:style>
  <w:style w:type="paragraph" w:styleId="1483" w:customStyle="1">
    <w:name w:val="Char2 Char Char Char Char Char Char1"/>
    <w:basedOn w:val="1268"/>
    <w:uiPriority w:val="0"/>
    <w:qFormat/>
    <w:pPr>
      <w:jc w:val="center"/>
      <w:spacing w:line="400" w:lineRule="exact"/>
      <w:widowControl/>
    </w:pPr>
  </w:style>
  <w:style w:type="paragraph" w:styleId="1484" w:customStyle="1">
    <w:name w:val="Char Char Char Char Char Char Char Char Char Char1"/>
    <w:basedOn w:val="1268"/>
    <w:uiPriority w:val="0"/>
    <w:qFormat/>
    <w:rPr>
      <w:rFonts w:ascii="宋体" w:hAnsi="宋体" w:cs="Courier New"/>
      <w:sz w:val="32"/>
      <w:szCs w:val="32"/>
    </w:rPr>
  </w:style>
  <w:style w:type="paragraph" w:styleId="1485" w:customStyle="1">
    <w:name w:val="Char3 Char Char Char2"/>
    <w:basedOn w:val="1268"/>
    <w:uiPriority w:val="0"/>
    <w:qFormat/>
    <w:rPr>
      <w:rFonts w:ascii="Tahoma" w:hAnsi="Tahoma"/>
      <w:sz w:val="24"/>
      <w:szCs w:val="20"/>
    </w:rPr>
  </w:style>
  <w:style w:type="paragraph" w:styleId="1486" w:customStyle="1">
    <w:name w:val="Char1"/>
    <w:basedOn w:val="1268"/>
    <w:uiPriority w:val="0"/>
    <w:qFormat/>
    <w:pPr>
      <w:tabs>
        <w:tab w:val="left" w:pos="360" w:leader="none"/>
      </w:tabs>
    </w:pPr>
    <w:rPr>
      <w:sz w:val="24"/>
    </w:rPr>
  </w:style>
  <w:style w:type="paragraph" w:styleId="1487" w:customStyle="1">
    <w:name w:val="Char Char Char1"/>
    <w:basedOn w:val="1268"/>
    <w:uiPriority w:val="0"/>
    <w:qFormat/>
    <w:rPr>
      <w:rFonts w:ascii="Tahoma" w:hAnsi="Tahoma"/>
      <w:sz w:val="24"/>
      <w:szCs w:val="20"/>
    </w:rPr>
  </w:style>
  <w:style w:type="paragraph" w:styleId="1488" w:customStyle="1">
    <w:name w:val="xl46"/>
    <w:basedOn w:val="1268"/>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489" w:customStyle="1">
    <w:name w:val="_Style 160"/>
    <w:uiPriority w:val="0"/>
    <w:qFormat/>
    <w:rPr>
      <w:rFonts w:ascii="Times New Roman" w:hAnsi="Times New Roman" w:eastAsia="宋体" w:cs="Times New Roman"/>
      <w:sz w:val="21"/>
      <w:szCs w:val="24"/>
      <w:lang w:val="en-US" w:eastAsia="zh-CN" w:bidi="ar-SA"/>
    </w:rPr>
  </w:style>
  <w:style w:type="paragraph" w:styleId="1490" w:customStyle="1">
    <w:name w:val="无标题条"/>
    <w:next w:val="1268"/>
    <w:uiPriority w:val="0"/>
    <w:qFormat/>
    <w:pPr>
      <w:jc w:val="both"/>
    </w:pPr>
    <w:rPr>
      <w:rFonts w:ascii="Times New Roman" w:hAnsi="Times New Roman" w:eastAsia="宋体" w:cs="Times New Roman"/>
      <w:sz w:val="21"/>
      <w:lang w:val="en-US" w:eastAsia="zh-CN" w:bidi="ar-SA"/>
    </w:rPr>
  </w:style>
  <w:style w:type="paragraph" w:styleId="1491" w:customStyle="1">
    <w:name w:val="Char Char Char Char Char Char Char Char Char Char"/>
    <w:basedOn w:val="1268"/>
    <w:uiPriority w:val="0"/>
    <w:qFormat/>
  </w:style>
  <w:style w:type="paragraph" w:styleId="1492" w:customStyle="1">
    <w:name w:val="列出段落1"/>
    <w:basedOn w:val="1268"/>
    <w:uiPriority w:val="0"/>
    <w:qFormat/>
    <w:pPr>
      <w:ind w:firstLine="420"/>
    </w:pPr>
    <w:rPr>
      <w:rFonts w:ascii="Calibri" w:hAnsi="Calibri"/>
      <w:szCs w:val="22"/>
    </w:rPr>
  </w:style>
  <w:style w:type="paragraph" w:styleId="1493" w:customStyle="1">
    <w:name w:val="xl47"/>
    <w:basedOn w:val="126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94" w:customStyle="1">
    <w:name w:val="xl38"/>
    <w:basedOn w:val="12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495" w:customStyle="1">
    <w:name w:val="Char Char Char Char Char Char Char Char Char Char2"/>
    <w:basedOn w:val="1268"/>
    <w:uiPriority w:val="0"/>
    <w:qFormat/>
    <w:rPr>
      <w:rFonts w:ascii="宋体" w:hAnsi="宋体" w:cs="Courier New"/>
      <w:sz w:val="32"/>
      <w:szCs w:val="32"/>
    </w:rPr>
  </w:style>
  <w:style w:type="paragraph" w:styleId="1496" w:customStyle="1">
    <w:name w:val="Char Char Char Char Char Char Char Char Char Char Char Char Char Char Char Char1"/>
    <w:basedOn w:val="1268"/>
    <w:uiPriority w:val="0"/>
    <w:qFormat/>
    <w:pPr>
      <w:jc w:val="center"/>
      <w:spacing w:after="160" w:line="240" w:lineRule="exact"/>
      <w:widowControl/>
    </w:pPr>
    <w:rPr>
      <w:rFonts w:ascii="宋体" w:hAnsi="宋体"/>
      <w:b/>
      <w:sz w:val="30"/>
      <w:szCs w:val="30"/>
      <w:lang w:eastAsia="en-US"/>
    </w:rPr>
  </w:style>
  <w:style w:type="paragraph" w:styleId="1497" w:customStyle="1">
    <w:name w:val="Char Char Char Char Char Char Char"/>
    <w:basedOn w:val="1268"/>
    <w:uiPriority w:val="0"/>
    <w:qFormat/>
    <w:pPr>
      <w:ind w:firstLine="200"/>
      <w:spacing w:line="360" w:lineRule="auto"/>
    </w:pPr>
    <w:rPr>
      <w:rFonts w:eastAsia="仿宋_GB2312"/>
      <w:sz w:val="24"/>
    </w:rPr>
  </w:style>
  <w:style w:type="paragraph" w:styleId="1498" w:customStyle="1">
    <w:name w:val="三级条标题"/>
    <w:basedOn w:val="1409"/>
    <w:next w:val="1268"/>
    <w:uiPriority w:val="0"/>
    <w:qFormat/>
    <w:pPr>
      <w:numPr>
        <w:ilvl w:val="3"/>
        <w:numId w:val="3"/>
      </w:numPr>
      <w:ind w:left="0" w:hanging="840"/>
      <w:outlineLvl w:val="3"/>
    </w:pPr>
  </w:style>
  <w:style w:type="paragraph" w:styleId="1499" w:customStyle="1">
    <w:name w:val="正文缩进2"/>
    <w:basedOn w:val="1268"/>
    <w:uiPriority w:val="0"/>
    <w:qFormat/>
    <w:pPr>
      <w:ind w:firstLine="567"/>
      <w:spacing w:line="480" w:lineRule="exact"/>
      <w:widowControl/>
    </w:pPr>
    <w:rPr>
      <w:rFonts w:ascii="宋体"/>
      <w:color w:val="000000"/>
      <w:sz w:val="28"/>
      <w:szCs w:val="20"/>
      <w:lang w:val="zh-CN"/>
    </w:rPr>
  </w:style>
  <w:style w:type="paragraph" w:styleId="1500" w:customStyle="1">
    <w:name w:val="正文 + 宋体"/>
    <w:basedOn w:val="1268"/>
    <w:uiPriority w:val="0"/>
    <w:qFormat/>
    <w:pPr>
      <w:ind w:left="360" w:hanging="360"/>
      <w:jc w:val="left"/>
      <w:widowControl/>
    </w:pPr>
    <w:rPr>
      <w:rFonts w:ascii="宋体" w:hAnsi="宋体" w:cs="宋体"/>
      <w:b/>
      <w:bCs/>
      <w:color w:val="000000"/>
      <w:sz w:val="18"/>
      <w:szCs w:val="18"/>
    </w:rPr>
  </w:style>
  <w:style w:type="paragraph" w:styleId="1501" w:customStyle="1">
    <w:name w:val="项目编号3"/>
    <w:basedOn w:val="1430"/>
    <w:uiPriority w:val="0"/>
    <w:qFormat/>
    <w:pPr>
      <w:numPr>
        <w:ilvl w:val="0"/>
        <w:numId w:val="7"/>
      </w:numPr>
    </w:pPr>
  </w:style>
  <w:style w:type="paragraph" w:styleId="1502"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503" w:customStyle="1">
    <w:name w:val="xl27"/>
    <w:basedOn w:val="12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04" w:customStyle="1">
    <w:name w:val="xl28"/>
    <w:basedOn w:val="12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505" w:customStyle="1">
    <w:name w:val="正文文本缩进2"/>
    <w:basedOn w:val="1268"/>
    <w:uiPriority w:val="0"/>
    <w:qFormat/>
    <w:pPr>
      <w:ind w:firstLine="480"/>
      <w:spacing w:line="480" w:lineRule="exact"/>
    </w:pPr>
    <w:rPr>
      <w:rFonts w:ascii="宋体" w:hAnsi="宋体"/>
      <w:sz w:val="24"/>
      <w:lang w:val="zh-CN"/>
    </w:rPr>
  </w:style>
  <w:style w:type="paragraph" w:styleId="1506" w:customStyle="1">
    <w:name w:val="Char3 Char Char Char"/>
    <w:basedOn w:val="1268"/>
    <w:uiPriority w:val="0"/>
    <w:qFormat/>
    <w:rPr>
      <w:rFonts w:ascii="Tahoma" w:hAnsi="Tahoma"/>
      <w:sz w:val="24"/>
      <w:szCs w:val="20"/>
    </w:rPr>
  </w:style>
  <w:style w:type="paragraph" w:styleId="1507" w:customStyle="1">
    <w:name w:val="Char21"/>
    <w:basedOn w:val="1268"/>
    <w:uiPriority w:val="0"/>
    <w:qFormat/>
    <w:rPr>
      <w:rFonts w:ascii="Tahoma" w:hAnsi="Tahoma"/>
      <w:sz w:val="24"/>
      <w:szCs w:val="20"/>
    </w:rPr>
  </w:style>
  <w:style w:type="paragraph" w:styleId="1508" w:customStyle="1">
    <w:name w:val="List Paragraph1"/>
    <w:basedOn w:val="1268"/>
    <w:uiPriority w:val="0"/>
    <w:qFormat/>
    <w:pPr>
      <w:ind w:firstLine="420"/>
    </w:pPr>
    <w:rPr>
      <w:rFonts w:ascii="Calibri" w:hAnsi="Calibri"/>
      <w:szCs w:val="22"/>
    </w:rPr>
  </w:style>
  <w:style w:type="paragraph" w:styleId="1509" w:customStyle="1">
    <w:name w:val="四级条标题"/>
    <w:basedOn w:val="1498"/>
    <w:next w:val="1268"/>
    <w:uiPriority w:val="0"/>
    <w:qFormat/>
    <w:pPr>
      <w:numPr>
        <w:ilvl w:val="4"/>
      </w:numPr>
      <w:ind w:left="0" w:hanging="840"/>
      <w:outlineLvl w:val="4"/>
    </w:pPr>
  </w:style>
  <w:style w:type="paragraph" w:styleId="151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511" w:customStyle="1">
    <w:name w:val="xl49"/>
    <w:basedOn w:val="12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512" w:customStyle="1">
    <w:name w:val="font5"/>
    <w:basedOn w:val="1268"/>
    <w:uiPriority w:val="0"/>
    <w:qFormat/>
    <w:pPr>
      <w:jc w:val="left"/>
      <w:spacing w:before="100" w:beforeAutospacing="1" w:after="100" w:afterAutospacing="1"/>
      <w:widowControl/>
    </w:pPr>
    <w:rPr>
      <w:rFonts w:ascii="宋体" w:hAnsi="宋体" w:cs="宋体"/>
      <w:sz w:val="18"/>
      <w:szCs w:val="18"/>
    </w:rPr>
  </w:style>
  <w:style w:type="paragraph" w:styleId="1513" w:customStyle="1">
    <w:name w:val="Char Char Char1 Char1"/>
    <w:basedOn w:val="1268"/>
    <w:uiPriority w:val="0"/>
    <w:qFormat/>
    <w:rPr>
      <w:rFonts w:ascii="Tahoma" w:hAnsi="Tahoma"/>
      <w:sz w:val="24"/>
      <w:szCs w:val="20"/>
    </w:rPr>
  </w:style>
  <w:style w:type="paragraph" w:styleId="1514" w:customStyle="1">
    <w:name w:val="项目符号1"/>
    <w:basedOn w:val="1430"/>
    <w:uiPriority w:val="0"/>
    <w:qFormat/>
    <w:pPr>
      <w:ind w:left="-25" w:firstLine="0"/>
    </w:pPr>
  </w:style>
  <w:style w:type="paragraph" w:styleId="1515" w:customStyle="1">
    <w:name w:val="xl33"/>
    <w:basedOn w:val="12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16" w:customStyle="1">
    <w:name w:val="22222222222222"/>
    <w:basedOn w:val="1268"/>
    <w:uiPriority w:val="0"/>
    <w:qFormat/>
    <w:pPr>
      <w:ind w:firstLine="480"/>
      <w:jc w:val="left"/>
      <w:spacing w:line="360" w:lineRule="auto"/>
      <w:widowControl/>
    </w:pPr>
    <w:rPr>
      <w:color w:val="ff0000"/>
      <w:sz w:val="24"/>
      <w:szCs w:val="20"/>
    </w:rPr>
  </w:style>
  <w:style w:type="paragraph" w:styleId="1517" w:customStyle="1">
    <w:name w:val="xl34"/>
    <w:basedOn w:val="12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518" w:customStyle="1">
    <w:name w:val="Char22"/>
    <w:basedOn w:val="1268"/>
    <w:uiPriority w:val="0"/>
    <w:qFormat/>
    <w:rPr>
      <w:rFonts w:ascii="Tahoma" w:hAnsi="Tahoma"/>
      <w:sz w:val="24"/>
      <w:szCs w:val="20"/>
    </w:rPr>
  </w:style>
  <w:style w:type="paragraph" w:styleId="1519" w:customStyle="1">
    <w:name w:val="Char3 Char Char Char1"/>
    <w:basedOn w:val="1268"/>
    <w:uiPriority w:val="0"/>
    <w:qFormat/>
    <w:rPr>
      <w:rFonts w:ascii="Tahoma" w:hAnsi="Tahoma"/>
      <w:sz w:val="24"/>
      <w:szCs w:val="20"/>
    </w:rPr>
  </w:style>
  <w:style w:type="paragraph" w:styleId="1520" w:customStyle="1">
    <w:name w:val="五级条标题"/>
    <w:basedOn w:val="1509"/>
    <w:next w:val="1268"/>
    <w:uiPriority w:val="0"/>
    <w:qFormat/>
    <w:pPr>
      <w:numPr>
        <w:ilvl w:val="5"/>
      </w:numPr>
      <w:ind w:left="0" w:hanging="840"/>
      <w:outlineLvl w:val="5"/>
    </w:pPr>
  </w:style>
  <w:style w:type="paragraph" w:styleId="1521" w:customStyle="1">
    <w:name w:val="表格文字"/>
    <w:basedOn w:val="1288"/>
    <w:uiPriority w:val="0"/>
    <w:qFormat/>
    <w:pPr>
      <w:ind w:firstLine="0"/>
      <w:spacing w:before="20" w:after="20" w:line="240" w:lineRule="auto"/>
    </w:pPr>
    <w:rPr>
      <w:rFonts w:ascii="Century Gothic" w:hAnsi="Century Gothic"/>
      <w:sz w:val="20"/>
      <w:szCs w:val="20"/>
    </w:rPr>
  </w:style>
  <w:style w:type="paragraph" w:styleId="1522" w:customStyle="1">
    <w:name w:val="default"/>
    <w:basedOn w:val="1268"/>
    <w:uiPriority w:val="0"/>
    <w:qFormat/>
    <w:pPr>
      <w:jc w:val="left"/>
      <w:spacing w:before="100" w:beforeAutospacing="1" w:after="100" w:afterAutospacing="1"/>
      <w:widowControl/>
    </w:pPr>
    <w:rPr>
      <w:rFonts w:ascii="宋体" w:hAnsi="宋体" w:cs="宋体"/>
      <w:sz w:val="24"/>
    </w:rPr>
  </w:style>
  <w:style w:type="paragraph" w:styleId="1523" w:customStyle="1">
    <w:name w:val="xl36"/>
    <w:basedOn w:val="126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524" w:customStyle="1">
    <w:name w:val="一级无"/>
    <w:basedOn w:val="1268"/>
    <w:uiPriority w:val="0"/>
    <w:qFormat/>
    <w:pPr>
      <w:jc w:val="left"/>
      <w:widowControl/>
      <w:outlineLvl w:val="2"/>
    </w:pPr>
    <w:rPr>
      <w:rFonts w:ascii="宋体"/>
      <w:szCs w:val="21"/>
    </w:rPr>
  </w:style>
  <w:style w:type="paragraph" w:styleId="1525" w:customStyle="1">
    <w:name w:val="Char"/>
    <w:basedOn w:val="1268"/>
    <w:uiPriority w:val="0"/>
    <w:qFormat/>
    <w:pPr>
      <w:tabs>
        <w:tab w:val="left" w:pos="360" w:leader="none"/>
      </w:tabs>
    </w:pPr>
    <w:rPr>
      <w:sz w:val="24"/>
    </w:rPr>
  </w:style>
  <w:style w:type="paragraph" w:styleId="1526" w:customStyle="1">
    <w:name w:val="xl41"/>
    <w:basedOn w:val="126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table" w:styleId="1527"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528" w:customStyle="1">
    <w:name w:val="NormalCharacter"/>
    <w:uiPriority w:val="0"/>
    <w:qFormat/>
    <w:rPr>
      <w:rFonts w:ascii="Calibri" w:hAnsi="Calibri" w:eastAsia="宋体" w:cs="Times New Roman"/>
      <w:sz w:val="21"/>
      <w:szCs w:val="22"/>
      <w:lang w:val="en-US" w:eastAsia="zh-CN" w:bidi="ar-SA"/>
    </w:rPr>
  </w:style>
  <w:style w:type="character" w:styleId="1529" w:customStyle="1">
    <w:name w:val="font11"/>
    <w:uiPriority w:val="0"/>
    <w:qFormat/>
    <w:rPr>
      <w:rFonts w:hint="eastAsia" w:ascii="仿宋_GB2312" w:eastAsia="仿宋_GB2312" w:cs="仿宋_GB2312"/>
      <w:color w:val="000000"/>
      <w:sz w:val="24"/>
      <w:szCs w:val="24"/>
      <w:u w:val="none"/>
    </w:rPr>
  </w:style>
  <w:style w:type="paragraph" w:styleId="1530" w:customStyle="1">
    <w:name w:val="表"/>
    <w:basedOn w:val="1268"/>
    <w:uiPriority w:val="0"/>
    <w:qFormat/>
    <w:pPr>
      <w:jc w:val="center"/>
    </w:pPr>
    <w:rPr>
      <w:rFonts w:hint="eastAsia" w:cs="方正仿宋_GB2312"/>
      <w:sz w:val="24"/>
      <w:szCs w:val="22"/>
      <w:lang w:val="zh-CN" w:bidi="zh-CN"/>
    </w:rPr>
  </w:style>
  <w:style w:type="paragraph" w:styleId="1531" w:customStyle="1">
    <w:name w:val="Table Text"/>
    <w:basedOn w:val="1268"/>
    <w:uiPriority w:val="0"/>
    <w:semiHidden/>
    <w:qFormat/>
    <w:rPr>
      <w:rFonts w:ascii="Times New Roman" w:hAnsi="Times New Roman" w:eastAsia="Times New Roman" w:cs="Times New Roman"/>
      <w:sz w:val="24"/>
      <w:szCs w:val="24"/>
      <w:lang w:eastAsia="en-US"/>
    </w:rPr>
  </w:style>
  <w:style w:type="paragraph" w:styleId="1532" w:customStyle="1">
    <w:name w:val="null3"/>
    <w:uiPriority w:val="0"/>
    <w:qFormat/>
    <w:rPr>
      <w:rFonts w:hint="eastAsia" w:ascii="Calibri" w:hAnsi="Calibri" w:eastAsia="宋体" w:cs="Times New Roman"/>
      <w:lang w:val="en-US" w:eastAsia="zh-CN" w:bidi="ar-SA"/>
    </w:rPr>
  </w:style>
  <w:style w:type="numbering" w:styleId="15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王涛</cp:lastModifiedBy>
  <cp:revision>7</cp:revision>
  <dcterms:created xsi:type="dcterms:W3CDTF">2024-07-24T04:09:00Z</dcterms:created>
  <dcterms:modified xsi:type="dcterms:W3CDTF">2026-02-13T05:34:43Z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3D2F5DD2B8BE4A80846859B10375ACE8_13</vt:lpwstr>
  </property>
  <property fmtid="{D5CDD505-2E9C-101B-9397-08002B2CF9AE}" pid="4" name="KSOTemplateDocerSaveRecord">
    <vt:lpwstr>eyJoZGlkIjoiZDI2OTIxZjNiZjQyM2RhZGE1NjdmY2MxYTljZDAzODciLCJ1c2VySWQiOiIxNDk3NzQ3NTk5In0=</vt:lpwstr>
  </property>
</Properties>
</file>