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宋体" w:hAnsi="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太仓市政府采购</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招 标 文 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63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 </w:t>
      </w:r>
      <w:r/>
    </w:p>
    <w:p>
      <w:pPr>
        <w:ind w:firstLine="1084"/>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项目编号：</w:t>
      </w:r>
      <w:r>
        <w:rPr>
          <w:rFonts w:hint="eastAsia" w:ascii="宋体" w:hAnsi="宋体" w:cs="宋体"/>
          <w:b/>
          <w:sz w:val="36"/>
          <w:highlight w:val="none"/>
          <w:lang w:eastAsia="zh-CN"/>
        </w:rPr>
        <w:t xml:space="preserve">JSZC-320585-JZCG-G2026-0006</w:t>
      </w:r>
      <w:r/>
    </w:p>
    <w:p>
      <w:pPr>
        <w:ind w:firstLine="1084"/>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项目名称：</w:t>
      </w:r>
      <w:r>
        <w:rPr>
          <w:rFonts w:hint="eastAsia" w:ascii="宋体" w:hAnsi="宋体" w:cs="宋体"/>
          <w:b/>
          <w:sz w:val="36"/>
          <w:highlight w:val="none"/>
          <w:lang w:eastAsia="zh-CN"/>
        </w:rPr>
        <w:t xml:space="preserve">城厢镇实验小学家具采购</w:t>
      </w:r>
      <w:r/>
    </w:p>
    <w:p>
      <w:pPr>
        <w:ind w:firstLine="1084"/>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采购单位：</w:t>
      </w:r>
      <w:r>
        <w:rPr>
          <w:rFonts w:hint="eastAsia" w:ascii="宋体" w:hAnsi="宋体" w:cs="宋体"/>
          <w:b/>
          <w:sz w:val="36"/>
          <w:highlight w:val="none"/>
          <w:lang w:eastAsia="zh-CN"/>
        </w:rPr>
        <w:t xml:space="preserve">太仓市城厢镇人民政府</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采购项目类别：货物类</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标的所属行业：（二）工业</w:t>
      </w:r>
      <w:r/>
    </w:p>
    <w:p>
      <w:pPr>
        <w:spacing w:line="85"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p>
    <w:p>
      <w:pPr>
        <w:pStyle w:val="932"/>
        <w:rPr>
          <w:sz w:val="28"/>
          <w:highlight w:val="none"/>
        </w:rPr>
      </w:pPr>
      <w:r>
        <w:rPr>
          <w:sz w:val="28"/>
          <w:highlight w:val="none"/>
        </w:rPr>
      </w:r>
      <w:r/>
    </w:p>
    <w:p>
      <w:pPr>
        <w:rPr>
          <w:highlight w:val="none"/>
        </w:rPr>
      </w:pPr>
      <w:r>
        <w:rPr>
          <w:highlight w:val="none"/>
        </w:rPr>
      </w:r>
      <w:r/>
    </w:p>
    <w:p>
      <w:pPr>
        <w:pStyle w:val="753"/>
        <w:rPr>
          <w:highlight w:val="none"/>
          <w:lang w:eastAsia="zh-CN"/>
        </w:rPr>
      </w:pPr>
      <w:r>
        <w:rPr>
          <w:highlight w:val="none"/>
          <w:lang w:eastAsia="zh-CN"/>
        </w:rPr>
      </w:r>
      <w:r/>
    </w:p>
    <w:p>
      <w:pPr>
        <w:pStyle w:val="753"/>
        <w:rPr>
          <w:highlight w:val="none"/>
          <w:lang w:eastAsia="zh-CN"/>
        </w:rPr>
      </w:pPr>
      <w:r>
        <w:rPr>
          <w:highlight w:val="none"/>
          <w:lang w:eastAsia="zh-CN"/>
        </w:rPr>
      </w:r>
      <w:r/>
    </w:p>
    <w:p>
      <w:pPr>
        <w:pStyle w:val="753"/>
        <w:rPr>
          <w:rFonts w:eastAsiaTheme="minorEastAsia"/>
          <w:highlight w:val="none"/>
          <w:lang w:eastAsia="zh-CN"/>
        </w:rPr>
      </w:pPr>
      <w:r>
        <w:rPr>
          <w:rFonts w:eastAsiaTheme="minorEastAsia"/>
          <w:highlight w:val="none"/>
          <w:lang w:eastAsia="zh-CN"/>
        </w:rPr>
      </w:r>
      <w:r/>
    </w:p>
    <w:p>
      <w:pPr>
        <w:pStyle w:val="753"/>
        <w:rPr>
          <w:rFonts w:eastAsiaTheme="minorEastAsia"/>
          <w:highlight w:val="none"/>
          <w:lang w:eastAsia="zh-CN"/>
        </w:rPr>
      </w:pPr>
      <w:r>
        <w:rPr>
          <w:rFonts w:eastAsiaTheme="minorEastAsia"/>
          <w:highlight w:val="none"/>
          <w:lang w:eastAsia="zh-CN"/>
        </w:rPr>
      </w:r>
      <w:r/>
    </w:p>
    <w:p>
      <w:pPr>
        <w:pStyle w:val="753"/>
        <w:rPr>
          <w:rFonts w:eastAsiaTheme="minorEastAsia"/>
          <w:highlight w:val="none"/>
          <w:lang w:eastAsia="zh-CN"/>
        </w:rPr>
      </w:pPr>
      <w:r>
        <w:rPr>
          <w:rFonts w:eastAsiaTheme="minorEastAsia"/>
          <w:highlight w:val="none"/>
          <w:lang w:eastAsia="zh-CN"/>
        </w:rPr>
      </w:r>
      <w:r/>
    </w:p>
    <w:p>
      <w:pPr>
        <w:pStyle w:val="753"/>
        <w:rPr>
          <w:rFonts w:eastAsiaTheme="minorEastAsia"/>
          <w:highlight w:val="none"/>
          <w:lang w:eastAsia="zh-CN"/>
        </w:rPr>
      </w:pPr>
      <w:r>
        <w:rPr>
          <w:rFonts w:eastAsiaTheme="minorEastAsia"/>
          <w:highlight w:val="none"/>
          <w:lang w:eastAsia="zh-CN"/>
        </w:rPr>
      </w:r>
      <w:r/>
    </w:p>
    <w:p>
      <w:pPr>
        <w:pStyle w:val="753"/>
        <w:rPr>
          <w:rFonts w:eastAsiaTheme="minorEastAsia"/>
          <w:highlight w:val="none"/>
          <w:lang w:eastAsia="zh-CN"/>
        </w:rPr>
      </w:pPr>
      <w:r>
        <w:rPr>
          <w:rFonts w:eastAsiaTheme="minorEastAsia"/>
          <w:highlight w:val="none"/>
          <w:lang w:eastAsia="zh-CN"/>
        </w:rPr>
      </w:r>
      <w:r/>
    </w:p>
    <w:p>
      <w:pPr>
        <w:pStyle w:val="753"/>
        <w:rPr>
          <w:highlight w:val="none"/>
          <w:lang w:eastAsia="zh-CN"/>
        </w:rPr>
      </w:pPr>
      <w:r>
        <w:rPr>
          <w:highlight w:val="none"/>
          <w:lang w:eastAsia="zh-CN"/>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44"/>
          <w:highlight w:val="none"/>
        </w:rPr>
        <w:t xml:space="preserve">苏州市公共资源交易中心太仓分中心</w:t>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sz w:val="44"/>
          <w:highlight w:val="none"/>
        </w:rPr>
        <w:t xml:space="preserve">202</w:t>
      </w:r>
      <w:r>
        <w:rPr>
          <w:rFonts w:hint="eastAsia" w:ascii="宋体" w:hAnsi="宋体" w:cs="宋体"/>
          <w:sz w:val="44"/>
          <w:highlight w:val="none"/>
          <w:lang w:val="en-US" w:eastAsia="zh-CN"/>
        </w:rPr>
        <w:t xml:space="preserve">6</w:t>
      </w:r>
      <w:r>
        <w:rPr>
          <w:rFonts w:ascii="宋体" w:hAnsi="宋体" w:cs="宋体"/>
          <w:sz w:val="44"/>
          <w:highlight w:val="none"/>
        </w:rPr>
        <w:t xml:space="preserve">年</w:t>
      </w:r>
      <w:r>
        <w:rPr>
          <w:rFonts w:hint="eastAsia" w:ascii="宋体" w:hAnsi="宋体" w:cs="宋体"/>
          <w:sz w:val="44"/>
          <w:highlight w:val="none"/>
          <w:lang w:val="en-US" w:eastAsia="zh-CN"/>
        </w:rPr>
        <w:t xml:space="preserve">1</w:t>
      </w:r>
      <w:r>
        <w:rPr>
          <w:rFonts w:ascii="宋体" w:hAnsi="宋体" w:cs="宋体"/>
          <w:sz w:val="44"/>
          <w:highlight w:val="none"/>
        </w:rPr>
        <w:t xml:space="preserve">月</w:t>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目 录</w:t>
      </w:r>
      <w:r/>
    </w:p>
    <w:p>
      <w:pPr>
        <w:spacing w:line="85"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第一部分：招标公告</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第二部分：投标人须知</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第三部分：项目需求</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第四部分：投标文件格式</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第五部分：评标方法与评标标准</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第六部分：合同主要条款</w:t>
      </w:r>
      <w:r/>
    </w:p>
    <w:p>
      <w:pPr>
        <w:spacing w:before="240" w:after="240"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rPr>
          <w:rFonts w:ascii="宋体" w:hAnsi="宋体" w:cs="宋体"/>
          <w:b/>
          <w:sz w:val="44"/>
          <w:highlight w:val="none"/>
        </w:rPr>
      </w:pPr>
      <w:r>
        <w:rPr>
          <w:rFonts w:hint="eastAsia" w:ascii="宋体" w:hAnsi="宋体" w:cs="宋体"/>
          <w:highlight w:val="none"/>
        </w:rPr>
        <w:br w:type="page" w:clear="all"/>
      </w:r>
      <w:r>
        <w:rPr>
          <w:rFonts w:ascii="宋体" w:hAnsi="宋体" w:cs="宋体"/>
          <w:b/>
          <w:sz w:val="44"/>
          <w:highlight w:val="none"/>
        </w:rPr>
        <w:t xml:space="preserve">第一部分招标公告</w:t>
      </w:r>
      <w:r/>
    </w:p>
    <w:tbl>
      <w:tblPr>
        <w:tblStyle w:val="729"/>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50"/>
              <w:jc w:val="left"/>
              <w:spacing w:after="0" w:line="15" w:lineRule="atLeas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项目概况</w:t>
            </w:r>
            <w:r/>
          </w:p>
          <w:p>
            <w:pPr>
              <w:pStyle w:val="750"/>
              <w:jc w:val="left"/>
              <w:spacing w:after="0" w:line="15" w:lineRule="atLeas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城厢镇实验小学家具采购JSZC-320585-JZCG-G2026-0006招标项目的潜在投标人应在“苏采云”系统（网址：http://jszfcg.jsczt.cn/）自行下载 获取招标文件，并于2026-02-</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lang w:eastAsia="zh-CN"/>
              </w:rPr>
              <w:t xml:space="preserve"> 09:30 （北京时间）前递交投标文件。</w:t>
            </w:r>
            <w:r/>
          </w:p>
        </w:tc>
      </w:tr>
    </w:tbl>
    <w:p>
      <w:pPr>
        <w:pStyle w:val="720"/>
        <w:keepLines w:val="0"/>
        <w:keepNext w:val="0"/>
        <w:spacing w:before="0" w:after="0" w:line="500" w:lineRule="exact"/>
        <w:shd w:val="clear" w:color="auto" w:fill="ffffff"/>
        <w:rPr>
          <w:rFonts w:ascii="宋体" w:hAnsi="宋体" w:eastAsia="宋体" w:cs="宋体"/>
          <w:highlight w:val="none"/>
        </w:rPr>
      </w:pPr>
      <w:r>
        <w:rPr>
          <w:rStyle w:val="755"/>
          <w:rFonts w:hint="eastAsia" w:ascii="宋体" w:hAnsi="宋体" w:eastAsia="宋体" w:cs="宋体"/>
          <w:sz w:val="28"/>
          <w:szCs w:val="28"/>
          <w:highlight w:val="none"/>
          <w:shd w:val="clear" w:color="auto" w:fill="ffffff"/>
        </w:rPr>
        <w:t xml:space="preserve">一、项目基本情况</w:t>
      </w:r>
      <w:r/>
    </w:p>
    <w:p>
      <w:pPr>
        <w:pStyle w:val="750"/>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项目编号：</w:t>
      </w:r>
      <w:r>
        <w:rPr>
          <w:rFonts w:hint="eastAsia" w:ascii="宋体" w:hAnsi="宋体" w:eastAsia="宋体" w:cs="宋体"/>
          <w:sz w:val="24"/>
          <w:szCs w:val="24"/>
          <w:highlight w:val="none"/>
          <w:lang w:eastAsia="zh-CN"/>
        </w:rPr>
        <w:t xml:space="preserve">JSZC-320585-JZCG-G2026-0006</w:t>
      </w:r>
      <w:r/>
    </w:p>
    <w:p>
      <w:pPr>
        <w:pStyle w:val="750"/>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项目名称：</w:t>
      </w:r>
      <w:r>
        <w:rPr>
          <w:rFonts w:hint="eastAsia" w:ascii="宋体" w:hAnsi="宋体" w:eastAsia="宋体" w:cs="宋体"/>
          <w:sz w:val="24"/>
          <w:szCs w:val="24"/>
          <w:highlight w:val="none"/>
          <w:lang w:eastAsia="zh-CN"/>
        </w:rPr>
        <w:t xml:space="preserve">城厢镇实验小学家具采购</w:t>
      </w:r>
      <w:r/>
    </w:p>
    <w:p>
      <w:pPr>
        <w:pStyle w:val="750"/>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预算金额：</w:t>
      </w:r>
      <w:r>
        <w:rPr>
          <w:rFonts w:hint="eastAsia" w:ascii="宋体" w:hAnsi="宋体" w:eastAsia="宋体" w:cs="宋体"/>
          <w:sz w:val="24"/>
          <w:szCs w:val="24"/>
          <w:highlight w:val="none"/>
          <w:shd w:val="clear" w:color="auto" w:fill="ffffff"/>
          <w:lang w:val="en-US" w:eastAsia="zh-CN"/>
        </w:rPr>
        <w:t xml:space="preserve">510</w:t>
      </w:r>
      <w:r>
        <w:rPr>
          <w:rFonts w:hint="eastAsia" w:ascii="宋体" w:hAnsi="宋体" w:eastAsia="宋体" w:cs="宋体"/>
          <w:sz w:val="24"/>
          <w:szCs w:val="24"/>
          <w:highlight w:val="none"/>
          <w:shd w:val="clear" w:color="auto" w:fill="ffffff"/>
          <w:lang w:eastAsia="zh-CN"/>
        </w:rPr>
        <w:t xml:space="preserve">万元；</w:t>
      </w:r>
      <w:r/>
    </w:p>
    <w:p>
      <w:pPr>
        <w:pStyle w:val="750"/>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最高限价（如有）：</w:t>
      </w:r>
      <w:r>
        <w:rPr>
          <w:rFonts w:hint="eastAsia" w:ascii="宋体" w:hAnsi="宋体" w:eastAsia="宋体" w:cs="宋体"/>
          <w:sz w:val="24"/>
          <w:szCs w:val="24"/>
          <w:highlight w:val="none"/>
          <w:shd w:val="clear" w:color="auto" w:fill="ffffff"/>
          <w:lang w:val="en-US" w:eastAsia="zh-CN"/>
        </w:rPr>
        <w:t xml:space="preserve">无</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w:t>
      </w:r>
      <w:r/>
    </w:p>
    <w:p>
      <w:pPr>
        <w:pStyle w:val="750"/>
        <w:numPr>
          <w:ilvl w:val="0"/>
          <w:numId w:val="0"/>
        </w:numPr>
        <w:ind w:firstLine="480"/>
        <w:spacing w:after="0" w:line="15" w:lineRule="atLeast"/>
        <w:widowControl/>
        <w:rPr>
          <w:rFonts w:ascii="仿宋" w:hAnsi="仿宋" w:eastAsia="仿宋" w:cs="仿宋"/>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产品清单</w:t>
      </w:r>
      <w:r/>
    </w:p>
    <w:tbl>
      <w:tblPr>
        <w:tblStyle w:val="729"/>
        <w:tblW w:w="8883" w:type="dxa"/>
        <w:tblInd w:w="135" w:type="dxa"/>
        <w:tblLayout w:type="fixed"/>
        <w:tblCellMar>
          <w:left w:w="108" w:type="dxa"/>
          <w:top w:w="0" w:type="dxa"/>
          <w:right w:w="108" w:type="dxa"/>
          <w:bottom w:w="0" w:type="dxa"/>
        </w:tblCellMar>
        <w:tblLook w:val="04A0" w:firstRow="1" w:lastRow="0" w:firstColumn="1" w:lastColumn="0" w:noHBand="0" w:noVBand="1"/>
      </w:tblPr>
      <w:tblGrid>
        <w:gridCol w:w="716"/>
        <w:gridCol w:w="2896"/>
        <w:gridCol w:w="2596"/>
        <w:gridCol w:w="877"/>
        <w:gridCol w:w="819"/>
        <w:gridCol w:w="979"/>
      </w:tblGrid>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规格</w:t>
            </w:r>
            <w:r>
              <w:rPr>
                <w:rFonts w:hint="eastAsia" w:ascii="宋体" w:hAnsi="宋体" w:cs="宋体"/>
                <w:b/>
                <w:bCs/>
                <w:sz w:val="24"/>
                <w:highlight w:val="none"/>
                <w:lang w:val="en-US" w:eastAsia="zh-CN" w:bidi="ar"/>
              </w:rPr>
              <w:t xml:space="preserve"> </w:t>
            </w:r>
            <w:r>
              <w:rPr>
                <w:rFonts w:hint="eastAsia" w:ascii="宋体" w:hAnsi="宋体" w:eastAsia="宋体" w:cs="宋体"/>
                <w:b/>
                <w:bCs/>
                <w:sz w:val="24"/>
                <w:highlight w:val="none"/>
                <w:lang w:bidi="ar"/>
              </w:rPr>
              <w:t xml:space="preserve">mm</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1400*</w:t>
            </w:r>
            <w:r>
              <w:rPr>
                <w:rFonts w:hint="eastAsia" w:ascii="宋体" w:hAnsi="宋体" w:cs="宋体"/>
                <w:i w:val="0"/>
                <w:iCs w:val="0"/>
                <w:color w:val="000000"/>
                <w:sz w:val="18"/>
                <w:szCs w:val="18"/>
                <w:highlight w:val="none"/>
                <w:u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700*</w:t>
            </w:r>
            <w:r>
              <w:rPr>
                <w:rFonts w:hint="eastAsia" w:ascii="宋体" w:hAnsi="宋体" w:cs="宋体"/>
                <w:i w:val="0"/>
                <w:iCs w:val="0"/>
                <w:color w:val="000000"/>
                <w:sz w:val="18"/>
                <w:szCs w:val="18"/>
                <w:highlight w:val="none"/>
                <w:u w:val="none"/>
                <w:lang w:val="en-US" w:eastAsia="zh-CN" w:bidi="ar"/>
              </w:rPr>
              <w:t xml:space="preserve">高</w:t>
            </w:r>
            <w:r>
              <w:rPr>
                <w:rFonts w:hint="eastAsia" w:ascii="宋体" w:hAnsi="宋体" w:eastAsia="宋体" w:cs="宋体"/>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cs="宋体"/>
                <w:i w:val="0"/>
                <w:iCs w:val="0"/>
                <w:color w:val="000000"/>
                <w:sz w:val="18"/>
                <w:szCs w:val="18"/>
                <w:highlight w:val="none"/>
                <w:u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cs="宋体"/>
                <w:i w:val="0"/>
                <w:iCs w:val="0"/>
                <w:color w:val="000000"/>
                <w:sz w:val="18"/>
                <w:szCs w:val="18"/>
                <w:highlight w:val="none"/>
                <w:u w:val="none"/>
                <w:lang w:val="en-US" w:eastAsia="zh-CN" w:bidi="ar"/>
              </w:rPr>
              <w:t xml:space="preserve">高</w:t>
            </w:r>
            <w:r>
              <w:rPr>
                <w:rFonts w:hint="eastAsia" w:ascii="宋体" w:hAnsi="宋体" w:eastAsia="宋体" w:cs="宋体"/>
                <w:i w:val="0"/>
                <w:iCs w:val="0"/>
                <w:color w:val="000000"/>
                <w:sz w:val="18"/>
                <w:szCs w:val="18"/>
                <w:highlight w:val="none"/>
                <w:u w:val="none"/>
                <w:lang w:val="en-US" w:eastAsia="zh-CN" w:bidi="ar"/>
              </w:rPr>
              <w:t xml:space="preserve">780（坐高450）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不锈钢连体餐桌椅</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总尺寸：</w:t>
            </w: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cs="宋体"/>
                <w:i w:val="0"/>
                <w:iCs w:val="0"/>
                <w:color w:val="000000"/>
                <w:sz w:val="18"/>
                <w:szCs w:val="18"/>
                <w:highlight w:val="none"/>
                <w:u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cs="宋体"/>
                <w:i w:val="0"/>
                <w:iCs w:val="0"/>
                <w:color w:val="000000"/>
                <w:sz w:val="18"/>
                <w:szCs w:val="18"/>
                <w:highlight w:val="none"/>
                <w:u w:val="none"/>
                <w:lang w:val="en-US" w:eastAsia="zh-CN" w:bidi="ar"/>
              </w:rPr>
              <w:t xml:space="preserve">高</w:t>
            </w:r>
            <w:r>
              <w:rPr>
                <w:rFonts w:hint="eastAsia" w:ascii="宋体" w:hAnsi="宋体" w:eastAsia="宋体" w:cs="宋体"/>
                <w:i w:val="0"/>
                <w:iCs w:val="0"/>
                <w:color w:val="000000"/>
                <w:sz w:val="18"/>
                <w:szCs w:val="18"/>
                <w:highlight w:val="none"/>
                <w:u w:val="none"/>
                <w:lang w:val="en-US" w:eastAsia="zh-CN" w:bidi="ar"/>
              </w:rPr>
              <w:t xml:space="preserve">750桌面尺寸：</w:t>
            </w: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cs="宋体"/>
                <w:i w:val="0"/>
                <w:iCs w:val="0"/>
                <w:color w:val="000000"/>
                <w:sz w:val="18"/>
                <w:szCs w:val="18"/>
                <w:highlight w:val="none"/>
                <w:u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700*</w:t>
            </w:r>
            <w:r>
              <w:rPr>
                <w:rFonts w:hint="eastAsia" w:ascii="宋体" w:hAnsi="宋体" w:cs="宋体"/>
                <w:i w:val="0"/>
                <w:iCs w:val="0"/>
                <w:color w:val="000000"/>
                <w:sz w:val="18"/>
                <w:szCs w:val="18"/>
                <w:highlight w:val="none"/>
                <w:u w:val="none"/>
                <w:lang w:val="en-US" w:eastAsia="zh-CN" w:bidi="ar"/>
              </w:rPr>
              <w:t xml:space="preserve">高</w:t>
            </w: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1900*</w:t>
            </w:r>
            <w:r>
              <w:rPr>
                <w:rFonts w:hint="eastAsia" w:ascii="宋体" w:hAnsi="宋体" w:cs="宋体"/>
                <w:i w:val="0"/>
                <w:iCs w:val="0"/>
                <w:color w:val="000000"/>
                <w:sz w:val="18"/>
                <w:szCs w:val="18"/>
                <w:highlight w:val="none"/>
                <w:u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cs="宋体"/>
                <w:i w:val="0"/>
                <w:iCs w:val="0"/>
                <w:color w:val="000000"/>
                <w:sz w:val="18"/>
                <w:szCs w:val="18"/>
                <w:highlight w:val="none"/>
                <w:u w:val="none"/>
                <w:lang w:val="en-US" w:eastAsia="zh-CN" w:bidi="ar"/>
              </w:rPr>
              <w:t xml:space="preserve">高</w:t>
            </w:r>
            <w:r>
              <w:rPr>
                <w:rFonts w:hint="eastAsia" w:ascii="宋体" w:hAnsi="宋体" w:eastAsia="宋体" w:cs="宋体"/>
                <w:i w:val="0"/>
                <w:iCs w:val="0"/>
                <w:color w:val="000000"/>
                <w:sz w:val="18"/>
                <w:szCs w:val="18"/>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cs="宋体"/>
                <w:i w:val="0"/>
                <w:iCs w:val="0"/>
                <w:color w:val="000000"/>
                <w:sz w:val="18"/>
                <w:szCs w:val="18"/>
                <w:highlight w:val="none"/>
                <w:u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cs="宋体"/>
                <w:i w:val="0"/>
                <w:iCs w:val="0"/>
                <w:color w:val="000000"/>
                <w:sz w:val="18"/>
                <w:szCs w:val="18"/>
                <w:highlight w:val="none"/>
                <w:u w:val="none"/>
                <w:lang w:val="en-US" w:eastAsia="zh-CN" w:bidi="ar"/>
              </w:rPr>
              <w:t xml:space="preserve">高</w:t>
            </w:r>
            <w:r>
              <w:rPr>
                <w:rFonts w:hint="eastAsia" w:ascii="宋体" w:hAnsi="宋体" w:eastAsia="宋体" w:cs="宋体"/>
                <w:i w:val="0"/>
                <w:iCs w:val="0"/>
                <w:color w:val="000000"/>
                <w:sz w:val="18"/>
                <w:szCs w:val="18"/>
                <w:highlight w:val="none"/>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工业</w:t>
            </w:r>
            <w:r/>
          </w:p>
        </w:tc>
      </w:tr>
      <w:tr>
        <w:trPr>
          <w:trHeight w:val="90"/>
        </w:trPr>
        <w:tc>
          <w:tcPr>
            <w:gridSpan w:val="6"/>
            <w:tcBorders>
              <w:top w:val="single" w:color="000000" w:sz="4" w:space="0"/>
              <w:left w:val="single" w:color="000000" w:sz="4" w:space="0"/>
              <w:bottom w:val="single" w:color="000000" w:sz="4" w:space="0"/>
              <w:right w:val="single" w:color="000000" w:sz="4" w:space="0"/>
            </w:tcBorders>
            <w:tcW w:w="8883" w:type="dxa"/>
            <w:vAlign w:val="center"/>
            <w:textDirection w:val="lrTb"/>
            <w:noWrap/>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w:t>
            </w:r>
            <w:r/>
          </w:p>
        </w:tc>
      </w:tr>
    </w:tbl>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具体内容详见第三部分项目需求.</w:t>
      </w:r>
      <w:r/>
    </w:p>
    <w:p>
      <w:pPr>
        <w:pStyle w:val="750"/>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合同履行期限：自合同签订之日起</w:t>
      </w:r>
      <w:r>
        <w:rPr>
          <w:rFonts w:hint="eastAsia" w:ascii="宋体" w:hAnsi="宋体" w:eastAsia="宋体" w:cs="宋体"/>
          <w:sz w:val="24"/>
          <w:szCs w:val="24"/>
          <w:highlight w:val="none"/>
          <w:shd w:val="clear" w:color="auto" w:fill="ffffff"/>
          <w:lang w:val="en-US" w:eastAsia="zh-CN"/>
        </w:rPr>
        <w:t xml:space="preserve">30</w:t>
      </w:r>
      <w:r>
        <w:rPr>
          <w:rFonts w:hint="eastAsia" w:ascii="宋体" w:hAnsi="宋体" w:eastAsia="宋体" w:cs="宋体"/>
          <w:sz w:val="24"/>
          <w:szCs w:val="24"/>
          <w:highlight w:val="none"/>
          <w:shd w:val="clear" w:color="auto" w:fill="ffffff"/>
          <w:lang w:eastAsia="zh-CN"/>
        </w:rPr>
        <w:t xml:space="preserve">天内完成安装交付（具体以甲方通知为准）。</w:t>
      </w:r>
      <w:r/>
    </w:p>
    <w:p>
      <w:pPr>
        <w:pStyle w:val="750"/>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720"/>
        <w:keepLines w:val="0"/>
        <w:keepNext w:val="0"/>
        <w:spacing w:before="0" w:after="0" w:line="500" w:lineRule="exact"/>
        <w:rPr>
          <w:rFonts w:ascii="宋体" w:hAnsi="宋体" w:eastAsia="宋体" w:cs="宋体"/>
          <w:highlight w:val="none"/>
        </w:rPr>
      </w:pPr>
      <w:r>
        <w:rPr>
          <w:rStyle w:val="755"/>
          <w:rFonts w:hint="eastAsia" w:ascii="宋体" w:hAnsi="宋体" w:eastAsia="宋体" w:cs="宋体"/>
          <w:sz w:val="28"/>
          <w:szCs w:val="28"/>
          <w:highlight w:val="none"/>
          <w:shd w:val="clear" w:color="auto" w:fill="ffffff"/>
        </w:rPr>
        <w:t xml:space="preserve">二、申请人的资格要求</w:t>
      </w:r>
      <w:r/>
    </w:p>
    <w:p>
      <w:pPr>
        <w:pStyle w:val="750"/>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750"/>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50"/>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750"/>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750"/>
        <w:ind w:firstLine="480"/>
        <w:jc w:val="left"/>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750"/>
        <w:ind w:firstLine="480"/>
        <w:jc w:val="left"/>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 xml:space="preserve">件当事人名单、政府采购严重失信行为记录名单。</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p>
    <w:p>
      <w:pPr>
        <w:pStyle w:val="750"/>
        <w:ind w:firstLine="720"/>
        <w:jc w:val="left"/>
        <w:spacing w:after="0" w:line="500" w:lineRule="exact"/>
        <w:widowControl/>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 </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3、法人的分支机构不得参加响应活动（除银行、保险、石油石化、电力、电信等行业特殊情况外）。</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20"/>
        <w:keepLines w:val="0"/>
        <w:keepNext w:val="0"/>
        <w:spacing w:before="0" w:after="0" w:line="500" w:lineRule="exact"/>
        <w:rPr>
          <w:rFonts w:ascii="宋体" w:hAnsi="宋体" w:eastAsia="宋体" w:cs="宋体"/>
          <w:highlight w:val="none"/>
        </w:rPr>
      </w:pPr>
      <w:r>
        <w:rPr>
          <w:rStyle w:val="755"/>
          <w:rFonts w:hint="eastAsia" w:ascii="宋体" w:hAnsi="宋体" w:eastAsia="宋体" w:cs="宋体"/>
          <w:sz w:val="28"/>
          <w:szCs w:val="28"/>
          <w:highlight w:val="none"/>
          <w:shd w:val="clear" w:color="auto" w:fill="ffffff"/>
        </w:rPr>
        <w:t xml:space="preserve">三、获取招标文件</w:t>
      </w:r>
      <w:r/>
    </w:p>
    <w:p>
      <w:pPr>
        <w:ind w:firstLine="480"/>
        <w:spacing w:line="500" w:lineRule="exact"/>
        <w:shd w:val="clear" w:color="auto" w:fill="ffffff"/>
        <w:rPr>
          <w:rFonts w:ascii="宋体" w:hAnsi="宋体" w:cs="宋体"/>
          <w:sz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cs="宋体"/>
          <w:sz w:val="24"/>
          <w:highlight w:val="none"/>
          <w:shd w:val="clear" w:color="auto" w:fill="ffffff"/>
        </w:rPr>
        <w:t xml:space="preserve">时间：自本公告发布之日起5个工作日</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720"/>
        <w:keepLines w:val="0"/>
        <w:keepNext w:val="0"/>
        <w:spacing w:before="0" w:after="0" w:line="500" w:lineRule="exact"/>
        <w:rPr>
          <w:rFonts w:ascii="宋体" w:hAnsi="宋体" w:eastAsia="宋体" w:cs="宋体"/>
          <w:highlight w:val="none"/>
        </w:rPr>
      </w:pPr>
      <w:r>
        <w:rPr>
          <w:rStyle w:val="755"/>
          <w:rFonts w:hint="eastAsia" w:ascii="宋体" w:hAnsi="宋体" w:eastAsia="宋体" w:cs="宋体"/>
          <w:sz w:val="28"/>
          <w:szCs w:val="28"/>
          <w:highlight w:val="none"/>
          <w:shd w:val="clear" w:color="auto" w:fill="ffffff"/>
        </w:rPr>
        <w:t xml:space="preserve">四、提交投标文件截止时间、开标时间和地点</w:t>
      </w:r>
      <w:r/>
    </w:p>
    <w:p>
      <w:pPr>
        <w:pStyle w:val="750"/>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2026-02-</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shd w:val="clear" w:color="auto" w:fill="ffffff"/>
          <w:lang w:eastAsia="zh-CN"/>
        </w:rPr>
        <w:t xml:space="preserve"> 09:30 （北京时间）</w:t>
      </w:r>
      <w:r/>
    </w:p>
    <w:p>
      <w:pPr>
        <w:pStyle w:val="750"/>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720"/>
        <w:keepLines w:val="0"/>
        <w:keepNext w:val="0"/>
        <w:spacing w:before="0" w:after="0" w:line="500" w:lineRule="exact"/>
        <w:shd w:val="clear" w:color="auto" w:fill="ffffff"/>
        <w:rPr>
          <w:rFonts w:ascii="宋体" w:hAnsi="宋体" w:eastAsia="宋体" w:cs="宋体"/>
          <w:highlight w:val="none"/>
        </w:rPr>
      </w:pPr>
      <w:r>
        <w:rPr>
          <w:rStyle w:val="755"/>
          <w:rFonts w:hint="eastAsia" w:ascii="宋体" w:hAnsi="宋体" w:eastAsia="宋体" w:cs="宋体"/>
          <w:sz w:val="28"/>
          <w:szCs w:val="28"/>
          <w:highlight w:val="none"/>
          <w:shd w:val="clear" w:color="auto" w:fill="ffffff"/>
        </w:rPr>
        <w:t xml:space="preserve">五、公告期限</w:t>
      </w:r>
      <w:r/>
    </w:p>
    <w:p>
      <w:pPr>
        <w:pStyle w:val="750"/>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720"/>
        <w:keepLines w:val="0"/>
        <w:keepNext w:val="0"/>
        <w:spacing w:before="0" w:after="0" w:line="500" w:lineRule="exact"/>
        <w:rPr>
          <w:rFonts w:ascii="宋体" w:hAnsi="宋体" w:eastAsia="宋体" w:cs="宋体"/>
          <w:highlight w:val="none"/>
        </w:rPr>
      </w:pPr>
      <w:r>
        <w:rPr>
          <w:rStyle w:val="755"/>
          <w:rFonts w:hint="eastAsia" w:ascii="宋体" w:hAnsi="宋体" w:eastAsia="宋体" w:cs="宋体"/>
          <w:sz w:val="28"/>
          <w:szCs w:val="28"/>
          <w:highlight w:val="none"/>
          <w:shd w:val="clear" w:color="auto" w:fill="ffffff"/>
        </w:rPr>
        <w:t xml:space="preserve">六、其他补充事宜</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1、本项目需要使用CA数字证书制作、上传电子投标文件完成电子投标，请供应商在参加投标活动前办理好CA数字证书申领及电子签章等操作。</w:t>
      </w:r>
      <w:r/>
    </w:p>
    <w:p>
      <w:pPr>
        <w:ind w:firstLine="482"/>
        <w:spacing w:line="500" w:lineRule="exact"/>
        <w:rPr>
          <w:rFonts w:ascii="宋体" w:hAnsi="宋体" w:cs="宋体"/>
          <w:b/>
          <w:sz w:val="24"/>
          <w:highlight w:val="none"/>
        </w:rPr>
      </w:pPr>
      <w:r>
        <w:rPr>
          <w:rFonts w:hint="eastAsia" w:ascii="宋体" w:hAnsi="宋体" w:cs="宋体"/>
          <w:b/>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宋体" w:hAnsi="宋体" w:cs="宋体"/>
          <w:sz w:val="24"/>
          <w:highlight w:val="none"/>
        </w:rPr>
      </w:pPr>
      <w:r>
        <w:rPr>
          <w:rFonts w:hint="eastAsia" w:ascii="宋体" w:hAnsi="宋体" w:cs="宋体"/>
          <w:b/>
          <w:sz w:val="24"/>
          <w:highlight w:val="none"/>
        </w:rPr>
        <w:t xml:space="preserve">3、本项目采用不见面开标，投标人开标时无需到开标现场进行解密，采取网上开标大厅解密电子投标文件，投标人远程解密要求如下：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2）投标人登录苏采云系统，点击开标大厅，选择开标项目，完成不见面开标流程。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3）投标截止时间后根据系统提示解密电子投标文件。</w:t>
      </w:r>
      <w:r>
        <w:rPr>
          <w:rFonts w:hint="eastAsia" w:ascii="宋体" w:hAnsi="宋体" w:cs="宋体"/>
          <w:b/>
          <w:sz w:val="24"/>
          <w:highlight w:val="none"/>
        </w:rPr>
        <w:t xml:space="preserve">解密时间为15分钟，</w:t>
      </w:r>
      <w:r>
        <w:rPr>
          <w:rFonts w:hint="eastAsia" w:ascii="宋体" w:hAnsi="宋体" w:cs="宋体"/>
          <w:sz w:val="24"/>
          <w:highlight w:val="none"/>
        </w:rPr>
        <w:t xml:space="preserve">未在规定时间内完成解密，其投标文件将被拒绝，不参与后续投标流程。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
          <w:sz w:val="24"/>
          <w:highlight w:val="none"/>
        </w:rPr>
        <w:t xml:space="preserve">有关苏采云系统驱动安装，</w:t>
      </w:r>
      <w:r>
        <w:rPr>
          <w:rFonts w:hint="eastAsia" w:ascii="宋体" w:hAnsi="宋体" w:cs="宋体"/>
          <w:sz w:val="24"/>
          <w:highlight w:val="none"/>
        </w:rPr>
        <w:t xml:space="preserve">登录苏州政府采购网，点击页面底部苏采云图标，进入苏采云政府采购一体化平台，点击“驱动下载”，下载</w:t>
      </w:r>
      <w:r>
        <w:rPr>
          <w:rFonts w:hint="eastAsia" w:ascii="宋体" w:hAnsi="宋体" w:cs="宋体"/>
          <w:b/>
          <w:sz w:val="24"/>
          <w:highlight w:val="none"/>
        </w:rPr>
        <w:t xml:space="preserve">“政务CA、方正签章控件驱动安装包及安装说明”</w:t>
      </w:r>
      <w:r>
        <w:rPr>
          <w:rFonts w:hint="eastAsia" w:ascii="宋体" w:hAnsi="宋体" w:cs="宋体"/>
          <w:sz w:val="24"/>
          <w:highlight w:val="none"/>
        </w:rPr>
        <w:t xml:space="preserve">文件，按要求安装驱动。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sz w:val="24"/>
          <w:highlight w:val="none"/>
        </w:rPr>
        <w:t xml:space="preserve">有关供应商注册、报名、下载电子招标文件、制作上传电子投标文件</w:t>
      </w:r>
      <w:r>
        <w:rPr>
          <w:rFonts w:hint="eastAsia" w:ascii="宋体" w:hAnsi="宋体" w:cs="宋体"/>
          <w:sz w:val="24"/>
          <w:highlight w:val="none"/>
        </w:rPr>
        <w:t xml:space="preserve">、不见面开标及其他注意事项登录苏州政府采购网，在“下载中心”栏目下载“</w:t>
      </w:r>
      <w:r>
        <w:rPr>
          <w:rFonts w:hint="eastAsia" w:ascii="宋体" w:hAnsi="宋体" w:cs="宋体"/>
          <w:b/>
          <w:sz w:val="24"/>
          <w:highlight w:val="none"/>
        </w:rPr>
        <w:t xml:space="preserve">苏采云系统供应商操作</w:t>
      </w:r>
      <w:r>
        <w:rPr>
          <w:rFonts w:hint="eastAsia" w:ascii="宋体" w:hAnsi="宋体" w:cs="宋体"/>
          <w:b/>
          <w:bCs/>
          <w:sz w:val="24"/>
          <w:highlight w:val="none"/>
        </w:rPr>
        <w:t xml:space="preserve">手册</w:t>
      </w:r>
      <w:r>
        <w:rPr>
          <w:rFonts w:hint="eastAsia" w:ascii="宋体" w:hAnsi="宋体" w:cs="宋体"/>
          <w:sz w:val="24"/>
          <w:highlight w:val="none"/>
        </w:rPr>
        <w:t xml:space="preserve">”查阅。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6、有关办理CA数字申领及电子签章事项，登录苏州政府采购网，点击页面底部苏采云图标，进入苏采云政府采购一体化平台，下载“新CA办理指南”文件查阅。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7、有关电子投标制作技术疑问，请咨询苏采云软件公司客服：18261002950、0512-69820854、0519-86722802</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8、政府采购监督电话：0512-53512539</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9、本次招标投标保证金：本项目无须缴纳投标保证金。</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10、政府采购信用融资政策：中标供应商可凭政府采购合同办理融资贷款，详情请见江苏政府采购网“政采贷”专栏。</w:t>
      </w:r>
      <w:r>
        <w:rPr>
          <w:rFonts w:hint="eastAsia" w:ascii="宋体" w:hAnsi="宋体" w:cs="宋体"/>
          <w:sz w:val="24"/>
          <w:highlight w:val="none"/>
        </w:rPr>
        <w:br/>
      </w:r>
      <w:r>
        <w:rPr>
          <w:rFonts w:hint="eastAsia" w:ascii="宋体" w:hAnsi="宋体" w:cs="宋体"/>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20"/>
        <w:keepLines w:val="0"/>
        <w:keepNext w:val="0"/>
        <w:spacing w:before="0" w:after="0" w:line="500" w:lineRule="exact"/>
        <w:rPr>
          <w:rFonts w:ascii="宋体" w:hAnsi="宋体" w:eastAsia="宋体" w:cs="宋体"/>
          <w:highlight w:val="none"/>
        </w:rPr>
      </w:pPr>
      <w:r>
        <w:rPr>
          <w:rStyle w:val="755"/>
          <w:rFonts w:hint="eastAsia" w:ascii="宋体" w:hAnsi="宋体" w:eastAsia="宋体" w:cs="宋体"/>
          <w:sz w:val="28"/>
          <w:szCs w:val="28"/>
          <w:highlight w:val="none"/>
          <w:shd w:val="clear" w:color="auto" w:fill="ffffff"/>
        </w:rPr>
        <w:t xml:space="preserve">七、对本次招标提出询问，请按以下方式联系</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750"/>
        <w:ind w:firstLine="480"/>
        <w:jc w:val="left"/>
        <w:spacing w:after="0" w:line="500" w:lineRule="exact"/>
        <w:widowControl/>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单位名称：太仓市城厢镇人民政府</w:t>
      </w:r>
      <w:r/>
    </w:p>
    <w:p>
      <w:pPr>
        <w:pStyle w:val="750"/>
        <w:ind w:firstLine="480"/>
        <w:jc w:val="left"/>
        <w:spacing w:after="0" w:line="500" w:lineRule="exact"/>
        <w:widowControl/>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单位地址:江苏省太仓市太平南路76号</w:t>
      </w:r>
      <w:r/>
    </w:p>
    <w:p>
      <w:pPr>
        <w:pStyle w:val="750"/>
        <w:ind w:firstLine="480"/>
        <w:jc w:val="left"/>
        <w:spacing w:after="0" w:line="500" w:lineRule="exact"/>
        <w:widowControl/>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联系人:陈舞文</w:t>
      </w:r>
      <w:r/>
    </w:p>
    <w:p>
      <w:pPr>
        <w:pStyle w:val="750"/>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联系电话:0512-53579965 </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2.采购代理机构信息（如有）</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单位名称：苏州市公共资源交易中心太仓分中心</w:t>
      </w:r>
      <w:r/>
    </w:p>
    <w:p>
      <w:pPr>
        <w:pStyle w:val="750"/>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单位地址：太仓市陆渡街道万金北路88号3栋</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联系人：张倩</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联系电话：0512-53890581</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项目联系人：张倩</w:t>
      </w:r>
      <w:r/>
    </w:p>
    <w:p>
      <w:pPr>
        <w:pStyle w:val="750"/>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电话：0512-53890581</w:t>
      </w:r>
      <w:r/>
    </w:p>
    <w:p>
      <w:pPr>
        <w:ind w:firstLine="420"/>
        <w:spacing w:line="500" w:lineRule="exact"/>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ascii="宋体" w:hAnsi="宋体" w:cs="宋体"/>
          <w:highlight w:val="none"/>
        </w:rPr>
      </w:r>
      <w:r/>
    </w:p>
    <w:p>
      <w:pPr>
        <w:spacing w:line="113"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 </w:t>
      </w:r>
      <w:r/>
    </w:p>
    <w:p>
      <w:pPr>
        <w:pStyle w:val="923"/>
        <w:rPr>
          <w:rFonts w:ascii="宋体" w:hAnsi="宋体" w:cs="宋体"/>
          <w:highlight w:val="none"/>
        </w:rPr>
      </w:pPr>
      <w:r>
        <w:rPr>
          <w:rFonts w:ascii="宋体" w:hAnsi="宋体" w:cs="宋体"/>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line="312" w:lineRule="atLeast"/>
        <w:rPr>
          <w:rFonts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第二部分  投标人须知</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一、说明和释义</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 说明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1.1本招标文件仅适用于苏州市公共资源交易中心太仓分中心组织的招标活动。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1.2本次招标活动及因本次招标产生的合同受中国法律制约和保护。</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1.3本招标文件的解释权属于苏州市公共资源交易中心太仓分中心。</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 词语释义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2.1采购代理机构：具体组织实施招标活动的法人。本项目采购代理机构是苏州市公共资源交易中心太仓分中心。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2.2投标人：经认定有资格响应招标，参加投标竞争的法人或其他组织和自然人。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2.3响应：投标人根据采购人或采购代理机构发布的招标文件，编制投标文件并按规定投标的行为。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2.5甲方（采购方）：合同中明确规定的实际购买货物和服务的法人或其他组织和自然人（采购人）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2.6乙方（供应商）：合同中规定的向采购方提供货物和服务的法人或其他组织和自然人（中标人）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2.7货物：系指乙方按招标采购文件规定，应向甲方提供的一切设备、备品、备件、工具、手册及其它有关技术资料和材料。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2.9知识产权：指专利权、商标权、著作权等无形财产专有权的统称。</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2.10天：日历日。</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2.11交货地点：合同中明确约定的乙方提交的货物和服务最终到达地点。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2.12 合同价款：根据合同规定，乙方在正确地履行合同义务后甲方应支付乙方的价款。</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2.13 产地：货物开采、生长、生产、最终制造、加工或提供服务的来源地。</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2.14不可抗力：不能预见、不能避免并且不能克服的客观情况。</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2.15 实质性响应：满足有关本次采购标的、数量、质量、价款或者报酬、履行期限、履行地点和方式、违约责任和解决争议方法等要求。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2.17进口产品：指通过中国海关报关验收进入中国境内且产自境外的产品。本项目不接受进口产品投标。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2.18书面形式：指书面文字、合同书、信件和传真等可以有形地表现所载内容的形式。</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 投标人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 合格投标人的基本条件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3.1符合《中华人民共和国政府采购法》第二十二条第一款之规定；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3.2满足本文件实质性条款的规定。</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4．合格投标人的特定条件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4.1 按招标公告规定。</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5. 投标人代表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5.1指全权代表投标人参加投标活动并签署投标文件的人，如果投标人代表不是法人代表，须持有《法人代表授权委托书》（详见统一格式）。</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6. 联合投标及转包、分包</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6.1本项目不接受联合体投标。</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6.2本项目不接受转包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6.3本项目不接受分包。</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7. 投标费用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7.2 本次招标项目不收取标书费及中标服务费，请投标人在投标时充分考虑这一因素。</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三、招标文件说明</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8. 招标文件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8.2招标文件及其更正文件不是直接从采购代理机构或指定媒体获得的，采购代理机构对招标文件及其补遗的真实性、完整性不承担任何责任。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9. 招标文件的澄清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9.1投标人在获取招标文件后，若有疑问，应于投标截止时间之前，向采购代理机构提出，采购代理机构将予以解答。</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9.2如有必要，问题答复将以“变更公告”形式由采购代理机构按照本须知第10条的规定发出。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10.招标文件的修改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10.3招标文件的更正（含澄清、修改等）内容与原招标文件在同一内容上表述不一致时，以发出日期最接近开标时间的公告为准。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10.5招标文件若有最新的答疑文件，投标供应商必须下载并使用该文件制作新的电子投标文件，否则将无法完成电子投标文件的上传及投标。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11.质疑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11.3上述应知其权益受到损害之日是指：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11.3.1对采购文件提出质疑的，为获取采购文件或者采购文件公告期限届满之日起计算；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11.3.2对采购过程提出质疑的，自采购程序环节结束之日起计算；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11.3.3对中标结果提出质疑的，自中标结果公告期限届满之日起计算。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 供应商提出质疑应当提交质疑函和必要的证明材料。质疑函应当包括下列内容：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11.4.1 供应商的姓名或者名称、地址、邮编、联系人及联系电话；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11.4.2 质疑项目的名称、编号；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11.4.3 具体、明确的质疑事项和与质疑事项相关的请求；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11.4.4 事实依据；</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11.4.5 必要的法律依据；</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11.4.6 提出质疑的日期。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11.5质疑函的格式和内容应当符合财政部《政府采购供应商质疑函范本》 要求，质疑函范本在财政部官网上提供下载。</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 提交质疑函同时应当附如下证明材料：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11.6.1对采购文件提出质疑的供应商提供参加本项目的《投标供应商确认函</w:t>
      </w:r>
      <w:r>
        <w:rPr>
          <w:rFonts w:hint="eastAsia" w:ascii="宋体" w:hAnsi="宋体" w:cs="宋体"/>
          <w:b/>
          <w:sz w:val="24"/>
          <w:highlight w:val="none"/>
        </w:rPr>
        <w:t xml:space="preserve">》</w:t>
      </w:r>
      <w:r>
        <w:rPr>
          <w:rFonts w:hint="eastAsia" w:ascii="宋体" w:hAnsi="宋体" w:cs="宋体"/>
          <w:sz w:val="24"/>
          <w:highlight w:val="none"/>
        </w:rPr>
        <w:t xml:space="preserve">；</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11.6.2质疑供应商的营业执照复印件加盖单位公章；</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11.6.3质疑供应商法定代表人身份证复印件加盖单位公章；</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11.9 供应商如对本项目提出质疑须在法定质疑期内一次性提出针对同一采购程序环节的质疑。</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sz w:val="24"/>
          <w:highlight w:val="none"/>
        </w:rPr>
        <w:t xml:space="preserve">（即《投标供应商确认函》）</w:t>
      </w:r>
      <w:r>
        <w:rPr>
          <w:rFonts w:hint="eastAsia" w:ascii="宋体" w:hAnsi="宋体" w:cs="宋体"/>
          <w:sz w:val="24"/>
          <w:highlight w:val="none"/>
        </w:rPr>
        <w:t xml:space="preserve">与质疑函一起递交，否则不予受理。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11.11 接受质疑函联系方式见采购公告联系事项。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四、 投标文件说明</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12、提示与要求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12.2无论是否递交投标文件，投标人都应将招标文件及以后的所有通知、文件等视为保密文件。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13. 投标文件计量单位和使用文字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13.1投标文件中所使用的计量单位，除招标文件中有特殊要求外，均应使用中华人民共和国法定计量单位。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14. 知识产权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 投标文件的组成</w:t>
      </w:r>
      <w:r/>
    </w:p>
    <w:p>
      <w:pPr>
        <w:ind w:firstLine="12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15.1报价部分（详见投标文件格式）：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15.1.1封面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15.1.2《开标一览表》(统一格式)；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15.1.3公开分项报价表；</w:t>
      </w:r>
      <w:r/>
    </w:p>
    <w:p>
      <w:pPr>
        <w:ind w:firstLine="12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 投标正文部分（包含资质证明和技术部分）</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15.2.1资质证明文件部分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15.2.1.1关于资格文件的声明函（详见投标文件格式）；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15.2.1.2投标承诺函（详见投标文件格式）；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15.2.1.3投标人基本情况表（详见投标文件格式）；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15.2.1.4投标人法定代表人身份证复印件；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15.2.1.5投标人法定代表人授权委托书原件（如有授权）（详见投标文件格式）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15.2.1.6投标人授权代理人身份证复印件（如有授权）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15.2.1.7投标单位营业执照副本或三证合一营业执照复印件；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15.2.1.8投标人参加本次政府采购活动前的财务状况报告或者银行出具的资信证明；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15.2.1.9投标人根据项目需求提供履行合同所必需的设备和专业技术能力的证明材料；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15.2.1.10投标人参加本次政府采购活动前半年（至少一个月）依法缴纳税收和社会保障资金的证明材料；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15.2.1.11投标人参加政府采购活动前三年在经营活动中没有重大违法记录的书面申明（详见投标文件格式）；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15.2.1.12投标人证明其符合招标文件规定的投标人特定资格条件的证书、证明和文件材料；（如有）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15.2.1.13中小企业声明函（如有）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15.2.1.14残疾人福利性单位声明函</w:t>
      </w:r>
      <w:bookmarkStart w:id="0" w:name="_Hlk186581680"/>
      <w:r>
        <w:rPr>
          <w:rFonts w:hint="eastAsia" w:ascii="宋体" w:hAnsi="宋体" w:cs="宋体"/>
          <w:sz w:val="24"/>
          <w:highlight w:val="none"/>
        </w:rPr>
        <w:t xml:space="preserve">（如有）</w:t>
      </w:r>
      <w:bookmarkEnd w:id="0"/>
      <w:r>
        <w:rPr>
          <w:rFonts w:hint="eastAsia" w:ascii="宋体" w:hAnsi="宋体" w:cs="宋体"/>
          <w:sz w:val="24"/>
          <w:highlight w:val="none"/>
        </w:rPr>
        <w:t xml:space="preserve">；</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15.2.2技术部分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15.2.2.1投标货物数量、品牌规格、材质、性能、交货期说明表（详见文件格式）；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15.2.2.2技术要求偏离表（详见文件格式）；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15.2.2.3商务要求偏离表（详见文件格式）；</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15.2.2.4项目的技术及服务方案；</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15.2.2.5项目实施方案和进度方案</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15.2.2.6质量保证措施和承诺；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15.2.2.7售后服务内容；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15.2.2.8投入本项目技术（服务）人员一览表及相关证明材料（详见文件格式）；</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15.2.2.9类似项目业绩一览表及相关证明材料（详见文件格式）；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15.2.2.10其他投标人认为需要提供的材料；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15.3投标文件由15.1、15.2款规定的内容共同组成。</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16. 投标文件编制要求   </w:t>
      </w:r>
      <w:r/>
    </w:p>
    <w:p>
      <w:pPr>
        <w:ind w:firstLine="424"/>
        <w:spacing w:line="43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16.1</w:t>
      </w:r>
      <w:r>
        <w:rPr>
          <w:rFonts w:hint="eastAsia" w:ascii="宋体" w:hAnsi="宋体" w:cs="宋体"/>
          <w:b/>
          <w:sz w:val="24"/>
          <w:highlight w:val="none"/>
        </w:rPr>
        <w:t xml:space="preserve">电子投标文件编制要求：</w:t>
      </w:r>
      <w:r>
        <w:rPr>
          <w:rFonts w:hint="eastAsia" w:ascii="宋体" w:hAnsi="宋体" w:cs="宋体"/>
          <w:sz w:val="24"/>
          <w:highlight w:val="none"/>
        </w:rPr>
        <w:t xml:space="preserve">投标人应使用</w:t>
      </w:r>
      <w:r>
        <w:rPr>
          <w:rFonts w:hint="eastAsia" w:ascii="宋体" w:hAnsi="宋体" w:cs="宋体"/>
          <w:b/>
          <w:sz w:val="24"/>
          <w:highlight w:val="none"/>
        </w:rPr>
        <w:t xml:space="preserve">招标文件要求的投标文件制作软件制作电子投标文件</w:t>
      </w:r>
      <w:r>
        <w:rPr>
          <w:rFonts w:hint="eastAsia" w:ascii="宋体" w:hAnsi="宋体" w:cs="宋体"/>
          <w:sz w:val="24"/>
          <w:highlight w:val="none"/>
        </w:rPr>
        <w:t xml:space="preserve">，电子投标文件按招标文件规定的格式制作，如果未按要求制作上传，可能导致投标无效。</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17. 投标报价（编制）要求的说明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17.3 一项投标内容只允许一个报价，采购代理机构不接受任何有选择性的投标报价。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17.4投标文件报价中的单价和总价全部采用人民币表示，除非合同的特殊条款另有规定。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17.5最低的投标报价或最高的折扣比例是中标的重要条件，但不是中标的唯一条件。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18. 投标保证金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本项目无须缴纳投标保证金</w:t>
      </w:r>
      <w:r>
        <w:rPr>
          <w:rFonts w:hint="eastAsia" w:ascii="宋体" w:hAnsi="宋体" w:cs="宋体"/>
          <w:b/>
          <w:sz w:val="24"/>
          <w:highlight w:val="none"/>
        </w:rPr>
        <w:t xml:space="preserve">。</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19. 投标文件的有效期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19.1在本招标文件规定的开标之日起九十（90）天内，投标人所提交的投标文件应保持有效。</w:t>
      </w:r>
      <w:r>
        <w:rPr>
          <w:rFonts w:hint="eastAsia" w:ascii="宋体" w:hAnsi="宋体" w:cs="宋体"/>
          <w:b/>
          <w:sz w:val="24"/>
          <w:highlight w:val="none"/>
        </w:rPr>
        <w:t xml:space="preserve">有效期短于这个规定期限的投标文件，将被认定为未实质性响应招标文件要求。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五、 投标文件的提交、撤回和修改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20. 投标文件的上传、提交</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20.</w:t>
      </w:r>
      <w:r>
        <w:rPr>
          <w:rFonts w:hint="eastAsia" w:ascii="宋体" w:hAnsi="宋体" w:cs="宋体"/>
          <w:b/>
          <w:sz w:val="24"/>
          <w:highlight w:val="none"/>
        </w:rPr>
        <w:t xml:space="preserve">1投标人应将制作好的加密电子投标文件按要求在投标截止时间前上传到交易系统平台中。</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21. 投标截止时间</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21.1</w:t>
      </w:r>
      <w:r>
        <w:rPr>
          <w:rFonts w:hint="eastAsia" w:ascii="宋体" w:hAnsi="宋体" w:cs="宋体"/>
          <w:b/>
          <w:sz w:val="24"/>
          <w:highlight w:val="none"/>
        </w:rPr>
        <w:t xml:space="preserve">电子投标文件必须按招标公告中规定的网上投标截止时间前提交</w:t>
      </w:r>
      <w:r>
        <w:rPr>
          <w:rFonts w:hint="eastAsia" w:ascii="宋体" w:hAnsi="宋体" w:cs="宋体"/>
          <w:sz w:val="24"/>
          <w:highlight w:val="none"/>
        </w:rPr>
        <w:t xml:space="preserve">，</w:t>
      </w:r>
      <w:r>
        <w:rPr>
          <w:rFonts w:hint="eastAsia" w:ascii="宋体" w:hAnsi="宋体" w:cs="宋体"/>
          <w:b/>
          <w:sz w:val="24"/>
          <w:highlight w:val="none"/>
        </w:rPr>
        <w:t xml:space="preserve">否则投标无效</w:t>
      </w:r>
      <w:r>
        <w:rPr>
          <w:rFonts w:hint="eastAsia" w:ascii="宋体" w:hAnsi="宋体" w:cs="宋体"/>
          <w:sz w:val="24"/>
          <w:highlight w:val="none"/>
        </w:rPr>
        <w:t xml:space="preserve">。</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21.3在投标截止时间止，采购代理机构于本项目（或标段）收到的电子投标文件少于三份的，采购代理机构有权宣布本项目（或标段）招标失败。</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22. 投标文件的修改和撤回</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22.1投标人在提交投标文件截止时间前，可对其投标文件进行撤回或修改。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23.2开标后投标人不得撤回投标。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六、开标和评标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23. 开标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23.1采购代理机构按采购公告规定的时间、地点主持不见面开标活动。开标仪式由采购代理机构、采购人等主持。</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23.2</w:t>
      </w:r>
      <w:r>
        <w:rPr>
          <w:rFonts w:hint="eastAsia" w:ascii="宋体" w:hAnsi="宋体" w:cs="宋体"/>
          <w:b/>
          <w:sz w:val="24"/>
          <w:highlight w:val="none"/>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23.3</w:t>
      </w:r>
      <w:r>
        <w:rPr>
          <w:rFonts w:hint="eastAsia" w:ascii="宋体" w:hAnsi="宋体" w:cs="宋体"/>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23.4采购代理机构在开标仪式上，将公布投标人的名称、投标价格，并将作唱标记录。</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23.5投标人代表对开标过程和开标记录有疑义，以及认为采购人、采购代理机构相关工作人员有需要回避的情形的，</w:t>
      </w:r>
      <w:r>
        <w:rPr>
          <w:rFonts w:hint="eastAsia" w:ascii="宋体" w:hAnsi="宋体" w:cs="宋体"/>
          <w:b/>
          <w:sz w:val="24"/>
          <w:highlight w:val="none"/>
        </w:rPr>
        <w:t xml:space="preserve">应通过不见面开标大厅提出</w:t>
      </w:r>
      <w:r>
        <w:rPr>
          <w:rFonts w:hint="eastAsia" w:ascii="宋体" w:hAnsi="宋体" w:cs="宋体"/>
          <w:sz w:val="24"/>
          <w:highlight w:val="none"/>
        </w:rPr>
        <w:t xml:space="preserve">询问或者回避申请。采购人、采购代理机构对投标人代表提出的询问或者回避申请应当及时处理。</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24. 评标委员会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24.1评标委员会由采购人或委托采购代理机构依法组建，负责本项目的评标事务。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24.2评标委员会独立履行下列职责：</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24.2.1审查投标文件是否符合招标文件的要求，并作出评价；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24.2.2可以要求投标供应商对投标文件有关事项作出解释或澄清；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24.2.3推荐中标候选供应商名单，或者受采购人委托按照事先确定的办法直接确定中标供应商；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24.2.4向采购代理机构或者有关部门报告非法干预评标工作的行为；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24.3评标委员会成员应当履行下列义务：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24.3.1遵纪守法，客观、公正、廉洁地履行职责；</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24.3.2按照招标文件规定的评标办法和评标标准进行评标，对评审意见承担个人责任；</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24.3.3对评标过程和结果，以及投标人的商业秘密保密；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24.3.4参与评标报告的起草；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24.3.5配合采购代理机构答复投标供应商提出的质疑；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24.3.6配合相关部门的投诉处理工作；</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25. 评标内容的保密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25.3在评标期间，采购代理机构将通过指定联络人与投标人进行联系。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26.对投标文件初审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26.1投标文件初审分为资格性检查和符合性检查。</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 关于信用记录查询：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26.1.2.1查询时间：评标开始前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26.1.2.2查询渠道：通过“信用中国”网站、中国政府采购网等渠道查询相关主体信用记录。</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26.1.2.4信用记录使用规则：评审小组在对供应商进行资格性审查时，应根据查询结果对供应商的不良信用记录逐项甄别确认。</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26.2.1 不同投标人的投标文件由同一单位或者个人编制；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26.2.2不同投标人委托同一单位或者个人办理投标事宜；</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26.2.3不同投标人的投标文件载明的项目管理成员或者联系人员为同一人；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26.2.4不同投标人的投标文件异常一致或者投标报价呈规律性差异；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26.2.5不同投标人的投标文件相互混装；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26.6评标委员会将对确定为实质性响应的投标进行审核，看其是否有计算上或累加上的算术错误，修正错误的原则如下：</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26.6.1投标文件中开标一览表（报价表）内容与投标文件中相应内容不一致的，以开标一览表（报价表）为准；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26.6.2大写金额和小写金额不一致的，以大写金额为准；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26.6.3单价金额小数点或者百分比有明显错位的，以开标一览表的总价为准，并修改单价；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26.6.4总价金额与按单价汇总金额不一致的，以单价金额计算结果为准。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同时出现两种以上不一致的，按照前款规定的顺序修正。修正后的报价按照本须知26.6条规定经投标人确认后产生约束力，投标人不确认的，其投标无效。</w:t>
      </w:r>
      <w:r/>
    </w:p>
    <w:p>
      <w:pPr>
        <w:ind w:firstLine="482"/>
        <w:keepLines w:val="0"/>
        <w:keepNext w:val="0"/>
        <w:pageBreakBefore w:val="0"/>
        <w:spacing w:line="500" w:lineRule="exact"/>
        <w:widowControl w:val="off"/>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lang w:val="en-US" w:eastAsia="zh-CN"/>
        </w:rPr>
        <w:t xml:space="preserve">26</w:t>
      </w:r>
      <w:r>
        <w:rPr>
          <w:rFonts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7</w:t>
      </w:r>
      <w:r>
        <w:rPr>
          <w:rFonts w:ascii="宋体" w:hAnsi="宋体" w:eastAsia="宋体" w:cs="宋体"/>
          <w:b/>
          <w:bCs/>
          <w:sz w:val="24"/>
          <w:highlight w:val="none"/>
        </w:rPr>
        <w:t xml:space="preserve">评审小组认为响应供应商的报价存在以下四项情形时，应当要求其在苏采云平台上合理时间内提供说明：</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26</w:t>
      </w:r>
      <w:r>
        <w:rPr>
          <w:rFonts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7.1</w:t>
      </w:r>
      <w:r>
        <w:rPr>
          <w:rFonts w:ascii="宋体" w:hAnsi="宋体" w:eastAsia="宋体" w:cs="宋体"/>
          <w:b/>
          <w:bCs/>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26</w:t>
      </w:r>
      <w:r>
        <w:rPr>
          <w:rFonts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7</w:t>
      </w:r>
      <w:r>
        <w:rPr>
          <w:rFonts w:ascii="宋体" w:hAnsi="宋体" w:eastAsia="宋体" w:cs="宋体"/>
          <w:b/>
          <w:bCs/>
          <w:sz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26</w:t>
      </w:r>
      <w:r>
        <w:rPr>
          <w:rFonts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7</w:t>
      </w:r>
      <w:r>
        <w:rPr>
          <w:rFonts w:ascii="宋体" w:hAnsi="宋体" w:eastAsia="宋体" w:cs="宋体"/>
          <w:b/>
          <w:bCs/>
          <w:sz w:val="24"/>
          <w:highlight w:val="none"/>
        </w:rPr>
        <w:t xml:space="preserve">.3投标（响应）报价低于采购项目最高限价45%的，即投标（响应）报价&lt;采购项目最高限价×45%；</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26</w:t>
      </w:r>
      <w:r>
        <w:rPr>
          <w:rFonts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7</w:t>
      </w:r>
      <w:r>
        <w:rPr>
          <w:rFonts w:ascii="宋体" w:hAnsi="宋体" w:eastAsia="宋体" w:cs="宋体"/>
          <w:b/>
          <w:bCs/>
          <w:sz w:val="24"/>
          <w:highlight w:val="none"/>
        </w:rPr>
        <w:t xml:space="preserve">.4评审委员会基于专业判断，认为供应商报价过低，有可能影响产品质量或者不能诚信履约的其他情形。</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26.8</w:t>
      </w:r>
      <w:r>
        <w:rPr>
          <w:rFonts w:ascii="宋体" w:hAnsi="宋体" w:eastAsia="宋体" w:cs="宋体"/>
          <w:b/>
          <w:bCs/>
          <w:sz w:val="24"/>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26.9</w:t>
      </w:r>
      <w:r>
        <w:rPr>
          <w:rFonts w:ascii="宋体" w:hAnsi="宋体" w:eastAsia="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26.10</w:t>
      </w:r>
      <w:r>
        <w:rPr>
          <w:rFonts w:ascii="宋体" w:hAnsi="宋体" w:eastAsia="宋体" w:cs="宋体"/>
          <w:b/>
          <w:bCs/>
          <w:sz w:val="24"/>
          <w:highlight w:val="none"/>
        </w:rPr>
        <w:t xml:space="preserve">响应供应商在响应文件开启及项目评审全过程中应在网上不见面开标系统中保持在线状态，以应对可能发生的澄清、说明等回复。</w:t>
      </w:r>
      <w:r/>
    </w:p>
    <w:p>
      <w:pPr>
        <w:ind w:firstLine="480"/>
        <w:keepLines w:val="0"/>
        <w:keepNext w:val="0"/>
        <w:pageBreakBefore w:val="0"/>
        <w:spacing w:line="500" w:lineRule="exact"/>
        <w:widowControl w:val="off"/>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评标委员会对投标文件的判定，只依据投标内容本身，不依靠开标后的任何外来证明。</w:t>
      </w:r>
      <w:r/>
    </w:p>
    <w:p>
      <w:pPr>
        <w:ind w:firstLine="480"/>
        <w:keepLines w:val="0"/>
        <w:keepNext w:val="0"/>
        <w:pageBreakBefore w:val="0"/>
        <w:spacing w:line="500" w:lineRule="exact"/>
        <w:widowControl w:val="off"/>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评标委员会将拒绝被确定为非实质性响应的投标，投标人不能通过修正或撤销不符之处而使其投标成为实质性响应的投标。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27.投标的澄清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28.无效投标和废标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28.1无效投标的具体情形有：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28.1.1投标文件未按招标文件要求签署、盖章或电子签章的；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28.1.2不具备招标文件中规定的资格要求的；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28.1.3报价超过招标文件中规定的预算金额或者最高限价的；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28.1.4</w:t>
      </w:r>
      <w:r>
        <w:rPr>
          <w:rFonts w:hint="eastAsia" w:ascii="宋体" w:hAnsi="宋体" w:cs="宋体"/>
          <w:b/>
          <w:sz w:val="24"/>
          <w:highlight w:val="none"/>
        </w:rPr>
        <w:t xml:space="preserve">不同投标人的投标文件使用同一台电脑编制的；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28.1.5投标文件含有采购人不能接受的附加条件的；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28.1.6法律、法规和招标文件规定的其他无效情形。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 在招标采购中，出现下列情形之一的，应予废标：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28.2.1符合专业条件的供应商或者对招标文件作实质响应的供应商不足三家的；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28.2.2出现影响采购公正的违法、违规行为的；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28.2.3投标人的报价均超过了采购预算，采购人不能支付的；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28.2.4因重大变故，采购任务取消的。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28.3 废标后，采购人应当将废标理由通知所有投标人。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29. 投标文件的评价和比较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29.2.1服务的质量保证（保障）内容；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29.2.2服务配备的人员；</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29.2.3投标者的资信情况和履约能力；</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29.2.4投标者提供的其他优惠条件；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29.2.5参与本项目政府采购工作的态度及信誉；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29.2.6最低的投标报价或最高的折扣比例是中标的重要条件，但不是唯一条件。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七、授予合同</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30. 中标供应商的确认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30.2经评标委员会评审并确定中标供应商后，采购人或授权采购代理机构将在规定的时间内将中标结果在相关媒体上予以公告。</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30.4质疑函递交地点及联系方式详见公告内容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31. 合同授予标准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 中标通知书</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32.3</w:t>
      </w:r>
      <w:r>
        <w:rPr>
          <w:rFonts w:hint="eastAsia" w:ascii="宋体" w:hAnsi="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32.4中标通知书将成为合同的组成部分。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32.5采购代理机构对未中标供应商不承担解释未中标原因的义务。</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33.履约保证金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33.1中标供应商按合同约定要求提交履约保证金。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33.2履约保证金用以约束供应商在合同履行中的行为，弥补合同执行中由于自身行为可能给采购人带来的各种损失。</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33.3履约保证金（无息）将在中标供应商合同履行完毕且质保期满后，采购人在五个工作日内退返中标供应商。</w:t>
      </w:r>
      <w:r/>
    </w:p>
    <w:p>
      <w:pPr>
        <w:ind w:firstLine="480"/>
        <w:spacing w:line="43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34. 合同的签订</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34.2中标供应商应按中标通知书中中规定，由法定代表人或授权代理人与采购人代表签订合同，否则按放弃中标权处理。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34.3签订合同及合同条款应以招标文件和中标供应商的投标文件及其澄清文件为依据。</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八、政府采购相关政策</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35.节能产品和环境标志产品</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highlight w:val="none"/>
        </w:rPr>
        <w:t xml:space="preserve">采购清单产品如属于国家节能或环保品目清单的强制采购产品的，投标人应当选择强制采购产品，并提供由国家确定的认证机构出具的、处于有效期之内的至少二级能效指标节能产品</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或环境标志产品认证证书，否则视为未实质响应。</w:t>
      </w:r>
      <w:r/>
    </w:p>
    <w:p>
      <w:pPr>
        <w:jc w:val="left"/>
        <w:spacing w:line="440" w:lineRule="exact"/>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36.中小企业相关政策：</w:t>
      </w:r>
      <w:r>
        <w:rPr>
          <w:rFonts w:hint="eastAsia" w:ascii="宋体" w:hAnsi="宋体" w:eastAsia="宋体" w:cs="宋体"/>
          <w:sz w:val="24"/>
          <w:highlight w:val="none"/>
        </w:rPr>
        <w:br w:type="textWrapping" w:clear="all"/>
      </w:r>
      <w:r>
        <w:rPr>
          <w:rFonts w:hint="eastAsia" w:ascii="宋体" w:hAnsi="宋体" w:eastAsia="宋体" w:cs="宋体"/>
          <w:bCs/>
          <w:color w:val="000000"/>
          <w:sz w:val="24"/>
          <w:highlight w:val="none"/>
        </w:rPr>
        <w:t xml:space="preserve">36.1本项目专门面向中小企业采购，执行以下相关政策：</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36.1.1中小企业划分：</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（1）符合中小企业划分标准的个体工商户，在政府采购活动中视同中小企业。</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（2）中小企业划分标准详见“工信部联企业〔2011〕300号通知”</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36.1.2残疾人福利性单位政策：</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36.1.3监狱企业发展政策：</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36.1.4、中标、成交供应商享受规定的中小企业扶持政策的，其声明函及相关证明材料应当随中标、成交结果同时公告，接受社会监督。</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    36.1.5、专门面向中小企业采购的项目，不再执行价格评审优惠的扶持政策。</w:t>
      </w:r>
      <w:r/>
    </w:p>
    <w:p>
      <w:pPr>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37.绿色数据中心政策</w:t>
      </w:r>
      <w:r/>
    </w:p>
    <w:p>
      <w:pPr>
        <w:ind w:firstLine="480"/>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37.1 依据《绿色数据中心政府采购需求标准（试行）》（财办库〔2023〕7 号）文件精神，采购</w:t>
      </w:r>
      <w:r>
        <w:rPr>
          <w:rFonts w:hint="eastAsia" w:ascii="宋体" w:hAnsi="宋体" w:cs="宋体"/>
          <w:sz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38.商品包装、快递包装政策</w:t>
      </w:r>
      <w:r/>
    </w:p>
    <w:p>
      <w:pPr>
        <w:ind w:firstLine="480"/>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九、其他事项</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39. 监督和公证</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39.1政府有关监督部门将对招投标全过程进行监督。</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39.2采购代理机构的招标过程将依采购人申请，通过公证机关进行公证。</w:t>
      </w:r>
      <w:r/>
    </w:p>
    <w:p>
      <w:pPr>
        <w:spacing w:line="44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40.未尽事宜</w:t>
      </w:r>
      <w:r/>
    </w:p>
    <w:p>
      <w:pPr>
        <w:spacing w:line="440" w:lineRule="exact"/>
        <w:rPr>
          <w:rFonts w:ascii="宋体" w:hAnsi="宋体" w:cs="宋体"/>
          <w:b/>
          <w:sz w:val="24"/>
          <w:highlight w:val="none"/>
        </w:rPr>
      </w:pPr>
      <w:r>
        <w:rPr>
          <w:rFonts w:hint="eastAsia" w:ascii="宋体" w:hAnsi="宋体" w:cs="宋体"/>
          <w:sz w:val="24"/>
          <w:highlight w:val="none"/>
        </w:rPr>
        <w:t xml:space="preserve">按《中华人民共和国政府采购法》及其他有关法律法规的规定执行。</w:t>
      </w:r>
      <w:r/>
    </w:p>
    <w:p>
      <w:pPr>
        <w:spacing w:line="500" w:lineRule="exact"/>
        <w:rPr>
          <w:rFonts w:ascii="宋体" w:hAnsi="宋体" w:cs="宋体"/>
          <w:b/>
          <w:sz w:val="24"/>
          <w:highlight w:val="none"/>
        </w:rPr>
      </w:pPr>
      <w:r>
        <w:rPr>
          <w:rFonts w:ascii="宋体" w:hAnsi="宋体" w:cs="宋体"/>
          <w:b/>
          <w:sz w:val="24"/>
          <w:highlight w:val="none"/>
        </w:rPr>
      </w:r>
      <w:r/>
    </w:p>
    <w:p>
      <w:pPr>
        <w:pStyle w:val="927"/>
        <w:jc w:val="center"/>
        <w:spacing w:line="460" w:lineRule="exact"/>
        <w:rPr>
          <w:rFonts w:hAnsi="宋体" w:eastAsia="宋体" w:cs="宋体"/>
          <w:b/>
          <w:sz w:val="44"/>
          <w:szCs w:val="44"/>
          <w:highlight w:val="none"/>
        </w:rPr>
      </w:pPr>
      <w:r>
        <w:rPr>
          <w:rFonts w:hint="eastAsia" w:hAnsi="宋体" w:eastAsia="宋体" w:cs="宋体"/>
          <w:b/>
          <w:sz w:val="44"/>
          <w:szCs w:val="44"/>
          <w:highlight w:val="none"/>
        </w:rPr>
        <w:t xml:space="preserve">         </w:t>
      </w:r>
      <w:r/>
    </w:p>
    <w:p>
      <w:pPr>
        <w:pStyle w:val="92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2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2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27"/>
        <w:jc w:val="both"/>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rFonts w:hint="eastAsia" w:hAnsi="宋体" w:eastAsia="宋体" w:cs="宋体"/>
          <w:b/>
          <w:sz w:val="44"/>
          <w:szCs w:val="44"/>
          <w:highlight w:val="none"/>
        </w:rPr>
      </w:pPr>
      <w:r>
        <w:rPr>
          <w:rFonts w:hint="eastAsia" w:hAnsi="宋体" w:eastAsia="宋体" w:cs="宋体"/>
          <w:b/>
          <w:sz w:val="44"/>
          <w:szCs w:val="44"/>
          <w:highlight w:val="none"/>
        </w:rPr>
      </w:r>
      <w:r/>
    </w:p>
    <w:p>
      <w:pPr>
        <w:pStyle w:val="927"/>
        <w:jc w:val="center"/>
        <w:spacing w:line="460" w:lineRule="exact"/>
        <w:rPr>
          <w:highlight w:val="none"/>
        </w:rPr>
      </w:pPr>
      <w:r>
        <w:rPr>
          <w:rFonts w:hint="eastAsia" w:hAnsi="宋体" w:eastAsia="宋体" w:cs="宋体"/>
          <w:b/>
          <w:sz w:val="44"/>
          <w:szCs w:val="44"/>
          <w:highlight w:val="none"/>
        </w:rPr>
        <w:t xml:space="preserve">第三部分 项目需求</w:t>
      </w:r>
      <w:r/>
    </w:p>
    <w:p>
      <w:pPr>
        <w:pStyle w:val="929"/>
        <w:jc w:val="left"/>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一、项目概况</w:t>
      </w:r>
      <w:r/>
    </w:p>
    <w:p>
      <w:pPr>
        <w:pStyle w:val="929"/>
        <w:ind w:firstLine="480"/>
        <w:jc w:val="left"/>
        <w:spacing w:line="50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城厢镇实验小学项目位于城厢镇科技产业园胜泾路西、陈门泾路北，占地占地面积</w:t>
      </w:r>
      <w:r>
        <w:rPr>
          <w:rFonts w:hint="default" w:ascii="宋体" w:hAnsi="宋体" w:eastAsia="宋体" w:cs="宋体"/>
          <w:sz w:val="24"/>
          <w:szCs w:val="24"/>
          <w:highlight w:val="none"/>
          <w:lang w:val="en-US" w:eastAsia="zh-CN" w:bidi="ar-SA"/>
        </w:rPr>
        <w:t xml:space="preserve">38161</w:t>
      </w:r>
      <w:r>
        <w:rPr>
          <w:rFonts w:hint="eastAsia" w:ascii="宋体" w:hAnsi="宋体" w:eastAsia="宋体" w:cs="宋体"/>
          <w:sz w:val="24"/>
          <w:szCs w:val="24"/>
          <w:highlight w:val="none"/>
          <w:lang w:val="en-US" w:eastAsia="zh-CN" w:bidi="ar-SA"/>
        </w:rPr>
        <w:t xml:space="preserve">平方米，总建筑面积</w:t>
      </w:r>
      <w:r>
        <w:rPr>
          <w:rFonts w:hint="default" w:ascii="宋体" w:hAnsi="宋体" w:eastAsia="宋体" w:cs="宋体"/>
          <w:sz w:val="24"/>
          <w:szCs w:val="24"/>
          <w:highlight w:val="none"/>
          <w:lang w:val="en-US" w:eastAsia="zh-CN" w:bidi="ar-SA"/>
        </w:rPr>
        <w:t xml:space="preserve">35229.26</w:t>
      </w:r>
      <w:r>
        <w:rPr>
          <w:rFonts w:hint="eastAsia" w:ascii="宋体" w:hAnsi="宋体" w:eastAsia="宋体" w:cs="宋体"/>
          <w:sz w:val="24"/>
          <w:szCs w:val="24"/>
          <w:highlight w:val="none"/>
          <w:lang w:val="en-US" w:eastAsia="zh-CN" w:bidi="ar-SA"/>
        </w:rPr>
        <w:t xml:space="preserve">平方米，学校规划规模</w:t>
      </w:r>
      <w:r>
        <w:rPr>
          <w:rFonts w:hint="default"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轨</w:t>
      </w:r>
      <w:r>
        <w:rPr>
          <w:rFonts w:hint="default" w:ascii="宋体" w:hAnsi="宋体" w:eastAsia="宋体" w:cs="宋体"/>
          <w:sz w:val="24"/>
          <w:szCs w:val="24"/>
          <w:highlight w:val="none"/>
          <w:lang w:val="en-US" w:eastAsia="zh-CN" w:bidi="ar-SA"/>
        </w:rPr>
        <w:t xml:space="preserve">36</w:t>
      </w:r>
      <w:r>
        <w:rPr>
          <w:rFonts w:hint="eastAsia" w:ascii="宋体" w:hAnsi="宋体" w:eastAsia="宋体" w:cs="宋体"/>
          <w:sz w:val="24"/>
          <w:szCs w:val="24"/>
          <w:highlight w:val="none"/>
          <w:lang w:val="en-US" w:eastAsia="zh-CN" w:bidi="ar-SA"/>
        </w:rPr>
        <w:t xml:space="preserve">班，建成后可新增学位</w:t>
      </w:r>
      <w:r>
        <w:rPr>
          <w:rFonts w:hint="default" w:ascii="宋体" w:hAnsi="宋体" w:eastAsia="宋体" w:cs="宋体"/>
          <w:sz w:val="24"/>
          <w:szCs w:val="24"/>
          <w:highlight w:val="none"/>
          <w:lang w:val="en-US" w:eastAsia="zh-CN" w:bidi="ar-SA"/>
        </w:rPr>
        <w:t xml:space="preserve">1620</w:t>
      </w:r>
      <w:r>
        <w:rPr>
          <w:rFonts w:hint="eastAsia" w:ascii="宋体" w:hAnsi="宋体" w:eastAsia="宋体" w:cs="宋体"/>
          <w:sz w:val="24"/>
          <w:szCs w:val="24"/>
          <w:highlight w:val="none"/>
          <w:lang w:val="en-US" w:eastAsia="zh-CN" w:bidi="ar-SA"/>
        </w:rPr>
        <w:t xml:space="preserve">个。</w:t>
      </w:r>
      <w:r>
        <w:rPr>
          <w:rFonts w:hint="eastAsia" w:ascii="宋体" w:hAnsi="宋体" w:cs="宋体"/>
          <w:sz w:val="24"/>
          <w:szCs w:val="24"/>
          <w:highlight w:val="none"/>
          <w:lang w:val="en-US" w:eastAsia="zh-CN" w:bidi="ar-SA"/>
        </w:rPr>
        <w:t xml:space="preserve">学校建设有包括教学楼、行政图文楼、多功能报告厅、食堂、风雨操场等，将为区内适龄儿童提供更加便捷、优质的教育资源。</w:t>
      </w:r>
      <w:r/>
    </w:p>
    <w:p>
      <w:pPr>
        <w:pStyle w:val="929"/>
        <w:numPr>
          <w:ilvl w:val="0"/>
          <w:numId w:val="1"/>
        </w:numPr>
        <w:jc w:val="left"/>
        <w:spacing w:line="500" w:lineRule="exact"/>
        <w:rPr>
          <w:rFonts w:hint="eastAsia" w:ascii="宋体" w:hAnsi="宋体" w:cs="宋体"/>
          <w:b/>
          <w:bCs/>
          <w:color w:val="000000"/>
          <w:sz w:val="24"/>
          <w:highlight w:val="none"/>
          <w:lang w:val="en-US" w:eastAsia="zh-CN" w:bidi="ar"/>
        </w:rPr>
      </w:pPr>
      <w:r>
        <w:rPr>
          <w:rFonts w:hint="eastAsia" w:ascii="宋体" w:hAnsi="宋体" w:cs="宋体"/>
          <w:b/>
          <w:bCs/>
          <w:color w:val="000000"/>
          <w:sz w:val="24"/>
          <w:highlight w:val="none"/>
          <w:lang w:val="en-US" w:eastAsia="zh-CN" w:bidi="ar"/>
        </w:rPr>
        <w:t xml:space="preserve">项目需求</w:t>
      </w:r>
      <w:r/>
    </w:p>
    <w:p>
      <w:pPr>
        <w:pStyle w:val="929"/>
        <w:numPr>
          <w:ilvl w:val="0"/>
          <w:numId w:val="2"/>
        </w:numPr>
        <w:jc w:val="left"/>
        <w:spacing w:line="500" w:lineRule="exact"/>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具体产品清单及参数要求</w:t>
      </w:r>
      <w:r/>
    </w:p>
    <w:tbl>
      <w:tblPr>
        <w:tblStyle w:val="729"/>
        <w:tblW w:w="90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4"/>
        <w:gridCol w:w="540"/>
        <w:gridCol w:w="1425"/>
        <w:gridCol w:w="1270"/>
        <w:gridCol w:w="3369"/>
        <w:gridCol w:w="381"/>
        <w:gridCol w:w="508"/>
        <w:gridCol w:w="588"/>
        <w:gridCol w:w="557"/>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规格</w:t>
            </w:r>
            <w:r>
              <w:rPr>
                <w:rFonts w:hint="eastAsia" w:ascii="宋体" w:hAnsi="宋体" w:cs="宋体"/>
                <w:b w:val="0"/>
                <w:bCs w:val="0"/>
                <w:i w:val="0"/>
                <w:iCs w:val="0"/>
                <w:color w:val="000000"/>
                <w:sz w:val="18"/>
                <w:szCs w:val="18"/>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行业属性</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84200" cy="436245"/>
                      <wp:effectExtent l="0" t="0" r="6350" b="190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2"/>
                              <a:stretch/>
                            </pic:blipFill>
                            <pic:spPr bwMode="auto">
                              <a:xfrm>
                                <a:off x="0" y="0"/>
                                <a:ext cx="584200" cy="4362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0pt;height:34.4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3"/>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面材：优质防火板，甲醛释放量符合E0标准；覆面拼贴严密、平整、无脱胶、鼓泡，无裂纹、压痕和划伤；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2、基材：采用优质E0级阻燃实木多层板,优质绿色环保产品,甲醛释放量，总挥发物有机化合物（TVOC）符合国家标准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4、采用环保型白乳胶，符合国家标准，游离甲醛，总挥发性有机物合格。</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5、钢架：采用优质2.0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厚304拉丝不锈钢管。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6、五金件：中性盐雾试验耐腐蚀等级达到10级，耐久性符合国家标准。7、脚套采用可调节脚套。</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6580" cy="681355"/>
                      <wp:effectExtent l="0" t="0" r="13970" b="4445"/>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r/>
                            </pic:nvPicPr>
                            <pic:blipFill>
                              <a:blip r:embed="rId13"/>
                              <a:stretch/>
                            </pic:blipFill>
                            <pic:spPr bwMode="auto">
                              <a:xfrm>
                                <a:off x="0" y="0"/>
                                <a:ext cx="576580" cy="681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4pt;height:53.6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长420*宽350*高780（坐高450）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w:t>
            </w:r>
            <w:r>
              <w:rPr>
                <w:rFonts w:hint="eastAsia" w:ascii="宋体" w:hAnsi="宋体" w:cs="宋体"/>
                <w:b w:val="0"/>
                <w:bCs w:val="0"/>
                <w:i w:val="0"/>
                <w:iCs w:val="0"/>
                <w:color w:val="000000"/>
                <w:sz w:val="18"/>
                <w:szCs w:val="18"/>
                <w:highlight w:val="none"/>
                <w:u w:val="none"/>
                <w:lang w:val="en-US" w:eastAsia="zh-CN" w:bidi="ar"/>
              </w:rPr>
              <w:t xml:space="preserve">国标</w:t>
            </w:r>
            <w:r>
              <w:rPr>
                <w:rFonts w:hint="eastAsia" w:ascii="宋体" w:hAnsi="宋体" w:eastAsia="宋体" w:cs="宋体"/>
                <w:b w:val="0"/>
                <w:bCs w:val="0"/>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不锈钢连体餐桌椅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4690" cy="662940"/>
                      <wp:effectExtent l="0" t="0" r="10160" b="381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r/>
                            </pic:nvPicPr>
                            <pic:blipFill>
                              <a:blip r:embed="rId14"/>
                              <a:stretch/>
                            </pic:blipFill>
                            <pic:spPr bwMode="auto">
                              <a:xfrm>
                                <a:off x="0" y="0"/>
                                <a:ext cx="694690" cy="662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4.7pt;height:52.2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总尺寸：</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750桌面尺寸：</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700*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1、桌面采用25mm不锈钢台面，表面采用</w:t>
            </w:r>
            <w:r>
              <w:rPr>
                <w:rFonts w:hint="eastAsia" w:ascii="宋体" w:hAnsi="宋体" w:cs="宋体"/>
                <w:b w:val="0"/>
                <w:bCs w:val="0"/>
                <w:i w:val="0"/>
                <w:iCs w:val="0"/>
                <w:color w:val="000000"/>
                <w:sz w:val="18"/>
                <w:szCs w:val="18"/>
                <w:highlight w:val="none"/>
                <w:u w:val="none"/>
                <w:lang w:val="en-US" w:eastAsia="zh-CN" w:bidi="ar"/>
              </w:rPr>
              <w:t xml:space="preserve">阻燃</w:t>
            </w:r>
            <w:r>
              <w:rPr>
                <w:rFonts w:hint="eastAsia" w:ascii="宋体" w:hAnsi="宋体" w:eastAsia="宋体" w:cs="宋体"/>
                <w:b w:val="0"/>
                <w:bCs w:val="0"/>
                <w:i w:val="0"/>
                <w:iCs w:val="0"/>
                <w:color w:val="000000"/>
                <w:sz w:val="18"/>
                <w:szCs w:val="18"/>
                <w:highlight w:val="none"/>
                <w:u w:val="none"/>
                <w:lang w:val="en-US" w:eastAsia="zh-CN" w:bidi="ar"/>
              </w:rPr>
              <w:t xml:space="preserve">304不锈钢板，厚度≥1.0mm，桌面4角进行打磨处理；内衬：采用环保18mm厚实木多层板；甲醛释放量符合国家E0标准，经防潮、防虫、防腐处理，强度高、刚性好、抗变形，各种物理、化学性能指标均达到国家相关标准。面材标准：表面耐刮、耐磨、耐腐蚀、耐高温、不怕烟头烫，光泽度更好，耐污性更强、耐UV紫外线老化；2、钢架整体采用50*50*1.5mm实厚的304不锈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3、坐板采用25mm不锈钢坐面，表面采用</w:t>
            </w:r>
            <w:r>
              <w:rPr>
                <w:rFonts w:hint="eastAsia" w:ascii="宋体" w:hAnsi="宋体" w:cs="宋体"/>
                <w:b w:val="0"/>
                <w:bCs w:val="0"/>
                <w:i w:val="0"/>
                <w:iCs w:val="0"/>
                <w:color w:val="000000"/>
                <w:sz w:val="18"/>
                <w:szCs w:val="18"/>
                <w:highlight w:val="none"/>
                <w:u w:val="none"/>
                <w:lang w:val="en-US" w:eastAsia="zh-CN" w:bidi="ar"/>
              </w:rPr>
              <w:t xml:space="preserve">304</w:t>
            </w:r>
            <w:r>
              <w:rPr>
                <w:rFonts w:hint="eastAsia" w:ascii="宋体" w:hAnsi="宋体" w:eastAsia="宋体" w:cs="宋体"/>
                <w:b w:val="0"/>
                <w:bCs w:val="0"/>
                <w:i w:val="0"/>
                <w:iCs w:val="0"/>
                <w:color w:val="000000"/>
                <w:sz w:val="18"/>
                <w:szCs w:val="18"/>
                <w:highlight w:val="none"/>
                <w:u w:val="none"/>
                <w:lang w:val="en-US" w:eastAsia="zh-CN" w:bidi="ar"/>
              </w:rPr>
              <w:t xml:space="preserve">不锈钢板，厚度≥1.0mm，桌面4角进行打磨处理；内衬：采用环保18mm厚实木多层板；甲醛释放量符合国家E0标准，经防潮、防虫、防腐处理，强度高、刚性好、抗变形，各种物理、化学性能指标均达到国家相关标准。面材标准：表面耐刮、耐磨、耐腐蚀、耐高温、不怕烟头烫，光泽度更好，耐污性更强、耐UV紫外线老化；</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4690" cy="410210"/>
                      <wp:effectExtent l="0" t="0" r="10160" b="8890"/>
                      <wp:docPr id="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9"/>
                              <pic:cNvPicPr>
                                <a:picLocks noChangeAspect="1"/>
                              </pic:cNvPicPr>
                              <pic:nvPr/>
                            </pic:nvPicPr>
                            <pic:blipFill>
                              <a:blip r:embed="rId15"/>
                              <a:stretch/>
                            </pic:blipFill>
                            <pic:spPr bwMode="auto">
                              <a:xfrm>
                                <a:off x="0" y="0"/>
                                <a:ext cx="694690" cy="410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4.7pt;height:32.3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架子，钢制焊接，方管脚，钢材壁厚≥2mm，下配塑料脚。所有钢制部分外部满焊无漏焊、焊渣，经砂光、打磨、抛丸前处理后表面采用抗菌环保静电粉末涂料，经高温粉体烤漆，各项检测数据均符合国家标准规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床垫海绵：采用软质聚氨酯泡沫塑料。表面使用抗老化处理，长时间使用不发黄。回弹率≥40%、座感舒适、长时间使用不变形的特性。厚度≥50mm，密度≥40kg/m³。符合GB/T10802-2023《通用软质聚氨酯泡沫塑料》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06400" cy="615315"/>
                      <wp:effectExtent l="0" t="0" r="12700" b="13335"/>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r/>
                            </pic:nvPicPr>
                            <pic:blipFill>
                              <a:blip r:embed="rId16"/>
                              <a:stretch/>
                            </pic:blipFill>
                            <pic:spPr bwMode="auto">
                              <a:xfrm>
                                <a:off x="0" y="0"/>
                                <a:ext cx="406400" cy="615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0pt;height:48.4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1、整体采用优质加厚PP塑料结构，塑料螺丝连接，结实牢固。</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治疗柜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1515" cy="1037590"/>
                      <wp:effectExtent l="0" t="0" r="13335" b="10160"/>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r/>
                            </pic:nvPicPr>
                            <pic:blipFill>
                              <a:blip r:embed="rId17"/>
                              <a:stretch/>
                            </pic:blipFill>
                            <pic:spPr bwMode="auto">
                              <a:xfrm>
                                <a:off x="0" y="0"/>
                                <a:ext cx="691515" cy="1037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4pt;height:81.7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下宽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上宽</w:t>
            </w:r>
            <w:r>
              <w:rPr>
                <w:rFonts w:hint="eastAsia" w:ascii="宋体" w:hAnsi="宋体" w:eastAsia="宋体" w:cs="宋体"/>
                <w:b w:val="0"/>
                <w:bCs w:val="0"/>
                <w:i w:val="0"/>
                <w:iCs w:val="0"/>
                <w:color w:val="000000"/>
                <w:sz w:val="18"/>
                <w:szCs w:val="18"/>
                <w:highlight w:val="none"/>
                <w:u w:val="none"/>
                <w:lang w:val="en-US" w:eastAsia="zh-CN" w:bidi="ar"/>
              </w:rPr>
              <w:t xml:space="preserve">250*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1、柜体钢板:采用冷轧钢板，柜体板件采用裸板0.8mm钢板；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诊疗桌（含侧柜）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0405" cy="820420"/>
                      <wp:effectExtent l="0" t="0" r="4445" b="17780"/>
                      <wp:docPr id="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IMG_262"/>
                              <pic:cNvPicPr>
                                <a:picLocks noChangeAspect="1"/>
                              </pic:cNvPicPr>
                              <pic:nvPr/>
                            </pic:nvPicPr>
                            <pic:blipFill>
                              <a:blip r:embed="rId18"/>
                              <a:stretch/>
                            </pic:blipFill>
                            <pic:spPr bwMode="auto">
                              <a:xfrm>
                                <a:off x="0" y="0"/>
                                <a:ext cx="700405" cy="820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5.1pt;height:64.6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4、采用环保型白乳胶，HJ2541-2016《环境标志产品技术要求胶粘剂》标准，游离甲醛，总挥发性有机物符合国家标准。</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序号7和8为一套，最高限价2600元/套(桌+椅)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3580" cy="847725"/>
                      <wp:effectExtent l="0" t="0" r="1270" b="9525"/>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63"/>
                              <pic:cNvPicPr>
                                <a:picLocks noChangeAspect="1"/>
                              </pic:cNvPicPr>
                              <pic:nvPr/>
                            </pic:nvPicPr>
                            <pic:blipFill>
                              <a:blip r:embed="rId19"/>
                              <a:stretch/>
                            </pic:blipFill>
                            <pic:spPr bwMode="auto">
                              <a:xfrm>
                                <a:off x="0" y="0"/>
                                <a:ext cx="70358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5.4pt;height:66.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诊疗椅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833120"/>
                      <wp:effectExtent l="0" t="0" r="6350" b="5080"/>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64"/>
                              <pic:cNvPicPr>
                                <a:picLocks noChangeAspect="1"/>
                              </pic:cNvPicPr>
                              <pic:nvPr/>
                            </pic:nvPicPr>
                            <pic:blipFill>
                              <a:blip r:embed="rId20"/>
                              <a:stretch/>
                            </pic:blipFill>
                            <pic:spPr bwMode="auto">
                              <a:xfrm>
                                <a:off x="0" y="0"/>
                                <a:ext cx="660400" cy="8331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2.0pt;height:65.6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长460*宽440*高870（坐高450）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1.实木弯曲木脚符合国家标准，甲醛释放量符合标准；覆面拼贴严密、平整、无脱胶、鼓泡，无裂纹、压痕和划伤；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2.靠背护腰曲线设计符合人体工学，全新PP材质一体成型，重金属，苯并芘，16种多环芳烃总量均符合国家标准。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3.尼龙脚塞，防滑耐磨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办公室置物柜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1670" cy="1045210"/>
                      <wp:effectExtent l="0" t="0" r="5080" b="2540"/>
                      <wp:docPr id="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IMG_265"/>
                              <pic:cNvPicPr>
                                <a:picLocks noChangeAspect="1"/>
                              </pic:cNvPicPr>
                              <pic:nvPr/>
                            </pic:nvPicPr>
                            <pic:blipFill>
                              <a:blip r:embed="rId21"/>
                              <a:stretch/>
                            </pic:blipFill>
                            <pic:spPr bwMode="auto">
                              <a:xfrm>
                                <a:off x="0" y="0"/>
                                <a:ext cx="661670" cy="1045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2.1pt;height:82.3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长800*宽400*高2000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4"/>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w:t>
            </w:r>
            <w:r/>
          </w:p>
          <w:p>
            <w:pPr>
              <w:numPr>
                <w:ilvl w:val="0"/>
                <w:numId w:val="4"/>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封边：采用同色PVC封边，无缝封边，具有良好的耐气候性能，不易受环境、温度变化而产生收缩、膨胀的问题。封边处无脱胶、鼓泡、透胶、露底。甲醛释放量符合检测结果。</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819150"/>
                      <wp:effectExtent l="0" t="0" r="0" b="0"/>
                      <wp:docPr id="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IMG_266"/>
                              <pic:cNvPicPr>
                                <a:picLocks noChangeAspect="1"/>
                              </pic:cNvPicPr>
                              <pic:nvPr/>
                            </pic:nvPicPr>
                            <pic:blipFill>
                              <a:blip r:embed="rId22"/>
                              <a:stretch/>
                            </pic:blipFill>
                            <pic:spPr bwMode="auto">
                              <a:xfrm>
                                <a:off x="0" y="0"/>
                                <a:ext cx="8382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0pt;height:64.5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长1200*宽400*高800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w:t>
            </w:r>
            <w:r>
              <w:rPr>
                <w:rFonts w:hint="eastAsia" w:ascii="宋体" w:hAnsi="宋体" w:eastAsia="宋体" w:cs="宋体"/>
                <w:b w:val="0"/>
                <w:bCs w:val="0"/>
                <w:i w:val="0"/>
                <w:iCs w:val="0"/>
                <w:color w:val="000000"/>
                <w:sz w:val="18"/>
                <w:szCs w:val="18"/>
                <w:highlight w:val="none"/>
                <w:u w:val="none"/>
                <w:lang w:val="en-US" w:eastAsia="zh-CN" w:bidi="ar"/>
              </w:rPr>
              <w:t xml:space="preserve">高限价700元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838200"/>
                      <wp:effectExtent l="0" t="0" r="0" b="0"/>
                      <wp:docPr id="1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IMG_267"/>
                              <pic:cNvPicPr>
                                <a:picLocks noChangeAspect="1"/>
                              </pic:cNvPicPr>
                              <pic:nvPr/>
                            </pic:nvPicPr>
                            <pic:blipFill>
                              <a:blip r:embed="rId23"/>
                              <a:stretch/>
                            </pic:blipFill>
                            <pic:spPr bwMode="auto">
                              <a:xfrm>
                                <a:off x="0" y="0"/>
                                <a:ext cx="8382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6.0pt;height:66.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长1500*宽500*高2000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1、采用组合式结构，不用任何螺栓，安装拆卸方便；每层承载可达300kg；钢材厚度1.2mm,带加强筋，表面需经酸洗、磷化、静电喷涂等工序，经防腐、防锈静电喷塑处理，坚固耐用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409575"/>
                      <wp:effectExtent l="0" t="0" r="0" b="9525"/>
                      <wp:docPr id="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IMG_268"/>
                              <pic:cNvPicPr>
                                <a:picLocks noChangeAspect="1"/>
                              </pic:cNvPicPr>
                              <pic:nvPr/>
                            </pic:nvPicPr>
                            <pic:blipFill>
                              <a:blip r:embed="rId24"/>
                              <a:stretch/>
                            </pic:blipFill>
                            <pic:spPr bwMode="auto">
                              <a:xfrm>
                                <a:off x="0" y="0"/>
                                <a:ext cx="838200"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6.0pt;height:32.2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长1200*宽350*高450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1、面料：座垫采用优质PU皮，厚度至少不能小于1.2mm，颜色可选。</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2、海棉：采用优质阻燃高弹海绵；</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3、框架：采用电镀优质冷轧钢管，表面除油除锈、磷化处理。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4、喷涂：采用防静电环氧基粉沫喷涂。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5、连接件：选用优质钢质螺钉、螺毛帽，达到保持每个部件的质量稳定与一致。</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1285875"/>
                      <wp:effectExtent l="0" t="0" r="0" b="9525"/>
                      <wp:docPr id="1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IMG_269"/>
                              <pic:cNvPicPr>
                                <a:picLocks noChangeAspect="1"/>
                              </pic:cNvPicPr>
                              <pic:nvPr/>
                            </pic:nvPicPr>
                            <pic:blipFill>
                              <a:blip r:embed="rId25"/>
                              <a:stretch/>
                            </pic:blipFill>
                            <pic:spPr bwMode="auto">
                              <a:xfrm>
                                <a:off x="0" y="0"/>
                                <a:ext cx="838200"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0pt;height:101.2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长900*宽500*高1850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1、柜体钢板:采用冷轧钢板，柜体板件采用裸板0.8mm钢板；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四门更衣柜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1438275"/>
                      <wp:effectExtent l="0" t="0" r="0" b="9525"/>
                      <wp:docPr id="1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IMG_270"/>
                              <pic:cNvPicPr>
                                <a:picLocks noChangeAspect="1"/>
                              </pic:cNvPicPr>
                              <pic:nvPr/>
                            </pic:nvPicPr>
                            <pic:blipFill>
                              <a:blip r:embed="rId26"/>
                              <a:stretch/>
                            </pic:blipFill>
                            <pic:spPr bwMode="auto">
                              <a:xfrm>
                                <a:off x="0" y="0"/>
                                <a:ext cx="838200"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113.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长900*宽500*高1850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1、柜体钢板:采用冷轧钢板，柜体板件采用裸板0.8mm钢板；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钢木叠叠凳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81965" cy="1112520"/>
                      <wp:effectExtent l="0" t="0" r="13335" b="11430"/>
                      <wp:docPr id="1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descr="IMG_271"/>
                              <pic:cNvPicPr>
                                <a:picLocks noChangeAspect="1"/>
                              </pic:cNvPicPr>
                              <pic:nvPr/>
                            </pic:nvPicPr>
                            <pic:blipFill>
                              <a:blip r:embed="rId27"/>
                              <a:stretch/>
                            </pic:blipFill>
                            <pic:spPr bwMode="auto">
                              <a:xfrm>
                                <a:off x="0" y="0"/>
                                <a:ext cx="481965" cy="11125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7.9pt;height:87.6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直径300（座高420）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5、钢管：采用钢管厚度1.5mm，抗拉强度、下屈服强度、规定塑性延伸强度、铜盐加速乙酸盐雾试验、符合国家相关标准。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both"/>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8180" cy="277495"/>
                      <wp:effectExtent l="0" t="0" r="7620" b="8255"/>
                      <wp:docPr id="1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descr="IMG_272"/>
                              <pic:cNvPicPr>
                                <a:picLocks noChangeAspect="1"/>
                              </pic:cNvPicPr>
                              <pic:nvPr/>
                            </pic:nvPicPr>
                            <pic:blipFill>
                              <a:blip r:embed="rId28"/>
                              <a:stretch/>
                            </pic:blipFill>
                            <pic:spPr bwMode="auto">
                              <a:xfrm>
                                <a:off x="0" y="0"/>
                                <a:ext cx="678180" cy="277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3.4pt;height:21.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长1200*宽400*高420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1、基材：采用25MM及16MM优质刨花板，甲醛释放量达到E0级标准。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2、封边:采用优质环保不低于1mm厚，PVC封边，耐磨，耐开裂，耐冷热循环，标准符合QB/T4463-2013《家具用封边条技术要求》，高密封性不吸水、不膨胀。</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3、覆面:采用优质环保布绒覆面，表面光泽度好，不裂面，无管皱透气性强，柔软有韧性。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4、阻燃海绵：采用优质高密度、高回弹环保PU阻燃海绵，高回弹阻燃海绵回弹力≥55%；拉伸强度≥140%，优质环保胶粘剂粘接，表面涂有防氧化保护层。含软包座垫。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广播桌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3110" cy="521970"/>
                      <wp:effectExtent l="0" t="0" r="8890" b="11430"/>
                      <wp:docPr id="1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IMG_273"/>
                              <pic:cNvPicPr>
                                <a:picLocks noChangeAspect="1"/>
                              </pic:cNvPicPr>
                              <pic:nvPr/>
                            </pic:nvPicPr>
                            <pic:blipFill>
                              <a:blip r:embed="rId29"/>
                              <a:stretch/>
                            </pic:blipFill>
                            <pic:spPr bwMode="auto">
                              <a:xfrm>
                                <a:off x="0" y="0"/>
                                <a:ext cx="753110" cy="5219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3pt;height:41.1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广播配</w:t>
            </w:r>
            <w:r>
              <w:rPr>
                <w:rFonts w:hint="eastAsia" w:ascii="宋体" w:hAnsi="宋体" w:eastAsia="宋体" w:cs="宋体"/>
                <w:b w:val="0"/>
                <w:bCs w:val="0"/>
                <w:i w:val="0"/>
                <w:iCs w:val="0"/>
                <w:color w:val="000000"/>
                <w:sz w:val="18"/>
                <w:szCs w:val="18"/>
                <w:highlight w:val="none"/>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20090" cy="867410"/>
                      <wp:effectExtent l="0" t="0" r="3810" b="8890"/>
                      <wp:docPr id="2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IMG_274"/>
                              <pic:cNvPicPr>
                                <a:picLocks noChangeAspect="1"/>
                              </pic:cNvPicPr>
                              <pic:nvPr/>
                            </pic:nvPicPr>
                            <pic:blipFill>
                              <a:blip r:embed="rId30"/>
                              <a:stretch/>
                            </pic:blipFill>
                            <pic:spPr bwMode="auto">
                              <a:xfrm>
                                <a:off x="0" y="0"/>
                                <a:ext cx="720090" cy="8674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6.7pt;height:68.3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both"/>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35000" cy="461645"/>
                      <wp:effectExtent l="0" t="0" r="12700" b="14604"/>
                      <wp:docPr id="2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IMG_275"/>
                              <pic:cNvPicPr>
                                <a:picLocks noChangeAspect="1"/>
                              </pic:cNvPicPr>
                              <pic:nvPr/>
                            </pic:nvPicPr>
                            <pic:blipFill>
                              <a:blip r:embed="rId31"/>
                              <a:stretch/>
                            </pic:blipFill>
                            <pic:spPr bwMode="auto">
                              <a:xfrm>
                                <a:off x="0" y="0"/>
                                <a:ext cx="635000" cy="461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0.0pt;height:36.4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长1500*宽1500*高1100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rPr>
                <w:rFonts w:hint="eastAsia" w:ascii="宋体" w:hAnsi="宋体" w:cs="宋体"/>
                <w:b w:val="0"/>
                <w:bCs w:val="0"/>
                <w:i w:val="0"/>
                <w:iCs w:val="0"/>
                <w:color w:val="000000"/>
                <w:sz w:val="18"/>
                <w:szCs w:val="18"/>
                <w:highlight w:val="none"/>
                <w:u w:val="none"/>
                <w:lang w:val="en-US" w:eastAsia="zh-CN" w:bidi="ar"/>
              </w:rPr>
              <w:t xml:space="preserve">20</w:t>
            </w:r>
            <w:r>
              <w:rPr>
                <w:rFonts w:hint="eastAsia" w:ascii="宋体" w:hAnsi="宋体" w:eastAsia="宋体" w:cs="宋体"/>
                <w:b w:val="0"/>
                <w:bCs w:val="0"/>
                <w:i w:val="0"/>
                <w:iCs w:val="0"/>
                <w:color w:val="000000"/>
                <w:sz w:val="18"/>
                <w:szCs w:val="18"/>
                <w:highlight w:val="none"/>
                <w:u w:val="none"/>
                <w:lang w:val="en-US" w:eastAsia="zh-CN" w:bidi="ar"/>
              </w:rPr>
              <w:t xml:space="preserve">和</w:t>
            </w:r>
            <w:r>
              <w:rPr>
                <w:rFonts w:hint="eastAsia" w:ascii="宋体" w:hAnsi="宋体" w:cs="宋体"/>
                <w:b w:val="0"/>
                <w:bCs w:val="0"/>
                <w:i w:val="0"/>
                <w:iCs w:val="0"/>
                <w:color w:val="000000"/>
                <w:sz w:val="18"/>
                <w:szCs w:val="18"/>
                <w:highlight w:val="none"/>
                <w:u w:val="none"/>
                <w:lang w:val="en-US" w:eastAsia="zh-CN" w:bidi="ar"/>
              </w:rPr>
              <w:t xml:space="preserve">21</w:t>
            </w:r>
            <w:r>
              <w:rPr>
                <w:rFonts w:hint="eastAsia" w:ascii="宋体" w:hAnsi="宋体" w:eastAsia="宋体" w:cs="宋体"/>
                <w:b w:val="0"/>
                <w:bCs w:val="0"/>
                <w:i w:val="0"/>
                <w:iCs w:val="0"/>
                <w:color w:val="000000"/>
                <w:sz w:val="18"/>
                <w:szCs w:val="18"/>
                <w:highlight w:val="none"/>
                <w:u w:val="none"/>
                <w:lang w:val="en-US" w:eastAsia="zh-CN" w:bidi="ar"/>
              </w:rPr>
              <w:t xml:space="preserve">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866140"/>
                      <wp:effectExtent l="0" t="0" r="0" b="10160"/>
                      <wp:docPr id="2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descr="IMG_276"/>
                              <pic:cNvPicPr>
                                <a:picLocks noChangeAspect="1"/>
                              </pic:cNvPicPr>
                              <pic:nvPr/>
                            </pic:nvPicPr>
                            <pic:blipFill>
                              <a:blip r:embed="rId32"/>
                              <a:stretch/>
                            </pic:blipFill>
                            <pic:spPr bwMode="auto">
                              <a:xfrm>
                                <a:off x="0" y="0"/>
                                <a:ext cx="609600" cy="866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8.0pt;height:68.2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长645*宽600*高（1190-1250）（座高420-480）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1、椅背：阻燃尼龙塑料、网布结构，网布须符合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。具有透气性和防静电性能，耐磨性强，厚度≥1.0mm。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2、背框：全新PP一次注塑成型背框，内外框结构，结构坚固。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3、坐垫：纤维织物（网布），具有耐磨性。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4、海绵：软质聚氨酯泡沫塑料，回弹性与透气性好、坐感舒适，不易变形，密度≥35kg/m³，海绵厚度≥40mm。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5、座板：采用≥15mm多层曲木板热压成型，板材绿色环保，经防潮、防腐、防蛀等化学处理。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6、扶手：PP塑料固定扶手。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7、底盘：采用安全可锁定同步倾仰底盘，由≥3.2mm钢板压制而成，经防腐处理。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8、气压棒：金属气压棒，升降行程60mm，棒芯壁厚须符合GB/T29525-2013《座椅升降气弹簧技术条件》要求。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9、椅轮：塑料五星脚，直径330mm。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10、脚轮：万向轮，尼龙材质，直径50mm，具有锁定功能，滑动时无杂音、活动自如。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升降课桌、升降课椅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5490" cy="838835"/>
                      <wp:effectExtent l="0" t="0" r="16510" b="18415"/>
                      <wp:docPr id="2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IMG_277"/>
                              <pic:cNvPicPr>
                                <a:picLocks noChangeAspect="1"/>
                              </pic:cNvPicPr>
                              <pic:nvPr/>
                            </pic:nvPicPr>
                            <pic:blipFill>
                              <a:blip r:embed="rId33"/>
                              <a:stretch/>
                            </pic:blipFill>
                            <pic:spPr bwMode="auto">
                              <a:xfrm>
                                <a:off x="0" y="0"/>
                                <a:ext cx="745490" cy="838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66.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桌子</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660*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640-790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椅子</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395*</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390*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课桌：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A.ABS原料桌面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1.材质：采用环保高抗冲耐高温ABS原料粒子一次新料一体射出成型，耐冲击强度须能承受10磅榔头重力锤击不得破裂，不得采用回收料生产。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2.桌面尺寸：660mm×470mm×25mm，桌面四周厚度≥5mm。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(1)桌面靠胸前端处有下沿沙滩式设计。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(2)四周及底部完全不得有毛边。</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(3)表面得需有细蚀纹(咬花),不得有反光现象。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(4)桌面前端处设置一个长方形的文具槽；总尺寸：长500mm×宽30mm×下深4mm；文具槽分为左右两段，左侧180mm，右侧320mm；为便于文具管理，在文具槽中间设计隔断，可固定笔的位置；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（5）文具槽后方有一条从0-50</w:t>
            </w:r>
            <w:r>
              <w:rPr>
                <w:rFonts w:hint="eastAsia" w:ascii="宋体" w:hAnsi="宋体" w:cs="宋体"/>
                <w:b w:val="0"/>
                <w:bCs w:val="0"/>
                <w:i w:val="0"/>
                <w:iCs w:val="0"/>
                <w:color w:val="000000"/>
                <w:sz w:val="18"/>
                <w:szCs w:val="18"/>
                <w:highlight w:val="none"/>
                <w:u w:val="none"/>
                <w:lang w:val="en-US" w:eastAsia="zh-CN" w:bidi="ar"/>
              </w:rPr>
              <w:t xml:space="preserve">cm</w:t>
            </w:r>
            <w:r>
              <w:rPr>
                <w:rFonts w:hint="eastAsia" w:ascii="宋体" w:hAnsi="宋体" w:eastAsia="宋体" w:cs="宋体"/>
                <w:b w:val="0"/>
                <w:bCs w:val="0"/>
                <w:i w:val="0"/>
                <w:iCs w:val="0"/>
                <w:color w:val="000000"/>
                <w:sz w:val="18"/>
                <w:szCs w:val="18"/>
                <w:highlight w:val="none"/>
                <w:u w:val="none"/>
                <w:lang w:val="en-US" w:eastAsia="zh-CN" w:bidi="ar"/>
              </w:rPr>
              <w:t xml:space="preserve">刻度，刻度向上凸起有质感，并与桌面一体注塑成型，不得采用激光打印及丝网印刷。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）课桌面板左右设有一条长375mm*宽10mm的防滑落凸条。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7</w:t>
            </w:r>
            <w:r>
              <w:rPr>
                <w:rFonts w:hint="eastAsia" w:ascii="宋体" w:hAnsi="宋体" w:eastAsia="宋体" w:cs="宋体"/>
                <w:b w:val="0"/>
                <w:bCs w:val="0"/>
                <w:i w:val="0"/>
                <w:iCs w:val="0"/>
                <w:color w:val="000000"/>
                <w:sz w:val="18"/>
                <w:szCs w:val="18"/>
                <w:highlight w:val="none"/>
                <w:u w:val="none"/>
                <w:lang w:val="en-US" w:eastAsia="zh-CN" w:bidi="ar"/>
              </w:rPr>
              <w:t xml:space="preserve">）面板正前方设有一条长660mm*宽10mm的防滑落凸条与左右两边防滑落凸条相连接。</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8</w:t>
            </w:r>
            <w:r>
              <w:rPr>
                <w:rFonts w:hint="eastAsia" w:ascii="宋体" w:hAnsi="宋体" w:eastAsia="宋体" w:cs="宋体"/>
                <w:b w:val="0"/>
                <w:bCs w:val="0"/>
                <w:i w:val="0"/>
                <w:iCs w:val="0"/>
                <w:color w:val="000000"/>
                <w:sz w:val="18"/>
                <w:szCs w:val="18"/>
                <w:highlight w:val="none"/>
                <w:u w:val="none"/>
                <w:lang w:val="en-US" w:eastAsia="zh-CN" w:bidi="ar"/>
              </w:rPr>
              <w:t xml:space="preserve">）桌面与桌斗采用11颗304不锈钢紧固件固定，达到稳固效果。</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9</w:t>
            </w:r>
            <w:r>
              <w:rPr>
                <w:rFonts w:hint="eastAsia" w:ascii="宋体" w:hAnsi="宋体" w:eastAsia="宋体" w:cs="宋体"/>
                <w:b w:val="0"/>
                <w:bCs w:val="0"/>
                <w:i w:val="0"/>
                <w:iCs w:val="0"/>
                <w:color w:val="000000"/>
                <w:sz w:val="18"/>
                <w:szCs w:val="18"/>
                <w:highlight w:val="none"/>
                <w:u w:val="none"/>
                <w:lang w:val="en-US" w:eastAsia="zh-CN" w:bidi="ar"/>
              </w:rPr>
              <w:t xml:space="preserve">）桌面左侧配有一个向下内嵌式圆形水杯槽，尺寸：直径60mm。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4.组合设计：面板底部有強化承重之设计。锁入钢管支撑，并与面板底部平齐。尺寸规格为30mm×500mm×15mm×壁厚1.5mm。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B、书箱要求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2.外径尺寸：540mm×370mm×145mm（长宽高）。</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内径尺寸：445mm×360mm×前140mm（后端150mm）（长宽高）。</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1）书箱内部前沿设有笔槽；(2)书箱内部不设置任何排水槽，须为平面；（3）书箱两侧有配有凸出30mm的一体式挂钩；（4）书箱内倾式设计，由前向后倾斜10mm；（5）书箱前面与两侧除了挂钩外也须为平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C、桌钢架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1、材质及形状：采用椭圆形亮光钢管组合焊接而成，结构得需牢固，长时间使用不得产生摇晃、松散的现象。焊接完成之钢管架，焊接部位得需牢固，需无脱焊、虚焊、焊穿。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2、尺寸：桌脚贴地承重钢管尺寸为30mm×60mm×壁厚1.5mm；；桌脚横型钢管尺寸为25mm×50mm×厚1.2mm；桌脚上部固定立管钢管尺寸为30mm×70mm×壁厚1.2mm；桌脚上部活动立管钢管尺寸为20mm×60mm×壁厚1.2mm。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桌架为手摇升降结构，在桌腿和桌面支撑架内设有高低调节装置包括设在两条桌腿内的螺杆、带内螺纹的方管、轴承、伞型齿轮、传动轴、杆套、摇柄及连接两传动轴的六角型升降合金铝杆；两头升降器用六角形配件连接，连接杆穿在25</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×50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的桌脚横型钢管内；升降范围640mm-790mm，可以在几秒钟之内完成和椅子的最合适高度。课桌腿之间装有PP原料一次成型的中间套，确保上下升降调节灵活、便捷、顺畅（为呵护学生的安全，桌子手摇组件必须置于桌子腿架管内，不可有外露部分，离地面145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2、升降刻度要求：采用激光镭射工艺。确保标记图文清晰度高，并达到永久性标记，不淡化、不模糊、不脱落、不变形。（不得使用丝网印刷）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3、功能与工艺要求：课桌可调节的钢制脚架需清晰标记刻度尺，便于高度调整定位准确、快速。调整刻度从640mm～790mm共15个小层次，小层次间隔10mm，数字代表桌面离地高度,调节桌高可从640mm至790mm；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1、材质：采用PP原料粒子一体注塑成型，并用圆头十字自攻螺丝连接钢脚。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2.尺寸：长100mm×宽65mm×高40mm。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3、脚套底部配有调节孔位，可安装圆形调节螺丝，便于多环境下进行调平。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F、挂钩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2、尺寸：长20mm×深30mm×高30mm。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3、功能与工艺要求：书箱左右两侧得需各有</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一挂钩设计。左右挂钩得需与书箱一体成型。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不得采用螺丝锁附方式配置挂钩。在静止状态</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下可以承载10KG的挂物承重。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G、置物篮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1、材质：采用静电塑粉喷塑钢筋，制作完成的置物篮满焊焊接于桌腿上，置物篮底部离地140mm，焊接部位牢固，需无脱焊、虚焊、焊穿；焊缝均匀，需无毛棱、锐棱、飞溅、裂纹等缺陷。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2、尺寸：长400mm*深200mm*高180mm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课椅：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A、坐垫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1、材质及形状：采用椭圆形亮光钢管组合焊接而成，结构得需牢固，长时间使用不得产生摇晃、松散的现象。焊接完成之钢管架，焊接部位得需牢固，需无脱焊、虚焊、焊穿。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1、材质：采用PP原料粒子一体注塑成型，并用圆头十字自攻螺丝连接钢脚。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2.尺寸：长100mm×宽65mm×高40mm。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3、脚套底部配有调节孔位，可安装圆形调节螺丝，便于多环境下进行调平。</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2305" cy="1182370"/>
                      <wp:effectExtent l="0" t="0" r="4445" b="17780"/>
                      <wp:docPr id="24"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descr="IMG_278"/>
                              <pic:cNvPicPr>
                                <a:picLocks noChangeAspect="1"/>
                              </pic:cNvPicPr>
                              <pic:nvPr/>
                            </pic:nvPicPr>
                            <pic:blipFill>
                              <a:blip r:embed="rId34"/>
                              <a:stretch/>
                            </pic:blipFill>
                            <pic:spPr bwMode="auto">
                              <a:xfrm>
                                <a:off x="0" y="0"/>
                                <a:ext cx="662305" cy="11823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2.1pt;height:93.1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长1100*宽600*高1030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3、钢板件：采用优质1.0-1.2mm厚冷轧钢，喷涂前使用优质环保磷化液前处理，钢制部件整体使用优质环保塑粉静电喷涂，高温固化，确保质量完美；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件：中性盐雾试验耐腐蚀等级达到10级，耐久性符合国家标准。5、采用一体化设计外观彰显时尚感，三面环抱式设计，讲台桌面高度合适老师放置教学用品，桌面平整，边缘光滑，无棱角处理，保护师生安全。抽屉采用优质滑轨承重能力强，不易变形。6、底部配备可调节升降底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清洁柜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5160" cy="909955"/>
                      <wp:effectExtent l="0" t="0" r="2540" b="4445"/>
                      <wp:docPr id="2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descr="IMG_279"/>
                              <pic:cNvPicPr>
                                <a:picLocks noChangeAspect="1"/>
                              </pic:cNvPicPr>
                              <pic:nvPr/>
                            </pic:nvPicPr>
                            <pic:blipFill>
                              <a:blip r:embed="rId35"/>
                              <a:stretch/>
                            </pic:blipFill>
                            <pic:spPr bwMode="auto">
                              <a:xfrm>
                                <a:off x="0" y="0"/>
                                <a:ext cx="645159" cy="90995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0.8pt;height:71.6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5"/>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阻燃超纤皮，静曲强度、弹性模量、内结合强度、表面胶合强度均要求合格。甲醛释放量符合检测结果，TVOC（总挥发性有机化合物）含量符合国家标准。2、封边：采用同色PVC封边，无缝封边，具有良好的耐气候性能，不易受环境、温度变化而产生收缩、膨胀的问题。封边处无脱胶、鼓泡、透胶、露底。甲醛释放量符合检测结果。</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批改桌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13740"/>
                      <wp:effectExtent l="0" t="0" r="0" b="10160"/>
                      <wp:docPr id="2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descr="IMG_280"/>
                              <pic:cNvPicPr>
                                <a:picLocks noChangeAspect="1"/>
                              </pic:cNvPicPr>
                              <pic:nvPr/>
                            </pic:nvPicPr>
                            <pic:blipFill>
                              <a:blip r:embed="rId36"/>
                              <a:stretch/>
                            </pic:blipFill>
                            <pic:spPr bwMode="auto">
                              <a:xfrm>
                                <a:off x="0" y="0"/>
                                <a:ext cx="609600" cy="7137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0pt;height:56.2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主桌</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750/侧柜</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6"/>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2、基材：采用优质E0级三聚氰胺板,优质绿色环保产品,符合国家标准，甲醛释放量，总挥发物有机化合物合格。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5、钢制件：采用优质1.5mm厚冷轧钢管及1.0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厚冷轧钢板，喷涂前使用优质环保磷化液前处理，钢制部件整体使用优质环保塑粉静电喷涂，高温固化，确保质量完美；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批改椅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7525" cy="741045"/>
                      <wp:effectExtent l="0" t="0" r="15875" b="1905"/>
                      <wp:docPr id="27"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descr="IMG_281"/>
                              <pic:cNvPicPr>
                                <a:picLocks noChangeAspect="1"/>
                              </pic:cNvPicPr>
                              <pic:nvPr/>
                            </pic:nvPicPr>
                            <pic:blipFill>
                              <a:blip r:embed="rId37"/>
                              <a:stretch/>
                            </pic:blipFill>
                            <pic:spPr bwMode="auto">
                              <a:xfrm>
                                <a:off x="0" y="0"/>
                                <a:ext cx="517525" cy="7410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0.8pt;height:58.3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长480*宽540*高850（座高450）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1、椅架：优质榉木椅脚，较高的光泽度，质地细密，不易吸水，耐腐蚀，强度大，稳定性强，断裂强度高、抗震能力特别强，结实耐用，使用年限长。表面清漆处理，符合国家环保标准。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2、椅背：全新PP+玻纤，座背一体成型，背部孔洞造型设计，外观简约，通过材料性质实现靠背倾仰，舒缓背部压力，表面晒纹处理，质感好3、脚塞：防滑塑料胶塞，保护地板不受伤害，移动时减少噪音</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145" cy="474345"/>
                      <wp:effectExtent l="0" t="0" r="14604" b="1905"/>
                      <wp:docPr id="2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descr="IMG_282"/>
                              <pic:cNvPicPr>
                                <a:picLocks noChangeAspect="1"/>
                              </pic:cNvPicPr>
                              <pic:nvPr/>
                            </pic:nvPicPr>
                            <pic:blipFill>
                              <a:blip r:embed="rId38"/>
                              <a:stretch/>
                            </pic:blipFill>
                            <pic:spPr bwMode="auto">
                              <a:xfrm>
                                <a:off x="0" y="0"/>
                                <a:ext cx="652145" cy="474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1.3pt;height:37.4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长2700*宽360*高1900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7"/>
              </w:numPr>
              <w:jc w:val="left"/>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基材采用优质冷轧钢板。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2、整体焊接成型，焊点牢固、平滑、美观，无气孔、脱焊、虚焊现象。表面应无毛刺、光滑、平整，不得有尖角、划口、凸起。外观要求符合</w:t>
            </w:r>
            <w:r>
              <w:rPr>
                <w:rFonts w:hint="eastAsia" w:ascii="宋体" w:hAnsi="宋体" w:cs="宋体"/>
                <w:b w:val="0"/>
                <w:bCs w:val="0"/>
                <w:i w:val="0"/>
                <w:iCs w:val="0"/>
                <w:color w:val="000000"/>
                <w:sz w:val="18"/>
                <w:szCs w:val="18"/>
                <w:highlight w:val="none"/>
                <w:u w:val="none"/>
                <w:lang w:val="en-US" w:eastAsia="zh-CN" w:bidi="ar"/>
              </w:rPr>
              <w:t xml:space="preserve">国家标准要求。</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3、钢板表面经酸洗、磷化、静电喷涂处理，静电喷涂采用环保型热固性粉末，喷涂漆膜厚度≥60um，涂层应光滑均匀</w:t>
            </w:r>
            <w:r>
              <w:rPr>
                <w:rFonts w:hint="eastAsia" w:ascii="宋体" w:hAnsi="宋体" w:eastAsia="宋体" w:cs="宋体"/>
                <w:b w:val="0"/>
                <w:bCs w:val="0"/>
                <w:i w:val="0"/>
                <w:iCs w:val="0"/>
                <w:color w:val="auto"/>
                <w:sz w:val="18"/>
                <w:szCs w:val="18"/>
                <w:highlight w:val="none"/>
                <w:u w:val="none"/>
                <w:lang w:val="en-US" w:eastAsia="zh-CN" w:bidi="ar"/>
              </w:rPr>
              <w:t xml:space="preserve">，色泽一致，应无流挂、疙瘩、皱皮、飞漆等缺陷。喷涂后理化性能符合</w:t>
            </w:r>
            <w:r>
              <w:rPr>
                <w:rFonts w:hint="eastAsia" w:ascii="宋体" w:hAnsi="宋体" w:cs="宋体"/>
                <w:b w:val="0"/>
                <w:bCs w:val="0"/>
                <w:i w:val="0"/>
                <w:iCs w:val="0"/>
                <w:color w:val="auto"/>
                <w:sz w:val="18"/>
                <w:szCs w:val="18"/>
                <w:highlight w:val="none"/>
                <w:u w:val="none"/>
                <w:lang w:val="en-US" w:eastAsia="zh-CN" w:bidi="ar"/>
              </w:rPr>
              <w:t xml:space="preserve">国家</w:t>
            </w:r>
            <w:r>
              <w:rPr>
                <w:rFonts w:hint="eastAsia" w:ascii="宋体" w:hAnsi="宋体" w:eastAsia="宋体" w:cs="宋体"/>
                <w:b w:val="0"/>
                <w:bCs w:val="0"/>
                <w:i w:val="0"/>
                <w:iCs w:val="0"/>
                <w:color w:val="auto"/>
                <w:sz w:val="18"/>
                <w:szCs w:val="18"/>
                <w:highlight w:val="none"/>
                <w:u w:val="none"/>
                <w:lang w:val="en-US" w:eastAsia="zh-CN" w:bidi="ar"/>
              </w:rPr>
              <w:t xml:space="preserve">标准要求。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3735" cy="1041400"/>
                      <wp:effectExtent l="0" t="0" r="12065" b="6350"/>
                      <wp:docPr id="2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descr="IMG_283"/>
                              <pic:cNvPicPr>
                                <a:picLocks noChangeAspect="1"/>
                              </pic:cNvPicPr>
                              <pic:nvPr/>
                            </pic:nvPicPr>
                            <pic:blipFill>
                              <a:blip r:embed="rId39"/>
                              <a:stretch/>
                            </pic:blipFill>
                            <pic:spPr bwMode="auto">
                              <a:xfrm>
                                <a:off x="0" y="0"/>
                                <a:ext cx="673735" cy="1041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3.0pt;height:82.0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产品采用优质冷轧钢精装盒板，厚度0.8以上，冷轧钢板符合GB/T4336-2016《碳素钢和中低合金钢》、GB/T700-2006《碳素结构钢》、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2、酸洗磷化工艺处理，防生锈，耐压强度大，抗冲击不易变形；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3、粉末：采用静电热固粉末，符合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，卤代烃总和含量未检出，多环芳径总和含量未检出，可溶性镉未检出，总铅未检出，可溶性铬未检出，可溶性汞未检出，耐酸性（3%HC1,23℃，240H）未出现异常，划格试验达到1级或以上，光泽≥60。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4</w:t>
            </w:r>
            <w:r>
              <w:rPr>
                <w:rFonts w:hint="eastAsia" w:ascii="宋体" w:hAnsi="宋体" w:eastAsia="宋体" w:cs="宋体"/>
                <w:b w:val="0"/>
                <w:bCs w:val="0"/>
                <w:i w:val="0"/>
                <w:iCs w:val="0"/>
                <w:color w:val="000000"/>
                <w:sz w:val="18"/>
                <w:szCs w:val="18"/>
                <w:highlight w:val="none"/>
                <w:u w:val="none"/>
                <w:lang w:val="en-US" w:eastAsia="zh-CN" w:bidi="ar"/>
              </w:rPr>
              <w:t xml:space="preserve">、锁具采用优质锁，互开率不到千分之一；</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5</w:t>
            </w:r>
            <w:r>
              <w:rPr>
                <w:rFonts w:hint="eastAsia" w:ascii="宋体" w:hAnsi="宋体" w:eastAsia="宋体" w:cs="宋体"/>
                <w:b w:val="0"/>
                <w:bCs w:val="0"/>
                <w:i w:val="0"/>
                <w:iCs w:val="0"/>
                <w:color w:val="000000"/>
                <w:sz w:val="18"/>
                <w:szCs w:val="18"/>
                <w:highlight w:val="none"/>
                <w:u w:val="none"/>
                <w:lang w:val="en-US" w:eastAsia="zh-CN" w:bidi="ar"/>
              </w:rPr>
              <w:t xml:space="preserve">、拉手、塑料键采用ABS材料射出成型；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、柜子内部有支加强支柱，搁板为可调式，搁板扣孔排列紧密，间隙小，美观耐用，可使搁板承受大量的书籍资料而不易脱落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7</w:t>
            </w:r>
            <w:r>
              <w:rPr>
                <w:rFonts w:hint="eastAsia" w:ascii="宋体" w:hAnsi="宋体" w:eastAsia="宋体" w:cs="宋体"/>
                <w:b w:val="0"/>
                <w:bCs w:val="0"/>
                <w:i w:val="0"/>
                <w:iCs w:val="0"/>
                <w:color w:val="000000"/>
                <w:sz w:val="18"/>
                <w:szCs w:val="18"/>
                <w:highlight w:val="none"/>
                <w:u w:val="none"/>
                <w:lang w:val="en-US" w:eastAsia="zh-CN" w:bidi="ar"/>
              </w:rPr>
              <w:t xml:space="preserve">、采用电子密码锁</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20090" cy="466725"/>
                      <wp:effectExtent l="0" t="0" r="3810" b="9525"/>
                      <wp:docPr id="3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descr="IMG_284"/>
                              <pic:cNvPicPr>
                                <a:picLocks noChangeAspect="1"/>
                              </pic:cNvPicPr>
                              <pic:nvPr/>
                            </pic:nvPicPr>
                            <pic:blipFill>
                              <a:blip r:embed="rId40"/>
                              <a:stretch/>
                            </pic:blipFill>
                            <pic:spPr bwMode="auto">
                              <a:xfrm>
                                <a:off x="0" y="0"/>
                                <a:ext cx="72009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6.7pt;height:36.8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187</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1、材料及厚度：采用≥</w:t>
            </w:r>
            <w:r>
              <w:rPr>
                <w:rFonts w:hint="eastAsia" w:ascii="宋体" w:hAnsi="宋体" w:cs="宋体"/>
                <w:b w:val="0"/>
                <w:bCs w:val="0"/>
                <w:i w:val="0"/>
                <w:iCs w:val="0"/>
                <w:color w:val="000000"/>
                <w:sz w:val="18"/>
                <w:szCs w:val="18"/>
                <w:highlight w:val="none"/>
                <w:u w:val="none"/>
                <w:lang w:val="en-US" w:eastAsia="zh-CN" w:bidi="ar"/>
              </w:rPr>
              <w:t xml:space="preserve">1.0</w:t>
            </w:r>
            <w:r>
              <w:rPr>
                <w:rFonts w:hint="eastAsia" w:ascii="宋体" w:hAnsi="宋体" w:eastAsia="宋体" w:cs="宋体"/>
                <w:b w:val="0"/>
                <w:bCs w:val="0"/>
                <w:i w:val="0"/>
                <w:iCs w:val="0"/>
                <w:color w:val="000000"/>
                <w:sz w:val="18"/>
                <w:szCs w:val="18"/>
                <w:highlight w:val="none"/>
                <w:u w:val="none"/>
                <w:lang w:val="en-US" w:eastAsia="zh-CN" w:bidi="ar"/>
              </w:rPr>
              <w:t xml:space="preserve">MM厚一级冷轧钢板。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2、板式基材：采用优质E0级阻燃实芯理化板,优质绿色环保产品,符合国家标准，甲醛释放量，总挥发物有机化合物合格。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2、表面处理：采用静电粉末喷涂，涂层膜厚度均匀，内外一致，抗菌、防霉、耐酸碱、耐磨、耐撞击，抗腐蚀力强。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3、五金配件：采用优质五金配件，无锈蚀，具有足够的承载能力、耐腐蚀能力。</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4、设有电脑主机位置，门板带散热孔，木制键盘架。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控制台配</w:t>
            </w:r>
            <w:r>
              <w:rPr>
                <w:rFonts w:hint="eastAsia" w:ascii="宋体" w:hAnsi="宋体" w:eastAsia="宋体" w:cs="宋体"/>
                <w:b w:val="0"/>
                <w:bCs w:val="0"/>
                <w:i w:val="0"/>
                <w:iCs w:val="0"/>
                <w:color w:val="000000"/>
                <w:sz w:val="18"/>
                <w:szCs w:val="18"/>
                <w:highlight w:val="none"/>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34060"/>
                      <wp:effectExtent l="0" t="0" r="0" b="8890"/>
                      <wp:docPr id="3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IMG_285"/>
                              <pic:cNvPicPr>
                                <a:picLocks noChangeAspect="1"/>
                              </pic:cNvPicPr>
                              <pic:nvPr/>
                            </pic:nvPicPr>
                            <pic:blipFill>
                              <a:blip r:embed="rId41"/>
                              <a:stretch/>
                            </pic:blipFill>
                            <pic:spPr bwMode="auto">
                              <a:xfrm>
                                <a:off x="0" y="0"/>
                                <a:ext cx="609600" cy="734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0pt;height:57.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497205"/>
                      <wp:effectExtent l="0" t="0" r="13970" b="17145"/>
                      <wp:docPr id="3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descr="IMG_286"/>
                              <pic:cNvPicPr>
                                <a:picLocks noChangeAspect="1"/>
                              </pic:cNvPicPr>
                              <pic:nvPr/>
                            </pic:nvPicPr>
                            <pic:blipFill>
                              <a:blip r:embed="rId42"/>
                              <a:stretch/>
                            </pic:blipFill>
                            <pic:spPr bwMode="auto">
                              <a:xfrm>
                                <a:off x="0" y="0"/>
                                <a:ext cx="652780" cy="4972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1.4pt;height:39.1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1930*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8"/>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覆面材料：优质阻燃超纤皮，经液氨多道浸色及防潮、防腐等工艺处理，皮面手感柔软舒适，光泽持久，且透气性、韧性等理化指标更胜一筹，符合标准GB/T16799-2018《家具用皮革》；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2、内衬海绵：海绵采用优质高密度定型阻燃海绵，密度≥30KG/m³。海绵理化性及压膜量均符合标准GB/T10802-2023《通用软质聚氨酯泡沫塑料》，不塌陷、具有较好的回弹性；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3、框架：内框架采用</w:t>
            </w:r>
            <w:r>
              <w:rPr>
                <w:rFonts w:hint="eastAsia" w:ascii="宋体" w:hAnsi="宋体" w:cs="宋体"/>
                <w:b w:val="0"/>
                <w:bCs w:val="0"/>
                <w:i w:val="0"/>
                <w:iCs w:val="0"/>
                <w:color w:val="000000"/>
                <w:sz w:val="18"/>
                <w:szCs w:val="18"/>
                <w:highlight w:val="none"/>
                <w:u w:val="none"/>
                <w:lang w:val="en-US" w:eastAsia="zh-CN" w:bidi="ar"/>
              </w:rPr>
              <w:t xml:space="preserve">优质</w:t>
            </w:r>
            <w:r>
              <w:rPr>
                <w:rFonts w:hint="eastAsia" w:ascii="宋体" w:hAnsi="宋体" w:eastAsia="宋体" w:cs="宋体"/>
                <w:b w:val="0"/>
                <w:bCs w:val="0"/>
                <w:i w:val="0"/>
                <w:iCs w:val="0"/>
                <w:color w:val="000000"/>
                <w:sz w:val="18"/>
                <w:szCs w:val="18"/>
                <w:highlight w:val="none"/>
                <w:u w:val="none"/>
                <w:lang w:val="en-US" w:eastAsia="zh-CN" w:bidi="ar"/>
              </w:rPr>
              <w:t xml:space="preserve">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4、参考标准QB/T1952.1-2023《软体家具沙发》，产品用料加工、外观性能（面料、缝纫和包覆、木制件），力学性能、理化性能、安全性能（抗引燃特性）、产品有害物质甲醛释放量等都需符合国家标准。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w:t>
            </w:r>
            <w:r/>
          </w:p>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3000元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8500" cy="722630"/>
                      <wp:effectExtent l="0" t="0" r="6350" b="1270"/>
                      <wp:docPr id="33"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descr="IMG_287"/>
                              <pic:cNvPicPr>
                                <a:picLocks noChangeAspect="1"/>
                              </pic:cNvPicPr>
                              <pic:nvPr/>
                            </pic:nvPicPr>
                            <pic:blipFill>
                              <a:blip r:embed="rId43"/>
                              <a:stretch/>
                            </pic:blipFill>
                            <pic:spPr bwMode="auto">
                              <a:xfrm>
                                <a:off x="0" y="0"/>
                                <a:ext cx="698500" cy="7226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5.0pt;height:56.9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930*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9"/>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覆面材料：优质阻燃超纤皮，经液氨多道浸色及防潮、防腐等工艺处理，皮面手感柔软舒适，光泽持久，且透气性、韧性等理化指标更胜一筹，符合标准GB/T16799-2018《家具用皮革》；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2、内衬海绵：海绵采用优质高密度定型阻燃海绵，密度≥30KG/m³。海绵理化性及压膜量均符合标准GB/T10802-2023《通用软质聚氨酯泡沫塑料》，不塌陷、具有较好的回弹性；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3、框架：内框架采用</w:t>
            </w:r>
            <w:r>
              <w:rPr>
                <w:rFonts w:hint="eastAsia" w:ascii="宋体" w:hAnsi="宋体" w:cs="宋体"/>
                <w:b w:val="0"/>
                <w:bCs w:val="0"/>
                <w:i w:val="0"/>
                <w:iCs w:val="0"/>
                <w:color w:val="000000"/>
                <w:sz w:val="18"/>
                <w:szCs w:val="18"/>
                <w:highlight w:val="none"/>
                <w:u w:val="none"/>
                <w:lang w:val="en-US" w:eastAsia="zh-CN" w:bidi="ar"/>
              </w:rPr>
              <w:t xml:space="preserve">优质</w:t>
            </w:r>
            <w:r>
              <w:rPr>
                <w:rFonts w:hint="eastAsia" w:ascii="宋体" w:hAnsi="宋体" w:eastAsia="宋体" w:cs="宋体"/>
                <w:b w:val="0"/>
                <w:bCs w:val="0"/>
                <w:i w:val="0"/>
                <w:iCs w:val="0"/>
                <w:color w:val="000000"/>
                <w:sz w:val="18"/>
                <w:szCs w:val="18"/>
                <w:highlight w:val="none"/>
                <w:u w:val="none"/>
                <w:lang w:val="en-US" w:eastAsia="zh-CN" w:bidi="ar"/>
              </w:rPr>
              <w:t xml:space="preserve">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4、参考标准QB/T1952.1-2023《软体家具沙发》，产品用料加工、外观性能（面料、缝纫和包覆、木制件），力学性能、理化性能、安全性能（抗引燃特性）、产品有害物质甲醛释放量等都需符合国家标准。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最高限价1200元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8655" cy="433070"/>
                      <wp:effectExtent l="0" t="0" r="17145" b="5080"/>
                      <wp:docPr id="34"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descr="IMG_288"/>
                              <pic:cNvPicPr>
                                <a:picLocks noChangeAspect="1"/>
                              </pic:cNvPicPr>
                              <pic:nvPr/>
                            </pic:nvPicPr>
                            <pic:blipFill>
                              <a:blip r:embed="rId44"/>
                              <a:stretch/>
                            </pic:blipFill>
                            <pic:spPr bwMode="auto">
                              <a:xfrm>
                                <a:off x="0" y="0"/>
                                <a:ext cx="668655" cy="433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6pt;height:34.1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最高限价650元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890" cy="446405"/>
                      <wp:effectExtent l="0" t="0" r="3810" b="10795"/>
                      <wp:docPr id="3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descr="IMG_289"/>
                              <pic:cNvPicPr>
                                <a:picLocks noChangeAspect="1"/>
                              </pic:cNvPicPr>
                              <pic:nvPr/>
                            </pic:nvPicPr>
                            <pic:blipFill>
                              <a:blip r:embed="rId45"/>
                              <a:stretch/>
                            </pic:blipFill>
                            <pic:spPr bwMode="auto">
                              <a:xfrm>
                                <a:off x="0" y="0"/>
                                <a:ext cx="643890" cy="4464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0.7pt;height:35.1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序号34和35为一套，最高限价2600元/套(桌+椅)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5945" cy="694055"/>
                      <wp:effectExtent l="0" t="0" r="14604" b="10795"/>
                      <wp:docPr id="36"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descr="IMG_290"/>
                              <pic:cNvPicPr>
                                <a:picLocks noChangeAspect="1"/>
                              </pic:cNvPicPr>
                              <pic:nvPr/>
                            </pic:nvPicPr>
                            <pic:blipFill>
                              <a:blip r:embed="rId46"/>
                              <a:stretch/>
                            </pic:blipFill>
                            <pic:spPr bwMode="auto">
                              <a:xfrm>
                                <a:off x="0" y="0"/>
                                <a:ext cx="575945" cy="694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3pt;height:54.6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79780" cy="647065"/>
                      <wp:effectExtent l="0" t="0" r="1270" b="635"/>
                      <wp:docPr id="37"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6" descr="IMG_291"/>
                              <pic:cNvPicPr>
                                <a:picLocks noChangeAspect="1"/>
                              </pic:cNvPicPr>
                              <pic:nvPr/>
                            </pic:nvPicPr>
                            <pic:blipFill>
                              <a:blip r:embed="rId47"/>
                              <a:stretch/>
                            </pic:blipFill>
                            <pic:spPr bwMode="auto">
                              <a:xfrm>
                                <a:off x="0" y="0"/>
                                <a:ext cx="779780" cy="6470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1.4pt;height:50.9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top"/>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采用优质环保E0级刨花板，台面厚度25mm，其他厚度16mm，握钉力强，吸水膨胀率低，符合GB/T4897-2015标准，静曲强度≥14MPa，弹性模量≥2800MPa，内胶合强度≥0.5MPa，表面胶合强度≥1.2MPa，2h吸水厚度膨胀率≤0.8%，板面握螺钉力≥1000N，板边握螺钉力≥700N，甲醛释放量≤0.01mg/m³，产品有害物质（苯、甲苯、二甲苯）均未检出，总挥发性有机物（TVOC）≤18μg/m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3、封边：采用优质PVC树脂封边条同色封边，符合QB/T4463-2013标准要求，甲醛释放量符合国标，可溶性铅、可溶性铬、可溶性镉、可溶性汞、可溶性硒均为未检出，封边严密、平整、无脱胶、表面无胶渍。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5、钢制件：面托：3.0mm钢板冲压成型；横梁：40*30*1.2mm长方管；立柱：44*90*1.2mm八边形面包管；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底脚：一字形底脚，冲压完成，3.0mm；铁挡板：厚度1.0mm，冲孔、折弯、焊接完成；前钢制挡板，高度通底，保证隐私；</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6、脚轮：带刹车2.5英寸PU静音轮；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7、书网：采用ø16*1.0mm不锈钢圆管与塑胶件紧密扣合组成；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8、折叠方式：两侧采用圆形阻燃PP新料保护壳，可以手动旋钮机关，自动弹回卡位，扣合紧密；喷涂前使用优质环保磷化液前处理，钢制部件整体使用优质环保塑粉静电喷涂，高温固化，确保质量完美；</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5490" cy="745490"/>
                      <wp:effectExtent l="0" t="0" r="16510" b="16510"/>
                      <wp:docPr id="38"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descr="IMG_292"/>
                              <pic:cNvPicPr>
                                <a:picLocks noChangeAspect="1"/>
                              </pic:cNvPicPr>
                              <pic:nvPr/>
                            </pic:nvPicPr>
                            <pic:blipFill>
                              <a:blip r:embed="rId48"/>
                              <a:stretch/>
                            </pic:blipFill>
                            <pic:spPr bwMode="auto">
                              <a:xfrm>
                                <a:off x="0" y="0"/>
                                <a:ext cx="745490" cy="7454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8.7pt;height:58.7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630*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，摩擦色牢度≥4级；游离甲醛未检出VOC≤</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15mg/kg；禁用偶氮染料未检出，可萃取的重金属≤1mg/kg;经液态浸色及防潮、防污等工艺处理,皮面更加柔</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4、支撑架：2.0厚不锈钢支架。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多功能升降演讲台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3420" cy="890905"/>
                      <wp:effectExtent l="0" t="0" r="11430" b="4445"/>
                      <wp:docPr id="3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8" descr="IMG_293"/>
                              <pic:cNvPicPr>
                                <a:picLocks noChangeAspect="1"/>
                              </pic:cNvPicPr>
                              <pic:nvPr/>
                            </pic:nvPicPr>
                            <pic:blipFill>
                              <a:blip r:embed="rId49"/>
                              <a:stretch/>
                            </pic:blipFill>
                            <pic:spPr bwMode="auto">
                              <a:xfrm>
                                <a:off x="0" y="0"/>
                                <a:ext cx="693420" cy="8909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70.1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690-1080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1"/>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2、桌面基材：采用优质E0级阻燃超纤皮,尺寸：750*500*18mm，符合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3、桌面封边：采用优质PVC树脂封边条同色封边，符合QB/T4463-2013标准要求，甲醛释放量，可溶性铅、可溶性铬、可溶性镉、可溶性汞、可溶性硒均为未检出，封边严密、平整、无脱胶、表面无胶渍。</w:t>
            </w:r>
            <w:r/>
          </w:p>
          <w:p>
            <w:pPr>
              <w:numPr>
                <w:ilvl w:val="0"/>
                <w:numId w:val="4"/>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上挡板：采用E0级阻燃超纤皮，四周油漆封边，</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5</w:t>
            </w:r>
            <w:r>
              <w:rPr>
                <w:rFonts w:hint="eastAsia" w:ascii="宋体" w:hAnsi="宋体" w:eastAsia="宋体" w:cs="宋体"/>
                <w:b w:val="0"/>
                <w:bCs w:val="0"/>
                <w:i w:val="0"/>
                <w:iCs w:val="0"/>
                <w:color w:val="000000"/>
                <w:sz w:val="18"/>
                <w:szCs w:val="18"/>
                <w:highlight w:val="none"/>
                <w:u w:val="none"/>
                <w:lang w:val="en-US" w:eastAsia="zh-CN" w:bidi="ar"/>
              </w:rPr>
              <w:t xml:space="preserve">、采用环保型白乳胶，符合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、钢架：采用优质1.5mm厚冷轧钢管/钢板，喷涂前使用优质环保磷化液前处理，钢制部件整体使用优质环保塑粉静电喷涂，高温固化，确保质量完美；</w:t>
            </w:r>
            <w:r/>
          </w:p>
          <w:p>
            <w:pPr>
              <w:numPr>
                <w:ilvl w:val="0"/>
                <w:numId w:val="12"/>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五金件：中性盐雾试验耐腐蚀等级达到10级，耐久性符合国家标准。</w:t>
            </w:r>
            <w:r>
              <w:rPr>
                <w:rFonts w:hint="eastAsia" w:ascii="宋体" w:hAnsi="宋体" w:cs="宋体"/>
                <w:b w:val="0"/>
                <w:bCs w:val="0"/>
                <w:i w:val="0"/>
                <w:iCs w:val="0"/>
                <w:color w:val="000000"/>
                <w:sz w:val="18"/>
                <w:szCs w:val="18"/>
                <w:highlight w:val="none"/>
                <w:u w:val="none"/>
                <w:lang w:val="en-US" w:eastAsia="zh-CN" w:bidi="ar"/>
              </w:rPr>
              <w:t xml:space="preserve">8</w:t>
            </w:r>
            <w:r>
              <w:rPr>
                <w:rFonts w:hint="eastAsia" w:ascii="宋体" w:hAnsi="宋体" w:eastAsia="宋体" w:cs="宋体"/>
                <w:b w:val="0"/>
                <w:bCs w:val="0"/>
                <w:i w:val="0"/>
                <w:iCs w:val="0"/>
                <w:color w:val="000000"/>
                <w:sz w:val="18"/>
                <w:szCs w:val="18"/>
                <w:highlight w:val="none"/>
                <w:u w:val="none"/>
                <w:lang w:val="en-US" w:eastAsia="zh-CN" w:bidi="ar"/>
              </w:rPr>
              <w:t xml:space="preserve">、轮子:采用优质万向轮，2轮可锁定。</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9</w:t>
            </w:r>
            <w:r>
              <w:rPr>
                <w:rFonts w:hint="eastAsia" w:ascii="宋体" w:hAnsi="宋体" w:eastAsia="宋体" w:cs="宋体"/>
                <w:b w:val="0"/>
                <w:bCs w:val="0"/>
                <w:i w:val="0"/>
                <w:iCs w:val="0"/>
                <w:color w:val="000000"/>
                <w:sz w:val="18"/>
                <w:szCs w:val="18"/>
                <w:highlight w:val="none"/>
                <w:u w:val="none"/>
                <w:lang w:val="en-US" w:eastAsia="zh-CN" w:bidi="ar"/>
              </w:rPr>
              <w:t xml:space="preserve">、前侧配有抽屉，材质为PP塑料。</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移动条桌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8180" cy="593725"/>
                      <wp:effectExtent l="0" t="0" r="7620" b="15875"/>
                      <wp:docPr id="40"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descr="IMG_294"/>
                              <pic:cNvPicPr>
                                <a:picLocks noChangeAspect="1"/>
                              </pic:cNvPicPr>
                              <pic:nvPr/>
                            </pic:nvPicPr>
                            <pic:blipFill>
                              <a:blip r:embed="rId50"/>
                              <a:stretch/>
                            </pic:blipFill>
                            <pic:spPr bwMode="auto">
                              <a:xfrm>
                                <a:off x="0" y="0"/>
                                <a:ext cx="678180" cy="593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3.4pt;height:46.8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1300*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480*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top"/>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采用优质环保E0级刨花板，台面厚度25mm，其他厚度16mm，握钉力强，吸水膨胀率低，符合GB/T4897-2015标准，静曲强度≥14MPa，弹性模量≥2800MPa，内胶合强度≥0.5MPa，表面胶合强度≥1.2MPa，2h吸水厚度膨胀率≤0.8%，板面握螺钉力≥1000N，板边握螺钉力≥700N，甲醛释放量≤0.01mg/m³，产品有害物质（苯、甲苯、二甲苯）均未检出，总挥发性有机物（TVOC）≤18μg/m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3、封边：采用优质PVC树脂封边条同色封边，符合QB/T4463-2013标准要求，甲醛释放量符合国标，可溶性铅、可溶性铬、可溶性镉、可溶性汞、可溶性硒均为未检出，封边严密、平整、无脱胶、表面无胶渍。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5、钢制件：面托：3.0mm钢板冲压成型；横梁：40*30*1.2mm长方管；立柱：44*90*1.2mm八边形面包管；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底脚：一字形底脚，冲压完成，3.0mm；铁挡板：厚度1.0mm，冲孔、折弯、焊接完成；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6、脚轮：带刹车2.5英寸PU静音轮；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7、书网：采用ø16*1.0mm不锈钢圆管与塑胶件紧密扣合组成；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8、折叠方式：手动旋钮机关，自动弹回卡位，扣合紧密；喷涂前使用优质环保磷化液前处理，钢制部件整体使用优质环保塑粉静电喷涂，高温固化，确保质量完美；</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85800" cy="1106805"/>
                      <wp:effectExtent l="0" t="0" r="0" b="17145"/>
                      <wp:docPr id="41"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descr="IMG_295"/>
                              <pic:cNvPicPr>
                                <a:picLocks noChangeAspect="1"/>
                              </pic:cNvPicPr>
                              <pic:nvPr/>
                            </pic:nvPicPr>
                            <pic:blipFill>
                              <a:blip r:embed="rId51"/>
                              <a:stretch/>
                            </pic:blipFill>
                            <pic:spPr bwMode="auto">
                              <a:xfrm>
                                <a:off x="0" y="0"/>
                                <a:ext cx="685800" cy="11068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4.0pt;height:87.1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长</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570深：</w:t>
            </w:r>
            <w:r>
              <w:rPr>
                <w:rFonts w:hint="eastAsia" w:ascii="宋体" w:hAnsi="宋体" w:cs="宋体"/>
                <w:b w:val="0"/>
                <w:bCs w:val="0"/>
                <w:i w:val="0"/>
                <w:iCs w:val="0"/>
                <w:color w:val="000000"/>
                <w:sz w:val="18"/>
                <w:szCs w:val="18"/>
                <w:highlight w:val="none"/>
                <w:u w:val="none"/>
                <w:lang w:val="en-US" w:eastAsia="zh-CN" w:bidi="ar"/>
              </w:rPr>
              <w:t xml:space="preserve">720</w:t>
            </w:r>
            <w:r>
              <w:rPr>
                <w:rFonts w:hint="eastAsia" w:ascii="宋体" w:hAnsi="宋体" w:eastAsia="宋体" w:cs="宋体"/>
                <w:b w:val="0"/>
                <w:bCs w:val="0"/>
                <w:i w:val="0"/>
                <w:iCs w:val="0"/>
                <w:color w:val="000000"/>
                <w:sz w:val="18"/>
                <w:szCs w:val="18"/>
                <w:highlight w:val="none"/>
                <w:u w:val="none"/>
                <w:lang w:val="en-US" w:eastAsia="zh-CN" w:bidi="ar"/>
              </w:rPr>
              <w:t xml:space="preserve">，总高1050，座高：440，扶手离地高640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产品规格：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1.产品尺寸：中心距：570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，座内宽：510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，座深：470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，座高：440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，扶手高：640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，扶手宽：60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，全高：1050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，全深（座收缩）：56</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，整体深度（座包打开）：72</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，全深（展开写字板）：850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；误差：±5-10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；建议最小行距：900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2.座、背海绵：采用冷发泡定型海绵，高密度（45KG/m3）,使座椅在长时间使用下不变形，舒适度好，回弹性好，永不变形。背海绵长70</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，宽460mm，上部厚110mm±5mm，座海绵宽450mm，前部厚140mm。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3.背外板：采用优质高密度硬木七层弯曲木板，外覆榉木皮，油面采用环保漆，整体美观大方抗变形。背板长760±5mm，上宽44</w:t>
            </w:r>
            <w:r>
              <w:rPr>
                <w:rFonts w:hint="eastAsia" w:ascii="宋体" w:hAnsi="宋体" w:cs="宋体"/>
                <w:b w:val="0"/>
                <w:bCs w:val="0"/>
                <w:i w:val="0"/>
                <w:iCs w:val="0"/>
                <w:color w:val="000000"/>
                <w:sz w:val="18"/>
                <w:szCs w:val="18"/>
                <w:highlight w:val="none"/>
                <w:u w:val="none"/>
                <w:lang w:val="en-US" w:eastAsia="zh-CN" w:bidi="ar"/>
              </w:rPr>
              <w:t xml:space="preserve">0m</w:t>
            </w:r>
            <w:r>
              <w:rPr>
                <w:rFonts w:hint="eastAsia" w:ascii="宋体" w:hAnsi="宋体" w:eastAsia="宋体" w:cs="宋体"/>
                <w:b w:val="0"/>
                <w:bCs w:val="0"/>
                <w:i w:val="0"/>
                <w:iCs w:val="0"/>
                <w:color w:val="000000"/>
                <w:sz w:val="18"/>
                <w:szCs w:val="18"/>
                <w:highlight w:val="none"/>
                <w:u w:val="none"/>
                <w:lang w:val="en-US" w:eastAsia="zh-CN" w:bidi="ar"/>
              </w:rPr>
              <w:t xml:space="preserve">m，下部宽50</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±5mm，厚度为16mm。座板上设有多个吸音孔，采用独特的吸音设计。座底板长42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±5mm，宽42</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，厚度为12mm。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4.座外板：采用优质高密度硬木多层板经模具压注成型，再经修边、打磨、油漆处理，座板面上制有消音孔，以加强座椅的吸音功能；厚度为12mm。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铝合金支撑脚：站脚采用优质铝合金模具压铸。脚架侧面同时增加了弧线设计，使整个脚架更有立体感。底脚造型为工字造型，与脚架上部整体内嵌，使得站脚在结构坚固的同时更加美观。脚架表面处理经防氧化处理后再经高温喷涂处理，使粉末附着力更强，保证脚架耐腐蚀、不生锈、不褪色。脚架总高度：640mm，顶端长度420mm,宽度60mm。脚掌总长34</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mm,宽50mm，其脚板地脚孔前后中心孔距410mm，脚下端椭圆支点在底部，造型美观，设计符合力学及人体工程学原理，受力均匀，抗冲击、经久耐用，脚架两侧带有加强筋，从而加强座椅的受力点以及承受力度，扶手侧面护板外扣式，分上下二块。采用3mm密度板外覆海绵及优质毛麻面料，保证产品的质量牢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6.扶手面：扶手采用优质橡胶木，四周半椭圆形与脚架衔接并内嵌入于脚架，规格</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40</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50mm，厚度不低于15mm，同时采用脱水干燥缓冲处理，外履环保漆后能有效的耐磨、耐污、不易退色。</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7.写字板：采用</w:t>
            </w:r>
            <w:r>
              <w:rPr>
                <w:rFonts w:hint="eastAsia" w:ascii="宋体" w:hAnsi="宋体" w:cs="宋体"/>
                <w:b w:val="0"/>
                <w:bCs w:val="0"/>
                <w:i w:val="0"/>
                <w:iCs w:val="0"/>
                <w:color w:val="000000"/>
                <w:sz w:val="18"/>
                <w:szCs w:val="18"/>
                <w:highlight w:val="none"/>
                <w:u w:val="none"/>
                <w:lang w:val="en-US" w:eastAsia="zh-CN" w:bidi="ar"/>
              </w:rPr>
              <w:t xml:space="preserve">防</w:t>
            </w:r>
            <w:r>
              <w:rPr>
                <w:rFonts w:hint="eastAsia" w:ascii="宋体" w:hAnsi="宋体" w:eastAsia="宋体" w:cs="宋体"/>
                <w:b w:val="0"/>
                <w:bCs w:val="0"/>
                <w:i w:val="0"/>
                <w:iCs w:val="0"/>
                <w:color w:val="000000"/>
                <w:sz w:val="18"/>
                <w:szCs w:val="18"/>
                <w:highlight w:val="none"/>
                <w:u w:val="none"/>
                <w:lang w:val="en-US" w:eastAsia="zh-CN" w:bidi="ar"/>
              </w:rPr>
              <w:t xml:space="preserve">火写字板，写字板转轴采用特有的定位装置，转轴旋转头为铝合金一体压铸成型，并具有快速自回收撤离功能；支撑连接部件为铁制冲压件成槽型与塑料部件铝件安装成一体，与站脚连接，上下翻动灵活。写字板规格尺寸为：260mm×265mm×12mm，（允许正负偏差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8.座回位装置：座内采用扭簧+阻尼器结构；回位缓慢翻起、耐用、无明显回位噪音。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9.座、背面料：采用优质专用布料（麻绒、细绒），耐磨，防褪色，柔软度适中。并可根据用户要求选配颜色。</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10.固定螺丝：采用隐藏式防锈静电喷涂的六角膨胀螺丝固定地面。</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密集架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3745" cy="385445"/>
                      <wp:effectExtent l="0" t="0" r="8255" b="14604"/>
                      <wp:docPr id="42"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1" descr="IMG_296"/>
                              <pic:cNvPicPr>
                                <a:picLocks noChangeAspect="1"/>
                              </pic:cNvPicPr>
                              <pic:nvPr/>
                            </pic:nvPicPr>
                            <pic:blipFill>
                              <a:blip r:embed="rId52"/>
                              <a:stretch/>
                            </pic:blipFill>
                            <pic:spPr bwMode="auto">
                              <a:xfrm>
                                <a:off x="0" y="0"/>
                                <a:ext cx="753745" cy="3854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9.3pt;height:30.3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长3750*宽580*高2400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1、底座：用优质冷轧钢制造，框狭式结构。采用中间传动，全轮驱动方式。车轮内装1204号双排精密轴承，传动轴为45号C20实心优质钢结构。</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2、轨道：轨道方钢采用20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优质冷轧方钢制造，轨道底座为三折弯工艺，采用优质冷轧钢制造。</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3、架体：采用优质冷轧钢板。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4.五金配件：采用优质五金配件，无锈蚀，具有足够的承载能力、耐腐蚀能力。</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5、表面处理：高温静电喷塑，优质聚酯性粉沫喷涂。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6、配置：摇手体总成、滚轮轴承：双向超越离合器结构，造型美观大方，手感舒适。+制动装置：+防震装置+防尘板、顶板+防倾装置</w:t>
            </w:r>
            <w:r>
              <w:rPr>
                <w:rFonts w:hint="eastAsia" w:ascii="宋体" w:hAnsi="宋体" w:cs="宋体"/>
                <w:b w:val="0"/>
                <w:bCs w:val="0"/>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玻璃开门储物柜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2770" cy="997585"/>
                      <wp:effectExtent l="0" t="0" r="17780" b="12065"/>
                      <wp:docPr id="43"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2" descr="IMG_297"/>
                              <pic:cNvPicPr>
                                <a:picLocks noChangeAspect="1"/>
                              </pic:cNvPicPr>
                              <pic:nvPr/>
                            </pic:nvPicPr>
                            <pic:blipFill>
                              <a:blip r:embed="rId53"/>
                              <a:stretch/>
                            </pic:blipFill>
                            <pic:spPr bwMode="auto">
                              <a:xfrm>
                                <a:off x="0" y="0"/>
                                <a:ext cx="572770" cy="997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1pt;height:78.5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长900*宽450*高2000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1、</w:t>
            </w: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2、</w:t>
            </w:r>
            <w:r>
              <w:rPr>
                <w:rFonts w:hint="eastAsia" w:ascii="宋体" w:hAnsi="宋体" w:eastAsia="宋体" w:cs="宋体"/>
                <w:b w:val="0"/>
                <w:bCs w:val="0"/>
                <w:i w:val="0"/>
                <w:iCs w:val="0"/>
                <w:color w:val="000000"/>
                <w:sz w:val="18"/>
                <w:szCs w:val="18"/>
                <w:highlight w:val="none"/>
                <w:u w:val="none"/>
                <w:lang w:val="en-US" w:eastAsia="zh-CN" w:bidi="ar"/>
              </w:rPr>
              <w:t xml:space="preserve">封边：采用同色PVC封边，无缝封边，具有良好的耐气候性能，不易受环境、温度变化而产生收缩、膨胀的问题。封边处无脱胶、鼓泡、透胶、露底。甲醛释放量符合检测结果。</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default"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管理员办公桌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71525" cy="552450"/>
                      <wp:effectExtent l="0" t="0" r="9525" b="0"/>
                      <wp:docPr id="44"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descr="IMG_298"/>
                              <pic:cNvPicPr>
                                <a:picLocks noChangeAspect="1"/>
                              </pic:cNvPicPr>
                              <pic:nvPr/>
                            </pic:nvPicPr>
                            <pic:blipFill>
                              <a:blip r:embed="rId54"/>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0.8pt;height:43.5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3"/>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序号43和44为一套，最高限价2600元/套(桌+椅)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5945" cy="694055"/>
                      <wp:effectExtent l="0" t="0" r="14604" b="10795"/>
                      <wp:docPr id="45"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descr="IMG_299"/>
                              <pic:cNvPicPr>
                                <a:picLocks noChangeAspect="1"/>
                              </pic:cNvPicPr>
                              <pic:nvPr/>
                            </pic:nvPicPr>
                            <pic:blipFill>
                              <a:blip r:embed="rId55"/>
                              <a:stretch/>
                            </pic:blipFill>
                            <pic:spPr bwMode="auto">
                              <a:xfrm>
                                <a:off x="0" y="0"/>
                                <a:ext cx="575945" cy="694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5.3pt;height:54.6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学生辅导椅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899160"/>
                      <wp:effectExtent l="0" t="0" r="4445" b="15240"/>
                      <wp:docPr id="46"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descr="IMG_300"/>
                              <pic:cNvPicPr>
                                <a:picLocks noChangeAspect="1"/>
                              </pic:cNvPicPr>
                              <pic:nvPr/>
                            </pic:nvPicPr>
                            <pic:blipFill>
                              <a:blip r:embed="rId56"/>
                              <a:stretch/>
                            </pic:blipFill>
                            <pic:spPr bwMode="auto">
                              <a:xfrm>
                                <a:off x="0" y="0"/>
                                <a:ext cx="643255" cy="8991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0.6pt;height:70.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长395*宽390*高（360-460）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A、靠背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2、尺寸：宽410mm×高340mm×侧深25mm。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3、功能：中间凹进0.5mm为四条透气孔，透气孔尺寸分别为40mm、70mm、105mm、140mm；靠背两边根据人类功效学设计各有三条斜通气长条，通气孔尺寸各为120mm、130mm、140mm；靠背采用插入式设计，可直接插入钢管；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2、尺寸：75mm×65mm×40mm×厚8mm。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探究桌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525145"/>
                      <wp:effectExtent l="0" t="0" r="6350" b="8255"/>
                      <wp:docPr id="47"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6" descr="IMG_301"/>
                              <pic:cNvPicPr>
                                <a:picLocks noChangeAspect="1"/>
                              </pic:cNvPicPr>
                              <pic:nvPr/>
                            </pic:nvPicPr>
                            <pic:blipFill>
                              <a:blip r:embed="rId57"/>
                              <a:stretch/>
                            </pic:blipFill>
                            <pic:spPr bwMode="auto">
                              <a:xfrm>
                                <a:off x="0" y="0"/>
                                <a:ext cx="660400" cy="525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2.0pt;height:41.4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1、基材：桌面采用25厚优质E0级三聚氰胺板,优质绿色环保产品,符合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厚冷轧钢管，喷涂前使用优质环保磷化液前处理，钢制部件整体使用优质环保塑粉静电喷涂，高温固化，确保质量完美；</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4、台面采用25mm厚，桌面采用圆弧形设计；</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5、底座带优质尼龙脚垫；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7545" cy="946785"/>
                      <wp:effectExtent l="0" t="0" r="8255" b="5715"/>
                      <wp:docPr id="48"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7" descr="IMG_302"/>
                              <pic:cNvPicPr>
                                <a:picLocks noChangeAspect="1"/>
                              </pic:cNvPicPr>
                              <pic:nvPr/>
                            </pic:nvPicPr>
                            <pic:blipFill>
                              <a:blip r:embed="rId58"/>
                              <a:stretch/>
                            </pic:blipFill>
                            <pic:spPr bwMode="auto">
                              <a:xfrm>
                                <a:off x="0" y="0"/>
                                <a:ext cx="677545" cy="946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3.3pt;height:74.5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长395*宽390*高（360-460）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A、靠背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2、尺寸：宽410mm×高340mm×侧深25mm。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3、功能：中间凹进0.5mm为四条透气孔，透气孔尺寸分别为40mm、70mm、105mm、140mm；靠背两边根据人类功效学设计各有三条斜通气长条，通气孔尺寸各为120mm、130mm、140mm；靠背采用插入式设计，可直接插入钢管；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2、尺寸：75mm×65mm×40mm×厚8mm。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探究桌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563880"/>
                      <wp:effectExtent l="0" t="0" r="13970" b="7620"/>
                      <wp:docPr id="49"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descr="IMG_303"/>
                              <pic:cNvPicPr>
                                <a:picLocks noChangeAspect="1"/>
                              </pic:cNvPicPr>
                              <pic:nvPr/>
                            </pic:nvPicPr>
                            <pic:blipFill>
                              <a:blip r:embed="rId59"/>
                              <a:stretch/>
                            </pic:blipFill>
                            <pic:spPr bwMode="auto">
                              <a:xfrm>
                                <a:off x="0" y="0"/>
                                <a:ext cx="652780" cy="563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1.4pt;height:44.4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加书包箱</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阅览桌（不要中间凹槽）</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18490" cy="485140"/>
                      <wp:effectExtent l="0" t="0" r="10160" b="10160"/>
                      <wp:docPr id="50"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9" descr="IMG_304"/>
                              <pic:cNvPicPr>
                                <a:picLocks noChangeAspect="1"/>
                              </pic:cNvPicPr>
                              <pic:nvPr/>
                            </pic:nvPicPr>
                            <pic:blipFill>
                              <a:blip r:embed="rId60"/>
                              <a:stretch/>
                            </pic:blipFill>
                            <pic:spPr bwMode="auto">
                              <a:xfrm>
                                <a:off x="0" y="0"/>
                                <a:ext cx="618490" cy="485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8.7pt;height:38.2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1000*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w:t>
            </w:r>
            <w:r>
              <w:rPr>
                <w:rFonts w:hint="eastAsia" w:ascii="宋体" w:hAnsi="宋体" w:cs="宋体"/>
                <w:b w:val="0"/>
                <w:bCs w:val="0"/>
                <w:i w:val="0"/>
                <w:iCs w:val="0"/>
                <w:color w:val="000000"/>
                <w:sz w:val="18"/>
                <w:szCs w:val="18"/>
                <w:highlight w:val="none"/>
                <w:u w:val="none"/>
                <w:lang w:val="en-US" w:eastAsia="zh-CN" w:bidi="ar"/>
              </w:rPr>
              <w:t xml:space="preserve">国标</w:t>
            </w:r>
            <w:r>
              <w:rPr>
                <w:rFonts w:hint="eastAsia" w:ascii="宋体" w:hAnsi="宋体" w:eastAsia="宋体" w:cs="宋体"/>
                <w:b w:val="0"/>
                <w:bCs w:val="0"/>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99745" cy="476885"/>
                      <wp:effectExtent l="0" t="0" r="14604" b="18415"/>
                      <wp:docPr id="51"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descr="IMG_305"/>
                              <pic:cNvPicPr>
                                <a:picLocks noChangeAspect="1"/>
                              </pic:cNvPicPr>
                              <pic:nvPr/>
                            </pic:nvPicPr>
                            <pic:blipFill>
                              <a:blip r:embed="rId61"/>
                              <a:stretch/>
                            </pic:blipFill>
                            <pic:spPr bwMode="auto">
                              <a:xfrm>
                                <a:off x="0" y="0"/>
                                <a:ext cx="499745" cy="476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9.4pt;height:37.5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420*475*790(坐高400）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w:t>
            </w:r>
            <w:r>
              <w:rPr>
                <w:rFonts w:hint="eastAsia" w:ascii="宋体" w:hAnsi="宋体" w:cs="宋体"/>
                <w:b w:val="0"/>
                <w:bCs w:val="0"/>
                <w:i w:val="0"/>
                <w:iCs w:val="0"/>
                <w:color w:val="000000"/>
                <w:sz w:val="18"/>
                <w:szCs w:val="18"/>
                <w:highlight w:val="none"/>
                <w:u w:val="none"/>
                <w:lang w:val="en-US" w:eastAsia="zh-CN" w:bidi="ar"/>
              </w:rPr>
              <w:t xml:space="preserve">国标</w:t>
            </w:r>
            <w:r>
              <w:rPr>
                <w:rFonts w:hint="eastAsia" w:ascii="宋体" w:hAnsi="宋体" w:eastAsia="宋体" w:cs="宋体"/>
                <w:b w:val="0"/>
                <w:bCs w:val="0"/>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圆形书架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8000" cy="444500"/>
                      <wp:effectExtent l="0" t="0" r="6350" b="12700"/>
                      <wp:docPr id="52"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descr="IMG_306"/>
                              <pic:cNvPicPr>
                                <a:picLocks noChangeAspect="1"/>
                              </pic:cNvPicPr>
                              <pic:nvPr/>
                            </pic:nvPicPr>
                            <pic:blipFill>
                              <a:blip r:embed="rId62"/>
                              <a:stretch/>
                            </pic:blipFill>
                            <pic:spPr bwMode="auto">
                              <a:xfrm>
                                <a:off x="0" y="0"/>
                                <a:ext cx="508000" cy="444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0.0pt;height:3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组合沙发书柜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482600"/>
                      <wp:effectExtent l="0" t="0" r="4445" b="12700"/>
                      <wp:docPr id="53"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descr="IMG_307"/>
                              <pic:cNvPicPr>
                                <a:picLocks noChangeAspect="1"/>
                              </pic:cNvPicPr>
                              <pic:nvPr/>
                            </pic:nvPicPr>
                            <pic:blipFill>
                              <a:blip r:embed="rId63"/>
                              <a:stretch/>
                            </pic:blipFill>
                            <pic:spPr bwMode="auto">
                              <a:xfrm>
                                <a:off x="0" y="0"/>
                                <a:ext cx="643255" cy="482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0.6pt;height:38.0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2660*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软包：1、采用西皮，甲醛、可萃取重金属（铅、镉）、可裂解出致癌芳香胺的偶氮染料、五氯苯酚均符合国家相关标准；无异常气味；色牢度（沾色）：耐水、耐酸汗液、耐碱汗液、耐干摩擦、耐唾液均复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柜子：1、基材：采用环保E0级刨花板，厚度16mm，握钉力强、吸水膨胀率低、静曲强度、弹性模量、内胶合强度，表面胶合强度、握螺钉力、甲醛释放量、总挥发性有机物符合国家相关标准。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8795" cy="848360"/>
                      <wp:effectExtent l="0" t="0" r="14604" b="8890"/>
                      <wp:docPr id="54"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descr="IMG_308"/>
                              <pic:cNvPicPr>
                                <a:picLocks noChangeAspect="1"/>
                              </pic:cNvPicPr>
                              <pic:nvPr/>
                            </pic:nvPicPr>
                            <pic:blipFill>
                              <a:blip r:embed="rId64"/>
                              <a:stretch/>
                            </pic:blipFill>
                            <pic:spPr bwMode="auto">
                              <a:xfrm>
                                <a:off x="0" y="0"/>
                                <a:ext cx="518795" cy="848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0.9pt;height:66.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3600*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多功能书柜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67690" cy="354965"/>
                      <wp:effectExtent l="0" t="0" r="3810" b="6985"/>
                      <wp:docPr id="55"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4" descr="IMG_309"/>
                              <pic:cNvPicPr>
                                <a:picLocks noChangeAspect="1"/>
                              </pic:cNvPicPr>
                              <pic:nvPr/>
                            </pic:nvPicPr>
                            <pic:blipFill>
                              <a:blip r:embed="rId65"/>
                              <a:stretch/>
                            </pic:blipFill>
                            <pic:spPr bwMode="auto">
                              <a:xfrm>
                                <a:off x="0" y="0"/>
                                <a:ext cx="567690" cy="354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4.7pt;height:27.9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2290" cy="320675"/>
                      <wp:effectExtent l="0" t="0" r="10160" b="3175"/>
                      <wp:docPr id="56"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5" descr="IMG_310"/>
                              <pic:cNvPicPr>
                                <a:picLocks noChangeAspect="1"/>
                              </pic:cNvPicPr>
                              <pic:nvPr/>
                            </pic:nvPicPr>
                            <pic:blipFill>
                              <a:blip r:embed="rId66"/>
                              <a:stretch/>
                            </pic:blipFill>
                            <pic:spPr bwMode="auto">
                              <a:xfrm>
                                <a:off x="0" y="0"/>
                                <a:ext cx="542290" cy="320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2.7pt;height:25.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2660*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书架沙发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6745" cy="213360"/>
                      <wp:effectExtent l="0" t="0" r="1905" b="15240"/>
                      <wp:docPr id="57"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descr="IMG_311"/>
                              <pic:cNvPicPr>
                                <a:picLocks noChangeAspect="1"/>
                              </pic:cNvPicPr>
                              <pic:nvPr/>
                            </pic:nvPicPr>
                            <pic:blipFill>
                              <a:blip r:embed="rId67"/>
                              <a:stretch/>
                            </pic:blipFill>
                            <pic:spPr bwMode="auto">
                              <a:xfrm>
                                <a:off x="0" y="0"/>
                                <a:ext cx="626745" cy="213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9.3pt;height:16.8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w:t>
            </w:r>
            <w:r>
              <w:rPr>
                <w:rFonts w:hint="eastAsia" w:ascii="宋体" w:hAnsi="宋体" w:cs="宋体"/>
                <w:b w:val="0"/>
                <w:bCs w:val="0"/>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w:t>
            </w:r>
            <w:r>
              <w:rPr>
                <w:rFonts w:hint="eastAsia" w:ascii="宋体" w:hAnsi="宋体" w:cs="宋体"/>
                <w:b w:val="0"/>
                <w:bCs w:val="0"/>
                <w:i w:val="0"/>
                <w:iCs w:val="0"/>
                <w:color w:val="000000"/>
                <w:sz w:val="18"/>
                <w:szCs w:val="18"/>
                <w:highlight w:val="none"/>
                <w:u w:val="none"/>
                <w:lang w:val="en-US" w:eastAsia="zh-CN" w:bidi="ar"/>
              </w:rPr>
              <w:t xml:space="preserve">超纤皮</w:t>
            </w:r>
            <w:r>
              <w:rPr>
                <w:rFonts w:hint="eastAsia" w:ascii="宋体" w:hAnsi="宋体" w:eastAsia="宋体" w:cs="宋体"/>
                <w:b w:val="0"/>
                <w:bCs w:val="0"/>
                <w:i w:val="0"/>
                <w:iCs w:val="0"/>
                <w:color w:val="000000"/>
                <w:sz w:val="18"/>
                <w:szCs w:val="18"/>
                <w:highlight w:val="none"/>
                <w:u w:val="none"/>
                <w:lang w:val="en-US" w:eastAsia="zh-CN" w:bidi="ar"/>
              </w:rPr>
              <w:t xml:space="preserve">，甲醛、可萃取重金属（铅、镉）、可裂解出致癌芳香胺的偶氮染料、五氯苯酚均符合国家相关标准；无异常气味；色牢度（沾色）：耐水、耐酸汗液、耐碱汗液、耐干摩擦、耐唾液均复符合国家相关标准。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柜子：1、基材：采用环保E0级刨花板，厚度16mm，握钉力强、吸水膨胀率低、静曲强度、弹性模量、内胶合强度，表面胶合强度、握螺钉力、甲醛释放量、总挥发性有机物符合国家相关标准。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模块沙发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11200" cy="420370"/>
                      <wp:effectExtent l="0" t="0" r="12700" b="17780"/>
                      <wp:docPr id="58"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7" descr="IMG_312"/>
                              <pic:cNvPicPr>
                                <a:picLocks noChangeAspect="1"/>
                              </pic:cNvPicPr>
                              <pic:nvPr/>
                            </pic:nvPicPr>
                            <pic:blipFill>
                              <a:blip r:embed="rId68"/>
                              <a:stretch/>
                            </pic:blipFill>
                            <pic:spPr bwMode="auto">
                              <a:xfrm>
                                <a:off x="0" y="0"/>
                                <a:ext cx="711200" cy="4203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0pt;height:33.1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2300*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740*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750(座高430）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2、基材：采用优质E0级阻燃</w:t>
            </w:r>
            <w:r>
              <w:rPr>
                <w:rFonts w:hint="eastAsia" w:ascii="宋体" w:hAnsi="宋体" w:cs="宋体"/>
                <w:b w:val="0"/>
                <w:bCs w:val="0"/>
                <w:i w:val="0"/>
                <w:iCs w:val="0"/>
                <w:color w:val="000000"/>
                <w:sz w:val="18"/>
                <w:szCs w:val="18"/>
                <w:highlight w:val="none"/>
                <w:u w:val="none"/>
                <w:lang w:val="en-US" w:eastAsia="zh-CN" w:bidi="ar"/>
              </w:rPr>
              <w:t xml:space="preserve">多层板</w:t>
            </w:r>
            <w:r>
              <w:rPr>
                <w:rFonts w:hint="eastAsia" w:ascii="宋体" w:hAnsi="宋体" w:eastAsia="宋体" w:cs="宋体"/>
                <w:b w:val="0"/>
                <w:bCs w:val="0"/>
                <w:i w:val="0"/>
                <w:iCs w:val="0"/>
                <w:color w:val="000000"/>
                <w:sz w:val="18"/>
                <w:szCs w:val="18"/>
                <w:highlight w:val="none"/>
                <w:u w:val="none"/>
                <w:lang w:val="en-US" w:eastAsia="zh-CN" w:bidi="ar"/>
              </w:rPr>
              <w:t xml:space="preserve">,优质绿色环保产品,符合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5、软包饰面：采用优质阻燃超纤皮，经液氨多道浸色及防潮、防腐等工艺处理，皮面手感柔软舒适，光泽持久，且透气性、韧性等理化指标更胜一筹，符合标准GB/T16799-2018《家具用皮革》；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6、海绵：采用冷发泡定型海绵。色泽：颜色应均匀，允许轻微杂色，黄芯。气孔：不允许有长度大于6mm的对穿孔和长度大于10mm的气孔。无刺激性气味。75%压缩永久变形率≤8%。回弹率≥35%；7、三个为一组</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沙发书架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7380" cy="413385"/>
                      <wp:effectExtent l="0" t="0" r="1270" b="5715"/>
                      <wp:docPr id="59"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descr="IMG_313"/>
                              <pic:cNvPicPr>
                                <a:picLocks noChangeAspect="1"/>
                              </pic:cNvPicPr>
                              <pic:nvPr/>
                            </pic:nvPicPr>
                            <pic:blipFill>
                              <a:blip r:embed="rId69"/>
                              <a:stretch/>
                            </pic:blipFill>
                            <pic:spPr bwMode="auto">
                              <a:xfrm>
                                <a:off x="0" y="0"/>
                                <a:ext cx="627380" cy="413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9.4pt;height:32.5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w:t>
            </w:r>
            <w:r>
              <w:rPr>
                <w:rFonts w:hint="eastAsia" w:ascii="宋体" w:hAnsi="宋体" w:cs="宋体"/>
                <w:b w:val="0"/>
                <w:bCs w:val="0"/>
                <w:i w:val="0"/>
                <w:iCs w:val="0"/>
                <w:color w:val="000000"/>
                <w:sz w:val="18"/>
                <w:szCs w:val="18"/>
                <w:highlight w:val="none"/>
                <w:u w:val="none"/>
                <w:lang w:val="en-US" w:eastAsia="zh-CN" w:bidi="ar"/>
              </w:rPr>
              <w:t xml:space="preserve">超纤皮</w:t>
            </w:r>
            <w:r>
              <w:rPr>
                <w:rFonts w:hint="eastAsia" w:ascii="宋体" w:hAnsi="宋体" w:eastAsia="宋体" w:cs="宋体"/>
                <w:b w:val="0"/>
                <w:bCs w:val="0"/>
                <w:i w:val="0"/>
                <w:iCs w:val="0"/>
                <w:color w:val="000000"/>
                <w:sz w:val="18"/>
                <w:szCs w:val="18"/>
                <w:highlight w:val="none"/>
                <w:u w:val="none"/>
                <w:lang w:val="en-US" w:eastAsia="zh-CN" w:bidi="ar"/>
              </w:rPr>
              <w:t xml:space="preserve">，甲醛、可萃取重金属（铅、镉）、可裂解出致癌芳香胺的偶氮染料、五氯苯酚均符合国家相关标准；无异常气味；色牢度（沾色）：耐水、耐酸汗液、耐碱汗液、耐干摩擦、耐唾液均复符合国家相关标准。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柜子：1、基材：采用环保E0级刨花板，厚度16mm，握钉力强、吸水膨胀率低、静曲强度、弹性模量、内胶合强度，表面胶合强度、握螺钉力、甲醛释放量、总挥发性有机物符合国家相关标准。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5945" cy="497205"/>
                      <wp:effectExtent l="0" t="0" r="14604" b="17145"/>
                      <wp:docPr id="60"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descr="IMG_314"/>
                              <pic:cNvPicPr>
                                <a:picLocks noChangeAspect="1"/>
                              </pic:cNvPicPr>
                              <pic:nvPr/>
                            </pic:nvPicPr>
                            <pic:blipFill>
                              <a:blip r:embed="rId70"/>
                              <a:stretch/>
                            </pic:blipFill>
                            <pic:spPr bwMode="auto">
                              <a:xfrm>
                                <a:off x="0" y="0"/>
                                <a:ext cx="575945" cy="4972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5.3pt;height:39.1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1、桌面：采用优质岩板。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2、茶几脚：钢管壁厚≥1.2mm，表面喷塑，高压静电喷塑前经过13道前期处理，无甲醛释放量，底脚防滑脚垫；钢制件的酸性盐雾试验符合标准GB/T10125-2021《人造气氛腐蚀试验盐雾试验》；</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休闲石头沙发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93090" cy="714375"/>
                      <wp:effectExtent l="0" t="0" r="16510" b="9525"/>
                      <wp:docPr id="61"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descr="IMG_315"/>
                              <pic:cNvPicPr>
                                <a:picLocks noChangeAspect="1"/>
                              </pic:cNvPicPr>
                              <pic:nvPr/>
                            </pic:nvPicPr>
                            <pic:blipFill>
                              <a:blip r:embed="rId71"/>
                              <a:stretch/>
                            </pic:blipFill>
                            <pic:spPr bwMode="auto">
                              <a:xfrm>
                                <a:off x="0" y="0"/>
                                <a:ext cx="59309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6.7pt;height:56.2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阻燃绒布，染色牢度：耐水（变色、沾色）、耐酸汗渍（变色、沾色）、耐碱汗渍（变色、沾色）、耐唾液（变色、沾色）、耐干摩擦）、甲醛含量、可分解致癌芳香胺染料、异味、抗引燃特性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3、框架：采用实木方，木材含水率、甲醛释放量符合国家相关标准。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休闲石头沙发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2290" cy="653415"/>
                      <wp:effectExtent l="0" t="0" r="10160" b="13335"/>
                      <wp:docPr id="62"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1" descr="IMG_316"/>
                              <pic:cNvPicPr>
                                <a:picLocks noChangeAspect="1"/>
                              </pic:cNvPicPr>
                              <pic:nvPr/>
                            </pic:nvPicPr>
                            <pic:blipFill>
                              <a:blip r:embed="rId72"/>
                              <a:stretch/>
                            </pic:blipFill>
                            <pic:spPr bwMode="auto">
                              <a:xfrm>
                                <a:off x="0" y="0"/>
                                <a:ext cx="542290" cy="6534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2.7pt;height:51.4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570*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阻燃绒布，染色牢度：耐水（变色、沾色）、耐酸汗渍（变色、沾色）、耐碱汗渍（变色、沾色）、耐唾液（变色、沾色）、耐干摩擦）、甲醛含量、可分解致癌芳香胺染料、异味、抗引燃特性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3、框架：采用实木方，木材含水率、甲醛释放量符合国家相关标准。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84200" cy="557530"/>
                      <wp:effectExtent l="0" t="0" r="6350" b="13970"/>
                      <wp:docPr id="63"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2" descr="IMG_317"/>
                              <pic:cNvPicPr>
                                <a:picLocks noChangeAspect="1"/>
                              </pic:cNvPicPr>
                              <pic:nvPr/>
                            </pic:nvPicPr>
                            <pic:blipFill>
                              <a:blip r:embed="rId73"/>
                              <a:stretch/>
                            </pic:blipFill>
                            <pic:spPr bwMode="auto">
                              <a:xfrm>
                                <a:off x="0" y="0"/>
                                <a:ext cx="584200" cy="557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6.0pt;height:43.9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1、基材：采用环保E0级刨花板，台面厚度25mm，握钉力强、吸水膨胀率低、静曲强度、弹性模量、内胶合强度，表面胶合强度、握螺钉力、甲醛释放量、总挥发性有机物符合国家相关标准。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6、桌脚：采用橡胶木。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最高限价650元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活动桌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533400"/>
                      <wp:effectExtent l="0" t="0" r="4445" b="0"/>
                      <wp:docPr id="64"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3" descr="IMG_318"/>
                              <pic:cNvPicPr>
                                <a:picLocks noChangeAspect="1"/>
                              </pic:cNvPicPr>
                              <pic:nvPr/>
                            </pic:nvPicPr>
                            <pic:blipFill>
                              <a:blip r:embed="rId74"/>
                              <a:stretch/>
                            </pic:blipFill>
                            <pic:spPr bwMode="auto">
                              <a:xfrm>
                                <a:off x="0" y="0"/>
                                <a:ext cx="64325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0.6pt;height:42.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4"/>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基材：采用优质E0级阻燃桦木芯多层板,优质绿色环保产品,符合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3、钢架：采用优质1.5mm厚冷轧钢管，喷涂前使用优质环保磷化液前处理，钢制部件整体使用优质环保塑粉静电喷涂，高温固化，确保质量完美；</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3、</w:t>
            </w:r>
            <w:r>
              <w:rPr>
                <w:rFonts w:hint="eastAsia" w:ascii="宋体" w:hAnsi="宋体" w:eastAsia="宋体" w:cs="宋体"/>
                <w:b w:val="0"/>
                <w:bCs w:val="0"/>
                <w:i w:val="0"/>
                <w:iCs w:val="0"/>
                <w:color w:val="000000"/>
                <w:sz w:val="18"/>
                <w:szCs w:val="18"/>
                <w:highlight w:val="none"/>
                <w:u w:val="none"/>
                <w:lang w:val="en-US" w:eastAsia="zh-CN" w:bidi="ar"/>
              </w:rPr>
              <w:t xml:space="preserve">台面采用25mm厚，桌面四角采用圆弧形设计；</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4、</w:t>
            </w:r>
            <w:r>
              <w:rPr>
                <w:rFonts w:hint="eastAsia" w:ascii="宋体" w:hAnsi="宋体" w:eastAsia="宋体" w:cs="宋体"/>
                <w:b w:val="0"/>
                <w:bCs w:val="0"/>
                <w:i w:val="0"/>
                <w:iCs w:val="0"/>
                <w:color w:val="000000"/>
                <w:sz w:val="18"/>
                <w:szCs w:val="18"/>
                <w:highlight w:val="none"/>
                <w:u w:val="none"/>
                <w:lang w:val="en-US" w:eastAsia="zh-CN" w:bidi="ar"/>
              </w:rPr>
              <w:t xml:space="preserve">底座带优质脚垫，桌腿滚轮方便移动、固定，防止噪音，避免刮伤地板，桌面可平放和折起来，有利于扩展空间，便于学生使用；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6、桌下置物板尺寸：长925mm*宽200mm*高115mm，两侧及后侧高起，两侧铁片在原基础加厚；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68985"/>
                      <wp:effectExtent l="0" t="0" r="0" b="12065"/>
                      <wp:docPr id="65"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4" descr="IMG_319"/>
                              <pic:cNvPicPr>
                                <a:picLocks noChangeAspect="1"/>
                              </pic:cNvPicPr>
                              <pic:nvPr/>
                            </pic:nvPicPr>
                            <pic:blipFill>
                              <a:blip r:embed="rId75"/>
                              <a:stretch/>
                            </pic:blipFill>
                            <pic:spPr bwMode="auto">
                              <a:xfrm>
                                <a:off x="0" y="0"/>
                                <a:ext cx="609600" cy="7689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8.0pt;height:60.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410*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2、尺寸：宽380mm×深280mm。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1、材质及形状：采用椭圆形亮光钢管组合焊接而成，结构得需牢固，长时间使用不得产生摇晃、松散的现象。焊接完成之钢管架，焊接部位得需牢固，需无脱焊、虚焊、焊穿。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1、采用卡扣式升降。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2、紧固件材质采用高强度不锈钢。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1、材质：采用PP原料粒子一体注塑成型，并用圆头十字自攻螺丝连接钢脚。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2.尺寸：长66mm×宽80mm×高42mm。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储物矮柜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1980" cy="451485"/>
                      <wp:effectExtent l="0" t="0" r="7620" b="5715"/>
                      <wp:docPr id="66"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5" descr="IMG_320"/>
                              <pic:cNvPicPr>
                                <a:picLocks noChangeAspect="1"/>
                              </pic:cNvPicPr>
                              <pic:nvPr/>
                            </pic:nvPicPr>
                            <pic:blipFill>
                              <a:blip r:embed="rId76"/>
                              <a:stretch/>
                            </pic:blipFill>
                            <pic:spPr bwMode="auto">
                              <a:xfrm>
                                <a:off x="0" y="0"/>
                                <a:ext cx="601980" cy="451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4pt;height:35.5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合班学生桌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1510" cy="540385"/>
                      <wp:effectExtent l="0" t="0" r="15240" b="12065"/>
                      <wp:docPr id="67"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6" descr="IMG_321"/>
                              <pic:cNvPicPr>
                                <a:picLocks noChangeAspect="1"/>
                              </pic:cNvPicPr>
                              <pic:nvPr/>
                            </pic:nvPicPr>
                            <pic:blipFill>
                              <a:blip r:embed="rId77"/>
                              <a:stretch/>
                            </pic:blipFill>
                            <pic:spPr bwMode="auto">
                              <a:xfrm>
                                <a:off x="0" y="0"/>
                                <a:ext cx="651510" cy="540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3pt;height:42.5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5"/>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基材：采用优质E0级多层板,优质绿色环保产品,符合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3、钢架：采用优质1.5mm厚冷轧钢管，喷涂前使用优质环保磷化液前处理，钢制部件整体使用优质环保塑粉静电喷涂，高温固化，确保质量完美；</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lang w:val="en-US" w:eastAsia="zh-CN" w:bidi="ar"/>
              </w:rPr>
              <w:t xml:space="preserve">4</w:t>
            </w:r>
            <w:r>
              <w:rPr>
                <w:rFonts w:hint="eastAsia" w:ascii="宋体" w:hAnsi="宋体" w:eastAsia="宋体" w:cs="宋体"/>
                <w:b w:val="0"/>
                <w:bCs w:val="0"/>
                <w:i w:val="0"/>
                <w:iCs w:val="0"/>
                <w:color w:val="000000"/>
                <w:sz w:val="18"/>
                <w:szCs w:val="18"/>
                <w:highlight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台面采用25mm厚，桌面四角采用圆弧形设计；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5</w:t>
            </w:r>
            <w:r>
              <w:rPr>
                <w:rFonts w:hint="eastAsia" w:ascii="宋体" w:hAnsi="宋体" w:eastAsia="宋体" w:cs="宋体"/>
                <w:b w:val="0"/>
                <w:bCs w:val="0"/>
                <w:i w:val="0"/>
                <w:iCs w:val="0"/>
                <w:color w:val="000000"/>
                <w:sz w:val="18"/>
                <w:szCs w:val="18"/>
                <w:highlight w:val="none"/>
                <w:u w:val="none"/>
                <w:lang w:val="en-US" w:eastAsia="zh-CN" w:bidi="ar"/>
              </w:rPr>
              <w:t xml:space="preserve">、底座带优质脚垫，桌腿滚轮方便移动、固定，防止噪音，避免刮伤地板，桌面可平放和折起来，有利于扩展空间，便于学生使用；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6、桌下置物板尺寸：长925mm*宽200mm*高115mm，两侧及后侧高起，两侧铁片在原基础加厚；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348615"/>
                      <wp:effectExtent l="0" t="0" r="13970" b="13335"/>
                      <wp:docPr id="68"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7" descr="IMG_322"/>
                              <pic:cNvPicPr>
                                <a:picLocks noChangeAspect="1"/>
                              </pic:cNvPicPr>
                              <pic:nvPr/>
                            </pic:nvPicPr>
                            <pic:blipFill>
                              <a:blip r:embed="rId78"/>
                              <a:stretch/>
                            </pic:blipFill>
                            <pic:spPr bwMode="auto">
                              <a:xfrm>
                                <a:off x="0" y="0"/>
                                <a:ext cx="652780" cy="348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1.4pt;height:27.4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w:t>
            </w:r>
            <w:r>
              <w:rPr>
                <w:rFonts w:hint="eastAsia" w:ascii="宋体" w:hAnsi="宋体" w:cs="宋体"/>
                <w:b w:val="0"/>
                <w:bCs w:val="0"/>
                <w:i w:val="0"/>
                <w:iCs w:val="0"/>
                <w:color w:val="000000"/>
                <w:sz w:val="18"/>
                <w:szCs w:val="18"/>
                <w:highlight w:val="none"/>
                <w:u w:val="none"/>
                <w:lang w:val="en-US" w:eastAsia="zh-CN" w:bidi="ar"/>
              </w:rPr>
              <w:t xml:space="preserve">国标</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7、下置物板材：基材：采用优质三聚氰胺多层板,优质绿色环保产品,符合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美术收纳柜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33400" cy="485140"/>
                      <wp:effectExtent l="0" t="0" r="0" b="10160"/>
                      <wp:docPr id="69"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8" descr="IMG_323"/>
                              <pic:cNvPicPr>
                                <a:picLocks noChangeAspect="1"/>
                              </pic:cNvPicPr>
                              <pic:nvPr/>
                            </pic:nvPicPr>
                            <pic:blipFill>
                              <a:blip r:embed="rId79"/>
                              <a:stretch/>
                            </pic:blipFill>
                            <pic:spPr bwMode="auto">
                              <a:xfrm>
                                <a:off x="0" y="0"/>
                                <a:ext cx="533400" cy="485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2.0pt;height:38.2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2、封边：采用同色PVC封边，无缝封边，具有良好的耐气候性能，不易受环境、温度变化而产生收缩、膨胀的问题。封边处无脱胶、鼓泡、透胶、露底。甲醛释放量符合检测结果。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4、五金件：中性盐雾试验耐腐蚀等级达到10级，功能：耐久性符合国家标准。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美术翻转桌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67690" cy="677545"/>
                      <wp:effectExtent l="0" t="0" r="3810" b="8255"/>
                      <wp:docPr id="70"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9" descr="IMG_324"/>
                              <pic:cNvPicPr>
                                <a:picLocks noChangeAspect="1"/>
                              </pic:cNvPicPr>
                              <pic:nvPr/>
                            </pic:nvPicPr>
                            <pic:blipFill>
                              <a:blip r:embed="rId80"/>
                              <a:stretch/>
                            </pic:blipFill>
                            <pic:spPr bwMode="auto">
                              <a:xfrm>
                                <a:off x="0" y="0"/>
                                <a:ext cx="567690" cy="677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4.7pt;height:53.3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板:绿色环保E0级三聚氰胺饰面板，双面贴三聚氰胺纸，模具注塑封边、永不脱落抗冲压性能良好具防刮、防污染、防损等功能特点，面板厚度18mm;2、结构:钢脚开模定型框架自动焊接技术产品符合国家标准;工艺精细钢材厚度在1.2mm以上结构稳定采用静电粉末涂装工艺附着强力经久耐用;桌脚脚垫带微调功能适合不平整的地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3、桌面根据用户所需自由调节高度和斜度。</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多功能储物柜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3110" cy="342265"/>
                      <wp:effectExtent l="0" t="0" r="8890" b="635"/>
                      <wp:docPr id="71"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0" descr="IMG_325"/>
                              <pic:cNvPicPr>
                                <a:picLocks noChangeAspect="1"/>
                              </pic:cNvPicPr>
                              <pic:nvPr/>
                            </pic:nvPicPr>
                            <pic:blipFill>
                              <a:blip r:embed="rId81"/>
                              <a:stretch/>
                            </pic:blipFill>
                            <pic:spPr bwMode="auto">
                              <a:xfrm>
                                <a:off x="0" y="0"/>
                                <a:ext cx="753110" cy="3422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9.3pt;height:26.9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6"/>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w:t>
            </w:r>
            <w:r/>
          </w:p>
          <w:p>
            <w:pPr>
              <w:numPr>
                <w:ilvl w:val="0"/>
                <w:numId w:val="1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封边：采用同色PVC封边，无缝封边，具有良好的耐气候性能，不易受环境、温度变化而产生收缩、膨胀的问题。封边处无脱胶、鼓泡、透胶、露底。甲醛释放量符合检测结果。</w:t>
            </w:r>
            <w:r/>
          </w:p>
          <w:p>
            <w:pPr>
              <w:numPr>
                <w:ilvl w:val="0"/>
                <w:numId w:val="1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7、每套配四组钢制洞洞板，便于储物，尺寸分别为1915*480*20两组,590*995*20两组（或根据实际定制）。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both"/>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6125" cy="525780"/>
                      <wp:effectExtent l="0" t="0" r="15875" b="7620"/>
                      <wp:docPr id="72"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1" descr="IMG_326"/>
                              <pic:cNvPicPr>
                                <a:picLocks noChangeAspect="1"/>
                              </pic:cNvPicPr>
                              <pic:nvPr/>
                            </pic:nvPicPr>
                            <pic:blipFill>
                              <a:blip r:embed="rId82"/>
                              <a:stretch/>
                            </pic:blipFill>
                            <pic:spPr bwMode="auto">
                              <a:xfrm>
                                <a:off x="0" y="0"/>
                                <a:ext cx="746125" cy="525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8.8pt;height:41.4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符合国家标准。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序号71和72为一套，最高限价2600元/套(桌+椅)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40690" cy="530860"/>
                      <wp:effectExtent l="0" t="0" r="16510" b="2540"/>
                      <wp:docPr id="73"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2" descr="IMG_327"/>
                              <pic:cNvPicPr>
                                <a:picLocks noChangeAspect="1"/>
                              </pic:cNvPicPr>
                              <pic:nvPr/>
                            </pic:nvPicPr>
                            <pic:blipFill>
                              <a:blip r:embed="rId83"/>
                              <a:stretch/>
                            </pic:blipFill>
                            <pic:spPr bwMode="auto">
                              <a:xfrm>
                                <a:off x="0" y="0"/>
                                <a:ext cx="440690" cy="5308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34.7pt;height:41.8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劳动桌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495300"/>
                      <wp:effectExtent l="0" t="0" r="6350" b="0"/>
                      <wp:docPr id="74"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3" descr="IMG_328"/>
                              <pic:cNvPicPr>
                                <a:picLocks noChangeAspect="1"/>
                              </pic:cNvPicPr>
                              <pic:nvPr/>
                            </pic:nvPicPr>
                            <pic:blipFill>
                              <a:blip r:embed="rId84"/>
                              <a:stretch/>
                            </pic:blipFill>
                            <pic:spPr bwMode="auto">
                              <a:xfrm>
                                <a:off x="0" y="0"/>
                                <a:ext cx="6604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2.0pt;height:39.0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1520*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1520*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1、基材：采用优质榉木实木，甲醛释放量符合GB/T17657-2022《人造板及饰面人造板理化性能试验方法》、GB/T39600-2021《人造板及其制品甲醛释放量分级》标准要求。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w:t>
            </w:r>
            <w:r>
              <w:rPr>
                <w:rFonts w:hint="eastAsia" w:ascii="宋体" w:hAnsi="宋体" w:cs="宋体"/>
                <w:b w:val="0"/>
                <w:bCs w:val="0"/>
                <w:i w:val="0"/>
                <w:iCs w:val="0"/>
                <w:color w:val="000000"/>
                <w:sz w:val="18"/>
                <w:szCs w:val="18"/>
                <w:highlight w:val="none"/>
                <w:u w:val="none"/>
                <w:lang w:val="en-US" w:eastAsia="zh-CN" w:bidi="ar"/>
              </w:rPr>
              <w:t xml:space="preserve">国标</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广播台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6745" cy="263525"/>
                      <wp:effectExtent l="0" t="0" r="1905" b="3175"/>
                      <wp:docPr id="75"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IMG_330"/>
                              <pic:cNvPicPr>
                                <a:picLocks noChangeAspect="1"/>
                              </pic:cNvPicPr>
                              <pic:nvPr/>
                            </pic:nvPicPr>
                            <pic:blipFill>
                              <a:blip r:embed="rId85"/>
                              <a:stretch/>
                            </pic:blipFill>
                            <pic:spPr bwMode="auto">
                              <a:xfrm>
                                <a:off x="0" y="0"/>
                                <a:ext cx="626745" cy="263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9.3pt;height:20.8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1、基材：采用高密度纤维版，符</w:t>
            </w:r>
            <w:r>
              <w:rPr>
                <w:rFonts w:hint="eastAsia" w:ascii="宋体" w:hAnsi="宋体" w:cs="宋体"/>
                <w:b w:val="0"/>
                <w:bCs w:val="0"/>
                <w:i w:val="0"/>
                <w:iCs w:val="0"/>
                <w:color w:val="000000"/>
                <w:sz w:val="18"/>
                <w:szCs w:val="18"/>
                <w:highlight w:val="none"/>
                <w:u w:val="none"/>
                <w:lang w:val="en-US" w:eastAsia="zh-CN" w:bidi="ar"/>
              </w:rPr>
              <w:t xml:space="preserve">合</w:t>
            </w:r>
            <w:r>
              <w:rPr>
                <w:rFonts w:hint="eastAsia" w:ascii="宋体" w:hAnsi="宋体" w:eastAsia="宋体" w:cs="宋体"/>
                <w:b w:val="0"/>
                <w:bCs w:val="0"/>
                <w:i w:val="0"/>
                <w:iCs w:val="0"/>
                <w:color w:val="000000"/>
                <w:sz w:val="18"/>
                <w:szCs w:val="18"/>
                <w:highlight w:val="none"/>
                <w:u w:val="none"/>
                <w:lang w:val="en-US" w:eastAsia="zh-CN" w:bidi="ar"/>
              </w:rPr>
              <w:t xml:space="preserve">HJ571-2010《环境标志产品认证技术要求人造板及其制品》；</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2、水性组合漆：符合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；采用水性面漆VOC含量≤90g/L；苯系物含量未检出；可溶性重金属≤2mg/kg；甲醛含量≤40mg/kg。3、五金件：中性盐雾试验耐腐蚀等级达到10级，耐久性符合国家标准。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广播椅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40690" cy="631190"/>
                      <wp:effectExtent l="0" t="0" r="16510" b="16510"/>
                      <wp:docPr id="76"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4" descr="IMG_329"/>
                              <pic:cNvPicPr>
                                <a:picLocks noChangeAspect="1"/>
                              </pic:cNvPicPr>
                              <pic:nvPr/>
                            </pic:nvPicPr>
                            <pic:blipFill>
                              <a:blip r:embed="rId86"/>
                              <a:stretch/>
                            </pic:blipFill>
                            <pic:spPr bwMode="auto">
                              <a:xfrm>
                                <a:off x="0" y="0"/>
                                <a:ext cx="440690" cy="631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34.7pt;height:49.7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长480*宽540*高850（座高450）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1、椅架：优质榉木椅脚，较高的光泽度，质地细密，不易吸水，耐腐蚀，强度大，稳定性强，断裂强度高、抗震能力特别强，结实耐用，使用年限长。表面清漆处理，符合国家环保标准。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2、椅背：全新PP+玻纤，座背一体成型，背部孔洞造型设计，外观简约，通过材料性质实现靠背倾仰，舒缓背部压力，表面晒纹处理，质感好3、脚塞：防滑塑料胶塞，保护地板不受伤害，移动时减少噪音</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异形条桌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34060"/>
                      <wp:effectExtent l="0" t="0" r="0" b="8890"/>
                      <wp:docPr id="77"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6" descr="IMG_331"/>
                              <pic:cNvPicPr>
                                <a:picLocks noChangeAspect="1"/>
                              </pic:cNvPicPr>
                              <pic:nvPr/>
                            </pic:nvPicPr>
                            <pic:blipFill>
                              <a:blip r:embed="rId87"/>
                              <a:stretch/>
                            </pic:blipFill>
                            <pic:spPr bwMode="auto">
                              <a:xfrm>
                                <a:off x="0" y="0"/>
                                <a:ext cx="609600" cy="734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8.0pt;height:57.8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1178*</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573*</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84200" cy="816610"/>
                      <wp:effectExtent l="0" t="0" r="6350" b="2540"/>
                      <wp:docPr id="78"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7" descr="IMG_332"/>
                              <pic:cNvPicPr>
                                <a:picLocks noChangeAspect="1"/>
                              </pic:cNvPicPr>
                              <pic:nvPr/>
                            </pic:nvPicPr>
                            <pic:blipFill>
                              <a:blip r:embed="rId56"/>
                              <a:stretch/>
                            </pic:blipFill>
                            <pic:spPr bwMode="auto">
                              <a:xfrm>
                                <a:off x="0" y="0"/>
                                <a:ext cx="584200" cy="8166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6.0pt;height:64.3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长395*宽390*高（360-460）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A、靠背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2、尺寸：宽410mm×高340mm×侧深25mm。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3、功能：中间凹进0.5mm为四条透气孔，透气孔尺寸分别为40mm、70mm、105mm、140mm；靠背两边根据人类功效学设计各有三条斜通气长条，通气孔尺寸各为120mm、130mm、140mm；靠背采用插入式设计，可直接插入钢管；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2、尺寸：75mm×65mm×40mm×厚8mm。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团辅活动桌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1980" cy="499110"/>
                      <wp:effectExtent l="0" t="0" r="7620" b="15240"/>
                      <wp:docPr id="79"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8" descr="IMG_333"/>
                              <pic:cNvPicPr>
                                <a:picLocks noChangeAspect="1"/>
                              </pic:cNvPicPr>
                              <pic:nvPr/>
                            </pic:nvPicPr>
                            <pic:blipFill>
                              <a:blip r:embed="rId88"/>
                              <a:stretch/>
                            </pic:blipFill>
                            <pic:spPr bwMode="auto">
                              <a:xfrm>
                                <a:off x="0" y="0"/>
                                <a:ext cx="601980" cy="4991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4pt;height:39.3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7"/>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基材：采用优质E0级多层板,优质绿色环保产品,符合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3、钢架：采用优质1.5mm厚冷轧钢管，喷涂前使用优质环保磷化液前处理，钢制部件整体使用优质环保塑粉静电喷涂，高温固化，确保质量完美；</w:t>
            </w:r>
            <w:r/>
          </w:p>
          <w:p>
            <w:pPr>
              <w:numPr>
                <w:ilvl w:val="0"/>
                <w:numId w:val="1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台面采用25mm厚，桌面四角采用圆弧形设计；</w:t>
            </w:r>
            <w:r/>
          </w:p>
          <w:p>
            <w:pPr>
              <w:numPr>
                <w:ilvl w:val="0"/>
                <w:numId w:val="1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底座带优质脚垫，固定，防止噪音，避免刮伤地板，桌面可平放和折起来，有利于扩展空间，便于学生使用；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6、桌下置物板尺寸：长925mm*宽200mm*高115mm，两侧及后侧高起，两侧铁片在原基础加厚；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旗杆架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0700" cy="489585"/>
                      <wp:effectExtent l="0" t="0" r="12700" b="5715"/>
                      <wp:docPr id="80"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9" descr="IMG_334"/>
                              <pic:cNvPicPr>
                                <a:picLocks noChangeAspect="1"/>
                              </pic:cNvPicPr>
                              <pic:nvPr/>
                            </pic:nvPicPr>
                            <pic:blipFill>
                              <a:blip r:embed="rId89"/>
                              <a:stretch/>
                            </pic:blipFill>
                            <pic:spPr bwMode="auto">
                              <a:xfrm>
                                <a:off x="0" y="0"/>
                                <a:ext cx="520700" cy="489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1.0pt;height:38.5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旗杆</w:t>
            </w: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25*</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8"/>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材质：阻燃304不锈钢，裸管厚度1.5mm；</w:t>
            </w:r>
            <w:r/>
          </w:p>
          <w:p>
            <w:pPr>
              <w:numPr>
                <w:ilvl w:val="0"/>
                <w:numId w:val="18"/>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工艺：旗杆架采用不锈钢管材焊接而成，表面经抛光工艺制作，长时间使用也不会产生表面锈蚀现象；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3、配六根旗杆；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少先队室柜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68325" cy="568325"/>
                      <wp:effectExtent l="0" t="0" r="3175" b="3175"/>
                      <wp:docPr id="81"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0" descr="IMG_335"/>
                              <pic:cNvPicPr>
                                <a:picLocks noChangeAspect="1"/>
                              </pic:cNvPicPr>
                              <pic:nvPr/>
                            </pic:nvPicPr>
                            <pic:blipFill>
                              <a:blip r:embed="rId90"/>
                              <a:stretch/>
                            </pic:blipFill>
                            <pic:spPr bwMode="auto">
                              <a:xfrm>
                                <a:off x="0" y="0"/>
                                <a:ext cx="568325" cy="568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4.8pt;height:44.8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9"/>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25MM及16MM优质环保刨花板，甲醛释放量达到E0级标准。2、封边:采用优质环保封边，25MM厚不低于2MM厚，16MM厚不低于1MM厚，耐磨，耐开裂，耐冷热循环，标准符合QB/T4463-2013《家具用封边条技术要求》，高密封性不吸水、不膨胀。</w:t>
            </w:r>
            <w:r/>
          </w:p>
          <w:p>
            <w:pPr>
              <w:numPr>
                <w:ilvl w:val="0"/>
                <w:numId w:val="19"/>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面材：使用优质优质三聚氰胺浸渍胶膜纸。</w:t>
            </w:r>
            <w:r/>
          </w:p>
          <w:p>
            <w:pPr>
              <w:numPr>
                <w:ilvl w:val="0"/>
                <w:numId w:val="19"/>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五金件:采用优质锁具，所有五金配件做防锈、防腐处理。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5.功能：上方为开放式储物格，下方为封闭式储物格，可放置各种教材器具，取用方便，不显凌乱。</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276225"/>
                      <wp:effectExtent l="0" t="0" r="0" b="9525"/>
                      <wp:docPr id="82"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1" descr="IMG_336"/>
                              <pic:cNvPicPr>
                                <a:picLocks noChangeAspect="1"/>
                              </pic:cNvPicPr>
                              <pic:nvPr/>
                            </pic:nvPicPr>
                            <pic:blipFill>
                              <a:blip r:embed="rId91"/>
                              <a:stretch/>
                            </pic:blipFill>
                            <pic:spPr bwMode="auto">
                              <a:xfrm>
                                <a:off x="0" y="0"/>
                                <a:ext cx="8382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6.0pt;height:21.8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1700*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5、五金件：电镀件外露表面应色泽均匀，电镀层无剥落，无反锈，无起泡，无裂纹，无花斑。电镀件耐腐蚀（经过100h的中性盐雾试验后）外观评级达到10级。电镀件耐腐蚀符合国家标准。6、台面厚度48mm。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8655" cy="714375"/>
                      <wp:effectExtent l="0" t="0" r="17145" b="9525"/>
                      <wp:docPr id="83"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2" descr="IMG_337"/>
                              <pic:cNvPicPr>
                                <a:picLocks noChangeAspect="1"/>
                              </pic:cNvPicPr>
                              <pic:nvPr/>
                            </pic:nvPicPr>
                            <pic:blipFill>
                              <a:blip r:embed="rId92"/>
                              <a:stretch/>
                            </pic:blipFill>
                            <pic:spPr bwMode="auto">
                              <a:xfrm>
                                <a:off x="0" y="0"/>
                                <a:ext cx="66865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2.6pt;height:56.2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585*</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695*</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w:t>
            </w:r>
            <w:r>
              <w:rPr>
                <w:rFonts w:hint="eastAsia" w:ascii="宋体" w:hAnsi="宋体" w:eastAsia="宋体" w:cs="宋体"/>
                <w:b w:val="0"/>
                <w:bCs w:val="0"/>
                <w:i w:val="0"/>
                <w:iCs w:val="0"/>
                <w:color w:val="000000"/>
                <w:sz w:val="18"/>
                <w:szCs w:val="18"/>
                <w:highlight w:val="none"/>
                <w:u w:val="none"/>
                <w:lang w:val="en-US" w:eastAsia="zh-CN" w:bidi="ar"/>
              </w:rPr>
              <w:t xml:space="preserve">标准，摩擦色牢度≥4级；游离甲醛未检出VOC≤15mg/kg；禁用偶氮染料未检出，可萃取的重金属≤1mg/kg;经液态浸色及防潮、防污等工艺处理,皮面更加柔软舒适,光泽持久性。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4、支撑架：2.0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厚不锈钢支架。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9290" cy="464185"/>
                      <wp:effectExtent l="0" t="0" r="16510" b="12065"/>
                      <wp:docPr id="84"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3" descr="IMG_338"/>
                              <pic:cNvPicPr>
                                <a:picLocks noChangeAspect="1"/>
                              </pic:cNvPicPr>
                              <pic:nvPr/>
                            </pic:nvPicPr>
                            <pic:blipFill>
                              <a:blip r:embed="rId93"/>
                              <a:stretch/>
                            </pic:blipFill>
                            <pic:spPr bwMode="auto">
                              <a:xfrm>
                                <a:off x="0" y="0"/>
                                <a:ext cx="669290" cy="464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2.7pt;height:36.5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长1200*宽400*高800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w:t>
            </w:r>
            <w:r>
              <w:rPr>
                <w:rFonts w:hint="eastAsia" w:ascii="宋体" w:hAnsi="宋体" w:eastAsia="宋体" w:cs="宋体"/>
                <w:b w:val="0"/>
                <w:bCs w:val="0"/>
                <w:i w:val="0"/>
                <w:iCs w:val="0"/>
                <w:color w:val="000000"/>
                <w:sz w:val="18"/>
                <w:szCs w:val="18"/>
                <w:highlight w:val="none"/>
                <w:u w:val="none"/>
                <w:lang w:val="en-US" w:eastAsia="zh-CN" w:bidi="ar"/>
              </w:rPr>
              <w:t xml:space="preserve">高限价700元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98780" cy="480060"/>
                      <wp:effectExtent l="0" t="0" r="1270" b="15240"/>
                      <wp:docPr id="85"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4" descr="IMG_339"/>
                              <pic:cNvPicPr>
                                <a:picLocks noChangeAspect="1"/>
                              </pic:cNvPicPr>
                              <pic:nvPr/>
                            </pic:nvPicPr>
                            <pic:blipFill>
                              <a:blip r:embed="rId94"/>
                              <a:stretch/>
                            </pic:blipFill>
                            <pic:spPr bwMode="auto">
                              <a:xfrm>
                                <a:off x="0" y="0"/>
                                <a:ext cx="398780" cy="480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31.4pt;height:37.8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不锈钢操作台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6580" cy="537210"/>
                      <wp:effectExtent l="0" t="0" r="13970" b="15240"/>
                      <wp:docPr id="86"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5" descr="IMG_340"/>
                              <pic:cNvPicPr>
                                <a:picLocks noChangeAspect="1"/>
                              </pic:cNvPicPr>
                              <pic:nvPr/>
                            </pic:nvPicPr>
                            <pic:blipFill>
                              <a:blip r:embed="rId95"/>
                              <a:stretch/>
                            </pic:blipFill>
                            <pic:spPr bwMode="auto">
                              <a:xfrm>
                                <a:off x="0" y="0"/>
                                <a:ext cx="576580" cy="537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5.4pt;height:42.3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桌面采用25mm不锈钢台面，表面采用SUS</w:t>
            </w:r>
            <w:r>
              <w:rPr>
                <w:rFonts w:hint="eastAsia" w:ascii="宋体" w:hAnsi="宋体" w:cs="宋体"/>
                <w:b w:val="0"/>
                <w:bCs w:val="0"/>
                <w:i w:val="0"/>
                <w:iCs w:val="0"/>
                <w:color w:val="000000"/>
                <w:sz w:val="18"/>
                <w:szCs w:val="18"/>
                <w:highlight w:val="none"/>
                <w:u w:val="none"/>
                <w:lang w:val="en-US" w:eastAsia="zh-CN" w:bidi="ar"/>
              </w:rPr>
              <w:t xml:space="preserve">304</w:t>
            </w:r>
            <w:r>
              <w:rPr>
                <w:rFonts w:hint="eastAsia" w:ascii="宋体" w:hAnsi="宋体" w:eastAsia="宋体" w:cs="宋体"/>
                <w:b w:val="0"/>
                <w:bCs w:val="0"/>
                <w:i w:val="0"/>
                <w:iCs w:val="0"/>
                <w:color w:val="000000"/>
                <w:sz w:val="18"/>
                <w:szCs w:val="18"/>
                <w:highlight w:val="none"/>
                <w:u w:val="none"/>
                <w:lang w:val="en-US" w:eastAsia="zh-CN" w:bidi="ar"/>
              </w:rPr>
              <w:t xml:space="preserve">不锈钢板，厚度≥1.0mm，桌面4角进行打磨处理；内衬：采用环保实木多层板；甲醛释放量符合国家E0标准，经防潮、防虫、防腐处理，强度高、刚性好、抗变形，各种物理、化学性能指标均达到国家相关标准。面材标准：表面耐刮、耐磨、耐腐蚀、耐高温、不怕烟头烫，光泽度更好，耐污性更强、耐UV紫外线老化；</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2、主架采用直径60*1.5mm厚</w:t>
            </w:r>
            <w:r>
              <w:rPr>
                <w:rFonts w:hint="eastAsia" w:ascii="宋体" w:hAnsi="宋体" w:cs="宋体"/>
                <w:b w:val="0"/>
                <w:bCs w:val="0"/>
                <w:i w:val="0"/>
                <w:iCs w:val="0"/>
                <w:color w:val="000000"/>
                <w:sz w:val="18"/>
                <w:szCs w:val="18"/>
                <w:highlight w:val="none"/>
                <w:u w:val="none"/>
                <w:lang w:val="en-US" w:eastAsia="zh-CN" w:bidi="ar"/>
              </w:rPr>
              <w:t xml:space="preserve">304</w:t>
            </w:r>
            <w:r>
              <w:rPr>
                <w:rFonts w:hint="eastAsia" w:ascii="宋体" w:hAnsi="宋体" w:eastAsia="宋体" w:cs="宋体"/>
                <w:b w:val="0"/>
                <w:bCs w:val="0"/>
                <w:i w:val="0"/>
                <w:iCs w:val="0"/>
                <w:color w:val="000000"/>
                <w:sz w:val="18"/>
                <w:szCs w:val="18"/>
                <w:highlight w:val="none"/>
                <w:u w:val="none"/>
                <w:lang w:val="en-US" w:eastAsia="zh-CN" w:bidi="ar"/>
              </w:rPr>
              <w:t xml:space="preserve">不锈钢，连接档采用25*50*1.5mm厚316不锈钢。</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六边形电脑桌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2290" cy="419100"/>
                      <wp:effectExtent l="0" t="0" r="10160" b="0"/>
                      <wp:docPr id="87"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6" descr="IMG_341"/>
                              <pic:cNvPicPr>
                                <a:picLocks noChangeAspect="1"/>
                              </pic:cNvPicPr>
                              <pic:nvPr/>
                            </pic:nvPicPr>
                            <pic:blipFill>
                              <a:blip r:embed="rId96"/>
                              <a:stretch/>
                            </pic:blipFill>
                            <pic:spPr bwMode="auto">
                              <a:xfrm>
                                <a:off x="0" y="0"/>
                                <a:ext cx="54229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2.7pt;height:33.0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1"/>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5、脚架采用矩形钢管，壁厚1.5mm，钢架采用满焊焊接，经高温粉体烤漆，长时间使用也不会产生表面漆剥落现象；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、功能：桌架配有接线槽，方便安装插座等。</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33400" cy="630555"/>
                      <wp:effectExtent l="0" t="0" r="0" b="17145"/>
                      <wp:docPr id="88"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7" descr="IMG_342"/>
                              <pic:cNvPicPr>
                                <a:picLocks noChangeAspect="1"/>
                              </pic:cNvPicPr>
                              <pic:nvPr/>
                            </pic:nvPicPr>
                            <pic:blipFill>
                              <a:blip r:embed="rId97"/>
                              <a:stretch/>
                            </pic:blipFill>
                            <pic:spPr bwMode="auto">
                              <a:xfrm>
                                <a:off x="0" y="0"/>
                                <a:ext cx="533400" cy="630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2.0pt;height:49.6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2"/>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5、脚架采用矩形钢管，壁厚1.5mm，钢架采用满焊焊接，经高温粉体烤漆，长时间使用也不会产生表面漆剥落现象；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、功能：桌架配有接线槽，方便安装插座等。</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教师电脑椅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74345" cy="598170"/>
                      <wp:effectExtent l="0" t="0" r="1905" b="11430"/>
                      <wp:docPr id="89"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8" descr="IMG_343"/>
                              <pic:cNvPicPr>
                                <a:picLocks noChangeAspect="1"/>
                              </pic:cNvPicPr>
                              <pic:nvPr/>
                            </pic:nvPicPr>
                            <pic:blipFill>
                              <a:blip r:embed="rId98"/>
                              <a:stretch/>
                            </pic:blipFill>
                            <pic:spPr bwMode="auto">
                              <a:xfrm>
                                <a:off x="0" y="0"/>
                                <a:ext cx="474345" cy="598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37.4pt;height:47.1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长460*宽440*高870（坐高450）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1.实木弯曲木脚符合国家标准，甲醛释放量符合标准；覆面拼贴严密、平整、无脱胶、鼓泡，无裂纹、压痕和划伤；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2.靠背护腰曲线设计符合人体工学，全新PP材质一体成型，重金属，苯并芘，16种多环芳烃总量均符合国家标准。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3.尼龙脚塞，防滑耐磨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双人电脑桌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6745" cy="605155"/>
                      <wp:effectExtent l="0" t="0" r="1905" b="4445"/>
                      <wp:docPr id="90"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9" descr="IMG_344"/>
                              <pic:cNvPicPr>
                                <a:picLocks noChangeAspect="1"/>
                              </pic:cNvPicPr>
                              <pic:nvPr/>
                            </pic:nvPicPr>
                            <pic:blipFill>
                              <a:blip r:embed="rId99"/>
                              <a:stretch/>
                            </pic:blipFill>
                            <pic:spPr bwMode="auto">
                              <a:xfrm>
                                <a:off x="0" y="0"/>
                                <a:ext cx="626745" cy="605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9.3pt;height:47.6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3"/>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5、脚架采用矩形钢管，壁厚1.5mm，钢架采用满焊焊接，经高温粉体烤漆，长时间使用也不会产生表面漆剥落现象；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6、功能：桌架配有接线槽，方便安装插座等。</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翻转电脑桌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18490" cy="471170"/>
                      <wp:effectExtent l="0" t="0" r="10160" b="5080"/>
                      <wp:docPr id="91"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0" descr="IMG_345"/>
                              <pic:cNvPicPr>
                                <a:picLocks noChangeAspect="1"/>
                              </pic:cNvPicPr>
                              <pic:nvPr/>
                            </pic:nvPicPr>
                            <pic:blipFill>
                              <a:blip r:embed="rId100"/>
                              <a:stretch/>
                            </pic:blipFill>
                            <pic:spPr bwMode="auto">
                              <a:xfrm>
                                <a:off x="0" y="0"/>
                                <a:ext cx="618490" cy="471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8.7pt;height:37.1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桌面采用25毫米优质防火板，鸭嘴边（两侧材质为PVC封边），面材采用优质环保防火板饰面，甲醛释放达到国家E1级环保要求，桌面多款颜色可选。</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液晶屏翻转器说明：翻转器采用冷轧钢板材料，钢板厚度不小于1.1毫米，采用全自动激光切割机、数控机床裁板，二氧化碳保护焊工艺制作，表面经酸洗、磷化防腐防锈处理后静电喷塑，安装液晶屏尺寸：19-24寸，表面尺寸：644*467*160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，开孔尺寸：615*443mm，最大可装：560*370*60mm，木板尺寸：604*420*12</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上面为弹舌拉手，下面为钥匙，实行双重制动。采用特制大阻力气压杆，阻尼缓冲效果，防止快速回弹，损坏显示器和给使用者造成伤害，配减速减震阻尼装置，翻转过程中噪音小，轻便顺畅，安全性高。能隐藏液晶屏显示器，笔记本电脑，一体机的同时还可以隐藏键盘和鼠标，并且配有单独放鼠标的鼠标槽，显示器翻起后直立于桌面，键盘鼠标同时升起与桌面平齐</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表面经酸洗、磷化防腐防锈处理后静电喷塑。</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桌腿采用1.0mm厚优质冷轧钢板，全钢一体成型，工字形设计，双层钢板结构，桌腿宽度45mm，长度255mm，高度725mm。桌腿前后圆形折弯，增强了承重能力，后挡板加大设计，避免前后同学互相干扰。主机隐藏式。底部配有尼龙支撑脚，可旋转调节高低，调整桌子稳定性，防滑耐用。整体结构为活动件，拆卸方便。</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54965" cy="573405"/>
                      <wp:effectExtent l="0" t="0" r="6985" b="17145"/>
                      <wp:docPr id="92"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1" descr="IMG_346"/>
                              <pic:cNvPicPr>
                                <a:picLocks noChangeAspect="1"/>
                              </pic:cNvPicPr>
                              <pic:nvPr/>
                            </pic:nvPicPr>
                            <pic:blipFill>
                              <a:blip r:embed="rId101"/>
                              <a:stretch/>
                            </pic:blipFill>
                            <pic:spPr bwMode="auto">
                              <a:xfrm>
                                <a:off x="0" y="0"/>
                                <a:ext cx="354965" cy="5734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7.9pt;height:45.1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1、柜体钢板:采用冷轧钢板，柜体板件采用0.</w:t>
            </w:r>
            <w:r>
              <w:rPr>
                <w:rFonts w:hint="eastAsia" w:ascii="宋体" w:hAnsi="宋体" w:cs="宋体"/>
                <w:b w:val="0"/>
                <w:bCs w:val="0"/>
                <w:i w:val="0"/>
                <w:iCs w:val="0"/>
                <w:color w:val="000000"/>
                <w:sz w:val="18"/>
                <w:szCs w:val="18"/>
                <w:highlight w:val="none"/>
                <w:u w:val="none"/>
                <w:lang w:val="en-US" w:eastAsia="zh-CN" w:bidi="ar"/>
              </w:rPr>
              <w:t xml:space="preserve">8</w:t>
            </w:r>
            <w:r>
              <w:rPr>
                <w:rFonts w:hint="eastAsia" w:ascii="宋体" w:hAnsi="宋体" w:eastAsia="宋体" w:cs="宋体"/>
                <w:b w:val="0"/>
                <w:bCs w:val="0"/>
                <w:i w:val="0"/>
                <w:iCs w:val="0"/>
                <w:color w:val="000000"/>
                <w:sz w:val="18"/>
                <w:szCs w:val="18"/>
                <w:highlight w:val="none"/>
                <w:u w:val="none"/>
                <w:lang w:val="en-US" w:eastAsia="zh-CN" w:bidi="ar"/>
              </w:rPr>
              <w:t xml:space="preserve">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2、柜体结构:采用整体焊接式，焊点平整，结构稳固，承重、承压性好；所有部件均经打磨，砂光处理，免除钢板表面的毛刺、棱角确保对人体可能造成的伤害;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4、五金配件：全部采用铰链，具有安装快速，结构简单，开启灵活、锁具可靠、避免因锁具能够相互打开引发的安全问题。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接待桌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485775"/>
                      <wp:effectExtent l="0" t="0" r="0" b="9525"/>
                      <wp:docPr id="93"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2" descr="IMG_347"/>
                              <pic:cNvPicPr>
                                <a:picLocks noChangeAspect="1"/>
                              </pic:cNvPicPr>
                              <pic:nvPr/>
                            </pic:nvPicPr>
                            <pic:blipFill>
                              <a:blip r:embed="rId102"/>
                              <a:stretch/>
                            </pic:blipFill>
                            <pic:spPr bwMode="auto">
                              <a:xfrm>
                                <a:off x="0" y="0"/>
                                <a:ext cx="8382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6.0pt;height:38.2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1100*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接待</w:t>
            </w:r>
            <w:r>
              <w:rPr>
                <w:rFonts w:hint="eastAsia" w:ascii="宋体" w:hAnsi="宋体" w:eastAsia="宋体" w:cs="宋体"/>
                <w:b w:val="0"/>
                <w:bCs w:val="0"/>
                <w:i w:val="0"/>
                <w:iCs w:val="0"/>
                <w:color w:val="000000"/>
                <w:sz w:val="18"/>
                <w:szCs w:val="18"/>
                <w:highlight w:val="none"/>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7050" cy="635000"/>
                      <wp:effectExtent l="0" t="0" r="6350" b="12700"/>
                      <wp:docPr id="94"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3" descr="IMG_348"/>
                              <pic:cNvPicPr>
                                <a:picLocks noChangeAspect="1"/>
                              </pic:cNvPicPr>
                              <pic:nvPr/>
                            </pic:nvPicPr>
                            <pic:blipFill>
                              <a:blip r:embed="rId55"/>
                              <a:stretch/>
                            </pic:blipFill>
                            <pic:spPr bwMode="auto">
                              <a:xfrm>
                                <a:off x="0" y="0"/>
                                <a:ext cx="527050" cy="635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1.5pt;height:50.0pt;mso-wrap-distance-left:0.0pt;mso-wrap-distance-top:0.0pt;mso-wrap-distance-right:0.0pt;mso-wrap-distance-bottom:0.0pt;" stroked="f" strokeweight="0.75pt">
                      <v:path textboxrect="0,0,0,0"/>
                      <v:imagedata r:id="rId55" o:title=""/>
                    </v:shape>
                  </w:pict>
                </mc:Fallback>
              </mc:AlternateContent>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82600" cy="384175"/>
                      <wp:effectExtent l="0" t="0" r="12700" b="15875"/>
                      <wp:docPr id="95"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4" descr="IMG_349"/>
                              <pic:cNvPicPr>
                                <a:picLocks noChangeAspect="1"/>
                              </pic:cNvPicPr>
                              <pic:nvPr/>
                            </pic:nvPicPr>
                            <pic:blipFill>
                              <a:blip r:embed="rId103"/>
                              <a:stretch/>
                            </pic:blipFill>
                            <pic:spPr bwMode="auto">
                              <a:xfrm>
                                <a:off x="0" y="0"/>
                                <a:ext cx="482600" cy="384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38.0pt;height:30.2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科学探究桌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548640"/>
                      <wp:effectExtent l="0" t="0" r="13970" b="3810"/>
                      <wp:docPr id="96"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5" descr="IMG_350"/>
                              <pic:cNvPicPr>
                                <a:picLocks noChangeAspect="1"/>
                              </pic:cNvPicPr>
                              <pic:nvPr/>
                            </pic:nvPicPr>
                            <pic:blipFill>
                              <a:blip r:embed="rId104"/>
                              <a:stretch/>
                            </pic:blipFill>
                            <pic:spPr bwMode="auto">
                              <a:xfrm>
                                <a:off x="0" y="0"/>
                                <a:ext cx="65278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1.4pt;height:43.2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直径1600*750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加书包箱</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4"/>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7380" cy="313690"/>
                      <wp:effectExtent l="0" t="0" r="1270" b="10160"/>
                      <wp:docPr id="97"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6" descr="IMG_351"/>
                              <pic:cNvPicPr>
                                <a:picLocks noChangeAspect="1"/>
                              </pic:cNvPicPr>
                              <pic:nvPr/>
                            </pic:nvPicPr>
                            <pic:blipFill>
                              <a:blip r:embed="rId105"/>
                              <a:stretch/>
                            </pic:blipFill>
                            <pic:spPr bwMode="auto">
                              <a:xfrm>
                                <a:off x="0" y="0"/>
                                <a:ext cx="627380" cy="313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9.4pt;height:24.7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1、</w:t>
            </w:r>
            <w:r>
              <w:rPr>
                <w:rFonts w:hint="eastAsia" w:ascii="宋体" w:hAnsi="宋体" w:eastAsia="宋体" w:cs="宋体"/>
                <w:b w:val="0"/>
                <w:bCs w:val="0"/>
                <w:i w:val="0"/>
                <w:iCs w:val="0"/>
                <w:color w:val="000000"/>
                <w:sz w:val="18"/>
                <w:szCs w:val="18"/>
                <w:highlight w:val="none"/>
                <w:u w:val="none"/>
                <w:lang w:val="en-US" w:eastAsia="zh-CN" w:bidi="ar"/>
              </w:rPr>
              <w:t xml:space="preserve">材质：采用PP耐冲击塑料一级新料双色注塑成型。承重不得小于500KG重压，不得变形，须能承受10磅榔头重力锤击不得破裂。不得采用回收料生产，不得采用滚塑，吹塑等工业制造。外框尺寸：42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*3</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2*32</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2、面均可以形成座位，同时上壳1的二个侧面同样可以形成座位，共同组成多座向的音乐凳，整体结构结构、设计合理，拆装方便使用。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3、包括上壳1和下壳6，所述下壳“匚”形结构，且下壳的中间部分设有横梁6，横梁6的宽度不得小于10</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,横梁6的内部设有造型腔，造型腔内设有呈T形的结构，内部的顶部与下壳顶部共面设置，T型设计可以增加横梁6的强度，横梁6的正反面都可以作为坐垫使用。横梁6位置离地面高度不得小于13</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。横梁正上方需留有凹形拉手槽，正面一样，尺寸为12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*2</w:t>
            </w:r>
            <w:r>
              <w:rPr>
                <w:rFonts w:hint="eastAsia" w:ascii="宋体" w:hAnsi="宋体" w:cs="宋体"/>
                <w:b w:val="0"/>
                <w:bCs w:val="0"/>
                <w:i w:val="0"/>
                <w:iCs w:val="0"/>
                <w:color w:val="000000"/>
                <w:sz w:val="18"/>
                <w:szCs w:val="18"/>
                <w:highlight w:val="none"/>
                <w:u w:val="none"/>
                <w:lang w:val="en-US" w:eastAsia="zh-CN" w:bidi="ar"/>
              </w:rPr>
              <w:t xml:space="preserve">0M</w:t>
            </w:r>
            <w:r>
              <w:rPr>
                <w:rFonts w:hint="eastAsia" w:ascii="宋体" w:hAnsi="宋体" w:eastAsia="宋体" w:cs="宋体"/>
                <w:b w:val="0"/>
                <w:bCs w:val="0"/>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音乐合唱台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0545" cy="581660"/>
                      <wp:effectExtent l="0" t="0" r="1905" b="8890"/>
                      <wp:docPr id="98"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7" descr="IMG_352"/>
                              <pic:cNvPicPr>
                                <a:picLocks noChangeAspect="1"/>
                              </pic:cNvPicPr>
                              <pic:nvPr/>
                            </pic:nvPicPr>
                            <pic:blipFill>
                              <a:blip r:embed="rId106"/>
                              <a:stretch/>
                            </pic:blipFill>
                            <pic:spPr bwMode="auto">
                              <a:xfrm>
                                <a:off x="0" y="0"/>
                                <a:ext cx="550545" cy="581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3.4pt;height:45.8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62</w:t>
            </w:r>
            <w:r>
              <w:rPr>
                <w:rFonts w:hint="eastAsia" w:ascii="宋体" w:hAnsi="宋体" w:cs="宋体"/>
                <w:b w:val="0"/>
                <w:bCs w:val="0"/>
                <w:i w:val="0"/>
                <w:iCs w:val="0"/>
                <w:color w:val="000000"/>
                <w:sz w:val="18"/>
                <w:szCs w:val="18"/>
                <w:highlight w:val="none"/>
                <w:u w:val="none"/>
                <w:lang w:val="en-US" w:eastAsia="zh-CN" w:bidi="ar"/>
              </w:rPr>
              <w:t xml:space="preserve">0</w:t>
            </w:r>
            <w:r/>
          </w:p>
          <w:p>
            <w:pPr>
              <w:jc w:val="center"/>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1、三层合唱台结构(长&gt;1250mm,台阶宽1200mm,三层高625mm);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2、平面舞台结构(长1250mm,宽1600mm,高度312mm);2.工艺说明:吹塑制作，材质轻，耐磨抗压，抗氧化功能强，吸水性小，优良的电绝缘性，耐寒;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3、设计特点:符合国家标准和行业标准既造型美观，同时兼顾便于安装维护和管理，环保，硬度高，韧性强，表面耐磨、耐划伤、抗污抗老化、抗压抗冲击。机械强度测试可承重2000KG以上，安全有保障;</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4、拼装合理，牢固，没有多余的凸出的钢构件:采用不同方式拼接组成、三阶、二阶、一阶: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中空配件侧面设计内陷抓手，底下有站脚，后面配有脚轮方便移动,可随手推出轻松转换位置，保护地面的同时，满足使用方便的要求:(3)合唱台台阶可翻转设计，侧面轮子设计方便推移，未使用时还可倒立放置收纳节省活动空间;</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劳动桌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8000" cy="427355"/>
                      <wp:effectExtent l="0" t="0" r="6350" b="10795"/>
                      <wp:docPr id="99"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8" descr="IMG_353"/>
                              <pic:cNvPicPr>
                                <a:picLocks noChangeAspect="1"/>
                              </pic:cNvPicPr>
                              <pic:nvPr/>
                            </pic:nvPicPr>
                            <pic:blipFill>
                              <a:blip r:embed="rId107"/>
                              <a:stretch/>
                            </pic:blipFill>
                            <pic:spPr bwMode="auto">
                              <a:xfrm>
                                <a:off x="0" y="0"/>
                                <a:ext cx="508000" cy="427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0.0pt;height:33.6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1100*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w:t>
            </w:r>
            <w:r>
              <w:rPr>
                <w:rFonts w:hint="eastAsia" w:ascii="宋体" w:hAnsi="宋体" w:cs="宋体"/>
                <w:b w:val="0"/>
                <w:bCs w:val="0"/>
                <w:i w:val="0"/>
                <w:iCs w:val="0"/>
                <w:color w:val="000000"/>
                <w:sz w:val="18"/>
                <w:szCs w:val="18"/>
                <w:highlight w:val="none"/>
                <w:u w:val="none"/>
                <w:lang w:val="en-US" w:eastAsia="zh-CN" w:bidi="ar"/>
              </w:rPr>
              <w:t xml:space="preserve">国标</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钢化玻璃</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0545" cy="481965"/>
                      <wp:effectExtent l="0" t="0" r="1905" b="13335"/>
                      <wp:docPr id="100"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99" descr="IMG_354"/>
                              <pic:cNvPicPr>
                                <a:picLocks noChangeAspect="1"/>
                              </pic:cNvPicPr>
                              <pic:nvPr/>
                            </pic:nvPicPr>
                            <pic:blipFill>
                              <a:blip r:embed="rId108"/>
                              <a:stretch/>
                            </pic:blipFill>
                            <pic:spPr bwMode="auto">
                              <a:xfrm>
                                <a:off x="0" y="0"/>
                                <a:ext cx="550545" cy="481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43.4pt;height:37.9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1100*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采用符合国家标准的钢化玻璃，厚度≥1</w:t>
            </w:r>
            <w:r>
              <w:rPr>
                <w:rFonts w:hint="eastAsia" w:ascii="宋体" w:hAnsi="宋体" w:cs="宋体"/>
                <w:b w:val="0"/>
                <w:bCs w:val="0"/>
                <w:i w:val="0"/>
                <w:iCs w:val="0"/>
                <w:color w:val="000000"/>
                <w:sz w:val="18"/>
                <w:szCs w:val="18"/>
                <w:highlight w:val="none"/>
                <w:u w:val="none"/>
                <w:lang w:val="en-US" w:eastAsia="zh-CN" w:bidi="ar"/>
              </w:rPr>
              <w:t xml:space="preserve">0m</w:t>
            </w:r>
            <w:r>
              <w:rPr>
                <w:rFonts w:hint="eastAsia" w:ascii="宋体" w:hAnsi="宋体" w:eastAsia="宋体" w:cs="宋体"/>
                <w:b w:val="0"/>
                <w:bCs w:val="0"/>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382905"/>
                      <wp:effectExtent l="0" t="0" r="6350" b="17145"/>
                      <wp:docPr id="101"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0" descr="IMG_355"/>
                              <pic:cNvPicPr>
                                <a:picLocks noChangeAspect="1"/>
                              </pic:cNvPicPr>
                              <pic:nvPr/>
                            </pic:nvPicPr>
                            <pic:blipFill>
                              <a:blip r:embed="rId109"/>
                              <a:stretch/>
                            </pic:blipFill>
                            <pic:spPr bwMode="auto">
                              <a:xfrm>
                                <a:off x="0" y="0"/>
                                <a:ext cx="660400" cy="3829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2.0pt;height:30.1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rPr>
                <w:rFonts w:hint="eastAsia" w:ascii="宋体" w:hAnsi="宋体" w:cs="宋体"/>
                <w:b w:val="0"/>
                <w:bCs w:val="0"/>
                <w:i w:val="0"/>
                <w:iCs w:val="0"/>
                <w:color w:val="000000"/>
                <w:sz w:val="18"/>
                <w:szCs w:val="18"/>
                <w:highlight w:val="none"/>
                <w:u w:val="none"/>
                <w:lang w:val="en-US" w:eastAsia="zh-CN" w:bidi="ar"/>
              </w:rPr>
              <w:t xml:space="preserve">100</w:t>
            </w:r>
            <w:r>
              <w:rPr>
                <w:rFonts w:hint="eastAsia" w:ascii="宋体" w:hAnsi="宋体" w:eastAsia="宋体" w:cs="宋体"/>
                <w:b w:val="0"/>
                <w:bCs w:val="0"/>
                <w:i w:val="0"/>
                <w:iCs w:val="0"/>
                <w:color w:val="000000"/>
                <w:sz w:val="18"/>
                <w:szCs w:val="18"/>
                <w:highlight w:val="none"/>
                <w:u w:val="none"/>
                <w:lang w:val="en-US" w:eastAsia="zh-CN" w:bidi="ar"/>
              </w:rPr>
              <w:t xml:space="preserve">和</w:t>
            </w:r>
            <w:r>
              <w:rPr>
                <w:rFonts w:hint="eastAsia" w:ascii="宋体" w:hAnsi="宋体" w:cs="宋体"/>
                <w:b w:val="0"/>
                <w:bCs w:val="0"/>
                <w:i w:val="0"/>
                <w:iCs w:val="0"/>
                <w:color w:val="000000"/>
                <w:sz w:val="18"/>
                <w:szCs w:val="18"/>
                <w:highlight w:val="none"/>
                <w:u w:val="none"/>
                <w:lang w:val="en-US" w:eastAsia="zh-CN" w:bidi="ar"/>
              </w:rPr>
              <w:t xml:space="preserve">101</w:t>
            </w:r>
            <w:r>
              <w:rPr>
                <w:rFonts w:hint="eastAsia" w:ascii="宋体" w:hAnsi="宋体" w:eastAsia="宋体" w:cs="宋体"/>
                <w:b w:val="0"/>
                <w:bCs w:val="0"/>
                <w:i w:val="0"/>
                <w:iCs w:val="0"/>
                <w:color w:val="000000"/>
                <w:sz w:val="18"/>
                <w:szCs w:val="18"/>
                <w:highlight w:val="none"/>
                <w:u w:val="none"/>
                <w:lang w:val="en-US" w:eastAsia="zh-CN" w:bidi="ar"/>
              </w:rPr>
              <w:t xml:space="preserve">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31800" cy="603250"/>
                      <wp:effectExtent l="0" t="0" r="6350" b="6350"/>
                      <wp:docPr id="102" name="图片 101"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1" descr="IMG_356"/>
                              <pic:cNvPicPr>
                                <a:picLocks noChangeAspect="1"/>
                              </pic:cNvPicPr>
                              <pic:nvPr/>
                            </pic:nvPicPr>
                            <pic:blipFill>
                              <a:blip r:embed="rId110"/>
                              <a:stretch/>
                            </pic:blipFill>
                            <pic:spPr bwMode="auto">
                              <a:xfrm>
                                <a:off x="0" y="0"/>
                                <a:ext cx="431799" cy="603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34.0pt;height:47.5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660*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1260（坐高470）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，摩擦色牢度≥4级；游离甲醛未检出VOC≤</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15mg/kg；禁用偶氮染料未检出，可萃取的重金属≤1mg/kg;经液态浸色及防潮、防污等工艺处理,皮面更加柔</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4、脚：五金铝合金脚。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组合背</w:t>
            </w:r>
            <w:r>
              <w:rPr>
                <w:rFonts w:hint="eastAsia" w:ascii="宋体" w:hAnsi="宋体" w:eastAsia="宋体" w:cs="宋体"/>
                <w:b w:val="0"/>
                <w:bCs w:val="0"/>
                <w:i w:val="0"/>
                <w:iCs w:val="0"/>
                <w:color w:val="000000"/>
                <w:sz w:val="18"/>
                <w:szCs w:val="18"/>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73710" cy="468630"/>
                      <wp:effectExtent l="0" t="0" r="2540" b="7620"/>
                      <wp:docPr id="103" name="图片 102"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2" descr="IMG_357"/>
                              <pic:cNvPicPr>
                                <a:picLocks noChangeAspect="1"/>
                              </pic:cNvPicPr>
                              <pic:nvPr/>
                            </pic:nvPicPr>
                            <pic:blipFill>
                              <a:blip r:embed="rId111"/>
                              <a:stretch/>
                            </pic:blipFill>
                            <pic:spPr bwMode="auto">
                              <a:xfrm>
                                <a:off x="0" y="0"/>
                                <a:ext cx="473710" cy="4686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37.3pt;height:36.9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1345" cy="280035"/>
                      <wp:effectExtent l="0" t="0" r="8255" b="5715"/>
                      <wp:docPr id="104" name="图片 10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3" descr="IMG_358"/>
                              <pic:cNvPicPr>
                                <a:picLocks noChangeAspect="1"/>
                              </pic:cNvPicPr>
                              <pic:nvPr/>
                            </pic:nvPicPr>
                            <pic:blipFill>
                              <a:blip r:embed="rId112"/>
                              <a:stretch/>
                            </pic:blipFill>
                            <pic:spPr bwMode="auto">
                              <a:xfrm>
                                <a:off x="0" y="0"/>
                                <a:ext cx="601345" cy="280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47.3pt;height:22.1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1930*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1、面料：采用优质阻燃超纤皮，柔软贴手，透气性好、应无色差。理化性能：摩擦色牢度（光面革）：干擦（500次）≥4级。耐磨性（光面革）（CS-10，1000g，500r）：无明显损伤、剥落；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木制件：内部用料不应使用（1）贯通裂缝材（2）昆虫尚在侵蚀的木材（3）轻微腐朽材面积超过零部件面积15%的木材（4）腐朽材深度超过板材厚25%的木材（5）有轻微裂缝或节子，影响结构强度的木材（6）带有树皮的木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3、海绵：采用冷发泡定型海绵。色泽：颜色应均匀，允许轻微杂色，黄芯。气孔：不允许有长度大于6mm的对穿孔和长度大于10mm的气孔。无刺激性气味。75%压缩永久变形率≤8%。回弹率≥35%；</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4、缝纫和包覆：面料缝线应无跳针或明显浮线，无断线或脱线现象或外露线头，嵌线应圆滑顺直及圆弧处均匀对称；</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最高限价3000元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98780" cy="516890"/>
                      <wp:effectExtent l="0" t="0" r="1270" b="16510"/>
                      <wp:docPr id="105" name="图片 10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4" descr="IMG_359"/>
                              <pic:cNvPicPr>
                                <a:picLocks noChangeAspect="1"/>
                              </pic:cNvPicPr>
                              <pic:nvPr/>
                            </pic:nvPicPr>
                            <pic:blipFill>
                              <a:blip r:embed="rId113"/>
                              <a:stretch/>
                            </pic:blipFill>
                            <pic:spPr bwMode="auto">
                              <a:xfrm>
                                <a:off x="0" y="0"/>
                                <a:ext cx="398780" cy="5168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1.4pt;height:40.7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820*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，摩擦色牢度≥4级；游离甲醛未检出VOC≤</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15mg/kg；禁用偶氮染料未检出，可萃取的重金属≤1mg/kg;经液态浸色及防潮、防污等工艺处理,皮面更加柔</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4、脚：五金铝合金脚。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2945" cy="375285"/>
                      <wp:effectExtent l="0" t="0" r="1905" b="5715"/>
                      <wp:docPr id="106" name="图片 10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5" descr="IMG_360"/>
                              <pic:cNvPicPr>
                                <a:picLocks noChangeAspect="1"/>
                              </pic:cNvPicPr>
                              <pic:nvPr/>
                            </pic:nvPicPr>
                            <pic:blipFill>
                              <a:blip r:embed="rId114"/>
                              <a:stretch/>
                            </pic:blipFill>
                            <pic:spPr bwMode="auto">
                              <a:xfrm>
                                <a:off x="0" y="0"/>
                                <a:ext cx="702945" cy="3752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5.3pt;height:29.5pt;mso-wrap-distance-left:0.0pt;mso-wrap-distance-top:0.0pt;mso-wrap-distance-right:0.0pt;mso-wrap-distance-bottom:0.0pt;" stroked="f" strokeweight="0.75pt">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序号105和106为一套，最高限价2600元/套(桌+椅)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6890" cy="734060"/>
                      <wp:effectExtent l="0" t="0" r="16510" b="8890"/>
                      <wp:docPr id="107" name="图片 106"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6" descr="IMG_361"/>
                              <pic:cNvPicPr>
                                <a:picLocks noChangeAspect="1"/>
                              </pic:cNvPicPr>
                              <pic:nvPr/>
                            </pic:nvPicPr>
                            <pic:blipFill>
                              <a:blip r:embed="rId115"/>
                              <a:stretch/>
                            </pic:blipFill>
                            <pic:spPr bwMode="auto">
                              <a:xfrm>
                                <a:off x="0" y="0"/>
                                <a:ext cx="516890" cy="734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0.7pt;height:57.8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长645*宽600*高（1190-1250）（座高420-480）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1、椅背：阻燃尼龙塑料、网布结构，网布须符合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。具有透气性和防静电性能，耐磨性强，厚度≥1.0mm。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2、背框：全新PP一次注塑成型背框，内外框结构，结构坚固。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3、坐垫：纤维织物（网布），具有耐磨性。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4、海绵：软质聚氨酯泡沫塑料，回弹性与透气性好、坐感舒适，不易变形，密度≥35kg/m³，海绵厚度≥40mm。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5、座板：采用≥15mm多层曲木板热压成型，板材绿色环保，经防潮、防腐、防蛀等化学处理。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6、扶手：PP塑料固定扶手。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7、底盘：采用安全可锁定同步倾仰底盘，由≥3.2mm钢板压制而成，经防腐处理。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8、气压棒：金属气压棒，升降行程60mm，棒芯壁厚须符合GB/T29525-2013《座椅升降气弹簧技术条件》要求。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9、椅轮：塑料五星脚，直径330mm。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10、脚轮：万向轮，尼龙材质，直径50mm，具有锁定功能，滑动时无杂音、活动自如。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访客椅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6890" cy="652145"/>
                      <wp:effectExtent l="0" t="0" r="16510" b="14604"/>
                      <wp:docPr id="108" name="图片 107"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7" descr="IMG_362"/>
                              <pic:cNvPicPr>
                                <a:picLocks noChangeAspect="1"/>
                              </pic:cNvPicPr>
                              <pic:nvPr/>
                            </pic:nvPicPr>
                            <pic:blipFill>
                              <a:blip r:embed="rId20"/>
                              <a:stretch/>
                            </pic:blipFill>
                            <pic:spPr bwMode="auto">
                              <a:xfrm>
                                <a:off x="0" y="0"/>
                                <a:ext cx="516890" cy="652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0.7pt;height:51.3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长460*宽440*高870（坐高450）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1.实木弯曲木脚符合国家标准，甲醛释放量符合标准；覆面拼贴严密、平整、无脱胶、鼓泡，无裂纹、压痕和划伤；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2.靠背护腰曲线设计符合人体工学，全新PP材质一体成型，重金属，苯并芘，16种多环芳烃总量均符合国家标准。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3.尼龙脚塞，防滑耐磨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心理咨询沙发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18490" cy="386715"/>
                      <wp:effectExtent l="0" t="0" r="10160" b="13335"/>
                      <wp:docPr id="109" name="图片 108"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descr="IMG_363"/>
                              <pic:cNvPicPr>
                                <a:picLocks noChangeAspect="1"/>
                              </pic:cNvPicPr>
                              <pic:nvPr/>
                            </pic:nvPicPr>
                            <pic:blipFill>
                              <a:blip r:embed="rId116"/>
                              <a:stretch/>
                            </pic:blipFill>
                            <pic:spPr bwMode="auto">
                              <a:xfrm>
                                <a:off x="0" y="0"/>
                                <a:ext cx="618490" cy="3867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8.7pt;height:30.4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1750*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5"/>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饰面：优质防污绒布，外包仿皮，柔软贴手，透气性好、应无色差，表面无龟裂、破损，无油腻感，厚度和理化性应符合国家现行检验标准。</w:t>
            </w:r>
            <w:r/>
          </w:p>
          <w:p>
            <w:pPr>
              <w:numPr>
                <w:ilvl w:val="0"/>
                <w:numId w:val="2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海棉：优质高密度定型海绵，理化性能应符合国家现行标准。软硬适中，压膜量达到国家现行检验标准。3、内架为全实木方架结构稳固耐用。已经过防虫、防蛀、防霉处理，高温等处理，可以耐变形，抗弯曲。</w:t>
            </w:r>
            <w:r/>
          </w:p>
          <w:p>
            <w:pPr>
              <w:numPr>
                <w:ilvl w:val="0"/>
                <w:numId w:val="2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内部填充物为高密度弹力海绵（软硬适中），发泡均匀、回弹性大，柔软性好，撕裂强度强，永久压缩变形小。绿色环保，无污染弹簧与超力橡筋交叉连接永久固定在木架上，不易变型。</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5、支架：选用优质金属脚，表面喷黑砂、哑光处理。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最高限价3000元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心理咨询独立沙发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93090" cy="546100"/>
                      <wp:effectExtent l="0" t="0" r="16510" b="6350"/>
                      <wp:docPr id="110" name="图片 109"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9" descr="IMG_364"/>
                              <pic:cNvPicPr>
                                <a:picLocks noChangeAspect="1"/>
                              </pic:cNvPicPr>
                              <pic:nvPr/>
                            </pic:nvPicPr>
                            <pic:blipFill>
                              <a:blip r:embed="rId117"/>
                              <a:stretch/>
                            </pic:blipFill>
                            <pic:spPr bwMode="auto">
                              <a:xfrm>
                                <a:off x="0" y="0"/>
                                <a:ext cx="593090" cy="546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46.7pt;height:43.0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6"/>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饰面：优质防污绒布，外包仿皮，柔软贴手，透气性好、应无色差，表面无龟裂、破损，无油腻感，厚度和理化性应符合国家现行检验标准。</w:t>
            </w:r>
            <w:r/>
          </w:p>
          <w:p>
            <w:pPr>
              <w:numPr>
                <w:ilvl w:val="0"/>
                <w:numId w:val="2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海棉：优质高密度定型海绵，理化性能应符合国家现行标准。软硬适中，压膜量达到国家现行检验标准。3、内架为全实木方架结构稳固耐用。已经过防虫、防蛀、防霉处理，高温等处理，可以耐变形，抗弯曲。</w:t>
            </w:r>
            <w:r/>
          </w:p>
          <w:p>
            <w:pPr>
              <w:numPr>
                <w:ilvl w:val="0"/>
                <w:numId w:val="2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内部填充物为高密度弹力海绵（软硬适中），发泡均匀、回弹性大，柔软性好，撕裂强度强，永久压缩变形小。绿色环保，无污染弹簧与超力橡筋交叉连接永久固定在木架上，不易变型。</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5、支架：选用优质金属脚，表面喷黑砂、哑光处理。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最高限价1200元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组合茶几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657860"/>
                      <wp:effectExtent l="0" t="0" r="4445" b="8890"/>
                      <wp:docPr id="111" name="图片 110"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0" descr="IMG_365"/>
                              <pic:cNvPicPr>
                                <a:picLocks noChangeAspect="1"/>
                              </pic:cNvPicPr>
                              <pic:nvPr/>
                            </pic:nvPicPr>
                            <pic:blipFill>
                              <a:blip r:embed="rId118"/>
                              <a:stretch/>
                            </pic:blipFill>
                            <pic:spPr bwMode="auto">
                              <a:xfrm>
                                <a:off x="0" y="0"/>
                                <a:ext cx="643255" cy="6578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0.6pt;height:51.8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490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7"/>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几面：采用优质</w:t>
            </w:r>
            <w:r>
              <w:rPr>
                <w:rFonts w:hint="eastAsia" w:ascii="宋体" w:hAnsi="宋体" w:cs="宋体"/>
                <w:b w:val="0"/>
                <w:bCs w:val="0"/>
                <w:i w:val="0"/>
                <w:iCs w:val="0"/>
                <w:color w:val="000000"/>
                <w:sz w:val="18"/>
                <w:szCs w:val="18"/>
                <w:highlight w:val="none"/>
                <w:u w:val="none"/>
                <w:lang w:val="en-US" w:eastAsia="zh-CN" w:bidi="ar"/>
              </w:rPr>
              <w:t xml:space="preserve">E0级三聚氰胺板</w:t>
            </w:r>
            <w:r>
              <w:rPr>
                <w:rFonts w:hint="eastAsia" w:ascii="宋体" w:hAnsi="宋体" w:eastAsia="宋体" w:cs="宋体"/>
                <w:b w:val="0"/>
                <w:bCs w:val="0"/>
                <w:i w:val="0"/>
                <w:iCs w:val="0"/>
                <w:color w:val="000000"/>
                <w:sz w:val="18"/>
                <w:szCs w:val="18"/>
                <w:highlight w:val="none"/>
                <w:u w:val="none"/>
                <w:lang w:val="en-US" w:eastAsia="zh-CN" w:bidi="ar"/>
              </w:rPr>
              <w:t xml:space="preserve">，水性油漆喷涂，环保性能</w:t>
            </w:r>
            <w:r>
              <w:rPr>
                <w:rFonts w:hint="eastAsia" w:ascii="宋体" w:hAnsi="宋体" w:cs="宋体"/>
                <w:b w:val="0"/>
                <w:bCs w:val="0"/>
                <w:i w:val="0"/>
                <w:iCs w:val="0"/>
                <w:color w:val="000000"/>
                <w:sz w:val="18"/>
                <w:szCs w:val="18"/>
                <w:highlight w:val="none"/>
                <w:u w:val="none"/>
                <w:lang w:val="en-US" w:eastAsia="zh-CN" w:bidi="ar"/>
              </w:rPr>
              <w:t xml:space="preserve">符合国家标准。</w:t>
            </w:r>
            <w:r/>
          </w:p>
          <w:p>
            <w:pPr>
              <w:numPr>
                <w:ilvl w:val="0"/>
                <w:numId w:val="27"/>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同色PVC封边，强度高、不变形、承重性强，所有材料均经过防虫、防腐等化学处理甲醛释放量符合国际标准。</w:t>
            </w:r>
            <w:r/>
          </w:p>
          <w:p>
            <w:pPr>
              <w:numPr>
                <w:ilvl w:val="0"/>
                <w:numId w:val="27"/>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胶水:使用优质白乳胶、热熔胶，保证贴合及封边牢固</w:t>
            </w:r>
            <w:r>
              <w:rPr>
                <w:rFonts w:hint="eastAsia" w:ascii="宋体" w:hAnsi="宋体" w:cs="宋体"/>
                <w:b w:val="0"/>
                <w:bCs w:val="0"/>
                <w:i w:val="0"/>
                <w:iCs w:val="0"/>
                <w:color w:val="000000"/>
                <w:sz w:val="18"/>
                <w:szCs w:val="18"/>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4、桌脚：优质榉木实木脚。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最高限价650元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沙盘桌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561340"/>
                      <wp:effectExtent l="0" t="0" r="0" b="10160"/>
                      <wp:docPr id="112" name="图片 111"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1" descr="IMG_366"/>
                              <pic:cNvPicPr>
                                <a:picLocks noChangeAspect="1"/>
                              </pic:cNvPicPr>
                              <pic:nvPr/>
                            </pic:nvPicPr>
                            <pic:blipFill>
                              <a:blip r:embed="rId119"/>
                              <a:stretch/>
                            </pic:blipFill>
                            <pic:spPr bwMode="auto">
                              <a:xfrm>
                                <a:off x="0" y="0"/>
                                <a:ext cx="609600" cy="561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48.0pt;height:44.2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w:t>
            </w:r>
            <w:r>
              <w:rPr>
                <w:rFonts w:hint="eastAsia" w:ascii="宋体" w:hAnsi="宋体" w:cs="宋体"/>
                <w:b w:val="0"/>
                <w:bCs w:val="0"/>
                <w:i w:val="0"/>
                <w:iCs w:val="0"/>
                <w:color w:val="000000"/>
                <w:sz w:val="18"/>
                <w:szCs w:val="18"/>
                <w:highlight w:val="none"/>
                <w:u w:val="none"/>
                <w:lang w:val="en-US" w:eastAsia="zh-CN" w:bidi="ar"/>
              </w:rPr>
              <w:t xml:space="preserve">国标</w:t>
            </w:r>
            <w:r>
              <w:rPr>
                <w:rFonts w:hint="eastAsia" w:ascii="宋体" w:hAnsi="宋体" w:eastAsia="宋体" w:cs="宋体"/>
                <w:b w:val="0"/>
                <w:bCs w:val="0"/>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储物高柜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33400" cy="400050"/>
                      <wp:effectExtent l="0" t="0" r="0" b="0"/>
                      <wp:docPr id="113" name="图片 112"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2" descr="IMG_367"/>
                              <pic:cNvPicPr>
                                <a:picLocks noChangeAspect="1"/>
                              </pic:cNvPicPr>
                              <pic:nvPr/>
                            </pic:nvPicPr>
                            <pic:blipFill>
                              <a:blip r:embed="rId120"/>
                              <a:stretch/>
                            </pic:blipFill>
                            <pic:spPr bwMode="auto">
                              <a:xfrm>
                                <a:off x="0" y="0"/>
                                <a:ext cx="5334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42.0pt;height:31.5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2700*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2、封边：采用同色PVC封边，无缝封边，具有良好的耐气候性能，不易受环境、温度变化而产生收缩、膨胀的问题。封边处无脱胶、鼓泡、透胶、露底。甲醛释放量符合检测结果。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66090" cy="423545"/>
                      <wp:effectExtent l="0" t="0" r="10160" b="14604"/>
                      <wp:docPr id="114" name="图片 113"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3" descr="IMG_368"/>
                              <pic:cNvPicPr>
                                <a:picLocks noChangeAspect="1"/>
                              </pic:cNvPicPr>
                              <pic:nvPr/>
                            </pic:nvPicPr>
                            <pic:blipFill>
                              <a:blip r:embed="rId121"/>
                              <a:stretch/>
                            </pic:blipFill>
                            <pic:spPr bwMode="auto">
                              <a:xfrm>
                                <a:off x="0" y="0"/>
                                <a:ext cx="466090" cy="423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36.7pt;height:33.4pt;mso-wrap-distance-left:0.0pt;mso-wrap-distance-top:0.0pt;mso-wrap-distance-right:0.0pt;mso-wrap-distance-bottom:0.0pt;" stroked="f" strokeweight="0.75pt">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长1200*宽680*高740-1130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1、桌面采用尺寸为1200*680*18mm阻燃MDF吸塑板，静曲强度、弹性模量、内结合强度、表面胶合强度均要求合格。甲醛释放量符合检测结果，TVOC（总挥发性有机化合物）含量符合国家标准。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支架：采用优质1.5mm厚度铝脚和钢架组成，采用优质冷轧退火材料作为基板，采用热镀锌工艺，具有抗酸、防锈、防蚀、使用年限长等特点。3、粉末喷涂：表面采用环保室内型环氧树脂静电粉末喷涂，喷涂采用自动流水线喷涂，喷涂前必须经过除油、水洗、硅烷镀膜（或者磷化镀膜）等前处理程序，确保产品表面光洁、色泽均匀、附着力强、无杂质颗粒；喷涂层膜厚度均匀，表面喷粉颜色靓丽，具有环保、抑菌、防锈、耐腐蚀、绝缘性高、附着力强、耐摩擦等技术特点。</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4、脚轮：尼龙PA轮，活动自如，4轮可锁定，耐磨性及其他理化性能均能达到国家标准。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5、升降范围:740-1135mm。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6、最大承重:120kgs</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俩层推车</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0545" cy="525780"/>
                      <wp:effectExtent l="0" t="0" r="1905" b="7620"/>
                      <wp:docPr id="115" name="图片 114"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4" descr="IMG_369"/>
                              <pic:cNvPicPr>
                                <a:picLocks noChangeAspect="1"/>
                              </pic:cNvPicPr>
                              <pic:nvPr/>
                            </pic:nvPicPr>
                            <pic:blipFill>
                              <a:blip r:embed="rId122"/>
                              <a:stretch/>
                            </pic:blipFill>
                            <pic:spPr bwMode="auto">
                              <a:xfrm>
                                <a:off x="0" y="0"/>
                                <a:ext cx="550545" cy="525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3.4pt;height:41.4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1、钢架：采用优质冷轧钢板/冷轧钢管，厚度1.5mm，喷涂前使用优质环保磷化液前处理，钢制部件整体使用优质环保塑粉静电喷涂，高温固化，确保质量完美。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2、五金配件：采用优质五金配件；金属合金件应无锈蚀，表面细密，应无裂痕、毛。焊接件焊接部位应牢固，焊缝均匀，应无毛刺、裂纹等缺陷；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3、成品甲醛释放量符合</w:t>
            </w:r>
            <w:r>
              <w:rPr>
                <w:rFonts w:hint="eastAsia" w:ascii="宋体" w:hAnsi="宋体" w:cs="宋体"/>
                <w:b w:val="0"/>
                <w:bCs w:val="0"/>
                <w:i w:val="0"/>
                <w:iCs w:val="0"/>
                <w:color w:val="000000"/>
                <w:sz w:val="18"/>
                <w:szCs w:val="18"/>
                <w:highlight w:val="none"/>
                <w:u w:val="none"/>
                <w:lang w:val="en-US" w:eastAsia="zh-CN" w:bidi="ar"/>
              </w:rPr>
              <w:t xml:space="preserve">国家</w:t>
            </w:r>
            <w:r>
              <w:rPr>
                <w:rFonts w:hint="eastAsia" w:ascii="宋体" w:hAnsi="宋体" w:eastAsia="宋体" w:cs="宋体"/>
                <w:b w:val="0"/>
                <w:bCs w:val="0"/>
                <w:i w:val="0"/>
                <w:iCs w:val="0"/>
                <w:color w:val="000000"/>
                <w:sz w:val="18"/>
                <w:szCs w:val="18"/>
                <w:highlight w:val="none"/>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三层推车</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8800" cy="641350"/>
                      <wp:effectExtent l="0" t="0" r="12700" b="6350"/>
                      <wp:docPr id="116" name="图片 115"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5" descr="IMG_370"/>
                              <pic:cNvPicPr>
                                <a:picLocks noChangeAspect="1"/>
                              </pic:cNvPicPr>
                              <pic:nvPr/>
                            </pic:nvPicPr>
                            <pic:blipFill>
                              <a:blip r:embed="rId123"/>
                              <a:stretch/>
                            </pic:blipFill>
                            <pic:spPr bwMode="auto">
                              <a:xfrm>
                                <a:off x="0" y="0"/>
                                <a:ext cx="558800" cy="641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44.0pt;height:50.5pt;mso-wrap-distance-left:0.0pt;mso-wrap-distance-top:0.0pt;mso-wrap-distance-right:0.0pt;mso-wrap-distance-bottom:0.0pt;" stroked="f" strokeweight="0.75pt">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1、钢架：采用优质冷轧钢板/冷轧钢管，厚度1.5mm，喷涂前使用优质环保磷化液前处理，钢制部件整体使用优质环保塑粉静电喷涂，高温固化，确保质量完美。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2、五金配件：采用优质五金配件；金属合金件应无锈蚀，表面细密，应无裂痕、毛。焊接件焊接部位应牢固，焊缝均匀，应无毛刺、裂纹等缺陷；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3、成品甲醛释放量符合</w:t>
            </w:r>
            <w:r>
              <w:rPr>
                <w:rFonts w:hint="eastAsia" w:ascii="宋体" w:hAnsi="宋体" w:cs="宋体"/>
                <w:b w:val="0"/>
                <w:bCs w:val="0"/>
                <w:i w:val="0"/>
                <w:iCs w:val="0"/>
                <w:color w:val="000000"/>
                <w:sz w:val="18"/>
                <w:szCs w:val="18"/>
                <w:highlight w:val="none"/>
                <w:u w:val="none"/>
                <w:lang w:val="en-US" w:eastAsia="zh-CN" w:bidi="ar"/>
              </w:rPr>
              <w:t xml:space="preserve">国家</w:t>
            </w:r>
            <w:r>
              <w:rPr>
                <w:rFonts w:hint="eastAsia" w:ascii="宋体" w:hAnsi="宋体" w:eastAsia="宋体" w:cs="宋体"/>
                <w:b w:val="0"/>
                <w:bCs w:val="0"/>
                <w:i w:val="0"/>
                <w:iCs w:val="0"/>
                <w:color w:val="000000"/>
                <w:sz w:val="18"/>
                <w:szCs w:val="18"/>
                <w:highlight w:val="none"/>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bl>
    <w:p>
      <w:pPr>
        <w:pStyle w:val="929"/>
        <w:numPr>
          <w:ilvl w:val="0"/>
          <w:numId w:val="0"/>
        </w:numPr>
        <w:jc w:val="left"/>
        <w:spacing w:line="500" w:lineRule="exact"/>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7"/>
        <w:spacing w:line="460" w:lineRule="exact"/>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b w:val="0"/>
          <w:bCs w:val="0"/>
          <w:sz w:val="24"/>
          <w:szCs w:val="24"/>
          <w:highlight w:val="none"/>
        </w:rPr>
        <w:t xml:space="preserve">1、尺寸允许±5%偏离，所附的图样为参照图样。</w:t>
      </w:r>
      <w:r/>
    </w:p>
    <w:p>
      <w:pPr>
        <w:pStyle w:val="927"/>
        <w:numPr>
          <w:ilvl w:val="0"/>
          <w:numId w:val="28"/>
        </w:numPr>
        <w:ind w:firstLine="480"/>
        <w:spacing w:line="460" w:lineRule="exact"/>
        <w:rPr>
          <w:rFonts w:hint="eastAsia"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核心产品：清单序号</w:t>
      </w:r>
      <w:r>
        <w:rPr>
          <w:rFonts w:hint="eastAsia" w:hAnsi="宋体" w:eastAsia="宋体" w:cs="宋体"/>
          <w:b w:val="0"/>
          <w:bCs w:val="0"/>
          <w:sz w:val="24"/>
          <w:szCs w:val="24"/>
          <w:highlight w:val="none"/>
          <w:lang w:val="en-US" w:eastAsia="zh-CN"/>
        </w:rPr>
        <w:t xml:space="preserve">22升降课桌、升降课椅</w:t>
      </w:r>
      <w:r>
        <w:rPr>
          <w:rFonts w:hint="eastAsia" w:hAnsi="宋体" w:eastAsia="宋体" w:cs="宋体"/>
          <w:b w:val="0"/>
          <w:bCs w:val="0"/>
          <w:sz w:val="24"/>
          <w:szCs w:val="24"/>
          <w:highlight w:val="none"/>
          <w:lang w:eastAsia="zh-CN"/>
        </w:rPr>
        <w:t xml:space="preserve">。</w:t>
      </w:r>
      <w:r/>
    </w:p>
    <w:p>
      <w:pPr>
        <w:pStyle w:val="927"/>
        <w:ind w:firstLine="480"/>
        <w:spacing w:line="460" w:lineRule="exact"/>
        <w:rPr>
          <w:rFonts w:hint="eastAsia" w:hAnsi="宋体" w:eastAsia="宋体" w:cs="宋体"/>
          <w:b w:val="0"/>
          <w:bCs w:val="0"/>
          <w:sz w:val="24"/>
          <w:szCs w:val="24"/>
          <w:highlight w:val="none"/>
          <w:lang w:eastAsia="zh-CN"/>
        </w:rPr>
      </w:pPr>
      <w:r>
        <w:rPr>
          <w:rFonts w:hint="eastAsia" w:hAnsi="宋体" w:eastAsia="宋体" w:cs="宋体"/>
          <w:b w:val="0"/>
          <w:bCs w:val="0"/>
          <w:sz w:val="24"/>
          <w:szCs w:val="24"/>
          <w:highlight w:val="none"/>
          <w:lang w:val="en-US" w:eastAsia="zh-CN"/>
        </w:rPr>
        <w:t xml:space="preserve">3.产品要符合甲醛、重金属、VOC、阻燃性能等多项环保标准，确保安全环保。</w:t>
      </w:r>
      <w:r/>
    </w:p>
    <w:p>
      <w:pPr>
        <w:pStyle w:val="927"/>
        <w:numPr>
          <w:ilvl w:val="0"/>
          <w:numId w:val="1"/>
        </w:numPr>
        <w:ind w:left="0" w:firstLine="0"/>
        <w:spacing w:line="46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原材料技术要求</w:t>
      </w:r>
      <w:r/>
    </w:p>
    <w:tbl>
      <w:tblPr>
        <w:tblStyle w:val="948"/>
        <w:tblpPr w:horzAnchor="page" w:tblpX="1335" w:vertAnchor="text" w:tblpY="31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94"/>
        <w:gridCol w:w="5297"/>
        <w:gridCol w:w="2762"/>
      </w:tblGrid>
      <w:tr>
        <w:trPr/>
        <w:tc>
          <w:tcPr>
            <w:tcW w:w="457" w:type="dxa"/>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0" w:type="auto"/>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名称</w:t>
            </w:r>
            <w:r/>
          </w:p>
        </w:tc>
        <w:tc>
          <w:tcPr>
            <w:tcW w:w="0" w:type="auto"/>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技术要求</w:t>
            </w:r>
            <w:r/>
          </w:p>
        </w:tc>
        <w:tc>
          <w:tcPr>
            <w:tcW w:w="0" w:type="auto"/>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依据标准</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阻燃桦木芯多层板</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气味浓度≤200ou/m³；苯酚释放量未检出；静曲强度（顺纹）≥22MPa；醛酮类化合物(羰基类化合物)24h≤1mg/m³；总半挥发性有机化合物释放量未检出</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GB/T42898-2023、GB/T43353-2023、</w:t>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31762-2015</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阻燃</w:t>
            </w:r>
            <w:r>
              <w:rPr>
                <w:rFonts w:hint="eastAsia" w:ascii="宋体" w:hAnsi="宋体" w:cs="宋体"/>
                <w:sz w:val="24"/>
                <w:szCs w:val="24"/>
                <w:highlight w:val="none"/>
                <w:lang w:val="en-US" w:eastAsia="zh-CN"/>
              </w:rPr>
              <w:t xml:space="preserve">橡胶木直拼板</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氨释放量</w:t>
            </w:r>
            <w:r>
              <w:rPr>
                <w:rFonts w:hint="eastAsia" w:ascii="宋体" w:hAnsi="宋体" w:eastAsia="宋体" w:cs="宋体"/>
                <w:sz w:val="24"/>
                <w:szCs w:val="24"/>
                <w:highlight w:val="none"/>
                <w:lang w:val="en-US" w:eastAsia="zh-CN"/>
              </w:rPr>
              <w:t xml:space="preserve">未检出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抗菌性能(酿脓链球菌)≥99%;气干密度≥0.65g/cm³；抗弯强度≥70MPa；重金属元素含量（铅、镉、铬、汞）未检出；燃烧性能等级B1；乙醛未检出；丙烯醛未检出；甲苯未检出；总挥发性有机化合物未检出；可接触的实木部件中五氯苯酚未检出；有机磷阻燃剂未检出</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GB/T36022-2018、GB/T35607-2024、GB/T42996.1-2023</w:t>
            </w:r>
            <w:r/>
          </w:p>
        </w:tc>
      </w:tr>
      <w:tr>
        <w:trPr/>
        <w:tc>
          <w:tcPr>
            <w:shd w:val="clear" w:color="auto" w:fill="ffffff" w:themeFill="background1"/>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ffffff" w:themeFill="background1"/>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铝合金支撑脚</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涂层耐湿（30个循环，240h）无气泡、无剥落、无粉化、无生锈；铜加速乙酸盐雾试验(CASS试验)耐腐蚀等级达到10级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断后伸长率≥8%；抗拉强度≥160N/m㎡；抑菌率（藤黄微球菌）抑菌率≥99%；耐霉菌性等级（出芽短梗霉）耐霉菌性等级达到0级</w:t>
            </w:r>
            <w:r>
              <w:rPr>
                <w:rFonts w:hint="eastAsia" w:ascii="宋体" w:hAnsi="宋体" w:eastAsia="宋体" w:cs="宋体"/>
                <w:sz w:val="24"/>
                <w:szCs w:val="24"/>
                <w:highlight w:val="none"/>
                <w:lang w:eastAsia="zh-CN"/>
              </w:rPr>
              <w:t xml:space="preserve">；耐液体性（氢氧化钠）24h综合</w:t>
            </w:r>
            <w:r>
              <w:rPr>
                <w:rFonts w:hint="eastAsia" w:ascii="宋体" w:hAnsi="宋体" w:eastAsia="宋体" w:cs="宋体"/>
                <w:sz w:val="24"/>
                <w:szCs w:val="24"/>
                <w:highlight w:val="none"/>
                <w:lang w:val="en-US" w:eastAsia="zh-CN"/>
              </w:rPr>
              <w:t xml:space="preserve">评定等级</w:t>
            </w:r>
            <w:r>
              <w:rPr>
                <w:rFonts w:hint="eastAsia" w:ascii="宋体" w:hAnsi="宋体" w:eastAsia="宋体" w:cs="宋体"/>
                <w:sz w:val="24"/>
                <w:szCs w:val="24"/>
                <w:highlight w:val="none"/>
                <w:lang w:eastAsia="zh-CN"/>
              </w:rPr>
              <w:t xml:space="preserve">0级；人工气候老化120h综合评级0级；可迁移元素（</w:t>
            </w:r>
            <w:r>
              <w:rPr>
                <w:rFonts w:hint="eastAsia" w:ascii="宋体" w:hAnsi="宋体" w:eastAsia="宋体" w:cs="宋体"/>
                <w:sz w:val="24"/>
                <w:szCs w:val="24"/>
                <w:highlight w:val="none"/>
                <w:lang w:val="en-US" w:eastAsia="zh-CN"/>
              </w:rPr>
              <w:t xml:space="preserve">铅、镉、铬、汞、锑、钡、硒、砷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未检出</w:t>
            </w:r>
            <w:r>
              <w:rPr>
                <w:rFonts w:hint="eastAsia" w:ascii="宋体" w:hAnsi="宋体" w:eastAsia="宋体" w:cs="宋体"/>
                <w:sz w:val="24"/>
                <w:szCs w:val="24"/>
                <w:highlight w:val="none"/>
                <w:lang w:eastAsia="zh-CN"/>
              </w:rPr>
              <w:t xml:space="preserve">；化学成分（</w:t>
            </w:r>
            <w:r>
              <w:rPr>
                <w:rFonts w:hint="eastAsia" w:ascii="宋体" w:hAnsi="宋体" w:eastAsia="宋体" w:cs="宋体"/>
                <w:sz w:val="24"/>
                <w:szCs w:val="24"/>
                <w:highlight w:val="none"/>
                <w:lang w:val="en-US" w:eastAsia="zh-CN"/>
              </w:rPr>
              <w:t xml:space="preserve">Si、Fe、Cu、Mn、Cr</w:t>
            </w:r>
            <w:r>
              <w:rPr>
                <w:rFonts w:hint="eastAsia" w:ascii="宋体" w:hAnsi="宋体" w:eastAsia="宋体" w:cs="宋体"/>
                <w:sz w:val="24"/>
                <w:szCs w:val="24"/>
                <w:highlight w:val="none"/>
                <w:lang w:eastAsia="zh-CN"/>
              </w:rPr>
              <w:t xml:space="preserve">）</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QB/T38</w:t>
            </w: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eastAsia="zh-CN"/>
              </w:rPr>
              <w:t xml:space="preserve">-1999、GB/T10125-2021、GB/T1741-2020</w:t>
            </w:r>
            <w:r/>
          </w:p>
        </w:tc>
      </w:tr>
      <w:tr>
        <w:trPr/>
        <w:tc>
          <w:tcPr>
            <w:shd w:val="clear" w:color="auto" w:fill="ffffff" w:themeFill="background1"/>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ffffff" w:themeFill="background1"/>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高密度定型阻燃海绵</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色泽颜色均匀；气孔直径-对穿孔≤6mm；气孔直径-气孔≤10mm；污染不应有明显污染；气味无刺激性气味；回弹率；拉伸强度；干热老化后拉伸强度；湿热老化后拉伸强度；密度≥18kg/m³；阻燃1级</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QB/T2280-2016</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防火阻燃麻绒布料</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甲醛含量≤20；PH值；耐水（变色、沾色）≥3-4；耐酸汗渍（变色、沾色）≥3-4；耐碱汗渍（变色、沾色）≥3-4；耐干摩擦≥4；耐唾液（变色、沾色）≥4；异味（无）符合；可分解致癌芳香胺染料未检出；可萃取重金属铅、镉、铬、六价铬未检出；模拟火柴火焰抗引燃性试验符合</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GB/T18885-2020</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阻燃</w:t>
            </w:r>
            <w:r>
              <w:rPr>
                <w:rFonts w:hint="eastAsia" w:ascii="宋体" w:hAnsi="宋体" w:eastAsia="宋体" w:cs="宋体"/>
                <w:sz w:val="24"/>
                <w:szCs w:val="24"/>
                <w:highlight w:val="none"/>
                <w:lang w:val="en-US" w:eastAsia="zh-CN"/>
              </w:rPr>
              <w:t xml:space="preserve">304不锈钢</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金属件-电镀</w:t>
            </w:r>
            <w:r>
              <w:rPr>
                <w:rFonts w:hint="eastAsia" w:ascii="宋体" w:hAnsi="宋体" w:eastAsia="宋体" w:cs="宋体"/>
                <w:sz w:val="24"/>
                <w:szCs w:val="24"/>
                <w:highlight w:val="none"/>
                <w:lang w:val="en-US" w:eastAsia="zh-CN"/>
              </w:rPr>
              <w:t xml:space="preserve">；金属化学成分分析（碳、硅、锰、磷）；金属拉伸性能试验（抗拉强度、断后伸长率、下屈服强度）；维氏硬度≤210；阻燃A1；乙酸盐雾试验（18h），保护评价10级；铜加速乙酸盐雾试验（18h），保护评价10级</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GB/T6461-2002、GB/T3280-2015</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阻燃</w:t>
            </w:r>
            <w:r>
              <w:rPr>
                <w:rFonts w:hint="eastAsia" w:ascii="宋体" w:hAnsi="宋体" w:cs="宋体"/>
                <w:sz w:val="24"/>
                <w:szCs w:val="24"/>
                <w:highlight w:val="none"/>
                <w:lang w:val="en-US" w:eastAsia="zh-CN" w:bidi="ar-SA"/>
              </w:rPr>
              <w:t xml:space="preserve">双</w:t>
            </w:r>
            <w:r>
              <w:rPr>
                <w:rFonts w:hint="eastAsia" w:ascii="宋体" w:hAnsi="宋体" w:eastAsia="宋体" w:cs="宋体"/>
                <w:sz w:val="24"/>
                <w:szCs w:val="24"/>
                <w:highlight w:val="none"/>
                <w:lang w:val="en-US" w:eastAsia="zh-CN" w:bidi="ar-SA"/>
              </w:rPr>
              <w:t xml:space="preserve">饰面刨花板</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b w:val="0"/>
                <w:bCs w:val="0"/>
                <w:sz w:val="24"/>
                <w:szCs w:val="24"/>
                <w:highlight w:val="none"/>
                <w:lang w:eastAsia="zh-CN"/>
              </w:rPr>
              <w:t xml:space="preserve">含水率；表面耐冷热循环；甲醛释放量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；总挥发性有机化合（TVOC）</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、苯、甲苯、二甲苯</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；气味</w:t>
            </w:r>
            <w:r>
              <w:rPr>
                <w:rFonts w:hint="eastAsia" w:ascii="宋体" w:hAnsi="宋体" w:eastAsia="宋体" w:cs="宋体"/>
                <w:b w:val="0"/>
                <w:bCs w:val="0"/>
                <w:sz w:val="24"/>
                <w:szCs w:val="24"/>
                <w:highlight w:val="none"/>
                <w:lang w:val="en-US" w:eastAsia="zh-CN"/>
              </w:rPr>
              <w:t xml:space="preserve">等级0级</w:t>
            </w:r>
            <w:r>
              <w:rPr>
                <w:rFonts w:hint="eastAsia" w:ascii="宋体" w:hAnsi="宋体" w:eastAsia="宋体" w:cs="宋体"/>
                <w:b w:val="0"/>
                <w:bCs w:val="0"/>
                <w:sz w:val="24"/>
                <w:szCs w:val="24"/>
                <w:highlight w:val="none"/>
                <w:lang w:eastAsia="zh-CN"/>
              </w:rPr>
              <w:t xml:space="preserve">；醛酮类化合物；氨释放量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；燃烧性能</w:t>
            </w:r>
            <w:r>
              <w:rPr>
                <w:rFonts w:hint="eastAsia" w:ascii="宋体" w:hAnsi="宋体" w:eastAsia="宋体" w:cs="宋体"/>
                <w:b w:val="0"/>
                <w:bCs w:val="0"/>
                <w:sz w:val="24"/>
                <w:szCs w:val="24"/>
                <w:highlight w:val="none"/>
                <w:lang w:val="en-US" w:eastAsia="zh-CN"/>
              </w:rPr>
              <w:t xml:space="preserve">B1</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GB/T15102-2017、GB/T39600-</w:t>
            </w:r>
            <w:r>
              <w:rPr>
                <w:rFonts w:hint="eastAsia" w:ascii="宋体" w:hAnsi="宋体" w:cs="宋体"/>
                <w:sz w:val="24"/>
                <w:szCs w:val="24"/>
                <w:highlight w:val="none"/>
                <w:lang w:val="en-US" w:eastAsia="zh-CN"/>
              </w:rPr>
              <w:t xml:space="preserve">2021</w:t>
            </w:r>
            <w:r>
              <w:rPr>
                <w:rFonts w:hint="eastAsia" w:ascii="宋体" w:hAnsi="宋体" w:eastAsia="宋体" w:cs="宋体"/>
                <w:sz w:val="24"/>
                <w:szCs w:val="24"/>
                <w:highlight w:val="none"/>
                <w:lang w:eastAsia="zh-CN"/>
              </w:rPr>
              <w:t xml:space="preserve">、GB/T35601-2024</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阻燃尼龙塑料</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耐老化性≥400h；冲击强度；维卡软化温度；负荷变形温度；脆化温度；熔体质量流动速率</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GB/T32487-2016、GB/T1633-2000、GB/T1634.</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-2019</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阻燃实芯理化板</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氨释放量未检出；抗菌性能（大肠埃希氏菌）抑菌率≥99%；防霉菌等级（黑曲霉）0级；气味分级≥1级；甲醛释放量≤1.5mg/L；耐高温性能无裂纹；表面耐水蒸气性能≥4级；表面耐龟裂性能≥4级；表面耐划痕性能≥4级；磨耗值≤50；苯、甲苯、二甲苯未检出；重金属元素含量（铅、镉、铬、汞）未检出；总挥发性有机化合物未检出；阻燃1级</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GB/T36022-2018、GB/T40493-2021、GB/T17657-2022</w:t>
            </w:r>
            <w:r/>
          </w:p>
        </w:tc>
      </w:tr>
      <w:tr>
        <w:trPr/>
        <w:tc>
          <w:tcPr>
            <w:shd w:val="clear" w:color="auto" w:fill="ffffff" w:themeFill="background1"/>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ffffff" w:themeFill="background1"/>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冷轧钢板</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抗拉强度≥520；屈服强度≥205；断后伸长率≥40；二氧化硫腐蚀试验无超过50%面积腐蚀；硫化氢腐蚀试验经 20min硫化氢试验，试样表面变色面积约为 90%；耐腐蚀试验10级；耐人工气候老化性（100h）；附着力≥5MPa；耐沾污性优于3级</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GB/T3280-2015、GB/T9789-2008、QB/T3831-1999、GB/T6461-2002、GB/T1865-2009、GB/T1766-2008</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阻燃PP新料保护壳</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耐老化性外观颜色变色评级≥3级；冲击强度≥10J/㎡；塑料件外观合格；耐冷热循环应无裂纹、鼓泡、变色、起皱；硬度≥HD63；邻苯二甲酸酯（DBP、BBP、DEHP、DNOP、DINP、DIDP）≤0.1%；苯并芘≤1.0mg/kg；16种多环芳烃（PAH）总量≤10mg/kg；可迁移元素（锑、砷、钡、镉、铬、铅、汞、硒）；阻燃1级;抗菌性能（大肠埃希氏菌），抑菌率≥99%</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GB/T32487-2016</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阻燃超纤皮</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b w:val="0"/>
                <w:bCs w:val="0"/>
                <w:sz w:val="24"/>
                <w:szCs w:val="24"/>
                <w:highlight w:val="none"/>
                <w:lang w:eastAsia="zh-CN"/>
              </w:rPr>
              <w:t xml:space="preserve">皮革中五氯苯酚</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、游离甲醛</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、挥发性有机物（VOC）</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、耐折牢度5万次无裂纹、重金属</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、多环芳烃</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、二氨基甲苯</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、富马酸二甲酯含量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、二氨基二苯甲烷</w:t>
            </w:r>
            <w:r>
              <w:rPr>
                <w:rFonts w:hint="eastAsia" w:ascii="宋体" w:hAnsi="宋体" w:eastAsia="宋体" w:cs="宋体"/>
                <w:b w:val="0"/>
                <w:bCs w:val="0"/>
                <w:sz w:val="24"/>
                <w:szCs w:val="24"/>
                <w:highlight w:val="none"/>
                <w:lang w:val="en-US" w:eastAsia="zh-CN"/>
              </w:rPr>
              <w:t xml:space="preserve">未检出、防霉剂、燃烧性能B1、六价铬含量</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GB/T35607-2024、GB/T16799-2018、GB/T40971-2021</w:t>
            </w:r>
            <w:r/>
          </w:p>
        </w:tc>
      </w:tr>
      <w:tr>
        <w:trPr/>
        <w:tc>
          <w:tcPr>
            <w:shd w:val="clear" w:color="auto" w:fill="auto"/>
            <w:tcW w:w="457" w:type="dxa"/>
            <w:vAlign w:val="top"/>
            <w:textDirection w:val="lrTb"/>
            <w:noWrap w:val="false"/>
          </w:tcPr>
          <w:p>
            <w:pPr>
              <w:numPr>
                <w:ilvl w:val="0"/>
                <w:numId w:val="29"/>
              </w:num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阻燃实木多层板</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抗菌性能（金黄色葡萄球菌、大肠杆菌、肺炎克雷伯氏菌、白色念珠菌、铜绿假单胞菌）抑菌率≥99%；甲醛释放量≤0.124mg/m³；含水率（5-16）%；静曲强度-顺纹≥22Mpa；表面胶合强度≥0.6MPa；防霉性能（黑曲霉、土曲霉；宛氏拟青霉；蜡叶芽枝霉等级0级；阻燃2级</w:t>
            </w:r>
            <w:r/>
          </w:p>
        </w:tc>
        <w:tc>
          <w:tcPr>
            <w:shd w:val="clear" w:color="auto" w:fill="auto"/>
            <w:tcW w:w="0" w:type="auto"/>
            <w:vAlign w:val="top"/>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GB/T9846-2015</w:t>
            </w:r>
            <w:r/>
          </w:p>
        </w:tc>
      </w:tr>
    </w:tbl>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、一般技术要求：</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所投产品应能够至少达到以上技术参数要求，同时必须明确所投货物的品牌、型号、规格和外形（提供图片、图纸等）、尺寸、安装尺寸、重量及一些必须说明的技术参数，以及清单，同时明确生产厂家、型号规格等，并提供详细的技术参数及性能说明书。</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2、投标人必须承诺响应招标文件中提出的全部技术规格与要求，如果以其中某些条款不响应时，应在文件中逐条列出，未列出的视同响应。</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3、投标人应提供绿色环保家具，应提供家具材质清单、原材料、成品检验报告、材料产地证明，并符合采购清单中描述的要求。</w:t>
      </w:r>
      <w:r/>
    </w:p>
    <w:p>
      <w:pPr>
        <w:pStyle w:val="927"/>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4、中标人须无条件满足电器安装施工单位提出的与之配合的相关要求，包括但不限于：桌面开孔、预留出线孔等。</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、项目商务要求：</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（一）交货要求</w:t>
      </w:r>
      <w:r/>
    </w:p>
    <w:p>
      <w:pPr>
        <w:pStyle w:val="927"/>
        <w:ind w:firstLine="480"/>
        <w:keepLines w:val="0"/>
        <w:keepNext w:val="0"/>
        <w:pageBreakBefore w:val="0"/>
        <w:spacing w:line="5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1、交货时间：</w:t>
      </w:r>
      <w:r>
        <w:rPr>
          <w:rFonts w:hint="eastAsia" w:ascii="宋体" w:hAnsi="宋体" w:eastAsia="宋体" w:cs="宋体"/>
          <w:sz w:val="24"/>
          <w:szCs w:val="24"/>
          <w:highlight w:val="none"/>
          <w:lang w:val="en-US" w:eastAsia="zh-CN"/>
        </w:rPr>
        <w:t xml:space="preserve">自合同签订之日起</w:t>
      </w:r>
      <w:r>
        <w:rPr>
          <w:rFonts w:ascii="宋体" w:hAnsi="宋体" w:eastAsia="宋体" w:cs="宋体"/>
          <w:sz w:val="24"/>
          <w:szCs w:val="24"/>
          <w:highlight w:val="none"/>
        </w:rPr>
        <w:t xml:space="preserve">30天内完成供货</w:t>
      </w:r>
      <w:r>
        <w:rPr>
          <w:rFonts w:hint="eastAsia" w:ascii="宋体" w:hAnsi="宋体" w:eastAsia="宋体" w:cs="宋体"/>
          <w:sz w:val="24"/>
          <w:szCs w:val="24"/>
          <w:highlight w:val="none"/>
          <w:lang w:eastAsia="zh-CN"/>
        </w:rPr>
        <w:t xml:space="preserve">。</w:t>
      </w:r>
      <w:r>
        <w:rPr>
          <w:rFonts w:hint="eastAsia" w:hAnsi="宋体" w:eastAsia="宋体" w:cs="宋体"/>
          <w:sz w:val="24"/>
          <w:szCs w:val="24"/>
          <w:highlight w:val="none"/>
          <w:lang w:val="en-US" w:eastAsia="zh-CN"/>
        </w:rPr>
        <w:t xml:space="preserve">                </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2、交货地点：采购人指定地点</w:t>
      </w:r>
      <w:r>
        <w:rPr>
          <w:rFonts w:hint="eastAsia" w:ascii="宋体" w:hAnsi="宋体" w:eastAsia="宋体" w:cs="宋体"/>
          <w:sz w:val="24"/>
          <w:szCs w:val="24"/>
          <w:highlight w:val="none"/>
          <w:lang w:val="en-US" w:eastAsia="zh-CN"/>
        </w:rPr>
        <w:t xml:space="preserve"> </w:t>
      </w:r>
      <w:r/>
    </w:p>
    <w:p>
      <w:pPr>
        <w:pStyle w:val="927"/>
        <w:ind w:firstLine="480"/>
        <w:keepLines w:val="0"/>
        <w:keepNext w:val="0"/>
        <w:pageBreakBefore w:val="0"/>
        <w:spacing w:line="5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3、交货方式及状态：</w:t>
      </w:r>
      <w:r>
        <w:rPr>
          <w:rFonts w:hint="eastAsia" w:hAnsi="宋体" w:eastAsia="宋体" w:cs="宋体"/>
          <w:sz w:val="24"/>
          <w:szCs w:val="24"/>
          <w:highlight w:val="none"/>
          <w:lang w:val="en-US" w:eastAsia="zh-CN"/>
        </w:rPr>
        <w:t xml:space="preserve">家具全部按合同约定标准生产完毕后，免费运送至甲方指定仓库通风处理，再转运至学校项目现场完成安装调试。</w:t>
      </w:r>
      <w:r/>
    </w:p>
    <w:p>
      <w:pPr>
        <w:pStyle w:val="927"/>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color w:val="000000"/>
          <w:sz w:val="24"/>
          <w:szCs w:val="24"/>
          <w:highlight w:val="none"/>
        </w:rPr>
        <w:t xml:space="preserve">投标人应严格执行绿色采购需求标准，需求标准包括：国家出台的《商品包装政府采购需求标准（试行）》《快递包装政府采购需求标准（试行）》（财办库〔2020〕123号）等。投标人应严格按照包装环保要求，根据投标货物实际情况进行绿色包装。</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）项目实施要求：</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投标文件中需提供项目实施方案，包含以下内容：</w:t>
      </w:r>
      <w:r>
        <w:rPr>
          <w:rFonts w:hint="eastAsia"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项目实施进度计划；</w:t>
      </w:r>
      <w:r>
        <w:rPr>
          <w:rFonts w:hint="eastAsia"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运输、安装调试（文明施工、安装管理制度方案）、验收方案；</w:t>
      </w:r>
      <w:r>
        <w:rPr>
          <w:rFonts w:hint="eastAsia"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质量保障措施；安全保障措施（安全保证体系方案）等内容</w:t>
      </w:r>
      <w:r>
        <w:rPr>
          <w:rFonts w:hint="eastAsia" w:ascii="宋体" w:hAnsi="宋体" w:eastAsia="宋体" w:cs="宋体"/>
          <w:sz w:val="24"/>
          <w:szCs w:val="24"/>
          <w:highlight w:val="none"/>
        </w:rPr>
        <w:t xml:space="preserve">进行评审</w:t>
      </w:r>
      <w:r>
        <w:rPr>
          <w:rFonts w:hint="eastAsia" w:ascii="宋体" w:hAnsi="宋体" w:eastAsia="宋体" w:cs="宋体"/>
          <w:bCs/>
          <w:sz w:val="24"/>
          <w:szCs w:val="24"/>
          <w:highlight w:val="none"/>
        </w:rPr>
        <w:t xml:space="preserve">。</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1、需制定详细的</w:t>
      </w:r>
      <w:r>
        <w:rPr>
          <w:rFonts w:hint="eastAsia" w:ascii="宋体" w:hAnsi="宋体" w:eastAsia="宋体" w:cs="宋体"/>
          <w:bCs/>
          <w:sz w:val="24"/>
          <w:szCs w:val="24"/>
          <w:highlight w:val="none"/>
        </w:rPr>
        <w:t xml:space="preserve">项目实施进度</w:t>
      </w:r>
      <w:r>
        <w:rPr>
          <w:rFonts w:hint="eastAsia" w:ascii="宋体" w:hAnsi="宋体" w:eastAsia="宋体" w:cs="宋体"/>
          <w:sz w:val="24"/>
          <w:szCs w:val="24"/>
          <w:highlight w:val="none"/>
        </w:rPr>
        <w:t xml:space="preserve">计划方案（包括</w:t>
      </w:r>
      <w:r>
        <w:rPr>
          <w:rFonts w:hint="eastAsia" w:ascii="宋体" w:hAnsi="宋体" w:eastAsia="宋体" w:cs="宋体"/>
          <w:bCs/>
          <w:sz w:val="24"/>
          <w:szCs w:val="24"/>
          <w:highlight w:val="none"/>
        </w:rPr>
        <w:t xml:space="preserve">①工期进度安排及保证措施</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②重点难点分析、③劳动力安排计划</w:t>
      </w:r>
      <w:r>
        <w:rPr>
          <w:rFonts w:hint="eastAsia" w:ascii="宋体" w:hAnsi="宋体" w:eastAsia="宋体" w:cs="宋体"/>
          <w:sz w:val="24"/>
          <w:szCs w:val="24"/>
          <w:highlight w:val="none"/>
        </w:rPr>
        <w:t xml:space="preserve">）。明确供货进度计划、制定保障措施，</w:t>
      </w:r>
      <w:r>
        <w:rPr>
          <w:rFonts w:hint="eastAsia" w:ascii="宋体" w:hAnsi="宋体" w:eastAsia="宋体" w:cs="宋体"/>
          <w:bCs/>
          <w:sz w:val="24"/>
          <w:szCs w:val="24"/>
          <w:highlight w:val="none"/>
        </w:rPr>
        <w:t xml:space="preserve">重点难点分析</w:t>
      </w:r>
      <w:r>
        <w:rPr>
          <w:rFonts w:hint="eastAsia" w:ascii="宋体" w:hAnsi="宋体" w:eastAsia="宋体" w:cs="宋体"/>
          <w:sz w:val="24"/>
          <w:szCs w:val="24"/>
          <w:highlight w:val="none"/>
        </w:rPr>
        <w:t xml:space="preserve">及应对措施</w:t>
      </w:r>
      <w:r>
        <w:rPr>
          <w:rFonts w:hint="eastAsia" w:ascii="宋体" w:hAnsi="宋体" w:eastAsia="宋体" w:cs="宋体"/>
          <w:bCs/>
          <w:sz w:val="24"/>
          <w:szCs w:val="24"/>
          <w:highlight w:val="none"/>
        </w:rPr>
        <w:t xml:space="preserve">，劳动力人员合理安排，</w:t>
      </w:r>
      <w:r>
        <w:rPr>
          <w:rFonts w:hint="eastAsia" w:ascii="宋体" w:hAnsi="宋体" w:eastAsia="宋体" w:cs="宋体"/>
          <w:sz w:val="24"/>
          <w:szCs w:val="24"/>
          <w:highlight w:val="none"/>
        </w:rPr>
        <w:t xml:space="preserve">确保项目供货能够按时稳步完成。中标单位确保自合同签订之日起30天内完成安装交付（具体以甲方通知为准）。于10日内进行空气质量检验，检验合格后10日内完成验收。  </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2、需制定详细的</w:t>
      </w:r>
      <w:r>
        <w:rPr>
          <w:rFonts w:hint="eastAsia" w:ascii="宋体" w:hAnsi="宋体" w:eastAsia="宋体" w:cs="宋体"/>
          <w:bCs/>
          <w:sz w:val="24"/>
          <w:szCs w:val="24"/>
          <w:highlight w:val="none"/>
        </w:rPr>
        <w:t xml:space="preserve">运输、</w:t>
      </w:r>
      <w:r>
        <w:rPr>
          <w:rFonts w:hint="eastAsia" w:ascii="宋体" w:hAnsi="宋体" w:eastAsia="宋体" w:cs="宋体"/>
          <w:sz w:val="24"/>
          <w:szCs w:val="24"/>
          <w:highlight w:val="none"/>
        </w:rPr>
        <w:t xml:space="preserve">安装调试</w:t>
      </w:r>
      <w:r>
        <w:rPr>
          <w:rFonts w:hint="eastAsia" w:ascii="宋体" w:hAnsi="宋体" w:eastAsia="宋体" w:cs="宋体"/>
          <w:bCs/>
          <w:sz w:val="24"/>
          <w:szCs w:val="24"/>
          <w:highlight w:val="none"/>
        </w:rPr>
        <w:t xml:space="preserve">、验收</w:t>
      </w:r>
      <w:r>
        <w:rPr>
          <w:rFonts w:hint="eastAsia" w:ascii="宋体" w:hAnsi="宋体" w:eastAsia="宋体" w:cs="宋体"/>
          <w:sz w:val="24"/>
          <w:szCs w:val="24"/>
          <w:highlight w:val="none"/>
        </w:rPr>
        <w:t xml:space="preserve">方案（包括</w:t>
      </w:r>
      <w:r>
        <w:rPr>
          <w:rFonts w:hint="eastAsia" w:ascii="宋体" w:hAnsi="宋体" w:eastAsia="宋体" w:cs="宋体"/>
          <w:bCs/>
          <w:sz w:val="24"/>
          <w:szCs w:val="24"/>
          <w:highlight w:val="none"/>
        </w:rPr>
        <w:t xml:space="preserve">①</w:t>
      </w:r>
      <w:r>
        <w:rPr>
          <w:rFonts w:hint="eastAsia" w:hAnsi="宋体" w:eastAsia="宋体" w:cs="宋体"/>
          <w:sz w:val="24"/>
          <w:szCs w:val="24"/>
          <w:highlight w:val="none"/>
          <w:lang w:val="en-US" w:eastAsia="zh-CN"/>
        </w:rPr>
        <w:t xml:space="preserve">运输方案、</w:t>
      </w:r>
      <w:r>
        <w:rPr>
          <w:rFonts w:hint="eastAsia" w:ascii="宋体" w:hAnsi="宋体" w:eastAsia="宋体" w:cs="宋体"/>
          <w:bCs/>
          <w:sz w:val="24"/>
          <w:szCs w:val="24"/>
          <w:highlight w:val="none"/>
        </w:rPr>
        <w:t xml:space="preserve">②</w:t>
      </w:r>
      <w:r>
        <w:rPr>
          <w:rFonts w:hint="eastAsia" w:ascii="宋体" w:hAnsi="宋体" w:eastAsia="宋体" w:cs="宋体"/>
          <w:sz w:val="24"/>
          <w:szCs w:val="24"/>
          <w:highlight w:val="none"/>
        </w:rPr>
        <w:t xml:space="preserve">现场安装调试实施计划、</w:t>
      </w:r>
      <w:r>
        <w:rPr>
          <w:rFonts w:hint="eastAsia" w:ascii="宋体" w:hAnsi="宋体" w:eastAsia="宋体" w:cs="宋体"/>
          <w:bCs/>
          <w:sz w:val="24"/>
          <w:szCs w:val="24"/>
          <w:highlight w:val="none"/>
        </w:rPr>
        <w:t xml:space="preserve">③</w:t>
      </w:r>
      <w:r>
        <w:rPr>
          <w:rFonts w:hint="eastAsia" w:ascii="宋体" w:hAnsi="宋体" w:eastAsia="宋体" w:cs="宋体"/>
          <w:sz w:val="24"/>
          <w:szCs w:val="24"/>
          <w:highlight w:val="none"/>
        </w:rPr>
        <w:t xml:space="preserve">验收方案）。严格遵循国家标准和行业规范施工，制定详细安装调试实施计划、安装调试流程、安装调试质量保证实施方案、验收方案。安装过程中应加强对噪声、粉尘等的控制，不能影响正常工作，努力降低噪声，噪声不能超过80分贝，负责安装场地杂物和垃圾等的清理工作。负责保管安装现场所有材料、设备，直至项目安装、验收完毕。</w:t>
      </w:r>
      <w:r/>
    </w:p>
    <w:p>
      <w:pPr>
        <w:pStyle w:val="927"/>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3、需制定详细的质量保障措施方案</w:t>
      </w:r>
      <w:r>
        <w:rPr>
          <w:rFonts w:hint="eastAsia" w:hAnsi="宋体" w:eastAsia="宋体" w:cs="宋体"/>
          <w:sz w:val="24"/>
          <w:szCs w:val="24"/>
          <w:highlight w:val="none"/>
          <w:lang w:val="en-US" w:eastAsia="zh-CN"/>
        </w:rPr>
        <w:t xml:space="preserve">及</w:t>
      </w:r>
      <w:r>
        <w:rPr>
          <w:rFonts w:hint="eastAsia" w:ascii="宋体" w:hAnsi="宋体" w:eastAsia="宋体" w:cs="宋体"/>
          <w:bCs/>
          <w:sz w:val="24"/>
          <w:szCs w:val="24"/>
          <w:highlight w:val="none"/>
        </w:rPr>
        <w:t xml:space="preserve">安全保障措施</w:t>
      </w:r>
      <w:r>
        <w:rPr>
          <w:rFonts w:hint="eastAsia" w:ascii="宋体" w:hAnsi="宋体" w:eastAsia="宋体" w:cs="宋体"/>
          <w:sz w:val="24"/>
          <w:szCs w:val="24"/>
          <w:highlight w:val="none"/>
        </w:rPr>
        <w:t xml:space="preserve">方案。</w:t>
      </w:r>
      <w:r>
        <w:rPr>
          <w:rFonts w:hint="eastAsia" w:ascii="宋体" w:hAnsi="宋体" w:eastAsia="宋体" w:cs="宋体"/>
          <w:bCs/>
          <w:sz w:val="24"/>
          <w:szCs w:val="24"/>
          <w:highlight w:val="none"/>
        </w:rPr>
        <w:t xml:space="preserve">①</w:t>
      </w:r>
      <w:r>
        <w:rPr>
          <w:rFonts w:hint="eastAsia" w:ascii="宋体" w:hAnsi="宋体" w:eastAsia="宋体" w:cs="宋体"/>
          <w:sz w:val="24"/>
          <w:szCs w:val="24"/>
          <w:highlight w:val="none"/>
        </w:rPr>
        <w:t xml:space="preserve">（包括原材料及配件质量保证方案、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w:t>
      </w:r>
      <w:r>
        <w:rPr>
          <w:rFonts w:hint="eastAsia" w:ascii="宋体" w:hAnsi="宋体" w:eastAsia="宋体" w:cs="宋体"/>
          <w:bCs/>
          <w:sz w:val="24"/>
          <w:szCs w:val="24"/>
          <w:highlight w:val="none"/>
        </w:rPr>
        <w:t xml:space="preserve">②安全保障措施</w:t>
      </w:r>
      <w:r>
        <w:rPr>
          <w:rFonts w:hint="eastAsia" w:ascii="宋体" w:hAnsi="宋体" w:eastAsia="宋体" w:cs="宋体"/>
          <w:sz w:val="24"/>
          <w:szCs w:val="24"/>
          <w:highlight w:val="none"/>
        </w:rPr>
        <w:t xml:space="preserve">方案包括安全保障措施、现场协调配合措施、成品保护措施、安全文明施工）。严格遵循国家标准和行业规范施工，制定详细</w:t>
      </w:r>
      <w:r>
        <w:rPr>
          <w:rFonts w:hint="eastAsia" w:ascii="宋体" w:hAnsi="宋体" w:eastAsia="宋体" w:cs="宋体"/>
          <w:bCs/>
          <w:sz w:val="24"/>
          <w:szCs w:val="24"/>
          <w:highlight w:val="none"/>
        </w:rPr>
        <w:t xml:space="preserve">安全保障措施</w:t>
      </w:r>
      <w:r>
        <w:rPr>
          <w:rFonts w:hint="eastAsia" w:ascii="宋体" w:hAnsi="宋体" w:eastAsia="宋体" w:cs="宋体"/>
          <w:sz w:val="24"/>
          <w:szCs w:val="24"/>
          <w:highlight w:val="none"/>
        </w:rPr>
        <w:t xml:space="preserve">。因本项目施工造成人员伤亡或财产损失，由中标人承担全部责任。</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）包装和运输要求：</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1、中标人须为其提供的家具在最终验收前做好防潮、防湿、防腐、防锈及防碰撞等保护措施。因未做好保护措施导致的损失和由此产生的费用均由中标人承担。</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eastAsia="zh-CN"/>
        </w:rPr>
        <w:t xml:space="preserve">（</w:t>
      </w:r>
      <w:r>
        <w:rPr>
          <w:rFonts w:hint="eastAsia"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付款方式</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Times New Roman"/>
          <w:color w:val="000000"/>
          <w:sz w:val="24"/>
          <w:szCs w:val="24"/>
          <w:highlight w:val="none"/>
        </w:rPr>
        <w:t xml:space="preserve">合同签订支付至合同金额的30%预付款；待货物全部安装调试完毕并经甲方验收合格后，</w:t>
      </w:r>
      <w:r>
        <w:rPr>
          <w:rFonts w:hint="eastAsia" w:ascii="宋体" w:hAnsi="宋体" w:eastAsia="宋体" w:cs="Times New Roman"/>
          <w:color w:val="000000"/>
          <w:sz w:val="24"/>
          <w:szCs w:val="24"/>
          <w:highlight w:val="none"/>
          <w:lang w:val="en-US" w:eastAsia="zh-CN"/>
        </w:rPr>
        <w:t xml:space="preserve">支</w:t>
      </w:r>
      <w:r>
        <w:rPr>
          <w:rFonts w:hint="eastAsia" w:ascii="宋体" w:hAnsi="宋体" w:eastAsia="宋体" w:cs="Times New Roman"/>
          <w:color w:val="000000"/>
          <w:sz w:val="24"/>
          <w:szCs w:val="24"/>
          <w:highlight w:val="none"/>
        </w:rPr>
        <w:t xml:space="preserve">付至合同价的</w:t>
      </w:r>
      <w:r>
        <w:rPr>
          <w:rFonts w:hint="eastAsia" w:ascii="宋体" w:hAnsi="宋体" w:eastAsia="宋体" w:cs="Times New Roman"/>
          <w:color w:val="000000"/>
          <w:sz w:val="24"/>
          <w:szCs w:val="24"/>
          <w:highlight w:val="none"/>
          <w:lang w:val="en-US" w:eastAsia="zh-CN"/>
        </w:rPr>
        <w:t xml:space="preserve">95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余款5%验收合格满一年经甲方确认，无质量问题30个工作日内一次性付清。</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注：在合同执行过程中，如遇特殊情况需要延期支付，甲乙双方进行友好协商。</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付款需要提供以下材料：</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A、需方签收的送货回单。</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B、合格销售发票。</w:t>
      </w:r>
      <w:r/>
    </w:p>
    <w:p>
      <w:pPr>
        <w:pStyle w:val="927"/>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C、验收后的合同履行验收单</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）售后要求</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1、售后服务响应：</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Cs/>
          <w:sz w:val="24"/>
          <w:szCs w:val="24"/>
          <w:highlight w:val="none"/>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免费质保期内如有质量问题时（使用不当除外），供应商将免费修复、更换，同一问题二次修复后仍有问题时，则全套更换</w:t>
      </w:r>
      <w:r>
        <w:rPr>
          <w:rFonts w:hint="eastAsia" w:ascii="宋体" w:hAnsi="宋体" w:eastAsia="宋体" w:cs="宋体"/>
          <w:sz w:val="24"/>
          <w:szCs w:val="24"/>
          <w:highlight w:val="none"/>
        </w:rPr>
        <w:t xml:space="preserve">。</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bCs/>
          <w:sz w:val="24"/>
          <w:szCs w:val="24"/>
          <w:highlight w:val="none"/>
        </w:rPr>
        <w:t xml:space="preserve">中标单位应按其投标文件中的承诺，进行其他售后服务工作。包括但不限于免费提供对采购方操作人员的免费应用技术培训，时间、地点由客户协商而定。</w:t>
      </w:r>
      <w:r/>
    </w:p>
    <w:p>
      <w:pPr>
        <w:pStyle w:val="927"/>
        <w:ind w:firstLine="48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5、投标人提供针对本项目的履约及售后服务方案，内容至少包括：①售后服务</w:t>
      </w:r>
      <w:r>
        <w:rPr>
          <w:rFonts w:hint="eastAsia"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、②应急预案、③维保方案、④</w:t>
      </w:r>
      <w:r>
        <w:rPr>
          <w:rFonts w:hint="eastAsia" w:hAnsi="宋体" w:eastAsia="宋体" w:cs="宋体"/>
          <w:bCs/>
          <w:sz w:val="24"/>
          <w:szCs w:val="24"/>
          <w:highlight w:val="none"/>
          <w:lang w:val="en-US" w:eastAsia="zh-CN"/>
        </w:rPr>
        <w:t xml:space="preserve">培训方案</w:t>
      </w:r>
      <w:r>
        <w:rPr>
          <w:rFonts w:hint="eastAsia" w:ascii="宋体" w:hAnsi="宋体" w:eastAsia="宋体" w:cs="宋体"/>
          <w:bCs/>
          <w:sz w:val="24"/>
          <w:szCs w:val="24"/>
          <w:highlight w:val="none"/>
        </w:rPr>
        <w:t xml:space="preserve">等。</w:t>
      </w:r>
      <w:r/>
    </w:p>
    <w:p>
      <w:pPr>
        <w:pStyle w:val="927"/>
        <w:ind w:firstLine="48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投标文件中提供针对本项目制定的售后服务管理体系方案，包括售后服务机制、响应时间、故障解决等内容、关于所投产品的售后服务承诺书等。</w:t>
      </w:r>
      <w:r/>
    </w:p>
    <w:p>
      <w:pPr>
        <w:pStyle w:val="927"/>
        <w:ind w:firstLine="48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投标文件中提供针对本项目制定的应急预案，分析家具（设备、器械）有可能出现的重大故障，制定出合理的应急预案。</w:t>
      </w:r>
      <w:r/>
    </w:p>
    <w:p>
      <w:pPr>
        <w:pStyle w:val="927"/>
        <w:ind w:firstLine="48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投标文件中提供针对本项目制定的维保方案，包括维保工作具体维保内容、维保流程、维保规范标准、维保档案等情况。</w:t>
      </w:r>
      <w:r/>
    </w:p>
    <w:p>
      <w:pPr>
        <w:pStyle w:val="927"/>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投标文件中提供针对本项目制定的培训方案，包括培训需求分析、培训目标计划、培训内容及方法计划、负责培训人员情况、培训设备场地等情况介绍。</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产品质保期：</w:t>
      </w:r>
      <w:r/>
    </w:p>
    <w:p>
      <w:pPr>
        <w:pStyle w:val="927"/>
        <w:ind w:firstLine="482"/>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自产品验收合格（以双方在验收报告签订日期为准），提供</w:t>
      </w:r>
      <w:r>
        <w:rPr>
          <w:rFonts w:hint="eastAsia"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年整体全免费质保服务。</w:t>
      </w:r>
      <w:r>
        <w:rPr>
          <w:rFonts w:hint="eastAsia" w:ascii="宋体" w:hAnsi="宋体" w:eastAsia="宋体" w:cs="宋体"/>
          <w:bCs/>
          <w:sz w:val="24"/>
          <w:szCs w:val="24"/>
          <w:highlight w:val="none"/>
        </w:rPr>
        <w:t xml:space="preserve">全免费质保期内，除人为损坏和不可抗拒因素外，中标人对物品进行免费维修或更换。</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val="en-US" w:eastAsia="zh-CN"/>
        </w:rPr>
        <w:t xml:space="preserve">（七）验</w:t>
      </w:r>
      <w:r>
        <w:rPr>
          <w:rFonts w:hint="eastAsia" w:ascii="宋体" w:hAnsi="宋体" w:eastAsia="宋体" w:cs="宋体"/>
          <w:b/>
          <w:sz w:val="24"/>
          <w:szCs w:val="24"/>
          <w:highlight w:val="none"/>
        </w:rPr>
        <w:t xml:space="preserve">收要求：</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1、验收时间：交货并完成安装调试后，于10日内进行空气质量检验，检验合格后10日内完成验收。</w:t>
      </w:r>
      <w:r/>
    </w:p>
    <w:p>
      <w:pPr>
        <w:pStyle w:val="927"/>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2、验收要求：项目验收将根据招标文件内容对所提供货物数量、质量及项目实施要求进行验收。每个货物必须出具生产厂商的出厂产品检验合格证。</w:t>
      </w:r>
      <w:r/>
    </w:p>
    <w:p>
      <w:pPr>
        <w:pStyle w:val="927"/>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3、验收标准：验收标准符合国家最新的技术规范和标准，同时满足招标文件产品规格、具体配置、技术要求及乙方承诺的其他指标。</w:t>
      </w:r>
      <w:r/>
    </w:p>
    <w:p>
      <w:pPr>
        <w:pStyle w:val="927"/>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、报价要求：</w:t>
      </w:r>
      <w:r/>
    </w:p>
    <w:p>
      <w:pPr>
        <w:pStyle w:val="927"/>
        <w:ind w:firstLine="480"/>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应以人民币报价，投标总价一次报定，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pStyle w:val="927"/>
        <w:ind w:firstLine="482"/>
        <w:keepLines w:val="0"/>
        <w:keepNext w:val="0"/>
        <w:pageBreakBefore w:val="0"/>
        <w:spacing w:line="500" w:lineRule="exact"/>
        <w:widowControl w:val="off"/>
        <w:rPr>
          <w:rFonts w:hint="eastAsia" w:ascii="宋体" w:hAnsi="宋体" w:eastAsia="宋体" w:cs="宋体"/>
          <w:sz w:val="24"/>
          <w:szCs w:val="24"/>
          <w:highlight w:val="none"/>
        </w:rPr>
      </w:pPr>
      <w:r>
        <w:rPr>
          <w:rFonts w:hint="eastAsia"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凡涉及招标文件的补充说明和修改，均以苏州政府采购网、江苏省政府采购网发布的内容为准。</w:t>
      </w:r>
      <w:r/>
    </w:p>
    <w:p>
      <w:pPr>
        <w:pStyle w:val="927"/>
        <w:ind w:firstLine="480"/>
        <w:keepLines w:val="0"/>
        <w:keepNext w:val="0"/>
        <w:pageBreakBefore w:val="0"/>
        <w:spacing w:line="500" w:lineRule="exact"/>
        <w:widowControl w:val="off"/>
        <w:rPr>
          <w:rFonts w:hAnsi="宋体" w:eastAsia="宋体" w:cs="宋体"/>
          <w:sz w:val="24"/>
          <w:szCs w:val="24"/>
          <w:highlight w:val="none"/>
        </w:rPr>
      </w:pPr>
      <w:r>
        <w:rPr>
          <w:rFonts w:hAnsi="宋体" w:eastAsia="宋体" w:cs="宋体"/>
          <w:sz w:val="24"/>
          <w:szCs w:val="24"/>
          <w:highlight w:val="none"/>
        </w:rPr>
      </w:r>
      <w:r/>
    </w:p>
    <w:p>
      <w:pPr>
        <w:pStyle w:val="927"/>
        <w:spacing w:line="460" w:lineRule="exact"/>
        <w:rPr>
          <w:rFonts w:hAnsi="宋体" w:eastAsia="宋体" w:cs="宋体"/>
          <w:sz w:val="24"/>
          <w:szCs w:val="24"/>
          <w:highlight w:val="none"/>
        </w:rPr>
      </w:pPr>
      <w:r>
        <w:rPr>
          <w:rFonts w:hAnsi="宋体" w:eastAsia="宋体" w:cs="宋体"/>
          <w:sz w:val="24"/>
          <w:szCs w:val="24"/>
          <w:highlight w:val="none"/>
        </w:rPr>
      </w:r>
      <w:r/>
    </w:p>
    <w:p>
      <w:pPr>
        <w:pStyle w:val="927"/>
        <w:spacing w:line="460" w:lineRule="exact"/>
        <w:rPr>
          <w:rFonts w:hAnsi="宋体" w:eastAsia="宋体" w:cs="宋体"/>
          <w:sz w:val="24"/>
          <w:szCs w:val="24"/>
          <w:highlight w:val="none"/>
        </w:rPr>
      </w:pPr>
      <w:r>
        <w:rPr>
          <w:rFonts w:hAnsi="宋体" w:eastAsia="宋体" w:cs="宋体"/>
          <w:sz w:val="24"/>
          <w:szCs w:val="24"/>
          <w:highlight w:val="none"/>
        </w:rPr>
      </w:r>
      <w:r/>
    </w:p>
    <w:p>
      <w:pPr>
        <w:pStyle w:val="927"/>
        <w:spacing w:line="460" w:lineRule="exact"/>
        <w:rPr>
          <w:rFonts w:hAnsi="宋体" w:eastAsia="宋体" w:cs="宋体"/>
          <w:sz w:val="24"/>
          <w:szCs w:val="24"/>
          <w:highlight w:val="none"/>
        </w:rPr>
      </w:pPr>
      <w:r>
        <w:rPr>
          <w:rFonts w:hAnsi="宋体" w:eastAsia="宋体" w:cs="宋体"/>
          <w:sz w:val="24"/>
          <w:szCs w:val="24"/>
          <w:highlight w:val="none"/>
        </w:rPr>
      </w:r>
      <w:r/>
    </w:p>
    <w:p>
      <w:pPr>
        <w:pStyle w:val="92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28"/>
        <w:ind w:firstLine="0"/>
        <w:rPr>
          <w:rFonts w:ascii="宋体" w:hAnsi="宋体" w:cs="宋体"/>
          <w:highlight w:val="none"/>
        </w:rPr>
      </w:pPr>
      <w:r>
        <w:rPr>
          <w:rFonts w:ascii="宋体" w:hAnsi="宋体" w:cs="宋体"/>
          <w:highlight w:val="none"/>
        </w:rPr>
      </w:r>
      <w:r/>
    </w:p>
    <w:p>
      <w:pPr>
        <w:spacing w:line="500" w:lineRule="exact"/>
        <w:rPr>
          <w:rFonts w:ascii="宋体" w:hAnsi="宋体" w:cs="宋体"/>
          <w:b/>
          <w:bCs/>
          <w:sz w:val="24"/>
          <w:highlight w:val="none"/>
        </w:rPr>
      </w:pPr>
      <w:r>
        <w:rPr>
          <w:rFonts w:hint="eastAsia" w:ascii="宋体" w:hAnsi="宋体" w:cs="宋体"/>
          <w:b/>
          <w:bCs/>
          <w:sz w:val="24"/>
          <w:highlight w:val="none"/>
        </w:rPr>
        <w:t xml:space="preserve">附件1：货物类项目履约验收方案</w:t>
      </w:r>
      <w:r/>
    </w:p>
    <w:p>
      <w:pPr>
        <w:pStyle w:val="92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一、项目概况</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项目编号：</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项目名称：</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供应商名称：</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合同金额：</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验收主体：</w:t>
      </w:r>
      <w:r/>
    </w:p>
    <w:p>
      <w:pPr>
        <w:pStyle w:val="92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二、验收目的</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2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三、验收依据</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2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四、验收责任主</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2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五、验收方式及验收内容</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5.1日常考核</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5.2检测(检验)验收</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5.2.4对检验结果存在异议时，启用备样检验，相关费用由异议提出方承担。</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5.2.5实施检验检测所造成的产品损坏、损耗，其替换补充或维修费用由供应商承担。</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92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5.3最终验收</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5.3.1验收准备</w:t>
      </w:r>
      <w:r/>
    </w:p>
    <w:p>
      <w:pPr>
        <w:pStyle w:val="927"/>
        <w:ind w:firstLine="480"/>
        <w:spacing w:line="480" w:lineRule="exact"/>
        <w:rPr>
          <w:rFonts w:hAnsi="宋体" w:eastAsia="宋体" w:cs="宋体"/>
          <w:b/>
          <w:bCs/>
          <w:sz w:val="24"/>
          <w:szCs w:val="24"/>
          <w:highlight w:val="none"/>
        </w:rPr>
      </w:pPr>
      <w:r>
        <w:rPr>
          <w:rFonts w:hint="eastAsia" w:hAnsi="宋体" w:eastAsia="宋体" w:cs="宋体"/>
          <w:sz w:val="24"/>
          <w:szCs w:val="24"/>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highlight w:val="none"/>
        </w:rPr>
        <w:t xml:space="preserve">供应商在收到催告后五个工作日内拒不配合的，采购人应依照合同约定追究其责任。</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5.3.1.2供应商应当配合采购人、采购代理机构做好项目验收工作，及时提供与项目验收相关的生产、技术、服务、数量、质量、安全、合格证明及验收所必须具备的其他材料。</w:t>
      </w:r>
      <w:r/>
    </w:p>
    <w:p>
      <w:pPr>
        <w:pStyle w:val="927"/>
        <w:ind w:firstLine="480"/>
        <w:spacing w:line="480" w:lineRule="exact"/>
        <w:rPr>
          <w:rFonts w:hAnsi="宋体" w:eastAsia="宋体" w:cs="宋体"/>
          <w:b/>
          <w:bCs/>
          <w:sz w:val="24"/>
          <w:szCs w:val="24"/>
          <w:highlight w:val="none"/>
        </w:rPr>
      </w:pPr>
      <w:r>
        <w:rPr>
          <w:rFonts w:hint="eastAsia" w:hAnsi="宋体" w:eastAsia="宋体" w:cs="宋体"/>
          <w:sz w:val="24"/>
          <w:szCs w:val="24"/>
          <w:highlight w:val="none"/>
        </w:rPr>
        <w:t xml:space="preserve">5.3.1.3采购人应及时全面准备验收，</w:t>
      </w:r>
      <w:r>
        <w:rPr>
          <w:rFonts w:hint="eastAsia" w:hAnsi="宋体" w:eastAsia="宋体" w:cs="宋体"/>
          <w:b/>
          <w:bCs/>
          <w:sz w:val="24"/>
          <w:szCs w:val="24"/>
          <w:highlight w:val="none"/>
        </w:rPr>
        <w:t xml:space="preserve">自收到验收申请之日起五个工作日内做好通水、通电、准备验收工具等必要的验收准备工作、启动项目验收、通知供应商。</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5.3.2验收小组</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5.3.3参与验收人员</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5.3.3.1技术复杂或专业性强的政府采购项目，可以邀请有资质的第三方专业机构参加验收并出具专业意见。</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5.3.3.2对于采购人和使用人分离的采购项目，采购人或其委托的采购代理机构应当邀请实际使用人参与验收</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5.3.3.1政府向社会公众提供的公共服务项目，验收时应当邀请服务对象进行公共服务项目满意度评价，评价结果作为履约验收的参考依据。</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5.3.4验收内容</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5.3.4.2交付验收标准适用标准为：</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①按照现行国家标准执行，无国家标准的，按行业标准执行，无国家和行业标准的，按企业标准执行，并且应符合相关法律、法规规定的要求；</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②采购文件所列的各项要求、采购合同、供应商在投标（响应）文件中承诺的质量技术指标。</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5.3.5验收记录</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5.3.5.1验收小组应当要求参与验收的供应商、专业机构、专家和服务对象等出具书面意见，作为验收书的重要组成部分。</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六、验收结果</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2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七、验收资料归档</w:t>
      </w:r>
      <w:r/>
    </w:p>
    <w:p>
      <w:pPr>
        <w:pStyle w:val="92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highlight w:val="none"/>
        </w:rPr>
        <w:t xml:space="preserve">政府采购履约验收书(货物类）</w:t>
      </w:r>
      <w:r/>
    </w:p>
    <w:tbl>
      <w:tblPr>
        <w:tblStyle w:val="729"/>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采购人</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项目名称</w:t>
            </w:r>
            <w:r/>
          </w:p>
        </w:tc>
        <w:tc>
          <w:tcPr>
            <w:gridSpan w:val="2"/>
            <w:tcW w:w="2126"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合同名称</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供应商</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项目及合同编号</w:t>
            </w:r>
            <w:r/>
          </w:p>
        </w:tc>
        <w:tc>
          <w:tcPr>
            <w:gridSpan w:val="2"/>
            <w:tcW w:w="2126"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合同金额</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65"/>
        </w:trPr>
        <w:tc>
          <w:tcPr>
            <w:tcW w:w="1131"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分期（段）验收</w:t>
            </w:r>
            <w:r/>
          </w:p>
        </w:tc>
        <w:tc>
          <w:tcPr>
            <w:gridSpan w:val="2"/>
            <w:tcW w:w="2268"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是□   否□</w:t>
            </w:r>
            <w:r/>
          </w:p>
        </w:tc>
        <w:tc>
          <w:tcPr>
            <w:tcW w:w="993"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分期（段）情况</w:t>
            </w:r>
            <w:r/>
          </w:p>
        </w:tc>
        <w:tc>
          <w:tcPr>
            <w:gridSpan w:val="6"/>
            <w:tcW w:w="5528"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验收时间</w:t>
            </w:r>
            <w:r/>
          </w:p>
        </w:tc>
        <w:tc>
          <w:tcPr>
            <w:gridSpan w:val="2"/>
            <w:tcW w:w="2268" w:type="dxa"/>
            <w:vAlign w:val="center"/>
            <w:textDirection w:val="lrTb"/>
            <w:noWrap w:val="false"/>
          </w:tcPr>
          <w:p>
            <w:pPr>
              <w:jc w:val="center"/>
              <w:spacing w:line="36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验收地点</w:t>
            </w:r>
            <w:r/>
          </w:p>
        </w:tc>
        <w:tc>
          <w:tcPr>
            <w:gridSpan w:val="2"/>
            <w:tcW w:w="2126" w:type="dxa"/>
            <w:vAlign w:val="center"/>
            <w:textDirection w:val="lrTb"/>
            <w:noWrap w:val="false"/>
          </w:tcPr>
          <w:p>
            <w:pPr>
              <w:jc w:val="center"/>
              <w:spacing w:line="36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验收组织形式</w:t>
            </w:r>
            <w:r/>
          </w:p>
        </w:tc>
        <w:tc>
          <w:tcPr>
            <w:gridSpan w:val="2"/>
            <w:tcW w:w="2268" w:type="dxa"/>
            <w:vAlign w:val="center"/>
            <w:textDirection w:val="lrTb"/>
            <w:noWrap w:val="false"/>
          </w:tcPr>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□自行简易验收</w:t>
            </w:r>
            <w:r/>
          </w:p>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□验收小组验收</w:t>
            </w:r>
            <w:r/>
          </w:p>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验收内容</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货物清单</w:t>
            </w:r>
            <w:r/>
          </w:p>
        </w:tc>
        <w:tc>
          <w:tcPr>
            <w:tcW w:w="1275"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品牌、型号、规格、数量及外观质量</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技术、性能 指标</w:t>
            </w:r>
            <w:r/>
          </w:p>
        </w:tc>
        <w:tc>
          <w:tcPr>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运行状况及 安装调试</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质量证明文件</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售后服务</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承诺</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安全标准</w:t>
            </w:r>
            <w:r/>
          </w:p>
        </w:tc>
        <w:tc>
          <w:tcPr>
            <w:tcW w:w="1276" w:type="dxa"/>
            <w:vAlign w:val="center"/>
            <w:textDirection w:val="lrTb"/>
            <w:noWrap w:val="false"/>
          </w:tcPr>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合同履约</w:t>
            </w:r>
            <w:r/>
          </w:p>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275"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 不合格□</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276" w:type="dxa"/>
            <w:vAlign w:val="center"/>
            <w:textDirection w:val="lrTb"/>
            <w:noWrap w:val="false"/>
          </w:tcPr>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r>
      <w:tr>
        <w:trPr>
          <w:trHeight w:val="666"/>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专业检测机构情况说明</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683"/>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存在问题和</w:t>
            </w:r>
            <w:r/>
          </w:p>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改进意见</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77"/>
        </w:trPr>
        <w:tc>
          <w:tcPr>
            <w:tcW w:w="1131"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最终结论</w:t>
            </w:r>
            <w:r/>
          </w:p>
        </w:tc>
        <w:tc>
          <w:tcPr>
            <w:gridSpan w:val="9"/>
            <w:tcW w:w="8789"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不合格□</w:t>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验收小组成员签字</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433"/>
        </w:trPr>
        <w:tc>
          <w:tcPr>
            <w:gridSpan w:val="7"/>
            <w:tcW w:w="7062"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采购代理机构意见</w:t>
            </w:r>
            <w:r/>
          </w:p>
        </w:tc>
        <w:tc>
          <w:tcPr>
            <w:gridSpan w:val="3"/>
            <w:tcW w:w="2858"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采购人意见</w:t>
            </w:r>
            <w:r/>
          </w:p>
        </w:tc>
      </w:tr>
      <w:tr>
        <w:trPr>
          <w:trHeight w:val="956"/>
        </w:trPr>
        <w:tc>
          <w:tcPr>
            <w:gridSpan w:val="7"/>
            <w:tcW w:w="7062" w:type="dxa"/>
            <w:textDirection w:val="lrTb"/>
            <w:noWrap w:val="false"/>
          </w:tcPr>
          <w:p>
            <w:pPr>
              <w:jc w:val="left"/>
              <w:spacing w:line="560" w:lineRule="exact"/>
              <w:rPr>
                <w:rFonts w:ascii="宋体" w:hAnsi="宋体" w:cs="宋体"/>
                <w:sz w:val="18"/>
                <w:szCs w:val="18"/>
                <w:highlight w:val="none"/>
                <w:lang w:bidi="ar"/>
              </w:rPr>
            </w:pPr>
            <w:r>
              <w:rPr>
                <w:rFonts w:ascii="宋体" w:hAnsi="宋体" w:cs="宋体"/>
                <w:sz w:val="18"/>
                <w:szCs w:val="18"/>
                <w:highlight w:val="none"/>
                <w:lang w:bidi="ar"/>
              </w:rPr>
            </w:r>
            <w:r/>
          </w:p>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（采购代理机构公章）</w:t>
            </w:r>
            <w:r/>
          </w:p>
        </w:tc>
        <w:tc>
          <w:tcPr>
            <w:gridSpan w:val="3"/>
            <w:tcW w:w="2858" w:type="dxa"/>
            <w:textDirection w:val="lrTb"/>
            <w:noWrap w:val="false"/>
          </w:tcPr>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（采购人公章）</w:t>
            </w:r>
            <w:r/>
          </w:p>
        </w:tc>
      </w:tr>
      <w:tr>
        <w:trPr>
          <w:trHeight w:val="840"/>
        </w:trPr>
        <w:tc>
          <w:tcPr>
            <w:gridSpan w:val="10"/>
            <w:tcW w:w="9920" w:type="dxa"/>
            <w:textDirection w:val="lrTb"/>
            <w:noWrap w:val="false"/>
          </w:tcPr>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供应商确认：</w:t>
            </w:r>
            <w:r/>
          </w:p>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（单位公章或授权代表签字）</w:t>
            </w:r>
            <w:r/>
          </w:p>
        </w:tc>
      </w:tr>
    </w:tbl>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tbl>
      <w:tblPr>
        <w:tblStyle w:val="72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16"/>
        <w:gridCol w:w="735"/>
        <w:gridCol w:w="3916"/>
        <w:gridCol w:w="743"/>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方正小标宋_GBK" w:hAnsi="方正小标宋_GBK" w:eastAsia="方正小标宋_GBK" w:cs="方正小标宋_GBK"/>
                <w:sz w:val="40"/>
                <w:szCs w:val="40"/>
                <w:highlight w:val="none"/>
              </w:rPr>
            </w:pPr>
            <w:r>
              <w:rPr>
                <w:rFonts w:ascii="方正小标宋_GBK" w:hAnsi="方正小标宋_GBK" w:eastAsia="方正小标宋_GBK" w:cs="方正小标宋_GBK"/>
                <w:sz w:val="40"/>
                <w:szCs w:val="40"/>
                <w:highlight w:val="none"/>
                <w:lang w:bidi="ar"/>
              </w:rPr>
              <w:t xml:space="preserve">政府采购履约验收通知单（参考样本）</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ascii="宋体" w:hAnsi="宋体" w:cs="宋体"/>
                <w:b/>
                <w:bCs/>
                <w:sz w:val="24"/>
                <w:highlight w:val="none"/>
              </w:rPr>
            </w:pPr>
            <w:r>
              <w:rPr>
                <w:rFonts w:hint="eastAsia" w:ascii="宋体" w:hAnsi="宋体" w:cs="宋体"/>
                <w:b/>
                <w:bCs/>
                <w:sz w:val="24"/>
                <w:highlight w:val="none"/>
                <w:lang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bidi="ar"/>
              </w:rPr>
              <w:t xml:space="preserve">        单位公章</w:t>
            </w:r>
            <w:r>
              <w:rPr>
                <w:rFonts w:hint="eastAsia" w:ascii="宋体" w:hAnsi="宋体" w:cs="宋体"/>
                <w:sz w:val="24"/>
                <w:highlight w:val="none"/>
                <w:lang w:bidi="ar"/>
              </w:rPr>
              <w:br/>
            </w:r>
            <w:r>
              <w:rPr>
                <w:rFonts w:hint="eastAsia" w:ascii="宋体" w:hAnsi="宋体" w:cs="宋体"/>
                <w:sz w:val="24"/>
                <w:highlight w:val="none"/>
                <w:lang w:bidi="ar"/>
              </w:rPr>
              <w:t xml:space="preserve">         年 月 日</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r>
      <w:tr>
        <w:trPr>
          <w:trHeight w:val="12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ind w:firstLine="1767"/>
        <w:spacing w:before="240" w:after="240"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第四部分 投标文件格式</w:t>
      </w:r>
      <w:r/>
    </w:p>
    <w:p>
      <w:pPr>
        <w:jc w:val="center"/>
        <w:spacing w:line="38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80"/>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对本章所有的投标书格式，投标方可根据自身情况进行补充和修改，但补充和修改不得造成与本格式内容有实质性的违背。</w:t>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w:t>
      </w:r>
      <w:r>
        <w:rPr>
          <w:rFonts w:ascii="宋体" w:hAnsi="宋体" w:cs="宋体"/>
          <w:b/>
          <w:sz w:val="28"/>
          <w:highlight w:val="none"/>
        </w:rPr>
        <w:t xml:space="preserve">关于资格文件的声明函</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 </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 </w:t>
      </w:r>
      <w:r/>
    </w:p>
    <w:p>
      <w:pPr>
        <w:ind w:left="1260" w:firstLine="177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关于资格文件的声明函</w:t>
      </w:r>
      <w:r/>
    </w:p>
    <w:p>
      <w:pPr>
        <w:ind w:left="1260"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苏州市公共资源交易中心太仓分中心</w:t>
      </w:r>
      <w:r>
        <w:rPr>
          <w:rFonts w:ascii="宋体" w:hAnsi="宋体" w:cs="宋体"/>
          <w:sz w:val="24"/>
          <w:highlight w:val="none"/>
        </w:rPr>
        <w:t xml:space="preserve">：</w:t>
      </w:r>
      <w:r/>
    </w:p>
    <w:p>
      <w:pPr>
        <w:ind w:right="445"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本公司愿就由贵单位组织实施的编号为</w:t>
      </w:r>
      <w:r>
        <w:rPr>
          <w:rFonts w:hint="eastAsia" w:ascii="宋体" w:hAnsi="宋体" w:cs="宋体"/>
          <w:b/>
          <w:sz w:val="24"/>
          <w:highlight w:val="none"/>
          <w:u w:val="single"/>
          <w:lang w:eastAsia="zh-CN"/>
        </w:rPr>
        <w:t xml:space="preserve">JSZC-320585-JZCG-G2026-0006</w:t>
      </w:r>
      <w:r>
        <w:rPr>
          <w:rFonts w:ascii="宋体" w:hAnsi="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sz w:val="28"/>
          <w:szCs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2、投标承诺函</w:t>
      </w:r>
      <w:r/>
    </w:p>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投标承诺函</w:t>
      </w:r>
      <w:r/>
    </w:p>
    <w:p>
      <w:pPr>
        <w:ind w:firstLine="240"/>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苏州市公共资源交易中心太仓分中心 </w:t>
      </w:r>
      <w:r>
        <w:rPr>
          <w:rFonts w:ascii="宋体" w:hAnsi="宋体" w:cs="宋体"/>
          <w:sz w:val="24"/>
          <w:highlight w:val="none"/>
        </w:rPr>
        <w:t xml:space="preserve">：</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我们收到贵单位</w:t>
      </w:r>
      <w:r>
        <w:rPr>
          <w:rFonts w:hint="eastAsia" w:ascii="宋体" w:hAnsi="宋体" w:cs="宋体"/>
          <w:b/>
          <w:sz w:val="24"/>
          <w:highlight w:val="none"/>
          <w:u w:val="single"/>
          <w:lang w:eastAsia="zh-CN"/>
        </w:rPr>
        <w:t xml:space="preserve">城厢镇实验小学家具采购</w:t>
      </w:r>
      <w:r>
        <w:rPr>
          <w:rFonts w:hint="eastAsia" w:ascii="宋体" w:hAnsi="宋体" w:cs="宋体"/>
          <w:b/>
          <w:sz w:val="24"/>
          <w:highlight w:val="none"/>
          <w:u w:val="single"/>
        </w:rPr>
        <w:t xml:space="preserve"> </w:t>
      </w:r>
      <w:r>
        <w:rPr>
          <w:rFonts w:ascii="宋体" w:hAnsi="宋体" w:cs="宋体"/>
          <w:sz w:val="24"/>
          <w:highlight w:val="none"/>
        </w:rPr>
        <w:t xml:space="preserve">招标文件（项目编号：</w:t>
      </w:r>
      <w:r>
        <w:rPr>
          <w:rFonts w:hint="eastAsia" w:ascii="宋体" w:hAnsi="宋体" w:cs="宋体"/>
          <w:b/>
          <w:sz w:val="24"/>
          <w:highlight w:val="none"/>
          <w:u w:val="single"/>
          <w:lang w:eastAsia="zh-CN"/>
        </w:rPr>
        <w:t xml:space="preserve">JSZC-320585-JZCG-G2026-0006</w:t>
      </w:r>
      <w:r>
        <w:rPr>
          <w:rFonts w:ascii="宋体" w:hAnsi="宋体" w:cs="宋体"/>
          <w:sz w:val="24"/>
          <w:highlight w:val="none"/>
        </w:rPr>
        <w:t xml:space="preserve"> ），经仔细阅读和研究，我们决定参加投标。</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1、我们愿意按照招标文件的一切要求，提供包括完成该项目全部内容的设备、材料及人工、机械、保险、劳保、各种税费以及质保期间的一切费用。</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2、如果我们的投标书被接受，我们将严格履行招标文件中规定的每一项要求，按期、按质、按量履行合同的义务。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3、我们同意按招标文件中的规定，本投标书的有效期限为开标后</w:t>
      </w:r>
      <w:r>
        <w:rPr>
          <w:rFonts w:ascii="宋体" w:hAnsi="宋体" w:cs="宋体"/>
          <w:b/>
          <w:sz w:val="24"/>
          <w:highlight w:val="none"/>
          <w:u w:val="single"/>
        </w:rPr>
        <w:t xml:space="preserve">90</w:t>
      </w:r>
      <w:r>
        <w:rPr>
          <w:rFonts w:ascii="宋体" w:hAnsi="宋体" w:cs="宋体"/>
          <w:sz w:val="24"/>
          <w:highlight w:val="none"/>
        </w:rPr>
        <w:t xml:space="preserve">天。</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4、我们愿意提供招标方在招标文件中要求的所有资料。</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5、我们认为你们有权决定中标者，还认为你们有权接受或拒绝所有的投标者。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6、我们完全理解贵方不一定要接受最低报价的投标或收到的任何投标。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7、我们承诺该项投标在开标后的全过程中保持有效，不作任何更改和变动。</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w:t>
      </w:r>
      <w:r>
        <w:rPr>
          <w:rFonts w:ascii="宋体" w:hAnsi="宋体" w:cs="宋体"/>
          <w:b/>
          <w:sz w:val="24"/>
          <w:highlight w:val="none"/>
        </w:rPr>
        <w:t xml:space="preserve">如果中标，我们同意并知晓中标通知书发出方式及发出时间，遵守招标文件和中标通知书规定，在指定时间和地点和采购人签订合同。</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9、综合说明：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（1）伴随服务及配合措施；</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（2）要求甲方提供的配合；</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（3）对招标文件有不同意见的偏离说明；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（4）其它说明。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所有有关标书的函电，请按下列地址联系：</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单位：联系人：</w:t>
      </w:r>
      <w:r>
        <w:rPr>
          <w:rFonts w:hint="eastAsia" w:ascii="宋体" w:hAnsi="宋体" w:cs="宋体"/>
          <w:sz w:val="24"/>
          <w:highlight w:val="none"/>
        </w:rPr>
        <w:t xml:space="preserve"> </w:t>
      </w:r>
      <w:r>
        <w:rPr>
          <w:rFonts w:ascii="宋体" w:hAnsi="宋体" w:cs="宋体"/>
          <w:sz w:val="24"/>
          <w:highlight w:val="none"/>
        </w:rPr>
        <w:t xml:space="preserve">                    地址：邮政编码：</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联系电话：传真：</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3、参加政府采购活动前三年内，在经营活动中没有重大违法记录声明</w:t>
      </w:r>
      <w:r/>
    </w:p>
    <w:p>
      <w:pPr>
        <w:ind w:left="-210" w:right="-21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参加政府采购活动前三年内，在经营活动中没有重大违法记录声明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致：苏州市公共资源交易中心太仓分中心：</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我单位</w:t>
      </w:r>
      <w:r>
        <w:rPr>
          <w:rFonts w:ascii="宋体" w:hAnsi="宋体" w:cs="宋体"/>
          <w:sz w:val="24"/>
          <w:highlight w:val="none"/>
          <w:u w:val="single"/>
        </w:rPr>
        <w:t xml:space="preserve">         （供应商名称）</w:t>
      </w:r>
      <w:r>
        <w:rPr>
          <w:rFonts w:ascii="宋体" w:hAnsi="宋体" w:cs="宋体"/>
          <w:sz w:val="24"/>
          <w:highlight w:val="none"/>
        </w:rPr>
        <w:t xml:space="preserve"> 在参加政府采购活动前三年内，没有重大违法记录，特此声明。</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法定代表人（负责人）或代理人（签字或盖章）：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50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4、投标单位情况表</w:t>
      </w:r>
      <w:r/>
    </w:p>
    <w:p>
      <w:pPr>
        <w:ind w:left="1260" w:firstLine="2175"/>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投标单位情况表</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单位名称（盖章）：</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202</w:t>
            </w:r>
            <w:r>
              <w:rPr>
                <w:rFonts w:hint="eastAsia" w:ascii="宋体" w:hAnsi="宋体" w:cs="宋体"/>
                <w:b/>
                <w:sz w:val="24"/>
                <w:highlight w:val="none"/>
              </w:rPr>
              <w:t xml:space="preserve">4</w:t>
            </w:r>
            <w:r>
              <w:rPr>
                <w:rFonts w:ascii="宋体" w:hAnsi="宋体" w:cs="宋体"/>
                <w:b/>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202</w:t>
            </w:r>
            <w:r>
              <w:rPr>
                <w:rFonts w:hint="eastAsia" w:ascii="宋体" w:hAnsi="宋体" w:cs="宋体"/>
                <w:b/>
                <w:sz w:val="24"/>
                <w:highlight w:val="none"/>
              </w:rPr>
              <w:t xml:space="preserve">4</w:t>
            </w:r>
            <w:r>
              <w:rPr>
                <w:rFonts w:ascii="宋体" w:hAnsi="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自有面积平方米</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5、法定代表人授权委托书 （如有）</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授权委托书</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本授权委托书声明：我</w:t>
      </w:r>
      <w:r>
        <w:rPr>
          <w:rFonts w:ascii="宋体" w:hAnsi="宋体" w:cs="宋体"/>
          <w:sz w:val="24"/>
          <w:highlight w:val="none"/>
          <w:u w:val="single"/>
        </w:rPr>
        <w:t xml:space="preserve">（姓名）</w:t>
      </w:r>
      <w:r>
        <w:rPr>
          <w:rFonts w:ascii="宋体" w:hAnsi="宋体" w:cs="宋体"/>
          <w:sz w:val="24"/>
          <w:highlight w:val="none"/>
        </w:rPr>
        <w:t xml:space="preserve">系</w:t>
      </w:r>
      <w:r>
        <w:rPr>
          <w:rFonts w:ascii="宋体" w:hAnsi="宋体" w:cs="宋体"/>
          <w:sz w:val="24"/>
          <w:highlight w:val="none"/>
          <w:u w:val="single"/>
        </w:rPr>
        <w:t xml:space="preserve">（投标单位名称）</w:t>
      </w:r>
      <w:r>
        <w:rPr>
          <w:rFonts w:ascii="宋体" w:hAnsi="宋体" w:cs="宋体"/>
          <w:sz w:val="24"/>
          <w:highlight w:val="none"/>
        </w:rPr>
        <w:t xml:space="preserve">的法定代表人，现授权委托</w:t>
      </w:r>
      <w:r>
        <w:rPr>
          <w:rFonts w:ascii="宋体" w:hAnsi="宋体" w:cs="宋体"/>
          <w:sz w:val="24"/>
          <w:highlight w:val="none"/>
          <w:u w:val="single"/>
        </w:rPr>
        <w:t xml:space="preserve">（单位名称）</w:t>
      </w:r>
      <w:r>
        <w:rPr>
          <w:rFonts w:ascii="宋体" w:hAnsi="宋体" w:cs="宋体"/>
          <w:sz w:val="24"/>
          <w:highlight w:val="none"/>
        </w:rPr>
        <w:t xml:space="preserve">的</w:t>
      </w:r>
      <w:r>
        <w:rPr>
          <w:rFonts w:ascii="宋体" w:hAnsi="宋体" w:cs="宋体"/>
          <w:sz w:val="24"/>
          <w:highlight w:val="none"/>
          <w:u w:val="single"/>
        </w:rPr>
        <w:t xml:space="preserve">（姓名）</w:t>
      </w:r>
      <w:r>
        <w:rPr>
          <w:rFonts w:ascii="宋体" w:hAnsi="宋体" w:cs="宋体"/>
          <w:sz w:val="24"/>
          <w:highlight w:val="none"/>
        </w:rPr>
        <w:t xml:space="preserve">为我公司代理人，以本公司的名义参加</w:t>
      </w:r>
      <w:r>
        <w:rPr>
          <w:rFonts w:ascii="宋体" w:hAnsi="宋体" w:cs="宋体"/>
          <w:b/>
          <w:sz w:val="24"/>
          <w:highlight w:val="none"/>
          <w:u w:val="single"/>
        </w:rPr>
        <w:t xml:space="preserve">苏州市公共资源交易中心太仓分中心</w:t>
      </w:r>
      <w:r>
        <w:rPr>
          <w:rFonts w:ascii="宋体" w:hAnsi="宋体" w:cs="宋体"/>
          <w:sz w:val="24"/>
          <w:highlight w:val="none"/>
        </w:rPr>
        <w:t xml:space="preserve">组织实施的编号为</w:t>
      </w:r>
      <w:r>
        <w:rPr>
          <w:rFonts w:hint="eastAsia" w:ascii="宋体" w:hAnsi="宋体" w:cs="宋体"/>
          <w:b/>
          <w:sz w:val="24"/>
          <w:highlight w:val="none"/>
          <w:u w:val="single"/>
          <w:lang w:eastAsia="zh-CN"/>
        </w:rPr>
        <w:t xml:space="preserve">JSZC-320585-JZCG-G2026-0006</w:t>
      </w:r>
      <w:r>
        <w:rPr>
          <w:rFonts w:ascii="宋体" w:hAnsi="宋体" w:cs="宋体"/>
          <w:sz w:val="24"/>
          <w:highlight w:val="none"/>
        </w:rPr>
        <w:t xml:space="preserve">号的招标活动。代理人在开标、评标、合同谈判过程中所签署的一切文件和处理与这有关的一切事务，我均予以承认。</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代理人无转委托权。特此委托！</w:t>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授权代理人：（签字或盖章）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6、开标一览表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投标人全称（加盖公章）：供应商名称</w:t>
      </w:r>
      <w:r/>
    </w:p>
    <w:p>
      <w:pPr>
        <w:ind w:firstLine="720"/>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项目编号：</w:t>
      </w:r>
      <w:r>
        <w:rPr>
          <w:rFonts w:hint="eastAsia" w:ascii="宋体" w:hAnsi="宋体" w:cs="宋体"/>
          <w:sz w:val="24"/>
          <w:highlight w:val="none"/>
          <w:lang w:eastAsia="zh-CN"/>
        </w:rPr>
        <w:t xml:space="preserve">JSZC-320585-JZCG-G2026-0006</w:t>
      </w:r>
      <w:r/>
    </w:p>
    <w:p>
      <w:pPr>
        <w:pStyle w:val="732"/>
        <w:rPr>
          <w:highlight w:val="none"/>
          <w:lang w:eastAsia="zh-CN"/>
        </w:rPr>
      </w:pPr>
      <w:r>
        <w:rPr>
          <w:highlight w:val="none"/>
          <w:lang w:eastAsia="zh-CN"/>
        </w:rPr>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城厢镇实验小学家具采购</w:t>
            </w:r>
            <w:r>
              <w:rPr>
                <w:rFonts w:hint="eastAsia"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金额大写：</w:t>
            </w:r>
            <w:r/>
          </w:p>
        </w:tc>
      </w:tr>
    </w:tbl>
    <w:p>
      <w:pPr>
        <w:ind w:firstLine="723"/>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ind w:firstLine="336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7、投标报价明细表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p>
      <w:pPr>
        <w:ind w:firstLine="2811"/>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（一）投标报价明细表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tbl>
      <w:tblPr>
        <w:tblStyle w:val="729"/>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rFonts w:hAnsi="宋体"/>
                <w:bCs/>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rFonts w:hAnsi="宋体"/>
                <w:bCs/>
                <w:sz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rFonts w:hAnsi="宋体"/>
                <w:bCs/>
                <w:sz w:val="24"/>
                <w:highlight w:val="none"/>
              </w:rPr>
              <w:t xml:space="preserve">品牌、规格、型号</w:t>
            </w:r>
            <w:r>
              <w:rPr>
                <w:rFonts w:hint="eastAsia" w:hAnsi="宋体"/>
                <w:bCs/>
                <w:sz w:val="24"/>
                <w:highlight w:val="none"/>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rFonts w:hAnsi="宋体"/>
                <w:bCs/>
                <w:sz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highlight w:val="none"/>
              </w:rPr>
            </w:pPr>
            <w:r>
              <w:rPr>
                <w:rFonts w:hAnsi="宋体"/>
                <w:bCs/>
                <w:sz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rFonts w:hAnsi="宋体"/>
                <w:bCs/>
                <w:sz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rFonts w:hAnsi="宋体"/>
                <w:bCs/>
                <w:sz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highlight w:val="none"/>
              </w:rPr>
            </w:pPr>
            <w:r>
              <w:rPr>
                <w:rFonts w:hAnsi="宋体"/>
                <w:bCs/>
                <w:sz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highlight w:val="none"/>
              </w:rPr>
            </w:pPr>
            <w:r>
              <w:rPr>
                <w:rFonts w:hAnsi="宋体"/>
                <w:bCs/>
                <w:sz w:val="24"/>
                <w:highlight w:val="none"/>
              </w:rPr>
              <w:t xml:space="preserve">大写：元</w:t>
            </w:r>
            <w:r>
              <w:rPr>
                <w:rFonts w:hint="eastAsia" w:hAnsi="宋体"/>
                <w:bCs/>
                <w:sz w:val="24"/>
                <w:highlight w:val="none"/>
              </w:rPr>
              <w:t xml:space="preserve">； 小写：               元</w:t>
            </w:r>
            <w:r/>
          </w:p>
        </w:tc>
      </w:tr>
    </w:tbl>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ascii="宋体" w:hAnsi="宋体" w:cs="宋体"/>
          <w:sz w:val="24"/>
          <w:highlight w:val="none"/>
        </w:rPr>
        <w:t xml:space="preserve">本表报价的合计金额应与开标一览表报价一致</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2、本表中货物内容根据标的物填写品牌、型号、规格等信息，若涉及服务内容的，根据服务分项名称填写服务说明等内容。</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投标单位：（公章）</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法定代表人或委托代理人（签字或盖章）： </w:t>
      </w:r>
      <w:r/>
    </w:p>
    <w:p>
      <w:pPr>
        <w:spacing w:line="499" w:lineRule="atLeast"/>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highlight w:val="none"/>
        </w:rPr>
        <w:pBdr>
          <w:top w:val="none" w:color="000000" w:sz="0" w:space="0"/>
          <w:left w:val="none" w:color="000000" w:sz="0" w:space="0"/>
          <w:bottom w:val="none" w:color="000000" w:sz="0" w:space="0"/>
          <w:right w:val="none" w:color="000000" w:sz="0" w:space="0"/>
        </w:pBdr>
      </w:pPr>
      <w:r>
        <w:rPr>
          <w:highlight w:val="none"/>
        </w:rPr>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1506"/>
        <w:rPr>
          <w:rFonts w:ascii="宋体" w:hAnsi="宋体"/>
          <w:b/>
          <w:bCs/>
          <w:highlight w:val="none"/>
        </w:rPr>
      </w:pPr>
      <w:r>
        <w:rPr>
          <w:rFonts w:hint="eastAsia" w:ascii="宋体" w:hAnsi="宋体"/>
          <w:b/>
          <w:sz w:val="30"/>
          <w:szCs w:val="30"/>
          <w:highlight w:val="none"/>
        </w:rPr>
        <w:t xml:space="preserve">（二）投标报价合理性说明（如有）</w:t>
      </w:r>
      <w:r/>
    </w:p>
    <w:p>
      <w:pPr>
        <w:spacing w:line="420" w:lineRule="exact"/>
        <w:rPr>
          <w:rFonts w:ascii="宋体" w:hAnsi="宋体"/>
          <w:b/>
          <w:highlight w:val="none"/>
        </w:rPr>
      </w:pPr>
      <w:r>
        <w:rPr>
          <w:rFonts w:ascii="宋体" w:hAnsi="宋体"/>
          <w:b/>
          <w:highlight w:val="none"/>
        </w:rPr>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注：根据 “采购人须知” 中异常低价审核相关条款规定，若投标人的投标（响应）报价满足以下任一条件：</w:t>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1）</w:t>
      </w:r>
      <w:r>
        <w:rPr>
          <w:rFonts w:ascii="宋体" w:hAnsi="宋体" w:eastAsia="宋体" w:cs="宋体"/>
          <w:b/>
          <w:bCs/>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rPr>
        <w:br/>
      </w:r>
      <w:r>
        <w:rPr>
          <w:rFonts w:hint="eastAsia" w:ascii="宋体" w:hAnsi="宋体" w:cs="宋体"/>
          <w:b/>
          <w:sz w:val="24"/>
          <w:highlight w:val="none"/>
        </w:rPr>
        <w:t xml:space="preserve">；</w:t>
      </w:r>
      <w:r/>
    </w:p>
    <w:p>
      <w:pPr>
        <w:ind w:firstLine="482"/>
        <w:spacing w:line="420" w:lineRule="exact"/>
        <w:rPr>
          <w:rFonts w:hint="eastAsia" w:ascii="宋体" w:hAnsi="宋体" w:eastAsia="宋体" w:cs="宋体"/>
          <w:b/>
          <w:sz w:val="24"/>
          <w:highlight w:val="none"/>
          <w:lang w:eastAsia="zh-CN"/>
        </w:rPr>
      </w:pPr>
      <w:r>
        <w:rPr>
          <w:rFonts w:hint="eastAsia" w:ascii="宋体" w:hAnsi="宋体" w:cs="宋体"/>
          <w:b/>
          <w:sz w:val="24"/>
          <w:highlight w:val="none"/>
        </w:rPr>
        <w:t xml:space="preserve">2）</w:t>
      </w:r>
      <w:r>
        <w:rPr>
          <w:rFonts w:ascii="宋体" w:hAnsi="宋体" w:eastAsia="宋体" w:cs="宋体"/>
          <w:b/>
          <w:bCs/>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 xml:space="preserve">；</w:t>
      </w:r>
      <w:r/>
    </w:p>
    <w:p>
      <w:pPr>
        <w:ind w:firstLine="482"/>
        <w:spacing w:line="420" w:lineRule="exact"/>
        <w:rPr>
          <w:rFonts w:ascii="宋体" w:hAnsi="宋体" w:cs="宋体"/>
          <w:b/>
          <w:sz w:val="24"/>
          <w:highlight w:val="none"/>
        </w:rPr>
      </w:pPr>
      <w:r>
        <w:rPr>
          <w:rFonts w:hint="eastAsia" w:ascii="宋体" w:hAnsi="宋体" w:cs="宋体"/>
          <w:b/>
          <w:bCs/>
          <w:sz w:val="24"/>
          <w:highlight w:val="none"/>
          <w:lang w:val="en-US" w:eastAsia="zh-CN"/>
        </w:rPr>
        <w:t xml:space="preserve">3）</w:t>
      </w:r>
      <w:r>
        <w:rPr>
          <w:rFonts w:ascii="宋体" w:hAnsi="宋体" w:eastAsia="宋体" w:cs="宋体"/>
          <w:b/>
          <w:bCs/>
          <w:sz w:val="24"/>
          <w:highlight w:val="none"/>
        </w:rPr>
        <w:t xml:space="preserve">投标（响应）报价低于采购项目最高限价45%的，即投标（响应）报价&lt;采购项目最高限价×45%；</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w:t>
      </w:r>
      <w:r>
        <w:rPr>
          <w:rFonts w:hint="eastAsia" w:ascii="宋体" w:hAnsi="宋体" w:cs="宋体"/>
          <w:b/>
          <w:bCs/>
          <w:sz w:val="24"/>
          <w:highlight w:val="none"/>
          <w:lang w:val="en-US" w:eastAsia="zh-CN"/>
        </w:rPr>
        <w:t xml:space="preserve">4）</w:t>
      </w:r>
      <w:r>
        <w:rPr>
          <w:rFonts w:ascii="宋体" w:hAnsi="宋体" w:eastAsia="宋体" w:cs="宋体"/>
          <w:b/>
          <w:bCs/>
          <w:sz w:val="24"/>
          <w:highlight w:val="none"/>
        </w:rPr>
        <w:t xml:space="preserve">评审委员会基于专业判断，认为供应商报价过低，有可能影响产品质量或者不能诚信履约的其他情形。</w:t>
      </w:r>
      <w:r>
        <w:rPr>
          <w:rFonts w:ascii="宋体" w:hAnsi="宋体" w:eastAsia="宋体" w:cs="宋体"/>
          <w:b/>
          <w:bCs/>
          <w:sz w:val="24"/>
          <w:highlight w:val="none"/>
        </w:rPr>
        <w:br/>
      </w:r>
      <w:r>
        <w:rPr>
          <w:rFonts w:hint="eastAsia" w:ascii="宋体" w:hAnsi="宋体" w:cs="宋体"/>
          <w:b/>
          <w:bCs/>
          <w:sz w:val="24"/>
          <w:highlight w:val="none"/>
          <w:lang w:val="en-US" w:eastAsia="zh-CN"/>
        </w:rPr>
        <w:t xml:space="preserve">    </w:t>
      </w:r>
      <w:r>
        <w:rPr>
          <w:rFonts w:ascii="宋体" w:hAnsi="宋体" w:eastAsia="宋体" w:cs="宋体"/>
          <w:b/>
          <w:bCs/>
          <w:sz w:val="24"/>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rPr>
        <w:b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80" w:lineRule="exact"/>
        <w:rPr>
          <w:rFonts w:asciiTheme="minorEastAsia" w:hAnsiTheme="minorEastAsia"/>
          <w:sz w:val="24"/>
          <w:highlight w:val="none"/>
        </w:rPr>
      </w:pPr>
      <w:r>
        <w:rPr>
          <w:rFonts w:asciiTheme="minorEastAsia" w:hAnsiTheme="minorEastAsia"/>
          <w:sz w:val="24"/>
          <w:highlight w:val="none"/>
        </w:rPr>
      </w:r>
      <w:r/>
    </w:p>
    <w:p>
      <w:pPr>
        <w:spacing w:line="480" w:lineRule="exact"/>
        <w:rPr>
          <w:rFonts w:asciiTheme="minorEastAsia" w:hAnsiTheme="minorEastAsia"/>
          <w:sz w:val="24"/>
          <w:highlight w:val="none"/>
        </w:rPr>
      </w:pPr>
      <w:r>
        <w:rPr>
          <w:rFonts w:hint="eastAsia" w:asciiTheme="minorEastAsia" w:hAnsiTheme="minorEastAsia"/>
          <w:sz w:val="24"/>
          <w:highlight w:val="none"/>
        </w:rPr>
        <w:t xml:space="preserve">投标单位：（公章）</w:t>
      </w:r>
      <w:r/>
    </w:p>
    <w:p>
      <w:pPr>
        <w:spacing w:line="480" w:lineRule="exact"/>
        <w:rPr>
          <w:rFonts w:asciiTheme="minorEastAsia" w:hAnsiTheme="minorEastAsia"/>
          <w:sz w:val="24"/>
          <w:highlight w:val="none"/>
        </w:rPr>
      </w:pPr>
      <w:r>
        <w:rPr>
          <w:rFonts w:hint="eastAsia" w:asciiTheme="minorEastAsia" w:hAnsiTheme="minorEastAsia"/>
          <w:sz w:val="24"/>
          <w:highlight w:val="none"/>
        </w:rPr>
        <w:t xml:space="preserve">法定代表人或委托代理人（签字或盖章）： </w:t>
      </w:r>
      <w:r/>
    </w:p>
    <w:p>
      <w:pPr>
        <w:pStyle w:val="735"/>
        <w:spacing w:line="480" w:lineRule="exact"/>
        <w:rPr>
          <w:rFonts w:asciiTheme="minorEastAsia" w:hAnsiTheme="minorEastAsia"/>
          <w:sz w:val="24"/>
          <w:highlight w:val="none"/>
        </w:rPr>
      </w:pPr>
      <w:r>
        <w:rPr>
          <w:rFonts w:hint="eastAsia" w:asciiTheme="minorEastAsia" w:hAnsiTheme="minorEastAsia"/>
          <w:sz w:val="24"/>
          <w:highlight w:val="none"/>
        </w:rPr>
        <w:t xml:space="preserve">投标日期：    年   月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35"/>
        <w:rPr>
          <w:rFonts w:hAnsi="宋体"/>
          <w:b/>
          <w:sz w:val="32"/>
          <w:szCs w:val="32"/>
          <w:highlight w:val="none"/>
        </w:rPr>
      </w:pPr>
      <w:r>
        <w:rPr>
          <w:rFonts w:hint="eastAsia" w:hAnsi="宋体"/>
          <w:b/>
          <w:sz w:val="32"/>
          <w:szCs w:val="32"/>
          <w:highlight w:val="none"/>
        </w:rPr>
        <w:t xml:space="preserve">8、投标货物数量、品牌规格、材质、性能、交货期说明表</w:t>
      </w:r>
      <w:r/>
    </w:p>
    <w:p>
      <w:pPr>
        <w:pStyle w:val="735"/>
        <w:ind w:firstLine="1417"/>
        <w:rPr>
          <w:rFonts w:hAnsi="宋体"/>
          <w:b/>
          <w:sz w:val="24"/>
          <w:highlight w:val="none"/>
        </w:rPr>
      </w:pPr>
      <w:r>
        <w:rPr>
          <w:rFonts w:hAnsi="宋体"/>
          <w:b/>
          <w:sz w:val="24"/>
          <w:highlight w:val="none"/>
        </w:rPr>
      </w:r>
      <w:r/>
    </w:p>
    <w:p>
      <w:pPr>
        <w:pStyle w:val="735"/>
        <w:ind w:firstLine="1417"/>
        <w:rPr>
          <w:highlight w:val="none"/>
        </w:rPr>
      </w:pPr>
      <w:r>
        <w:rPr>
          <w:rFonts w:hint="eastAsia" w:hAnsi="宋体"/>
          <w:b/>
          <w:sz w:val="24"/>
          <w:highlight w:val="none"/>
        </w:rPr>
        <w:t xml:space="preserve">投标货物数量、品牌规格、材质、性能、交货期说明表</w:t>
      </w:r>
      <w:r/>
    </w:p>
    <w:tbl>
      <w:tblPr>
        <w:tblStyle w:val="729"/>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927"/>
              <w:jc w:val="center"/>
              <w:spacing w:line="360" w:lineRule="auto"/>
              <w:rPr>
                <w:rFonts w:hAnsi="宋体" w:eastAsia="宋体"/>
                <w:sz w:val="24"/>
                <w:szCs w:val="24"/>
                <w:highlight w:val="none"/>
              </w:rPr>
            </w:pPr>
            <w:r>
              <w:rPr>
                <w:rFonts w:hint="eastAsia" w:hAnsi="宋体" w:eastAsia="宋体"/>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927"/>
              <w:jc w:val="center"/>
              <w:spacing w:line="360" w:lineRule="auto"/>
              <w:rPr>
                <w:rFonts w:hAnsi="宋体" w:eastAsia="宋体"/>
                <w:sz w:val="24"/>
                <w:szCs w:val="24"/>
                <w:highlight w:val="none"/>
              </w:rPr>
            </w:pPr>
            <w:r>
              <w:rPr>
                <w:rFonts w:hint="eastAsia" w:hAnsi="宋体" w:eastAsia="宋体"/>
                <w:sz w:val="24"/>
                <w:szCs w:val="24"/>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927"/>
              <w:jc w:val="center"/>
              <w:spacing w:line="360" w:lineRule="auto"/>
              <w:rPr>
                <w:rFonts w:hAnsi="宋体" w:eastAsia="宋体"/>
                <w:sz w:val="24"/>
                <w:szCs w:val="24"/>
                <w:highlight w:val="none"/>
              </w:rPr>
            </w:pPr>
            <w:r>
              <w:rPr>
                <w:rFonts w:hint="eastAsia" w:hAnsi="宋体" w:eastAsia="宋体"/>
                <w:sz w:val="24"/>
                <w:szCs w:val="24"/>
                <w:highlight w:val="none"/>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927"/>
              <w:jc w:val="center"/>
              <w:spacing w:line="360" w:lineRule="auto"/>
              <w:rPr>
                <w:rFonts w:hAnsi="宋体" w:eastAsia="宋体"/>
                <w:sz w:val="24"/>
                <w:szCs w:val="24"/>
                <w:highlight w:val="none"/>
              </w:rPr>
            </w:pPr>
            <w:r>
              <w:rPr>
                <w:rFonts w:hint="eastAsia" w:hAnsi="宋体" w:eastAsia="宋体"/>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927"/>
              <w:jc w:val="center"/>
              <w:spacing w:line="360" w:lineRule="auto"/>
              <w:rPr>
                <w:rFonts w:hAnsi="宋体" w:eastAsia="宋体"/>
                <w:sz w:val="24"/>
                <w:szCs w:val="24"/>
                <w:highlight w:val="none"/>
              </w:rPr>
            </w:pPr>
            <w:r>
              <w:rPr>
                <w:rFonts w:hint="eastAsia" w:hAnsi="宋体" w:eastAsia="宋体"/>
                <w:sz w:val="24"/>
                <w:szCs w:val="24"/>
                <w:highlight w:val="none"/>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927"/>
              <w:jc w:val="center"/>
              <w:spacing w:line="360" w:lineRule="auto"/>
              <w:rPr>
                <w:rFonts w:hAnsi="宋体" w:eastAsia="宋体"/>
                <w:sz w:val="24"/>
                <w:szCs w:val="24"/>
                <w:highlight w:val="none"/>
              </w:rPr>
            </w:pPr>
            <w:r>
              <w:rPr>
                <w:rFonts w:hint="eastAsia" w:hAnsi="宋体" w:eastAsia="宋体"/>
                <w:sz w:val="24"/>
                <w:szCs w:val="24"/>
                <w:highlight w:val="none"/>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7"/>
              <w:jc w:val="center"/>
              <w:spacing w:line="360" w:lineRule="auto"/>
              <w:rPr>
                <w:rFonts w:hAnsi="宋体" w:eastAsia="宋体"/>
                <w:sz w:val="24"/>
                <w:szCs w:val="24"/>
                <w:highlight w:val="none"/>
              </w:rPr>
            </w:pPr>
            <w:r>
              <w:rPr>
                <w:rFonts w:hAnsi="宋体" w:eastAsia="宋体"/>
                <w:sz w:val="24"/>
                <w:szCs w:val="24"/>
                <w:highlight w:val="none"/>
              </w:rPr>
            </w:r>
            <w:r/>
          </w:p>
        </w:tc>
      </w:tr>
    </w:tbl>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b/>
          <w:bCs/>
          <w:sz w:val="32"/>
          <w:szCs w:val="32"/>
          <w:highlight w:val="none"/>
        </w:rPr>
      </w:pPr>
      <w:r>
        <w:rPr>
          <w:rFonts w:hint="eastAsia" w:ascii="宋体" w:hAnsi="宋体" w:cs="宋体"/>
          <w:b/>
          <w:bCs/>
          <w:sz w:val="32"/>
          <w:szCs w:val="32"/>
          <w:highlight w:val="none"/>
        </w:rPr>
        <w:t xml:space="preserve">9、技术（服务）要求偏离表</w:t>
      </w:r>
      <w:r/>
    </w:p>
    <w:p>
      <w:pPr>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 技术（服务）要求偏离表</w:t>
      </w:r>
      <w:r/>
    </w:p>
    <w:tbl>
      <w:tblPr>
        <w:tblStyle w:val="729"/>
        <w:tblW w:w="0" w:type="auto"/>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1489"/>
        <w:gridCol w:w="2526"/>
        <w:gridCol w:w="1843"/>
        <w:gridCol w:w="2392"/>
      </w:tblGrid>
      <w:tr>
        <w:trPr>
          <w:trHeight w:val="992"/>
        </w:trPr>
        <w:tc>
          <w:tcPr>
            <w:tcW w:w="1075" w:type="dxa"/>
            <w:vAlign w:val="center"/>
            <w:textDirection w:val="lrTb"/>
            <w:noWrap w:val="false"/>
          </w:tcPr>
          <w:p>
            <w:pPr>
              <w:jc w:val="center"/>
              <w:spacing w:line="420" w:lineRule="atLeast"/>
              <w:rPr>
                <w:rFonts w:ascii="宋体" w:hAnsi="宋体" w:cs="宋体"/>
                <w:sz w:val="24"/>
                <w:highlight w:val="none"/>
              </w:rPr>
            </w:pPr>
            <w:r>
              <w:rPr>
                <w:rFonts w:hint="eastAsia" w:ascii="宋体" w:hAnsi="宋体" w:cs="宋体"/>
                <w:sz w:val="24"/>
                <w:highlight w:val="none"/>
              </w:rPr>
              <w:t xml:space="preserve">序号</w:t>
            </w:r>
            <w:r/>
          </w:p>
        </w:tc>
        <w:tc>
          <w:tcPr>
            <w:tcW w:w="1489" w:type="dxa"/>
            <w:vAlign w:val="center"/>
            <w:textDirection w:val="lrTb"/>
            <w:noWrap w:val="false"/>
          </w:tcPr>
          <w:p>
            <w:pPr>
              <w:jc w:val="center"/>
              <w:spacing w:line="420" w:lineRule="atLeast"/>
              <w:rPr>
                <w:rFonts w:ascii="宋体" w:hAnsi="宋体" w:cs="宋体"/>
                <w:sz w:val="24"/>
                <w:highlight w:val="none"/>
              </w:rPr>
            </w:pPr>
            <w:r>
              <w:rPr>
                <w:rFonts w:hint="eastAsia" w:ascii="宋体" w:hAnsi="宋体" w:cs="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cs="宋体"/>
                <w:sz w:val="24"/>
                <w:highlight w:val="none"/>
              </w:rPr>
            </w:pPr>
            <w:r>
              <w:rPr>
                <w:rFonts w:hint="eastAsia" w:ascii="宋体" w:hAnsi="宋体" w:cs="宋体"/>
                <w:sz w:val="24"/>
                <w:highlight w:val="none"/>
              </w:rPr>
              <w:t xml:space="preserve">招标文件</w:t>
            </w:r>
            <w:r/>
          </w:p>
          <w:p>
            <w:pPr>
              <w:jc w:val="center"/>
              <w:spacing w:line="420" w:lineRule="atLeast"/>
              <w:rPr>
                <w:rFonts w:ascii="宋体" w:hAnsi="宋体" w:cs="宋体"/>
                <w:sz w:val="24"/>
                <w:highlight w:val="none"/>
              </w:rPr>
            </w:pPr>
            <w:r>
              <w:rPr>
                <w:rFonts w:hint="eastAsia" w:ascii="宋体" w:hAnsi="宋体" w:cs="宋体"/>
                <w:sz w:val="24"/>
                <w:highlight w:val="none"/>
              </w:rPr>
              <w:t xml:space="preserve">技术要求</w:t>
            </w:r>
            <w:r/>
          </w:p>
        </w:tc>
        <w:tc>
          <w:tcPr>
            <w:tcW w:w="1843" w:type="dxa"/>
            <w:vAlign w:val="center"/>
            <w:textDirection w:val="lrTb"/>
            <w:noWrap w:val="false"/>
          </w:tcPr>
          <w:p>
            <w:pPr>
              <w:jc w:val="center"/>
              <w:spacing w:line="420" w:lineRule="atLeast"/>
              <w:rPr>
                <w:rFonts w:ascii="宋体" w:hAnsi="宋体" w:cs="宋体"/>
                <w:sz w:val="24"/>
                <w:highlight w:val="none"/>
              </w:rPr>
            </w:pPr>
            <w:r>
              <w:rPr>
                <w:rFonts w:hint="eastAsia" w:ascii="宋体" w:hAnsi="宋体" w:cs="宋体"/>
                <w:sz w:val="24"/>
                <w:highlight w:val="none"/>
              </w:rPr>
              <w:t xml:space="preserve">投标文件</w:t>
            </w:r>
            <w:r/>
          </w:p>
          <w:p>
            <w:pPr>
              <w:jc w:val="center"/>
              <w:spacing w:line="420" w:lineRule="atLeast"/>
              <w:rPr>
                <w:rFonts w:ascii="宋体" w:hAnsi="宋体" w:cs="宋体"/>
                <w:sz w:val="24"/>
                <w:highlight w:val="none"/>
              </w:rPr>
            </w:pPr>
            <w:r>
              <w:rPr>
                <w:rFonts w:hint="eastAsia" w:ascii="宋体" w:hAnsi="宋体" w:cs="宋体"/>
                <w:sz w:val="24"/>
                <w:highlight w:val="none"/>
              </w:rPr>
              <w:t xml:space="preserve">响应要求</w:t>
            </w:r>
            <w:r/>
          </w:p>
        </w:tc>
        <w:tc>
          <w:tcPr>
            <w:tcW w:w="2392" w:type="dxa"/>
            <w:vAlign w:val="center"/>
            <w:textDirection w:val="lrTb"/>
            <w:noWrap w:val="false"/>
          </w:tcPr>
          <w:p>
            <w:pPr>
              <w:jc w:val="center"/>
              <w:spacing w:line="420" w:lineRule="atLeast"/>
              <w:rPr>
                <w:rFonts w:ascii="宋体" w:hAnsi="宋体" w:cs="宋体"/>
                <w:sz w:val="24"/>
                <w:highlight w:val="none"/>
              </w:rPr>
            </w:pPr>
            <w:r>
              <w:rPr>
                <w:rFonts w:hint="eastAsia" w:ascii="宋体" w:hAnsi="宋体" w:cs="宋体"/>
                <w:sz w:val="24"/>
                <w:highlight w:val="none"/>
              </w:rPr>
              <w:t xml:space="preserve"> 偏离情况</w:t>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1</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2</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3</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4</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5</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6</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7</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8</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hint="eastAsia" w:ascii="宋体" w:hAnsi="宋体" w:cs="宋体"/>
                <w:sz w:val="24"/>
                <w:highlight w:val="none"/>
              </w:rPr>
              <w:t xml:space="preserve">...</w:t>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r>
        <w:trPr>
          <w:trHeight w:val="150"/>
        </w:trPr>
        <w:tc>
          <w:tcPr>
            <w:tcW w:w="1075" w:type="dxa"/>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489"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526"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1843"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c>
          <w:tcPr>
            <w:tcW w:w="2392" w:type="dxa"/>
            <w:vAlign w:val="center"/>
            <w:textDirection w:val="lrTb"/>
            <w:noWrap w:val="false"/>
          </w:tcPr>
          <w:p>
            <w:pPr>
              <w:jc w:val="center"/>
              <w:spacing w:line="400" w:lineRule="atLeast"/>
              <w:rPr>
                <w:rFonts w:ascii="宋体" w:hAnsi="宋体" w:cs="宋体"/>
                <w:sz w:val="24"/>
                <w:highlight w:val="none"/>
              </w:rPr>
            </w:pPr>
            <w:r>
              <w:rPr>
                <w:rFonts w:ascii="宋体" w:hAnsi="宋体" w:cs="宋体"/>
                <w:sz w:val="24"/>
                <w:highlight w:val="none"/>
              </w:rPr>
            </w:r>
            <w:r/>
          </w:p>
        </w:tc>
      </w:tr>
    </w:tbl>
    <w:p>
      <w:pPr>
        <w:spacing w:line="420" w:lineRule="exact"/>
        <w:rPr>
          <w:rFonts w:ascii="宋体" w:hAnsi="宋体" w:cs="宋体"/>
          <w:sz w:val="24"/>
          <w:highlight w:val="none"/>
          <w:lang w:val="zh-CN"/>
        </w:rPr>
      </w:pPr>
      <w:r>
        <w:rPr>
          <w:rFonts w:hint="eastAsia" w:ascii="宋体" w:hAnsi="宋体" w:cs="宋体"/>
          <w:sz w:val="24"/>
          <w:highlight w:val="none"/>
          <w:lang w:val="zh-CN"/>
        </w:rPr>
        <w:t xml:space="preserve">注：</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2、若事项较多，投标人可根据响应内容的实际情况另纸说明。</w:t>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hint="eastAsia" w:ascii="宋体" w:hAnsi="宋体" w:cs="宋体"/>
          <w:sz w:val="24"/>
          <w:highlight w:val="none"/>
        </w:rPr>
        <w:t xml:space="preserve">投标单位：（单位盖章）</w:t>
      </w:r>
      <w:r/>
    </w:p>
    <w:p>
      <w:pPr>
        <w:spacing w:line="420" w:lineRule="exact"/>
        <w:rPr>
          <w:rFonts w:ascii="宋体" w:hAnsi="宋体" w:cs="宋体"/>
          <w:bCs/>
          <w:sz w:val="24"/>
          <w:highlight w:val="none"/>
        </w:rPr>
      </w:pPr>
      <w:r>
        <w:rPr>
          <w:rFonts w:hint="eastAsia" w:ascii="宋体" w:hAnsi="宋体" w:cs="宋体"/>
          <w:sz w:val="24"/>
          <w:highlight w:val="none"/>
        </w:rPr>
        <w:t xml:space="preserve">法定代表人或代理人（签字或盖章）</w:t>
      </w:r>
      <w:r>
        <w:rPr>
          <w:rFonts w:hint="eastAsia" w:ascii="宋体" w:hAnsi="宋体" w:cs="宋体"/>
          <w:bCs/>
          <w:sz w:val="24"/>
          <w:highlight w:val="none"/>
        </w:rPr>
        <w:t xml:space="preserve">：</w:t>
      </w:r>
      <w:r/>
    </w:p>
    <w:p>
      <w:pPr>
        <w:spacing w:line="42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投标日期：   年   月   日</w:t>
      </w:r>
      <w:r/>
    </w:p>
    <w:p>
      <w:pPr>
        <w:pStyle w:val="913"/>
        <w:rPr>
          <w:rFonts w:ascii="宋体" w:hAnsi="宋体" w:eastAsia="宋体" w:cs="宋体"/>
          <w:sz w:val="24"/>
          <w:highlight w:val="none"/>
        </w:rPr>
      </w:pPr>
      <w:r>
        <w:rPr>
          <w:rFonts w:ascii="宋体" w:hAnsi="宋体" w:eastAsia="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10、商务偏离表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pacing w:val="20"/>
          <w:sz w:val="32"/>
          <w:highlight w:val="none"/>
        </w:rPr>
        <w:t xml:space="preserve">商务条款偏离表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2、若事项较多，投标人可根据响应内容的实际情况另纸说明。</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宋体" w:hAnsi="宋体"/>
          <w:b/>
          <w:bCs/>
          <w:sz w:val="32"/>
          <w:szCs w:val="32"/>
          <w:highlight w:val="none"/>
        </w:rPr>
      </w:pPr>
      <w:r>
        <w:rPr>
          <w:rFonts w:ascii="宋体" w:hAnsi="宋体" w:cs="宋体"/>
          <w:b/>
          <w:sz w:val="32"/>
          <w:highlight w:val="none"/>
        </w:rPr>
        <w:t xml:space="preserve">11、</w:t>
      </w:r>
      <w:r>
        <w:rPr>
          <w:rFonts w:hint="eastAsia" w:ascii="宋体" w:hAnsi="宋体"/>
          <w:b/>
          <w:bCs/>
          <w:sz w:val="32"/>
          <w:szCs w:val="32"/>
          <w:highlight w:val="none"/>
        </w:rPr>
        <w:t xml:space="preserve">项目技术方案及服务方案</w:t>
      </w:r>
      <w:r/>
    </w:p>
    <w:p>
      <w:pPr>
        <w:rPr>
          <w:rFonts w:ascii="宋体" w:hAnsi="宋体" w:cs="Arial"/>
          <w:sz w:val="24"/>
          <w:szCs w:val="21"/>
          <w:highlight w:val="none"/>
        </w:rPr>
      </w:pPr>
      <w:r>
        <w:rPr>
          <w:rFonts w:ascii="宋体" w:hAnsi="宋体" w:cs="Arial"/>
          <w:sz w:val="24"/>
          <w:szCs w:val="21"/>
          <w:highlight w:val="none"/>
        </w:rPr>
      </w:r>
      <w:r/>
    </w:p>
    <w:p>
      <w:pPr>
        <w:ind w:firstLine="480"/>
        <w:rPr>
          <w:rFonts w:ascii="宋体" w:hAnsi="宋体"/>
          <w:b/>
          <w:bCs/>
          <w:sz w:val="32"/>
          <w:szCs w:val="32"/>
          <w:highlight w:val="none"/>
        </w:rPr>
      </w:pPr>
      <w:r>
        <w:rPr>
          <w:rFonts w:hint="eastAsia" w:ascii="宋体" w:hAnsi="宋体" w:cs="Arial"/>
          <w:sz w:val="24"/>
          <w:szCs w:val="21"/>
          <w:highlight w:val="none"/>
        </w:rPr>
        <w:t xml:space="preserve">投标人根据项目需求编写针对本项目的技术方案及服务方案</w:t>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t xml:space="preserve">12、项目实施方案及进度方案</w:t>
      </w:r>
      <w:r/>
    </w:p>
    <w:p>
      <w:pPr>
        <w:rPr>
          <w:rFonts w:ascii="宋体" w:hAnsi="宋体"/>
          <w:sz w:val="24"/>
          <w:highlight w:val="none"/>
        </w:rPr>
      </w:pPr>
      <w:r>
        <w:rPr>
          <w:rFonts w:ascii="宋体" w:hAnsi="宋体"/>
          <w:sz w:val="24"/>
          <w:highlight w:val="none"/>
        </w:rPr>
      </w:r>
      <w:r/>
    </w:p>
    <w:p>
      <w:pPr>
        <w:ind w:firstLine="480"/>
        <w:spacing w:line="360" w:lineRule="auto"/>
        <w:rPr>
          <w:rFonts w:ascii="宋体" w:hAnsi="宋体" w:cs="Arial"/>
          <w:sz w:val="24"/>
          <w:szCs w:val="21"/>
          <w:highlight w:val="none"/>
        </w:rPr>
      </w:pPr>
      <w:r>
        <w:rPr>
          <w:rFonts w:hint="eastAsia" w:ascii="宋体" w:hAnsi="宋体" w:cs="Arial"/>
          <w:sz w:val="24"/>
          <w:szCs w:val="21"/>
          <w:highlight w:val="none"/>
        </w:rPr>
        <w:t xml:space="preserve">投标人根据项目需求编写针对本项目的实施方案及进度方案</w:t>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b/>
          <w:bCs/>
          <w:sz w:val="32"/>
          <w:szCs w:val="32"/>
          <w:highlight w:val="none"/>
        </w:rPr>
      </w:pPr>
      <w:r>
        <w:rPr>
          <w:rFonts w:ascii="宋体" w:hAnsi="宋体"/>
          <w:b/>
          <w:bCs/>
          <w:sz w:val="32"/>
          <w:szCs w:val="32"/>
          <w:highlight w:val="none"/>
        </w:rPr>
      </w:r>
      <w:r/>
    </w:p>
    <w:p>
      <w:pPr>
        <w:rPr>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32"/>
          <w:szCs w:val="32"/>
          <w:highlight w:val="none"/>
        </w:rPr>
        <w:t xml:space="preserve">13、项目质量保证措施及承诺</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投标人根据项目需求编写针对本项目的质量保证措施及承诺</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 </w:t>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14、项目售后服务方案</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  </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投标人根据项目需求编写针对本项目的售后服务方案</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sz w:val="32"/>
          <w:szCs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sz w:val="32"/>
          <w:szCs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sz w:val="32"/>
          <w:szCs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sz w:val="32"/>
          <w:szCs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15、企业类似业绩一览表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企业类似业绩一览表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合同金额</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firstLine="24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附：按照招标文件要求及评分标准提供相应证明材料</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16、拟投入本项目的专业技术（服务）人员情况一览表</w:t>
      </w:r>
      <w:r/>
    </w:p>
    <w:p>
      <w:pPr>
        <w:ind w:firstLine="1043"/>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拟投入本项目的专业技术（服务）人员情况一览表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bl>
    <w:p>
      <w:pPr>
        <w:spacing w:line="4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附：1、按照招标文件要求提供相应资质证明材料。</w:t>
      </w:r>
      <w:r/>
    </w:p>
    <w:p>
      <w:pPr>
        <w:spacing w:line="4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spacing w:line="360" w:lineRule="auto"/>
        <w:rPr>
          <w:rFonts w:asciiTheme="minorEastAsia" w:hAnsiTheme="minorEastAsia"/>
          <w:b/>
          <w:sz w:val="32"/>
          <w:szCs w:val="32"/>
          <w:highlight w:val="none"/>
        </w:rPr>
      </w:pPr>
      <w:r>
        <w:rPr>
          <w:rFonts w:asciiTheme="minorEastAsia" w:hAnsiTheme="minorEastAsia"/>
          <w:b/>
          <w:sz w:val="32"/>
          <w:szCs w:val="32"/>
          <w:highlight w:val="none"/>
        </w:rPr>
      </w:r>
      <w:r/>
    </w:p>
    <w:p>
      <w:pPr>
        <w:spacing w:line="360" w:lineRule="auto"/>
        <w:rPr>
          <w:rFonts w:hint="eastAsia" w:asciiTheme="minorEastAsia" w:hAnsiTheme="minorEastAsia"/>
          <w:b/>
          <w:bCs/>
          <w:sz w:val="32"/>
          <w:szCs w:val="32"/>
          <w:highlight w:val="none"/>
        </w:rPr>
      </w:pPr>
      <w:r>
        <w:rPr>
          <w:rFonts w:hint="eastAsia" w:ascii="宋体" w:hAnsi="宋体" w:cs="宋体"/>
          <w:b/>
          <w:sz w:val="32"/>
          <w:szCs w:val="32"/>
          <w:highlight w:val="none"/>
        </w:rPr>
        <w:t xml:space="preserve">17、</w:t>
      </w:r>
      <w:r>
        <w:rPr>
          <w:rFonts w:hint="eastAsia" w:asciiTheme="minorEastAsia" w:hAnsiTheme="minorEastAsia"/>
          <w:b/>
          <w:sz w:val="32"/>
          <w:szCs w:val="32"/>
          <w:highlight w:val="none"/>
        </w:rPr>
        <w:t xml:space="preserve">中小企业声明函       </w:t>
      </w:r>
      <w:r/>
    </w:p>
    <w:p>
      <w:pPr>
        <w:ind w:firstLine="562"/>
        <w:jc w:val="center"/>
        <w:spacing w:line="420" w:lineRule="exact"/>
        <w:widowControl/>
        <w:rPr>
          <w:rFonts w:hint="eastAsia" w:asciiTheme="minorEastAsia" w:hAnsiTheme="minorEastAsia"/>
          <w:b/>
          <w:sz w:val="28"/>
          <w:szCs w:val="28"/>
          <w:highlight w:val="none"/>
        </w:rPr>
      </w:pPr>
      <w:r>
        <w:rPr>
          <w:rFonts w:asciiTheme="minorEastAsia" w:hAnsiTheme="minorEastAsia"/>
          <w:b/>
          <w:sz w:val="28"/>
          <w:szCs w:val="28"/>
          <w:highlight w:val="none"/>
        </w:rPr>
        <w:t xml:space="preserve">中小企业声明函（货物）</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t xml:space="preserve">本公司郑重声明，根据《政府采购促进中小企业发展管理办法》（财库</w:t>
      </w:r>
      <w:r>
        <w:rPr>
          <w:rFonts w:hint="eastAsia" w:ascii="Calibri" w:hAnsi="Calibri" w:cs="Calibri"/>
          <w:sz w:val="24"/>
          <w:szCs w:val="24"/>
          <w:highlight w:val="none"/>
        </w:rPr>
        <w:t xml:space="preserve">﹝</w:t>
      </w:r>
      <w:r>
        <w:rPr>
          <w:rFonts w:ascii="Calibri" w:hAnsi="Calibri" w:cs="Calibri"/>
          <w:sz w:val="24"/>
          <w:szCs w:val="24"/>
          <w:highlight w:val="none"/>
        </w:rPr>
        <w:t xml:space="preserve">2020</w:t>
      </w:r>
      <w:r>
        <w:rPr>
          <w:rFonts w:hint="eastAsia" w:ascii="Calibri" w:hAnsi="Calibri" w:cs="Calibri"/>
          <w:sz w:val="24"/>
          <w:szCs w:val="24"/>
          <w:highlight w:val="none"/>
        </w:rPr>
        <w:t xml:space="preserve">﹞</w:t>
      </w:r>
      <w:r>
        <w:rPr>
          <w:rFonts w:ascii="Calibri" w:hAnsi="Calibri" w:cs="Calibri"/>
          <w:sz w:val="24"/>
          <w:szCs w:val="24"/>
          <w:highlight w:val="none"/>
        </w:rPr>
        <w:t xml:space="preserve">46号）的规定，本公司参加</w:t>
      </w:r>
      <w:r>
        <w:rPr>
          <w:rFonts w:hint="eastAsia" w:ascii="Calibri" w:hAnsi="Calibri" w:cs="Calibri"/>
          <w:b/>
          <w:i/>
          <w:sz w:val="24"/>
          <w:szCs w:val="24"/>
          <w:highlight w:val="none"/>
          <w:u w:val="single"/>
        </w:rPr>
        <w:t xml:space="preserve">  </w:t>
      </w:r>
      <w:r>
        <w:rPr>
          <w:rFonts w:hint="eastAsia" w:ascii="宋体" w:hAnsi="宋体" w:eastAsia="宋体" w:cs="宋体"/>
          <w:b/>
          <w:i/>
          <w:sz w:val="24"/>
          <w:szCs w:val="24"/>
          <w:highlight w:val="none"/>
          <w:u w:val="single"/>
        </w:rPr>
        <w:t xml:space="preserve">  （采购单位） </w:t>
      </w:r>
      <w:r>
        <w:rPr>
          <w:rFonts w:hint="eastAsia" w:ascii="Calibri" w:hAnsi="Calibri" w:cs="Calibri"/>
          <w:b/>
          <w:i/>
          <w:sz w:val="24"/>
          <w:szCs w:val="24"/>
          <w:highlight w:val="none"/>
          <w:u w:val="single"/>
        </w:rPr>
        <w:t xml:space="preserve"> </w:t>
      </w:r>
      <w:r>
        <w:rPr>
          <w:rFonts w:ascii="Calibri" w:hAnsi="Calibri" w:cs="Calibri"/>
          <w:sz w:val="24"/>
          <w:szCs w:val="24"/>
          <w:highlight w:val="none"/>
        </w:rPr>
        <w:t xml:space="preserve">的</w:t>
      </w:r>
      <w:r>
        <w:rPr>
          <w:rFonts w:hint="eastAsia" w:ascii="宋体" w:hAnsi="宋体" w:eastAsia="宋体" w:cs="宋体"/>
          <w:b/>
          <w:i/>
          <w:sz w:val="24"/>
          <w:szCs w:val="24"/>
          <w:highlight w:val="none"/>
          <w:u w:val="single"/>
        </w:rPr>
        <w:t xml:space="preserve">（项目名称 和 编号）   </w:t>
      </w:r>
      <w:r>
        <w:rPr>
          <w:rFonts w:ascii="Calibri" w:hAnsi="Calibri" w:cs="Calibri"/>
          <w:sz w:val="24"/>
          <w:szCs w:val="24"/>
          <w:highlight w:val="none"/>
        </w:rPr>
        <w:t xml:space="preserve">采购活动，提供的货物全部由符合政策要求的中小企业制造。相关企业的具体情况如下：</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t xml:space="preserve">1</w:t>
      </w:r>
      <w:r>
        <w:rPr>
          <w:rFonts w:hint="eastAsia" w:ascii="Calibri" w:hAnsi="Calibri" w:cs="Calibri"/>
          <w:sz w:val="24"/>
          <w:szCs w:val="24"/>
          <w:highlight w:val="none"/>
        </w:rPr>
        <w:t xml:space="preserve">、</w:t>
      </w:r>
      <w:r>
        <w:rPr>
          <w:rFonts w:hint="eastAsia" w:ascii="Calibri" w:hAnsi="Calibri" w:cs="Calibri"/>
          <w:b/>
          <w:i/>
          <w:sz w:val="24"/>
          <w:szCs w:val="24"/>
          <w:highlight w:val="none"/>
          <w:u w:val="single"/>
        </w:rPr>
        <w:t xml:space="preserve">（标的名称）</w:t>
      </w:r>
      <w:r>
        <w:rPr>
          <w:rFonts w:ascii="Calibri" w:hAnsi="Calibri" w:cs="Calibri"/>
          <w:sz w:val="24"/>
          <w:szCs w:val="24"/>
          <w:highlight w:val="none"/>
        </w:rPr>
        <w:t xml:space="preserve">，属于</w:t>
      </w:r>
      <w:r>
        <w:rPr>
          <w:rFonts w:hint="eastAsia" w:ascii="Calibri" w:hAnsi="Calibri" w:cs="Calibri"/>
          <w:i/>
          <w:sz w:val="24"/>
          <w:szCs w:val="24"/>
          <w:highlight w:val="none"/>
          <w:u w:val="single"/>
        </w:rPr>
        <w:t xml:space="preserve">   工业    </w:t>
      </w:r>
      <w:r>
        <w:rPr>
          <w:rFonts w:hint="eastAsia" w:ascii="Calibri" w:hAnsi="Calibri" w:cs="Calibri"/>
          <w:sz w:val="24"/>
          <w:szCs w:val="24"/>
          <w:highlight w:val="none"/>
        </w:rPr>
        <w:t xml:space="preserve">行业</w:t>
      </w:r>
      <w:r>
        <w:rPr>
          <w:rFonts w:ascii="Calibri" w:hAnsi="Calibri" w:cs="Calibri"/>
          <w:sz w:val="24"/>
          <w:szCs w:val="24"/>
          <w:highlight w:val="none"/>
        </w:rPr>
        <w:t xml:space="preserve">；</w:t>
      </w:r>
      <w:r>
        <w:rPr>
          <w:rFonts w:hint="eastAsia" w:ascii="Calibri" w:hAnsi="Calibri" w:cs="Calibri"/>
          <w:sz w:val="24"/>
          <w:szCs w:val="24"/>
          <w:highlight w:val="none"/>
        </w:rPr>
        <w:t xml:space="preserve">制造商为</w:t>
      </w:r>
      <w:r>
        <w:rPr>
          <w:rFonts w:hint="eastAsia" w:ascii="Calibri" w:hAnsi="Calibri" w:cs="Calibri"/>
          <w:b/>
          <w:i/>
          <w:sz w:val="24"/>
          <w:szCs w:val="24"/>
          <w:highlight w:val="none"/>
          <w:u w:val="single"/>
        </w:rPr>
        <w:t xml:space="preserve">（企业名称）</w:t>
      </w:r>
      <w:r>
        <w:rPr>
          <w:rFonts w:hint="eastAsia" w:ascii="Calibri" w:hAnsi="Calibri" w:cs="Calibri"/>
          <w:sz w:val="24"/>
          <w:szCs w:val="24"/>
          <w:highlight w:val="none"/>
        </w:rPr>
        <w:t xml:space="preserve">，</w:t>
      </w:r>
      <w:r>
        <w:rPr>
          <w:rFonts w:ascii="Calibri" w:hAnsi="Calibri" w:cs="Calibri"/>
          <w:sz w:val="24"/>
          <w:szCs w:val="24"/>
          <w:highlight w:val="none"/>
        </w:rPr>
        <w:t xml:space="preserve">从业人员</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i/>
          <w:sz w:val="24"/>
          <w:szCs w:val="24"/>
          <w:highlight w:val="none"/>
          <w:u w:val="single"/>
        </w:rPr>
        <w:t xml:space="preserve"> </w:t>
      </w:r>
      <w:r>
        <w:rPr>
          <w:rFonts w:ascii="Calibri" w:hAnsi="Calibri" w:cs="Calibri"/>
          <w:sz w:val="24"/>
          <w:szCs w:val="24"/>
          <w:highlight w:val="none"/>
        </w:rPr>
        <w:t xml:space="preserve">人，营业收入为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cs="Calibri"/>
          <w:sz w:val="24"/>
          <w:szCs w:val="24"/>
          <w:highlight w:val="none"/>
        </w:rPr>
        <w:t xml:space="preserve">万元，资产总额为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sz w:val="24"/>
          <w:szCs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szCs w:val="24"/>
          <w:highlight w:val="none"/>
        </w:rPr>
        <w:t xml:space="preserve">1</w:t>
      </w:r>
      <w:r>
        <w:rPr>
          <w:position w:val="16"/>
          <w:sz w:val="24"/>
          <w:szCs w:val="24"/>
          <w:highlight w:val="none"/>
        </w:rPr>
        <w:fldChar w:fldCharType="end"/>
      </w:r>
      <w:r>
        <w:rPr>
          <w:rFonts w:hint="eastAsia" w:ascii="Calibri" w:hAnsi="Calibri" w:cs="Calibri"/>
          <w:sz w:val="24"/>
          <w:szCs w:val="24"/>
          <w:highlight w:val="none"/>
        </w:rPr>
        <w:t xml:space="preserve">，</w:t>
      </w:r>
      <w:r>
        <w:rPr>
          <w:rFonts w:ascii="Calibri" w:hAnsi="Calibri" w:cs="Calibri"/>
          <w:sz w:val="24"/>
          <w:szCs w:val="24"/>
          <w:highlight w:val="none"/>
        </w:rPr>
        <w:t xml:space="preserve">属于</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sz w:val="24"/>
          <w:szCs w:val="24"/>
          <w:highlight w:val="none"/>
        </w:rPr>
        <w:t xml:space="preserve"> </w:t>
      </w:r>
      <w:r>
        <w:rPr>
          <w:rFonts w:hint="eastAsia" w:ascii="Calibri" w:hAnsi="Calibri" w:cs="Calibri"/>
          <w:b/>
          <w:i/>
          <w:sz w:val="24"/>
          <w:szCs w:val="24"/>
          <w:highlight w:val="none"/>
        </w:rPr>
        <w:t xml:space="preserve">（中型企业、小型企业、微型企业，</w:t>
      </w:r>
      <w:r>
        <w:rPr>
          <w:rFonts w:hint="eastAsia" w:ascii="宋体" w:hAnsi="宋体"/>
          <w:b/>
          <w:bCs/>
          <w:i/>
          <w:sz w:val="24"/>
          <w:highlight w:val="none"/>
        </w:rPr>
        <w:t xml:space="preserve">三者选一填写</w:t>
      </w:r>
      <w:r>
        <w:rPr>
          <w:rFonts w:hint="eastAsia" w:ascii="Calibri" w:hAnsi="Calibri" w:cs="Calibri"/>
          <w:b/>
          <w:i/>
          <w:sz w:val="24"/>
          <w:szCs w:val="24"/>
          <w:highlight w:val="none"/>
        </w:rPr>
        <w:t xml:space="preserve">）</w:t>
      </w:r>
      <w:r>
        <w:rPr>
          <w:rFonts w:ascii="Calibri" w:hAnsi="Calibri" w:cs="Calibri"/>
          <w:sz w:val="24"/>
          <w:szCs w:val="24"/>
          <w:highlight w:val="none"/>
        </w:rPr>
        <w:t xml:space="preserve">；</w:t>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2、</w:t>
      </w:r>
      <w:r>
        <w:rPr>
          <w:rFonts w:hint="eastAsia" w:ascii="Calibri" w:hAnsi="Calibri" w:cs="Calibri"/>
          <w:b/>
          <w:i/>
          <w:sz w:val="24"/>
          <w:szCs w:val="24"/>
          <w:highlight w:val="none"/>
          <w:u w:val="single"/>
        </w:rPr>
        <w:t xml:space="preserve">（标的名称）</w:t>
      </w:r>
      <w:r>
        <w:rPr>
          <w:rFonts w:ascii="Calibri" w:hAnsi="Calibri" w:cs="Calibri"/>
          <w:sz w:val="24"/>
          <w:szCs w:val="24"/>
          <w:highlight w:val="none"/>
        </w:rPr>
        <w:t xml:space="preserve">，属于</w:t>
      </w:r>
      <w:r>
        <w:rPr>
          <w:rFonts w:hint="eastAsia" w:ascii="Calibri" w:hAnsi="Calibri" w:cs="Calibri"/>
          <w:i/>
          <w:sz w:val="24"/>
          <w:szCs w:val="24"/>
          <w:highlight w:val="none"/>
          <w:u w:val="single"/>
        </w:rPr>
        <w:t xml:space="preserve">   工业    </w:t>
      </w:r>
      <w:r>
        <w:rPr>
          <w:rFonts w:hint="eastAsia" w:ascii="Calibri" w:hAnsi="Calibri" w:cs="Calibri"/>
          <w:sz w:val="24"/>
          <w:szCs w:val="24"/>
          <w:highlight w:val="none"/>
        </w:rPr>
        <w:t xml:space="preserve">行业</w:t>
      </w:r>
      <w:r>
        <w:rPr>
          <w:rFonts w:ascii="Calibri" w:hAnsi="Calibri" w:cs="Calibri"/>
          <w:sz w:val="24"/>
          <w:szCs w:val="24"/>
          <w:highlight w:val="none"/>
        </w:rPr>
        <w:t xml:space="preserve">；</w:t>
      </w:r>
      <w:r>
        <w:rPr>
          <w:rFonts w:hint="eastAsia" w:ascii="Calibri" w:hAnsi="Calibri" w:cs="Calibri"/>
          <w:sz w:val="24"/>
          <w:szCs w:val="24"/>
          <w:highlight w:val="none"/>
        </w:rPr>
        <w:t xml:space="preserve">制造商为</w:t>
      </w:r>
      <w:r>
        <w:rPr>
          <w:rFonts w:hint="eastAsia" w:ascii="Calibri" w:hAnsi="Calibri" w:cs="Calibri"/>
          <w:b/>
          <w:i/>
          <w:sz w:val="24"/>
          <w:szCs w:val="24"/>
          <w:highlight w:val="none"/>
          <w:u w:val="single"/>
        </w:rPr>
        <w:t xml:space="preserve">（企业名称）</w:t>
      </w:r>
      <w:r>
        <w:rPr>
          <w:rFonts w:hint="eastAsia" w:ascii="Calibri" w:hAnsi="Calibri" w:cs="Calibri"/>
          <w:sz w:val="24"/>
          <w:szCs w:val="24"/>
          <w:highlight w:val="none"/>
        </w:rPr>
        <w:t xml:space="preserve">，</w:t>
      </w:r>
      <w:r>
        <w:rPr>
          <w:rFonts w:ascii="Calibri" w:hAnsi="Calibri" w:cs="Calibri"/>
          <w:sz w:val="24"/>
          <w:szCs w:val="24"/>
          <w:highlight w:val="none"/>
        </w:rPr>
        <w:t xml:space="preserve">从业人员</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i/>
          <w:sz w:val="24"/>
          <w:szCs w:val="24"/>
          <w:highlight w:val="none"/>
          <w:u w:val="single"/>
        </w:rPr>
        <w:t xml:space="preserve"> </w:t>
      </w:r>
      <w:r>
        <w:rPr>
          <w:rFonts w:ascii="Calibri" w:hAnsi="Calibri" w:cs="Calibri"/>
          <w:sz w:val="24"/>
          <w:szCs w:val="24"/>
          <w:highlight w:val="none"/>
        </w:rPr>
        <w:t xml:space="preserve">人，营业收入为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cs="Calibri"/>
          <w:sz w:val="24"/>
          <w:szCs w:val="24"/>
          <w:highlight w:val="none"/>
        </w:rPr>
        <w:t xml:space="preserve">万元，资产总额为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sz w:val="24"/>
          <w:szCs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szCs w:val="24"/>
          <w:highlight w:val="none"/>
        </w:rPr>
        <w:t xml:space="preserve">1</w:t>
      </w:r>
      <w:r>
        <w:rPr>
          <w:position w:val="16"/>
          <w:sz w:val="24"/>
          <w:szCs w:val="24"/>
          <w:highlight w:val="none"/>
        </w:rPr>
        <w:fldChar w:fldCharType="end"/>
      </w:r>
      <w:r>
        <w:rPr>
          <w:rFonts w:hint="eastAsia" w:ascii="Calibri" w:hAnsi="Calibri" w:cs="Calibri"/>
          <w:sz w:val="24"/>
          <w:szCs w:val="24"/>
          <w:highlight w:val="none"/>
        </w:rPr>
        <w:t xml:space="preserve">，</w:t>
      </w:r>
      <w:r>
        <w:rPr>
          <w:rFonts w:ascii="Calibri" w:hAnsi="Calibri" w:cs="Calibri"/>
          <w:sz w:val="24"/>
          <w:szCs w:val="24"/>
          <w:highlight w:val="none"/>
        </w:rPr>
        <w:t xml:space="preserve">属于</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sz w:val="24"/>
          <w:szCs w:val="24"/>
          <w:highlight w:val="none"/>
        </w:rPr>
        <w:t xml:space="preserve"> </w:t>
      </w:r>
      <w:r>
        <w:rPr>
          <w:rFonts w:hint="eastAsia" w:ascii="Calibri" w:hAnsi="Calibri" w:cs="Calibri"/>
          <w:b/>
          <w:i/>
          <w:sz w:val="24"/>
          <w:szCs w:val="24"/>
          <w:highlight w:val="none"/>
        </w:rPr>
        <w:t xml:space="preserve">（中型企业、小型企业、微型企业，</w:t>
      </w:r>
      <w:r>
        <w:rPr>
          <w:rFonts w:hint="eastAsia" w:ascii="宋体" w:hAnsi="宋体"/>
          <w:b/>
          <w:bCs/>
          <w:i/>
          <w:sz w:val="24"/>
          <w:highlight w:val="none"/>
        </w:rPr>
        <w:t xml:space="preserve">三者选一填写</w:t>
      </w:r>
      <w:r>
        <w:rPr>
          <w:rFonts w:hint="eastAsia" w:ascii="Calibri" w:hAnsi="Calibri" w:cs="Calibri"/>
          <w:b/>
          <w:i/>
          <w:sz w:val="24"/>
          <w:szCs w:val="24"/>
          <w:highlight w:val="none"/>
        </w:rPr>
        <w:t xml:space="preserve">）</w:t>
      </w:r>
      <w:r>
        <w:rPr>
          <w:rFonts w:ascii="Calibri" w:hAnsi="Calibri" w:cs="Calibri"/>
          <w:sz w:val="24"/>
          <w:szCs w:val="24"/>
          <w:highlight w:val="none"/>
        </w:rPr>
        <w:t xml:space="preserve">；</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t xml:space="preserve">……</w:t>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以上企业，不属于大企业的分支机构，不存在控股股东为大企业的情形，也不存在与大企业的负责人为同一人的情形。</w:t>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本企业对上述声明内容的真实性负责。如有虚假，将依法承担相应责任。</w:t>
      </w:r>
      <w:r/>
    </w:p>
    <w:p>
      <w:pPr>
        <w:ind w:firstLine="28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企业名称（盖章）：</w:t>
      </w:r>
      <w:r/>
    </w:p>
    <w:p>
      <w:pPr>
        <w:ind w:firstLine="28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日期：</w:t>
      </w:r>
      <w:r/>
    </w:p>
    <w:p>
      <w:pPr>
        <w:ind w:firstLine="420"/>
        <w:spacing w:line="420" w:lineRule="exact"/>
        <w:widowControl/>
        <w:rPr>
          <w:rFonts w:ascii="Calibri" w:hAnsi="Calibri" w:cs="Calibri"/>
          <w:sz w:val="24"/>
          <w:szCs w:val="24"/>
          <w:highlight w:val="none"/>
        </w:rPr>
      </w:pPr>
      <w:r>
        <w:rPr>
          <w:highlight w:val="none"/>
        </w:rPr>
        <w:fldChar w:fldCharType="begin"/>
      </w:r>
      <w:r>
        <w:rPr>
          <w:highlight w:val="none"/>
        </w:rPr>
        <w:instrText xml:space="preserve"> HYPERLINK \l "_bookmark1" </w:instrText>
      </w:r>
      <w:r>
        <w:rPr>
          <w:highlight w:val="none"/>
        </w:rPr>
        <w:fldChar w:fldCharType="separate"/>
      </w:r>
      <w:r>
        <w:rPr>
          <w:position w:val="16"/>
          <w:sz w:val="24"/>
          <w:szCs w:val="24"/>
          <w:highlight w:val="none"/>
        </w:rPr>
        <w:t xml:space="preserve">1</w:t>
      </w:r>
      <w:r>
        <w:rPr>
          <w:position w:val="16"/>
          <w:sz w:val="24"/>
          <w:szCs w:val="24"/>
          <w:highlight w:val="none"/>
        </w:rPr>
        <w:fldChar w:fldCharType="end"/>
      </w:r>
      <w:r>
        <w:rPr>
          <w:rFonts w:hint="eastAsia" w:ascii="Calibri" w:hAnsi="Calibri" w:cs="Calibri"/>
          <w:sz w:val="24"/>
          <w:szCs w:val="24"/>
          <w:highlight w:val="none"/>
        </w:rPr>
        <w:t xml:space="preserve">从业人员、营业收入、资产总额填报上一年度数据，无上一年度数据的新成立企业可不填报。</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备注：1、本项目</w:t>
      </w:r>
      <w:r>
        <w:rPr>
          <w:rFonts w:hint="eastAsia" w:ascii="Calibri" w:hAnsi="Calibri" w:cs="Calibri"/>
          <w:b/>
          <w:bCs/>
          <w:sz w:val="24"/>
          <w:szCs w:val="24"/>
          <w:highlight w:val="none"/>
        </w:rPr>
        <w:t xml:space="preserve">专门面向中小企业采购</w:t>
      </w:r>
      <w:r>
        <w:rPr>
          <w:rFonts w:hint="eastAsia" w:ascii="Calibri" w:hAnsi="Calibri" w:cs="Calibri"/>
          <w:sz w:val="24"/>
          <w:szCs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ind w:firstLine="960"/>
        <w:spacing w:line="420" w:lineRule="exact"/>
        <w:widowControl/>
        <w:rPr>
          <w:rFonts w:ascii="Calibri" w:hAnsi="Calibri" w:cs="Calibri"/>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sz w:val="24"/>
          <w:szCs w:val="24"/>
          <w:highlight w:val="none"/>
        </w:rPr>
        <w:t xml:space="preserve">2、投标人提供的中小企业声明函必须包含本项目</w:t>
      </w:r>
      <w:r>
        <w:rPr>
          <w:rFonts w:hint="eastAsia" w:ascii="Calibri" w:hAnsi="Calibri" w:cs="Calibri"/>
          <w:b/>
          <w:bCs/>
          <w:sz w:val="24"/>
          <w:szCs w:val="24"/>
          <w:highlight w:val="none"/>
        </w:rPr>
        <w:t xml:space="preserve">标注为工业的所有货物及其货物制造商</w:t>
      </w:r>
      <w:r>
        <w:rPr>
          <w:rFonts w:hint="eastAsia" w:ascii="Calibri" w:hAnsi="Calibri" w:cs="Calibri"/>
          <w:sz w:val="24"/>
          <w:szCs w:val="24"/>
          <w:highlight w:val="none"/>
        </w:rPr>
        <w:t xml:space="preserve">，并按照声明函格式填写完整、明确，否则视为未按规定提供声明函，投标无效。</w:t>
      </w:r>
      <w:r/>
    </w:p>
    <w:p>
      <w:pPr>
        <w:ind w:firstLine="960"/>
        <w:spacing w:line="420" w:lineRule="exact"/>
        <w:widowControl/>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Calibri" w:hAnsi="Calibri" w:cs="Calibri"/>
          <w:sz w:val="24"/>
          <w:szCs w:val="24"/>
          <w:highlight w:val="none"/>
        </w:rPr>
        <w:t xml:space="preserve">3、中标、成交供应商享受规定的中小企业扶持政策的，《中小企业声明函》应当随中标、成交结果同时公告，接受社会监督。</w:t>
      </w:r>
      <w:r/>
    </w:p>
    <w:p>
      <w:pPr>
        <w:ind w:firstLine="480"/>
        <w:spacing w:line="360" w:lineRule="exact"/>
        <w:rPr>
          <w:rFonts w:ascii="宋体" w:hAnsi="宋体" w:eastAsia="宋体"/>
          <w:highlight w:val="none"/>
        </w:rPr>
      </w:pPr>
      <w:r>
        <w:rPr>
          <w:rFonts w:ascii="宋体" w:hAnsi="宋体" w:eastAsia="宋体"/>
          <w:highlight w:val="none"/>
        </w:rPr>
      </w:r>
      <w:r/>
    </w:p>
    <w:p>
      <w:pPr>
        <w:spacing w:line="439"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spacing w:line="439"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43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18、</w:t>
      </w:r>
      <w:r>
        <w:rPr>
          <w:rFonts w:ascii="宋体" w:hAnsi="宋体" w:eastAsia="宋体" w:cs="宋体"/>
          <w:b/>
          <w:color w:val="000000"/>
          <w:sz w:val="32"/>
          <w:highlight w:val="none"/>
        </w:rPr>
        <w:t xml:space="preserve">残疾人福利性单位声明函（如有）</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256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残疾人福利性单位声明函</w:t>
      </w:r>
      <w:r/>
    </w:p>
    <w:p>
      <w:pPr>
        <w:ind w:firstLine="1928"/>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单位名称（盖章）：</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 期：</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19、监狱企业证明文件（如有）</w:t>
      </w:r>
      <w:r>
        <w:rPr>
          <w:rFonts w:hint="eastAsia" w:ascii="宋体" w:hAnsi="宋体" w:cs="宋体"/>
          <w:b/>
          <w:color w:val="000000"/>
          <w:sz w:val="32"/>
          <w:highlight w:val="none"/>
        </w:rPr>
        <w:br/>
      </w:r>
      <w:r>
        <w:rPr>
          <w:rFonts w:hint="eastAsia" w:ascii="宋体" w:hAnsi="宋体" w:cs="宋体"/>
          <w:sz w:val="24"/>
          <w:highlight w:val="none"/>
        </w:rPr>
        <w:br/>
      </w:r>
      <w:r>
        <w:rPr>
          <w:rFonts w:hint="eastAsia" w:ascii="宋体" w:hAnsi="宋体" w:cs="宋体"/>
          <w:sz w:val="24"/>
          <w:highlight w:val="none"/>
        </w:rPr>
        <w:br/>
      </w:r>
      <w:r>
        <w:rPr>
          <w:rFonts w:hint="eastAsia" w:ascii="宋体" w:hAnsi="宋体" w:cs="宋体"/>
          <w:sz w:val="24"/>
          <w:highlight w:val="none"/>
        </w:rPr>
        <w:t xml:space="preserve">                    </w:t>
      </w:r>
      <w:r>
        <w:rPr>
          <w:rFonts w:hint="eastAsia" w:ascii="宋体" w:hAnsi="宋体" w:cs="宋体"/>
          <w:color w:val="000000"/>
          <w:sz w:val="32"/>
          <w:highlight w:val="none"/>
        </w:rPr>
        <w:t xml:space="preserve">监狱企业证明文件</w:t>
      </w:r>
      <w:r>
        <w:rPr>
          <w:rFonts w:hint="eastAsia" w:ascii="宋体" w:hAnsi="宋体" w:cs="宋体"/>
          <w:color w:val="000000"/>
          <w:sz w:val="32"/>
          <w:highlight w:val="none"/>
        </w:rPr>
        <w:br/>
      </w:r>
      <w:r>
        <w:rPr>
          <w:rFonts w:hint="eastAsia" w:ascii="宋体" w:hAnsi="宋体" w:cs="宋体"/>
          <w:color w:val="000000"/>
          <w:sz w:val="32"/>
          <w:highlight w:val="none"/>
        </w:rPr>
        <w:br/>
      </w:r>
      <w:r>
        <w:rPr>
          <w:rFonts w:hint="eastAsia" w:ascii="宋体" w:hAnsi="宋体" w:cs="宋体"/>
          <w:color w:val="000000"/>
          <w:sz w:val="32"/>
          <w:highlight w:val="none"/>
        </w:rPr>
        <w:t xml:space="preserve"> </w:t>
      </w:r>
      <w:r>
        <w:rPr>
          <w:rFonts w:hint="eastAsia" w:ascii="宋体" w:hAnsi="宋体" w:cs="宋体"/>
          <w:color w:val="000000"/>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pStyle w:val="928"/>
        <w:ind w:firstLine="0"/>
        <w:rPr>
          <w:rFonts w:ascii="宋体" w:hAnsi="宋体" w:cs="宋体"/>
          <w:highlight w:val="none"/>
        </w:rPr>
      </w:pPr>
      <w:r>
        <w:rPr>
          <w:rFonts w:ascii="宋体" w:hAnsi="宋体" w:cs="宋体"/>
          <w:highlight w:val="none"/>
        </w:rPr>
      </w:r>
      <w:r/>
    </w:p>
    <w:p>
      <w:pPr>
        <w:pStyle w:val="928"/>
        <w:ind w:firstLine="0"/>
        <w:rPr>
          <w:rFonts w:ascii="宋体" w:hAnsi="宋体" w:cs="宋体"/>
          <w:highlight w:val="none"/>
        </w:rPr>
      </w:pPr>
      <w:r>
        <w:rPr>
          <w:rFonts w:hint="eastAsia" w:ascii="宋体" w:hAnsi="宋体" w:cs="宋体"/>
          <w:highlight w:val="none"/>
        </w:rPr>
        <w:t xml:space="preserve">第五部分  评标方法与评标标准</w:t>
      </w:r>
      <w:r/>
    </w:p>
    <w:p>
      <w:pPr>
        <w:ind w:firstLine="422"/>
        <w:jc w:val="left"/>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评标方法</w:t>
      </w:r>
      <w:r/>
    </w:p>
    <w:p>
      <w:pPr>
        <w:pStyle w:val="769"/>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pStyle w:val="769"/>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769"/>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69"/>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四、如出现评审得分最高的投标人有两个或两个以上的，以投标报价较低者优先作为该标段中标候选人，如果投标报价也相同的，则由公证机构组织以抽签方式确定中标候选人。</w:t>
      </w:r>
      <w:r/>
    </w:p>
    <w:p>
      <w:pPr>
        <w:pStyle w:val="769"/>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69"/>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七、中小企业相关政策：</w:t>
      </w:r>
      <w:r/>
    </w:p>
    <w:p>
      <w:pPr>
        <w:ind w:firstLine="480"/>
        <w:jc w:val="left"/>
        <w:spacing w:line="44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rPr>
        <w:t xml:space="preserve">但与大企业的负责人为同一人，或者与大企业存在直接控股、管理关系的除外。</w:t>
      </w:r>
      <w:r>
        <w:rPr>
          <w:rFonts w:hint="eastAsia" w:ascii="宋体" w:hAnsi="宋体" w:eastAsia="宋体" w:cs="宋体"/>
          <w:sz w:val="24"/>
          <w:highlight w:val="none"/>
        </w:rPr>
        <w:t xml:space="preserve">符合中小企业划分标准的个体工商户，在政府采购活动中视同中小企业.</w:t>
      </w:r>
      <w:r/>
    </w:p>
    <w:p>
      <w:pPr>
        <w:ind w:firstLine="482"/>
        <w:spacing w:line="460" w:lineRule="atLeast"/>
        <w:rPr>
          <w:rFonts w:hint="eastAsia" w:ascii="宋体" w:hAnsi="宋体" w:eastAsia="宋体" w:cs="宋体"/>
          <w:sz w:val="24"/>
          <w:highlight w:val="none"/>
        </w:rPr>
      </w:pPr>
      <w:r>
        <w:rPr>
          <w:rFonts w:hint="eastAsia" w:ascii="宋体" w:hAnsi="宋体" w:eastAsia="宋体" w:cs="宋体"/>
          <w:b/>
          <w:color w:val="000000"/>
          <w:sz w:val="24"/>
          <w:highlight w:val="none"/>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spacing w:line="460" w:lineRule="atLeast"/>
        <w:rPr>
          <w:rFonts w:hint="eastAsia" w:ascii="宋体" w:hAnsi="宋体" w:eastAsia="宋体" w:cs="宋体"/>
          <w:sz w:val="24"/>
          <w:highlight w:val="none"/>
        </w:rPr>
      </w:pPr>
      <w:r>
        <w:rPr>
          <w:rFonts w:hint="eastAsia" w:ascii="宋体" w:hAnsi="宋体" w:eastAsia="宋体" w:cs="宋体"/>
          <w:b/>
          <w:color w:val="000000"/>
          <w:sz w:val="24"/>
          <w:highlight w:val="none"/>
        </w:rPr>
        <w:t xml:space="preserve">专门面向中小企业采购的项目，不再执行价格评审优惠的扶持政策。</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hAnsi="宋体" w:cs="宋体"/>
          <w:sz w:val="24"/>
          <w:highlight w:val="none"/>
        </w:rPr>
      </w:pPr>
      <w:r>
        <w:rPr>
          <w:rFonts w:hint="eastAsia" w:ascii="宋体" w:hAnsi="宋体" w:cs="宋体"/>
          <w:b/>
          <w:sz w:val="24"/>
          <w:highlight w:val="none"/>
        </w:rPr>
        <w:t xml:space="preserve">评分标准</w:t>
      </w:r>
      <w:r/>
    </w:p>
    <w:p>
      <w:pPr>
        <w:ind w:firstLine="482"/>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一、价格分</w:t>
      </w:r>
      <w:r>
        <w:rPr>
          <w:rFonts w:hint="eastAsia" w:ascii="宋体" w:hAnsi="宋体" w:eastAsia="宋体" w:cs="宋体"/>
          <w:b/>
          <w:sz w:val="24"/>
          <w:szCs w:val="24"/>
          <w:highlight w:val="none"/>
          <w:lang w:val="en-US" w:eastAsia="zh-CN"/>
        </w:rPr>
        <w:t xml:space="preserve">35</w:t>
      </w:r>
      <w:r>
        <w:rPr>
          <w:rFonts w:hint="eastAsia" w:ascii="宋体" w:hAnsi="宋体" w:eastAsia="宋体" w:cs="宋体"/>
          <w:b/>
          <w:sz w:val="24"/>
          <w:szCs w:val="24"/>
          <w:highlight w:val="none"/>
        </w:rPr>
        <w:t xml:space="preserve">分</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第二步：在所有有效投标报价中满足招标文件要求，且投标价格最低的投标报价为评标基准价，其价格分为</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分，其他投标人的价格分按照下列公式计算（计算结果四舍五入保留两位小数）。</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％×100</w:t>
      </w:r>
      <w:r/>
    </w:p>
    <w:p>
      <w:pPr>
        <w:ind w:firstLine="482"/>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二、</w:t>
      </w:r>
      <w:r>
        <w:rPr>
          <w:rFonts w:hint="eastAsia" w:ascii="宋体" w:hAnsi="宋体" w:eastAsia="宋体" w:cs="宋体"/>
          <w:b/>
          <w:sz w:val="24"/>
          <w:szCs w:val="24"/>
          <w:highlight w:val="none"/>
          <w:lang w:val="en-US" w:eastAsia="zh-CN"/>
        </w:rPr>
        <w:t xml:space="preserve">详细评分</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65</w:t>
      </w:r>
      <w:r>
        <w:rPr>
          <w:rFonts w:hint="eastAsia" w:ascii="宋体" w:hAnsi="宋体" w:eastAsia="宋体" w:cs="宋体"/>
          <w:b/>
          <w:sz w:val="24"/>
          <w:szCs w:val="24"/>
          <w:highlight w:val="none"/>
        </w:rPr>
        <w:t xml:space="preserve">分</w:t>
      </w:r>
      <w:r/>
    </w:p>
    <w:p>
      <w:pPr>
        <w:ind w:firstLine="482"/>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（一）检测报告（</w:t>
      </w: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分）</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eastAsia="zh-CN"/>
        </w:rPr>
        <w:t xml:space="preserve">或所投产品厂家</w:t>
      </w:r>
      <w:r>
        <w:rPr>
          <w:rFonts w:hint="eastAsia" w:ascii="宋体" w:hAnsi="宋体" w:eastAsia="宋体" w:cs="宋体"/>
          <w:sz w:val="24"/>
          <w:szCs w:val="24"/>
          <w:highlight w:val="none"/>
        </w:rPr>
        <w:t xml:space="preserve">提供具有CMA标识的原材料检测报告，包括：</w:t>
      </w:r>
      <w:r/>
    </w:p>
    <w:p>
      <w:pPr>
        <w:numPr>
          <w:ilvl w:val="0"/>
          <w:numId w:val="0"/>
        </w:numPr>
        <w:ind w:firstLine="480"/>
        <w:jc w:val="left"/>
        <w:keepLines w:val="0"/>
        <w:keepNext w:val="0"/>
        <w:pageBreakBefore w:val="0"/>
        <w:spacing w:line="500" w:lineRule="exac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b/>
          <w:bCs/>
          <w:sz w:val="24"/>
          <w:szCs w:val="24"/>
          <w:highlight w:val="none"/>
          <w:lang w:val="en-US" w:eastAsia="zh-CN"/>
        </w:rPr>
        <w:t xml:space="preserve">原材料检测报告（13分）</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（1）阻燃桦木芯多层板,须包含【气味浓度≤200ou/m³；苯酚释放量未检出；静曲强度（顺纹）≥22MPa；醛酮类化合物(羰基类化合物)24h≤1mg/m³；总半挥发性有机化合物释放量未检出】，检测标准（依据）包含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GB/T42898-2023、GB/T43353-2023、GB/T 31762-2015且符合要求。</w:t>
      </w:r>
      <w:r/>
    </w:p>
    <w:p>
      <w:pPr>
        <w:numPr>
          <w:ilvl w:val="0"/>
          <w:numId w:val="0"/>
        </w:numPr>
        <w:ind w:firstLine="480"/>
        <w:keepLines w:val="0"/>
        <w:keepNext w:val="0"/>
        <w:pageBreakBefore w:val="0"/>
        <w:spacing w:after="0"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（2）阻燃</w:t>
      </w:r>
      <w:r>
        <w:rPr>
          <w:rFonts w:hint="eastAsia" w:ascii="宋体" w:hAnsi="宋体" w:eastAsia="宋体" w:cs="宋体"/>
          <w:sz w:val="24"/>
          <w:szCs w:val="24"/>
          <w:highlight w:val="none"/>
          <w:lang w:val="en-US" w:eastAsia="zh-CN"/>
        </w:rPr>
        <w:t xml:space="preserve">橡胶木直拼板</w:t>
      </w:r>
      <w:r>
        <w:rPr>
          <w:rFonts w:hint="eastAsia" w:ascii="宋体" w:hAnsi="宋体" w:eastAsia="宋体" w:cs="宋体"/>
          <w:sz w:val="24"/>
          <w:szCs w:val="24"/>
          <w:highlight w:val="none"/>
          <w:lang w:eastAsia="zh-CN"/>
        </w:rPr>
        <w:t xml:space="preserve">，须包含【氨释放量</w:t>
      </w:r>
      <w:r>
        <w:rPr>
          <w:rFonts w:hint="eastAsia" w:ascii="宋体" w:hAnsi="宋体" w:eastAsia="宋体" w:cs="宋体"/>
          <w:sz w:val="24"/>
          <w:szCs w:val="24"/>
          <w:highlight w:val="none"/>
          <w:lang w:val="en-US" w:eastAsia="zh-CN"/>
        </w:rPr>
        <w:t xml:space="preserve">未检出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抗菌性能(酿脓链球菌)≥99%;气干密度≥0.65g/cm³；抗弯强度≥70MPa；重金属元素含量（铅、镉、铬、汞）未检出；燃烧性能等级B1；乙醛未检出；丙烯醛未检出；甲苯未检出；总挥发性有机化合物未检出；可接触的实木部件中五氯苯酚未检出；有机磷阻燃剂未检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：GB/T36022-2018、GB/T35607-2024、GB/T42996.1-2023且符合要求。</w:t>
      </w:r>
      <w:r/>
    </w:p>
    <w:p>
      <w:pPr>
        <w:numPr>
          <w:ilvl w:val="0"/>
          <w:numId w:val="0"/>
        </w:numPr>
        <w:ind w:left="0" w:firstLine="480"/>
        <w:keepLines w:val="0"/>
        <w:keepNext w:val="0"/>
        <w:pageBreakBefore w:val="0"/>
        <w:spacing w:after="0"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铝合金支撑脚</w:t>
      </w:r>
      <w:r>
        <w:rPr>
          <w:rFonts w:hint="eastAsia" w:ascii="宋体" w:hAnsi="宋体" w:eastAsia="宋体" w:cs="宋体"/>
          <w:sz w:val="24"/>
          <w:szCs w:val="24"/>
          <w:highlight w:val="none"/>
          <w:lang w:eastAsia="zh-CN"/>
        </w:rPr>
        <w:t xml:space="preserve">，须包含【</w:t>
      </w:r>
      <w:r>
        <w:rPr>
          <w:rFonts w:hint="eastAsia" w:ascii="宋体" w:hAnsi="宋体" w:eastAsia="宋体" w:cs="宋体"/>
          <w:sz w:val="24"/>
          <w:szCs w:val="24"/>
          <w:highlight w:val="none"/>
          <w:lang w:val="en-US" w:eastAsia="zh-CN"/>
        </w:rPr>
        <w:t xml:space="preserve">涂层耐湿（30个循环，240h）无气泡、无剥落、无粉化、无生锈；铜加速乙酸盐雾试验(CASS试验)耐腐蚀等级达到10级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断后伸长率≥8%；抗拉强度≥160N/m㎡；抑菌率（藤黄微球菌）抑菌率≥99%；耐霉菌性等级（出芽短梗霉）耐霉菌性等级达到0级</w:t>
      </w:r>
      <w:r>
        <w:rPr>
          <w:rFonts w:hint="eastAsia" w:ascii="宋体" w:hAnsi="宋体" w:eastAsia="宋体" w:cs="宋体"/>
          <w:sz w:val="24"/>
          <w:szCs w:val="24"/>
          <w:highlight w:val="none"/>
          <w:lang w:eastAsia="zh-CN"/>
        </w:rPr>
        <w:t xml:space="preserve">；耐液体性（氢氧化钠）24h综合</w:t>
      </w:r>
      <w:r>
        <w:rPr>
          <w:rFonts w:hint="eastAsia" w:ascii="宋体" w:hAnsi="宋体" w:eastAsia="宋体" w:cs="宋体"/>
          <w:sz w:val="24"/>
          <w:szCs w:val="24"/>
          <w:highlight w:val="none"/>
          <w:lang w:val="en-US" w:eastAsia="zh-CN"/>
        </w:rPr>
        <w:t xml:space="preserve">评定等级</w:t>
      </w:r>
      <w:r>
        <w:rPr>
          <w:rFonts w:hint="eastAsia" w:ascii="宋体" w:hAnsi="宋体" w:eastAsia="宋体" w:cs="宋体"/>
          <w:sz w:val="24"/>
          <w:szCs w:val="24"/>
          <w:highlight w:val="none"/>
          <w:lang w:eastAsia="zh-CN"/>
        </w:rPr>
        <w:t xml:space="preserve">0级；人工气候老化120h综合评级0级；可迁移元素（</w:t>
      </w:r>
      <w:r>
        <w:rPr>
          <w:rFonts w:hint="eastAsia" w:ascii="宋体" w:hAnsi="宋体" w:eastAsia="宋体" w:cs="宋体"/>
          <w:sz w:val="24"/>
          <w:szCs w:val="24"/>
          <w:highlight w:val="none"/>
          <w:lang w:val="en-US" w:eastAsia="zh-CN"/>
        </w:rPr>
        <w:t xml:space="preserve">铅、镉、铬、汞、锑、钡、硒、砷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未检出</w:t>
      </w:r>
      <w:r>
        <w:rPr>
          <w:rFonts w:hint="eastAsia" w:ascii="宋体" w:hAnsi="宋体" w:eastAsia="宋体" w:cs="宋体"/>
          <w:sz w:val="24"/>
          <w:szCs w:val="24"/>
          <w:highlight w:val="none"/>
          <w:lang w:eastAsia="zh-CN"/>
        </w:rPr>
        <w:t xml:space="preserve">；化学成分（</w:t>
      </w:r>
      <w:r>
        <w:rPr>
          <w:rFonts w:hint="eastAsia" w:ascii="宋体" w:hAnsi="宋体" w:eastAsia="宋体" w:cs="宋体"/>
          <w:sz w:val="24"/>
          <w:szCs w:val="24"/>
          <w:highlight w:val="none"/>
          <w:lang w:val="en-US" w:eastAsia="zh-CN"/>
        </w:rPr>
        <w:t xml:space="preserve">Si、Fe、Cu、Mn、Cr</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：QB/T38</w:t>
      </w: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eastAsia="zh-CN"/>
        </w:rPr>
        <w:t xml:space="preserve">-1999、GB/T10125-2021、GB/T1741-2020且符合要求。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高密度定型阻燃海绵,须包含【色泽颜色均匀；气孔直径-对穿孔≤6mm；气孔直径-气孔≤10mm；污染不应有明显污染；气味无刺激性气味；回弹率；拉伸强度；干热老化后拉伸强度；湿热老化后拉伸强度；密度≥18kg/m³；阻燃1级】，检测标准（依据）包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QB/T2280-2016且符合要求。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防火阻燃麻绒布料,须包含【甲醛含量≤20；PH值；耐水（变色、沾色）≥3-4；耐酸汗渍（变色、沾色）≥3-4；耐碱汗渍（变色、沾色）≥3-4；耐干摩擦≥4；耐唾液（变色、沾色）≥4；异味（无）符合；可分解致癌芳香胺染料未检出；可萃取重金属铅、镉、铬、六价铬未检出；模拟火柴火焰抗引燃性试验符合】,检测标准（依据）包含：GB/T18885-2020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（6）阻燃304不锈钢,须包含【</w:t>
      </w:r>
      <w:r>
        <w:rPr>
          <w:rFonts w:hint="eastAsia" w:ascii="宋体" w:hAnsi="宋体" w:cs="宋体"/>
          <w:sz w:val="24"/>
          <w:szCs w:val="24"/>
          <w:highlight w:val="none"/>
          <w:lang w:val="en-US" w:eastAsia="zh-CN"/>
        </w:rPr>
        <w:t xml:space="preserve">金属件-电镀</w:t>
      </w:r>
      <w:r>
        <w:rPr>
          <w:rFonts w:hint="eastAsia" w:ascii="宋体" w:hAnsi="宋体" w:eastAsia="宋体" w:cs="宋体"/>
          <w:sz w:val="24"/>
          <w:szCs w:val="24"/>
          <w:highlight w:val="none"/>
          <w:lang w:val="en-US" w:eastAsia="zh-CN"/>
        </w:rPr>
        <w:t xml:space="preserve">；金属化学成分分析（碳、硅、锰、磷）；金属拉伸性能试验（抗拉强度、断后伸长率、下屈服强度）；维氏硬度≤210；阻燃A1；乙酸盐雾试验（18h），保护评价10级；铜加速乙酸盐雾试验（18h），保护评价10级】，检测标准（依据）包含：GB/T6461-2002、GB/T3280-2015且符合要求。</w:t>
      </w:r>
      <w:r/>
    </w:p>
    <w:p>
      <w:pPr>
        <w:numPr>
          <w:ilvl w:val="0"/>
          <w:numId w:val="0"/>
        </w:numPr>
        <w:ind w:firstLine="480"/>
        <w:keepLines w:val="0"/>
        <w:keepNext w:val="0"/>
        <w:pageBreakBefore w:val="0"/>
        <w:spacing w:after="0"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（7）阻燃双饰面刨花板，</w:t>
      </w:r>
      <w:r>
        <w:rPr>
          <w:rFonts w:hint="eastAsia" w:ascii="宋体" w:hAnsi="宋体" w:eastAsia="宋体" w:cs="宋体"/>
          <w:sz w:val="24"/>
          <w:szCs w:val="24"/>
          <w:highlight w:val="none"/>
          <w:lang w:eastAsia="zh-CN"/>
        </w:rPr>
        <w:t xml:space="preserve">须包含【</w:t>
      </w:r>
      <w:r>
        <w:rPr>
          <w:rFonts w:hint="eastAsia" w:ascii="宋体" w:hAnsi="宋体" w:eastAsia="宋体" w:cs="宋体"/>
          <w:b w:val="0"/>
          <w:bCs w:val="0"/>
          <w:sz w:val="24"/>
          <w:szCs w:val="24"/>
          <w:highlight w:val="none"/>
          <w:lang w:eastAsia="zh-CN"/>
        </w:rPr>
        <w:t xml:space="preserve">含水率；表面耐冷热循环；甲醛释放量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；总挥发性有机化合（TVOC）</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、苯、甲苯、二甲苯</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；气味</w:t>
      </w:r>
      <w:r>
        <w:rPr>
          <w:rFonts w:hint="eastAsia" w:ascii="宋体" w:hAnsi="宋体" w:eastAsia="宋体" w:cs="宋体"/>
          <w:b w:val="0"/>
          <w:bCs w:val="0"/>
          <w:sz w:val="24"/>
          <w:szCs w:val="24"/>
          <w:highlight w:val="none"/>
          <w:lang w:val="en-US" w:eastAsia="zh-CN"/>
        </w:rPr>
        <w:t xml:space="preserve">等级0级</w:t>
      </w:r>
      <w:r>
        <w:rPr>
          <w:rFonts w:hint="eastAsia" w:ascii="宋体" w:hAnsi="宋体" w:eastAsia="宋体" w:cs="宋体"/>
          <w:b w:val="0"/>
          <w:bCs w:val="0"/>
          <w:sz w:val="24"/>
          <w:szCs w:val="24"/>
          <w:highlight w:val="none"/>
          <w:lang w:eastAsia="zh-CN"/>
        </w:rPr>
        <w:t xml:space="preserve">；醛酮类化合物；氨释放量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；燃烧性能</w:t>
      </w:r>
      <w:r>
        <w:rPr>
          <w:rFonts w:hint="eastAsia" w:ascii="宋体" w:hAnsi="宋体" w:eastAsia="宋体" w:cs="宋体"/>
          <w:b w:val="0"/>
          <w:bCs w:val="0"/>
          <w:sz w:val="24"/>
          <w:szCs w:val="24"/>
          <w:highlight w:val="none"/>
          <w:lang w:val="en-US" w:eastAsia="zh-CN"/>
        </w:rPr>
        <w:t xml:space="preserve">B1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：GB/T15102-2017、GB/T39600-</w:t>
      </w:r>
      <w:r>
        <w:rPr>
          <w:rFonts w:hint="eastAsia" w:ascii="宋体" w:hAnsi="宋体" w:cs="宋体"/>
          <w:sz w:val="24"/>
          <w:szCs w:val="24"/>
          <w:highlight w:val="none"/>
          <w:lang w:val="en-US" w:eastAsia="zh-CN"/>
        </w:rPr>
        <w:t xml:space="preserve">2021</w:t>
      </w:r>
      <w:r>
        <w:rPr>
          <w:rFonts w:hint="eastAsia" w:ascii="宋体" w:hAnsi="宋体" w:eastAsia="宋体" w:cs="宋体"/>
          <w:sz w:val="24"/>
          <w:szCs w:val="24"/>
          <w:highlight w:val="none"/>
          <w:lang w:eastAsia="zh-CN"/>
        </w:rPr>
        <w:t xml:space="preserve">、GB/T35601-2024且符合要求。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（8）阻燃尼龙塑料,须包含【检测项目至少包含：耐老化性≥400h；冲击强度；维卡软化温度；负荷变形温度；脆化温度；熔体质量流动速率】，检测标准（依据）包含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：GB/T32487-2016、GB/T1633-2000、GB/T1634.</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阻燃实芯理化板,须包含【氨释放量未检出；抗菌性能（大肠埃希氏菌）抑菌率≥99%；防霉菌等级（黑曲霉）0级；气味分级≥1级；甲醛释放量≤1.5mg/L；耐高温性能无裂纹；表面耐水蒸气性能≥4级；表面耐龟裂性能≥4级；表面耐划痕性能≥4级；磨耗值≤50；苯、甲苯、二甲苯未检出；重金属元素含量（铅、镉、铬、汞）未检出；总挥发性有机化合物未检出；阻燃1级】，检测标准（依据）包</w:t>
      </w:r>
      <w:r>
        <w:rPr>
          <w:rFonts w:hint="eastAsia" w:ascii="宋体" w:hAnsi="宋体" w:cs="宋体"/>
          <w:sz w:val="24"/>
          <w:szCs w:val="24"/>
          <w:highlight w:val="none"/>
          <w:lang w:val="en-US" w:eastAsia="zh-CN"/>
        </w:rPr>
        <w:t xml:space="preserve">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GB/T36022-2018、GB/T40493-2021、GB/T17657-2022且符合要求。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（10）冷轧钢板,须包含【抗拉强度≥520；屈服强度≥205；断后伸长率≥40；二氧化硫腐蚀试验无超过50%面积腐蚀；硫化氢腐蚀试验经 20min硫化氢试验，试样表面变色面积约为 90%；耐腐蚀试验10级；耐人工气候老化性（100h）；附着力≥5MPa；耐沾污性优于3级】，依据：检测标准（依据）包含：GB/T3280-2015、GB/T9789-2008、QB/T3831-1999、GB/T6461-2002、GB/T1865-2009、GB/T1766-2008且符合要求。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阻燃PP新料保护壳,须包含【耐老化性外观颜色变色评级≥3级；冲击强度≥10J/㎡；塑料件外观合格；耐冷热循环应无裂纹、鼓泡、变色、起皱；硬度≥HD63；邻苯二甲酸酯（DBP、BBP、DEHP、DNOP、DINP、DIDP）≤0.1%；苯并芘≤1.0mg/kg；16种多环芳烃（PAH）总量≤10mg/kg；可迁移元素（锑、砷、钡、镉、铬、铅、汞、硒）；阻燃1级;抗菌性能（大肠埃希氏菌），抑菌率≥99%】，检测标准（依据）包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GB/T32487-2016且符合要求。</w:t>
      </w:r>
      <w:r/>
    </w:p>
    <w:p>
      <w:pPr>
        <w:numPr>
          <w:ilvl w:val="0"/>
          <w:numId w:val="0"/>
        </w:num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（12）阻燃超纤皮，</w:t>
      </w:r>
      <w:r>
        <w:rPr>
          <w:rFonts w:hint="eastAsia" w:ascii="宋体" w:hAnsi="宋体" w:eastAsia="宋体" w:cs="宋体"/>
          <w:sz w:val="24"/>
          <w:szCs w:val="24"/>
          <w:highlight w:val="none"/>
          <w:lang w:eastAsia="zh-CN"/>
        </w:rPr>
        <w:t xml:space="preserve">须包含【</w:t>
      </w:r>
      <w:r>
        <w:rPr>
          <w:rFonts w:hint="eastAsia" w:ascii="宋体" w:hAnsi="宋体" w:eastAsia="宋体" w:cs="宋体"/>
          <w:b w:val="0"/>
          <w:bCs w:val="0"/>
          <w:sz w:val="24"/>
          <w:szCs w:val="24"/>
          <w:highlight w:val="none"/>
          <w:lang w:eastAsia="zh-CN"/>
        </w:rPr>
        <w:t xml:space="preserve">皮革中五氯苯酚</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、游离甲醛</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、挥发性有机物（VOC）</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、耐折牢度5万次无裂纹、重金属</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、多环芳烃</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、二氨基甲苯</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、富马酸二甲酯含量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、二氨基二苯甲烷</w:t>
      </w:r>
      <w:r>
        <w:rPr>
          <w:rFonts w:hint="eastAsia" w:ascii="宋体" w:hAnsi="宋体" w:eastAsia="宋体" w:cs="宋体"/>
          <w:b w:val="0"/>
          <w:bCs w:val="0"/>
          <w:sz w:val="24"/>
          <w:szCs w:val="24"/>
          <w:highlight w:val="none"/>
          <w:lang w:val="en-US" w:eastAsia="zh-CN"/>
        </w:rPr>
        <w:t xml:space="preserve">未检出、防霉剂、燃烧性能B1、六价铬含量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：GB/T35607-2024、GB/T16799-2018、GB/T40971-2021且符合要求。</w:t>
      </w:r>
      <w:r/>
    </w:p>
    <w:p>
      <w:pPr>
        <w:ind w:firstLine="480"/>
        <w:keepLines w:val="0"/>
        <w:keepNext w:val="0"/>
        <w:pageBreakBefore w:val="0"/>
        <w:spacing w:line="5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13）阻燃实木多层板,须包含【抗菌性能（金黄色葡萄球菌、大肠杆菌、肺炎克雷伯氏菌、白色念珠菌、铜绿假单胞菌）抑菌率≥99%；甲醛释放量≤0.124mg/m³；含水率（5-16）%；静曲强度-顺纹≥22Mpa；表面胶合强度≥0.6MPa；防霉性能（黑曲霉、土曲霉；宛氏拟青霉；蜡叶芽枝霉等级0级；阻燃2级】，检测标准（依据）包含：GB/T9846-2015且符合要求。</w:t>
      </w:r>
      <w:r/>
    </w:p>
    <w:p>
      <w:pPr>
        <w:ind w:firstLine="480"/>
        <w:keepLines w:val="0"/>
        <w:keepNext w:val="0"/>
        <w:pageBreakBefore w:val="0"/>
        <w:spacing w:line="50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sz w:val="24"/>
          <w:szCs w:val="24"/>
          <w:highlight w:val="none"/>
          <w:lang w:val="zh-CN"/>
        </w:rPr>
        <w:t xml:space="preserve">注：1.以上检测报告完全满足技术参数指标的，有1项得1分，缺项不得分。2.须提供检测报告扫描件。项目验收时采购方有权要求中标供应商提供检测报告原件核实真伪，如有虚假，该供应商承担由此带来的所有</w:t>
      </w:r>
      <w:r>
        <w:rPr>
          <w:rFonts w:hint="eastAsia" w:ascii="宋体" w:hAnsi="宋体" w:eastAsia="宋体" w:cs="宋体"/>
          <w:sz w:val="24"/>
          <w:szCs w:val="24"/>
          <w:highlight w:val="none"/>
          <w:lang w:val="en-US" w:eastAsia="zh-CN"/>
        </w:rPr>
        <w:t xml:space="preserve">后果</w:t>
      </w:r>
      <w:r>
        <w:rPr>
          <w:rFonts w:hint="eastAsia" w:ascii="宋体" w:hAnsi="宋体" w:eastAsia="宋体" w:cs="宋体"/>
          <w:sz w:val="24"/>
          <w:szCs w:val="24"/>
          <w:highlight w:val="none"/>
          <w:lang w:val="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3.检测报告名称与上述名称不同，但实质为同一物品的视作等同。</w:t>
      </w:r>
      <w:r/>
    </w:p>
    <w:p>
      <w:pPr>
        <w:ind w:firstLine="482"/>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（二）产品部件结构设计比较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分）</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投标人根据产品清单提供以下产品：（1）序号20：办公桌（含侧柜）、（2）序号22：升降课桌、升降课椅、（3）序号25：批改桌、（4）序号39：移动条桌、（5）序号40：礼堂椅、（6）序号70：多功能储物柜、（7）序号90：翻转电脑桌；</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针对以上每个产品提供</w:t>
      </w:r>
      <w:r>
        <w:rPr>
          <w:rFonts w:hint="eastAsia" w:ascii="宋体" w:hAnsi="宋体" w:eastAsia="宋体" w:cs="宋体"/>
          <w:sz w:val="24"/>
          <w:szCs w:val="24"/>
          <w:highlight w:val="none"/>
          <w:lang w:val="zh-CN"/>
        </w:rPr>
        <w:t xml:space="preserve">①</w:t>
      </w:r>
      <w:r>
        <w:rPr>
          <w:rFonts w:hint="eastAsia" w:ascii="宋体" w:hAnsi="宋体" w:eastAsia="宋体" w:cs="宋体"/>
          <w:sz w:val="24"/>
          <w:szCs w:val="24"/>
          <w:highlight w:val="none"/>
        </w:rPr>
        <w:t xml:space="preserve">三视图（三视图各部位尺寸标注完整，款式符合采购需求）；</w:t>
      </w:r>
      <w:r>
        <w:rPr>
          <w:rFonts w:hint="eastAsia" w:ascii="宋体" w:hAnsi="宋体" w:eastAsia="宋体" w:cs="宋体"/>
          <w:sz w:val="24"/>
          <w:szCs w:val="24"/>
          <w:highlight w:val="none"/>
          <w:lang w:val="zh-CN"/>
        </w:rPr>
        <w:t xml:space="preserve">②</w:t>
      </w:r>
      <w:r>
        <w:rPr>
          <w:rFonts w:hint="eastAsia" w:ascii="宋体" w:hAnsi="宋体" w:eastAsia="宋体" w:cs="宋体"/>
          <w:sz w:val="24"/>
          <w:szCs w:val="24"/>
          <w:highlight w:val="none"/>
        </w:rPr>
        <w:t xml:space="preserve">部件结构图(显示内部结构、五金配件及零部件)；</w:t>
      </w:r>
      <w:r>
        <w:rPr>
          <w:rFonts w:hint="eastAsia" w:ascii="宋体" w:hAnsi="宋体" w:eastAsia="宋体" w:cs="宋体"/>
          <w:bCs/>
          <w:sz w:val="24"/>
          <w:szCs w:val="24"/>
          <w:highlight w:val="none"/>
        </w:rPr>
        <w:t xml:space="preserve">③</w:t>
      </w:r>
      <w:r>
        <w:rPr>
          <w:rFonts w:hint="eastAsia" w:ascii="宋体" w:hAnsi="宋体" w:eastAsia="宋体" w:cs="宋体"/>
          <w:sz w:val="24"/>
          <w:szCs w:val="24"/>
          <w:highlight w:val="none"/>
        </w:rPr>
        <w:t xml:space="preserve">用料明细(清单)完整；</w:t>
      </w:r>
      <w:r>
        <w:rPr>
          <w:rFonts w:hint="eastAsia" w:ascii="宋体" w:hAnsi="宋体" w:eastAsia="宋体" w:cs="宋体"/>
          <w:bCs/>
          <w:sz w:val="24"/>
          <w:szCs w:val="24"/>
          <w:highlight w:val="none"/>
        </w:rPr>
        <w:t xml:space="preserve">④</w:t>
      </w:r>
      <w:r>
        <w:rPr>
          <w:rFonts w:hint="eastAsia" w:ascii="宋体" w:hAnsi="宋体" w:eastAsia="宋体" w:cs="宋体"/>
          <w:sz w:val="24"/>
          <w:szCs w:val="24"/>
          <w:highlight w:val="none"/>
        </w:rPr>
        <w:t xml:space="preserve">工艺技术说明符合采购需求。</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部件结构设计每一项完全按照招标需求内容提供，能满足或高于实际需求的，得1.</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分，满分</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分；每缺少一项内容，或内容不完整，不能满足本项目实际需求的，不得分。</w:t>
      </w:r>
      <w:r/>
    </w:p>
    <w:p>
      <w:pPr>
        <w:ind w:firstLine="480"/>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本项共</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个产品，每个产品满分5分，本项最高</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p>
    <w:p>
      <w:pPr>
        <w:numPr>
          <w:ilvl w:val="0"/>
          <w:numId w:val="30"/>
        </w:numPr>
        <w:ind w:firstLine="482"/>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项目实施及售后服务方案（</w:t>
      </w: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分）</w:t>
      </w:r>
      <w:r/>
    </w:p>
    <w:p>
      <w:pPr>
        <w:ind w:firstLine="482"/>
        <w:jc w:val="left"/>
        <w:keepLines w:val="0"/>
        <w:keepNext w:val="0"/>
        <w:pageBreakBefore w:val="0"/>
        <w:spacing w:line="500" w:lineRule="exact"/>
        <w:widowControl/>
        <w:rPr>
          <w:rFonts w:hint="eastAsia" w:ascii="宋体" w:hAnsi="宋体" w:eastAsia="宋体" w:cs="宋体"/>
          <w:b/>
          <w:bCs w:val="0"/>
          <w:sz w:val="24"/>
          <w:szCs w:val="24"/>
          <w:highlight w:val="none"/>
          <w:lang w:val="en-US" w:eastAsia="zh-CN" w:bidi="ar-SA"/>
        </w:rPr>
        <w:suppressLineNumbers w:val="0"/>
      </w:pPr>
      <w:r>
        <w:rPr>
          <w:rFonts w:hint="eastAsia" w:ascii="宋体" w:hAnsi="宋体" w:eastAsia="宋体" w:cs="宋体"/>
          <w:b/>
          <w:bCs w:val="0"/>
          <w:sz w:val="24"/>
          <w:szCs w:val="24"/>
          <w:highlight w:val="none"/>
          <w:lang w:val="en-US" w:eastAsia="zh-CN" w:bidi="ar-SA"/>
        </w:rPr>
        <w:t xml:space="preserve">1.项目实施进度计划方案（3分）</w:t>
      </w:r>
      <w:r/>
    </w:p>
    <w:p>
      <w:pPr>
        <w:ind w:firstLine="480"/>
        <w:jc w:val="left"/>
        <w:keepLines w:val="0"/>
        <w:keepNext w:val="0"/>
        <w:pageBreakBefore w:val="0"/>
        <w:spacing w:line="500" w:lineRule="exact"/>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根据第三部分：项目需求中（二）项目实施要求内容，投标人结合本项目实际情况，理解本项目的实际需求和特点，提供针对本项目的实施方案。方案</w:t>
      </w:r>
      <w:r>
        <w:rPr>
          <w:rFonts w:hint="eastAsia" w:ascii="宋体" w:hAnsi="宋体" w:eastAsia="宋体" w:cs="宋体"/>
          <w:bCs/>
          <w:sz w:val="24"/>
          <w:szCs w:val="24"/>
          <w:highlight w:val="none"/>
          <w:lang w:val="zh-CN" w:eastAsia="zh-CN" w:bidi="ar-SA"/>
        </w:rPr>
        <w:t xml:space="preserve">包含</w:t>
      </w:r>
      <w:r>
        <w:rPr>
          <w:rFonts w:hint="eastAsia" w:ascii="宋体" w:hAnsi="宋体" w:eastAsia="宋体" w:cs="宋体"/>
          <w:bCs/>
          <w:sz w:val="24"/>
          <w:szCs w:val="24"/>
          <w:highlight w:val="none"/>
          <w:lang w:val="en-US" w:eastAsia="zh-CN" w:bidi="ar-SA"/>
        </w:rPr>
        <w:t xml:space="preserve">①工期进度安排及保证措施；②重点难点分析；③劳动力安排计划等内容；</w:t>
      </w:r>
      <w:r/>
    </w:p>
    <w:p>
      <w:pPr>
        <w:ind w:firstLine="480"/>
        <w:jc w:val="left"/>
        <w:keepLines w:val="0"/>
        <w:keepNext w:val="0"/>
        <w:pageBreakBefore w:val="0"/>
        <w:spacing w:line="500" w:lineRule="exact"/>
        <w:widowControl/>
        <w:rPr>
          <w:rFonts w:hint="eastAsia" w:ascii="宋体" w:hAnsi="宋体" w:eastAsia="宋体" w:cs="宋体"/>
          <w:bCs/>
          <w:sz w:val="24"/>
          <w:szCs w:val="24"/>
          <w:highlight w:val="none"/>
          <w:lang w:val="zh-CN" w:eastAsia="zh-CN" w:bidi="ar-SA"/>
        </w:rPr>
        <w:suppressLineNumbers w:val="0"/>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zh-CN" w:eastAsia="zh-CN" w:bidi="ar-SA"/>
        </w:rPr>
        <w:t xml:space="preserve">分。每缺少一项内容，或内容非专门针对本项目，不得分。</w:t>
      </w:r>
      <w:r/>
    </w:p>
    <w:p>
      <w:pPr>
        <w:ind w:firstLine="482"/>
        <w:jc w:val="left"/>
        <w:keepLines w:val="0"/>
        <w:keepNext w:val="0"/>
        <w:pageBreakBefore w:val="0"/>
        <w:spacing w:line="500" w:lineRule="exact"/>
        <w:widowControl/>
        <w:rPr>
          <w:rFonts w:hint="eastAsia" w:ascii="宋体" w:hAnsi="宋体" w:eastAsia="宋体" w:cs="宋体"/>
          <w:b/>
          <w:bCs w:val="0"/>
          <w:sz w:val="24"/>
          <w:szCs w:val="24"/>
          <w:highlight w:val="none"/>
          <w:lang w:val="en-US" w:eastAsia="zh-CN" w:bidi="ar-SA"/>
        </w:rPr>
        <w:suppressLineNumbers w:val="0"/>
      </w:pPr>
      <w:r>
        <w:rPr>
          <w:rFonts w:hint="eastAsia" w:ascii="宋体" w:hAnsi="宋体" w:eastAsia="宋体" w:cs="宋体"/>
          <w:b/>
          <w:bCs w:val="0"/>
          <w:sz w:val="24"/>
          <w:szCs w:val="24"/>
          <w:highlight w:val="none"/>
          <w:lang w:val="en-US" w:eastAsia="zh-CN" w:bidi="ar-SA"/>
        </w:rPr>
        <w:t xml:space="preserve">2.运输、安装调试、验收方案（3分）</w:t>
      </w:r>
      <w:r/>
    </w:p>
    <w:p>
      <w:pPr>
        <w:ind w:firstLine="480"/>
        <w:jc w:val="left"/>
        <w:keepLines w:val="0"/>
        <w:keepNext w:val="0"/>
        <w:pageBreakBefore w:val="0"/>
        <w:spacing w:line="500" w:lineRule="exact"/>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根据第三部分：项目需求中（二）项目实施要求内容，投标人结合本项目实际情况，理解本项目的实际需求和特点，提供针对本项目的实施方案。方案</w:t>
      </w:r>
      <w:r>
        <w:rPr>
          <w:rFonts w:hint="eastAsia" w:ascii="宋体" w:hAnsi="宋体" w:eastAsia="宋体" w:cs="宋体"/>
          <w:b w:val="0"/>
          <w:bCs/>
          <w:sz w:val="24"/>
          <w:szCs w:val="24"/>
          <w:highlight w:val="none"/>
          <w:lang w:val="zh-CN" w:eastAsia="zh-CN" w:bidi="ar-SA"/>
        </w:rPr>
        <w:t xml:space="preserve">包含</w:t>
      </w:r>
      <w:r>
        <w:rPr>
          <w:rFonts w:hint="eastAsia" w:ascii="宋体" w:hAnsi="宋体" w:eastAsia="宋体" w:cs="宋体"/>
          <w:b w:val="0"/>
          <w:bCs/>
          <w:sz w:val="24"/>
          <w:szCs w:val="24"/>
          <w:highlight w:val="none"/>
          <w:lang w:val="en-US" w:eastAsia="zh-CN" w:bidi="ar-SA"/>
        </w:rPr>
        <w:t xml:space="preserve">①运输方案；②安装调试实施方案</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③验收方案等内容</w:t>
      </w:r>
      <w:r>
        <w:rPr>
          <w:rFonts w:hint="eastAsia" w:ascii="宋体" w:hAnsi="宋体" w:eastAsia="宋体" w:cs="宋体"/>
          <w:bCs/>
          <w:sz w:val="24"/>
          <w:szCs w:val="24"/>
          <w:highlight w:val="none"/>
          <w:lang w:val="en-US" w:eastAsia="zh-CN" w:bidi="ar-SA"/>
        </w:rPr>
        <w:t xml:space="preserve">；</w:t>
      </w:r>
      <w:r/>
    </w:p>
    <w:p>
      <w:pPr>
        <w:numPr>
          <w:ilvl w:val="0"/>
          <w:numId w:val="0"/>
        </w:numPr>
        <w:ind w:firstLine="480"/>
        <w:keepLines w:val="0"/>
        <w:keepNext w:val="0"/>
        <w:pageBreakBefore w:val="0"/>
        <w:spacing w:line="500" w:lineRule="exact"/>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方案内容针对本项目且满足本项目实际需求的，每项得1分，满分3分。每缺少一项内容，或内容非专门针对本项目，不得分。</w:t>
      </w:r>
      <w:r/>
    </w:p>
    <w:p>
      <w:pPr>
        <w:numPr>
          <w:ilvl w:val="0"/>
          <w:numId w:val="0"/>
        </w:numPr>
        <w:ind w:firstLine="482"/>
        <w:keepLines w:val="0"/>
        <w:keepNext w:val="0"/>
        <w:pageBreakBefore w:val="0"/>
        <w:spacing w:line="500" w:lineRule="exact"/>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3.质量保障措施方案、安全保障措施方案（2分）</w:t>
      </w:r>
      <w:r/>
    </w:p>
    <w:p>
      <w:pPr>
        <w:ind w:firstLine="480"/>
        <w:jc w:val="left"/>
        <w:keepLines w:val="0"/>
        <w:keepNext w:val="0"/>
        <w:pageBreakBefore w:val="0"/>
        <w:spacing w:line="500" w:lineRule="exact"/>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根据第三部分：项目需求中（二）项目实施要求内容，投标人结合本项目实际情况，理解本项目的实际需求和特点，提供针对本项目的实施方案。方案</w:t>
      </w:r>
      <w:r>
        <w:rPr>
          <w:rFonts w:hint="eastAsia" w:ascii="宋体" w:hAnsi="宋体" w:eastAsia="宋体" w:cs="宋体"/>
          <w:b w:val="0"/>
          <w:bCs/>
          <w:sz w:val="24"/>
          <w:szCs w:val="24"/>
          <w:highlight w:val="none"/>
          <w:lang w:val="zh-CN" w:eastAsia="zh-CN" w:bidi="ar-SA"/>
        </w:rPr>
        <w:t xml:space="preserve">包含</w:t>
      </w:r>
      <w:r>
        <w:rPr>
          <w:rFonts w:hint="eastAsia" w:ascii="宋体" w:hAnsi="宋体" w:eastAsia="宋体" w:cs="宋体"/>
          <w:b w:val="0"/>
          <w:bCs/>
          <w:sz w:val="24"/>
          <w:szCs w:val="24"/>
          <w:highlight w:val="none"/>
          <w:lang w:val="en-US" w:eastAsia="zh-CN" w:bidi="ar-SA"/>
        </w:rPr>
        <w:t xml:space="preserve">①质量保障措施方案（包括原材料及配件质量保证方案、生产过程中质量管控方案）；②安全保障措施方案（包括安全保障措施、现场协调配合措施、成品保护措施、安全文明施工）等内容</w:t>
      </w:r>
      <w:r>
        <w:rPr>
          <w:rFonts w:hint="eastAsia" w:ascii="宋体" w:hAnsi="宋体" w:eastAsia="宋体" w:cs="宋体"/>
          <w:bCs/>
          <w:sz w:val="24"/>
          <w:szCs w:val="24"/>
          <w:highlight w:val="none"/>
          <w:lang w:val="en-US" w:eastAsia="zh-CN" w:bidi="ar-SA"/>
        </w:rPr>
        <w:t xml:space="preserve">；</w:t>
      </w:r>
      <w:r/>
    </w:p>
    <w:p>
      <w:pPr>
        <w:ind w:firstLine="480"/>
        <w:jc w:val="left"/>
        <w:keepLines w:val="0"/>
        <w:keepNext w:val="0"/>
        <w:pageBreakBefore w:val="0"/>
        <w:spacing w:line="500" w:lineRule="exact"/>
        <w:widowControl/>
        <w:rPr>
          <w:rFonts w:hint="eastAsia" w:ascii="宋体" w:hAnsi="宋体" w:eastAsia="宋体" w:cs="宋体"/>
          <w:bCs/>
          <w:sz w:val="24"/>
          <w:szCs w:val="24"/>
          <w:highlight w:val="none"/>
          <w:lang w:val="zh-CN" w:eastAsia="zh-CN" w:bidi="ar-SA"/>
        </w:rPr>
        <w:suppressLineNumbers w:val="0"/>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分。每缺少一项内容，或内容非专门针对本项目，不得分。</w:t>
      </w:r>
      <w:r/>
    </w:p>
    <w:p>
      <w:pPr>
        <w:ind w:firstLine="480"/>
        <w:jc w:val="left"/>
        <w:keepLines w:val="0"/>
        <w:keepNext w:val="0"/>
        <w:pageBreakBefore w:val="0"/>
        <w:spacing w:line="500" w:lineRule="exact"/>
        <w:widowControl/>
        <w:rPr>
          <w:rFonts w:hint="eastAsia" w:ascii="宋体" w:hAnsi="宋体" w:eastAsia="宋体" w:cs="宋体"/>
          <w:b/>
          <w:bCs w:val="0"/>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 </w:t>
      </w:r>
      <w:r>
        <w:rPr>
          <w:rFonts w:hint="eastAsia" w:ascii="宋体" w:hAnsi="宋体" w:eastAsia="宋体" w:cs="宋体"/>
          <w:b/>
          <w:bCs w:val="0"/>
          <w:sz w:val="24"/>
          <w:szCs w:val="24"/>
          <w:highlight w:val="none"/>
          <w:lang w:val="en-US" w:eastAsia="zh-CN" w:bidi="ar-SA"/>
        </w:rPr>
        <w:t xml:space="preserve">4.售后服务方案（4分）</w:t>
      </w:r>
      <w:r/>
    </w:p>
    <w:p>
      <w:pPr>
        <w:ind w:firstLine="480"/>
        <w:jc w:val="left"/>
        <w:keepLines w:val="0"/>
        <w:keepNext w:val="0"/>
        <w:pageBreakBefore w:val="0"/>
        <w:spacing w:line="500" w:lineRule="exact"/>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根据第三部分：项目需求中（五）售后要求内容，投标人结合本项目实际情况，理解本项目的实际需求和特点，提供针对本项目的实施方案。方案</w:t>
      </w:r>
      <w:r>
        <w:rPr>
          <w:rFonts w:hint="eastAsia" w:ascii="宋体" w:hAnsi="宋体" w:eastAsia="宋体" w:cs="宋体"/>
          <w:b w:val="0"/>
          <w:bCs/>
          <w:sz w:val="24"/>
          <w:szCs w:val="24"/>
          <w:highlight w:val="none"/>
          <w:lang w:val="zh-CN" w:eastAsia="zh-CN" w:bidi="ar-SA"/>
        </w:rPr>
        <w:t xml:space="preserve">包含</w:t>
      </w:r>
      <w:r>
        <w:rPr>
          <w:rFonts w:hint="eastAsia" w:ascii="宋体" w:hAnsi="宋体" w:eastAsia="宋体" w:cs="宋体"/>
          <w:b w:val="0"/>
          <w:bCs/>
          <w:sz w:val="24"/>
          <w:szCs w:val="24"/>
          <w:highlight w:val="none"/>
          <w:lang w:val="en-US" w:eastAsia="zh-CN" w:bidi="ar-SA"/>
        </w:rPr>
        <w:t xml:space="preserve">①</w:t>
      </w:r>
      <w:r>
        <w:rPr>
          <w:rFonts w:hint="eastAsia" w:ascii="宋体" w:hAnsi="宋体" w:eastAsia="宋体" w:cs="宋体"/>
          <w:sz w:val="24"/>
          <w:szCs w:val="24"/>
          <w:highlight w:val="none"/>
        </w:rPr>
        <w:t xml:space="preserve">售后服务响应</w:t>
      </w:r>
      <w:r>
        <w:rPr>
          <w:rFonts w:hint="eastAsia" w:ascii="宋体" w:hAnsi="宋体" w:eastAsia="宋体" w:cs="宋体"/>
          <w:b w:val="0"/>
          <w:bCs/>
          <w:sz w:val="24"/>
          <w:szCs w:val="24"/>
          <w:highlight w:val="none"/>
          <w:lang w:val="en-US" w:eastAsia="zh-CN" w:bidi="ar-SA"/>
        </w:rPr>
        <w:t xml:space="preserve">；②</w:t>
      </w:r>
      <w:r>
        <w:rPr>
          <w:rFonts w:hint="eastAsia" w:ascii="宋体" w:hAnsi="宋体" w:eastAsia="宋体" w:cs="宋体"/>
          <w:bCs/>
          <w:sz w:val="24"/>
          <w:szCs w:val="24"/>
          <w:highlight w:val="none"/>
        </w:rPr>
        <w:t xml:space="preserve">应急预案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③维保方案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bidi="ar-SA"/>
        </w:rPr>
        <w:t xml:space="preserve">④</w:t>
      </w:r>
      <w:r>
        <w:rPr>
          <w:rFonts w:hint="eastAsia" w:ascii="宋体" w:hAnsi="宋体" w:cs="宋体"/>
          <w:bCs/>
          <w:sz w:val="24"/>
          <w:szCs w:val="24"/>
          <w:highlight w:val="none"/>
          <w:lang w:val="en-US" w:eastAsia="zh-CN" w:bidi="ar-SA"/>
        </w:rPr>
        <w:t xml:space="preserve">培训方案</w:t>
      </w:r>
      <w:r>
        <w:rPr>
          <w:rFonts w:hint="eastAsia" w:ascii="宋体" w:hAnsi="宋体" w:eastAsia="宋体" w:cs="宋体"/>
          <w:b w:val="0"/>
          <w:bCs/>
          <w:sz w:val="24"/>
          <w:szCs w:val="24"/>
          <w:highlight w:val="none"/>
          <w:lang w:val="en-US" w:eastAsia="zh-CN" w:bidi="ar-SA"/>
        </w:rPr>
        <w:t xml:space="preserve">等内容</w:t>
      </w:r>
      <w:r>
        <w:rPr>
          <w:rFonts w:hint="eastAsia" w:ascii="宋体" w:hAnsi="宋体" w:eastAsia="宋体" w:cs="宋体"/>
          <w:bCs/>
          <w:sz w:val="24"/>
          <w:szCs w:val="24"/>
          <w:highlight w:val="none"/>
          <w:lang w:val="en-US" w:eastAsia="zh-CN" w:bidi="ar-SA"/>
        </w:rPr>
        <w:t xml:space="preserve">；</w:t>
      </w:r>
      <w:r/>
    </w:p>
    <w:p>
      <w:pPr>
        <w:numPr>
          <w:ilvl w:val="0"/>
          <w:numId w:val="0"/>
        </w:numPr>
        <w:ind w:firstLine="480"/>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zh-CN" w:eastAsia="zh-CN" w:bidi="ar-SA"/>
        </w:rPr>
        <w:t xml:space="preserve">分。每缺少一项内容，或内容非专门针对本项目，不得分。</w:t>
      </w:r>
      <w:r/>
    </w:p>
    <w:p>
      <w:pPr>
        <w:ind w:firstLine="482"/>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）履约能力比较（</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pStyle w:val="929"/>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bookmarkStart w:id="6" w:name="_GoBack"/>
      <w:r>
        <w:rPr>
          <w:rFonts w:hint="eastAsia" w:ascii="宋体" w:hAnsi="宋体" w:eastAsia="宋体" w:cs="宋体"/>
          <w:b w:val="0"/>
          <w:bCs/>
          <w:sz w:val="24"/>
          <w:szCs w:val="24"/>
          <w:highlight w:val="none"/>
          <w:lang w:val="en-US" w:eastAsia="zh-CN" w:bidi="ar-SA"/>
        </w:rPr>
        <w:t xml:space="preserve">1.所投产品生产厂家具有中国环境标志产品认证证书（须含：钢木家具、金属家具、人造板家具</w:t>
      </w:r>
      <w:r>
        <w:rPr>
          <w:rFonts w:hint="eastAsia" w:ascii="宋体" w:hAnsi="宋体" w:cs="宋体"/>
          <w:b w:val="0"/>
          <w:bCs/>
          <w:sz w:val="24"/>
          <w:szCs w:val="24"/>
          <w:highlight w:val="none"/>
          <w:lang w:val="en-US" w:eastAsia="zh-CN" w:bidi="ar-SA"/>
        </w:rPr>
        <w:t xml:space="preserve">、其他家具</w:t>
      </w: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，每提供一项得0.25分</w:t>
      </w:r>
      <w:r>
        <w:rPr>
          <w:rFonts w:hint="eastAsia" w:ascii="宋体" w:hAnsi="宋体" w:eastAsia="宋体" w:cs="宋体"/>
          <w:b w:val="0"/>
          <w:bCs/>
          <w:sz w:val="24"/>
          <w:szCs w:val="24"/>
          <w:highlight w:val="none"/>
          <w:lang w:val="en-US" w:eastAsia="zh-CN" w:bidi="ar-SA"/>
        </w:rPr>
        <w:t xml:space="preserve">。【投标文件中须提供有效期内证书扫描件，资料提供不全的不得分】（1分）</w:t>
      </w:r>
      <w:r/>
    </w:p>
    <w:p>
      <w:pPr>
        <w:pStyle w:val="929"/>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2.所投产品生产厂家具有家具产品环保卫士认证证书（须含：钢塑家具、塑料家具、木制家具、钢木家具）</w:t>
      </w:r>
      <w:r>
        <w:rPr>
          <w:rFonts w:hint="eastAsia" w:ascii="宋体" w:hAnsi="宋体" w:cs="宋体"/>
          <w:b w:val="0"/>
          <w:bCs/>
          <w:sz w:val="24"/>
          <w:szCs w:val="24"/>
          <w:highlight w:val="none"/>
          <w:lang w:val="en-US" w:eastAsia="zh-CN" w:bidi="ar-SA"/>
        </w:rPr>
        <w:t xml:space="preserve">，每提供一项得0.25分。</w:t>
      </w:r>
      <w:r>
        <w:rPr>
          <w:rFonts w:hint="eastAsia" w:ascii="宋体" w:hAnsi="宋体" w:eastAsia="宋体" w:cs="宋体"/>
          <w:b w:val="0"/>
          <w:bCs/>
          <w:sz w:val="24"/>
          <w:szCs w:val="24"/>
          <w:highlight w:val="none"/>
          <w:lang w:val="en-US" w:eastAsia="zh-CN" w:bidi="ar-SA"/>
        </w:rPr>
        <w:t xml:space="preserve">【投标文件中须提供有效期内证书扫描件，资料提供不全的不得分】。（1分）</w:t>
      </w:r>
      <w:r/>
    </w:p>
    <w:p>
      <w:pPr>
        <w:pStyle w:val="929"/>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3.所投产品生产厂家具有低Vocs家具产品认证证书（须含：钢塑家具、塑料家具、木制家具、钢木家具）</w:t>
      </w:r>
      <w:r>
        <w:rPr>
          <w:rFonts w:hint="eastAsia" w:ascii="宋体" w:hAnsi="宋体" w:cs="宋体"/>
          <w:b w:val="0"/>
          <w:bCs/>
          <w:sz w:val="24"/>
          <w:szCs w:val="24"/>
          <w:highlight w:val="none"/>
          <w:lang w:val="en-US" w:eastAsia="zh-CN" w:bidi="ar-SA"/>
        </w:rPr>
        <w:t xml:space="preserve">，每提供一项</w:t>
      </w:r>
      <w:r>
        <w:rPr>
          <w:rFonts w:hint="eastAsia" w:ascii="宋体" w:hAnsi="宋体" w:eastAsia="宋体" w:cs="宋体"/>
          <w:b w:val="0"/>
          <w:bCs/>
          <w:sz w:val="24"/>
          <w:szCs w:val="24"/>
          <w:highlight w:val="none"/>
          <w:lang w:val="en-US" w:eastAsia="zh-CN" w:bidi="ar-SA"/>
        </w:rPr>
        <w:t xml:space="preserve">得</w:t>
      </w:r>
      <w:r>
        <w:rPr>
          <w:rFonts w:hint="eastAsia" w:ascii="宋体" w:hAnsi="宋体" w:cs="宋体"/>
          <w:b w:val="0"/>
          <w:bCs/>
          <w:sz w:val="24"/>
          <w:szCs w:val="24"/>
          <w:highlight w:val="none"/>
          <w:lang w:val="en-US" w:eastAsia="zh-CN" w:bidi="ar-SA"/>
        </w:rPr>
        <w:t xml:space="preserve">0.25</w:t>
      </w:r>
      <w:r>
        <w:rPr>
          <w:rFonts w:hint="eastAsia" w:ascii="宋体" w:hAnsi="宋体" w:eastAsia="宋体" w:cs="宋体"/>
          <w:b w:val="0"/>
          <w:bCs/>
          <w:sz w:val="24"/>
          <w:szCs w:val="24"/>
          <w:highlight w:val="none"/>
          <w:lang w:val="en-US" w:eastAsia="zh-CN" w:bidi="ar-SA"/>
        </w:rPr>
        <w:t xml:space="preserve">分</w:t>
      </w:r>
      <w:r>
        <w:rPr>
          <w:rFonts w:hint="eastAsia" w:ascii="宋体" w:hAnsi="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【投标文件中须提供有效期内证书扫描件，资料提供不全的不得分】。（1分）</w:t>
      </w:r>
      <w:r/>
    </w:p>
    <w:p>
      <w:pPr>
        <w:pStyle w:val="929"/>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4.所投产品生产厂家具有中国环保认证证书（CQC）（须含：金属教学家具）的得1分，【投标文件中须提供有效期内证书扫描件，资料提供不全的不得分】。（1分）</w:t>
      </w:r>
      <w:r/>
    </w:p>
    <w:p>
      <w:pPr>
        <w:pStyle w:val="929"/>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5.所投产品生产厂家具有人类工效学产品认证证书（须含：桌类、椅类、柜类、床类）</w:t>
      </w:r>
      <w:r>
        <w:rPr>
          <w:rFonts w:hint="eastAsia" w:ascii="宋体" w:hAnsi="宋体" w:cs="宋体"/>
          <w:b w:val="0"/>
          <w:bCs/>
          <w:sz w:val="24"/>
          <w:szCs w:val="24"/>
          <w:highlight w:val="none"/>
          <w:lang w:val="en-US" w:eastAsia="zh-CN" w:bidi="ar-SA"/>
        </w:rPr>
        <w:t xml:space="preserve">，每提供一项得0.25分。</w:t>
      </w:r>
      <w:r>
        <w:rPr>
          <w:rFonts w:hint="eastAsia" w:ascii="宋体" w:hAnsi="宋体" w:eastAsia="宋体" w:cs="宋体"/>
          <w:b w:val="0"/>
          <w:bCs/>
          <w:sz w:val="24"/>
          <w:szCs w:val="24"/>
          <w:highlight w:val="none"/>
          <w:lang w:val="en-US" w:eastAsia="zh-CN" w:bidi="ar-SA"/>
        </w:rPr>
        <w:t xml:space="preserve">【投标文件中须提供有效期内证书扫描件，资料提供不全的不得分】</w:t>
      </w:r>
      <w:r>
        <w:rPr>
          <w:rFonts w:hint="eastAsia" w:ascii="宋体" w:hAnsi="宋体" w:eastAsia="宋体" w:cs="宋体"/>
          <w:b w:val="0"/>
          <w:bCs/>
          <w:sz w:val="24"/>
          <w:szCs w:val="24"/>
          <w:highlight w:val="none"/>
          <w:lang w:val="en-US" w:eastAsia="zh-CN" w:bidi="ar-SA"/>
        </w:rPr>
        <w:t xml:space="preserve">。</w:t>
      </w:r>
      <w:r/>
      <w:r>
        <w:rPr>
          <w:rFonts w:hint="eastAsia" w:ascii="宋体" w:hAnsi="宋体" w:eastAsia="宋体" w:cs="宋体"/>
          <w:b w:val="0"/>
          <w:bCs/>
          <w:sz w:val="24"/>
          <w:szCs w:val="24"/>
          <w:highlight w:val="none"/>
          <w:lang w:val="en-US" w:eastAsia="zh-CN" w:bidi="ar-SA"/>
        </w:rPr>
        <w:t xml:space="preserve">（1分）</w:t>
      </w:r>
      <w:bookmarkEnd w:id="6"/>
      <w:r/>
      <w:r/>
    </w:p>
    <w:p>
      <w:pPr>
        <w:spacing w:line="500" w:lineRule="exact"/>
        <w:rPr>
          <w:rFonts w:ascii="宋体" w:hAnsi="宋体"/>
          <w:b/>
          <w:color w:val="000000"/>
          <w:sz w:val="24"/>
          <w:highlight w:val="none"/>
        </w:rPr>
      </w:pPr>
      <w:r>
        <w:rPr>
          <w:rFonts w:ascii="宋体" w:hAnsi="宋体"/>
          <w:b/>
          <w:color w:val="000000"/>
          <w:sz w:val="24"/>
          <w:highlight w:val="none"/>
        </w:rPr>
      </w:r>
      <w:r/>
    </w:p>
    <w:p>
      <w:pPr>
        <w:spacing w:line="500" w:lineRule="exact"/>
        <w:rPr>
          <w:rFonts w:ascii="宋体" w:hAnsi="宋体"/>
          <w:b/>
          <w:color w:val="000000"/>
          <w:sz w:val="24"/>
          <w:highlight w:val="none"/>
        </w:rPr>
      </w:pPr>
      <w:r>
        <w:rPr>
          <w:rFonts w:ascii="宋体" w:hAnsi="宋体"/>
          <w:b/>
          <w:color w:val="000000"/>
          <w:sz w:val="24"/>
          <w:highlight w:val="none"/>
        </w:rPr>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注：</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1、报价超过采购预算的为无效投标。</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2、针对评分标准中评分的每一条，投标人均应提供相关电子证明资料并作出相应说明供评委评判，不提供相关电子证明资料的视为不具备该项得分的条件。</w:t>
      </w:r>
      <w:r/>
    </w:p>
    <w:p>
      <w:pPr>
        <w:pStyle w:val="929"/>
        <w:spacing w:line="500" w:lineRule="exact"/>
        <w:rPr>
          <w:rFonts w:ascii="宋体" w:hAnsi="宋体" w:cs="宋体"/>
          <w:sz w:val="24"/>
          <w:highlight w:val="none"/>
        </w:rPr>
      </w:pPr>
      <w:r>
        <w:rPr>
          <w:rFonts w:hint="eastAsia" w:ascii="宋体" w:hAnsi="宋体"/>
          <w:b/>
          <w:color w:val="000000"/>
          <w:sz w:val="24"/>
          <w:highlight w:val="none"/>
        </w:rPr>
        <w:t xml:space="preserve">3、所有扫描件字迹须清晰可见,扫描件不全或字迹不清晰的，视为未提供。</w:t>
      </w:r>
      <w:r/>
    </w:p>
    <w:p>
      <w:pPr>
        <w:pStyle w:val="929"/>
        <w:spacing w:line="500" w:lineRule="exact"/>
        <w:rPr>
          <w:rFonts w:ascii="宋体" w:hAnsi="宋体" w:cs="宋体"/>
          <w:sz w:val="24"/>
          <w:highlight w:val="none"/>
        </w:rPr>
      </w:pPr>
      <w:r>
        <w:rPr>
          <w:rFonts w:ascii="宋体" w:hAnsi="宋体" w:cs="宋体"/>
          <w:sz w:val="24"/>
          <w:highlight w:val="none"/>
        </w:rPr>
      </w:r>
      <w:r/>
    </w:p>
    <w:p>
      <w:pPr>
        <w:pStyle w:val="929"/>
        <w:spacing w:line="500" w:lineRule="exact"/>
        <w:rPr>
          <w:rFonts w:ascii="宋体" w:hAnsi="宋体" w:cs="宋体"/>
          <w:sz w:val="24"/>
          <w:highlight w:val="none"/>
        </w:rPr>
      </w:pPr>
      <w:r>
        <w:rPr>
          <w:rFonts w:ascii="宋体" w:hAnsi="宋体" w:cs="宋体"/>
          <w:sz w:val="24"/>
          <w:highlight w:val="none"/>
        </w:rPr>
      </w:r>
      <w:r/>
    </w:p>
    <w:p>
      <w:pPr>
        <w:pStyle w:val="929"/>
        <w:spacing w:line="500" w:lineRule="exact"/>
        <w:rPr>
          <w:rFonts w:ascii="宋体" w:hAnsi="宋体" w:cs="宋体"/>
          <w:sz w:val="24"/>
          <w:highlight w:val="none"/>
        </w:rPr>
      </w:pPr>
      <w:r>
        <w:rPr>
          <w:rFonts w:ascii="宋体" w:hAnsi="宋体" w:cs="宋体"/>
          <w:sz w:val="24"/>
          <w:highlight w:val="none"/>
        </w:rPr>
      </w:r>
      <w:r/>
    </w:p>
    <w:p>
      <w:pPr>
        <w:pStyle w:val="929"/>
        <w:spacing w:line="500" w:lineRule="exact"/>
        <w:rPr>
          <w:rFonts w:ascii="宋体" w:hAnsi="宋体" w:cs="宋体"/>
          <w:sz w:val="24"/>
          <w:highlight w:val="none"/>
        </w:rPr>
      </w:pPr>
      <w:r>
        <w:rPr>
          <w:rFonts w:ascii="宋体" w:hAnsi="宋体" w:cs="宋体"/>
          <w:sz w:val="24"/>
          <w:highlight w:val="none"/>
        </w:rPr>
      </w:r>
      <w:r/>
    </w:p>
    <w:p>
      <w:pPr>
        <w:pStyle w:val="929"/>
        <w:spacing w:line="500" w:lineRule="exact"/>
        <w:rPr>
          <w:rFonts w:ascii="宋体" w:hAnsi="宋体" w:cs="宋体"/>
          <w:sz w:val="24"/>
          <w:highlight w:val="none"/>
        </w:rPr>
      </w:pPr>
      <w:r>
        <w:rPr>
          <w:rFonts w:ascii="宋体" w:hAnsi="宋体" w:cs="宋体"/>
          <w:sz w:val="24"/>
          <w:highlight w:val="none"/>
        </w:rPr>
      </w:r>
      <w:r/>
    </w:p>
    <w:p>
      <w:pPr>
        <w:pStyle w:val="929"/>
        <w:spacing w:line="500" w:lineRule="exact"/>
        <w:rPr>
          <w:rFonts w:ascii="宋体" w:hAnsi="宋体" w:cs="宋体"/>
          <w:sz w:val="24"/>
          <w:highlight w:val="none"/>
        </w:rPr>
      </w:pPr>
      <w:r>
        <w:rPr>
          <w:rFonts w:ascii="宋体" w:hAnsi="宋体" w:cs="宋体"/>
          <w:sz w:val="24"/>
          <w:highlight w:val="none"/>
        </w:rPr>
      </w:r>
      <w:r/>
    </w:p>
    <w:p>
      <w:pPr>
        <w:pStyle w:val="929"/>
        <w:spacing w:line="500" w:lineRule="exact"/>
        <w:rPr>
          <w:rFonts w:ascii="宋体" w:hAnsi="宋体" w:cs="宋体"/>
          <w:sz w:val="24"/>
          <w:highlight w:val="none"/>
        </w:rPr>
      </w:pPr>
      <w:r>
        <w:rPr>
          <w:rFonts w:hint="eastAsia" w:ascii="宋体" w:hAnsi="宋体" w:cs="宋体"/>
          <w:sz w:val="24"/>
          <w:highlight w:val="none"/>
        </w:rPr>
        <w:t xml:space="preserve">注：1、报价超过采购预算的为无效投标。</w:t>
      </w:r>
      <w:r/>
    </w:p>
    <w:p>
      <w:pPr>
        <w:pStyle w:val="929"/>
        <w:ind w:firstLine="480"/>
        <w:spacing w:line="500" w:lineRule="exact"/>
        <w:rPr>
          <w:rFonts w:ascii="宋体" w:hAnsi="宋体" w:cs="宋体"/>
          <w:sz w:val="24"/>
          <w:highlight w:val="none"/>
        </w:rPr>
      </w:pPr>
      <w:r>
        <w:rPr>
          <w:rFonts w:hint="eastAsia" w:ascii="宋体" w:hAnsi="宋体" w:cs="宋体"/>
          <w:sz w:val="24"/>
          <w:highlight w:val="none"/>
        </w:rPr>
        <w:t xml:space="preserve">2、针对评分标准中评分的每一条，投标人均应提供相关电子证明资料并作出相应说明供评委评判，不提供相关电子证明资料的视为不具备该项得分的条件。</w:t>
      </w:r>
      <w:r/>
    </w:p>
    <w:p>
      <w:pPr>
        <w:pStyle w:val="929"/>
        <w:ind w:firstLine="480"/>
        <w:spacing w:line="500" w:lineRule="exact"/>
        <w:rPr>
          <w:rFonts w:ascii="宋体" w:hAnsi="宋体" w:cs="宋体"/>
          <w:sz w:val="24"/>
          <w:highlight w:val="none"/>
        </w:rPr>
      </w:pPr>
      <w:r>
        <w:rPr>
          <w:rFonts w:hint="eastAsia" w:ascii="宋体" w:hAnsi="宋体" w:cs="宋体"/>
          <w:sz w:val="24"/>
          <w:highlight w:val="none"/>
        </w:rPr>
        <w:t xml:space="preserve">3、所有复印件字迹须复印清晰可见,复印不全或字迹不清晰的，视为未提供。</w:t>
      </w:r>
      <w:r/>
    </w:p>
    <w:p>
      <w:pPr>
        <w:pStyle w:val="929"/>
        <w:spacing w:line="500" w:lineRule="exact"/>
        <w:rPr>
          <w:rFonts w:ascii="宋体" w:hAnsi="宋体" w:cs="宋体"/>
          <w:sz w:val="24"/>
          <w:highlight w:val="none"/>
        </w:rPr>
      </w:pPr>
      <w:r>
        <w:rPr>
          <w:rFonts w:ascii="宋体" w:hAnsi="宋体" w:cs="宋体"/>
          <w:sz w:val="24"/>
          <w:highlight w:val="none"/>
        </w:rPr>
      </w:r>
      <w:r/>
    </w:p>
    <w:p>
      <w:pPr>
        <w:pStyle w:val="929"/>
        <w:spacing w:line="500" w:lineRule="exact"/>
        <w:rPr>
          <w:rFonts w:ascii="宋体" w:hAnsi="宋体" w:cs="宋体"/>
          <w:sz w:val="44"/>
          <w:szCs w:val="44"/>
          <w:highlight w:val="none"/>
        </w:rPr>
      </w:pPr>
      <w:r>
        <w:rPr>
          <w:rFonts w:ascii="宋体" w:hAnsi="宋体" w:cs="宋体"/>
          <w:sz w:val="44"/>
          <w:szCs w:val="44"/>
          <w:highlight w:val="none"/>
        </w:rPr>
      </w:r>
      <w:r/>
    </w:p>
    <w:p>
      <w:pPr>
        <w:jc w:val="center"/>
        <w:spacing w:before="240" w:after="240"/>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before="240" w:after="240"/>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before="240" w:after="240"/>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before="240" w:after="240"/>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before="240" w:after="240"/>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before="240" w:after="240"/>
        <w:rPr>
          <w:rFonts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第六部分 合同格式</w:t>
      </w:r>
      <w:r/>
    </w:p>
    <w:p>
      <w:pPr>
        <w:jc w:val="center"/>
        <w:spacing w:line="278" w:lineRule="auto"/>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ind w:firstLine="881"/>
        <w:jc w:val="center"/>
        <w:spacing w:after="160" w:line="400" w:lineRule="exact"/>
        <w:rPr>
          <w:rFonts w:ascii="华文楷体" w:hAnsi="华文楷体" w:eastAsia="华文楷体" w:cs="华文楷体"/>
          <w:szCs w:val="21"/>
          <w:highlight w:val="none"/>
        </w:rPr>
      </w:pPr>
      <w:r>
        <w:rPr>
          <w:rFonts w:hint="eastAsia" w:ascii="宋体" w:hAnsi="宋体" w:eastAsia="华文楷体" w:cs="宋体"/>
          <w:b/>
          <w:bCs/>
          <w:spacing w:val="-20"/>
          <w:sz w:val="48"/>
          <w:szCs w:val="48"/>
          <w:highlight w:val="none"/>
        </w:rPr>
        <w:t xml:space="preserve">（试行）</w:t>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left="420"/>
        <w:spacing w:after="160" w:line="360" w:lineRule="auto"/>
        <w:rPr>
          <w:rFonts w:ascii="Times New Roman" w:hAnsi="Times New Roman"/>
          <w:sz w:val="32"/>
          <w:szCs w:val="32"/>
          <w:highlight w:val="none"/>
        </w:rPr>
      </w:pPr>
      <w:r>
        <w:rPr>
          <w:rFonts w:hint="eastAsia" w:ascii="宋体" w:hAnsi="宋体" w:cs="宋体"/>
          <w:sz w:val="32"/>
          <w:szCs w:val="32"/>
          <w:highlight w:val="none"/>
        </w:rPr>
        <w:t xml:space="preserve">项目名称：</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合同编号：</w:t>
      </w:r>
      <w:r/>
    </w:p>
    <w:p>
      <w:pPr>
        <w:ind w:left="420"/>
        <w:spacing w:after="160" w:line="360" w:lineRule="auto"/>
        <w:rPr>
          <w:rFonts w:ascii="Times New Roman" w:hAnsi="Times New Roman"/>
          <w:sz w:val="32"/>
          <w:szCs w:val="32"/>
          <w:highlight w:val="none"/>
        </w:rPr>
      </w:pPr>
      <w:r>
        <w:rPr>
          <w:rFonts w:hint="eastAsia" w:ascii="Times New Roman" w:hAnsi="Times New Roman"/>
          <w:sz w:val="32"/>
          <w:szCs w:val="32"/>
          <w:highlight w:val="none"/>
        </w:rPr>
        <w:t xml:space="preserve">甲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乙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签订时间：</w:t>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jc w:val="center"/>
        <w:spacing w:after="160" w:line="278" w:lineRule="auto"/>
        <w:rPr>
          <w:rFonts w:ascii="Times New Roman" w:hAnsi="Times New Roman" w:eastAsia="黑体"/>
          <w:sz w:val="44"/>
          <w:szCs w:val="44"/>
          <w:highlight w:val="none"/>
        </w:rPr>
      </w:pPr>
      <w:r>
        <w:rPr>
          <w:rFonts w:hint="eastAsia" w:ascii="Times New Roman" w:hAnsi="Times New Roman" w:eastAsia="黑体"/>
          <w:sz w:val="44"/>
          <w:szCs w:val="44"/>
          <w:highlight w:val="none"/>
        </w:rPr>
        <w:t xml:space="preserve">使 用 说 明</w:t>
      </w:r>
      <w:r/>
    </w:p>
    <w:p>
      <w:pPr>
        <w:ind w:firstLine="640"/>
        <w:spacing w:after="160" w:line="278" w:lineRule="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highlight w:val="none"/>
        </w:rPr>
      </w:r>
      <w:r/>
    </w:p>
    <w:p>
      <w:pPr>
        <w:numPr>
          <w:ilvl w:val="1"/>
          <w:numId w:val="31"/>
        </w:numPr>
        <w:jc w:val="center"/>
        <w:spacing w:before="156" w:after="156" w:line="400" w:lineRule="exact"/>
        <w:rPr>
          <w:rFonts w:ascii="黑体" w:hAnsi="华文中宋" w:eastAsia="黑体"/>
          <w:sz w:val="28"/>
          <w:szCs w:val="28"/>
          <w:highlight w:val="none"/>
        </w:rPr>
        <w:outlineLvl w:val="1"/>
      </w:pPr>
      <w:r/>
      <w:bookmarkStart w:id="1"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
      <w:r/>
      <w:r/>
    </w:p>
    <w:p>
      <w:pPr>
        <w:numPr>
          <w:ilvl w:val="1"/>
          <w:numId w:val="31"/>
        </w:numPr>
        <w:jc w:val="center"/>
        <w:spacing w:before="156" w:after="156" w:line="400" w:lineRule="exact"/>
        <w:rPr>
          <w:rFonts w:ascii="黑体" w:hAnsi="华文中宋" w:eastAsia="黑体"/>
          <w:sz w:val="28"/>
          <w:szCs w:val="28"/>
          <w:highlight w:val="none"/>
        </w:rPr>
        <w:outlineLvl w:val="1"/>
      </w:pPr>
      <w:r>
        <w:rPr>
          <w:rFonts w:ascii="黑体" w:hAnsi="华文中宋" w:eastAsia="黑体"/>
          <w:sz w:val="28"/>
          <w:szCs w:val="28"/>
          <w:highlight w:val="none"/>
        </w:rPr>
      </w:r>
      <w:r/>
    </w:p>
    <w:p>
      <w:pPr>
        <w:spacing w:after="160"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after="160" w:line="400" w:lineRule="exact"/>
        <w:rPr>
          <w:rFonts w:ascii="宋体" w:hAnsi="宋体"/>
          <w:szCs w:val="21"/>
          <w:highlight w:val="none"/>
        </w:rPr>
      </w:pPr>
      <w:r>
        <w:rPr>
          <w:rFonts w:hint="eastAsia" w:ascii="宋体" w:hAnsi="宋体"/>
          <w:szCs w:val="21"/>
          <w:highlight w:val="none"/>
        </w:rPr>
        <w:t xml:space="preserve">乙方1（全称）：（供应商）</w:t>
      </w:r>
      <w:r/>
    </w:p>
    <w:p>
      <w:pPr>
        <w:spacing w:after="160" w:line="400" w:lineRule="exact"/>
        <w:rPr>
          <w:rFonts w:ascii="宋体" w:hAnsi="宋体"/>
          <w:szCs w:val="21"/>
          <w:highlight w:val="none"/>
        </w:rPr>
      </w:pPr>
      <w:r>
        <w:rPr>
          <w:rFonts w:hint="eastAsia" w:ascii="宋体" w:hAnsi="宋体"/>
          <w:szCs w:val="21"/>
          <w:highlight w:val="none"/>
        </w:rPr>
        <w:t xml:space="preserve">乙方2（全称）：（联合体成员供应商或其他合同主体）（如有）</w:t>
      </w:r>
      <w:r/>
    </w:p>
    <w:p>
      <w:pPr>
        <w:spacing w:after="160" w:line="400" w:lineRule="exact"/>
        <w:rPr>
          <w:rFonts w:ascii="宋体" w:hAnsi="宋体"/>
          <w:szCs w:val="21"/>
          <w:highlight w:val="none"/>
        </w:rPr>
      </w:pPr>
      <w:r>
        <w:rPr>
          <w:rFonts w:hint="eastAsia" w:ascii="Times New Roman" w:hAnsi="Times New Roman"/>
          <w:highlight w:val="none"/>
        </w:rPr>
        <w:t xml:space="preserve">乙方</w:t>
      </w:r>
      <w:r>
        <w:rPr>
          <w:rFonts w:hint="eastAsia" w:ascii="宋体" w:hAnsi="宋体"/>
          <w:szCs w:val="21"/>
          <w:highlight w:val="none"/>
        </w:rPr>
        <w:t xml:space="preserve">3</w:t>
      </w:r>
      <w:r>
        <w:rPr>
          <w:rFonts w:hint="eastAsia" w:ascii="Times New Roman" w:hAnsi="Times New Roman"/>
          <w:highlight w:val="none"/>
        </w:rPr>
        <w:t xml:space="preserve">（全称）</w:t>
      </w:r>
      <w:r>
        <w:rPr>
          <w:rFonts w:hint="eastAsia" w:ascii="宋体" w:hAnsi="宋体"/>
          <w:szCs w:val="21"/>
          <w:highlight w:val="none"/>
        </w:rPr>
        <w:t xml:space="preserve">（联合体成员供应商或其他合同主体）（如有）</w:t>
      </w:r>
      <w:r/>
    </w:p>
    <w:p>
      <w:pPr>
        <w:spacing w:after="160" w:line="400" w:lineRule="exact"/>
        <w:rPr>
          <w:rFonts w:ascii="Times New Roman" w:hAnsi="Times New Roman"/>
          <w:highlight w:val="none"/>
        </w:rPr>
      </w:pPr>
      <w:r>
        <w:rPr>
          <w:rFonts w:ascii="Times New Roman" w:hAnsi="Times New Roman"/>
          <w:highlight w:val="none"/>
        </w:rPr>
      </w:r>
      <w:r/>
    </w:p>
    <w:p>
      <w:pPr>
        <w:ind w:firstLine="420"/>
        <w:spacing w:after="160" w:line="400" w:lineRule="exact"/>
        <w:rPr>
          <w:rFonts w:ascii="宋体" w:hAnsi="宋体"/>
          <w:sz w:val="24"/>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32"/>
        </w:numPr>
        <w:ind w:firstLine="422"/>
        <w:spacing w:after="160" w:line="400" w:lineRule="exact"/>
        <w:rPr>
          <w:rFonts w:ascii="宋体" w:hAnsi="宋体"/>
          <w:b/>
          <w:szCs w:val="21"/>
          <w:highlight w:val="none"/>
        </w:rPr>
      </w:pPr>
      <w:r>
        <w:rPr>
          <w:rFonts w:hint="eastAsia" w:ascii="宋体" w:hAnsi="宋体"/>
          <w:b/>
          <w:szCs w:val="21"/>
          <w:highlight w:val="none"/>
        </w:rPr>
        <w:t xml:space="preserve">项目信息</w:t>
      </w:r>
      <w:r/>
    </w:p>
    <w:p>
      <w:pPr>
        <w:numPr>
          <w:ilvl w:val="0"/>
          <w:numId w:val="33"/>
        </w:numPr>
        <w:ind w:firstLine="420"/>
        <w:spacing w:after="160" w:line="400" w:lineRule="exact"/>
        <w:rPr>
          <w:rFonts w:ascii="宋体" w:hAnsi="宋体"/>
          <w:szCs w:val="21"/>
          <w:highlight w:val="none"/>
          <w:u w:val="single"/>
        </w:rPr>
      </w:pPr>
      <w:r>
        <w:rPr>
          <w:rFonts w:hint="eastAsia" w:ascii="宋体" w:hAnsi="宋体"/>
          <w:szCs w:val="21"/>
          <w:highlight w:val="none"/>
        </w:rPr>
        <w:t xml:space="preserve">采购项目名称：</w:t>
      </w:r>
      <w:r/>
    </w:p>
    <w:p>
      <w:pPr>
        <w:numPr>
          <w:ilvl w:val="255"/>
          <w:numId w:val="0"/>
        </w:numPr>
        <w:ind w:firstLine="425"/>
        <w:spacing w:after="16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after="160"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品牌：规格型号：</w:t>
      </w:r>
      <w:r/>
    </w:p>
    <w:p>
      <w:pPr>
        <w:ind w:firstLine="945"/>
        <w:spacing w:after="160"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after="160"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     标的名称：</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关键部件： 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 品牌： 型号：</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②涉及车辆采购，请填写是否属于新能源汽车：</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数量： 金额：</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（4）政府采购组织形式：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分散采购</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（5）政府采购方式：</w:t>
      </w:r>
      <w:r>
        <w:rPr>
          <w:rFonts w:ascii="Wingdings" w:hAnsi="Wingdings" w:eastAsia="Wingdings" w:cs="Wingdings"/>
          <w:szCs w:val="21"/>
          <w:highlight w:val="none"/>
        </w:rPr>
        <w:t xml:space="preserve"></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numPr>
          <w:ilvl w:val="255"/>
          <w:numId w:val="0"/>
        </w:numPr>
        <w:ind w:firstLine="42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（注：在框架协议采购的第二阶段，可选择使用该合同文本）</w:t>
      </w:r>
      <w:r/>
    </w:p>
    <w:p>
      <w:pPr>
        <w:numPr>
          <w:ilvl w:val="255"/>
          <w:numId w:val="0"/>
        </w:numPr>
        <w:ind w:firstLine="220"/>
        <w:spacing w:after="160" w:line="400" w:lineRule="exact"/>
        <w:rPr>
          <w:rFonts w:ascii="宋体" w:hAnsi="宋体"/>
          <w:szCs w:val="21"/>
          <w:highlight w:val="none"/>
        </w:rPr>
      </w:pPr>
      <w:r>
        <w:rPr>
          <w:rFonts w:hint="eastAsia" w:ascii="宋体" w:hAnsi="宋体" w:eastAsia="华文楷体" w:cs="华文楷体"/>
          <w:szCs w:val="21"/>
          <w:highlight w:val="none"/>
        </w:rPr>
        <w:t xml:space="preserve"> （</w:t>
      </w:r>
      <w:r>
        <w:rPr>
          <w:rFonts w:ascii="宋体" w:hAnsi="宋体" w:eastAsia="华文楷体" w:cs="华文楷体"/>
          <w:szCs w:val="21"/>
          <w:highlight w:val="none"/>
        </w:rPr>
        <w:t xml:space="preserve">6</w:t>
      </w:r>
      <w:r>
        <w:rPr>
          <w:rFonts w:hint="eastAsia" w:ascii="宋体" w:hAnsi="宋体" w:eastAsia="华文楷体" w:cs="华文楷体"/>
          <w:szCs w:val="21"/>
          <w:highlight w:val="none"/>
        </w:rPr>
        <w:t xml:space="preserve">）</w:t>
      </w:r>
      <w:r>
        <w:rPr>
          <w:rFonts w:hint="eastAsia" w:ascii="宋体" w:hAnsi="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after="160" w:line="400" w:lineRule="exact"/>
        <w:rPr>
          <w:rFonts w:ascii="Times New Roman" w:hAnsi="Times New Roman"/>
          <w:highlight w:val="none"/>
        </w:rPr>
      </w:pPr>
      <w:r>
        <w:rPr>
          <w:rFonts w:hint="eastAsia" w:ascii="Times New Roman" w:hAnsi="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after="160"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after="160" w:line="400" w:lineRule="exact"/>
        <w:rPr>
          <w:rFonts w:ascii="宋体" w:hAnsi="宋体"/>
          <w:szCs w:val="21"/>
          <w:highlight w:val="none"/>
          <w:u w:val="single"/>
        </w:rPr>
      </w:pPr>
      <w:r>
        <w:rPr>
          <w:rFonts w:hint="eastAsia" w:ascii="宋体" w:hAnsi="宋体"/>
          <w:szCs w:val="21"/>
          <w:highlight w:val="none"/>
        </w:rPr>
        <w:t xml:space="preserve"> 分包主要内容：</w:t>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after="160" w:line="400" w:lineRule="exact"/>
        <w:rPr>
          <w:rFonts w:ascii="宋体" w:hAnsi="宋体"/>
          <w:szCs w:val="21"/>
          <w:highlight w:val="none"/>
          <w:u w:val="single"/>
        </w:rPr>
      </w:pPr>
      <w:r>
        <w:rPr>
          <w:rFonts w:ascii="宋体" w:hAnsi="宋体"/>
          <w:szCs w:val="21"/>
          <w:highlight w:val="none"/>
          <w:u w:val="single"/>
        </w:rPr>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after="160"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after="160" w:line="400" w:lineRule="exact"/>
        <w:rPr>
          <w:rFonts w:ascii="Times New Roman" w:hAnsi="Times New Roman" w:eastAsia="华文楷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after="160"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after="160" w:line="400" w:lineRule="exact"/>
        <w:tabs>
          <w:tab w:val="left" w:pos="1340" w:leader="none"/>
        </w:tabs>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p>
    <w:p>
      <w:pPr>
        <w:numPr>
          <w:ilvl w:val="255"/>
          <w:numId w:val="0"/>
        </w:numPr>
        <w:ind w:firstLine="84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金额：</w:t>
      </w:r>
      <w:r/>
    </w:p>
    <w:p>
      <w:pPr>
        <w:numPr>
          <w:ilvl w:val="255"/>
          <w:numId w:val="0"/>
        </w:numPr>
        <w:ind w:firstLine="840"/>
        <w:spacing w:after="160" w:line="400" w:lineRule="exact"/>
        <w:rPr>
          <w:rFonts w:ascii="宋体" w:hAnsi="宋体"/>
          <w:szCs w:val="21"/>
          <w:highlight w:val="none"/>
        </w:rPr>
      </w:pPr>
      <w:r>
        <w:rPr>
          <w:rFonts w:hint="eastAsia" w:ascii="宋体" w:hAnsi="宋体" w:cs="宋体"/>
          <w:szCs w:val="21"/>
          <w:highlight w:val="none"/>
        </w:rPr>
        <w:t xml:space="preserve">        国别： 品牌： 规格型号：</w:t>
      </w:r>
      <w:r/>
    </w:p>
    <w:p>
      <w:p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ind w:firstLine="440"/>
        <w:spacing w:after="160" w:line="400" w:lineRule="exact"/>
        <w:rPr>
          <w:rFonts w:ascii="宋体" w:hAnsi="宋体"/>
          <w:szCs w:val="21"/>
          <w:highlight w:val="none"/>
        </w:rPr>
      </w:pPr>
      <w:r>
        <w:rPr>
          <w:rFonts w:hint="eastAsia" w:ascii="宋体" w:hAnsi="宋体"/>
          <w:szCs w:val="21"/>
          <w:highlight w:val="none"/>
        </w:rPr>
        <w:t xml:space="preserve">是否涉及绿色产品： </w:t>
      </w:r>
      <w:r/>
    </w:p>
    <w:p>
      <w:pPr>
        <w:ind w:firstLine="420"/>
        <w:spacing w:after="160" w:line="400" w:lineRule="exact"/>
        <w:rPr>
          <w:rFonts w:ascii="宋体" w:hAnsi="宋体" w:cs="华文楷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ind w:firstLine="420"/>
        <w:spacing w:after="160" w:line="400" w:lineRule="exact"/>
        <w:rPr>
          <w:rFonts w:ascii="宋体" w:hAnsi="宋体" w:eastAsia="华文楷体" w:cs="华文楷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32"/>
        </w:numPr>
        <w:ind w:firstLine="422"/>
        <w:spacing w:after="16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（1）合同金额小写：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分包金额（如有）小写：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after="160"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ind w:firstLine="420"/>
        <w:spacing w:after="160" w:line="400" w:lineRule="exact"/>
        <w:rPr>
          <w:rFonts w:ascii="Times New Roman" w:hAnsi="Times New Roman"/>
          <w:szCs w:val="21"/>
          <w:highlight w:val="none"/>
        </w:rPr>
      </w:pPr>
      <w:r>
        <w:rPr>
          <w:rFonts w:hint="eastAsia" w:ascii="宋体" w:hAnsi="宋体"/>
          <w:szCs w:val="21"/>
          <w:highlight w:val="none"/>
        </w:rPr>
        <w:t xml:space="preserve">（3）付款方式（按项目实际勾选填写）：</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after="160" w:line="400" w:lineRule="exact"/>
        <w:rPr>
          <w:rFonts w:ascii="宋体" w:hAnsi="宋体"/>
          <w:b/>
          <w:bCs/>
          <w:szCs w:val="21"/>
          <w:highlight w:val="none"/>
        </w:rPr>
      </w:pPr>
      <w:r>
        <w:rPr>
          <w:rFonts w:ascii="Wingdings" w:hAnsi="Wingdings" w:eastAsia="Wingdings" w:cs="Wingdings"/>
          <w:b/>
          <w:bCs/>
          <w:szCs w:val="21"/>
          <w:highlight w:val="none"/>
        </w:rPr>
        <w:t xml:space="preserve"></w:t>
      </w:r>
      <w:r>
        <w:rPr>
          <w:rFonts w:hint="eastAsia" w:ascii="宋体" w:hAnsi="宋体"/>
          <w:b/>
          <w:bCs/>
          <w:szCs w:val="21"/>
          <w:highlight w:val="none"/>
        </w:rPr>
        <w:t xml:space="preserve">分期付款：</w:t>
      </w:r>
      <w:r>
        <w:rPr>
          <w:rFonts w:hint="eastAsia" w:ascii="宋体" w:hAnsi="宋体"/>
          <w:b/>
          <w:bCs/>
          <w:szCs w:val="21"/>
          <w:highlight w:val="none"/>
          <w:u w:val="single"/>
        </w:rPr>
        <w:t xml:space="preserve">合同签订后支付合同金额30%，项目结束且验收合格后支付至合同金额80%，审计完成支付至审定价的90%，两年质保期满后付清尾款。</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32"/>
        </w:numPr>
        <w:ind w:firstLine="422"/>
        <w:spacing w:after="160"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（1）起始日期：年月日，完成日期：年月日。</w:t>
      </w:r>
      <w:r/>
    </w:p>
    <w:p>
      <w:p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p>
    <w:p>
      <w:pPr>
        <w:ind w:firstLine="420"/>
        <w:spacing w:after="160" w:line="400" w:lineRule="exact"/>
        <w:rPr>
          <w:rFonts w:ascii="宋体" w:hAnsi="宋体" w:cs="宋体"/>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after="160" w:line="400" w:lineRule="exact"/>
        <w:rPr>
          <w:rFonts w:ascii="宋体" w:hAnsi="宋体" w:cs="宋体"/>
          <w:bCs/>
          <w:szCs w:val="21"/>
          <w:highlight w:val="none"/>
        </w:rPr>
      </w:pPr>
      <w:r>
        <w:rPr>
          <w:rFonts w:hint="eastAsia" w:ascii="宋体" w:hAnsi="宋体" w:cs="宋体"/>
          <w:bCs/>
          <w:szCs w:val="21"/>
          <w:highlight w:val="none"/>
        </w:rPr>
        <w:t xml:space="preserve">（4）分期履行要求：</w:t>
      </w:r>
      <w:r/>
    </w:p>
    <w:p>
      <w:pPr>
        <w:ind w:firstLine="420"/>
        <w:spacing w:after="160"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p>
    <w:p>
      <w:pPr>
        <w:numPr>
          <w:ilvl w:val="0"/>
          <w:numId w:val="32"/>
        </w:numPr>
        <w:ind w:firstLine="422"/>
        <w:spacing w:after="160"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34"/>
        </w:numPr>
        <w:ind w:firstLine="420"/>
        <w:spacing w:after="160"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after="160" w:line="400" w:lineRule="exact"/>
        <w:rPr>
          <w:rFonts w:ascii="宋体" w:hAnsi="宋体"/>
          <w:bCs/>
          <w:szCs w:val="21"/>
          <w:highlight w:val="none"/>
        </w:rPr>
      </w:pPr>
      <w:r>
        <w:rPr>
          <w:rFonts w:hint="eastAsia" w:ascii="宋体" w:hAnsi="宋体"/>
          <w:bCs/>
          <w:szCs w:val="21"/>
          <w:highlight w:val="none"/>
        </w:rPr>
        <w:t xml:space="preserve">         验收主体：</w:t>
      </w:r>
      <w:r/>
    </w:p>
    <w:p>
      <w:pPr>
        <w:spacing w:after="160"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甲方根据合同规定的内容和验收标准进行验收，同时比较乙方出具的检验证明，经检验无误后出具验收合格证明</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numPr>
          <w:ilvl w:val="0"/>
          <w:numId w:val="32"/>
        </w:numPr>
        <w:ind w:firstLine="422"/>
        <w:spacing w:after="160"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after="160"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after="160"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（7）有关技术文件，图纸</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（8）国家法律、行政法规和规章制度规定或合同约定的作为合同组成部分的其他文件</w:t>
      </w:r>
      <w:r/>
    </w:p>
    <w:p>
      <w:pPr>
        <w:numPr>
          <w:ilvl w:val="0"/>
          <w:numId w:val="32"/>
        </w:numPr>
        <w:ind w:firstLine="422"/>
        <w:spacing w:after="160"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本合同自生效。</w:t>
      </w:r>
      <w:r/>
    </w:p>
    <w:p>
      <w:pPr>
        <w:numPr>
          <w:ilvl w:val="0"/>
          <w:numId w:val="32"/>
        </w:numPr>
        <w:ind w:firstLine="422"/>
        <w:spacing w:after="160"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本合同一式份，甲方执份，乙方执份，均具有同等法律效力。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合同订立时间：年月日</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合同订立地点：</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附件：具体标的及其技术要求和商务要求、联合协议、分包意向协议等。</w:t>
      </w:r>
      <w:r/>
    </w:p>
    <w:p>
      <w:pPr>
        <w:spacing w:after="160" w:line="278" w:lineRule="auto"/>
        <w:rPr>
          <w:rFonts w:ascii="Times New Roman" w:hAnsi="Times New Roman"/>
          <w:highlight w:val="none"/>
        </w:rPr>
      </w:pPr>
      <w:r>
        <w:rPr>
          <w:rFonts w:hint="eastAsia" w:ascii="Times New Roman" w:hAnsi="Times New Roman"/>
          <w:highlight w:val="none"/>
        </w:rPr>
        <w:br w:type="page" w:clear="all"/>
      </w:r>
      <w:r/>
    </w:p>
    <w:p>
      <w:pPr>
        <w:ind w:firstLine="420"/>
        <w:spacing w:after="160" w:line="278" w:lineRule="auto"/>
        <w:rPr>
          <w:rFonts w:ascii="Times New Roman" w:hAnsi="Times New Roman"/>
          <w:szCs w:val="21"/>
          <w:highlight w:val="none"/>
        </w:rPr>
      </w:pPr>
      <w:r>
        <w:rPr>
          <w:rFonts w:ascii="Times New Roman" w:hAnsi="Times New Roman"/>
          <w:szCs w:val="21"/>
          <w:highlight w:val="none"/>
        </w:rPr>
      </w:r>
      <w:r/>
    </w:p>
    <w:tbl>
      <w:tblPr>
        <w:tblStyle w:val="72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甲方</w:t>
            </w:r>
            <w:r>
              <w:rPr>
                <w:rFonts w:hint="eastAsia" w:ascii="Times New Roman" w:hAnsi="Times New Roman"/>
                <w:szCs w:val="21"/>
                <w:highlight w:val="none"/>
              </w:rPr>
              <w:t xml:space="preserve">（采购人</w:t>
            </w:r>
            <w:r>
              <w:rPr>
                <w:rFonts w:hint="eastAsia" w:ascii="宋体" w:hAnsi="宋体"/>
                <w:szCs w:val="21"/>
                <w:highlight w:val="none"/>
              </w:rPr>
              <w:t xml:space="preserve">、受采购人委托签订合同的单位或</w:t>
            </w:r>
            <w:r>
              <w:rPr>
                <w:rFonts w:hint="eastAsia" w:ascii="Times New Roman" w:hAnsi="Times New Roman"/>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乙方</w:t>
            </w:r>
            <w:r>
              <w:rPr>
                <w:rFonts w:hint="eastAsia" w:ascii="Times New Roman" w:hAnsi="Times New Roman"/>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ind w:firstLine="101"/>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highlight w:val="none"/>
              </w:rPr>
            </w:pPr>
            <w:r>
              <w:rPr>
                <w:rFonts w:hint="eastAsia" w:ascii="宋体" w:hAnsi="宋体"/>
                <w:sz w:val="24"/>
                <w:szCs w:val="21"/>
                <w:highlight w:val="none"/>
              </w:rPr>
              <w:t xml:space="preserve">注：涉及联合体或其他合同主体的信息应按上表格式加列。</w:t>
            </w:r>
            <w:r/>
          </w:p>
        </w:tc>
      </w:tr>
    </w:tbl>
    <w:p>
      <w:pPr>
        <w:numPr>
          <w:ilvl w:val="1"/>
          <w:numId w:val="31"/>
        </w:numPr>
        <w:jc w:val="center"/>
        <w:spacing w:before="156" w:after="156" w:line="360" w:lineRule="auto"/>
        <w:rPr>
          <w:rFonts w:ascii="黑体" w:hAnsi="黑体" w:eastAsia="黑体"/>
          <w:b/>
          <w:bCs/>
          <w:sz w:val="28"/>
          <w:szCs w:val="28"/>
          <w:highlight w:val="none"/>
        </w:rPr>
        <w:outlineLvl w:val="1"/>
      </w:pPr>
      <w:r>
        <w:rPr>
          <w:rFonts w:ascii="宋体" w:hAnsi="宋体"/>
          <w:b/>
          <w:bCs/>
          <w:szCs w:val="21"/>
          <w:highlight w:val="none"/>
          <w:u w:val="single"/>
        </w:rPr>
        <w:br w:type="page" w:clear="all"/>
      </w:r>
      <w:bookmarkStart w:id="2" w:name="_Toc27624"/>
      <w:r>
        <w:rPr>
          <w:rFonts w:hint="eastAsia" w:ascii="黑体" w:hAnsi="黑体" w:eastAsia="黑体"/>
          <w:sz w:val="28"/>
          <w:szCs w:val="28"/>
          <w:highlight w:val="none"/>
        </w:rPr>
        <w:t xml:space="preserve">第二节 政府采购合同通用条款</w:t>
      </w:r>
      <w:bookmarkEnd w:id="2"/>
      <w:r/>
      <w:r/>
    </w:p>
    <w:p>
      <w:pPr>
        <w:spacing w:after="160"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spacing w:after="160" w:line="400" w:lineRule="exact"/>
        <w:rPr>
          <w:rFonts w:ascii="宋体" w:hAnsi="宋体"/>
          <w:szCs w:val="21"/>
          <w:highlight w:val="none"/>
        </w:rPr>
      </w:pPr>
      <w:r>
        <w:rPr>
          <w:rFonts w:hint="eastAsia" w:ascii="宋体" w:hAnsi="宋体"/>
          <w:szCs w:val="21"/>
          <w:highlight w:val="none"/>
        </w:rPr>
        <w:t xml:space="preserve">1.1合同当事人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spacing w:after="160"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rPr>
        <w:t xml:space="preserve">其他</w:t>
      </w:r>
      <w:r>
        <w:rPr>
          <w:rFonts w:hint="eastAsia" w:ascii="宋体" w:hAnsi="宋体"/>
          <w:szCs w:val="21"/>
          <w:highlight w:val="none"/>
        </w:rPr>
        <w:t xml:space="preserve">技术资料和材料等。</w:t>
      </w:r>
      <w:r/>
    </w:p>
    <w:p>
      <w:pPr>
        <w:ind w:firstLine="420"/>
        <w:spacing w:after="160" w:line="400" w:lineRule="exact"/>
        <w:rPr>
          <w:rFonts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rPr>
        <w:t xml:space="preserve">其他</w:t>
      </w:r>
      <w:r>
        <w:rPr>
          <w:rFonts w:hint="eastAsia" w:ascii="宋体" w:hAnsi="宋体"/>
          <w:szCs w:val="21"/>
          <w:highlight w:val="none"/>
        </w:rPr>
        <w:t xml:space="preserve">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numPr>
          <w:ilvl w:val="0"/>
          <w:numId w:val="35"/>
        </w:numPr>
        <w:spacing w:after="160" w:line="400" w:lineRule="exact"/>
        <w:rPr>
          <w:rFonts w:ascii="宋体" w:hAnsi="宋体"/>
          <w:b/>
          <w:bCs/>
          <w:sz w:val="24"/>
          <w:highlight w:val="none"/>
        </w:rPr>
      </w:pPr>
      <w:r>
        <w:rPr>
          <w:rFonts w:hint="eastAsia" w:ascii="宋体" w:hAnsi="宋体"/>
          <w:b/>
          <w:sz w:val="24"/>
          <w:highlight w:val="none"/>
        </w:rPr>
        <w:t xml:space="preserve">合同标的及金额</w:t>
      </w:r>
      <w:r/>
    </w:p>
    <w:p>
      <w:pPr>
        <w:ind w:firstLine="420"/>
        <w:spacing w:after="160"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rPr>
        <w:t xml:space="preserve">其他</w:t>
      </w:r>
      <w:r>
        <w:rPr>
          <w:rFonts w:hint="eastAsia" w:ascii="宋体" w:hAnsi="宋体"/>
          <w:szCs w:val="21"/>
          <w:highlight w:val="none"/>
        </w:rPr>
        <w:t xml:space="preserve">任何费用。</w:t>
      </w:r>
      <w:r/>
    </w:p>
    <w:p>
      <w:pPr>
        <w:spacing w:after="160" w:line="400" w:lineRule="exact"/>
        <w:rPr>
          <w:rFonts w:ascii="宋体" w:hAnsi="宋体"/>
          <w:b/>
          <w:sz w:val="24"/>
          <w:highlight w:val="none"/>
        </w:rPr>
      </w:pPr>
      <w:r>
        <w:rPr>
          <w:rFonts w:hint="eastAsia" w:ascii="宋体" w:hAnsi="宋体"/>
          <w:b/>
          <w:sz w:val="24"/>
          <w:highlight w:val="none"/>
        </w:rPr>
        <w:t xml:space="preserve">3. 履行合同的时间、地点和方式</w:t>
      </w:r>
      <w:r/>
    </w:p>
    <w:p>
      <w:pPr>
        <w:ind w:firstLine="420"/>
        <w:spacing w:after="160"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p>
    <w:p>
      <w:pPr>
        <w:spacing w:after="160" w:line="400" w:lineRule="exact"/>
        <w:rPr>
          <w:rFonts w:ascii="宋体" w:hAnsi="宋体"/>
          <w:b/>
          <w:bCs/>
          <w:sz w:val="24"/>
          <w:highlight w:val="none"/>
        </w:rPr>
      </w:pPr>
      <w:r>
        <w:rPr>
          <w:rFonts w:hint="eastAsia" w:ascii="宋体" w:hAnsi="宋体"/>
          <w:b/>
          <w:bCs/>
          <w:sz w:val="24"/>
          <w:highlight w:val="none"/>
        </w:rPr>
        <w:t xml:space="preserve">4. 甲方的权利和义务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p>
    <w:p>
      <w:pPr>
        <w:ind w:firstLine="420"/>
        <w:spacing w:after="160"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3甲方</w:t>
      </w:r>
      <w:r>
        <w:rPr>
          <w:rFonts w:hint="eastAsia" w:ascii="宋体" w:hAnsi="宋体"/>
          <w:szCs w:val="21"/>
          <w:highlight w:val="none"/>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p>
    <w:p>
      <w:pPr>
        <w:ind w:firstLine="420"/>
        <w:spacing w:after="160"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p>
    <w:p>
      <w:pPr>
        <w:ind w:firstLine="420"/>
        <w:spacing w:after="160" w:line="400" w:lineRule="exact"/>
        <w:rPr>
          <w:rFonts w:ascii="宋体" w:hAnsi="宋体"/>
          <w:szCs w:val="21"/>
          <w:highlight w:val="none"/>
        </w:rPr>
      </w:pPr>
      <w:r>
        <w:rPr>
          <w:rFonts w:hint="eastAsia" w:ascii="宋体" w:hAnsi="宋体"/>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p>
    <w:p>
      <w:pPr>
        <w:spacing w:after="160" w:line="400" w:lineRule="exact"/>
        <w:rPr>
          <w:rFonts w:ascii="宋体" w:hAnsi="宋体"/>
          <w:b/>
          <w:bCs/>
          <w:sz w:val="24"/>
          <w:highlight w:val="none"/>
        </w:rPr>
      </w:pPr>
      <w:r>
        <w:rPr>
          <w:rFonts w:hint="eastAsia" w:ascii="宋体" w:hAnsi="宋体"/>
          <w:b/>
          <w:bCs/>
          <w:sz w:val="24"/>
          <w:highlight w:val="none"/>
        </w:rPr>
        <w:t xml:space="preserve">5. 乙方的权利和义务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p>
    <w:p>
      <w:pPr>
        <w:ind w:firstLine="352"/>
        <w:spacing w:line="400" w:lineRule="exact"/>
        <w:rPr>
          <w:rFonts w:ascii="宋体" w:hAnsi="宋体" w:cs="宋体"/>
          <w:sz w:val="20"/>
          <w:szCs w:val="21"/>
          <w:highlight w:val="none"/>
        </w:rPr>
      </w:pPr>
      <w:r>
        <w:rPr>
          <w:rFonts w:hint="eastAsia" w:ascii="宋体" w:hAnsi="宋体"/>
          <w:sz w:val="20"/>
          <w:szCs w:val="21"/>
          <w:highlight w:val="none"/>
        </w:rPr>
        <w:t xml:space="preserve">5.</w:t>
      </w:r>
      <w:r>
        <w:rPr>
          <w:rFonts w:ascii="宋体" w:hAnsi="宋体"/>
          <w:sz w:val="20"/>
          <w:szCs w:val="21"/>
          <w:highlight w:val="none"/>
        </w:rPr>
        <w:t xml:space="preserve">3</w:t>
      </w:r>
      <w:r>
        <w:rPr>
          <w:rFonts w:hint="eastAsia" w:ascii="宋体" w:hAnsi="宋体"/>
          <w:sz w:val="20"/>
          <w:szCs w:val="21"/>
          <w:highlight w:val="none"/>
        </w:rPr>
        <w:t xml:space="preserve">乙方有权</w:t>
      </w:r>
      <w:r>
        <w:rPr>
          <w:rFonts w:hint="eastAsia" w:ascii="宋体" w:hAnsi="宋体" w:cs="宋体"/>
          <w:sz w:val="20"/>
          <w:szCs w:val="21"/>
          <w:highlight w:val="none"/>
        </w:rPr>
        <w:t xml:space="preserve">根据合同约定向甲方收取合同价款。</w:t>
      </w:r>
      <w:r/>
    </w:p>
    <w:p>
      <w:pPr>
        <w:ind w:firstLine="352"/>
        <w:spacing w:line="400" w:lineRule="exact"/>
        <w:rPr>
          <w:rFonts w:ascii="宋体" w:hAnsi="宋体" w:cs="宋体"/>
          <w:sz w:val="20"/>
          <w:szCs w:val="21"/>
          <w:highlight w:val="none"/>
        </w:rPr>
      </w:pPr>
      <w:r>
        <w:rPr>
          <w:rFonts w:hint="eastAsia" w:ascii="宋体" w:hAnsi="宋体"/>
          <w:sz w:val="20"/>
          <w:szCs w:val="21"/>
          <w:highlight w:val="none"/>
        </w:rPr>
        <w:t xml:space="preserve">5.</w:t>
      </w:r>
      <w:r>
        <w:rPr>
          <w:rFonts w:ascii="宋体" w:hAnsi="宋体"/>
          <w:sz w:val="20"/>
          <w:szCs w:val="21"/>
          <w:highlight w:val="none"/>
        </w:rPr>
        <w:t xml:space="preserve">4</w:t>
      </w:r>
      <w:r>
        <w:rPr>
          <w:rFonts w:hint="eastAsia" w:ascii="宋体" w:hAnsi="宋体" w:cs="宋体"/>
          <w:sz w:val="20"/>
          <w:szCs w:val="21"/>
          <w:highlight w:val="none"/>
        </w:rPr>
        <w:t xml:space="preserve">国家法律法规规定</w:t>
      </w:r>
      <w:r>
        <w:rPr>
          <w:rFonts w:hint="eastAsia" w:ascii="宋体" w:hAnsi="宋体"/>
          <w:sz w:val="20"/>
          <w:szCs w:val="21"/>
          <w:highlight w:val="none"/>
        </w:rPr>
        <w:t xml:space="preserve">及</w:t>
      </w:r>
      <w:r>
        <w:rPr>
          <w:rFonts w:hint="eastAsia" w:ascii="宋体" w:hAnsi="宋体" w:cs="宋体"/>
          <w:b/>
          <w:bCs/>
          <w:sz w:val="20"/>
          <w:szCs w:val="21"/>
          <w:highlight w:val="none"/>
        </w:rPr>
        <w:t xml:space="preserve">【政府采购合同专用条款】</w:t>
      </w:r>
      <w:r>
        <w:rPr>
          <w:rFonts w:hint="eastAsia" w:ascii="宋体" w:hAnsi="宋体" w:cs="宋体"/>
          <w:sz w:val="20"/>
          <w:szCs w:val="21"/>
          <w:highlight w:val="none"/>
        </w:rPr>
        <w:t xml:space="preserve">约定应由乙方承担的其他义务和责任。</w:t>
      </w:r>
      <w:r/>
    </w:p>
    <w:p>
      <w:pPr>
        <w:numPr>
          <w:ilvl w:val="0"/>
          <w:numId w:val="36"/>
        </w:numPr>
        <w:spacing w:after="160" w:line="400" w:lineRule="exact"/>
        <w:rPr>
          <w:rFonts w:ascii="宋体" w:hAnsi="宋体"/>
          <w:b/>
          <w:bCs/>
          <w:sz w:val="24"/>
          <w:highlight w:val="none"/>
        </w:rPr>
      </w:pPr>
      <w:r>
        <w:rPr>
          <w:rFonts w:hint="eastAsia" w:ascii="宋体" w:hAnsi="宋体"/>
          <w:b/>
          <w:bCs/>
          <w:sz w:val="24"/>
          <w:highlight w:val="none"/>
        </w:rPr>
        <w:t xml:space="preserve">合同履行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p>
    <w:p>
      <w:pPr>
        <w:ind w:firstLine="420"/>
        <w:spacing w:after="160"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p>
    <w:p>
      <w:pPr>
        <w:ind w:firstLine="420"/>
        <w:spacing w:after="160"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p>
    <w:p>
      <w:pPr>
        <w:ind w:firstLine="420"/>
        <w:spacing w:after="160"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p>
    <w:p>
      <w:pPr>
        <w:ind w:firstLine="420"/>
        <w:spacing w:after="160" w:line="400" w:lineRule="exact"/>
        <w:rPr>
          <w:rFonts w:ascii="华文楷体" w:hAnsi="华文楷体" w:eastAsia="华文楷体" w:cs="华文楷体"/>
          <w:szCs w:val="21"/>
          <w:highlight w:val="none"/>
        </w:rPr>
      </w:pPr>
      <w:r>
        <w:rPr>
          <w:rFonts w:hint="eastAsia" w:ascii="宋体" w:hAnsi="宋体"/>
          <w:szCs w:val="21"/>
          <w:highlight w:val="none"/>
        </w:rPr>
        <w:t xml:space="preserve">7.6 如因包装、运输问题导致货物损毁、丢失或者品质下降，甲方有权要求降价、换货、拒收部分或整批货物，由此产生的费用和损失，均由乙方承担。</w:t>
      </w:r>
      <w:r/>
    </w:p>
    <w:p>
      <w:pPr>
        <w:spacing w:after="160" w:line="400" w:lineRule="exact"/>
        <w:rPr>
          <w:rFonts w:ascii="宋体" w:hAnsi="宋体"/>
          <w:b/>
          <w:sz w:val="24"/>
          <w:highlight w:val="none"/>
        </w:rPr>
      </w:pPr>
      <w:r>
        <w:rPr>
          <w:rFonts w:hint="eastAsia" w:ascii="宋体" w:hAnsi="宋体"/>
          <w:b/>
          <w:sz w:val="24"/>
          <w:highlight w:val="none"/>
        </w:rPr>
        <w:t xml:space="preserve">8. 质量标准和保证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8.1 质量标准</w:t>
      </w:r>
      <w:r/>
    </w:p>
    <w:p>
      <w:pPr>
        <w:ind w:firstLine="420"/>
        <w:spacing w:after="160" w:line="400" w:lineRule="exact"/>
        <w:rPr>
          <w:rFonts w:ascii="宋体" w:hAnsi="宋体"/>
          <w:szCs w:val="21"/>
          <w:highlight w:val="none"/>
        </w:rPr>
      </w:pPr>
      <w:r>
        <w:rPr>
          <w:rFonts w:hint="eastAsia" w:ascii="宋体" w:hAnsi="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（2）采用中华人民共和国法定计量单位。</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spacing w:after="160"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ascii="宋体" w:hAnsi="宋体"/>
          <w:szCs w:val="21"/>
          <w:highlight w:val="none"/>
        </w:rPr>
      </w:pPr>
      <w:r>
        <w:rPr>
          <w:rFonts w:hint="eastAsia" w:ascii="宋体" w:hAnsi="宋体"/>
          <w:szCs w:val="21"/>
          <w:highlight w:val="none"/>
        </w:rPr>
        <w:t xml:space="preserve">8.2 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ascii="宋体" w:hAnsi="宋体"/>
          <w:b/>
          <w:bCs/>
          <w:sz w:val="24"/>
          <w:highlight w:val="none"/>
        </w:rPr>
      </w:pPr>
      <w:r>
        <w:rPr>
          <w:rFonts w:hint="eastAsia" w:ascii="宋体" w:hAnsi="宋体"/>
          <w:b/>
          <w:bCs/>
          <w:sz w:val="24"/>
          <w:highlight w:val="none"/>
        </w:rPr>
        <w:t xml:space="preserve">9.权利瑕疵担保</w:t>
      </w:r>
      <w:r/>
    </w:p>
    <w:p>
      <w:pPr>
        <w:ind w:firstLine="420"/>
        <w:spacing w:after="160"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p>
    <w:p>
      <w:pPr>
        <w:ind w:firstLine="420"/>
        <w:spacing w:after="160"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spacing w:after="160"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p>
    <w:p>
      <w:pPr>
        <w:spacing w:after="160" w:line="400" w:lineRule="exact"/>
        <w:rPr>
          <w:rFonts w:ascii="宋体" w:hAnsi="宋体"/>
          <w:b/>
          <w:bCs/>
          <w:sz w:val="24"/>
          <w:highlight w:val="none"/>
        </w:rPr>
      </w:pPr>
      <w:r>
        <w:rPr>
          <w:rFonts w:hint="eastAsia" w:ascii="宋体" w:hAnsi="宋体"/>
          <w:b/>
          <w:bCs/>
          <w:sz w:val="24"/>
          <w:highlight w:val="none"/>
        </w:rPr>
        <w:t xml:space="preserve">10. 知识产权保护</w:t>
      </w:r>
      <w:r/>
    </w:p>
    <w:p>
      <w:pPr>
        <w:ind w:firstLine="420"/>
        <w:spacing w:after="160"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3"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szCs w:val="21"/>
          <w:highlight w:val="none"/>
        </w:rPr>
        <w:t xml:space="preserve">。</w:t>
      </w:r>
      <w:r/>
    </w:p>
    <w:p>
      <w:pPr>
        <w:spacing w:after="160"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after="160"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12.1 合同价款支付按照国库集中支付制度及财政管理相关规定执行。</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line="400" w:lineRule="exact"/>
        <w:rPr>
          <w:rFonts w:ascii="宋体" w:hAnsi="宋体"/>
          <w:b/>
          <w:bCs/>
          <w:sz w:val="24"/>
          <w:highlight w:val="none"/>
        </w:rPr>
      </w:pPr>
      <w:r>
        <w:rPr>
          <w:rFonts w:hint="eastAsia" w:ascii="宋体" w:hAnsi="宋体"/>
          <w:b/>
          <w:bCs/>
          <w:sz w:val="24"/>
          <w:highlight w:val="none"/>
        </w:rPr>
        <w:t xml:space="preserve">13. 履约保证金（本项目无需缴纳）</w:t>
      </w:r>
      <w:r/>
    </w:p>
    <w:p>
      <w:pPr>
        <w:ind w:firstLine="420"/>
        <w:spacing w:after="160"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spacing w:after="160"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spacing w:after="160" w:line="400" w:lineRule="exact"/>
        <w:rPr>
          <w:rFonts w:ascii="宋体" w:hAnsi="宋体"/>
          <w:b/>
          <w:sz w:val="24"/>
          <w:highlight w:val="none"/>
        </w:rPr>
      </w:pPr>
      <w:r>
        <w:rPr>
          <w:rFonts w:hint="eastAsia" w:ascii="宋体" w:hAnsi="宋体"/>
          <w:b/>
          <w:bCs/>
          <w:sz w:val="24"/>
          <w:highlight w:val="none"/>
        </w:rPr>
        <w:t xml:space="preserve">14. </w:t>
      </w:r>
      <w:r>
        <w:rPr>
          <w:rFonts w:hint="eastAsia" w:ascii="Times New Roman" w:hAnsi="Times New Roman"/>
          <w:b/>
          <w:sz w:val="24"/>
          <w:highlight w:val="none"/>
        </w:rPr>
        <w:t xml:space="preserve">售后</w:t>
      </w:r>
      <w:r>
        <w:rPr>
          <w:rFonts w:hint="eastAsia" w:ascii="宋体" w:hAnsi="宋体"/>
          <w:b/>
          <w:sz w:val="24"/>
          <w:highlight w:val="none"/>
        </w:rPr>
        <w:t xml:space="preserve">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spacing w:after="160"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spacing w:after="160"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spacing w:after="160"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spacing w:after="160"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spacing w:after="160"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37"/>
        </w:numPr>
        <w:spacing w:after="160" w:line="400" w:lineRule="exact"/>
        <w:rPr>
          <w:rFonts w:ascii="宋体" w:hAnsi="宋体"/>
          <w:b/>
          <w:sz w:val="24"/>
          <w:highlight w:val="none"/>
        </w:rPr>
      </w:pPr>
      <w:r>
        <w:rPr>
          <w:rFonts w:hint="eastAsia" w:ascii="宋体" w:hAnsi="宋体"/>
          <w:b/>
          <w:sz w:val="24"/>
          <w:highlight w:val="none"/>
        </w:rPr>
        <w:t xml:space="preserve">合同变更、中止与终止</w:t>
      </w:r>
      <w:r/>
    </w:p>
    <w:p>
      <w:pPr>
        <w:spacing w:after="160" w:line="400" w:lineRule="exact"/>
        <w:rPr>
          <w:rFonts w:ascii="宋体" w:hAnsi="宋体"/>
          <w:szCs w:val="21"/>
          <w:highlight w:val="none"/>
        </w:rPr>
      </w:pPr>
      <w:r>
        <w:rPr>
          <w:rFonts w:hint="eastAsia" w:ascii="宋体" w:hAnsi="宋体"/>
          <w:szCs w:val="21"/>
          <w:highlight w:val="none"/>
        </w:rPr>
        <w:t xml:space="preserve">    16.1合同的变更</w:t>
      </w:r>
      <w:r/>
    </w:p>
    <w:p>
      <w:pPr>
        <w:ind w:firstLine="420"/>
        <w:spacing w:after="160"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16.2合同的中止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spacing w:after="160" w:line="400" w:lineRule="exact"/>
        <w:rPr>
          <w:rFonts w:ascii="宋体" w:hAnsi="宋体"/>
          <w:szCs w:val="21"/>
          <w:highlight w:val="none"/>
        </w:rPr>
      </w:pPr>
      <w:r>
        <w:rPr>
          <w:rFonts w:hint="eastAsia" w:ascii="宋体" w:hAnsi="宋体"/>
          <w:szCs w:val="21"/>
          <w:highlight w:val="none"/>
        </w:rPr>
        <w:t xml:space="preserve">16.3合同的终止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after="160"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ind w:firstLine="440"/>
        <w:spacing w:after="160" w:line="400" w:lineRule="exact"/>
        <w:rPr>
          <w:rFonts w:ascii="宋体" w:hAnsi="宋体" w:eastAsia="华文楷体" w:cs="华文楷体"/>
          <w:szCs w:val="21"/>
          <w:highlight w:val="none"/>
        </w:rPr>
      </w:pPr>
      <w:r>
        <w:rPr>
          <w:rFonts w:hint="eastAsia" w:ascii="宋体" w:hAnsi="宋体" w:eastAsia="华文楷体" w:cs="华文楷体"/>
          <w:szCs w:val="21"/>
          <w:highlight w:val="none"/>
        </w:rPr>
        <w:t xml:space="preserve">16.4 </w:t>
      </w:r>
      <w:r>
        <w:rPr>
          <w:rFonts w:hint="eastAsia" w:ascii="宋体" w:hAnsi="宋体"/>
          <w:szCs w:val="21"/>
          <w:highlight w:val="none"/>
        </w:rPr>
        <w:t xml:space="preserve">涉及国家利益、社会公共利益的情形</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spacing w:after="160"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ascii="宋体" w:hAnsi="宋体"/>
          <w:b/>
          <w:bCs/>
          <w:sz w:val="24"/>
          <w:highlight w:val="none"/>
        </w:rPr>
      </w:pPr>
      <w:r>
        <w:rPr>
          <w:rFonts w:hint="eastAsia" w:ascii="宋体" w:hAnsi="宋体"/>
          <w:b/>
          <w:bCs/>
          <w:sz w:val="24"/>
          <w:highlight w:val="none"/>
        </w:rPr>
        <w:t xml:space="preserve">19. 解决争议的方法</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spacing w:after="160"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spacing w:after="160"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spacing w:after="160"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00"/>
        <w:spacing w:line="400" w:lineRule="exact"/>
        <w:rPr>
          <w:rFonts w:ascii="Times New Roman" w:hAnsi="Times New Roman"/>
          <w:sz w:val="20"/>
          <w:highlight w:val="none"/>
        </w:rPr>
      </w:pPr>
      <w:r>
        <w:rPr>
          <w:rFonts w:ascii="宋体" w:hAnsi="宋体"/>
          <w:sz w:val="20"/>
          <w:szCs w:val="21"/>
          <w:highlight w:val="none"/>
        </w:rPr>
        <w:t xml:space="preserve">2</w:t>
      </w:r>
      <w:r>
        <w:rPr>
          <w:rFonts w:hint="eastAsia" w:ascii="宋体" w:hAnsi="宋体"/>
          <w:sz w:val="2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ascii="宋体" w:hAnsi="宋体"/>
          <w:b/>
          <w:sz w:val="24"/>
          <w:highlight w:val="none"/>
        </w:rPr>
      </w:pPr>
      <w:r>
        <w:rPr>
          <w:rFonts w:hint="eastAsia" w:ascii="宋体" w:hAnsi="宋体"/>
          <w:b/>
          <w:sz w:val="24"/>
          <w:highlight w:val="none"/>
        </w:rPr>
        <w:t xml:space="preserve">21. 法律适用</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ascii="宋体" w:hAnsi="宋体"/>
          <w:b/>
          <w:sz w:val="24"/>
          <w:highlight w:val="none"/>
        </w:rPr>
      </w:pPr>
      <w:r>
        <w:rPr>
          <w:rFonts w:hint="eastAsia" w:ascii="宋体" w:hAnsi="宋体"/>
          <w:b/>
          <w:sz w:val="24"/>
          <w:highlight w:val="none"/>
        </w:rPr>
        <w:t xml:space="preserve">22. 通知</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spacing w:after="160"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38"/>
        </w:numPr>
        <w:spacing w:after="160"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spacing w:after="160"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4" w:name="_Toc20313"/>
      <w:r/>
      <w:r/>
    </w:p>
    <w:p>
      <w:pPr>
        <w:jc w:val="center"/>
        <w:spacing w:after="160" w:line="278" w:lineRule="auto"/>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numPr>
          <w:ilvl w:val="1"/>
          <w:numId w:val="31"/>
        </w:numPr>
        <w:jc w:val="center"/>
        <w:spacing w:before="156" w:after="156" w:line="360" w:lineRule="auto"/>
        <w:rPr>
          <w:rFonts w:ascii="黑体" w:hAnsi="华文中宋" w:eastAsia="黑体"/>
          <w:sz w:val="28"/>
          <w:szCs w:val="28"/>
          <w:highlight w:val="none"/>
        </w:rPr>
        <w:outlineLvl w:val="1"/>
      </w:pPr>
      <w:r>
        <w:rPr>
          <w:rFonts w:hint="eastAsia" w:ascii="黑体" w:hAnsi="华文中宋" w:eastAsia="黑体"/>
          <w:sz w:val="28"/>
          <w:szCs w:val="28"/>
          <w:highlight w:val="none"/>
        </w:rPr>
        <w:t xml:space="preserve">第三节 政府采购合同专用条款</w:t>
      </w:r>
      <w:bookmarkEnd w:id="4"/>
      <w:r/>
      <w:r/>
    </w:p>
    <w:tbl>
      <w:tblPr>
        <w:tblStyle w:val="72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Times New Roman" w:hAnsi="Times New Roman"/>
                <w:highlight w:val="none"/>
              </w:rPr>
            </w:pPr>
            <w:r>
              <w:rPr>
                <w:rFonts w:hint="eastAsia" w:ascii="宋体" w:hAnsi="宋体"/>
                <w:szCs w:val="21"/>
                <w:highlight w:val="none"/>
              </w:rPr>
              <w:t xml:space="preserve">第5.4款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67"/>
        </w:trPr>
        <w:tc>
          <w:tcPr>
            <w:tcW w:w="1607" w:type="dxa"/>
            <w:vAlign w:val="center"/>
            <w:vMerge w:val="continue"/>
            <w:textDirection w:val="lrTb"/>
            <w:noWrap w:val="false"/>
          </w:tcPr>
          <w:p>
            <w:pPr>
              <w:jc w:val="center"/>
              <w:spacing w:after="160" w:line="278" w:lineRule="auto"/>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772"/>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6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货物质量缺陷</w:t>
            </w:r>
            <w:r/>
          </w:p>
          <w:p>
            <w:pPr>
              <w:spacing w:after="160" w:line="278" w:lineRule="auto"/>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第11.1款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after="160"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因本合同及合同有关事项发生的争议，按下列第种方式解决：</w:t>
            </w:r>
            <w:r/>
          </w:p>
          <w:p>
            <w:pPr>
              <w:spacing w:after="160"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w:t>
            </w:r>
            <w:r/>
          </w:p>
          <w:p>
            <w:pPr>
              <w:spacing w:after="160" w:line="278" w:lineRule="auto"/>
              <w:rPr>
                <w:rFonts w:ascii="宋体" w:hAnsi="宋体"/>
                <w:szCs w:val="21"/>
                <w:highlight w:val="none"/>
                <w:u w:val="single"/>
              </w:rPr>
            </w:pPr>
            <w:r>
              <w:rPr>
                <w:rFonts w:hint="eastAsia" w:ascii="宋体" w:hAnsi="宋体" w:cs="宋体"/>
                <w:iCs/>
                <w:szCs w:val="21"/>
                <w:highlight w:val="none"/>
              </w:rPr>
              <w:t xml:space="preserve">（2）向人民法院起诉。</w:t>
            </w:r>
            <w:r/>
          </w:p>
        </w:tc>
      </w:tr>
      <w:tr>
        <w:trPr>
          <w:trHeight w:val="770"/>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bl>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hint="eastAsia" w:ascii="微软雅黑" w:hAnsi="微软雅黑" w:eastAsia="微软雅黑" w:cs="微软雅黑"/>
          <w:spacing w:val="17"/>
          <w:sz w:val="24"/>
          <w:highlight w:val="none"/>
        </w:rPr>
        <w:t xml:space="preserve">附件：</w:t>
      </w:r>
      <w:r/>
    </w:p>
    <w:p>
      <w:pPr>
        <w:jc w:val="cente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jc w:val="center"/>
        <w:spacing w:before="107" w:line="184" w:lineRule="auto"/>
        <w:rPr>
          <w:rFonts w:ascii="微软雅黑" w:hAnsi="微软雅黑" w:eastAsia="微软雅黑" w:cs="微软雅黑"/>
          <w:sz w:val="24"/>
          <w:highlight w:val="none"/>
        </w:rPr>
      </w:pPr>
      <w:r>
        <w:rPr>
          <w:rFonts w:ascii="微软雅黑" w:hAnsi="微软雅黑" w:eastAsia="微软雅黑" w:cs="微软雅黑"/>
          <w:spacing w:val="17"/>
          <w:sz w:val="24"/>
          <w:highlight w:val="none"/>
        </w:rPr>
        <w:t xml:space="preserve">政府采购履约验收书参考样本(货物类）</w:t>
      </w:r>
      <w:r/>
    </w:p>
    <w:tbl>
      <w:tblPr>
        <w:tblStyle w:val="729"/>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采购人</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项目名称</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合同名称</w:t>
            </w:r>
            <w:r/>
          </w:p>
        </w:tc>
        <w:tc>
          <w:tcPr>
            <w:gridSpan w:val="2"/>
            <w:tcW w:w="217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r>
      <w:tr>
        <w:trPr>
          <w:trHeight w:val="565"/>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供应商</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项目及合同编号</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合同金额</w:t>
            </w:r>
            <w:r/>
          </w:p>
        </w:tc>
        <w:tc>
          <w:tcPr>
            <w:gridSpan w:val="2"/>
            <w:tcW w:w="217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r>
      <w:tr>
        <w:trPr>
          <w:trHeight w:val="440"/>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分期（段）验收</w:t>
            </w:r>
            <w:r/>
          </w:p>
        </w:tc>
        <w:tc>
          <w:tcPr>
            <w:gridSpan w:val="2"/>
            <w:tcW w:w="20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是□   否□</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分期（段）情况</w:t>
            </w:r>
            <w:r/>
          </w:p>
        </w:tc>
        <w:tc>
          <w:tcPr>
            <w:gridSpan w:val="5"/>
            <w:tcW w:w="492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共分   期（段），此为第   期（段）验收</w:t>
            </w:r>
            <w:r/>
          </w:p>
        </w:tc>
      </w:tr>
      <w:tr>
        <w:trPr>
          <w:trHeight w:val="926"/>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before="59" w:line="208" w:lineRule="auto"/>
              <w:rPr>
                <w:rFonts w:ascii="宋体" w:hAnsi="宋体" w:cs="宋体"/>
                <w:sz w:val="18"/>
                <w:szCs w:val="18"/>
                <w:highlight w:val="none"/>
              </w:rPr>
            </w:pPr>
            <w:r>
              <w:rPr>
                <w:rFonts w:ascii="宋体" w:hAnsi="宋体" w:cs="宋体"/>
                <w:spacing w:val="-2"/>
                <w:sz w:val="18"/>
                <w:szCs w:val="18"/>
                <w:highlight w:val="none"/>
              </w:rPr>
              <w:t xml:space="preserve">验收时间</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验收地点</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验收组织形式</w:t>
            </w:r>
            <w:r/>
          </w:p>
        </w:tc>
        <w:tc>
          <w:tcPr>
            <w:gridSpan w:val="2"/>
            <w:tcW w:w="217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□自行简易验收</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□验收小组验收</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□采购代理机构验收</w:t>
            </w:r>
            <w:r/>
          </w:p>
        </w:tc>
      </w:tr>
      <w:tr>
        <w:trPr>
          <w:trHeight w:val="806"/>
        </w:trPr>
        <w:tc>
          <w:tcPr>
            <w:tcBorders>
              <w:bottom w:val="none" w:color="000000" w:sz="4" w:space="0"/>
            </w:tcBorders>
            <w:tcW w:w="1063" w:type="dxa"/>
            <w:vMerge w:val="restart"/>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验收内容</w:t>
            </w:r>
            <w:r/>
          </w:p>
        </w:tc>
        <w:tc>
          <w:tcPr>
            <w:tcW w:w="938"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货物清单</w:t>
            </w:r>
            <w:r/>
          </w:p>
        </w:tc>
        <w:tc>
          <w:tcPr>
            <w:tcW w:w="1132"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品牌、型号、规格数量及外观质量</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技术、性能 指标</w:t>
            </w:r>
            <w:r/>
          </w:p>
        </w:tc>
        <w:tc>
          <w:tcPr>
            <w:tcW w:w="88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运行状况及安装调试</w:t>
            </w:r>
            <w:r/>
          </w:p>
        </w:tc>
        <w:tc>
          <w:tcPr>
            <w:tcW w:w="90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质量证明文件</w:t>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售后服务承诺</w:t>
            </w:r>
            <w:r/>
          </w:p>
        </w:tc>
        <w:tc>
          <w:tcPr>
            <w:tcW w:w="100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安全标准</w:t>
            </w:r>
            <w:r/>
          </w:p>
        </w:tc>
        <w:tc>
          <w:tcPr>
            <w:tcW w:w="11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38"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32"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88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0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不合格□</w:t>
            </w:r>
            <w:r/>
          </w:p>
        </w:tc>
        <w:tc>
          <w:tcPr>
            <w:tcW w:w="100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r>
      <w:tr>
        <w:trPr>
          <w:trHeight w:val="733"/>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专业检测机构情况说明</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688"/>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存在问题和改进意见</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599"/>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最终结论</w:t>
            </w:r>
            <w:r/>
          </w:p>
        </w:tc>
        <w:tc>
          <w:tcPr>
            <w:gridSpan w:val="8"/>
            <w:tcW w:w="8115" w:type="dxa"/>
            <w:textDirection w:val="lrTb"/>
            <w:noWrap w:val="false"/>
          </w:tcPr>
          <w:p>
            <w:pPr>
              <w:jc w:val="cente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jc w:val="cente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合  格□                              不合格□</w:t>
            </w:r>
            <w:r/>
          </w:p>
        </w:tc>
      </w:tr>
      <w:tr>
        <w:trPr>
          <w:trHeight w:val="872"/>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验收小组成员签字</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采购人意见</w:t>
            </w:r>
            <w:r/>
          </w:p>
        </w:tc>
      </w:tr>
      <w:tr>
        <w:trPr>
          <w:trHeight w:val="1186"/>
        </w:trPr>
        <w:tc>
          <w:tcPr>
            <w:tcW w:w="1063" w:type="dxa"/>
            <w:textDirection w:val="lrTb"/>
            <w:noWrap w:val="false"/>
          </w:tcPr>
          <w:p>
            <w:pPr>
              <w:spacing w:before="59" w:line="238" w:lineRule="exact"/>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8"/>
                <w:position w:val="1"/>
                <w:sz w:val="18"/>
                <w:szCs w:val="18"/>
                <w:highlight w:val="none"/>
              </w:rPr>
              <w:t xml:space="preserve">：</w:t>
            </w:r>
            <w:r>
              <w:rPr>
                <w:rFonts w:ascii="宋体" w:hAnsi="宋体" w:cs="宋体"/>
                <w:position w:val="1"/>
                <w:sz w:val="18"/>
                <w:szCs w:val="18"/>
                <w:highlight w:val="none"/>
              </w:rPr>
              <w:t xml:space="preserve">           </w:t>
            </w:r>
            <w:r>
              <w:rPr>
                <w:rFonts w:ascii="宋体" w:hAnsi="宋体" w:cs="宋体"/>
                <w:spacing w:val="-18"/>
                <w:position w:val="1"/>
                <w:sz w:val="18"/>
                <w:szCs w:val="18"/>
                <w:highlight w:val="none"/>
              </w:rPr>
              <w:t xml:space="preserve">（</w:t>
            </w:r>
            <w:r>
              <w:rPr>
                <w:rFonts w:ascii="宋体" w:hAnsi="宋体" w:cs="宋体"/>
                <w:spacing w:val="1"/>
                <w:position w:val="1"/>
                <w:sz w:val="18"/>
                <w:szCs w:val="18"/>
                <w:highlight w:val="none"/>
              </w:rPr>
              <w:t xml:space="preserve">采购代理机构公章）</w:t>
            </w:r>
            <w:r/>
          </w:p>
        </w:tc>
        <w:tc>
          <w:tcPr>
            <w:gridSpan w:val="8"/>
            <w:tcW w:w="8115" w:type="dxa"/>
            <w:textDirection w:val="lrTb"/>
            <w:noWrap w:val="false"/>
          </w:tcPr>
          <w:p>
            <w:pPr>
              <w:spacing w:after="160" w:line="263" w:lineRule="auto"/>
              <w:rPr>
                <w:rFonts w:ascii="Arial" w:hAnsi="Arial" w:eastAsia="Arial" w:cs="Arial"/>
                <w:szCs w:val="21"/>
                <w:highlight w:val="none"/>
              </w:rPr>
            </w:pPr>
            <w:r>
              <w:rPr>
                <w:rFonts w:ascii="Arial" w:hAnsi="Arial" w:eastAsia="Arial" w:cs="Arial"/>
                <w:szCs w:val="21"/>
                <w:highlight w:val="none"/>
              </w:rPr>
            </w:r>
            <w:r/>
          </w:p>
          <w:p>
            <w:pPr>
              <w:spacing w:after="160" w:line="264" w:lineRule="auto"/>
              <w:rPr>
                <w:rFonts w:ascii="Arial" w:hAnsi="Arial" w:eastAsia="Arial" w:cs="Arial"/>
                <w:szCs w:val="21"/>
                <w:highlight w:val="none"/>
              </w:rPr>
            </w:pPr>
            <w:r>
              <w:rPr>
                <w:rFonts w:ascii="Arial" w:hAnsi="Arial" w:eastAsia="Arial" w:cs="Arial"/>
                <w:szCs w:val="21"/>
                <w:highlight w:val="none"/>
              </w:rPr>
            </w:r>
            <w:r/>
          </w:p>
          <w:p>
            <w:pPr>
              <w:spacing w:before="59" w:line="238" w:lineRule="exact"/>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7"/>
                <w:position w:val="1"/>
                <w:sz w:val="18"/>
                <w:szCs w:val="18"/>
                <w:highlight w:val="none"/>
              </w:rPr>
              <w:t xml:space="preserve">：</w:t>
            </w:r>
            <w:r>
              <w:rPr>
                <w:rFonts w:ascii="宋体" w:hAnsi="宋体" w:cs="宋体"/>
                <w:spacing w:val="8"/>
                <w:position w:val="1"/>
                <w:sz w:val="18"/>
                <w:szCs w:val="18"/>
                <w:highlight w:val="none"/>
              </w:rPr>
              <w:t xml:space="preserve">           </w:t>
            </w:r>
            <w:r>
              <w:rPr>
                <w:rFonts w:ascii="宋体" w:hAnsi="宋体" w:cs="宋体"/>
                <w:spacing w:val="-17"/>
                <w:position w:val="1"/>
                <w:sz w:val="18"/>
                <w:szCs w:val="18"/>
                <w:highlight w:val="none"/>
              </w:rPr>
              <w:t xml:space="preserve">（</w:t>
            </w:r>
            <w:r>
              <w:rPr>
                <w:rFonts w:ascii="宋体" w:hAnsi="宋体" w:cs="宋体"/>
                <w:spacing w:val="1"/>
                <w:position w:val="1"/>
                <w:sz w:val="18"/>
                <w:szCs w:val="18"/>
                <w:highlight w:val="none"/>
              </w:rPr>
              <w:t xml:space="preserve">采购人公章）</w:t>
            </w:r>
            <w:r/>
          </w:p>
        </w:tc>
      </w:tr>
      <w:tr>
        <w:trPr>
          <w:trHeight w:val="1203"/>
        </w:trPr>
        <w:tc>
          <w:tcPr>
            <w:gridSpan w:val="9"/>
            <w:tcW w:w="9178" w:type="dxa"/>
            <w:textDirection w:val="lrTb"/>
            <w:noWrap w:val="false"/>
          </w:tcPr>
          <w:p>
            <w:pPr>
              <w:spacing w:before="299" w:line="207" w:lineRule="auto"/>
              <w:rPr>
                <w:rFonts w:ascii="宋体" w:hAnsi="宋体" w:cs="宋体"/>
                <w:sz w:val="18"/>
                <w:szCs w:val="18"/>
                <w:highlight w:val="none"/>
              </w:rPr>
            </w:pPr>
            <w:r>
              <w:rPr>
                <w:rFonts w:ascii="宋体" w:hAnsi="宋体" w:cs="宋体"/>
                <w:spacing w:val="-2"/>
                <w:sz w:val="18"/>
                <w:szCs w:val="18"/>
                <w:highlight w:val="none"/>
              </w:rPr>
              <w:t xml:space="preserve">供应商确认：</w:t>
            </w:r>
            <w:r/>
          </w:p>
          <w:p>
            <w:pPr>
              <w:spacing w:before="59" w:line="239" w:lineRule="exact"/>
              <w:rPr>
                <w:rFonts w:ascii="宋体" w:hAnsi="宋体" w:cs="宋体"/>
                <w:sz w:val="18"/>
                <w:szCs w:val="18"/>
                <w:highlight w:val="none"/>
              </w:rPr>
            </w:pPr>
            <w:r>
              <w:rPr>
                <w:rFonts w:ascii="宋体" w:hAnsi="宋体" w:cs="宋体"/>
                <w:spacing w:val="-1"/>
                <w:position w:val="1"/>
                <w:sz w:val="18"/>
                <w:szCs w:val="18"/>
                <w:highlight w:val="none"/>
              </w:rPr>
              <w:t xml:space="preserve">（单位公章或授权代表签字）</w:t>
            </w:r>
            <w:r/>
          </w:p>
        </w:tc>
      </w:tr>
    </w:tbl>
    <w:p>
      <w:pPr>
        <w:ind w:left="168"/>
        <w:spacing w:before="297" w:line="211" w:lineRule="auto"/>
        <w:rPr>
          <w:rFonts w:ascii="宋体" w:hAnsi="宋体" w:cs="宋体"/>
          <w:sz w:val="18"/>
          <w:szCs w:val="18"/>
          <w:highlight w:val="none"/>
        </w:rPr>
      </w:pPr>
      <w:r>
        <w:rPr>
          <w:rFonts w:ascii="宋体" w:hAnsi="宋体" w:cs="宋体"/>
          <w:sz w:val="18"/>
          <w:szCs w:val="18"/>
          <w:highlight w:val="none"/>
        </w:rPr>
        <w:t xml:space="preserve">说明: 1.该表为货物类项目履约验收的参考样表，采购人或采购代理机构可以</w:t>
      </w:r>
      <w:r>
        <w:rPr>
          <w:rFonts w:ascii="宋体" w:hAnsi="宋体" w:cs="宋体"/>
          <w:spacing w:val="-1"/>
          <w:sz w:val="18"/>
          <w:szCs w:val="18"/>
          <w:highlight w:val="none"/>
        </w:rPr>
        <w:t xml:space="preserve">根据工作实际进行调整。</w:t>
      </w:r>
      <w:r/>
    </w:p>
    <w:p>
      <w:pPr>
        <w:ind w:left="708"/>
        <w:spacing w:before="58" w:line="211" w:lineRule="auto"/>
        <w:rPr>
          <w:rFonts w:ascii="宋体" w:hAnsi="宋体" w:cs="宋体"/>
          <w:sz w:val="18"/>
          <w:szCs w:val="18"/>
          <w:highlight w:val="none"/>
        </w:rPr>
      </w:pPr>
      <w:r>
        <w:rPr>
          <w:rFonts w:ascii="宋体" w:hAnsi="宋体" w:cs="宋体"/>
          <w:sz w:val="18"/>
          <w:szCs w:val="18"/>
          <w:highlight w:val="none"/>
        </w:rPr>
        <w:t xml:space="preserve">2.未委托采购代理机构开展履约验收工作的，无需填写“</w:t>
      </w:r>
      <w:r>
        <w:rPr>
          <w:rFonts w:ascii="宋体" w:hAnsi="宋体" w:cs="宋体"/>
          <w:spacing w:val="-1"/>
          <w:sz w:val="18"/>
          <w:szCs w:val="18"/>
          <w:highlight w:val="none"/>
        </w:rPr>
        <w:t xml:space="preserve">采购代理机构意见</w:t>
      </w:r>
      <w:r>
        <w:rPr>
          <w:rFonts w:ascii="宋体" w:hAnsi="宋体" w:cs="宋体"/>
          <w:spacing w:val="-66"/>
          <w:sz w:val="18"/>
          <w:szCs w:val="18"/>
          <w:highlight w:val="none"/>
        </w:rPr>
        <w:t xml:space="preserve"> </w:t>
      </w:r>
      <w:r>
        <w:rPr>
          <w:rFonts w:ascii="宋体" w:hAnsi="宋体" w:cs="宋体"/>
          <w:spacing w:val="-1"/>
          <w:sz w:val="18"/>
          <w:szCs w:val="18"/>
          <w:highlight w:val="none"/>
        </w:rPr>
        <w:t xml:space="preserve">”。</w:t>
      </w:r>
      <w:r/>
    </w:p>
    <w:p>
      <w:pPr>
        <w:spacing w:after="160" w:line="400" w:lineRule="exact"/>
        <w:rPr>
          <w:rFonts w:ascii="宋体" w:hAnsi="宋体" w:cs="宋体"/>
          <w:b/>
          <w:bCs/>
          <w:sz w:val="28"/>
          <w:szCs w:val="28"/>
          <w:highlight w:val="none"/>
        </w:rPr>
      </w:pPr>
      <w:r>
        <w:rPr>
          <w:rFonts w:ascii="宋体" w:hAnsi="宋体" w:cs="宋体"/>
          <w:b/>
          <w:bCs/>
          <w:sz w:val="28"/>
          <w:szCs w:val="28"/>
          <w:highlight w:val="none"/>
        </w:rPr>
      </w:r>
      <w:r/>
    </w:p>
    <w:p>
      <w:pPr>
        <w:pStyle w:val="913"/>
        <w:jc w:val="center"/>
        <w:rPr>
          <w:rFonts w:ascii="宋体" w:hAnsi="宋体" w:eastAsia="宋体" w:cs="宋体"/>
          <w:b/>
          <w:bCs/>
          <w:spacing w:val="-20"/>
          <w:sz w:val="48"/>
          <w:szCs w:val="48"/>
          <w:highlight w:val="none"/>
        </w:rPr>
      </w:pPr>
      <w:r>
        <w:rPr>
          <w:rFonts w:hint="eastAsia" w:ascii="宋体" w:hAnsi="宋体" w:eastAsia="宋体" w:cs="宋体"/>
          <w:sz w:val="24"/>
          <w:highlight w:val="none"/>
        </w:rPr>
        <w:t xml:space="preserve"> </w:t>
      </w:r>
      <w:bookmarkStart w:id="5" w:name="_Toc3995"/>
      <w:r/>
      <w:r/>
    </w:p>
    <w:p>
      <w:pPr>
        <w:pStyle w:val="913"/>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pStyle w:val="913"/>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pStyle w:val="913"/>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bookmarkEnd w:id="5"/>
      <w:r/>
    </w:p>
    <w:p>
      <w:pPr>
        <w:jc w:val="cente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（全文完）</w:t>
      </w:r>
      <w:r/>
    </w:p>
    <w:p>
      <w:pPr>
        <w:spacing w:line="500" w:lineRule="exact"/>
        <w:rPr>
          <w:rFonts w:ascii="宋体" w:hAnsi="宋体" w:cs="宋体"/>
          <w:sz w:val="24"/>
          <w:highlight w:val="none"/>
        </w:rPr>
      </w:pPr>
      <w:r>
        <w:rPr>
          <w:rFonts w:ascii="宋体" w:hAnsi="宋体" w:cs="宋体"/>
          <w:sz w:val="24"/>
          <w:highlight w:val="none"/>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华文中宋">
    <w:panose1 w:val="02010600040101010101"/>
  </w:font>
  <w:font w:name="黑体">
    <w:panose1 w:val="02010609060101010101"/>
  </w:font>
  <w:font w:name="仿宋">
    <w:panose1 w:val="02010609060101010101"/>
  </w:font>
  <w:font w:name="华文楷体">
    <w:panose1 w:val="02010600040101010101"/>
  </w:font>
  <w:font w:name="Wingdings">
    <w:panose1 w:val="05000000000000000000"/>
  </w:font>
  <w:font w:name="Courier New">
    <w:panose1 w:val="02070309020205020404"/>
  </w:font>
  <w:font w:name="汉仪书宋二S">
    <w:panose1 w:val="020B0503020202020204"/>
  </w:font>
  <w:font w:name="Tahoma">
    <w:panose1 w:val="020B060403050404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7621" cy="325561"/>
                      </a:xfrm>
                      <a:prstGeom prst="rect">
                        <a:avLst/>
                      </a:prstGeom>
                      <a:noFill/>
                      <a:ln>
                        <a:noFill/>
                      </a:ln>
                    </wps:spPr>
                    <wps:txbx>
                      <w:txbxContent>
                        <w:p>
                          <w:pPr>
                            <w:pStyle w:val="919"/>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919"/>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7"/>
  </w:num>
  <w:num w:numId="3">
    <w:abstractNumId w:val="7"/>
  </w:num>
  <w:num w:numId="4">
    <w:abstractNumId w:val="29"/>
  </w:num>
  <w:num w:numId="5">
    <w:abstractNumId w:val="5"/>
  </w:num>
  <w:num w:numId="6">
    <w:abstractNumId w:val="4"/>
  </w:num>
  <w:num w:numId="7">
    <w:abstractNumId w:val="14"/>
  </w:num>
  <w:num w:numId="8">
    <w:abstractNumId w:val="19"/>
  </w:num>
  <w:num w:numId="9">
    <w:abstractNumId w:val="35"/>
  </w:num>
  <w:num w:numId="10">
    <w:abstractNumId w:val="12"/>
  </w:num>
  <w:num w:numId="11">
    <w:abstractNumId w:val="1"/>
  </w:num>
  <w:num w:numId="12">
    <w:abstractNumId w:val="20"/>
  </w:num>
  <w:num w:numId="13">
    <w:abstractNumId w:val="30"/>
  </w:num>
  <w:num w:numId="14">
    <w:abstractNumId w:val="6"/>
  </w:num>
  <w:num w:numId="15">
    <w:abstractNumId w:val="28"/>
  </w:num>
  <w:num w:numId="16">
    <w:abstractNumId w:val="11"/>
  </w:num>
  <w:num w:numId="17">
    <w:abstractNumId w:val="18"/>
  </w:num>
  <w:num w:numId="18">
    <w:abstractNumId w:val="10"/>
  </w:num>
  <w:num w:numId="19">
    <w:abstractNumId w:val="8"/>
  </w:num>
  <w:num w:numId="20">
    <w:abstractNumId w:val="2"/>
  </w:num>
  <w:num w:numId="21">
    <w:abstractNumId w:val="27"/>
  </w:num>
  <w:num w:numId="22">
    <w:abstractNumId w:val="32"/>
  </w:num>
  <w:num w:numId="23">
    <w:abstractNumId w:val="15"/>
  </w:num>
  <w:num w:numId="24">
    <w:abstractNumId w:val="26"/>
  </w:num>
  <w:num w:numId="25">
    <w:abstractNumId w:val="3"/>
  </w:num>
  <w:num w:numId="26">
    <w:abstractNumId w:val="37"/>
  </w:num>
  <w:num w:numId="27">
    <w:abstractNumId w:val="36"/>
  </w:num>
  <w:num w:numId="28">
    <w:abstractNumId w:val="0"/>
  </w:num>
  <w:num w:numId="29">
    <w:abstractNumId w:val="33"/>
  </w:num>
  <w:num w:numId="30">
    <w:abstractNumId w:val="9"/>
  </w:num>
  <w:num w:numId="31">
    <w:abstractNumId w:val="34"/>
  </w:num>
  <w:num w:numId="32">
    <w:abstractNumId w:val="23"/>
  </w:num>
  <w:num w:numId="33">
    <w:abstractNumId w:val="24"/>
  </w:num>
  <w:num w:numId="34">
    <w:abstractNumId w:val="25"/>
  </w:num>
  <w:num w:numId="35">
    <w:abstractNumId w:val="22"/>
  </w:num>
  <w:num w:numId="36">
    <w:abstractNumId w:val="21"/>
  </w:num>
  <w:num w:numId="37">
    <w:abstractNumId w:val="31"/>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8"/>
    <w:link w:val="719"/>
    <w:uiPriority w:val="9"/>
    <w:rPr>
      <w:rFonts w:ascii="Arial" w:hAnsi="Arial" w:eastAsia="Arial" w:cs="Arial"/>
      <w:sz w:val="40"/>
      <w:szCs w:val="40"/>
    </w:rPr>
  </w:style>
  <w:style w:type="character" w:styleId="15">
    <w:name w:val="Heading 2 Char"/>
    <w:basedOn w:val="728"/>
    <w:link w:val="720"/>
    <w:uiPriority w:val="9"/>
    <w:rPr>
      <w:rFonts w:ascii="Arial" w:hAnsi="Arial" w:eastAsia="Arial" w:cs="Arial"/>
      <w:sz w:val="34"/>
    </w:rPr>
  </w:style>
  <w:style w:type="character" w:styleId="17">
    <w:name w:val="Heading 3 Char"/>
    <w:basedOn w:val="728"/>
    <w:link w:val="721"/>
    <w:uiPriority w:val="9"/>
    <w:rPr>
      <w:rFonts w:ascii="Arial" w:hAnsi="Arial" w:eastAsia="Arial" w:cs="Arial"/>
      <w:sz w:val="30"/>
      <w:szCs w:val="30"/>
    </w:rPr>
  </w:style>
  <w:style w:type="character" w:styleId="19">
    <w:name w:val="Heading 4 Char"/>
    <w:basedOn w:val="728"/>
    <w:link w:val="722"/>
    <w:uiPriority w:val="9"/>
    <w:rPr>
      <w:rFonts w:ascii="Arial" w:hAnsi="Arial" w:eastAsia="Arial" w:cs="Arial"/>
      <w:b/>
      <w:bCs/>
      <w:sz w:val="26"/>
      <w:szCs w:val="26"/>
    </w:rPr>
  </w:style>
  <w:style w:type="character" w:styleId="21">
    <w:name w:val="Heading 5 Char"/>
    <w:basedOn w:val="728"/>
    <w:link w:val="723"/>
    <w:uiPriority w:val="9"/>
    <w:rPr>
      <w:rFonts w:ascii="Arial" w:hAnsi="Arial" w:eastAsia="Arial" w:cs="Arial"/>
      <w:b/>
      <w:bCs/>
      <w:sz w:val="24"/>
      <w:szCs w:val="24"/>
    </w:rPr>
  </w:style>
  <w:style w:type="character" w:styleId="23">
    <w:name w:val="Heading 6 Char"/>
    <w:basedOn w:val="728"/>
    <w:link w:val="724"/>
    <w:uiPriority w:val="9"/>
    <w:rPr>
      <w:rFonts w:ascii="Arial" w:hAnsi="Arial" w:eastAsia="Arial" w:cs="Arial"/>
      <w:b/>
      <w:bCs/>
      <w:sz w:val="22"/>
      <w:szCs w:val="22"/>
    </w:rPr>
  </w:style>
  <w:style w:type="character" w:styleId="25">
    <w:name w:val="Heading 7 Char"/>
    <w:basedOn w:val="728"/>
    <w:link w:val="725"/>
    <w:uiPriority w:val="9"/>
    <w:rPr>
      <w:rFonts w:ascii="Arial" w:hAnsi="Arial" w:eastAsia="Arial" w:cs="Arial"/>
      <w:b/>
      <w:bCs/>
      <w:i/>
      <w:iCs/>
      <w:sz w:val="22"/>
      <w:szCs w:val="22"/>
    </w:rPr>
  </w:style>
  <w:style w:type="character" w:styleId="27">
    <w:name w:val="Heading 8 Char"/>
    <w:basedOn w:val="728"/>
    <w:link w:val="726"/>
    <w:uiPriority w:val="9"/>
    <w:rPr>
      <w:rFonts w:ascii="Arial" w:hAnsi="Arial" w:eastAsia="Arial" w:cs="Arial"/>
      <w:i/>
      <w:iCs/>
      <w:sz w:val="22"/>
      <w:szCs w:val="22"/>
    </w:rPr>
  </w:style>
  <w:style w:type="character" w:styleId="29">
    <w:name w:val="Heading 9 Char"/>
    <w:basedOn w:val="728"/>
    <w:link w:val="727"/>
    <w:uiPriority w:val="9"/>
    <w:rPr>
      <w:rFonts w:ascii="Arial" w:hAnsi="Arial" w:eastAsia="Arial" w:cs="Arial"/>
      <w:i/>
      <w:iCs/>
      <w:sz w:val="21"/>
      <w:szCs w:val="21"/>
    </w:rPr>
  </w:style>
  <w:style w:type="character" w:styleId="34">
    <w:name w:val="Title Char"/>
    <w:basedOn w:val="728"/>
    <w:link w:val="751"/>
    <w:uiPriority w:val="10"/>
    <w:rPr>
      <w:sz w:val="48"/>
      <w:szCs w:val="48"/>
    </w:rPr>
  </w:style>
  <w:style w:type="character" w:styleId="36">
    <w:name w:val="Subtitle Char"/>
    <w:basedOn w:val="728"/>
    <w:link w:val="744"/>
    <w:uiPriority w:val="11"/>
    <w:rPr>
      <w:sz w:val="24"/>
      <w:szCs w:val="24"/>
    </w:rPr>
  </w:style>
  <w:style w:type="character" w:styleId="38">
    <w:name w:val="Quote Char"/>
    <w:link w:val="772"/>
    <w:uiPriority w:val="29"/>
    <w:rPr>
      <w:i/>
    </w:rPr>
  </w:style>
  <w:style w:type="character" w:styleId="40">
    <w:name w:val="Intense Quote Char"/>
    <w:link w:val="774"/>
    <w:uiPriority w:val="30"/>
    <w:rPr>
      <w:i/>
    </w:rPr>
  </w:style>
  <w:style w:type="character" w:styleId="42">
    <w:name w:val="Header Char"/>
    <w:basedOn w:val="728"/>
    <w:link w:val="741"/>
    <w:uiPriority w:val="99"/>
  </w:style>
  <w:style w:type="character" w:styleId="46">
    <w:name w:val="Caption Char"/>
    <w:basedOn w:val="731"/>
    <w:link w:val="740"/>
    <w:uiPriority w:val="99"/>
  </w:style>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5"/>
    <w:uiPriority w:val="99"/>
    <w:rPr>
      <w:sz w:val="18"/>
    </w:rPr>
  </w:style>
  <w:style w:type="character" w:styleId="178">
    <w:name w:val="Endnote Text Char"/>
    <w:link w:val="739"/>
    <w:uiPriority w:val="99"/>
    <w:rPr>
      <w:sz w:val="20"/>
    </w:rPr>
  </w:style>
  <w:style w:type="paragraph" w:styleId="189">
    <w:name w:val="TOC Heading"/>
    <w:uiPriority w:val="39"/>
    <w:unhideWhenUsed/>
  </w:style>
  <w:style w:type="paragraph" w:styleId="71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19">
    <w:name w:val="Heading 1"/>
    <w:basedOn w:val="718"/>
    <w:next w:val="718"/>
    <w:link w:val="759"/>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60"/>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61"/>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62"/>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3"/>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764"/>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6"/>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7"/>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Document Map"/>
    <w:basedOn w:val="718"/>
    <w:uiPriority w:val="0"/>
    <w:qFormat/>
    <w:pPr>
      <w:spacing w:after="200" w:line="276" w:lineRule="auto"/>
    </w:pPr>
    <w:rPr>
      <w:rFonts w:eastAsiaTheme="minorHAnsi"/>
      <w:szCs w:val="20"/>
      <w:lang w:eastAsia="en-US"/>
    </w:rPr>
  </w:style>
  <w:style w:type="paragraph" w:styleId="733">
    <w:name w:val="annotation text"/>
    <w:basedOn w:val="718"/>
    <w:uiPriority w:val="99"/>
    <w:semiHidden/>
    <w:unhideWhenUsed/>
    <w:qFormat/>
    <w:pPr>
      <w:jc w:val="left"/>
    </w:pPr>
  </w:style>
  <w:style w:type="paragraph" w:styleId="734">
    <w:name w:val="Body Text"/>
    <w:basedOn w:val="718"/>
    <w:next w:val="718"/>
    <w:uiPriority w:val="99"/>
    <w:qFormat/>
    <w:pPr>
      <w:jc w:val="left"/>
      <w:spacing w:after="200" w:line="276" w:lineRule="auto"/>
      <w:widowControl/>
    </w:pPr>
    <w:rPr>
      <w:rFonts w:ascii="楷体_GB2312" w:hAnsi="Arial" w:eastAsia="楷体_GB2312"/>
      <w:sz w:val="28"/>
      <w:lang w:eastAsia="en-US"/>
    </w:rPr>
  </w:style>
  <w:style w:type="paragraph" w:styleId="735">
    <w:name w:val="Body Text Indent"/>
    <w:basedOn w:val="718"/>
    <w:next w:val="718"/>
    <w:uiPriority w:val="0"/>
    <w:qFormat/>
    <w:pPr>
      <w:ind w:firstLine="574"/>
      <w:spacing w:line="312" w:lineRule="atLeast"/>
    </w:pPr>
    <w:rPr>
      <w:rFonts w:ascii="宋体"/>
      <w:sz w:val="28"/>
    </w:rPr>
  </w:style>
  <w:style w:type="paragraph" w:styleId="736">
    <w:name w:val="toc 5"/>
    <w:basedOn w:val="718"/>
    <w:next w:val="718"/>
    <w:uiPriority w:val="39"/>
    <w:unhideWhenUsed/>
    <w:qFormat/>
    <w:pPr>
      <w:ind w:left="1134"/>
      <w:spacing w:after="57"/>
    </w:pPr>
  </w:style>
  <w:style w:type="paragraph" w:styleId="737">
    <w:name w:val="toc 3"/>
    <w:basedOn w:val="718"/>
    <w:next w:val="718"/>
    <w:uiPriority w:val="39"/>
    <w:unhideWhenUsed/>
    <w:qFormat/>
    <w:pPr>
      <w:ind w:left="567"/>
      <w:spacing w:after="57"/>
    </w:pPr>
  </w:style>
  <w:style w:type="paragraph" w:styleId="738">
    <w:name w:val="toc 8"/>
    <w:basedOn w:val="718"/>
    <w:next w:val="718"/>
    <w:uiPriority w:val="39"/>
    <w:unhideWhenUsed/>
    <w:qFormat/>
    <w:pPr>
      <w:ind w:left="1984"/>
      <w:spacing w:after="57"/>
    </w:pPr>
  </w:style>
  <w:style w:type="paragraph" w:styleId="739">
    <w:name w:val="endnote text"/>
    <w:basedOn w:val="718"/>
    <w:link w:val="905"/>
    <w:uiPriority w:val="99"/>
    <w:semiHidden/>
    <w:unhideWhenUsed/>
    <w:qFormat/>
    <w:rPr>
      <w:sz w:val="20"/>
    </w:rPr>
  </w:style>
  <w:style w:type="paragraph" w:styleId="740">
    <w:name w:val="Footer"/>
    <w:basedOn w:val="718"/>
    <w:link w:val="778"/>
    <w:uiPriority w:val="99"/>
    <w:unhideWhenUsed/>
    <w:qFormat/>
    <w:pPr>
      <w:tabs>
        <w:tab w:val="center" w:pos="7143" w:leader="none"/>
        <w:tab w:val="right" w:pos="14287" w:leader="none"/>
      </w:tabs>
    </w:pPr>
  </w:style>
  <w:style w:type="paragraph" w:styleId="741">
    <w:name w:val="Header"/>
    <w:basedOn w:val="718"/>
    <w:link w:val="776"/>
    <w:uiPriority w:val="99"/>
    <w:unhideWhenUsed/>
    <w:qFormat/>
    <w:pPr>
      <w:tabs>
        <w:tab w:val="center" w:pos="7143" w:leader="none"/>
        <w:tab w:val="right" w:pos="14287" w:leader="none"/>
      </w:tabs>
    </w:p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771"/>
    <w:uiPriority w:val="11"/>
    <w:qFormat/>
    <w:pPr>
      <w:spacing w:before="200" w:after="200"/>
    </w:pPr>
    <w:rPr>
      <w:sz w:val="24"/>
    </w:rPr>
  </w:style>
  <w:style w:type="paragraph" w:styleId="745">
    <w:name w:val="footnote text"/>
    <w:basedOn w:val="718"/>
    <w:link w:val="904"/>
    <w:uiPriority w:val="99"/>
    <w:semiHidden/>
    <w:unhideWhenUsed/>
    <w:qFormat/>
    <w:pPr>
      <w:spacing w:after="40"/>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style>
  <w:style w:type="paragraph" w:styleId="748">
    <w:name w:val="toc 2"/>
    <w:basedOn w:val="718"/>
    <w:next w:val="718"/>
    <w:uiPriority w:val="39"/>
    <w:unhideWhenUsed/>
    <w:qFormat/>
    <w:pPr>
      <w:ind w:left="283"/>
      <w:spacing w:after="57"/>
    </w:pPr>
  </w:style>
  <w:style w:type="paragraph" w:styleId="749">
    <w:name w:val="toc 9"/>
    <w:basedOn w:val="718"/>
    <w:next w:val="718"/>
    <w:uiPriority w:val="39"/>
    <w:unhideWhenUsed/>
    <w:qFormat/>
    <w:pPr>
      <w:ind w:left="2268"/>
      <w:spacing w:after="57"/>
    </w:pPr>
  </w:style>
  <w:style w:type="paragraph" w:styleId="750">
    <w:name w:val="Normal (Web)"/>
    <w:basedOn w:val="718"/>
    <w:uiPriority w:val="0"/>
    <w:qFormat/>
    <w:pPr>
      <w:spacing w:after="200" w:line="276" w:lineRule="auto"/>
    </w:pPr>
    <w:rPr>
      <w:rFonts w:eastAsiaTheme="minorHAnsi"/>
      <w:sz w:val="22"/>
      <w:szCs w:val="20"/>
      <w:lang w:eastAsia="en-US"/>
    </w:rPr>
  </w:style>
  <w:style w:type="paragraph" w:styleId="751">
    <w:name w:val="Title"/>
    <w:basedOn w:val="718"/>
    <w:next w:val="718"/>
    <w:link w:val="770"/>
    <w:uiPriority w:val="10"/>
    <w:qFormat/>
    <w:pPr>
      <w:contextualSpacing/>
      <w:spacing w:before="300" w:after="200"/>
    </w:pPr>
    <w:rPr>
      <w:sz w:val="48"/>
      <w:szCs w:val="48"/>
    </w:rPr>
  </w:style>
  <w:style w:type="paragraph" w:styleId="752">
    <w:name w:val="Body Text First Indent"/>
    <w:basedOn w:val="718"/>
    <w:next w:val="718"/>
    <w:uiPriority w:val="0"/>
    <w:qFormat/>
    <w:pPr>
      <w:ind w:firstLine="420"/>
      <w:spacing w:after="120"/>
    </w:pPr>
    <w:rPr>
      <w:rFonts w:ascii="Tahoma" w:hAnsi="Tahoma" w:eastAsia="Times New Roman"/>
    </w:rPr>
  </w:style>
  <w:style w:type="paragraph" w:styleId="753">
    <w:name w:val="Body Text First Indent 2"/>
    <w:basedOn w:val="735"/>
    <w:uiPriority w:val="99"/>
    <w:unhideWhenUsed/>
    <w:qFormat/>
    <w:pPr>
      <w:ind w:firstLine="420"/>
      <w:jc w:val="left"/>
      <w:widowControl/>
    </w:pPr>
    <w:rPr>
      <w:rFonts w:ascii="Times New Roman" w:eastAsiaTheme="minorHAnsi"/>
      <w:sz w:val="24"/>
      <w:lang w:eastAsia="en-US"/>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8"/>
    <w:uiPriority w:val="0"/>
    <w:qFormat/>
    <w:rPr>
      <w:b/>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character" w:styleId="759" w:customStyle="1">
    <w:name w:val="标题 1 Char"/>
    <w:link w:val="719"/>
    <w:uiPriority w:val="9"/>
    <w:qFormat/>
    <w:rPr>
      <w:rFonts w:ascii="Arial" w:hAnsi="Arial" w:eastAsia="Arial" w:cs="Arial"/>
      <w:sz w:val="40"/>
      <w:szCs w:val="40"/>
    </w:rPr>
  </w:style>
  <w:style w:type="character" w:styleId="760" w:customStyle="1">
    <w:name w:val="标题 2 Char"/>
    <w:link w:val="720"/>
    <w:uiPriority w:val="9"/>
    <w:qFormat/>
    <w:rPr>
      <w:rFonts w:ascii="Arial" w:hAnsi="Arial" w:eastAsia="Arial" w:cs="Arial"/>
      <w:sz w:val="34"/>
    </w:rPr>
  </w:style>
  <w:style w:type="character" w:styleId="761" w:customStyle="1">
    <w:name w:val="标题 3 Char"/>
    <w:link w:val="721"/>
    <w:uiPriority w:val="9"/>
    <w:qFormat/>
    <w:rPr>
      <w:rFonts w:ascii="Arial" w:hAnsi="Arial" w:eastAsia="Arial" w:cs="Arial"/>
      <w:sz w:val="30"/>
      <w:szCs w:val="30"/>
    </w:rPr>
  </w:style>
  <w:style w:type="character" w:styleId="762" w:customStyle="1">
    <w:name w:val="标题 4 Char"/>
    <w:link w:val="722"/>
    <w:uiPriority w:val="9"/>
    <w:qFormat/>
    <w:rPr>
      <w:rFonts w:ascii="Arial" w:hAnsi="Arial" w:eastAsia="Arial" w:cs="Arial"/>
      <w:b/>
      <w:bCs/>
      <w:sz w:val="26"/>
      <w:szCs w:val="26"/>
    </w:rPr>
  </w:style>
  <w:style w:type="character" w:styleId="763" w:customStyle="1">
    <w:name w:val="标题 5 Char"/>
    <w:link w:val="723"/>
    <w:uiPriority w:val="9"/>
    <w:qFormat/>
    <w:rPr>
      <w:rFonts w:ascii="Arial" w:hAnsi="Arial" w:eastAsia="Arial" w:cs="Arial"/>
      <w:b/>
      <w:bCs/>
      <w:sz w:val="24"/>
      <w:szCs w:val="24"/>
    </w:rPr>
  </w:style>
  <w:style w:type="character" w:styleId="764" w:customStyle="1">
    <w:name w:val="标题 6 Char"/>
    <w:link w:val="724"/>
    <w:uiPriority w:val="9"/>
    <w:qFormat/>
    <w:rPr>
      <w:rFonts w:ascii="Arial" w:hAnsi="Arial" w:eastAsia="Arial" w:cs="Arial"/>
      <w:b/>
      <w:bCs/>
      <w:sz w:val="22"/>
      <w:szCs w:val="22"/>
    </w:rPr>
  </w:style>
  <w:style w:type="character" w:styleId="765" w:customStyle="1">
    <w:name w:val="标题 7 Char"/>
    <w:link w:val="725"/>
    <w:uiPriority w:val="9"/>
    <w:qFormat/>
    <w:rPr>
      <w:rFonts w:ascii="Arial" w:hAnsi="Arial" w:eastAsia="Arial" w:cs="Arial"/>
      <w:b/>
      <w:bCs/>
      <w:i/>
      <w:iCs/>
      <w:sz w:val="22"/>
      <w:szCs w:val="22"/>
    </w:rPr>
  </w:style>
  <w:style w:type="character" w:styleId="766" w:customStyle="1">
    <w:name w:val="标题 8 Char"/>
    <w:link w:val="726"/>
    <w:uiPriority w:val="9"/>
    <w:qFormat/>
    <w:rPr>
      <w:rFonts w:ascii="Arial" w:hAnsi="Arial" w:eastAsia="Arial" w:cs="Arial"/>
      <w:i/>
      <w:iCs/>
      <w:sz w:val="22"/>
      <w:szCs w:val="22"/>
    </w:rPr>
  </w:style>
  <w:style w:type="character" w:styleId="767" w:customStyle="1">
    <w:name w:val="标题 9 Char"/>
    <w:link w:val="727"/>
    <w:uiPriority w:val="9"/>
    <w:qFormat/>
    <w:rPr>
      <w:rFonts w:ascii="Arial" w:hAnsi="Arial" w:eastAsia="Arial" w:cs="Arial"/>
      <w:i/>
      <w:iCs/>
      <w:sz w:val="21"/>
      <w:szCs w:val="21"/>
    </w:rPr>
  </w:style>
  <w:style w:type="paragraph" w:styleId="768">
    <w:name w:val="List Paragraph"/>
    <w:basedOn w:val="718"/>
    <w:uiPriority w:val="34"/>
    <w:qFormat/>
    <w:pPr>
      <w:contextualSpacing/>
      <w:ind w:left="720"/>
    </w:pPr>
  </w:style>
  <w:style w:type="paragraph" w:styleId="769">
    <w:name w:val="No Spacing"/>
    <w:basedOn w:val="718"/>
    <w:uiPriority w:val="1"/>
    <w:qFormat/>
    <w:rPr>
      <w:rFonts w:ascii="Times New Roman" w:hAnsi="Times New Roman"/>
    </w:rPr>
  </w:style>
  <w:style w:type="character" w:styleId="770" w:customStyle="1">
    <w:name w:val="标题 Char"/>
    <w:link w:val="751"/>
    <w:uiPriority w:val="10"/>
    <w:qFormat/>
    <w:rPr>
      <w:sz w:val="48"/>
      <w:szCs w:val="48"/>
    </w:rPr>
  </w:style>
  <w:style w:type="character" w:styleId="771" w:customStyle="1">
    <w:name w:val="副标题 Char"/>
    <w:link w:val="744"/>
    <w:uiPriority w:val="11"/>
    <w:qFormat/>
    <w:rPr>
      <w:sz w:val="24"/>
      <w:szCs w:val="24"/>
    </w:rPr>
  </w:style>
  <w:style w:type="paragraph" w:styleId="772">
    <w:name w:val="Quote"/>
    <w:basedOn w:val="718"/>
    <w:next w:val="718"/>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718"/>
    <w:next w:val="718"/>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页眉 Char1"/>
    <w:link w:val="741"/>
    <w:uiPriority w:val="99"/>
    <w:qFormat/>
  </w:style>
  <w:style w:type="character" w:styleId="777" w:customStyle="1">
    <w:name w:val="Footer Char"/>
    <w:uiPriority w:val="99"/>
    <w:qFormat/>
  </w:style>
  <w:style w:type="character" w:styleId="778" w:customStyle="1">
    <w:name w:val="页脚 Char"/>
    <w:link w:val="740"/>
    <w:uiPriority w:val="99"/>
    <w:qFormat/>
  </w:style>
  <w:style w:type="table" w:styleId="7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Char"/>
    <w:link w:val="745"/>
    <w:uiPriority w:val="99"/>
    <w:qFormat/>
    <w:rPr>
      <w:sz w:val="18"/>
    </w:rPr>
  </w:style>
  <w:style w:type="character" w:styleId="905" w:customStyle="1">
    <w:name w:val="尾注文本 Char"/>
    <w:link w:val="739"/>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标题 21"/>
    <w:basedOn w:val="718"/>
    <w:next w:val="718"/>
    <w:uiPriority w:val="9"/>
    <w:qFormat/>
    <w:pPr>
      <w:keepLines/>
      <w:keepNext/>
      <w:spacing w:before="360"/>
      <w:outlineLvl w:val="1"/>
    </w:pPr>
    <w:rPr>
      <w:sz w:val="34"/>
      <w:szCs w:val="20"/>
    </w:rPr>
  </w:style>
  <w:style w:type="paragraph" w:styleId="908" w:customStyle="1">
    <w:name w:val="标题 41"/>
    <w:basedOn w:val="718"/>
    <w:next w:val="718"/>
    <w:uiPriority w:val="9"/>
    <w:unhideWhenUsed/>
    <w:qFormat/>
    <w:pPr>
      <w:keepLines/>
      <w:keepNext/>
      <w:spacing w:before="320" w:after="200"/>
      <w:outlineLvl w:val="3"/>
    </w:pPr>
    <w:rPr>
      <w:rFonts w:ascii="Arial" w:hAnsi="Arial" w:eastAsia="Arial" w:cs="Arial"/>
      <w:b/>
      <w:bCs/>
      <w:sz w:val="26"/>
      <w:szCs w:val="26"/>
    </w:rPr>
  </w:style>
  <w:style w:type="character" w:styleId="909" w:customStyle="1">
    <w:name w:val="默认段落字体1"/>
    <w:uiPriority w:val="0"/>
    <w:semiHidden/>
    <w:qFormat/>
  </w:style>
  <w:style w:type="table" w:styleId="910" w:customStyle="1">
    <w:name w:val="普通表格1"/>
    <w:uiPriority w:val="0"/>
    <w:semiHidden/>
    <w:qFormat/>
    <w:tblPr>
      <w:tblCellMar>
        <w:left w:w="0" w:type="dxa"/>
        <w:top w:w="0" w:type="dxa"/>
        <w:right w:w="0" w:type="dxa"/>
        <w:bottom w:w="0" w:type="dxa"/>
      </w:tblCellMar>
    </w:tblPr>
  </w:style>
  <w:style w:type="paragraph" w:styleId="911" w:customStyle="1">
    <w:name w:val="正文缩进1"/>
    <w:basedOn w:val="718"/>
    <w:uiPriority w:val="0"/>
    <w:qFormat/>
    <w:pPr>
      <w:ind w:firstLine="420"/>
    </w:pPr>
  </w:style>
  <w:style w:type="paragraph" w:styleId="912" w:customStyle="1">
    <w:name w:val="文档结构图1"/>
    <w:basedOn w:val="718"/>
    <w:next w:val="913"/>
    <w:uiPriority w:val="0"/>
    <w:qFormat/>
    <w:pPr>
      <w:spacing w:after="200" w:line="276" w:lineRule="auto"/>
    </w:pPr>
    <w:rPr>
      <w:rFonts w:eastAsia="Calibri"/>
      <w:szCs w:val="20"/>
      <w:lang w:eastAsia="en-US"/>
    </w:rPr>
  </w:style>
  <w:style w:type="paragraph" w:styleId="913" w:customStyle="1">
    <w:name w:val="正文文本1"/>
    <w:basedOn w:val="718"/>
    <w:next w:val="718"/>
    <w:uiPriority w:val="99"/>
    <w:qFormat/>
    <w:rPr>
      <w:rFonts w:ascii="楷体_GB2312" w:eastAsia="楷体_GB2312"/>
      <w:sz w:val="28"/>
    </w:rPr>
  </w:style>
  <w:style w:type="paragraph" w:styleId="914" w:customStyle="1">
    <w:name w:val="批注文字1"/>
    <w:basedOn w:val="718"/>
    <w:uiPriority w:val="99"/>
    <w:unhideWhenUsed/>
    <w:qFormat/>
    <w:pPr>
      <w:jc w:val="left"/>
    </w:pPr>
  </w:style>
  <w:style w:type="paragraph" w:styleId="915" w:customStyle="1">
    <w:name w:val="正文文本缩进1"/>
    <w:basedOn w:val="718"/>
    <w:next w:val="718"/>
    <w:uiPriority w:val="0"/>
    <w:qFormat/>
    <w:pPr>
      <w:ind w:firstLine="574"/>
      <w:spacing w:line="312" w:lineRule="atLeast"/>
    </w:pPr>
    <w:rPr>
      <w:rFonts w:ascii="宋体"/>
      <w:sz w:val="28"/>
    </w:rPr>
  </w:style>
  <w:style w:type="paragraph" w:styleId="916" w:customStyle="1">
    <w:name w:val="纯文本1"/>
    <w:basedOn w:val="718"/>
    <w:uiPriority w:val="0"/>
    <w:qFormat/>
    <w:rPr>
      <w:rFonts w:ascii="宋体" w:hAnsi="Courier New" w:cs="Courier New"/>
      <w:szCs w:val="21"/>
    </w:rPr>
  </w:style>
  <w:style w:type="paragraph" w:styleId="917" w:customStyle="1">
    <w:name w:val="批注框文本1"/>
    <w:basedOn w:val="718"/>
    <w:link w:val="918"/>
    <w:uiPriority w:val="0"/>
    <w:qFormat/>
    <w:rPr>
      <w:sz w:val="18"/>
      <w:szCs w:val="18"/>
    </w:rPr>
  </w:style>
  <w:style w:type="character" w:styleId="918" w:customStyle="1">
    <w:name w:val="批注框文本 Char"/>
    <w:link w:val="917"/>
    <w:uiPriority w:val="0"/>
    <w:qFormat/>
    <w:rPr>
      <w:rFonts w:ascii="Calibri" w:hAnsi="Calibri"/>
      <w:sz w:val="18"/>
      <w:szCs w:val="18"/>
    </w:rPr>
  </w:style>
  <w:style w:type="paragraph" w:styleId="919" w:customStyle="1">
    <w:name w:val="页脚1"/>
    <w:basedOn w:val="718"/>
    <w:uiPriority w:val="99"/>
    <w:unhideWhenUsed/>
    <w:qFormat/>
    <w:pPr>
      <w:tabs>
        <w:tab w:val="center" w:pos="7143" w:leader="none"/>
        <w:tab w:val="right" w:pos="14287" w:leader="none"/>
      </w:tabs>
    </w:pPr>
  </w:style>
  <w:style w:type="paragraph" w:styleId="920" w:customStyle="1">
    <w:name w:val="页眉1"/>
    <w:basedOn w:val="718"/>
    <w:link w:val="921"/>
    <w:uiPriority w:val="0"/>
    <w:qFormat/>
    <w:pPr>
      <w:jc w:val="center"/>
      <w:tabs>
        <w:tab w:val="center" w:pos="4153" w:leader="none"/>
        <w:tab w:val="right" w:pos="8306" w:leader="none"/>
      </w:tabs>
      <w:pBdr>
        <w:bottom w:val="single" w:color="000000" w:sz="6" w:space="1"/>
      </w:pBdr>
    </w:pPr>
    <w:rPr>
      <w:sz w:val="18"/>
      <w:szCs w:val="18"/>
    </w:rPr>
  </w:style>
  <w:style w:type="character" w:styleId="921" w:customStyle="1">
    <w:name w:val="页眉 Char"/>
    <w:link w:val="920"/>
    <w:uiPriority w:val="0"/>
    <w:qFormat/>
    <w:rPr>
      <w:rFonts w:ascii="Calibri" w:hAnsi="Calibri"/>
      <w:sz w:val="18"/>
      <w:szCs w:val="18"/>
    </w:rPr>
  </w:style>
  <w:style w:type="paragraph" w:styleId="922" w:customStyle="1">
    <w:name w:val="普通(网站)1"/>
    <w:basedOn w:val="718"/>
    <w:uiPriority w:val="0"/>
    <w:qFormat/>
    <w:pPr>
      <w:spacing w:after="200" w:line="276" w:lineRule="auto"/>
    </w:pPr>
    <w:rPr>
      <w:rFonts w:eastAsia="Calibri"/>
      <w:sz w:val="22"/>
      <w:szCs w:val="20"/>
      <w:lang w:eastAsia="en-US"/>
    </w:rPr>
  </w:style>
  <w:style w:type="paragraph" w:styleId="923" w:customStyle="1">
    <w:name w:val="正文首行缩进 21"/>
    <w:basedOn w:val="915"/>
    <w:uiPriority w:val="99"/>
    <w:unhideWhenUsed/>
    <w:qFormat/>
    <w:pPr>
      <w:ind w:left="420" w:firstLine="420"/>
      <w:spacing w:after="120" w:line="240" w:lineRule="auto"/>
    </w:pPr>
    <w:rPr>
      <w:rFonts w:ascii="Times New Roman"/>
      <w:sz w:val="24"/>
    </w:rPr>
  </w:style>
  <w:style w:type="table" w:styleId="924" w:customStyle="1">
    <w:name w:val="网格型1"/>
    <w:basedOn w:val="910"/>
    <w:uiPriority w:val="59"/>
    <w:qFormat/>
    <w:pPr>
      <w:jc w:val="both"/>
      <w:widowControl w:val="off"/>
    </w:pPr>
    <w:tblPr/>
  </w:style>
  <w:style w:type="character" w:styleId="925" w:customStyle="1">
    <w:name w:val="要点1"/>
    <w:uiPriority w:val="0"/>
    <w:qFormat/>
    <w:rPr>
      <w:b/>
    </w:rPr>
  </w:style>
  <w:style w:type="character" w:styleId="926" w:customStyle="1">
    <w:name w:val="font41"/>
    <w:uiPriority w:val="0"/>
    <w:qFormat/>
    <w:rPr>
      <w:rFonts w:hint="eastAsia" w:ascii="宋体" w:hAnsi="宋体" w:eastAsia="宋体" w:cs="宋体"/>
      <w:color w:val="000000"/>
      <w:sz w:val="32"/>
      <w:szCs w:val="32"/>
      <w:u w:val="none"/>
    </w:rPr>
  </w:style>
  <w:style w:type="paragraph" w:styleId="927" w:customStyle="1">
    <w:name w:val="纯文本2"/>
    <w:basedOn w:val="718"/>
    <w:uiPriority w:val="0"/>
    <w:qFormat/>
    <w:rPr>
      <w:rFonts w:ascii="宋体" w:hAnsi="Courier New" w:eastAsia="楷体_GB2312"/>
      <w:sz w:val="26"/>
      <w:szCs w:val="20"/>
    </w:rPr>
  </w:style>
  <w:style w:type="paragraph" w:styleId="928" w:customStyle="1">
    <w:name w:val="01 章标"/>
    <w:basedOn w:val="718"/>
    <w:uiPriority w:val="0"/>
    <w:qFormat/>
    <w:pPr>
      <w:ind w:firstLine="883"/>
      <w:jc w:val="center"/>
      <w:outlineLvl w:val="0"/>
    </w:pPr>
    <w:rPr>
      <w:b/>
      <w:sz w:val="44"/>
      <w:szCs w:val="44"/>
    </w:rPr>
  </w:style>
  <w:style w:type="paragraph" w:styleId="929" w:customStyle="1">
    <w:name w:val="无间隔1"/>
    <w:basedOn w:val="718"/>
    <w:uiPriority w:val="1"/>
    <w:qFormat/>
    <w:rPr>
      <w:rFonts w:ascii="Times New Roman" w:hAnsi="Times New Roman"/>
    </w:rPr>
  </w:style>
  <w:style w:type="paragraph" w:styleId="9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1" w:customStyle="1">
    <w:name w:val="列出段落11"/>
    <w:basedOn w:val="718"/>
    <w:uiPriority w:val="34"/>
    <w:qFormat/>
    <w:pPr>
      <w:ind w:firstLine="420"/>
    </w:pPr>
  </w:style>
  <w:style w:type="paragraph" w:styleId="932" w:customStyle="1">
    <w:name w:val="段"/>
    <w:next w:val="718"/>
    <w:uiPriority w:val="0"/>
    <w:qFormat/>
    <w:pPr>
      <w:ind w:firstLine="200"/>
      <w:jc w:val="both"/>
    </w:pPr>
    <w:rPr>
      <w:rFonts w:ascii="宋体" w:hAnsi="Times New Roman" w:eastAsia="宋体" w:cs="Times New Roman"/>
      <w:lang w:val="en-US" w:eastAsia="zh-CN" w:bidi="ar-SA"/>
    </w:rPr>
  </w:style>
  <w:style w:type="paragraph" w:styleId="933" w:customStyle="1">
    <w:name w:val="列出段落1"/>
    <w:basedOn w:val="718"/>
    <w:uiPriority w:val="0"/>
    <w:qFormat/>
    <w:pPr>
      <w:ind w:firstLine="420"/>
      <w:jc w:val="left"/>
      <w:spacing w:after="200" w:line="276" w:lineRule="auto"/>
      <w:widowControl/>
    </w:pPr>
    <w:rPr>
      <w:rFonts w:ascii="Arial" w:hAnsi="Arial" w:eastAsia="Arial"/>
      <w:sz w:val="22"/>
      <w:szCs w:val="21"/>
      <w:lang w:eastAsia="en-US"/>
    </w:rPr>
  </w:style>
  <w:style w:type="character" w:styleId="934" w:customStyle="1">
    <w:name w:val="font11"/>
    <w:basedOn w:val="728"/>
    <w:uiPriority w:val="0"/>
    <w:qFormat/>
    <w:rPr>
      <w:rFonts w:hint="eastAsia" w:ascii="宋体" w:hAnsi="宋体" w:eastAsia="宋体" w:cs="宋体"/>
      <w:color w:val="000000"/>
      <w:sz w:val="20"/>
      <w:szCs w:val="20"/>
      <w:u w:val="none"/>
    </w:rPr>
  </w:style>
  <w:style w:type="character" w:styleId="935" w:customStyle="1">
    <w:name w:val="font61"/>
    <w:basedOn w:val="728"/>
    <w:uiPriority w:val="0"/>
    <w:qFormat/>
    <w:rPr>
      <w:rFonts w:hint="eastAsia" w:ascii="宋体" w:hAnsi="宋体" w:eastAsia="宋体" w:cs="宋体"/>
      <w:color w:val="000000"/>
      <w:sz w:val="20"/>
      <w:szCs w:val="20"/>
      <w:u w:val="none"/>
    </w:rPr>
  </w:style>
  <w:style w:type="character" w:styleId="936" w:customStyle="1">
    <w:name w:val="font131"/>
    <w:basedOn w:val="728"/>
    <w:uiPriority w:val="0"/>
    <w:qFormat/>
    <w:rPr>
      <w:rFonts w:hint="eastAsia" w:ascii="宋体" w:hAnsi="宋体" w:eastAsia="宋体" w:cs="宋体"/>
      <w:b/>
      <w:bCs/>
      <w:color w:val="000000"/>
      <w:sz w:val="20"/>
      <w:szCs w:val="20"/>
      <w:u w:val="none"/>
    </w:rPr>
  </w:style>
  <w:style w:type="character" w:styleId="937" w:customStyle="1">
    <w:name w:val="font21"/>
    <w:basedOn w:val="728"/>
    <w:uiPriority w:val="0"/>
    <w:qFormat/>
    <w:rPr>
      <w:rFonts w:hint="eastAsia" w:ascii="宋体" w:hAnsi="宋体" w:eastAsia="宋体" w:cs="宋体"/>
      <w:color w:val="000000"/>
      <w:sz w:val="18"/>
      <w:szCs w:val="18"/>
      <w:u w:val="none"/>
    </w:rPr>
  </w:style>
  <w:style w:type="character" w:styleId="938" w:customStyle="1">
    <w:name w:val="font141"/>
    <w:basedOn w:val="728"/>
    <w:uiPriority w:val="0"/>
    <w:qFormat/>
    <w:rPr>
      <w:rFonts w:hint="eastAsia" w:ascii="宋体" w:hAnsi="宋体" w:eastAsia="宋体" w:cs="宋体"/>
      <w:b/>
      <w:bCs/>
      <w:color w:val="000000"/>
      <w:sz w:val="20"/>
      <w:szCs w:val="20"/>
      <w:u w:val="none"/>
    </w:rPr>
  </w:style>
  <w:style w:type="character" w:styleId="939" w:customStyle="1">
    <w:name w:val="font31"/>
    <w:basedOn w:val="728"/>
    <w:uiPriority w:val="0"/>
    <w:qFormat/>
    <w:rPr>
      <w:rFonts w:hint="eastAsia" w:ascii="仿宋" w:hAnsi="仿宋" w:eastAsia="仿宋" w:cs="仿宋"/>
      <w:color w:val="000000"/>
      <w:sz w:val="20"/>
      <w:szCs w:val="20"/>
      <w:u w:val="none"/>
    </w:rPr>
  </w:style>
  <w:style w:type="character" w:styleId="940" w:customStyle="1">
    <w:name w:val="17"/>
    <w:basedOn w:val="728"/>
    <w:uiPriority w:val="0"/>
    <w:qFormat/>
    <w:rPr>
      <w:rFonts w:hint="eastAsia" w:ascii="宋体" w:hAnsi="宋体" w:eastAsia="宋体" w:cs="宋体"/>
      <w:color w:val="000000"/>
      <w:sz w:val="20"/>
      <w:szCs w:val="20"/>
    </w:rPr>
  </w:style>
  <w:style w:type="character" w:styleId="941" w:customStyle="1">
    <w:name w:val="19"/>
    <w:basedOn w:val="728"/>
    <w:uiPriority w:val="0"/>
    <w:qFormat/>
    <w:rPr>
      <w:rFonts w:hint="default" w:ascii="Times New Roman" w:hAnsi="Times New Roman" w:cs="Times New Roman"/>
      <w:color w:val="000000"/>
      <w:sz w:val="20"/>
      <w:szCs w:val="20"/>
    </w:rPr>
  </w:style>
  <w:style w:type="paragraph" w:styleId="942" w:customStyle="1">
    <w:name w:val="Table Text"/>
    <w:basedOn w:val="718"/>
    <w:uiPriority w:val="0"/>
    <w:semiHidden/>
    <w:qFormat/>
    <w:rPr>
      <w:rFonts w:ascii="黑体" w:hAnsi="黑体" w:eastAsia="黑体" w:cs="黑体"/>
      <w:sz w:val="18"/>
      <w:szCs w:val="18"/>
      <w:lang w:eastAsia="en-US"/>
    </w:rPr>
  </w:style>
  <w:style w:type="character" w:styleId="943" w:customStyle="1">
    <w:name w:val="font01"/>
    <w:basedOn w:val="728"/>
    <w:uiPriority w:val="0"/>
    <w:qFormat/>
    <w:rPr>
      <w:rFonts w:hint="eastAsia" w:ascii="宋体" w:hAnsi="宋体" w:eastAsia="宋体" w:cs="宋体"/>
      <w:color w:val="000000"/>
      <w:sz w:val="22"/>
      <w:szCs w:val="22"/>
      <w:u w:val="none"/>
    </w:rPr>
  </w:style>
  <w:style w:type="character" w:styleId="944" w:customStyle="1">
    <w:name w:val="font51"/>
    <w:basedOn w:val="728"/>
    <w:uiPriority w:val="0"/>
    <w:qFormat/>
    <w:rPr>
      <w:rFonts w:hint="eastAsia" w:ascii="宋体" w:hAnsi="宋体" w:eastAsia="宋体" w:cs="宋体"/>
      <w:color w:val="000000"/>
      <w:sz w:val="22"/>
      <w:szCs w:val="22"/>
      <w:u w:val="none"/>
    </w:rPr>
  </w:style>
  <w:style w:type="character" w:styleId="945" w:customStyle="1">
    <w:name w:val="font181"/>
    <w:basedOn w:val="728"/>
    <w:uiPriority w:val="0"/>
    <w:qFormat/>
    <w:rPr>
      <w:rFonts w:hint="eastAsia" w:ascii="宋体" w:hAnsi="宋体" w:eastAsia="宋体" w:cs="宋体"/>
      <w:color w:val="000000"/>
      <w:sz w:val="22"/>
      <w:szCs w:val="22"/>
      <w:u w:val="none"/>
      <w:vertAlign w:val="superscript"/>
    </w:rPr>
  </w:style>
  <w:style w:type="paragraph" w:styleId="946" w:customStyle="1">
    <w:name w:val="无间隔2"/>
    <w:basedOn w:val="718"/>
    <w:uiPriority w:val="99"/>
    <w:qFormat/>
  </w:style>
  <w:style w:type="character" w:styleId="947" w:customStyle="1">
    <w:name w:val="NormalCharacter1"/>
    <w:uiPriority w:val="0"/>
    <w:qFormat/>
    <w:rPr>
      <w:rFonts w:ascii="Calibri" w:hAnsi="Calibri" w:eastAsia="宋体" w:cs="Times New Roman"/>
      <w:sz w:val="21"/>
      <w:lang w:val="en-US" w:eastAsia="zh-CN" w:bidi="ar-SA"/>
    </w:rPr>
  </w:style>
  <w:style w:type="table" w:styleId="948" w:customStyle="1">
    <w:name w:val="网格型2"/>
    <w:basedOn w:val="7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30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张倩</cp:lastModifiedBy>
  <cp:revision>21</cp:revision>
  <dcterms:created xsi:type="dcterms:W3CDTF">2025-02-08T06:52:00Z</dcterms:created>
  <dcterms:modified xsi:type="dcterms:W3CDTF">2026-02-06T07:15:40Z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eyJoZGlkIjoiYzBmMTFkM2YzY2FiNTQ0MmZmMjliOTA5MjdiNmI1NDUiLCJ1c2VySWQiOiI0NTU4MjY1MzAifQ==</vt:lpwstr>
  </property>
  <property fmtid="{D5CDD505-2E9C-101B-9397-08002B2CF9AE}" pid="3" name="KSOProductBuildVer">
    <vt:lpwstr>2052-12.1.0.25225</vt:lpwstr>
  </property>
  <property fmtid="{D5CDD505-2E9C-101B-9397-08002B2CF9AE}" pid="4" name="ICV">
    <vt:lpwstr>CD7214E7C8114241A4F79F00BC05CB12_13</vt:lpwstr>
  </property>
</Properties>
</file>